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8016EC"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1"/>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8016EC" w:rsidP="00A91406">
            <w:pPr>
              <w:pStyle w:val="DHHSmainheading"/>
            </w:pPr>
            <w:r>
              <w:lastRenderedPageBreak/>
              <w:t>Maternal Mortality and Severe Acute Maternal Morbidity</w:t>
            </w:r>
          </w:p>
        </w:tc>
      </w:tr>
      <w:tr w:rsidR="00AD784C" w:rsidTr="00357B4E">
        <w:trPr>
          <w:trHeight w:hRule="exact" w:val="1162"/>
        </w:trPr>
        <w:tc>
          <w:tcPr>
            <w:tcW w:w="8046" w:type="dxa"/>
            <w:shd w:val="clear" w:color="auto" w:fill="auto"/>
            <w:tcMar>
              <w:top w:w="170" w:type="dxa"/>
              <w:bottom w:w="510" w:type="dxa"/>
            </w:tcMar>
          </w:tcPr>
          <w:p w:rsidR="00357B4E" w:rsidRPr="00AD784C" w:rsidRDefault="008016EC" w:rsidP="00357B4E">
            <w:pPr>
              <w:pStyle w:val="DHHSmainsubheading"/>
              <w:rPr>
                <w:szCs w:val="28"/>
              </w:rPr>
            </w:pPr>
            <w:r>
              <w:rPr>
                <w:szCs w:val="28"/>
              </w:rPr>
              <w:t>Victoria’s Mothers, Babies and Children 2016</w:t>
            </w:r>
          </w:p>
        </w:tc>
      </w:tr>
    </w:tbl>
    <w:p w:rsidR="008016EC" w:rsidRDefault="008016EC" w:rsidP="008016EC">
      <w:pPr>
        <w:pStyle w:val="Heading1"/>
      </w:pPr>
      <w:bookmarkStart w:id="0" w:name="_Toc506386826"/>
      <w:r w:rsidRPr="00035B3D">
        <w:t>5. Maternal Mortality and Severe Acute Maternal Morbidity</w:t>
      </w:r>
      <w:bookmarkEnd w:id="0"/>
    </w:p>
    <w:p w:rsidR="008016EC" w:rsidRPr="00050CF5" w:rsidRDefault="008016EC" w:rsidP="008016EC">
      <w:pPr>
        <w:pStyle w:val="TOCHeading"/>
        <w:rPr>
          <w:b/>
          <w:sz w:val="28"/>
        </w:rPr>
      </w:pPr>
      <w:r w:rsidRPr="00050CF5">
        <w:rPr>
          <w:b/>
          <w:sz w:val="28"/>
        </w:rPr>
        <w:t>Tables &amp; Figures</w:t>
      </w:r>
    </w:p>
    <w:p w:rsidR="006A52B1" w:rsidRDefault="008016EC">
      <w:pPr>
        <w:pStyle w:val="TOC1"/>
        <w:rPr>
          <w:rFonts w:asciiTheme="minorHAnsi" w:eastAsiaTheme="minorEastAsia" w:hAnsiTheme="minorHAnsi" w:cstheme="minorBidi"/>
          <w:b w:val="0"/>
          <w:sz w:val="22"/>
          <w:szCs w:val="22"/>
          <w:lang w:eastAsia="en-AU"/>
        </w:rPr>
      </w:pPr>
      <w:r>
        <w:rPr>
          <w:noProof w:val="0"/>
        </w:rPr>
        <w:fldChar w:fldCharType="begin"/>
      </w:r>
      <w:r>
        <w:instrText xml:space="preserve"> TOC \o "1-3" \h \z \u </w:instrText>
      </w:r>
      <w:r>
        <w:rPr>
          <w:noProof w:val="0"/>
        </w:rPr>
        <w:fldChar w:fldCharType="separate"/>
      </w:r>
      <w:hyperlink w:anchor="_Toc506386826" w:history="1">
        <w:r w:rsidR="006A52B1" w:rsidRPr="00423AD9">
          <w:rPr>
            <w:rStyle w:val="Hyperlink"/>
          </w:rPr>
          <w:t>5. Maternal Mortality and Severe Acute Maternal Morbidity</w:t>
        </w:r>
        <w:r w:rsidR="006A52B1">
          <w:rPr>
            <w:webHidden/>
          </w:rPr>
          <w:tab/>
        </w:r>
        <w:r w:rsidR="006A52B1">
          <w:rPr>
            <w:webHidden/>
          </w:rPr>
          <w:fldChar w:fldCharType="begin"/>
        </w:r>
        <w:r w:rsidR="006A52B1">
          <w:rPr>
            <w:webHidden/>
          </w:rPr>
          <w:instrText xml:space="preserve"> PAGEREF _Toc506386826 \h </w:instrText>
        </w:r>
        <w:r w:rsidR="006A52B1">
          <w:rPr>
            <w:webHidden/>
          </w:rPr>
        </w:r>
        <w:r w:rsidR="006A52B1">
          <w:rPr>
            <w:webHidden/>
          </w:rPr>
          <w:fldChar w:fldCharType="separate"/>
        </w:r>
        <w:r w:rsidR="006A52B1">
          <w:rPr>
            <w:webHidden/>
          </w:rPr>
          <w:t>1</w:t>
        </w:r>
        <w:r w:rsidR="006A52B1">
          <w:rPr>
            <w:webHidden/>
          </w:rPr>
          <w:fldChar w:fldCharType="end"/>
        </w:r>
      </w:hyperlink>
    </w:p>
    <w:p w:rsidR="006A52B1" w:rsidRDefault="006A52B1">
      <w:pPr>
        <w:pStyle w:val="TOC2"/>
        <w:rPr>
          <w:rFonts w:asciiTheme="minorHAnsi" w:eastAsiaTheme="minorEastAsia" w:hAnsiTheme="minorHAnsi" w:cstheme="minorBidi"/>
          <w:sz w:val="22"/>
          <w:szCs w:val="22"/>
          <w:lang w:eastAsia="en-AU"/>
        </w:rPr>
      </w:pPr>
      <w:hyperlink w:anchor="_Toc506386827" w:history="1">
        <w:r w:rsidRPr="00423AD9">
          <w:rPr>
            <w:rStyle w:val="Hyperlink"/>
          </w:rPr>
          <w:t>Table 5.1: Maternal mortality ratios in Victoria 1988-2016 (per 100,000 confinements)</w:t>
        </w:r>
        <w:r>
          <w:rPr>
            <w:webHidden/>
          </w:rPr>
          <w:tab/>
        </w:r>
        <w:r>
          <w:rPr>
            <w:webHidden/>
          </w:rPr>
          <w:fldChar w:fldCharType="begin"/>
        </w:r>
        <w:r>
          <w:rPr>
            <w:webHidden/>
          </w:rPr>
          <w:instrText xml:space="preserve"> PAGEREF _Toc506386827 \h </w:instrText>
        </w:r>
        <w:r>
          <w:rPr>
            <w:webHidden/>
          </w:rPr>
        </w:r>
        <w:r>
          <w:rPr>
            <w:webHidden/>
          </w:rPr>
          <w:fldChar w:fldCharType="separate"/>
        </w:r>
        <w:r>
          <w:rPr>
            <w:webHidden/>
          </w:rPr>
          <w:t>2</w:t>
        </w:r>
        <w:r>
          <w:rPr>
            <w:webHidden/>
          </w:rPr>
          <w:fldChar w:fldCharType="end"/>
        </w:r>
      </w:hyperlink>
    </w:p>
    <w:p w:rsidR="006A52B1" w:rsidRDefault="006A52B1">
      <w:pPr>
        <w:pStyle w:val="TOC2"/>
        <w:rPr>
          <w:rFonts w:asciiTheme="minorHAnsi" w:eastAsiaTheme="minorEastAsia" w:hAnsiTheme="minorHAnsi" w:cstheme="minorBidi"/>
          <w:sz w:val="22"/>
          <w:szCs w:val="22"/>
          <w:lang w:eastAsia="en-AU"/>
        </w:rPr>
      </w:pPr>
      <w:hyperlink w:anchor="_Toc506386828" w:history="1">
        <w:r w:rsidRPr="00423AD9">
          <w:rPr>
            <w:rStyle w:val="Hyperlink"/>
          </w:rPr>
          <w:t>Table 5.2: Maternal mortality ratios by triennia, Victoria and Australia 1988-2016</w:t>
        </w:r>
        <w:r>
          <w:rPr>
            <w:webHidden/>
          </w:rPr>
          <w:tab/>
        </w:r>
        <w:r>
          <w:rPr>
            <w:webHidden/>
          </w:rPr>
          <w:fldChar w:fldCharType="begin"/>
        </w:r>
        <w:r>
          <w:rPr>
            <w:webHidden/>
          </w:rPr>
          <w:instrText xml:space="preserve"> PAGEREF _Toc506386828 \h </w:instrText>
        </w:r>
        <w:r>
          <w:rPr>
            <w:webHidden/>
          </w:rPr>
        </w:r>
        <w:r>
          <w:rPr>
            <w:webHidden/>
          </w:rPr>
          <w:fldChar w:fldCharType="separate"/>
        </w:r>
        <w:r>
          <w:rPr>
            <w:webHidden/>
          </w:rPr>
          <w:t>4</w:t>
        </w:r>
        <w:r>
          <w:rPr>
            <w:webHidden/>
          </w:rPr>
          <w:fldChar w:fldCharType="end"/>
        </w:r>
      </w:hyperlink>
    </w:p>
    <w:p w:rsidR="006A52B1" w:rsidRDefault="006A52B1">
      <w:pPr>
        <w:pStyle w:val="TOC2"/>
        <w:rPr>
          <w:rFonts w:asciiTheme="minorHAnsi" w:eastAsiaTheme="minorEastAsia" w:hAnsiTheme="minorHAnsi" w:cstheme="minorBidi"/>
          <w:sz w:val="22"/>
          <w:szCs w:val="22"/>
          <w:lang w:eastAsia="en-AU"/>
        </w:rPr>
      </w:pPr>
      <w:hyperlink w:anchor="_Toc506386829" w:history="1">
        <w:r w:rsidRPr="00423AD9">
          <w:rPr>
            <w:rStyle w:val="Hyperlink"/>
          </w:rPr>
          <w:t>Figure 5.1. Maternal mortality ratios by triennia, Victoria and Australia 1988-2016</w:t>
        </w:r>
        <w:r>
          <w:rPr>
            <w:webHidden/>
          </w:rPr>
          <w:tab/>
        </w:r>
        <w:r>
          <w:rPr>
            <w:webHidden/>
          </w:rPr>
          <w:fldChar w:fldCharType="begin"/>
        </w:r>
        <w:r>
          <w:rPr>
            <w:webHidden/>
          </w:rPr>
          <w:instrText xml:space="preserve"> PAGEREF _Toc506386829 \h </w:instrText>
        </w:r>
        <w:r>
          <w:rPr>
            <w:webHidden/>
          </w:rPr>
        </w:r>
        <w:r>
          <w:rPr>
            <w:webHidden/>
          </w:rPr>
          <w:fldChar w:fldCharType="separate"/>
        </w:r>
        <w:r>
          <w:rPr>
            <w:webHidden/>
          </w:rPr>
          <w:t>5</w:t>
        </w:r>
        <w:r>
          <w:rPr>
            <w:webHidden/>
          </w:rPr>
          <w:fldChar w:fldCharType="end"/>
        </w:r>
      </w:hyperlink>
    </w:p>
    <w:p w:rsidR="006A52B1" w:rsidRDefault="006A52B1">
      <w:pPr>
        <w:pStyle w:val="TOC2"/>
        <w:rPr>
          <w:rFonts w:asciiTheme="minorHAnsi" w:eastAsiaTheme="minorEastAsia" w:hAnsiTheme="minorHAnsi" w:cstheme="minorBidi"/>
          <w:sz w:val="22"/>
          <w:szCs w:val="22"/>
          <w:lang w:eastAsia="en-AU"/>
        </w:rPr>
      </w:pPr>
      <w:hyperlink w:anchor="_Toc506386830" w:history="1">
        <w:r w:rsidRPr="00423AD9">
          <w:rPr>
            <w:rStyle w:val="Hyperlink"/>
          </w:rPr>
          <w:t>Table 5.3: Causes of maternal deaths, Victoria 2016</w:t>
        </w:r>
        <w:r>
          <w:rPr>
            <w:webHidden/>
          </w:rPr>
          <w:tab/>
        </w:r>
        <w:r>
          <w:rPr>
            <w:webHidden/>
          </w:rPr>
          <w:fldChar w:fldCharType="begin"/>
        </w:r>
        <w:r>
          <w:rPr>
            <w:webHidden/>
          </w:rPr>
          <w:instrText xml:space="preserve"> PAGEREF _Toc506386830 \h </w:instrText>
        </w:r>
        <w:r>
          <w:rPr>
            <w:webHidden/>
          </w:rPr>
        </w:r>
        <w:r>
          <w:rPr>
            <w:webHidden/>
          </w:rPr>
          <w:fldChar w:fldCharType="separate"/>
        </w:r>
        <w:r>
          <w:rPr>
            <w:webHidden/>
          </w:rPr>
          <w:t>6</w:t>
        </w:r>
        <w:r>
          <w:rPr>
            <w:webHidden/>
          </w:rPr>
          <w:fldChar w:fldCharType="end"/>
        </w:r>
      </w:hyperlink>
    </w:p>
    <w:p w:rsidR="006A52B1" w:rsidRDefault="006A52B1">
      <w:pPr>
        <w:pStyle w:val="TOC2"/>
        <w:rPr>
          <w:rFonts w:asciiTheme="minorHAnsi" w:eastAsiaTheme="minorEastAsia" w:hAnsiTheme="minorHAnsi" w:cstheme="minorBidi"/>
          <w:sz w:val="22"/>
          <w:szCs w:val="22"/>
          <w:lang w:eastAsia="en-AU"/>
        </w:rPr>
      </w:pPr>
      <w:hyperlink w:anchor="_Toc506386831" w:history="1">
        <w:r w:rsidRPr="00423AD9">
          <w:rPr>
            <w:rStyle w:val="Hyperlink"/>
          </w:rPr>
          <w:t>Table 5.4: Causes of maternal deaths, Victoria 2011-2016</w:t>
        </w:r>
        <w:r>
          <w:rPr>
            <w:webHidden/>
          </w:rPr>
          <w:tab/>
        </w:r>
        <w:r>
          <w:rPr>
            <w:webHidden/>
          </w:rPr>
          <w:fldChar w:fldCharType="begin"/>
        </w:r>
        <w:r>
          <w:rPr>
            <w:webHidden/>
          </w:rPr>
          <w:instrText xml:space="preserve"> PAGEREF _Toc506386831 \h </w:instrText>
        </w:r>
        <w:r>
          <w:rPr>
            <w:webHidden/>
          </w:rPr>
        </w:r>
        <w:r>
          <w:rPr>
            <w:webHidden/>
          </w:rPr>
          <w:fldChar w:fldCharType="separate"/>
        </w:r>
        <w:r>
          <w:rPr>
            <w:webHidden/>
          </w:rPr>
          <w:t>7</w:t>
        </w:r>
        <w:r>
          <w:rPr>
            <w:webHidden/>
          </w:rPr>
          <w:fldChar w:fldCharType="end"/>
        </w:r>
      </w:hyperlink>
    </w:p>
    <w:p w:rsidR="006A52B1" w:rsidRDefault="006A52B1">
      <w:pPr>
        <w:pStyle w:val="TOC2"/>
        <w:rPr>
          <w:rFonts w:asciiTheme="minorHAnsi" w:eastAsiaTheme="minorEastAsia" w:hAnsiTheme="minorHAnsi" w:cstheme="minorBidi"/>
          <w:sz w:val="22"/>
          <w:szCs w:val="22"/>
          <w:lang w:eastAsia="en-AU"/>
        </w:rPr>
      </w:pPr>
      <w:hyperlink w:anchor="_Toc506386832" w:history="1">
        <w:r w:rsidRPr="00423AD9">
          <w:rPr>
            <w:rStyle w:val="Hyperlink"/>
          </w:rPr>
          <w:t>Table 5.5: Assessment of contributing factors in maternal deaths, Victoria 2011-2016</w:t>
        </w:r>
        <w:r>
          <w:rPr>
            <w:webHidden/>
          </w:rPr>
          <w:tab/>
        </w:r>
        <w:r>
          <w:rPr>
            <w:webHidden/>
          </w:rPr>
          <w:fldChar w:fldCharType="begin"/>
        </w:r>
        <w:r>
          <w:rPr>
            <w:webHidden/>
          </w:rPr>
          <w:instrText xml:space="preserve"> PAGEREF _Toc506386832 \h </w:instrText>
        </w:r>
        <w:r>
          <w:rPr>
            <w:webHidden/>
          </w:rPr>
        </w:r>
        <w:r>
          <w:rPr>
            <w:webHidden/>
          </w:rPr>
          <w:fldChar w:fldCharType="separate"/>
        </w:r>
        <w:r>
          <w:rPr>
            <w:webHidden/>
          </w:rPr>
          <w:t>9</w:t>
        </w:r>
        <w:r>
          <w:rPr>
            <w:webHidden/>
          </w:rPr>
          <w:fldChar w:fldCharType="end"/>
        </w:r>
      </w:hyperlink>
    </w:p>
    <w:p w:rsidR="008016EC" w:rsidRDefault="008016EC" w:rsidP="008016EC">
      <w:r>
        <w:rPr>
          <w:b/>
          <w:bCs/>
          <w:noProof/>
        </w:rPr>
        <w:fldChar w:fldCharType="end"/>
      </w:r>
    </w:p>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 w:rsidR="008016EC" w:rsidRDefault="008016EC" w:rsidP="008016EC">
      <w:pPr>
        <w:rPr>
          <w:rFonts w:ascii="Arial" w:hAnsi="Arial"/>
          <w:b/>
          <w:color w:val="201547"/>
          <w:sz w:val="28"/>
          <w:szCs w:val="28"/>
        </w:rPr>
      </w:pPr>
    </w:p>
    <w:p w:rsidR="008016EC" w:rsidRPr="00BC25A1" w:rsidRDefault="008016EC" w:rsidP="008016EC">
      <w:pPr>
        <w:pStyle w:val="Heading2"/>
        <w:spacing w:before="0" w:line="240" w:lineRule="auto"/>
        <w:rPr>
          <w:rStyle w:val="BookTitle"/>
          <w:rFonts w:eastAsia="MS Mincho"/>
          <w:b/>
          <w:bCs w:val="0"/>
          <w:smallCaps w:val="0"/>
          <w:sz w:val="20"/>
          <w:szCs w:val="20"/>
        </w:rPr>
      </w:pPr>
      <w:bookmarkStart w:id="1" w:name="_Toc506386827"/>
      <w:r>
        <w:lastRenderedPageBreak/>
        <w:t xml:space="preserve">Table 5.1: </w:t>
      </w:r>
      <w:r w:rsidRPr="00F67F55">
        <w:t>Maternal mortality ratios in Victoria 1988-2016 (per 100,000 confinements)</w:t>
      </w:r>
      <w:bookmarkEnd w:id="1"/>
    </w:p>
    <w:tbl>
      <w:tblPr>
        <w:tblStyle w:val="TableGrid"/>
        <w:tblW w:w="7827"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0"/>
        <w:gridCol w:w="1244"/>
        <w:gridCol w:w="1520"/>
        <w:gridCol w:w="1645"/>
        <w:gridCol w:w="2378"/>
      </w:tblGrid>
      <w:tr w:rsidR="008016EC" w:rsidRPr="00F67F55" w:rsidTr="00B51AAB">
        <w:trPr>
          <w:trHeight w:val="345"/>
          <w:jc w:val="center"/>
        </w:trPr>
        <w:tc>
          <w:tcPr>
            <w:tcW w:w="1040" w:type="dxa"/>
            <w:noWrap/>
            <w:hideMark/>
          </w:tcPr>
          <w:p w:rsidR="008016EC" w:rsidRPr="00F67F55" w:rsidRDefault="008016EC" w:rsidP="00B51AAB">
            <w:pPr>
              <w:pStyle w:val="DHHStablecolhead"/>
            </w:pPr>
            <w:r w:rsidRPr="00F67F55">
              <w:t>Year</w:t>
            </w:r>
          </w:p>
        </w:tc>
        <w:tc>
          <w:tcPr>
            <w:tcW w:w="1244" w:type="dxa"/>
            <w:noWrap/>
            <w:hideMark/>
          </w:tcPr>
          <w:p w:rsidR="008016EC" w:rsidRPr="00F67F55" w:rsidRDefault="008016EC" w:rsidP="00B51AAB">
            <w:pPr>
              <w:pStyle w:val="DHHStablecolhead"/>
            </w:pPr>
            <w:r w:rsidRPr="00F67F55">
              <w:t>Direct deaths</w:t>
            </w:r>
          </w:p>
        </w:tc>
        <w:tc>
          <w:tcPr>
            <w:tcW w:w="1520" w:type="dxa"/>
            <w:noWrap/>
            <w:hideMark/>
          </w:tcPr>
          <w:p w:rsidR="008016EC" w:rsidRPr="00F67F55" w:rsidRDefault="008016EC" w:rsidP="00B51AAB">
            <w:pPr>
              <w:pStyle w:val="DHHStablecolhead"/>
            </w:pPr>
            <w:r w:rsidRPr="00F67F55">
              <w:t>Indirect deaths</w:t>
            </w:r>
          </w:p>
        </w:tc>
        <w:tc>
          <w:tcPr>
            <w:tcW w:w="1645" w:type="dxa"/>
            <w:noWrap/>
            <w:hideMark/>
          </w:tcPr>
          <w:p w:rsidR="008016EC" w:rsidRPr="00F67F55" w:rsidRDefault="008016EC" w:rsidP="00B51AAB">
            <w:pPr>
              <w:pStyle w:val="DHHStablecolhead"/>
            </w:pPr>
            <w:r w:rsidRPr="00F67F55">
              <w:t>Confinements</w:t>
            </w:r>
            <w:r w:rsidRPr="00CB18B5">
              <w:rPr>
                <w:sz w:val="24"/>
                <w:szCs w:val="24"/>
              </w:rPr>
              <w:t xml:space="preserve"> </w:t>
            </w:r>
            <w:r w:rsidRPr="00CB18B5">
              <w:rPr>
                <w:sz w:val="24"/>
                <w:szCs w:val="24"/>
                <w:vertAlign w:val="superscript"/>
              </w:rPr>
              <w:t>a</w:t>
            </w:r>
          </w:p>
        </w:tc>
        <w:tc>
          <w:tcPr>
            <w:tcW w:w="2378" w:type="dxa"/>
            <w:noWrap/>
            <w:hideMark/>
          </w:tcPr>
          <w:p w:rsidR="008016EC" w:rsidRPr="00F67F55" w:rsidRDefault="008016EC" w:rsidP="00B51AAB">
            <w:pPr>
              <w:pStyle w:val="DHHStablecolhead"/>
            </w:pPr>
            <w:r>
              <w:t xml:space="preserve">Maternal mortality </w:t>
            </w:r>
            <w:r w:rsidRPr="00F67F55">
              <w:t>ratio</w:t>
            </w:r>
            <w:r>
              <w:t xml:space="preserve"> </w:t>
            </w:r>
            <w:r w:rsidRPr="00CB18B5">
              <w:rPr>
                <w:sz w:val="24"/>
                <w:szCs w:val="24"/>
                <w:vertAlign w:val="superscript"/>
              </w:rPr>
              <w:t>b</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1988</w:t>
            </w:r>
          </w:p>
        </w:tc>
        <w:tc>
          <w:tcPr>
            <w:tcW w:w="1244" w:type="dxa"/>
            <w:noWrap/>
            <w:hideMark/>
          </w:tcPr>
          <w:p w:rsidR="008016EC" w:rsidRPr="00F67F55" w:rsidRDefault="008016EC" w:rsidP="00B51AAB">
            <w:pPr>
              <w:pStyle w:val="DHHStabletext"/>
            </w:pPr>
            <w:r w:rsidRPr="00F67F55">
              <w:t>3</w:t>
            </w:r>
          </w:p>
        </w:tc>
        <w:tc>
          <w:tcPr>
            <w:tcW w:w="1520" w:type="dxa"/>
            <w:noWrap/>
            <w:hideMark/>
          </w:tcPr>
          <w:p w:rsidR="008016EC" w:rsidRPr="00F67F55" w:rsidRDefault="008016EC" w:rsidP="00B51AAB">
            <w:pPr>
              <w:pStyle w:val="DHHStabletext"/>
            </w:pPr>
            <w:r w:rsidRPr="00F67F55">
              <w:t>5</w:t>
            </w:r>
          </w:p>
        </w:tc>
        <w:tc>
          <w:tcPr>
            <w:tcW w:w="1645" w:type="dxa"/>
            <w:noWrap/>
            <w:hideMark/>
          </w:tcPr>
          <w:p w:rsidR="008016EC" w:rsidRPr="00F67F55" w:rsidRDefault="008016EC" w:rsidP="00B51AAB">
            <w:pPr>
              <w:pStyle w:val="DHHStabletext"/>
            </w:pPr>
            <w:r w:rsidRPr="00F67F55">
              <w:t>62,854</w:t>
            </w:r>
          </w:p>
        </w:tc>
        <w:tc>
          <w:tcPr>
            <w:tcW w:w="2378" w:type="dxa"/>
            <w:noWrap/>
            <w:hideMark/>
          </w:tcPr>
          <w:p w:rsidR="008016EC" w:rsidRPr="00F67F55" w:rsidRDefault="008016EC" w:rsidP="00B51AAB">
            <w:pPr>
              <w:pStyle w:val="DHHStabletext"/>
            </w:pPr>
            <w:r w:rsidRPr="00F67F55">
              <w:t>12.7</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1989</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3</w:t>
            </w:r>
          </w:p>
        </w:tc>
        <w:tc>
          <w:tcPr>
            <w:tcW w:w="1645" w:type="dxa"/>
            <w:noWrap/>
            <w:hideMark/>
          </w:tcPr>
          <w:p w:rsidR="008016EC" w:rsidRPr="00F67F55" w:rsidRDefault="008016EC" w:rsidP="00B51AAB">
            <w:pPr>
              <w:pStyle w:val="DHHStabletext"/>
            </w:pPr>
            <w:r w:rsidRPr="00F67F55">
              <w:t>63,419</w:t>
            </w:r>
          </w:p>
        </w:tc>
        <w:tc>
          <w:tcPr>
            <w:tcW w:w="2378" w:type="dxa"/>
            <w:noWrap/>
            <w:hideMark/>
          </w:tcPr>
          <w:p w:rsidR="008016EC" w:rsidRPr="00F67F55" w:rsidRDefault="008016EC" w:rsidP="00B51AAB">
            <w:pPr>
              <w:pStyle w:val="DHHStabletext"/>
            </w:pPr>
            <w:r w:rsidRPr="00F67F55">
              <w:t>7.9</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1990</w:t>
            </w:r>
          </w:p>
        </w:tc>
        <w:tc>
          <w:tcPr>
            <w:tcW w:w="1244" w:type="dxa"/>
            <w:noWrap/>
            <w:hideMark/>
          </w:tcPr>
          <w:p w:rsidR="008016EC" w:rsidRPr="00F67F55" w:rsidRDefault="008016EC" w:rsidP="00B51AAB">
            <w:pPr>
              <w:pStyle w:val="DHHStabletext"/>
            </w:pPr>
            <w:r w:rsidRPr="00F67F55">
              <w:t>6</w:t>
            </w:r>
          </w:p>
        </w:tc>
        <w:tc>
          <w:tcPr>
            <w:tcW w:w="1520" w:type="dxa"/>
            <w:noWrap/>
            <w:hideMark/>
          </w:tcPr>
          <w:p w:rsidR="008016EC" w:rsidRPr="00F67F55" w:rsidRDefault="008016EC" w:rsidP="00B51AAB">
            <w:pPr>
              <w:pStyle w:val="DHHStabletext"/>
            </w:pPr>
            <w:r w:rsidRPr="00F67F55">
              <w:t>3</w:t>
            </w:r>
          </w:p>
        </w:tc>
        <w:tc>
          <w:tcPr>
            <w:tcW w:w="1645" w:type="dxa"/>
            <w:noWrap/>
            <w:hideMark/>
          </w:tcPr>
          <w:p w:rsidR="008016EC" w:rsidRPr="00F67F55" w:rsidRDefault="008016EC" w:rsidP="00B51AAB">
            <w:pPr>
              <w:pStyle w:val="DHHStabletext"/>
            </w:pPr>
            <w:r w:rsidRPr="00F67F55">
              <w:t>66,004</w:t>
            </w:r>
          </w:p>
        </w:tc>
        <w:tc>
          <w:tcPr>
            <w:tcW w:w="2378" w:type="dxa"/>
            <w:noWrap/>
            <w:hideMark/>
          </w:tcPr>
          <w:p w:rsidR="008016EC" w:rsidRPr="00F67F55" w:rsidRDefault="008016EC" w:rsidP="00B51AAB">
            <w:pPr>
              <w:pStyle w:val="DHHStabletext"/>
            </w:pPr>
            <w:r w:rsidRPr="00F67F55">
              <w:t>13.6</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1991</w:t>
            </w:r>
          </w:p>
        </w:tc>
        <w:tc>
          <w:tcPr>
            <w:tcW w:w="1244" w:type="dxa"/>
            <w:noWrap/>
            <w:hideMark/>
          </w:tcPr>
          <w:p w:rsidR="008016EC" w:rsidRPr="00F67F55" w:rsidRDefault="008016EC" w:rsidP="00B51AAB">
            <w:pPr>
              <w:pStyle w:val="DHHStabletext"/>
            </w:pPr>
            <w:r w:rsidRPr="00F67F55">
              <w:t>1</w:t>
            </w:r>
          </w:p>
        </w:tc>
        <w:tc>
          <w:tcPr>
            <w:tcW w:w="1520" w:type="dxa"/>
            <w:noWrap/>
            <w:hideMark/>
          </w:tcPr>
          <w:p w:rsidR="008016EC" w:rsidRPr="00F67F55" w:rsidRDefault="008016EC" w:rsidP="00B51AAB">
            <w:pPr>
              <w:pStyle w:val="DHHStabletext"/>
            </w:pPr>
            <w:r w:rsidRPr="00F67F55">
              <w:t>3</w:t>
            </w:r>
          </w:p>
        </w:tc>
        <w:tc>
          <w:tcPr>
            <w:tcW w:w="1645" w:type="dxa"/>
            <w:noWrap/>
            <w:hideMark/>
          </w:tcPr>
          <w:p w:rsidR="008016EC" w:rsidRPr="00F67F55" w:rsidRDefault="008016EC" w:rsidP="00B51AAB">
            <w:pPr>
              <w:pStyle w:val="DHHStabletext"/>
            </w:pPr>
            <w:r w:rsidRPr="00F67F55">
              <w:t>64,338</w:t>
            </w:r>
          </w:p>
        </w:tc>
        <w:tc>
          <w:tcPr>
            <w:tcW w:w="2378" w:type="dxa"/>
            <w:noWrap/>
            <w:hideMark/>
          </w:tcPr>
          <w:p w:rsidR="008016EC" w:rsidRPr="00F67F55" w:rsidRDefault="008016EC" w:rsidP="00B51AAB">
            <w:pPr>
              <w:pStyle w:val="DHHStabletext"/>
            </w:pPr>
            <w:r w:rsidRPr="00F67F55">
              <w:t>6.2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1992</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2</w:t>
            </w:r>
          </w:p>
        </w:tc>
        <w:tc>
          <w:tcPr>
            <w:tcW w:w="1645" w:type="dxa"/>
            <w:noWrap/>
            <w:hideMark/>
          </w:tcPr>
          <w:p w:rsidR="008016EC" w:rsidRPr="00F67F55" w:rsidRDefault="008016EC" w:rsidP="00B51AAB">
            <w:pPr>
              <w:pStyle w:val="DHHStabletext"/>
            </w:pPr>
            <w:r w:rsidRPr="00F67F55">
              <w:t>65,404</w:t>
            </w:r>
          </w:p>
        </w:tc>
        <w:tc>
          <w:tcPr>
            <w:tcW w:w="2378" w:type="dxa"/>
            <w:noWrap/>
            <w:hideMark/>
          </w:tcPr>
          <w:p w:rsidR="008016EC" w:rsidRPr="00F67F55" w:rsidRDefault="008016EC" w:rsidP="00B51AAB">
            <w:pPr>
              <w:pStyle w:val="DHHStabletext"/>
            </w:pPr>
            <w:r w:rsidRPr="00F67F55">
              <w:t>6.1</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1993</w:t>
            </w:r>
          </w:p>
        </w:tc>
        <w:tc>
          <w:tcPr>
            <w:tcW w:w="1244" w:type="dxa"/>
            <w:noWrap/>
            <w:hideMark/>
          </w:tcPr>
          <w:p w:rsidR="008016EC" w:rsidRPr="00F67F55" w:rsidRDefault="008016EC" w:rsidP="00B51AAB">
            <w:pPr>
              <w:pStyle w:val="DHHStabletext"/>
            </w:pPr>
            <w:r w:rsidRPr="00F67F55">
              <w:t>3</w:t>
            </w:r>
          </w:p>
        </w:tc>
        <w:tc>
          <w:tcPr>
            <w:tcW w:w="1520" w:type="dxa"/>
            <w:noWrap/>
            <w:hideMark/>
          </w:tcPr>
          <w:p w:rsidR="008016EC" w:rsidRPr="00F67F55" w:rsidRDefault="008016EC" w:rsidP="00B51AAB">
            <w:pPr>
              <w:pStyle w:val="DHHStabletext"/>
            </w:pPr>
            <w:r w:rsidRPr="00F67F55">
              <w:t>0</w:t>
            </w:r>
          </w:p>
        </w:tc>
        <w:tc>
          <w:tcPr>
            <w:tcW w:w="1645" w:type="dxa"/>
            <w:noWrap/>
            <w:hideMark/>
          </w:tcPr>
          <w:p w:rsidR="008016EC" w:rsidRPr="00F67F55" w:rsidRDefault="008016EC" w:rsidP="00B51AAB">
            <w:pPr>
              <w:pStyle w:val="DHHStabletext"/>
            </w:pPr>
            <w:r w:rsidRPr="00F67F55">
              <w:t>63,795</w:t>
            </w:r>
          </w:p>
        </w:tc>
        <w:tc>
          <w:tcPr>
            <w:tcW w:w="2378" w:type="dxa"/>
            <w:noWrap/>
            <w:hideMark/>
          </w:tcPr>
          <w:p w:rsidR="008016EC" w:rsidRPr="00F67F55" w:rsidRDefault="008016EC" w:rsidP="00B51AAB">
            <w:pPr>
              <w:pStyle w:val="DHHStabletext"/>
            </w:pPr>
            <w:r w:rsidRPr="00F67F55">
              <w:t>4.7</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1994</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3</w:t>
            </w:r>
          </w:p>
        </w:tc>
        <w:tc>
          <w:tcPr>
            <w:tcW w:w="1645" w:type="dxa"/>
            <w:noWrap/>
            <w:hideMark/>
          </w:tcPr>
          <w:p w:rsidR="008016EC" w:rsidRPr="00F67F55" w:rsidRDefault="008016EC" w:rsidP="00B51AAB">
            <w:pPr>
              <w:pStyle w:val="DHHStabletext"/>
            </w:pPr>
            <w:r w:rsidRPr="00F67F55">
              <w:t>63,983</w:t>
            </w:r>
          </w:p>
        </w:tc>
        <w:tc>
          <w:tcPr>
            <w:tcW w:w="2378" w:type="dxa"/>
            <w:noWrap/>
            <w:hideMark/>
          </w:tcPr>
          <w:p w:rsidR="008016EC" w:rsidRPr="00F67F55" w:rsidRDefault="008016EC" w:rsidP="00B51AAB">
            <w:pPr>
              <w:pStyle w:val="DHHStabletext"/>
            </w:pPr>
            <w:r w:rsidRPr="00F67F55">
              <w:t>7.8</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1995</w:t>
            </w:r>
          </w:p>
        </w:tc>
        <w:tc>
          <w:tcPr>
            <w:tcW w:w="1244" w:type="dxa"/>
            <w:noWrap/>
            <w:hideMark/>
          </w:tcPr>
          <w:p w:rsidR="008016EC" w:rsidRPr="00F67F55" w:rsidRDefault="008016EC" w:rsidP="00B51AAB">
            <w:pPr>
              <w:pStyle w:val="DHHStabletext"/>
            </w:pPr>
            <w:r w:rsidRPr="00F67F55">
              <w:t>4</w:t>
            </w:r>
          </w:p>
        </w:tc>
        <w:tc>
          <w:tcPr>
            <w:tcW w:w="1520" w:type="dxa"/>
            <w:noWrap/>
            <w:hideMark/>
          </w:tcPr>
          <w:p w:rsidR="008016EC" w:rsidRPr="00F67F55" w:rsidRDefault="008016EC" w:rsidP="00B51AAB">
            <w:pPr>
              <w:pStyle w:val="DHHStabletext"/>
            </w:pPr>
            <w:r w:rsidRPr="00F67F55">
              <w:t>3</w:t>
            </w:r>
          </w:p>
        </w:tc>
        <w:tc>
          <w:tcPr>
            <w:tcW w:w="1645" w:type="dxa"/>
            <w:noWrap/>
            <w:hideMark/>
          </w:tcPr>
          <w:p w:rsidR="008016EC" w:rsidRPr="00F67F55" w:rsidRDefault="008016EC" w:rsidP="00B51AAB">
            <w:pPr>
              <w:pStyle w:val="DHHStabletext"/>
            </w:pPr>
            <w:r w:rsidRPr="00F67F55">
              <w:t>62,734</w:t>
            </w:r>
          </w:p>
        </w:tc>
        <w:tc>
          <w:tcPr>
            <w:tcW w:w="2378" w:type="dxa"/>
            <w:noWrap/>
            <w:hideMark/>
          </w:tcPr>
          <w:p w:rsidR="008016EC" w:rsidRPr="00F67F55" w:rsidRDefault="008016EC" w:rsidP="00B51AAB">
            <w:pPr>
              <w:pStyle w:val="DHHStabletext"/>
            </w:pPr>
            <w:r w:rsidRPr="00F67F55">
              <w:t>11.2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1996</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0</w:t>
            </w:r>
          </w:p>
        </w:tc>
        <w:tc>
          <w:tcPr>
            <w:tcW w:w="1645" w:type="dxa"/>
            <w:noWrap/>
            <w:hideMark/>
          </w:tcPr>
          <w:p w:rsidR="008016EC" w:rsidRPr="00F67F55" w:rsidRDefault="008016EC" w:rsidP="00B51AAB">
            <w:pPr>
              <w:pStyle w:val="DHHStabletext"/>
            </w:pPr>
            <w:r w:rsidRPr="00F67F55">
              <w:t>62,028</w:t>
            </w:r>
          </w:p>
        </w:tc>
        <w:tc>
          <w:tcPr>
            <w:tcW w:w="2378" w:type="dxa"/>
            <w:noWrap/>
            <w:hideMark/>
          </w:tcPr>
          <w:p w:rsidR="008016EC" w:rsidRPr="00F67F55" w:rsidRDefault="008016EC" w:rsidP="00B51AAB">
            <w:pPr>
              <w:pStyle w:val="DHHStabletext"/>
            </w:pPr>
            <w:r w:rsidRPr="00F67F55">
              <w:t>3.2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1997</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2</w:t>
            </w:r>
          </w:p>
        </w:tc>
        <w:tc>
          <w:tcPr>
            <w:tcW w:w="1645" w:type="dxa"/>
            <w:noWrap/>
            <w:hideMark/>
          </w:tcPr>
          <w:p w:rsidR="008016EC" w:rsidRPr="00F67F55" w:rsidRDefault="008016EC" w:rsidP="00B51AAB">
            <w:pPr>
              <w:pStyle w:val="DHHStabletext"/>
            </w:pPr>
            <w:r w:rsidRPr="00F67F55">
              <w:t>61,312</w:t>
            </w:r>
          </w:p>
        </w:tc>
        <w:tc>
          <w:tcPr>
            <w:tcW w:w="2378" w:type="dxa"/>
            <w:noWrap/>
            <w:hideMark/>
          </w:tcPr>
          <w:p w:rsidR="008016EC" w:rsidRPr="00F67F55" w:rsidRDefault="008016EC" w:rsidP="00B51AAB">
            <w:pPr>
              <w:pStyle w:val="DHHStabletext"/>
            </w:pPr>
            <w:r w:rsidRPr="00F67F55">
              <w:t>6.5</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1998</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1</w:t>
            </w:r>
          </w:p>
        </w:tc>
        <w:tc>
          <w:tcPr>
            <w:tcW w:w="1645" w:type="dxa"/>
            <w:noWrap/>
            <w:hideMark/>
          </w:tcPr>
          <w:p w:rsidR="008016EC" w:rsidRPr="00F67F55" w:rsidRDefault="008016EC" w:rsidP="00B51AAB">
            <w:pPr>
              <w:pStyle w:val="DHHStabletext"/>
            </w:pPr>
            <w:r w:rsidRPr="00F67F55">
              <w:t>61,071</w:t>
            </w:r>
          </w:p>
        </w:tc>
        <w:tc>
          <w:tcPr>
            <w:tcW w:w="2378" w:type="dxa"/>
            <w:noWrap/>
            <w:hideMark/>
          </w:tcPr>
          <w:p w:rsidR="008016EC" w:rsidRPr="00F67F55" w:rsidRDefault="008016EC" w:rsidP="00B51AAB">
            <w:pPr>
              <w:pStyle w:val="DHHStabletext"/>
            </w:pPr>
            <w:r w:rsidRPr="00F67F55">
              <w:t>4.9</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1999</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2</w:t>
            </w:r>
          </w:p>
        </w:tc>
        <w:tc>
          <w:tcPr>
            <w:tcW w:w="1645" w:type="dxa"/>
            <w:noWrap/>
            <w:hideMark/>
          </w:tcPr>
          <w:p w:rsidR="008016EC" w:rsidRPr="00F67F55" w:rsidRDefault="008016EC" w:rsidP="00B51AAB">
            <w:pPr>
              <w:pStyle w:val="DHHStabletext"/>
            </w:pPr>
            <w:r w:rsidRPr="00F67F55">
              <w:t>61,588</w:t>
            </w:r>
          </w:p>
        </w:tc>
        <w:tc>
          <w:tcPr>
            <w:tcW w:w="2378" w:type="dxa"/>
            <w:noWrap/>
            <w:hideMark/>
          </w:tcPr>
          <w:p w:rsidR="008016EC" w:rsidRPr="00F67F55" w:rsidRDefault="008016EC" w:rsidP="00B51AAB">
            <w:pPr>
              <w:pStyle w:val="DHHStabletext"/>
            </w:pPr>
            <w:r w:rsidRPr="00F67F55">
              <w:t>6.5</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2000</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2</w:t>
            </w:r>
          </w:p>
        </w:tc>
        <w:tc>
          <w:tcPr>
            <w:tcW w:w="1645" w:type="dxa"/>
            <w:noWrap/>
            <w:hideMark/>
          </w:tcPr>
          <w:p w:rsidR="008016EC" w:rsidRPr="00F67F55" w:rsidRDefault="008016EC" w:rsidP="00B51AAB">
            <w:pPr>
              <w:pStyle w:val="DHHStabletext"/>
            </w:pPr>
            <w:r w:rsidRPr="00F67F55">
              <w:t>61,571</w:t>
            </w:r>
          </w:p>
        </w:tc>
        <w:tc>
          <w:tcPr>
            <w:tcW w:w="2378" w:type="dxa"/>
            <w:noWrap/>
            <w:hideMark/>
          </w:tcPr>
          <w:p w:rsidR="008016EC" w:rsidRPr="00F67F55" w:rsidRDefault="008016EC" w:rsidP="00B51AAB">
            <w:pPr>
              <w:pStyle w:val="DHHStabletext"/>
            </w:pPr>
            <w:r w:rsidRPr="00F67F55">
              <w:t>6.5</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2001</w:t>
            </w:r>
          </w:p>
        </w:tc>
        <w:tc>
          <w:tcPr>
            <w:tcW w:w="1244" w:type="dxa"/>
            <w:noWrap/>
            <w:hideMark/>
          </w:tcPr>
          <w:p w:rsidR="008016EC" w:rsidRPr="00F67F55" w:rsidRDefault="008016EC" w:rsidP="00B51AAB">
            <w:pPr>
              <w:pStyle w:val="DHHStabletext"/>
            </w:pPr>
            <w:r w:rsidRPr="00F67F55">
              <w:t>1</w:t>
            </w:r>
          </w:p>
        </w:tc>
        <w:tc>
          <w:tcPr>
            <w:tcW w:w="1520" w:type="dxa"/>
            <w:noWrap/>
            <w:hideMark/>
          </w:tcPr>
          <w:p w:rsidR="008016EC" w:rsidRPr="00F67F55" w:rsidRDefault="008016EC" w:rsidP="00B51AAB">
            <w:pPr>
              <w:pStyle w:val="DHHStabletext"/>
            </w:pPr>
            <w:r w:rsidRPr="00F67F55">
              <w:t>4</w:t>
            </w:r>
          </w:p>
        </w:tc>
        <w:tc>
          <w:tcPr>
            <w:tcW w:w="1645" w:type="dxa"/>
            <w:noWrap/>
            <w:hideMark/>
          </w:tcPr>
          <w:p w:rsidR="008016EC" w:rsidRPr="00F67F55" w:rsidRDefault="008016EC" w:rsidP="00B51AAB">
            <w:pPr>
              <w:pStyle w:val="DHHStabletext"/>
            </w:pPr>
            <w:r w:rsidRPr="00F67F55">
              <w:t>61,108</w:t>
            </w:r>
          </w:p>
        </w:tc>
        <w:tc>
          <w:tcPr>
            <w:tcW w:w="2378" w:type="dxa"/>
            <w:noWrap/>
            <w:hideMark/>
          </w:tcPr>
          <w:p w:rsidR="008016EC" w:rsidRPr="00F67F55" w:rsidRDefault="008016EC" w:rsidP="00B51AAB">
            <w:pPr>
              <w:pStyle w:val="DHHStabletext"/>
            </w:pPr>
            <w:r w:rsidRPr="00F67F55">
              <w:t>8.2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2002</w:t>
            </w:r>
          </w:p>
        </w:tc>
        <w:tc>
          <w:tcPr>
            <w:tcW w:w="1244" w:type="dxa"/>
            <w:noWrap/>
            <w:hideMark/>
          </w:tcPr>
          <w:p w:rsidR="008016EC" w:rsidRPr="00F67F55" w:rsidRDefault="008016EC" w:rsidP="00B51AAB">
            <w:pPr>
              <w:pStyle w:val="DHHStabletext"/>
            </w:pPr>
            <w:r w:rsidRPr="00F67F55">
              <w:t>5</w:t>
            </w:r>
          </w:p>
        </w:tc>
        <w:tc>
          <w:tcPr>
            <w:tcW w:w="1520" w:type="dxa"/>
            <w:noWrap/>
            <w:hideMark/>
          </w:tcPr>
          <w:p w:rsidR="008016EC" w:rsidRPr="00F67F55" w:rsidRDefault="008016EC" w:rsidP="00B51AAB">
            <w:pPr>
              <w:pStyle w:val="DHHStabletext"/>
            </w:pPr>
            <w:r w:rsidRPr="00F67F55">
              <w:t>2</w:t>
            </w:r>
          </w:p>
        </w:tc>
        <w:tc>
          <w:tcPr>
            <w:tcW w:w="1645" w:type="dxa"/>
            <w:noWrap/>
            <w:hideMark/>
          </w:tcPr>
          <w:p w:rsidR="008016EC" w:rsidRPr="00F67F55" w:rsidRDefault="008016EC" w:rsidP="00B51AAB">
            <w:pPr>
              <w:pStyle w:val="DHHStabletext"/>
            </w:pPr>
            <w:r w:rsidRPr="00F67F55">
              <w:t>62,023</w:t>
            </w:r>
          </w:p>
        </w:tc>
        <w:tc>
          <w:tcPr>
            <w:tcW w:w="2378" w:type="dxa"/>
            <w:noWrap/>
            <w:hideMark/>
          </w:tcPr>
          <w:p w:rsidR="008016EC" w:rsidRPr="00F67F55" w:rsidRDefault="008016EC" w:rsidP="00B51AAB">
            <w:pPr>
              <w:pStyle w:val="DHHStabletext"/>
            </w:pPr>
            <w:r w:rsidRPr="00F67F55">
              <w:t>11.3</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2003</w:t>
            </w:r>
          </w:p>
        </w:tc>
        <w:tc>
          <w:tcPr>
            <w:tcW w:w="1244" w:type="dxa"/>
            <w:noWrap/>
            <w:hideMark/>
          </w:tcPr>
          <w:p w:rsidR="008016EC" w:rsidRPr="00F67F55" w:rsidRDefault="008016EC" w:rsidP="00B51AAB">
            <w:pPr>
              <w:pStyle w:val="DHHStabletext"/>
            </w:pPr>
            <w:r w:rsidRPr="00F67F55">
              <w:t>0</w:t>
            </w:r>
          </w:p>
        </w:tc>
        <w:tc>
          <w:tcPr>
            <w:tcW w:w="1520" w:type="dxa"/>
            <w:noWrap/>
            <w:hideMark/>
          </w:tcPr>
          <w:p w:rsidR="008016EC" w:rsidRPr="00F67F55" w:rsidRDefault="008016EC" w:rsidP="00B51AAB">
            <w:pPr>
              <w:pStyle w:val="DHHStabletext"/>
            </w:pPr>
            <w:r w:rsidRPr="00F67F55">
              <w:t>3</w:t>
            </w:r>
          </w:p>
        </w:tc>
        <w:tc>
          <w:tcPr>
            <w:tcW w:w="1645" w:type="dxa"/>
            <w:noWrap/>
            <w:hideMark/>
          </w:tcPr>
          <w:p w:rsidR="008016EC" w:rsidRPr="00F67F55" w:rsidRDefault="008016EC" w:rsidP="00B51AAB">
            <w:pPr>
              <w:pStyle w:val="DHHStabletext"/>
            </w:pPr>
            <w:r w:rsidRPr="00F67F55">
              <w:t>62,403</w:t>
            </w:r>
          </w:p>
        </w:tc>
        <w:tc>
          <w:tcPr>
            <w:tcW w:w="2378" w:type="dxa"/>
            <w:noWrap/>
            <w:hideMark/>
          </w:tcPr>
          <w:p w:rsidR="008016EC" w:rsidRPr="00F67F55" w:rsidRDefault="008016EC" w:rsidP="00B51AAB">
            <w:pPr>
              <w:pStyle w:val="DHHStabletext"/>
            </w:pPr>
            <w:r w:rsidRPr="00F67F55">
              <w:t>4.8</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2004</w:t>
            </w:r>
          </w:p>
        </w:tc>
        <w:tc>
          <w:tcPr>
            <w:tcW w:w="1244" w:type="dxa"/>
            <w:noWrap/>
            <w:hideMark/>
          </w:tcPr>
          <w:p w:rsidR="008016EC" w:rsidRPr="00F67F55" w:rsidRDefault="008016EC" w:rsidP="00B51AAB">
            <w:pPr>
              <w:pStyle w:val="DHHStabletext"/>
            </w:pPr>
            <w:r w:rsidRPr="00F67F55">
              <w:t>4</w:t>
            </w:r>
          </w:p>
        </w:tc>
        <w:tc>
          <w:tcPr>
            <w:tcW w:w="1520" w:type="dxa"/>
            <w:noWrap/>
            <w:hideMark/>
          </w:tcPr>
          <w:p w:rsidR="008016EC" w:rsidRPr="00F67F55" w:rsidRDefault="008016EC" w:rsidP="00B51AAB">
            <w:pPr>
              <w:pStyle w:val="DHHStabletext"/>
            </w:pPr>
            <w:r w:rsidRPr="00F67F55">
              <w:t>8</w:t>
            </w:r>
          </w:p>
        </w:tc>
        <w:tc>
          <w:tcPr>
            <w:tcW w:w="1645" w:type="dxa"/>
            <w:noWrap/>
            <w:hideMark/>
          </w:tcPr>
          <w:p w:rsidR="008016EC" w:rsidRPr="00F67F55" w:rsidRDefault="008016EC" w:rsidP="00B51AAB">
            <w:pPr>
              <w:pStyle w:val="DHHStabletext"/>
            </w:pPr>
            <w:r w:rsidRPr="00F67F55">
              <w:t>62,543</w:t>
            </w:r>
          </w:p>
        </w:tc>
        <w:tc>
          <w:tcPr>
            <w:tcW w:w="2378" w:type="dxa"/>
            <w:noWrap/>
            <w:hideMark/>
          </w:tcPr>
          <w:p w:rsidR="008016EC" w:rsidRPr="00F67F55" w:rsidRDefault="008016EC" w:rsidP="00B51AAB">
            <w:pPr>
              <w:pStyle w:val="DHHStabletext"/>
            </w:pPr>
            <w:r w:rsidRPr="00F67F55">
              <w:t>19.2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2005</w:t>
            </w:r>
          </w:p>
        </w:tc>
        <w:tc>
          <w:tcPr>
            <w:tcW w:w="1244" w:type="dxa"/>
            <w:noWrap/>
            <w:hideMark/>
          </w:tcPr>
          <w:p w:rsidR="008016EC" w:rsidRPr="00F67F55" w:rsidRDefault="008016EC" w:rsidP="00B51AAB">
            <w:pPr>
              <w:pStyle w:val="DHHStabletext"/>
            </w:pPr>
            <w:r w:rsidRPr="00F67F55">
              <w:t>3</w:t>
            </w:r>
          </w:p>
        </w:tc>
        <w:tc>
          <w:tcPr>
            <w:tcW w:w="1520" w:type="dxa"/>
            <w:noWrap/>
            <w:hideMark/>
          </w:tcPr>
          <w:p w:rsidR="008016EC" w:rsidRPr="00F67F55" w:rsidRDefault="008016EC" w:rsidP="00B51AAB">
            <w:pPr>
              <w:pStyle w:val="DHHStabletext"/>
            </w:pPr>
            <w:r w:rsidRPr="00F67F55">
              <w:t>4</w:t>
            </w:r>
          </w:p>
        </w:tc>
        <w:tc>
          <w:tcPr>
            <w:tcW w:w="1645" w:type="dxa"/>
            <w:noWrap/>
            <w:hideMark/>
          </w:tcPr>
          <w:p w:rsidR="008016EC" w:rsidRPr="00F67F55" w:rsidRDefault="008016EC" w:rsidP="00B51AAB">
            <w:pPr>
              <w:pStyle w:val="DHHStabletext"/>
            </w:pPr>
            <w:r w:rsidRPr="00F67F55">
              <w:t>65,429</w:t>
            </w:r>
          </w:p>
        </w:tc>
        <w:tc>
          <w:tcPr>
            <w:tcW w:w="2378" w:type="dxa"/>
            <w:noWrap/>
            <w:hideMark/>
          </w:tcPr>
          <w:p w:rsidR="008016EC" w:rsidRPr="00F67F55" w:rsidRDefault="008016EC" w:rsidP="00B51AAB">
            <w:pPr>
              <w:pStyle w:val="DHHStabletext"/>
            </w:pPr>
            <w:r w:rsidRPr="00F67F55">
              <w:t>10.7</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2006</w:t>
            </w:r>
          </w:p>
        </w:tc>
        <w:tc>
          <w:tcPr>
            <w:tcW w:w="1244" w:type="dxa"/>
            <w:noWrap/>
            <w:hideMark/>
          </w:tcPr>
          <w:p w:rsidR="008016EC" w:rsidRPr="00F67F55" w:rsidRDefault="008016EC" w:rsidP="00B51AAB">
            <w:pPr>
              <w:pStyle w:val="DHHStabletext"/>
            </w:pPr>
            <w:r w:rsidRPr="00F67F55">
              <w:t>1</w:t>
            </w:r>
          </w:p>
        </w:tc>
        <w:tc>
          <w:tcPr>
            <w:tcW w:w="1520" w:type="dxa"/>
            <w:noWrap/>
            <w:hideMark/>
          </w:tcPr>
          <w:p w:rsidR="008016EC" w:rsidRPr="00F67F55" w:rsidRDefault="008016EC" w:rsidP="00B51AAB">
            <w:pPr>
              <w:pStyle w:val="DHHStabletext"/>
            </w:pPr>
            <w:r w:rsidRPr="00F67F55">
              <w:t>6</w:t>
            </w:r>
          </w:p>
        </w:tc>
        <w:tc>
          <w:tcPr>
            <w:tcW w:w="1645" w:type="dxa"/>
            <w:noWrap/>
            <w:hideMark/>
          </w:tcPr>
          <w:p w:rsidR="008016EC" w:rsidRPr="00F67F55" w:rsidRDefault="008016EC" w:rsidP="00B51AAB">
            <w:pPr>
              <w:pStyle w:val="DHHStabletext"/>
            </w:pPr>
            <w:r w:rsidRPr="00F67F55">
              <w:t>68,547</w:t>
            </w:r>
          </w:p>
        </w:tc>
        <w:tc>
          <w:tcPr>
            <w:tcW w:w="2378" w:type="dxa"/>
            <w:noWrap/>
            <w:hideMark/>
          </w:tcPr>
          <w:p w:rsidR="008016EC" w:rsidRPr="00F67F55" w:rsidRDefault="008016EC" w:rsidP="00B51AAB">
            <w:pPr>
              <w:pStyle w:val="DHHStabletext"/>
            </w:pPr>
            <w:r w:rsidRPr="00F67F55">
              <w:t>10.2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2007</w:t>
            </w:r>
          </w:p>
        </w:tc>
        <w:tc>
          <w:tcPr>
            <w:tcW w:w="1244" w:type="dxa"/>
            <w:noWrap/>
            <w:hideMark/>
          </w:tcPr>
          <w:p w:rsidR="008016EC" w:rsidRPr="00F67F55" w:rsidRDefault="008016EC" w:rsidP="00B51AAB">
            <w:pPr>
              <w:pStyle w:val="DHHStabletext"/>
            </w:pPr>
            <w:r w:rsidRPr="00F67F55">
              <w:t>1</w:t>
            </w:r>
          </w:p>
        </w:tc>
        <w:tc>
          <w:tcPr>
            <w:tcW w:w="1520" w:type="dxa"/>
            <w:noWrap/>
            <w:hideMark/>
          </w:tcPr>
          <w:p w:rsidR="008016EC" w:rsidRPr="00F67F55" w:rsidRDefault="008016EC" w:rsidP="00B51AAB">
            <w:pPr>
              <w:pStyle w:val="DHHStabletext"/>
            </w:pPr>
            <w:r w:rsidRPr="00F67F55">
              <w:t>9</w:t>
            </w:r>
          </w:p>
        </w:tc>
        <w:tc>
          <w:tcPr>
            <w:tcW w:w="1645" w:type="dxa"/>
            <w:noWrap/>
            <w:hideMark/>
          </w:tcPr>
          <w:p w:rsidR="008016EC" w:rsidRPr="00F67F55" w:rsidRDefault="008016EC" w:rsidP="00B51AAB">
            <w:pPr>
              <w:pStyle w:val="DHHStabletext"/>
            </w:pPr>
            <w:r w:rsidRPr="00F67F55">
              <w:t>71,190</w:t>
            </w:r>
          </w:p>
        </w:tc>
        <w:tc>
          <w:tcPr>
            <w:tcW w:w="2378" w:type="dxa"/>
            <w:noWrap/>
            <w:hideMark/>
          </w:tcPr>
          <w:p w:rsidR="008016EC" w:rsidRPr="00F67F55" w:rsidRDefault="008016EC" w:rsidP="00B51AAB">
            <w:pPr>
              <w:pStyle w:val="DHHStabletext"/>
            </w:pPr>
            <w:r w:rsidRPr="00F67F55">
              <w:t>14.0</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2008</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1</w:t>
            </w:r>
          </w:p>
        </w:tc>
        <w:tc>
          <w:tcPr>
            <w:tcW w:w="1645" w:type="dxa"/>
            <w:noWrap/>
            <w:hideMark/>
          </w:tcPr>
          <w:p w:rsidR="008016EC" w:rsidRPr="00F67F55" w:rsidRDefault="008016EC" w:rsidP="00B51AAB">
            <w:pPr>
              <w:pStyle w:val="DHHStabletext"/>
            </w:pPr>
            <w:r w:rsidRPr="00F67F55">
              <w:t>71,323</w:t>
            </w:r>
          </w:p>
        </w:tc>
        <w:tc>
          <w:tcPr>
            <w:tcW w:w="2378" w:type="dxa"/>
            <w:noWrap/>
            <w:hideMark/>
          </w:tcPr>
          <w:p w:rsidR="008016EC" w:rsidRPr="00F67F55" w:rsidRDefault="008016EC" w:rsidP="00B51AAB">
            <w:pPr>
              <w:pStyle w:val="DHHStabletext"/>
            </w:pPr>
            <w:r w:rsidRPr="00F67F55">
              <w:t>4.2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2009</w:t>
            </w:r>
          </w:p>
        </w:tc>
        <w:tc>
          <w:tcPr>
            <w:tcW w:w="1244" w:type="dxa"/>
            <w:noWrap/>
            <w:hideMark/>
          </w:tcPr>
          <w:p w:rsidR="008016EC" w:rsidRPr="00F67F55" w:rsidRDefault="008016EC" w:rsidP="00B51AAB">
            <w:pPr>
              <w:pStyle w:val="DHHStabletext"/>
            </w:pPr>
            <w:r w:rsidRPr="00F67F55">
              <w:t>1</w:t>
            </w:r>
          </w:p>
        </w:tc>
        <w:tc>
          <w:tcPr>
            <w:tcW w:w="1520" w:type="dxa"/>
            <w:noWrap/>
            <w:hideMark/>
          </w:tcPr>
          <w:p w:rsidR="008016EC" w:rsidRPr="00F67F55" w:rsidRDefault="008016EC" w:rsidP="00B51AAB">
            <w:pPr>
              <w:pStyle w:val="DHHStabletext"/>
            </w:pPr>
            <w:r w:rsidRPr="00F67F55">
              <w:t>4</w:t>
            </w:r>
          </w:p>
        </w:tc>
        <w:tc>
          <w:tcPr>
            <w:tcW w:w="1645" w:type="dxa"/>
            <w:noWrap/>
            <w:hideMark/>
          </w:tcPr>
          <w:p w:rsidR="008016EC" w:rsidRPr="00F67F55" w:rsidRDefault="008016EC" w:rsidP="00B51AAB">
            <w:pPr>
              <w:pStyle w:val="DHHStabletext"/>
            </w:pPr>
            <w:r w:rsidRPr="00F67F55">
              <w:t>71,986</w:t>
            </w:r>
          </w:p>
        </w:tc>
        <w:tc>
          <w:tcPr>
            <w:tcW w:w="2378" w:type="dxa"/>
            <w:noWrap/>
            <w:hideMark/>
          </w:tcPr>
          <w:p w:rsidR="008016EC" w:rsidRPr="00F67F55" w:rsidRDefault="008016EC" w:rsidP="00B51AAB">
            <w:pPr>
              <w:pStyle w:val="DHHStabletext"/>
            </w:pPr>
            <w:r w:rsidRPr="00F67F55">
              <w:t>6.9</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2010</w:t>
            </w:r>
          </w:p>
        </w:tc>
        <w:tc>
          <w:tcPr>
            <w:tcW w:w="1244" w:type="dxa"/>
            <w:noWrap/>
            <w:hideMark/>
          </w:tcPr>
          <w:p w:rsidR="008016EC" w:rsidRPr="00F67F55" w:rsidRDefault="008016EC" w:rsidP="00B51AAB">
            <w:pPr>
              <w:pStyle w:val="DHHStabletext"/>
            </w:pPr>
            <w:r w:rsidRPr="00F67F55">
              <w:t>3</w:t>
            </w:r>
          </w:p>
        </w:tc>
        <w:tc>
          <w:tcPr>
            <w:tcW w:w="1520" w:type="dxa"/>
            <w:noWrap/>
            <w:hideMark/>
          </w:tcPr>
          <w:p w:rsidR="008016EC" w:rsidRPr="00F67F55" w:rsidRDefault="008016EC" w:rsidP="00B51AAB">
            <w:pPr>
              <w:pStyle w:val="DHHStabletext"/>
            </w:pPr>
            <w:r w:rsidRPr="00F67F55">
              <w:t>3</w:t>
            </w:r>
          </w:p>
        </w:tc>
        <w:tc>
          <w:tcPr>
            <w:tcW w:w="1645" w:type="dxa"/>
            <w:noWrap/>
            <w:hideMark/>
          </w:tcPr>
          <w:p w:rsidR="008016EC" w:rsidRPr="00F67F55" w:rsidRDefault="008016EC" w:rsidP="00B51AAB">
            <w:pPr>
              <w:pStyle w:val="DHHStabletext"/>
            </w:pPr>
            <w:r w:rsidRPr="00F67F55">
              <w:t>73,302</w:t>
            </w:r>
          </w:p>
        </w:tc>
        <w:tc>
          <w:tcPr>
            <w:tcW w:w="2378" w:type="dxa"/>
            <w:noWrap/>
            <w:hideMark/>
          </w:tcPr>
          <w:p w:rsidR="008016EC" w:rsidRPr="00F67F55" w:rsidRDefault="008016EC" w:rsidP="00B51AAB">
            <w:pPr>
              <w:pStyle w:val="DHHStabletext"/>
            </w:pPr>
            <w:r w:rsidRPr="00F67F55">
              <w:t>8.2</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2011</w:t>
            </w:r>
          </w:p>
        </w:tc>
        <w:tc>
          <w:tcPr>
            <w:tcW w:w="1244" w:type="dxa"/>
            <w:noWrap/>
            <w:hideMark/>
          </w:tcPr>
          <w:p w:rsidR="008016EC" w:rsidRPr="00F67F55" w:rsidRDefault="008016EC" w:rsidP="00B51AAB">
            <w:pPr>
              <w:pStyle w:val="DHHStabletext"/>
            </w:pPr>
            <w:r w:rsidRPr="00F67F55">
              <w:t>3</w:t>
            </w:r>
          </w:p>
        </w:tc>
        <w:tc>
          <w:tcPr>
            <w:tcW w:w="1520" w:type="dxa"/>
            <w:noWrap/>
            <w:hideMark/>
          </w:tcPr>
          <w:p w:rsidR="008016EC" w:rsidRPr="00F67F55" w:rsidRDefault="008016EC" w:rsidP="00B51AAB">
            <w:pPr>
              <w:pStyle w:val="DHHStabletext"/>
            </w:pPr>
            <w:r w:rsidRPr="00F67F55">
              <w:t>4</w:t>
            </w:r>
          </w:p>
        </w:tc>
        <w:tc>
          <w:tcPr>
            <w:tcW w:w="1645" w:type="dxa"/>
            <w:noWrap/>
            <w:hideMark/>
          </w:tcPr>
          <w:p w:rsidR="008016EC" w:rsidRPr="00F67F55" w:rsidRDefault="008016EC" w:rsidP="00B51AAB">
            <w:pPr>
              <w:pStyle w:val="DHHStabletext"/>
            </w:pPr>
            <w:r w:rsidRPr="00F67F55">
              <w:t>72,951</w:t>
            </w:r>
          </w:p>
        </w:tc>
        <w:tc>
          <w:tcPr>
            <w:tcW w:w="2378" w:type="dxa"/>
            <w:noWrap/>
            <w:hideMark/>
          </w:tcPr>
          <w:p w:rsidR="008016EC" w:rsidRPr="00F67F55" w:rsidRDefault="008016EC" w:rsidP="00B51AAB">
            <w:pPr>
              <w:pStyle w:val="DHHStabletext"/>
            </w:pPr>
            <w:r w:rsidRPr="00F67F55">
              <w:t>9.6</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2012</w:t>
            </w:r>
          </w:p>
        </w:tc>
        <w:tc>
          <w:tcPr>
            <w:tcW w:w="1244" w:type="dxa"/>
            <w:noWrap/>
            <w:hideMark/>
          </w:tcPr>
          <w:p w:rsidR="008016EC" w:rsidRPr="00F67F55" w:rsidRDefault="008016EC" w:rsidP="00B51AAB">
            <w:pPr>
              <w:pStyle w:val="DHHStabletext"/>
            </w:pPr>
            <w:r w:rsidRPr="00F67F55">
              <w:t>4</w:t>
            </w:r>
          </w:p>
        </w:tc>
        <w:tc>
          <w:tcPr>
            <w:tcW w:w="1520" w:type="dxa"/>
            <w:noWrap/>
            <w:hideMark/>
          </w:tcPr>
          <w:p w:rsidR="008016EC" w:rsidRPr="00F67F55" w:rsidRDefault="008016EC" w:rsidP="00B51AAB">
            <w:pPr>
              <w:pStyle w:val="DHHStabletext"/>
            </w:pPr>
            <w:r w:rsidRPr="00F67F55">
              <w:t>6</w:t>
            </w:r>
          </w:p>
        </w:tc>
        <w:tc>
          <w:tcPr>
            <w:tcW w:w="1645" w:type="dxa"/>
            <w:noWrap/>
            <w:hideMark/>
          </w:tcPr>
          <w:p w:rsidR="008016EC" w:rsidRPr="00F67F55" w:rsidRDefault="008016EC" w:rsidP="00B51AAB">
            <w:pPr>
              <w:pStyle w:val="DHHStabletext"/>
            </w:pPr>
            <w:r w:rsidRPr="00F67F55">
              <w:t>77,183</w:t>
            </w:r>
          </w:p>
        </w:tc>
        <w:tc>
          <w:tcPr>
            <w:tcW w:w="2378" w:type="dxa"/>
            <w:noWrap/>
            <w:hideMark/>
          </w:tcPr>
          <w:p w:rsidR="008016EC" w:rsidRPr="00F67F55" w:rsidRDefault="008016EC" w:rsidP="00B51AAB">
            <w:pPr>
              <w:pStyle w:val="DHHStabletext"/>
            </w:pPr>
            <w:r w:rsidRPr="00F67F55">
              <w:t>13.0</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2013</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5</w:t>
            </w:r>
          </w:p>
        </w:tc>
        <w:tc>
          <w:tcPr>
            <w:tcW w:w="1645" w:type="dxa"/>
            <w:noWrap/>
            <w:hideMark/>
          </w:tcPr>
          <w:p w:rsidR="008016EC" w:rsidRPr="00F67F55" w:rsidRDefault="008016EC" w:rsidP="00B51AAB">
            <w:pPr>
              <w:pStyle w:val="DHHStabletext"/>
            </w:pPr>
            <w:r w:rsidRPr="00F67F55">
              <w:t>77,130</w:t>
            </w:r>
          </w:p>
        </w:tc>
        <w:tc>
          <w:tcPr>
            <w:tcW w:w="2378" w:type="dxa"/>
            <w:noWrap/>
            <w:hideMark/>
          </w:tcPr>
          <w:p w:rsidR="008016EC" w:rsidRPr="00F67F55" w:rsidRDefault="008016EC" w:rsidP="00B51AAB">
            <w:pPr>
              <w:pStyle w:val="DHHStabletext"/>
            </w:pPr>
            <w:r w:rsidRPr="00F67F55">
              <w:t>9.1</w:t>
            </w:r>
          </w:p>
        </w:tc>
      </w:tr>
      <w:tr w:rsidR="008016EC" w:rsidRPr="00F67F55" w:rsidTr="00B51AAB">
        <w:trPr>
          <w:trHeight w:val="300"/>
          <w:jc w:val="center"/>
        </w:trPr>
        <w:tc>
          <w:tcPr>
            <w:tcW w:w="1040" w:type="dxa"/>
            <w:noWrap/>
            <w:hideMark/>
          </w:tcPr>
          <w:p w:rsidR="008016EC" w:rsidRPr="00F67F55" w:rsidRDefault="008016EC" w:rsidP="00B51AAB">
            <w:pPr>
              <w:pStyle w:val="DHHStabletext"/>
            </w:pPr>
            <w:r w:rsidRPr="00F67F55">
              <w:t>2014</w:t>
            </w:r>
          </w:p>
        </w:tc>
        <w:tc>
          <w:tcPr>
            <w:tcW w:w="1244" w:type="dxa"/>
            <w:noWrap/>
            <w:hideMark/>
          </w:tcPr>
          <w:p w:rsidR="008016EC" w:rsidRPr="00F67F55" w:rsidRDefault="008016EC" w:rsidP="00B51AAB">
            <w:pPr>
              <w:pStyle w:val="DHHStabletext"/>
            </w:pPr>
            <w:r w:rsidRPr="00F67F55">
              <w:t>2</w:t>
            </w:r>
          </w:p>
        </w:tc>
        <w:tc>
          <w:tcPr>
            <w:tcW w:w="1520" w:type="dxa"/>
            <w:noWrap/>
            <w:hideMark/>
          </w:tcPr>
          <w:p w:rsidR="008016EC" w:rsidRPr="00F67F55" w:rsidRDefault="008016EC" w:rsidP="00B51AAB">
            <w:pPr>
              <w:pStyle w:val="DHHStabletext"/>
            </w:pPr>
            <w:r w:rsidRPr="00F67F55">
              <w:t>4</w:t>
            </w:r>
          </w:p>
        </w:tc>
        <w:tc>
          <w:tcPr>
            <w:tcW w:w="1645" w:type="dxa"/>
            <w:noWrap/>
            <w:hideMark/>
          </w:tcPr>
          <w:p w:rsidR="008016EC" w:rsidRPr="00F67F55" w:rsidRDefault="008016EC" w:rsidP="00B51AAB">
            <w:pPr>
              <w:pStyle w:val="DHHStabletext"/>
            </w:pPr>
            <w:r w:rsidRPr="00F67F55">
              <w:t>77,930</w:t>
            </w:r>
          </w:p>
        </w:tc>
        <w:tc>
          <w:tcPr>
            <w:tcW w:w="2378" w:type="dxa"/>
            <w:noWrap/>
            <w:hideMark/>
          </w:tcPr>
          <w:p w:rsidR="008016EC" w:rsidRPr="00F67F55" w:rsidRDefault="008016EC" w:rsidP="00B51AAB">
            <w:pPr>
              <w:pStyle w:val="DHHStabletext"/>
            </w:pPr>
            <w:r w:rsidRPr="00F67F55">
              <w:t>7.7</w:t>
            </w:r>
          </w:p>
        </w:tc>
      </w:tr>
      <w:tr w:rsidR="008016EC" w:rsidRPr="00F67F55" w:rsidTr="00B51AAB">
        <w:trPr>
          <w:trHeight w:val="345"/>
          <w:jc w:val="center"/>
        </w:trPr>
        <w:tc>
          <w:tcPr>
            <w:tcW w:w="1040" w:type="dxa"/>
            <w:tcBorders>
              <w:bottom w:val="single" w:sz="4" w:space="0" w:color="auto"/>
            </w:tcBorders>
            <w:noWrap/>
            <w:hideMark/>
          </w:tcPr>
          <w:p w:rsidR="008016EC" w:rsidRPr="00F67F55" w:rsidRDefault="008016EC" w:rsidP="00B51AAB">
            <w:pPr>
              <w:pStyle w:val="DHHStabletext"/>
            </w:pPr>
            <w:r>
              <w:t xml:space="preserve">  </w:t>
            </w:r>
            <w:r w:rsidRPr="00F67F55">
              <w:t>2015</w:t>
            </w:r>
            <w:r w:rsidRPr="00F67F55">
              <w:rPr>
                <w:vertAlign w:val="superscript"/>
              </w:rPr>
              <w:t xml:space="preserve"> </w:t>
            </w:r>
            <w:r w:rsidRPr="00CB18B5">
              <w:rPr>
                <w:sz w:val="24"/>
                <w:szCs w:val="24"/>
                <w:vertAlign w:val="superscript"/>
              </w:rPr>
              <w:t>c</w:t>
            </w:r>
          </w:p>
        </w:tc>
        <w:tc>
          <w:tcPr>
            <w:tcW w:w="1244" w:type="dxa"/>
            <w:tcBorders>
              <w:bottom w:val="single" w:sz="4" w:space="0" w:color="auto"/>
            </w:tcBorders>
            <w:noWrap/>
            <w:hideMark/>
          </w:tcPr>
          <w:p w:rsidR="008016EC" w:rsidRPr="00F67F55" w:rsidRDefault="008016EC" w:rsidP="00B51AAB">
            <w:pPr>
              <w:pStyle w:val="DHHStabletext"/>
            </w:pPr>
            <w:r w:rsidRPr="00F67F55">
              <w:t>1</w:t>
            </w:r>
          </w:p>
        </w:tc>
        <w:tc>
          <w:tcPr>
            <w:tcW w:w="1520" w:type="dxa"/>
            <w:tcBorders>
              <w:bottom w:val="single" w:sz="4" w:space="0" w:color="auto"/>
            </w:tcBorders>
            <w:noWrap/>
            <w:hideMark/>
          </w:tcPr>
          <w:p w:rsidR="008016EC" w:rsidRPr="00F67F55" w:rsidRDefault="008016EC" w:rsidP="00B51AAB">
            <w:pPr>
              <w:pStyle w:val="DHHStabletext"/>
            </w:pPr>
            <w:r w:rsidRPr="00F67F55">
              <w:t>3</w:t>
            </w:r>
          </w:p>
        </w:tc>
        <w:tc>
          <w:tcPr>
            <w:tcW w:w="1645" w:type="dxa"/>
            <w:tcBorders>
              <w:bottom w:val="single" w:sz="4" w:space="0" w:color="auto"/>
            </w:tcBorders>
            <w:noWrap/>
            <w:hideMark/>
          </w:tcPr>
          <w:p w:rsidR="008016EC" w:rsidRPr="00F67F55" w:rsidRDefault="008016EC" w:rsidP="00B51AAB">
            <w:pPr>
              <w:pStyle w:val="DHHStabletext"/>
            </w:pPr>
            <w:r w:rsidRPr="00F67F55">
              <w:t>78,147</w:t>
            </w:r>
          </w:p>
        </w:tc>
        <w:tc>
          <w:tcPr>
            <w:tcW w:w="2378" w:type="dxa"/>
            <w:tcBorders>
              <w:bottom w:val="single" w:sz="4" w:space="0" w:color="auto"/>
            </w:tcBorders>
            <w:noWrap/>
            <w:hideMark/>
          </w:tcPr>
          <w:p w:rsidR="008016EC" w:rsidRPr="00F67F55" w:rsidRDefault="008016EC" w:rsidP="00B51AAB">
            <w:pPr>
              <w:pStyle w:val="DHHStabletext"/>
            </w:pPr>
            <w:r w:rsidRPr="00F67F55">
              <w:t>5.1</w:t>
            </w:r>
          </w:p>
        </w:tc>
      </w:tr>
      <w:tr w:rsidR="008016EC" w:rsidRPr="00F67F55" w:rsidTr="00B51AAB">
        <w:trPr>
          <w:trHeight w:val="300"/>
          <w:jc w:val="center"/>
        </w:trPr>
        <w:tc>
          <w:tcPr>
            <w:tcW w:w="1040" w:type="dxa"/>
            <w:tcBorders>
              <w:top w:val="single" w:sz="4" w:space="0" w:color="auto"/>
              <w:bottom w:val="single" w:sz="4" w:space="0" w:color="auto"/>
            </w:tcBorders>
            <w:noWrap/>
            <w:hideMark/>
          </w:tcPr>
          <w:p w:rsidR="008016EC" w:rsidRPr="00F67F55" w:rsidRDefault="008016EC" w:rsidP="00B51AAB">
            <w:pPr>
              <w:pStyle w:val="DHHStabletext"/>
            </w:pPr>
            <w:r w:rsidRPr="00F67F55">
              <w:t>2016</w:t>
            </w:r>
          </w:p>
        </w:tc>
        <w:tc>
          <w:tcPr>
            <w:tcW w:w="1244" w:type="dxa"/>
            <w:tcBorders>
              <w:top w:val="single" w:sz="4" w:space="0" w:color="auto"/>
              <w:bottom w:val="single" w:sz="4" w:space="0" w:color="auto"/>
            </w:tcBorders>
            <w:noWrap/>
            <w:hideMark/>
          </w:tcPr>
          <w:p w:rsidR="008016EC" w:rsidRPr="00F67F55" w:rsidRDefault="008016EC" w:rsidP="00B51AAB">
            <w:pPr>
              <w:pStyle w:val="DHHStabletext"/>
            </w:pPr>
            <w:r w:rsidRPr="00F67F55">
              <w:t>7</w:t>
            </w:r>
          </w:p>
        </w:tc>
        <w:tc>
          <w:tcPr>
            <w:tcW w:w="1520" w:type="dxa"/>
            <w:tcBorders>
              <w:top w:val="single" w:sz="4" w:space="0" w:color="auto"/>
              <w:bottom w:val="single" w:sz="4" w:space="0" w:color="auto"/>
            </w:tcBorders>
            <w:noWrap/>
            <w:hideMark/>
          </w:tcPr>
          <w:p w:rsidR="008016EC" w:rsidRPr="00F67F55" w:rsidRDefault="008016EC" w:rsidP="00B51AAB">
            <w:pPr>
              <w:pStyle w:val="DHHStabletext"/>
            </w:pPr>
            <w:r w:rsidRPr="00F67F55">
              <w:t>4</w:t>
            </w:r>
          </w:p>
        </w:tc>
        <w:tc>
          <w:tcPr>
            <w:tcW w:w="1645" w:type="dxa"/>
            <w:tcBorders>
              <w:top w:val="single" w:sz="4" w:space="0" w:color="auto"/>
              <w:bottom w:val="single" w:sz="4" w:space="0" w:color="auto"/>
            </w:tcBorders>
            <w:noWrap/>
            <w:hideMark/>
          </w:tcPr>
          <w:p w:rsidR="008016EC" w:rsidRPr="00F67F55" w:rsidRDefault="008016EC" w:rsidP="00B51AAB">
            <w:pPr>
              <w:pStyle w:val="DHHStabletext"/>
            </w:pPr>
            <w:r w:rsidRPr="00F67F55">
              <w:t>79,319</w:t>
            </w:r>
          </w:p>
        </w:tc>
        <w:tc>
          <w:tcPr>
            <w:tcW w:w="2378" w:type="dxa"/>
            <w:tcBorders>
              <w:top w:val="single" w:sz="4" w:space="0" w:color="auto"/>
              <w:bottom w:val="single" w:sz="4" w:space="0" w:color="auto"/>
            </w:tcBorders>
            <w:noWrap/>
            <w:hideMark/>
          </w:tcPr>
          <w:p w:rsidR="008016EC" w:rsidRPr="00F67F55" w:rsidRDefault="008016EC" w:rsidP="00B51AAB">
            <w:pPr>
              <w:pStyle w:val="DHHStabletext"/>
            </w:pPr>
            <w:r w:rsidRPr="00F67F55">
              <w:t>13.9</w:t>
            </w:r>
          </w:p>
        </w:tc>
      </w:tr>
    </w:tbl>
    <w:p w:rsidR="008016EC" w:rsidRPr="006A52B1" w:rsidRDefault="006A52B1" w:rsidP="006A52B1">
      <w:pPr>
        <w:pStyle w:val="DHHStabletext"/>
      </w:pPr>
      <w:proofErr w:type="spellStart"/>
      <w:r>
        <w:rPr>
          <w:vertAlign w:val="superscript"/>
        </w:rPr>
        <w:t>a</w:t>
      </w:r>
      <w:proofErr w:type="spellEnd"/>
      <w:r>
        <w:t xml:space="preserve"> </w:t>
      </w:r>
      <w:r w:rsidR="008016EC" w:rsidRPr="006A52B1">
        <w:t>Includes confinements related to termination of pregnancy</w:t>
      </w:r>
    </w:p>
    <w:p w:rsidR="008016EC" w:rsidRPr="006A52B1" w:rsidRDefault="006A52B1" w:rsidP="006A52B1">
      <w:pPr>
        <w:pStyle w:val="DHHStabletext"/>
      </w:pPr>
      <w:r>
        <w:rPr>
          <w:vertAlign w:val="superscript"/>
        </w:rPr>
        <w:t>b</w:t>
      </w:r>
      <w:r>
        <w:t xml:space="preserve"> </w:t>
      </w:r>
      <w:r w:rsidR="008016EC" w:rsidRPr="006A52B1">
        <w:t>Per 100,000 confinements. Ratio calculated using direct and indirect deaths</w:t>
      </w:r>
    </w:p>
    <w:p w:rsidR="008016EC" w:rsidRPr="006A52B1" w:rsidRDefault="006A52B1" w:rsidP="006A52B1">
      <w:pPr>
        <w:pStyle w:val="DHHStabletext"/>
      </w:pPr>
      <w:r>
        <w:rPr>
          <w:vertAlign w:val="superscript"/>
        </w:rPr>
        <w:t>c</w:t>
      </w:r>
      <w:r>
        <w:t xml:space="preserve"> </w:t>
      </w:r>
      <w:r w:rsidR="008016EC" w:rsidRPr="006A52B1">
        <w:t>The single direct death is included in 2015, however the death did not occur in Victoria.  A Victorian resident, who had her obstetric care in Victoria, died from sepsis related to preterm rupture of membranes.  She died at a health service interstate.  Excluding her death from the Victorian Maternal Mortality ratio (MMR) decreases the MMR to 3.8</w:t>
      </w:r>
    </w:p>
    <w:p w:rsidR="008016EC" w:rsidRPr="006A52B1" w:rsidRDefault="008016EC" w:rsidP="006A52B1">
      <w:pPr>
        <w:pStyle w:val="DHHStabletext"/>
      </w:pPr>
      <w:r w:rsidRPr="006A52B1">
        <w:lastRenderedPageBreak/>
        <w:t>Note that this table refers only to  direct and indirect deaths occurring within 42 days of the birth.  Excluded from this table are all late maternal deaths (indirect or direct deaths occurring 42-364 days after birth) and incidental maternal deaths.</w:t>
      </w:r>
    </w:p>
    <w:p w:rsidR="008016EC" w:rsidRDefault="008016EC" w:rsidP="008016EC">
      <w:pPr>
        <w:pStyle w:val="Heading2"/>
        <w:spacing w:before="0" w:line="240" w:lineRule="auto"/>
        <w:rPr>
          <w:rFonts w:ascii="Cambria" w:hAnsi="Cambria"/>
          <w:b w:val="0"/>
          <w:color w:val="auto"/>
          <w:sz w:val="20"/>
          <w:szCs w:val="20"/>
        </w:rPr>
      </w:pPr>
    </w:p>
    <w:p w:rsidR="008016EC" w:rsidRPr="001C674F" w:rsidRDefault="008016EC" w:rsidP="008016EC">
      <w:pPr>
        <w:pStyle w:val="DHHSbody"/>
        <w:sectPr w:rsidR="008016EC" w:rsidRPr="001C674F" w:rsidSect="008016EC">
          <w:headerReference w:type="default" r:id="rId12"/>
          <w:footerReference w:type="default" r:id="rId13"/>
          <w:headerReference w:type="first" r:id="rId14"/>
          <w:footerReference w:type="first" r:id="rId15"/>
          <w:type w:val="continuous"/>
          <w:pgSz w:w="11906" w:h="16838"/>
          <w:pgMar w:top="567" w:right="851" w:bottom="1418" w:left="851" w:header="680" w:footer="709" w:gutter="0"/>
          <w:cols w:space="708"/>
          <w:titlePg/>
          <w:docGrid w:linePitch="360"/>
        </w:sectPr>
      </w:pPr>
    </w:p>
    <w:p w:rsidR="008016EC" w:rsidRDefault="008016EC" w:rsidP="008016EC">
      <w:pPr>
        <w:pStyle w:val="Heading2"/>
        <w:spacing w:before="0" w:line="240" w:lineRule="auto"/>
      </w:pPr>
      <w:bookmarkStart w:id="2" w:name="_Toc506386828"/>
      <w:r w:rsidRPr="00271FF2">
        <w:lastRenderedPageBreak/>
        <w:t xml:space="preserve">Table </w:t>
      </w:r>
      <w:r>
        <w:t>5</w:t>
      </w:r>
      <w:r w:rsidRPr="00271FF2">
        <w:t>.2: Maternal mortality ratios by triennia, Victoria and Australia 1988-2016</w:t>
      </w:r>
      <w:bookmarkEnd w:id="2"/>
    </w:p>
    <w:p w:rsidR="008016EC" w:rsidRPr="00271FF2" w:rsidRDefault="008016EC" w:rsidP="008016EC"/>
    <w:tbl>
      <w:tblPr>
        <w:tblW w:w="5000" w:type="pct"/>
        <w:tblBorders>
          <w:insideH w:val="single" w:sz="4" w:space="0" w:color="auto"/>
        </w:tblBorders>
        <w:tblLook w:val="04A0" w:firstRow="1" w:lastRow="0" w:firstColumn="1" w:lastColumn="0" w:noHBand="0" w:noVBand="1"/>
      </w:tblPr>
      <w:tblGrid>
        <w:gridCol w:w="2140"/>
        <w:gridCol w:w="1484"/>
        <w:gridCol w:w="1639"/>
        <w:gridCol w:w="1596"/>
        <w:gridCol w:w="3584"/>
        <w:gridCol w:w="3731"/>
      </w:tblGrid>
      <w:tr w:rsidR="008016EC" w:rsidRPr="00271FF2" w:rsidTr="00B51AAB">
        <w:trPr>
          <w:trHeight w:val="345"/>
        </w:trPr>
        <w:tc>
          <w:tcPr>
            <w:tcW w:w="759" w:type="pct"/>
            <w:shd w:val="clear" w:color="auto" w:fill="auto"/>
            <w:noWrap/>
            <w:vAlign w:val="bottom"/>
            <w:hideMark/>
          </w:tcPr>
          <w:p w:rsidR="008016EC" w:rsidRPr="00271FF2" w:rsidRDefault="008016EC" w:rsidP="00B51AAB">
            <w:pPr>
              <w:pStyle w:val="DHHStablecolhead"/>
              <w:rPr>
                <w:lang w:eastAsia="en-AU"/>
              </w:rPr>
            </w:pPr>
            <w:r w:rsidRPr="00271FF2">
              <w:rPr>
                <w:lang w:eastAsia="en-AU"/>
              </w:rPr>
              <w:t>Triennium</w:t>
            </w:r>
          </w:p>
        </w:tc>
        <w:tc>
          <w:tcPr>
            <w:tcW w:w="509" w:type="pct"/>
            <w:shd w:val="clear" w:color="auto" w:fill="auto"/>
            <w:noWrap/>
            <w:vAlign w:val="bottom"/>
            <w:hideMark/>
          </w:tcPr>
          <w:p w:rsidR="008016EC" w:rsidRPr="00271FF2" w:rsidRDefault="008016EC" w:rsidP="00B51AAB">
            <w:pPr>
              <w:pStyle w:val="DHHStablecolhead"/>
              <w:rPr>
                <w:lang w:eastAsia="en-AU"/>
              </w:rPr>
            </w:pPr>
            <w:r w:rsidRPr="00271FF2">
              <w:rPr>
                <w:lang w:eastAsia="en-AU"/>
              </w:rPr>
              <w:t>Direct deaths</w:t>
            </w:r>
          </w:p>
        </w:tc>
        <w:tc>
          <w:tcPr>
            <w:tcW w:w="577" w:type="pct"/>
            <w:shd w:val="clear" w:color="auto" w:fill="auto"/>
            <w:noWrap/>
            <w:vAlign w:val="bottom"/>
            <w:hideMark/>
          </w:tcPr>
          <w:p w:rsidR="008016EC" w:rsidRPr="00271FF2" w:rsidRDefault="008016EC" w:rsidP="00B51AAB">
            <w:pPr>
              <w:pStyle w:val="DHHStablecolhead"/>
              <w:rPr>
                <w:lang w:eastAsia="en-AU"/>
              </w:rPr>
            </w:pPr>
            <w:r w:rsidRPr="00271FF2">
              <w:rPr>
                <w:lang w:eastAsia="en-AU"/>
              </w:rPr>
              <w:t>Indirect deaths</w:t>
            </w:r>
          </w:p>
        </w:tc>
        <w:tc>
          <w:tcPr>
            <w:tcW w:w="567" w:type="pct"/>
            <w:shd w:val="clear" w:color="auto" w:fill="auto"/>
            <w:noWrap/>
            <w:vAlign w:val="bottom"/>
            <w:hideMark/>
          </w:tcPr>
          <w:p w:rsidR="008016EC" w:rsidRPr="00271FF2" w:rsidRDefault="008016EC" w:rsidP="00B51AAB">
            <w:pPr>
              <w:pStyle w:val="DHHStablecolhead"/>
              <w:rPr>
                <w:lang w:eastAsia="en-AU"/>
              </w:rPr>
            </w:pPr>
            <w:r w:rsidRPr="00271FF2">
              <w:rPr>
                <w:lang w:eastAsia="en-AU"/>
              </w:rPr>
              <w:t>Confinements</w:t>
            </w:r>
          </w:p>
        </w:tc>
        <w:tc>
          <w:tcPr>
            <w:tcW w:w="1268" w:type="pct"/>
            <w:shd w:val="clear" w:color="auto" w:fill="auto"/>
            <w:noWrap/>
            <w:vAlign w:val="bottom"/>
            <w:hideMark/>
          </w:tcPr>
          <w:p w:rsidR="008016EC" w:rsidRPr="00271FF2" w:rsidRDefault="008016EC" w:rsidP="00B51AAB">
            <w:pPr>
              <w:pStyle w:val="DHHStablecolhead"/>
              <w:rPr>
                <w:lang w:eastAsia="en-AU"/>
              </w:rPr>
            </w:pPr>
            <w:r w:rsidRPr="00271FF2">
              <w:rPr>
                <w:lang w:eastAsia="en-AU"/>
              </w:rPr>
              <w:t>Victoria Maternal mortality ratio</w:t>
            </w:r>
            <w:r>
              <w:rPr>
                <w:lang w:eastAsia="en-AU"/>
              </w:rPr>
              <w:t xml:space="preserve"> </w:t>
            </w:r>
            <w:r w:rsidRPr="006A1501">
              <w:rPr>
                <w:sz w:val="24"/>
                <w:szCs w:val="24"/>
                <w:vertAlign w:val="superscript"/>
                <w:lang w:eastAsia="en-AU"/>
              </w:rPr>
              <w:t>a</w:t>
            </w:r>
          </w:p>
        </w:tc>
        <w:tc>
          <w:tcPr>
            <w:tcW w:w="1320" w:type="pct"/>
            <w:shd w:val="clear" w:color="auto" w:fill="auto"/>
            <w:noWrap/>
            <w:vAlign w:val="bottom"/>
            <w:hideMark/>
          </w:tcPr>
          <w:p w:rsidR="008016EC" w:rsidRPr="00271FF2" w:rsidRDefault="008016EC" w:rsidP="00B51AAB">
            <w:pPr>
              <w:pStyle w:val="DHHStablecolhead"/>
              <w:rPr>
                <w:lang w:eastAsia="en-AU"/>
              </w:rPr>
            </w:pPr>
            <w:r w:rsidRPr="00271FF2">
              <w:rPr>
                <w:lang w:eastAsia="en-AU"/>
              </w:rPr>
              <w:t>Australia Maternal mortality ratio</w:t>
            </w:r>
            <w:r>
              <w:rPr>
                <w:lang w:eastAsia="en-AU"/>
              </w:rPr>
              <w:t xml:space="preserve"> </w:t>
            </w:r>
            <w:r w:rsidRPr="006A1501">
              <w:rPr>
                <w:sz w:val="24"/>
                <w:szCs w:val="24"/>
                <w:vertAlign w:val="superscript"/>
                <w:lang w:eastAsia="en-AU"/>
              </w:rPr>
              <w:t>a,</w:t>
            </w:r>
            <w:r>
              <w:rPr>
                <w:sz w:val="24"/>
                <w:szCs w:val="24"/>
                <w:vertAlign w:val="superscript"/>
                <w:lang w:eastAsia="en-AU"/>
              </w:rPr>
              <w:t xml:space="preserve"> </w:t>
            </w:r>
            <w:r w:rsidRPr="006A1501">
              <w:rPr>
                <w:sz w:val="24"/>
                <w:szCs w:val="24"/>
                <w:vertAlign w:val="superscript"/>
                <w:lang w:eastAsia="en-AU"/>
              </w:rPr>
              <w:t>b</w:t>
            </w:r>
          </w:p>
        </w:tc>
      </w:tr>
      <w:tr w:rsidR="008016EC" w:rsidRPr="00271FF2" w:rsidTr="00B51AAB">
        <w:trPr>
          <w:trHeight w:val="19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1988 – 1990</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11</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11</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192,277</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11.4</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9.3</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1991 – 1993</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6</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5</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193,537</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5.7</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6.2</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1994 – 1996</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6</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188,745</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7.4</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8.6</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1997 – 1999</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6</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5</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183,971</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6.0</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8.4</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2000 – 2002</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184,702</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8.7</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11.1</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2003 – 2005</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7</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15</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190,375</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11.6</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8.4</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2006 – 2008</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4</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16</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211,060</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9.5</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6.9</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2009 – 2011</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7</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11</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218,239</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8.2</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7.2</w:t>
            </w:r>
          </w:p>
        </w:tc>
      </w:tr>
      <w:tr w:rsidR="008016EC" w:rsidRPr="00271FF2" w:rsidTr="00B51AAB">
        <w:trPr>
          <w:trHeight w:val="300"/>
        </w:trPr>
        <w:tc>
          <w:tcPr>
            <w:tcW w:w="75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2012 –</w:t>
            </w:r>
            <w:r>
              <w:rPr>
                <w:lang w:eastAsia="en-AU"/>
              </w:rPr>
              <w:t xml:space="preserve"> </w:t>
            </w:r>
            <w:r w:rsidRPr="00271FF2">
              <w:rPr>
                <w:lang w:eastAsia="en-AU"/>
              </w:rPr>
              <w:t>2014</w:t>
            </w:r>
          </w:p>
        </w:tc>
        <w:tc>
          <w:tcPr>
            <w:tcW w:w="509" w:type="pct"/>
            <w:shd w:val="clear" w:color="auto" w:fill="auto"/>
            <w:noWrap/>
            <w:vAlign w:val="bottom"/>
            <w:hideMark/>
          </w:tcPr>
          <w:p w:rsidR="008016EC" w:rsidRPr="00271FF2" w:rsidRDefault="008016EC" w:rsidP="00B51AAB">
            <w:pPr>
              <w:pStyle w:val="DHHStabletext"/>
              <w:rPr>
                <w:lang w:eastAsia="en-AU"/>
              </w:rPr>
            </w:pPr>
            <w:r w:rsidRPr="00271FF2">
              <w:rPr>
                <w:lang w:eastAsia="en-AU"/>
              </w:rPr>
              <w:t>8</w:t>
            </w:r>
          </w:p>
        </w:tc>
        <w:tc>
          <w:tcPr>
            <w:tcW w:w="57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15</w:t>
            </w:r>
          </w:p>
        </w:tc>
        <w:tc>
          <w:tcPr>
            <w:tcW w:w="567" w:type="pct"/>
            <w:shd w:val="clear" w:color="auto" w:fill="auto"/>
            <w:noWrap/>
            <w:vAlign w:val="bottom"/>
            <w:hideMark/>
          </w:tcPr>
          <w:p w:rsidR="008016EC" w:rsidRPr="00271FF2" w:rsidRDefault="008016EC" w:rsidP="00B51AAB">
            <w:pPr>
              <w:pStyle w:val="DHHStabletext"/>
              <w:rPr>
                <w:lang w:eastAsia="en-AU"/>
              </w:rPr>
            </w:pPr>
            <w:r w:rsidRPr="00271FF2">
              <w:rPr>
                <w:lang w:eastAsia="en-AU"/>
              </w:rPr>
              <w:t>232,243</w:t>
            </w:r>
          </w:p>
        </w:tc>
        <w:tc>
          <w:tcPr>
            <w:tcW w:w="1268" w:type="pct"/>
            <w:shd w:val="clear" w:color="auto" w:fill="auto"/>
            <w:noWrap/>
            <w:vAlign w:val="bottom"/>
            <w:hideMark/>
          </w:tcPr>
          <w:p w:rsidR="008016EC" w:rsidRPr="00271FF2" w:rsidRDefault="008016EC" w:rsidP="00B51AAB">
            <w:pPr>
              <w:pStyle w:val="DHHStabletext"/>
              <w:rPr>
                <w:lang w:eastAsia="en-AU"/>
              </w:rPr>
            </w:pPr>
            <w:r w:rsidRPr="00271FF2">
              <w:rPr>
                <w:lang w:eastAsia="en-AU"/>
              </w:rPr>
              <w:t>9.9</w:t>
            </w:r>
          </w:p>
        </w:tc>
        <w:tc>
          <w:tcPr>
            <w:tcW w:w="1320" w:type="pct"/>
            <w:shd w:val="clear" w:color="auto" w:fill="auto"/>
            <w:noWrap/>
            <w:vAlign w:val="bottom"/>
            <w:hideMark/>
          </w:tcPr>
          <w:p w:rsidR="008016EC" w:rsidRPr="00271FF2" w:rsidRDefault="008016EC" w:rsidP="00B51AAB">
            <w:pPr>
              <w:pStyle w:val="DHHStabletext"/>
              <w:rPr>
                <w:lang w:eastAsia="en-AU"/>
              </w:rPr>
            </w:pPr>
            <w:r w:rsidRPr="00271FF2">
              <w:rPr>
                <w:lang w:eastAsia="en-AU"/>
              </w:rPr>
              <w:t>n/a</w:t>
            </w:r>
          </w:p>
        </w:tc>
      </w:tr>
      <w:tr w:rsidR="008016EC" w:rsidRPr="00271FF2" w:rsidTr="00B51AAB">
        <w:trPr>
          <w:trHeight w:val="183"/>
        </w:trPr>
        <w:tc>
          <w:tcPr>
            <w:tcW w:w="759" w:type="pct"/>
            <w:tcBorders>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 xml:space="preserve">2013 </w:t>
            </w:r>
            <w:r>
              <w:rPr>
                <w:lang w:eastAsia="en-AU"/>
              </w:rPr>
              <w:t>–</w:t>
            </w:r>
            <w:r w:rsidRPr="00271FF2">
              <w:rPr>
                <w:lang w:eastAsia="en-AU"/>
              </w:rPr>
              <w:t xml:space="preserve"> 2015</w:t>
            </w:r>
            <w:r>
              <w:rPr>
                <w:lang w:eastAsia="en-AU"/>
              </w:rPr>
              <w:t xml:space="preserve"> </w:t>
            </w:r>
            <w:r w:rsidRPr="006A1501">
              <w:rPr>
                <w:b/>
                <w:vertAlign w:val="superscript"/>
                <w:lang w:eastAsia="en-AU"/>
              </w:rPr>
              <w:t>C</w:t>
            </w:r>
          </w:p>
        </w:tc>
        <w:tc>
          <w:tcPr>
            <w:tcW w:w="509" w:type="pct"/>
            <w:tcBorders>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5</w:t>
            </w:r>
          </w:p>
        </w:tc>
        <w:tc>
          <w:tcPr>
            <w:tcW w:w="577" w:type="pct"/>
            <w:tcBorders>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12</w:t>
            </w:r>
          </w:p>
        </w:tc>
        <w:tc>
          <w:tcPr>
            <w:tcW w:w="567" w:type="pct"/>
            <w:tcBorders>
              <w:bottom w:val="single" w:sz="4" w:space="0" w:color="auto"/>
            </w:tcBorders>
            <w:shd w:val="clear" w:color="000000" w:fill="FFFFFF"/>
            <w:noWrap/>
            <w:vAlign w:val="bottom"/>
            <w:hideMark/>
          </w:tcPr>
          <w:p w:rsidR="008016EC" w:rsidRPr="00271FF2" w:rsidRDefault="008016EC" w:rsidP="00B51AAB">
            <w:pPr>
              <w:pStyle w:val="DHHStabletext"/>
              <w:rPr>
                <w:lang w:eastAsia="en-AU"/>
              </w:rPr>
            </w:pPr>
            <w:r w:rsidRPr="00271FF2">
              <w:rPr>
                <w:lang w:eastAsia="en-AU"/>
              </w:rPr>
              <w:t>233,207</w:t>
            </w:r>
          </w:p>
        </w:tc>
        <w:tc>
          <w:tcPr>
            <w:tcW w:w="1268" w:type="pct"/>
            <w:tcBorders>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7.3</w:t>
            </w:r>
          </w:p>
        </w:tc>
        <w:tc>
          <w:tcPr>
            <w:tcW w:w="1320" w:type="pct"/>
            <w:tcBorders>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n/a</w:t>
            </w:r>
          </w:p>
        </w:tc>
      </w:tr>
      <w:tr w:rsidR="008016EC" w:rsidRPr="00271FF2" w:rsidTr="00B51AAB">
        <w:trPr>
          <w:trHeight w:val="187"/>
        </w:trPr>
        <w:tc>
          <w:tcPr>
            <w:tcW w:w="759" w:type="pct"/>
            <w:tcBorders>
              <w:top w:val="single" w:sz="4" w:space="0" w:color="auto"/>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 xml:space="preserve">2014 </w:t>
            </w:r>
            <w:r>
              <w:rPr>
                <w:lang w:eastAsia="en-AU"/>
              </w:rPr>
              <w:t>–</w:t>
            </w:r>
            <w:r w:rsidRPr="00271FF2">
              <w:rPr>
                <w:lang w:eastAsia="en-AU"/>
              </w:rPr>
              <w:t xml:space="preserve"> 2016</w:t>
            </w:r>
            <w:r>
              <w:rPr>
                <w:lang w:eastAsia="en-AU"/>
              </w:rPr>
              <w:t xml:space="preserve"> </w:t>
            </w:r>
            <w:r w:rsidRPr="006A1501">
              <w:rPr>
                <w:b/>
                <w:vertAlign w:val="superscript"/>
                <w:lang w:eastAsia="en-AU"/>
              </w:rPr>
              <w:t>C</w:t>
            </w:r>
          </w:p>
        </w:tc>
        <w:tc>
          <w:tcPr>
            <w:tcW w:w="509" w:type="pct"/>
            <w:tcBorders>
              <w:top w:val="single" w:sz="4" w:space="0" w:color="auto"/>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10</w:t>
            </w:r>
          </w:p>
        </w:tc>
        <w:tc>
          <w:tcPr>
            <w:tcW w:w="577" w:type="pct"/>
            <w:tcBorders>
              <w:top w:val="single" w:sz="4" w:space="0" w:color="auto"/>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11</w:t>
            </w:r>
          </w:p>
        </w:tc>
        <w:tc>
          <w:tcPr>
            <w:tcW w:w="567" w:type="pct"/>
            <w:tcBorders>
              <w:top w:val="single" w:sz="4" w:space="0" w:color="auto"/>
              <w:bottom w:val="single" w:sz="4" w:space="0" w:color="auto"/>
            </w:tcBorders>
            <w:shd w:val="clear" w:color="000000" w:fill="FFFFFF"/>
            <w:noWrap/>
            <w:vAlign w:val="bottom"/>
            <w:hideMark/>
          </w:tcPr>
          <w:p w:rsidR="008016EC" w:rsidRPr="00271FF2" w:rsidRDefault="008016EC" w:rsidP="00B51AAB">
            <w:pPr>
              <w:pStyle w:val="DHHStabletext"/>
              <w:rPr>
                <w:lang w:eastAsia="en-AU"/>
              </w:rPr>
            </w:pPr>
            <w:r w:rsidRPr="00271FF2">
              <w:rPr>
                <w:lang w:eastAsia="en-AU"/>
              </w:rPr>
              <w:t>235,396</w:t>
            </w:r>
          </w:p>
        </w:tc>
        <w:tc>
          <w:tcPr>
            <w:tcW w:w="1268" w:type="pct"/>
            <w:tcBorders>
              <w:top w:val="single" w:sz="4" w:space="0" w:color="auto"/>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8.9</w:t>
            </w:r>
          </w:p>
        </w:tc>
        <w:tc>
          <w:tcPr>
            <w:tcW w:w="1320" w:type="pct"/>
            <w:tcBorders>
              <w:top w:val="single" w:sz="4" w:space="0" w:color="auto"/>
              <w:bottom w:val="single" w:sz="4" w:space="0" w:color="auto"/>
            </w:tcBorders>
            <w:shd w:val="clear" w:color="auto" w:fill="auto"/>
            <w:noWrap/>
            <w:vAlign w:val="bottom"/>
            <w:hideMark/>
          </w:tcPr>
          <w:p w:rsidR="008016EC" w:rsidRPr="00271FF2" w:rsidRDefault="008016EC" w:rsidP="00B51AAB">
            <w:pPr>
              <w:pStyle w:val="DHHStabletext"/>
              <w:rPr>
                <w:lang w:eastAsia="en-AU"/>
              </w:rPr>
            </w:pPr>
            <w:r w:rsidRPr="00271FF2">
              <w:rPr>
                <w:lang w:eastAsia="en-AU"/>
              </w:rPr>
              <w:t>n/a</w:t>
            </w:r>
          </w:p>
        </w:tc>
      </w:tr>
    </w:tbl>
    <w:p w:rsidR="008016EC" w:rsidRPr="006A52B1" w:rsidRDefault="006A52B1" w:rsidP="006A52B1">
      <w:pPr>
        <w:pStyle w:val="DHHStabletext"/>
      </w:pPr>
      <w:r>
        <w:rPr>
          <w:vertAlign w:val="superscript"/>
        </w:rPr>
        <w:t>a</w:t>
      </w:r>
      <w:r>
        <w:t xml:space="preserve"> </w:t>
      </w:r>
      <w:r w:rsidR="008016EC" w:rsidRPr="006A52B1">
        <w:t>Per 100,000 confinements. Ratio calculated using direct and indirect deaths occurring within 42 days of the birth</w:t>
      </w:r>
    </w:p>
    <w:p w:rsidR="008016EC" w:rsidRPr="006A52B1" w:rsidRDefault="006A52B1" w:rsidP="006A52B1">
      <w:pPr>
        <w:pStyle w:val="DHHStabletext"/>
      </w:pPr>
      <w:r>
        <w:rPr>
          <w:vertAlign w:val="superscript"/>
        </w:rPr>
        <w:t>b</w:t>
      </w:r>
      <w:r>
        <w:t xml:space="preserve"> </w:t>
      </w:r>
      <w:r w:rsidR="008016EC" w:rsidRPr="006A52B1">
        <w:t>Source of Australian mortality ratios: Australian Institute of Health and Welfare 2015, Maternal deaths in Australia 2008-2012, AIHW, Canberra.</w:t>
      </w:r>
    </w:p>
    <w:p w:rsidR="008016EC" w:rsidRPr="006A52B1" w:rsidRDefault="006A52B1" w:rsidP="006A52B1">
      <w:pPr>
        <w:pStyle w:val="DHHStabletext"/>
      </w:pPr>
      <w:r>
        <w:rPr>
          <w:vertAlign w:val="superscript"/>
        </w:rPr>
        <w:t>c</w:t>
      </w:r>
      <w:r>
        <w:t xml:space="preserve"> </w:t>
      </w:r>
      <w:r w:rsidR="008016EC" w:rsidRPr="006A52B1">
        <w:t>Note that 2013 and 2014 are included twice in this table, that is,  a rolling triennia was used so that the 2014 -2016  data could be represented.</w:t>
      </w:r>
    </w:p>
    <w:p w:rsidR="008016EC" w:rsidRPr="006A52B1" w:rsidRDefault="008016EC" w:rsidP="006A52B1">
      <w:pPr>
        <w:pStyle w:val="DHHStabletext"/>
      </w:pPr>
      <w:r w:rsidRPr="006A52B1">
        <w:t xml:space="preserve">        </w:t>
      </w:r>
      <w:r w:rsidRPr="006A52B1">
        <w:tab/>
        <w:t>n/a - not available</w:t>
      </w:r>
    </w:p>
    <w:p w:rsidR="008016EC" w:rsidRDefault="008016EC" w:rsidP="008016EC">
      <w:pPr>
        <w:sectPr w:rsidR="008016EC" w:rsidSect="001364BF">
          <w:pgSz w:w="16838" w:h="11906" w:orient="landscape"/>
          <w:pgMar w:top="1440" w:right="1440" w:bottom="1440" w:left="1440" w:header="709" w:footer="709" w:gutter="0"/>
          <w:cols w:space="708"/>
          <w:docGrid w:linePitch="360"/>
        </w:sectPr>
      </w:pPr>
    </w:p>
    <w:p w:rsidR="008016EC" w:rsidRPr="001364BF" w:rsidRDefault="008016EC" w:rsidP="008016EC">
      <w:pPr>
        <w:pStyle w:val="Heading2"/>
        <w:spacing w:before="0" w:line="240" w:lineRule="auto"/>
      </w:pPr>
      <w:bookmarkStart w:id="3" w:name="_Toc506386829"/>
      <w:r w:rsidRPr="001364BF">
        <w:lastRenderedPageBreak/>
        <w:t>Figure 5.1. Maternal mortality ratios by triennia, Victoria and Australia 1988-2016</w:t>
      </w:r>
      <w:bookmarkEnd w:id="3"/>
    </w:p>
    <w:p w:rsidR="008016EC" w:rsidRDefault="008016EC" w:rsidP="008016EC">
      <w:pPr>
        <w:ind w:left="360"/>
      </w:pPr>
      <w:r>
        <w:rPr>
          <w:noProof/>
          <w:lang w:eastAsia="en-AU"/>
        </w:rPr>
        <w:drawing>
          <wp:inline distT="0" distB="0" distL="0" distR="0">
            <wp:extent cx="5894070" cy="381889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4070" cy="3818890"/>
                    </a:xfrm>
                    <a:prstGeom prst="rect">
                      <a:avLst/>
                    </a:prstGeom>
                    <a:noFill/>
                    <a:ln>
                      <a:noFill/>
                    </a:ln>
                  </pic:spPr>
                </pic:pic>
              </a:graphicData>
            </a:graphic>
          </wp:inline>
        </w:drawing>
      </w:r>
    </w:p>
    <w:p w:rsidR="008016EC" w:rsidRDefault="006A52B1" w:rsidP="006A52B1">
      <w:pPr>
        <w:pStyle w:val="DHHStabletext"/>
      </w:pPr>
      <w:r>
        <w:rPr>
          <w:vertAlign w:val="superscript"/>
        </w:rPr>
        <w:t>a</w:t>
      </w:r>
      <w:r>
        <w:t xml:space="preserve"> </w:t>
      </w:r>
      <w:r w:rsidR="008016EC" w:rsidRPr="001364BF">
        <w:t xml:space="preserve">The years 2013 and 2015 are included twice and the year 2014 is included three times, as rolling triennia were used for the two most recent triennia so that the 2014, 2015 and 2016 data could be represented. </w:t>
      </w:r>
    </w:p>
    <w:p w:rsidR="008016EC" w:rsidRDefault="006A52B1" w:rsidP="006A52B1">
      <w:pPr>
        <w:pStyle w:val="DHHStabletext"/>
      </w:pPr>
      <w:r>
        <w:rPr>
          <w:vertAlign w:val="superscript"/>
        </w:rPr>
        <w:t>b</w:t>
      </w:r>
      <w:r>
        <w:t xml:space="preserve"> </w:t>
      </w:r>
      <w:r w:rsidR="008016EC" w:rsidRPr="001364BF">
        <w:t>At the time of publication the latest provisional Australian data for 2012–2014 indicated the rate was between 6.4 and 6.7.</w:t>
      </w:r>
    </w:p>
    <w:p w:rsidR="008016EC" w:rsidRDefault="008016EC" w:rsidP="008016EC">
      <w:pPr>
        <w:rPr>
          <w:rFonts w:ascii="Arial" w:hAnsi="Arial"/>
          <w:b/>
          <w:color w:val="201547"/>
          <w:sz w:val="28"/>
          <w:szCs w:val="28"/>
        </w:rPr>
      </w:pPr>
      <w:r>
        <w:br w:type="page"/>
      </w:r>
    </w:p>
    <w:p w:rsidR="008016EC" w:rsidRDefault="008016EC" w:rsidP="008016EC">
      <w:pPr>
        <w:pStyle w:val="Heading2"/>
      </w:pPr>
      <w:bookmarkStart w:id="4" w:name="_Toc506386830"/>
      <w:r w:rsidRPr="000166F5">
        <w:lastRenderedPageBreak/>
        <w:t>Table 5.3: Causes of maternal deaths, Victoria 2016</w:t>
      </w:r>
      <w:bookmarkEnd w:id="4"/>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883"/>
        <w:gridCol w:w="1359"/>
      </w:tblGrid>
      <w:tr w:rsidR="008016EC" w:rsidRPr="004B5FD4" w:rsidTr="00B51AAB">
        <w:trPr>
          <w:trHeight w:val="200"/>
        </w:trPr>
        <w:tc>
          <w:tcPr>
            <w:tcW w:w="4265" w:type="pct"/>
            <w:noWrap/>
            <w:hideMark/>
          </w:tcPr>
          <w:p w:rsidR="008016EC" w:rsidRPr="004B5FD4" w:rsidRDefault="008016EC" w:rsidP="00B51AAB">
            <w:pPr>
              <w:pStyle w:val="DHHStabletext"/>
            </w:pPr>
            <w:r w:rsidRPr="004B5FD4">
              <w:t> </w:t>
            </w:r>
          </w:p>
        </w:tc>
        <w:tc>
          <w:tcPr>
            <w:tcW w:w="735" w:type="pct"/>
            <w:noWrap/>
            <w:hideMark/>
          </w:tcPr>
          <w:p w:rsidR="008016EC" w:rsidRPr="004B5FD4" w:rsidRDefault="008016EC" w:rsidP="00B51AAB">
            <w:pPr>
              <w:pStyle w:val="DHHStablecolhead"/>
            </w:pPr>
            <w:r w:rsidRPr="004B5FD4">
              <w:t>Total</w:t>
            </w:r>
          </w:p>
        </w:tc>
      </w:tr>
      <w:tr w:rsidR="008016EC" w:rsidRPr="004B5FD4" w:rsidTr="00B51AAB">
        <w:trPr>
          <w:trHeight w:val="290"/>
        </w:trPr>
        <w:tc>
          <w:tcPr>
            <w:tcW w:w="4265" w:type="pct"/>
            <w:noWrap/>
            <w:hideMark/>
          </w:tcPr>
          <w:p w:rsidR="008016EC" w:rsidRPr="004B5FD4" w:rsidRDefault="008016EC" w:rsidP="00B51AAB">
            <w:pPr>
              <w:pStyle w:val="DHHStabletext"/>
              <w:rPr>
                <w:b/>
                <w:bCs/>
              </w:rPr>
            </w:pPr>
            <w:r w:rsidRPr="004B5FD4">
              <w:rPr>
                <w:b/>
                <w:bCs/>
              </w:rPr>
              <w:t>Direct maternal deaths</w:t>
            </w:r>
          </w:p>
        </w:tc>
        <w:tc>
          <w:tcPr>
            <w:tcW w:w="735" w:type="pct"/>
            <w:noWrap/>
            <w:hideMark/>
          </w:tcPr>
          <w:p w:rsidR="008016EC" w:rsidRPr="004B5FD4" w:rsidRDefault="008016EC" w:rsidP="00B51AAB">
            <w:pPr>
              <w:pStyle w:val="DHHStabletext"/>
              <w:rPr>
                <w:b/>
                <w:bCs/>
              </w:rPr>
            </w:pPr>
            <w:r w:rsidRPr="004B5FD4">
              <w:rPr>
                <w:b/>
                <w:bCs/>
              </w:rPr>
              <w:t>7</w:t>
            </w:r>
          </w:p>
        </w:tc>
      </w:tr>
      <w:tr w:rsidR="008016EC" w:rsidRPr="004B5FD4" w:rsidTr="00B51AAB">
        <w:trPr>
          <w:trHeight w:val="265"/>
        </w:trPr>
        <w:tc>
          <w:tcPr>
            <w:tcW w:w="4265" w:type="pct"/>
            <w:noWrap/>
            <w:hideMark/>
          </w:tcPr>
          <w:p w:rsidR="008016EC" w:rsidRPr="004B5FD4" w:rsidRDefault="008016EC" w:rsidP="00B51AAB">
            <w:pPr>
              <w:pStyle w:val="DHHStabletext"/>
            </w:pPr>
            <w:r w:rsidRPr="004B5FD4">
              <w:t>Pulmonary embolus</w:t>
            </w:r>
          </w:p>
        </w:tc>
        <w:tc>
          <w:tcPr>
            <w:tcW w:w="735" w:type="pct"/>
            <w:noWrap/>
            <w:hideMark/>
          </w:tcPr>
          <w:p w:rsidR="008016EC" w:rsidRPr="004B5FD4" w:rsidRDefault="008016EC" w:rsidP="00B51AAB">
            <w:pPr>
              <w:pStyle w:val="DHHStabletext"/>
            </w:pPr>
            <w:r w:rsidRPr="004B5FD4">
              <w:t>3</w:t>
            </w:r>
          </w:p>
        </w:tc>
      </w:tr>
      <w:tr w:rsidR="008016EC" w:rsidRPr="004B5FD4" w:rsidTr="00B51AAB">
        <w:trPr>
          <w:trHeight w:val="269"/>
        </w:trPr>
        <w:tc>
          <w:tcPr>
            <w:tcW w:w="4265" w:type="pct"/>
            <w:noWrap/>
            <w:hideMark/>
          </w:tcPr>
          <w:p w:rsidR="008016EC" w:rsidRPr="004B5FD4" w:rsidRDefault="008016EC" w:rsidP="00B51AAB">
            <w:pPr>
              <w:pStyle w:val="DHHStabletext"/>
            </w:pPr>
            <w:r w:rsidRPr="004B5FD4">
              <w:t>Eclampsia</w:t>
            </w:r>
          </w:p>
        </w:tc>
        <w:tc>
          <w:tcPr>
            <w:tcW w:w="735" w:type="pct"/>
            <w:noWrap/>
            <w:hideMark/>
          </w:tcPr>
          <w:p w:rsidR="008016EC" w:rsidRPr="004B5FD4" w:rsidRDefault="008016EC" w:rsidP="00B51AAB">
            <w:pPr>
              <w:pStyle w:val="DHHStabletext"/>
            </w:pPr>
            <w:r w:rsidRPr="004B5FD4">
              <w:t>1</w:t>
            </w:r>
          </w:p>
        </w:tc>
      </w:tr>
      <w:tr w:rsidR="008016EC" w:rsidRPr="004B5FD4" w:rsidTr="00B51AAB">
        <w:trPr>
          <w:trHeight w:val="273"/>
        </w:trPr>
        <w:tc>
          <w:tcPr>
            <w:tcW w:w="4265" w:type="pct"/>
            <w:noWrap/>
            <w:hideMark/>
          </w:tcPr>
          <w:p w:rsidR="008016EC" w:rsidRPr="004B5FD4" w:rsidRDefault="008016EC" w:rsidP="00B51AAB">
            <w:pPr>
              <w:pStyle w:val="DHHStabletext"/>
            </w:pPr>
            <w:r w:rsidRPr="004B5FD4">
              <w:t>Suicide</w:t>
            </w:r>
          </w:p>
        </w:tc>
        <w:tc>
          <w:tcPr>
            <w:tcW w:w="735" w:type="pct"/>
            <w:noWrap/>
            <w:hideMark/>
          </w:tcPr>
          <w:p w:rsidR="008016EC" w:rsidRPr="004B5FD4" w:rsidRDefault="008016EC" w:rsidP="00B51AAB">
            <w:pPr>
              <w:pStyle w:val="DHHStabletext"/>
            </w:pPr>
            <w:r w:rsidRPr="004B5FD4">
              <w:t>1</w:t>
            </w:r>
          </w:p>
        </w:tc>
      </w:tr>
      <w:tr w:rsidR="008016EC" w:rsidRPr="004B5FD4" w:rsidTr="00B51AAB">
        <w:trPr>
          <w:trHeight w:val="277"/>
        </w:trPr>
        <w:tc>
          <w:tcPr>
            <w:tcW w:w="4265" w:type="pct"/>
            <w:noWrap/>
            <w:hideMark/>
          </w:tcPr>
          <w:p w:rsidR="008016EC" w:rsidRPr="004B5FD4" w:rsidRDefault="008016EC" w:rsidP="00B51AAB">
            <w:pPr>
              <w:pStyle w:val="DHHStabletext"/>
            </w:pPr>
            <w:r w:rsidRPr="004B5FD4">
              <w:t>Severe post-partum haemorrhage</w:t>
            </w:r>
          </w:p>
        </w:tc>
        <w:tc>
          <w:tcPr>
            <w:tcW w:w="735" w:type="pct"/>
            <w:noWrap/>
            <w:hideMark/>
          </w:tcPr>
          <w:p w:rsidR="008016EC" w:rsidRPr="004B5FD4" w:rsidRDefault="008016EC" w:rsidP="00B51AAB">
            <w:pPr>
              <w:pStyle w:val="DHHStabletext"/>
            </w:pPr>
            <w:r w:rsidRPr="004B5FD4">
              <w:t>2</w:t>
            </w:r>
          </w:p>
        </w:tc>
      </w:tr>
      <w:tr w:rsidR="008016EC" w:rsidRPr="004B5FD4" w:rsidTr="00B51AAB">
        <w:trPr>
          <w:trHeight w:val="70"/>
        </w:trPr>
        <w:tc>
          <w:tcPr>
            <w:tcW w:w="4265" w:type="pct"/>
            <w:noWrap/>
            <w:hideMark/>
          </w:tcPr>
          <w:p w:rsidR="008016EC" w:rsidRPr="004B5FD4" w:rsidRDefault="008016EC" w:rsidP="00B51AAB">
            <w:pPr>
              <w:pStyle w:val="DHHStabletext"/>
              <w:rPr>
                <w:b/>
                <w:bCs/>
              </w:rPr>
            </w:pPr>
            <w:r w:rsidRPr="004B5FD4">
              <w:rPr>
                <w:b/>
                <w:bCs/>
              </w:rPr>
              <w:t>Indirect maternal deaths</w:t>
            </w:r>
          </w:p>
        </w:tc>
        <w:tc>
          <w:tcPr>
            <w:tcW w:w="735" w:type="pct"/>
            <w:noWrap/>
            <w:hideMark/>
          </w:tcPr>
          <w:p w:rsidR="008016EC" w:rsidRPr="004B5FD4" w:rsidRDefault="008016EC" w:rsidP="00B51AAB">
            <w:pPr>
              <w:pStyle w:val="DHHStabletext"/>
              <w:rPr>
                <w:b/>
                <w:bCs/>
              </w:rPr>
            </w:pPr>
            <w:r w:rsidRPr="004B5FD4">
              <w:rPr>
                <w:b/>
                <w:bCs/>
              </w:rPr>
              <w:t>4</w:t>
            </w:r>
          </w:p>
        </w:tc>
      </w:tr>
      <w:tr w:rsidR="008016EC" w:rsidRPr="004B5FD4" w:rsidTr="00B51AAB">
        <w:trPr>
          <w:trHeight w:val="271"/>
        </w:trPr>
        <w:tc>
          <w:tcPr>
            <w:tcW w:w="4265" w:type="pct"/>
            <w:hideMark/>
          </w:tcPr>
          <w:p w:rsidR="008016EC" w:rsidRPr="004B5FD4" w:rsidRDefault="008016EC" w:rsidP="00B51AAB">
            <w:pPr>
              <w:pStyle w:val="DHHStabletext"/>
              <w:rPr>
                <w:color w:val="000000"/>
              </w:rPr>
            </w:pPr>
            <w:r w:rsidRPr="004B5FD4">
              <w:rPr>
                <w:color w:val="000000"/>
              </w:rPr>
              <w:t>Suicide/suspected suicide</w:t>
            </w:r>
          </w:p>
        </w:tc>
        <w:tc>
          <w:tcPr>
            <w:tcW w:w="735" w:type="pct"/>
            <w:noWrap/>
            <w:hideMark/>
          </w:tcPr>
          <w:p w:rsidR="008016EC" w:rsidRPr="004B5FD4" w:rsidRDefault="008016EC" w:rsidP="00B51AAB">
            <w:pPr>
              <w:pStyle w:val="DHHStabletext"/>
            </w:pPr>
            <w:r w:rsidRPr="004B5FD4">
              <w:t>4</w:t>
            </w:r>
          </w:p>
        </w:tc>
      </w:tr>
      <w:tr w:rsidR="008016EC" w:rsidRPr="004B5FD4" w:rsidTr="00B51AAB">
        <w:trPr>
          <w:trHeight w:val="275"/>
        </w:trPr>
        <w:tc>
          <w:tcPr>
            <w:tcW w:w="4265" w:type="pct"/>
            <w:noWrap/>
            <w:hideMark/>
          </w:tcPr>
          <w:p w:rsidR="008016EC" w:rsidRPr="004B5FD4" w:rsidRDefault="008016EC" w:rsidP="00B51AAB">
            <w:pPr>
              <w:pStyle w:val="DHHStabletext"/>
              <w:rPr>
                <w:b/>
                <w:bCs/>
              </w:rPr>
            </w:pPr>
            <w:r w:rsidRPr="004B5FD4">
              <w:rPr>
                <w:b/>
                <w:bCs/>
              </w:rPr>
              <w:t>Incidental maternal deaths</w:t>
            </w:r>
          </w:p>
        </w:tc>
        <w:tc>
          <w:tcPr>
            <w:tcW w:w="735" w:type="pct"/>
            <w:noWrap/>
            <w:hideMark/>
          </w:tcPr>
          <w:p w:rsidR="008016EC" w:rsidRPr="004B5FD4" w:rsidRDefault="008016EC" w:rsidP="00B51AAB">
            <w:pPr>
              <w:pStyle w:val="DHHStabletext"/>
              <w:rPr>
                <w:b/>
                <w:bCs/>
              </w:rPr>
            </w:pPr>
            <w:r w:rsidRPr="004B5FD4">
              <w:rPr>
                <w:b/>
                <w:bCs/>
              </w:rPr>
              <w:t>1</w:t>
            </w:r>
          </w:p>
        </w:tc>
      </w:tr>
      <w:tr w:rsidR="008016EC" w:rsidRPr="004B5FD4" w:rsidTr="00B51AAB">
        <w:trPr>
          <w:trHeight w:val="265"/>
        </w:trPr>
        <w:tc>
          <w:tcPr>
            <w:tcW w:w="4265" w:type="pct"/>
            <w:hideMark/>
          </w:tcPr>
          <w:p w:rsidR="008016EC" w:rsidRPr="004B5FD4" w:rsidRDefault="008016EC" w:rsidP="00B51AAB">
            <w:pPr>
              <w:pStyle w:val="DHHStabletext"/>
              <w:rPr>
                <w:color w:val="000000"/>
              </w:rPr>
            </w:pPr>
            <w:r w:rsidRPr="004B5FD4">
              <w:rPr>
                <w:color w:val="000000"/>
              </w:rPr>
              <w:t>Mechanical asphyxia - workplace accident</w:t>
            </w:r>
          </w:p>
        </w:tc>
        <w:tc>
          <w:tcPr>
            <w:tcW w:w="735" w:type="pct"/>
            <w:hideMark/>
          </w:tcPr>
          <w:p w:rsidR="008016EC" w:rsidRPr="004B5FD4" w:rsidRDefault="008016EC" w:rsidP="00B51AAB">
            <w:pPr>
              <w:pStyle w:val="DHHStabletext"/>
              <w:rPr>
                <w:color w:val="000000"/>
              </w:rPr>
            </w:pPr>
            <w:r w:rsidRPr="004B5FD4">
              <w:rPr>
                <w:color w:val="000000"/>
              </w:rPr>
              <w:t>1</w:t>
            </w:r>
          </w:p>
        </w:tc>
      </w:tr>
      <w:tr w:rsidR="008016EC" w:rsidRPr="004B5FD4" w:rsidTr="00B51AAB">
        <w:trPr>
          <w:trHeight w:val="283"/>
        </w:trPr>
        <w:tc>
          <w:tcPr>
            <w:tcW w:w="4265" w:type="pct"/>
            <w:noWrap/>
            <w:hideMark/>
          </w:tcPr>
          <w:p w:rsidR="008016EC" w:rsidRPr="004B5FD4" w:rsidRDefault="008016EC" w:rsidP="00B51AAB">
            <w:pPr>
              <w:pStyle w:val="DHHStabletext"/>
              <w:rPr>
                <w:b/>
                <w:bCs/>
              </w:rPr>
            </w:pPr>
            <w:r w:rsidRPr="004B5FD4">
              <w:rPr>
                <w:b/>
                <w:bCs/>
              </w:rPr>
              <w:t>Late maternal death (direct or indirect)</w:t>
            </w:r>
          </w:p>
        </w:tc>
        <w:tc>
          <w:tcPr>
            <w:tcW w:w="735" w:type="pct"/>
            <w:noWrap/>
            <w:hideMark/>
          </w:tcPr>
          <w:p w:rsidR="008016EC" w:rsidRPr="004B5FD4" w:rsidRDefault="008016EC" w:rsidP="00B51AAB">
            <w:pPr>
              <w:pStyle w:val="DHHStabletext"/>
              <w:rPr>
                <w:b/>
                <w:bCs/>
              </w:rPr>
            </w:pPr>
            <w:r w:rsidRPr="004B5FD4">
              <w:rPr>
                <w:b/>
                <w:bCs/>
              </w:rPr>
              <w:t>5</w:t>
            </w:r>
          </w:p>
        </w:tc>
      </w:tr>
      <w:tr w:rsidR="008016EC" w:rsidRPr="004B5FD4" w:rsidTr="00B51AAB">
        <w:trPr>
          <w:trHeight w:val="273"/>
        </w:trPr>
        <w:tc>
          <w:tcPr>
            <w:tcW w:w="4265" w:type="pct"/>
            <w:hideMark/>
          </w:tcPr>
          <w:p w:rsidR="008016EC" w:rsidRPr="004B5FD4" w:rsidRDefault="008016EC" w:rsidP="00B51AAB">
            <w:pPr>
              <w:pStyle w:val="DHHStabletext"/>
              <w:rPr>
                <w:color w:val="000000"/>
              </w:rPr>
            </w:pPr>
            <w:r w:rsidRPr="004B5FD4">
              <w:rPr>
                <w:color w:val="000000"/>
              </w:rPr>
              <w:t>Multiple sclerosis</w:t>
            </w:r>
          </w:p>
        </w:tc>
        <w:tc>
          <w:tcPr>
            <w:tcW w:w="735" w:type="pct"/>
            <w:noWrap/>
            <w:hideMark/>
          </w:tcPr>
          <w:p w:rsidR="008016EC" w:rsidRPr="004B5FD4" w:rsidRDefault="008016EC" w:rsidP="00B51AAB">
            <w:pPr>
              <w:pStyle w:val="DHHStabletext"/>
              <w:rPr>
                <w:b/>
                <w:bCs/>
              </w:rPr>
            </w:pPr>
            <w:r w:rsidRPr="004B5FD4">
              <w:rPr>
                <w:b/>
                <w:bCs/>
              </w:rPr>
              <w:t>1</w:t>
            </w:r>
          </w:p>
        </w:tc>
      </w:tr>
      <w:tr w:rsidR="008016EC" w:rsidRPr="004B5FD4" w:rsidTr="00B51AAB">
        <w:trPr>
          <w:trHeight w:val="262"/>
        </w:trPr>
        <w:tc>
          <w:tcPr>
            <w:tcW w:w="4265" w:type="pct"/>
            <w:hideMark/>
          </w:tcPr>
          <w:p w:rsidR="008016EC" w:rsidRPr="004B5FD4" w:rsidRDefault="008016EC" w:rsidP="00B51AAB">
            <w:pPr>
              <w:pStyle w:val="DHHStabletext"/>
              <w:rPr>
                <w:color w:val="000000"/>
              </w:rPr>
            </w:pPr>
            <w:r w:rsidRPr="004B5FD4">
              <w:rPr>
                <w:color w:val="000000"/>
              </w:rPr>
              <w:t>Suicide</w:t>
            </w:r>
          </w:p>
        </w:tc>
        <w:tc>
          <w:tcPr>
            <w:tcW w:w="735" w:type="pct"/>
            <w:noWrap/>
            <w:hideMark/>
          </w:tcPr>
          <w:p w:rsidR="008016EC" w:rsidRPr="004B5FD4" w:rsidRDefault="008016EC" w:rsidP="00B51AAB">
            <w:pPr>
              <w:pStyle w:val="DHHStabletext"/>
              <w:rPr>
                <w:b/>
                <w:bCs/>
              </w:rPr>
            </w:pPr>
            <w:r w:rsidRPr="004B5FD4">
              <w:rPr>
                <w:b/>
                <w:bCs/>
              </w:rPr>
              <w:t>3</w:t>
            </w:r>
          </w:p>
        </w:tc>
      </w:tr>
      <w:tr w:rsidR="008016EC" w:rsidRPr="004B5FD4" w:rsidTr="00B51AAB">
        <w:trPr>
          <w:trHeight w:val="281"/>
        </w:trPr>
        <w:tc>
          <w:tcPr>
            <w:tcW w:w="4265" w:type="pct"/>
            <w:tcBorders>
              <w:bottom w:val="single" w:sz="4" w:space="0" w:color="auto"/>
            </w:tcBorders>
            <w:noWrap/>
            <w:hideMark/>
          </w:tcPr>
          <w:p w:rsidR="008016EC" w:rsidRPr="004B5FD4" w:rsidRDefault="008016EC" w:rsidP="00B51AAB">
            <w:pPr>
              <w:pStyle w:val="DHHStabletext"/>
            </w:pPr>
            <w:r w:rsidRPr="004B5FD4">
              <w:t>Primary pulmonary hypertension</w:t>
            </w:r>
          </w:p>
        </w:tc>
        <w:tc>
          <w:tcPr>
            <w:tcW w:w="735" w:type="pct"/>
            <w:tcBorders>
              <w:bottom w:val="single" w:sz="4" w:space="0" w:color="auto"/>
            </w:tcBorders>
            <w:noWrap/>
            <w:hideMark/>
          </w:tcPr>
          <w:p w:rsidR="008016EC" w:rsidRPr="004B5FD4" w:rsidRDefault="008016EC" w:rsidP="00B51AAB">
            <w:pPr>
              <w:pStyle w:val="DHHStabletext"/>
              <w:rPr>
                <w:b/>
                <w:bCs/>
              </w:rPr>
            </w:pPr>
            <w:r w:rsidRPr="004B5FD4">
              <w:rPr>
                <w:b/>
                <w:bCs/>
              </w:rPr>
              <w:t>1</w:t>
            </w:r>
          </w:p>
        </w:tc>
      </w:tr>
      <w:tr w:rsidR="008016EC" w:rsidRPr="004B5FD4" w:rsidTr="00B51AAB">
        <w:trPr>
          <w:trHeight w:val="115"/>
        </w:trPr>
        <w:tc>
          <w:tcPr>
            <w:tcW w:w="4265" w:type="pct"/>
            <w:tcBorders>
              <w:top w:val="single" w:sz="4" w:space="0" w:color="auto"/>
              <w:bottom w:val="single" w:sz="4" w:space="0" w:color="auto"/>
            </w:tcBorders>
            <w:noWrap/>
            <w:hideMark/>
          </w:tcPr>
          <w:p w:rsidR="008016EC" w:rsidRPr="004B5FD4" w:rsidRDefault="008016EC" w:rsidP="00B51AAB">
            <w:pPr>
              <w:pStyle w:val="DHHStabletext"/>
              <w:rPr>
                <w:b/>
                <w:bCs/>
              </w:rPr>
            </w:pPr>
            <w:r w:rsidRPr="004B5FD4">
              <w:rPr>
                <w:b/>
                <w:bCs/>
              </w:rPr>
              <w:t>Total deaths</w:t>
            </w:r>
          </w:p>
        </w:tc>
        <w:tc>
          <w:tcPr>
            <w:tcW w:w="735" w:type="pct"/>
            <w:tcBorders>
              <w:top w:val="single" w:sz="4" w:space="0" w:color="auto"/>
              <w:bottom w:val="single" w:sz="4" w:space="0" w:color="auto"/>
            </w:tcBorders>
            <w:noWrap/>
            <w:hideMark/>
          </w:tcPr>
          <w:p w:rsidR="008016EC" w:rsidRPr="004B5FD4" w:rsidRDefault="008016EC" w:rsidP="00B51AAB">
            <w:pPr>
              <w:pStyle w:val="DHHStabletext"/>
              <w:rPr>
                <w:b/>
                <w:bCs/>
              </w:rPr>
            </w:pPr>
            <w:r w:rsidRPr="004B5FD4">
              <w:rPr>
                <w:b/>
                <w:bCs/>
              </w:rPr>
              <w:t>17</w:t>
            </w:r>
          </w:p>
        </w:tc>
      </w:tr>
    </w:tbl>
    <w:p w:rsidR="008016EC" w:rsidRDefault="008016EC" w:rsidP="008016EC">
      <w:pPr>
        <w:rPr>
          <w:rFonts w:cs="Proxima Nova"/>
          <w:color w:val="000000"/>
        </w:rPr>
      </w:pPr>
    </w:p>
    <w:p w:rsidR="008016EC" w:rsidRDefault="008016EC" w:rsidP="008016EC">
      <w:pPr>
        <w:pStyle w:val="DHHStabletext"/>
      </w:pPr>
      <w:r w:rsidRPr="00AC3127">
        <w:t>Note: This table excludes one late incidental death from homicide that is not classified as a maternal death.</w:t>
      </w: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Default="008016EC" w:rsidP="008016EC">
      <w:pPr>
        <w:rPr>
          <w:rFonts w:cs="Proxima Nova"/>
          <w:color w:val="000000"/>
        </w:rPr>
      </w:pPr>
    </w:p>
    <w:p w:rsidR="008016EC" w:rsidRPr="008016EC" w:rsidRDefault="008016EC" w:rsidP="008016EC">
      <w:pPr>
        <w:rPr>
          <w:rFonts w:ascii="Cambria" w:eastAsia="Times New Roman" w:hAnsi="Cambria"/>
          <w:b/>
          <w:bCs/>
          <w:color w:val="4F81BD"/>
          <w:sz w:val="26"/>
          <w:szCs w:val="26"/>
        </w:rPr>
        <w:sectPr w:rsidR="008016EC" w:rsidRPr="008016EC" w:rsidSect="001364BF">
          <w:pgSz w:w="11906" w:h="16838"/>
          <w:pgMar w:top="1440" w:right="1440" w:bottom="1440" w:left="1440" w:header="709" w:footer="709" w:gutter="0"/>
          <w:cols w:space="708"/>
          <w:docGrid w:linePitch="360"/>
        </w:sectPr>
      </w:pPr>
    </w:p>
    <w:p w:rsidR="008016EC" w:rsidRDefault="008016EC" w:rsidP="008016EC">
      <w:pPr>
        <w:pStyle w:val="Heading2"/>
        <w:rPr>
          <w:rFonts w:cs="Proxima Nova"/>
          <w:color w:val="000000"/>
          <w:sz w:val="20"/>
          <w:szCs w:val="20"/>
        </w:rPr>
      </w:pPr>
      <w:bookmarkStart w:id="5" w:name="_Toc506386831"/>
      <w:r w:rsidRPr="008016EC">
        <w:lastRenderedPageBreak/>
        <w:t>Table 5.4: Causes of maternal deaths, Victoria 2011-2016</w:t>
      </w:r>
      <w:bookmarkEnd w:id="5"/>
    </w:p>
    <w:tbl>
      <w:tblPr>
        <w:tblStyle w:val="TableGrid"/>
        <w:tblW w:w="519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385"/>
        <w:gridCol w:w="5812"/>
        <w:gridCol w:w="1151"/>
        <w:gridCol w:w="1258"/>
      </w:tblGrid>
      <w:tr w:rsidR="008016EC" w:rsidRPr="009E76BB" w:rsidTr="00B51AAB">
        <w:trPr>
          <w:trHeight w:val="320"/>
        </w:trPr>
        <w:tc>
          <w:tcPr>
            <w:tcW w:w="721" w:type="pct"/>
            <w:noWrap/>
            <w:hideMark/>
          </w:tcPr>
          <w:p w:rsidR="008016EC" w:rsidRPr="00CA59F3" w:rsidRDefault="008016EC" w:rsidP="00B51AAB">
            <w:pPr>
              <w:pStyle w:val="DHHStablecolhead"/>
            </w:pPr>
            <w:r w:rsidRPr="00CA59F3">
              <w:t> </w:t>
            </w:r>
          </w:p>
        </w:tc>
        <w:tc>
          <w:tcPr>
            <w:tcW w:w="3025" w:type="pct"/>
            <w:noWrap/>
            <w:hideMark/>
          </w:tcPr>
          <w:p w:rsidR="008016EC" w:rsidRPr="00CA59F3" w:rsidRDefault="008016EC" w:rsidP="00B51AAB">
            <w:pPr>
              <w:pStyle w:val="DHHStablecolhead"/>
            </w:pPr>
            <w:r w:rsidRPr="00CA59F3">
              <w:t>Cause of death</w:t>
            </w:r>
          </w:p>
        </w:tc>
        <w:tc>
          <w:tcPr>
            <w:tcW w:w="599" w:type="pct"/>
            <w:hideMark/>
          </w:tcPr>
          <w:p w:rsidR="008016EC" w:rsidRPr="00CA59F3" w:rsidRDefault="008016EC" w:rsidP="00B51AAB">
            <w:pPr>
              <w:pStyle w:val="DHHStablecolhead"/>
            </w:pPr>
            <w:r w:rsidRPr="00CA59F3">
              <w:t>Maternal deaths</w:t>
            </w:r>
            <w:r>
              <w:t xml:space="preserve"> included in MMR</w:t>
            </w:r>
            <w:r w:rsidRPr="00CA59F3">
              <w:t xml:space="preserve"> </w:t>
            </w:r>
          </w:p>
        </w:tc>
        <w:tc>
          <w:tcPr>
            <w:tcW w:w="656" w:type="pct"/>
            <w:hideMark/>
          </w:tcPr>
          <w:p w:rsidR="008016EC" w:rsidRPr="00CA59F3" w:rsidRDefault="008016EC" w:rsidP="00B51AAB">
            <w:pPr>
              <w:pStyle w:val="DHHStablecolhead"/>
            </w:pPr>
            <w:r w:rsidRPr="00CA59F3">
              <w:t xml:space="preserve">Late </w:t>
            </w:r>
            <w:r w:rsidRPr="00CA59F3">
              <w:rPr>
                <w:vertAlign w:val="superscript"/>
              </w:rPr>
              <w:t>a</w:t>
            </w:r>
            <w:r w:rsidRPr="00CA59F3">
              <w:t xml:space="preserve"> maternal deaths</w:t>
            </w:r>
          </w:p>
        </w:tc>
      </w:tr>
      <w:tr w:rsidR="008016EC" w:rsidRPr="00F049D1" w:rsidTr="00B51AAB">
        <w:trPr>
          <w:trHeight w:val="182"/>
        </w:trPr>
        <w:tc>
          <w:tcPr>
            <w:tcW w:w="721" w:type="pct"/>
            <w:noWrap/>
            <w:hideMark/>
          </w:tcPr>
          <w:p w:rsidR="008016EC" w:rsidRPr="00F049D1" w:rsidRDefault="008016EC" w:rsidP="00B51AAB">
            <w:pPr>
              <w:pStyle w:val="DHHStabletext"/>
              <w:rPr>
                <w:b/>
              </w:rPr>
            </w:pPr>
            <w:r w:rsidRPr="00F049D1">
              <w:rPr>
                <w:b/>
              </w:rPr>
              <w:t>Direct</w:t>
            </w:r>
          </w:p>
        </w:tc>
        <w:tc>
          <w:tcPr>
            <w:tcW w:w="3025" w:type="pct"/>
            <w:noWrap/>
            <w:hideMark/>
          </w:tcPr>
          <w:p w:rsidR="008016EC" w:rsidRPr="00F049D1" w:rsidRDefault="008016EC" w:rsidP="00B51AAB">
            <w:pPr>
              <w:pStyle w:val="DHHStabletext"/>
              <w:rPr>
                <w:b/>
              </w:rPr>
            </w:pPr>
            <w:r w:rsidRPr="00F049D1">
              <w:rPr>
                <w:b/>
              </w:rPr>
              <w:t> </w:t>
            </w:r>
          </w:p>
        </w:tc>
        <w:tc>
          <w:tcPr>
            <w:tcW w:w="599" w:type="pct"/>
            <w:hideMark/>
          </w:tcPr>
          <w:p w:rsidR="008016EC" w:rsidRPr="00F049D1" w:rsidRDefault="008016EC" w:rsidP="00B51AAB">
            <w:pPr>
              <w:pStyle w:val="DHHStabletext"/>
              <w:rPr>
                <w:b/>
              </w:rPr>
            </w:pPr>
            <w:r w:rsidRPr="00F049D1">
              <w:rPr>
                <w:b/>
              </w:rPr>
              <w:t>19</w:t>
            </w:r>
          </w:p>
        </w:tc>
        <w:tc>
          <w:tcPr>
            <w:tcW w:w="656" w:type="pct"/>
            <w:hideMark/>
          </w:tcPr>
          <w:p w:rsidR="008016EC" w:rsidRPr="00F049D1" w:rsidRDefault="008016EC" w:rsidP="00B51AAB">
            <w:pPr>
              <w:pStyle w:val="DHHStabletext"/>
              <w:rPr>
                <w:b/>
              </w:rPr>
            </w:pPr>
            <w:r w:rsidRPr="00F049D1">
              <w:rPr>
                <w:b/>
              </w:rPr>
              <w:t>2</w:t>
            </w:r>
          </w:p>
        </w:tc>
      </w:tr>
      <w:tr w:rsidR="008016EC" w:rsidRPr="009E76BB" w:rsidTr="00B51AAB">
        <w:trPr>
          <w:trHeight w:val="70"/>
        </w:trPr>
        <w:tc>
          <w:tcPr>
            <w:tcW w:w="721" w:type="pct"/>
            <w:vMerge w:val="restart"/>
            <w:hideMark/>
          </w:tcPr>
          <w:p w:rsidR="008016EC" w:rsidRPr="00CA59F3" w:rsidRDefault="008016EC" w:rsidP="00B51AAB">
            <w:pPr>
              <w:pStyle w:val="DHHStabletext"/>
            </w:pPr>
            <w:r w:rsidRPr="00CA59F3">
              <w:t>(due to a complication of the pregnancy)</w:t>
            </w:r>
            <w:r w:rsidRPr="00CA59F3">
              <w:rPr>
                <w:b/>
                <w:bCs/>
              </w:rPr>
              <w:t> </w:t>
            </w:r>
          </w:p>
        </w:tc>
        <w:tc>
          <w:tcPr>
            <w:tcW w:w="3025" w:type="pct"/>
            <w:noWrap/>
            <w:hideMark/>
          </w:tcPr>
          <w:p w:rsidR="008016EC" w:rsidRPr="00CA59F3" w:rsidRDefault="008016EC" w:rsidP="00B51AAB">
            <w:pPr>
              <w:pStyle w:val="DHHStabletext"/>
            </w:pPr>
            <w:r w:rsidRPr="00CA59F3">
              <w:t>Obstetric haemorrhage</w:t>
            </w:r>
          </w:p>
        </w:tc>
        <w:tc>
          <w:tcPr>
            <w:tcW w:w="599" w:type="pct"/>
            <w:noWrap/>
            <w:hideMark/>
          </w:tcPr>
          <w:p w:rsidR="008016EC" w:rsidRPr="00CA59F3" w:rsidRDefault="008016EC" w:rsidP="00B51AAB">
            <w:pPr>
              <w:pStyle w:val="DHHStabletext"/>
            </w:pPr>
            <w:r w:rsidRPr="00CA59F3">
              <w:t>5</w:t>
            </w:r>
          </w:p>
        </w:tc>
        <w:tc>
          <w:tcPr>
            <w:tcW w:w="656" w:type="pct"/>
            <w:hideMark/>
          </w:tcPr>
          <w:p w:rsidR="008016EC" w:rsidRPr="00CA59F3" w:rsidRDefault="008016EC" w:rsidP="00B51AAB">
            <w:pPr>
              <w:pStyle w:val="DHHStabletext"/>
            </w:pPr>
            <w:r w:rsidRPr="00CA59F3">
              <w:t> </w:t>
            </w:r>
          </w:p>
        </w:tc>
      </w:tr>
      <w:tr w:rsidR="008016EC" w:rsidRPr="009E76BB" w:rsidTr="00B51AAB">
        <w:trPr>
          <w:trHeight w:val="90"/>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Thromboembolism</w:t>
            </w:r>
          </w:p>
        </w:tc>
        <w:tc>
          <w:tcPr>
            <w:tcW w:w="599" w:type="pct"/>
            <w:noWrap/>
            <w:hideMark/>
          </w:tcPr>
          <w:p w:rsidR="008016EC" w:rsidRPr="00CA59F3" w:rsidRDefault="008016EC" w:rsidP="00B51AAB">
            <w:pPr>
              <w:pStyle w:val="DHHStabletext"/>
            </w:pPr>
            <w:r w:rsidRPr="00CA59F3">
              <w:t>5</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35"/>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Anaesthetic related death</w:t>
            </w:r>
          </w:p>
        </w:tc>
        <w:tc>
          <w:tcPr>
            <w:tcW w:w="599" w:type="pct"/>
            <w:noWrap/>
            <w:hideMark/>
          </w:tcPr>
          <w:p w:rsidR="008016EC" w:rsidRPr="00CA59F3" w:rsidRDefault="008016EC" w:rsidP="00B51AAB">
            <w:pPr>
              <w:pStyle w:val="DHHStabletext"/>
            </w:pPr>
            <w:r w:rsidRPr="00CA59F3">
              <w:t>2</w:t>
            </w:r>
          </w:p>
        </w:tc>
        <w:tc>
          <w:tcPr>
            <w:tcW w:w="656" w:type="pct"/>
            <w:hideMark/>
          </w:tcPr>
          <w:p w:rsidR="008016EC" w:rsidRPr="00CA59F3" w:rsidRDefault="008016EC" w:rsidP="00B51AAB">
            <w:pPr>
              <w:pStyle w:val="DHHStabletext"/>
            </w:pPr>
            <w:r w:rsidRPr="00CA59F3">
              <w:t> </w:t>
            </w:r>
          </w:p>
        </w:tc>
      </w:tr>
      <w:tr w:rsidR="008016EC" w:rsidRPr="009E76BB" w:rsidTr="00B51AAB">
        <w:trPr>
          <w:trHeight w:val="167"/>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Amniotic fluid embolus</w:t>
            </w:r>
          </w:p>
        </w:tc>
        <w:tc>
          <w:tcPr>
            <w:tcW w:w="599" w:type="pct"/>
            <w:noWrap/>
            <w:hideMark/>
          </w:tcPr>
          <w:p w:rsidR="008016EC" w:rsidRPr="00CA59F3" w:rsidRDefault="008016EC" w:rsidP="00B51AAB">
            <w:pPr>
              <w:pStyle w:val="DHHStabletext"/>
            </w:pPr>
            <w:r w:rsidRPr="00CA59F3">
              <w:t>2</w:t>
            </w:r>
          </w:p>
        </w:tc>
        <w:tc>
          <w:tcPr>
            <w:tcW w:w="656" w:type="pct"/>
            <w:hideMark/>
          </w:tcPr>
          <w:p w:rsidR="008016EC" w:rsidRPr="00CA59F3" w:rsidRDefault="008016EC" w:rsidP="00B51AAB">
            <w:pPr>
              <w:pStyle w:val="DHHStabletext"/>
            </w:pPr>
            <w:r w:rsidRPr="00CA59F3">
              <w:t> </w:t>
            </w:r>
          </w:p>
        </w:tc>
      </w:tr>
      <w:tr w:rsidR="008016EC" w:rsidRPr="009E76BB" w:rsidTr="00B51AAB">
        <w:trPr>
          <w:trHeight w:val="70"/>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Early pregnancy death - ectopic pregnancy</w:t>
            </w:r>
          </w:p>
        </w:tc>
        <w:tc>
          <w:tcPr>
            <w:tcW w:w="599" w:type="pct"/>
            <w:noWrap/>
            <w:hideMark/>
          </w:tcPr>
          <w:p w:rsidR="008016EC" w:rsidRPr="00CA59F3" w:rsidRDefault="008016EC" w:rsidP="00B51AAB">
            <w:pPr>
              <w:pStyle w:val="DHHStabletext"/>
            </w:pPr>
            <w:r w:rsidRPr="00CA59F3">
              <w:t>1</w:t>
            </w:r>
          </w:p>
        </w:tc>
        <w:tc>
          <w:tcPr>
            <w:tcW w:w="656" w:type="pct"/>
            <w:hideMark/>
          </w:tcPr>
          <w:p w:rsidR="008016EC" w:rsidRPr="00CA59F3" w:rsidRDefault="008016EC" w:rsidP="00B51AAB">
            <w:pPr>
              <w:pStyle w:val="DHHStabletext"/>
            </w:pPr>
            <w:r w:rsidRPr="00CA59F3">
              <w:t> </w:t>
            </w:r>
          </w:p>
        </w:tc>
      </w:tr>
      <w:tr w:rsidR="008016EC" w:rsidRPr="009E76BB" w:rsidTr="00B51AAB">
        <w:trPr>
          <w:trHeight w:val="217"/>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Sepsis</w:t>
            </w:r>
            <w:r w:rsidRPr="000A3714">
              <w:rPr>
                <w:sz w:val="24"/>
                <w:szCs w:val="24"/>
              </w:rPr>
              <w:t xml:space="preserve"> </w:t>
            </w:r>
            <w:r w:rsidRPr="000A3714">
              <w:rPr>
                <w:sz w:val="24"/>
                <w:szCs w:val="24"/>
                <w:vertAlign w:val="superscript"/>
              </w:rPr>
              <w:t>b</w:t>
            </w:r>
          </w:p>
        </w:tc>
        <w:tc>
          <w:tcPr>
            <w:tcW w:w="599" w:type="pct"/>
            <w:noWrap/>
            <w:hideMark/>
          </w:tcPr>
          <w:p w:rsidR="008016EC" w:rsidRPr="00CA59F3" w:rsidRDefault="008016EC" w:rsidP="00B51AAB">
            <w:pPr>
              <w:pStyle w:val="DHHStabletext"/>
            </w:pPr>
            <w:r w:rsidRPr="00CA59F3">
              <w:t>1</w:t>
            </w:r>
          </w:p>
        </w:tc>
        <w:tc>
          <w:tcPr>
            <w:tcW w:w="656" w:type="pct"/>
            <w:hideMark/>
          </w:tcPr>
          <w:p w:rsidR="008016EC" w:rsidRPr="00CA59F3" w:rsidRDefault="008016EC" w:rsidP="00B51AAB">
            <w:pPr>
              <w:pStyle w:val="DHHStabletext"/>
            </w:pPr>
            <w:r w:rsidRPr="00CA59F3">
              <w:t> </w:t>
            </w:r>
          </w:p>
        </w:tc>
      </w:tr>
      <w:tr w:rsidR="008016EC" w:rsidRPr="009E76BB" w:rsidTr="00B51AAB">
        <w:trPr>
          <w:trHeight w:val="249"/>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Eclampsia</w:t>
            </w:r>
          </w:p>
        </w:tc>
        <w:tc>
          <w:tcPr>
            <w:tcW w:w="599" w:type="pct"/>
            <w:noWrap/>
            <w:hideMark/>
          </w:tcPr>
          <w:p w:rsidR="008016EC" w:rsidRPr="00CA59F3" w:rsidRDefault="008016EC" w:rsidP="00B51AAB">
            <w:pPr>
              <w:pStyle w:val="DHHStabletext"/>
            </w:pPr>
            <w:r w:rsidRPr="00CA59F3">
              <w:t>1</w:t>
            </w:r>
          </w:p>
        </w:tc>
        <w:tc>
          <w:tcPr>
            <w:tcW w:w="656" w:type="pct"/>
            <w:hideMark/>
          </w:tcPr>
          <w:p w:rsidR="008016EC" w:rsidRPr="00CA59F3" w:rsidRDefault="008016EC" w:rsidP="00B51AAB">
            <w:pPr>
              <w:pStyle w:val="DHHStabletext"/>
            </w:pPr>
            <w:r w:rsidRPr="00CA59F3">
              <w:t> </w:t>
            </w:r>
          </w:p>
        </w:tc>
      </w:tr>
      <w:tr w:rsidR="008016EC" w:rsidRPr="009E76BB" w:rsidTr="00B51AAB">
        <w:trPr>
          <w:trHeight w:val="70"/>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Psychosocial</w:t>
            </w:r>
            <w:r w:rsidRPr="00CA59F3">
              <w:rPr>
                <w:vertAlign w:val="superscript"/>
              </w:rPr>
              <w:t xml:space="preserve"> </w:t>
            </w:r>
            <w:r w:rsidRPr="000A3714">
              <w:rPr>
                <w:sz w:val="24"/>
                <w:szCs w:val="24"/>
                <w:vertAlign w:val="superscript"/>
              </w:rPr>
              <w:t>c</w:t>
            </w:r>
          </w:p>
        </w:tc>
        <w:tc>
          <w:tcPr>
            <w:tcW w:w="599" w:type="pct"/>
            <w:noWrap/>
            <w:hideMark/>
          </w:tcPr>
          <w:p w:rsidR="008016EC" w:rsidRPr="00CA59F3" w:rsidRDefault="008016EC" w:rsidP="00B51AAB">
            <w:pPr>
              <w:pStyle w:val="DHHStabletext"/>
            </w:pPr>
            <w:r w:rsidRPr="00CA59F3">
              <w:t>1</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29"/>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proofErr w:type="spellStart"/>
            <w:r w:rsidRPr="00CA59F3">
              <w:t>Post partum</w:t>
            </w:r>
            <w:proofErr w:type="spellEnd"/>
            <w:r w:rsidRPr="00CA59F3">
              <w:t xml:space="preserve"> sepsis – </w:t>
            </w:r>
            <w:r w:rsidRPr="00CA59F3">
              <w:rPr>
                <w:i/>
                <w:iCs/>
              </w:rPr>
              <w:t>Streptococcus</w:t>
            </w:r>
            <w:r w:rsidRPr="00CA59F3">
              <w:t xml:space="preserve"> Group A</w:t>
            </w:r>
          </w:p>
        </w:tc>
        <w:tc>
          <w:tcPr>
            <w:tcW w:w="599" w:type="pct"/>
            <w:noWrap/>
            <w:hideMark/>
          </w:tcPr>
          <w:p w:rsidR="008016EC" w:rsidRPr="00CA59F3" w:rsidRDefault="008016EC" w:rsidP="00B51AAB">
            <w:pPr>
              <w:pStyle w:val="DHHStabletext"/>
            </w:pPr>
            <w:r w:rsidRPr="00CA59F3">
              <w:t>1</w:t>
            </w:r>
          </w:p>
        </w:tc>
        <w:tc>
          <w:tcPr>
            <w:tcW w:w="656" w:type="pct"/>
            <w:hideMark/>
          </w:tcPr>
          <w:p w:rsidR="008016EC" w:rsidRPr="00CA59F3" w:rsidRDefault="008016EC" w:rsidP="00B51AAB">
            <w:pPr>
              <w:pStyle w:val="DHHStabletext"/>
            </w:pPr>
            <w:r w:rsidRPr="00CA59F3">
              <w:t> </w:t>
            </w:r>
          </w:p>
        </w:tc>
      </w:tr>
      <w:tr w:rsidR="008016EC" w:rsidRPr="00F049D1" w:rsidTr="00B51AAB">
        <w:trPr>
          <w:trHeight w:val="161"/>
        </w:trPr>
        <w:tc>
          <w:tcPr>
            <w:tcW w:w="721" w:type="pct"/>
            <w:noWrap/>
            <w:hideMark/>
          </w:tcPr>
          <w:p w:rsidR="008016EC" w:rsidRPr="00F049D1" w:rsidRDefault="008016EC" w:rsidP="00B51AAB">
            <w:pPr>
              <w:pStyle w:val="DHHStabletext"/>
              <w:rPr>
                <w:b/>
              </w:rPr>
            </w:pPr>
            <w:r w:rsidRPr="00F049D1">
              <w:rPr>
                <w:b/>
              </w:rPr>
              <w:t>Indirect</w:t>
            </w:r>
          </w:p>
        </w:tc>
        <w:tc>
          <w:tcPr>
            <w:tcW w:w="3025" w:type="pct"/>
            <w:noWrap/>
            <w:hideMark/>
          </w:tcPr>
          <w:p w:rsidR="008016EC" w:rsidRPr="00F049D1" w:rsidRDefault="008016EC" w:rsidP="00B51AAB">
            <w:pPr>
              <w:pStyle w:val="DHHStabletext"/>
              <w:rPr>
                <w:b/>
              </w:rPr>
            </w:pPr>
            <w:r w:rsidRPr="00F049D1">
              <w:rPr>
                <w:b/>
              </w:rPr>
              <w:t> </w:t>
            </w:r>
          </w:p>
        </w:tc>
        <w:tc>
          <w:tcPr>
            <w:tcW w:w="599" w:type="pct"/>
            <w:noWrap/>
            <w:hideMark/>
          </w:tcPr>
          <w:p w:rsidR="008016EC" w:rsidRPr="00F049D1" w:rsidRDefault="008016EC" w:rsidP="00B51AAB">
            <w:pPr>
              <w:pStyle w:val="DHHStabletext"/>
              <w:rPr>
                <w:b/>
              </w:rPr>
            </w:pPr>
            <w:r w:rsidRPr="00F049D1">
              <w:rPr>
                <w:b/>
              </w:rPr>
              <w:t>26</w:t>
            </w:r>
          </w:p>
        </w:tc>
        <w:tc>
          <w:tcPr>
            <w:tcW w:w="656" w:type="pct"/>
            <w:hideMark/>
          </w:tcPr>
          <w:p w:rsidR="008016EC" w:rsidRPr="00F049D1" w:rsidRDefault="008016EC" w:rsidP="00B51AAB">
            <w:pPr>
              <w:pStyle w:val="DHHStabletext"/>
              <w:rPr>
                <w:b/>
              </w:rPr>
            </w:pPr>
            <w:r w:rsidRPr="00F049D1">
              <w:rPr>
                <w:b/>
              </w:rPr>
              <w:t>9</w:t>
            </w:r>
          </w:p>
        </w:tc>
      </w:tr>
      <w:tr w:rsidR="008016EC" w:rsidRPr="009E76BB" w:rsidTr="00B51AAB">
        <w:trPr>
          <w:trHeight w:val="70"/>
        </w:trPr>
        <w:tc>
          <w:tcPr>
            <w:tcW w:w="721" w:type="pct"/>
            <w:vMerge w:val="restart"/>
            <w:hideMark/>
          </w:tcPr>
          <w:p w:rsidR="008016EC" w:rsidRPr="00CA59F3" w:rsidRDefault="008016EC" w:rsidP="00B51AAB">
            <w:pPr>
              <w:pStyle w:val="DHHStabletext"/>
            </w:pPr>
            <w:r w:rsidRPr="00CA59F3">
              <w:t>(related to a pre-existing or newly diagnosed condition exacerbated by pregnancy)</w:t>
            </w:r>
          </w:p>
        </w:tc>
        <w:tc>
          <w:tcPr>
            <w:tcW w:w="3025" w:type="pct"/>
            <w:noWrap/>
            <w:hideMark/>
          </w:tcPr>
          <w:p w:rsidR="008016EC" w:rsidRPr="00CA59F3" w:rsidRDefault="008016EC" w:rsidP="00B51AAB">
            <w:pPr>
              <w:pStyle w:val="DHHStabletext"/>
            </w:pPr>
            <w:r w:rsidRPr="00CA59F3">
              <w:t>Cardiac disease</w:t>
            </w:r>
          </w:p>
        </w:tc>
        <w:tc>
          <w:tcPr>
            <w:tcW w:w="599" w:type="pct"/>
            <w:noWrap/>
            <w:hideMark/>
          </w:tcPr>
          <w:p w:rsidR="008016EC" w:rsidRPr="00CA59F3" w:rsidRDefault="008016EC" w:rsidP="00B51AAB">
            <w:pPr>
              <w:pStyle w:val="DHHStabletext"/>
            </w:pPr>
            <w:r w:rsidRPr="00CA59F3">
              <w:t>8</w:t>
            </w:r>
          </w:p>
        </w:tc>
        <w:tc>
          <w:tcPr>
            <w:tcW w:w="656" w:type="pct"/>
            <w:hideMark/>
          </w:tcPr>
          <w:p w:rsidR="008016EC" w:rsidRPr="00CA59F3" w:rsidRDefault="008016EC" w:rsidP="00B51AAB">
            <w:pPr>
              <w:pStyle w:val="DHHStabletext"/>
            </w:pPr>
            <w:r w:rsidRPr="00CA59F3">
              <w:t> </w:t>
            </w:r>
          </w:p>
        </w:tc>
      </w:tr>
      <w:tr w:rsidR="008016EC" w:rsidRPr="009E76BB" w:rsidTr="00B51AAB">
        <w:trPr>
          <w:trHeight w:val="83"/>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Non-obstetric haemorrhage (includes intracerebral bleeding)</w:t>
            </w:r>
          </w:p>
        </w:tc>
        <w:tc>
          <w:tcPr>
            <w:tcW w:w="599" w:type="pct"/>
            <w:noWrap/>
            <w:hideMark/>
          </w:tcPr>
          <w:p w:rsidR="008016EC" w:rsidRPr="00CA59F3" w:rsidRDefault="008016EC" w:rsidP="00B51AAB">
            <w:pPr>
              <w:pStyle w:val="DHHStabletext"/>
            </w:pPr>
            <w:r w:rsidRPr="00CA59F3">
              <w:t>8</w:t>
            </w:r>
          </w:p>
        </w:tc>
        <w:tc>
          <w:tcPr>
            <w:tcW w:w="656" w:type="pct"/>
            <w:hideMark/>
          </w:tcPr>
          <w:p w:rsidR="008016EC" w:rsidRPr="00CA59F3" w:rsidRDefault="008016EC" w:rsidP="00B51AAB">
            <w:pPr>
              <w:pStyle w:val="DHHStabletext"/>
            </w:pPr>
            <w:r w:rsidRPr="00CA59F3">
              <w:t> </w:t>
            </w:r>
          </w:p>
        </w:tc>
      </w:tr>
      <w:tr w:rsidR="008016EC" w:rsidRPr="009E76BB" w:rsidTr="00B51AAB">
        <w:trPr>
          <w:trHeight w:val="102"/>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bookmarkStart w:id="6" w:name="RANGE!C16"/>
            <w:r w:rsidRPr="00CA59F3">
              <w:t>Psychosocial</w:t>
            </w:r>
            <w:r w:rsidRPr="00CA59F3">
              <w:rPr>
                <w:vertAlign w:val="superscript"/>
              </w:rPr>
              <w:t xml:space="preserve"> </w:t>
            </w:r>
            <w:r w:rsidRPr="000A3714">
              <w:rPr>
                <w:sz w:val="24"/>
                <w:szCs w:val="24"/>
                <w:vertAlign w:val="superscript"/>
              </w:rPr>
              <w:t>c</w:t>
            </w:r>
            <w:bookmarkEnd w:id="6"/>
          </w:p>
        </w:tc>
        <w:tc>
          <w:tcPr>
            <w:tcW w:w="599" w:type="pct"/>
            <w:noWrap/>
            <w:hideMark/>
          </w:tcPr>
          <w:p w:rsidR="008016EC" w:rsidRPr="00CA59F3" w:rsidRDefault="008016EC" w:rsidP="00B51AAB">
            <w:pPr>
              <w:pStyle w:val="DHHStabletext"/>
            </w:pPr>
            <w:r w:rsidRPr="00CA59F3">
              <w:t>6</w:t>
            </w:r>
          </w:p>
        </w:tc>
        <w:tc>
          <w:tcPr>
            <w:tcW w:w="656" w:type="pct"/>
            <w:hideMark/>
          </w:tcPr>
          <w:p w:rsidR="008016EC" w:rsidRPr="00CA59F3" w:rsidRDefault="008016EC" w:rsidP="00B51AAB">
            <w:pPr>
              <w:pStyle w:val="DHHStabletext"/>
            </w:pPr>
            <w:r w:rsidRPr="00CA59F3">
              <w:t>4</w:t>
            </w:r>
          </w:p>
        </w:tc>
      </w:tr>
      <w:tr w:rsidR="008016EC" w:rsidRPr="009E76BB" w:rsidTr="00B51AAB">
        <w:trPr>
          <w:trHeight w:val="133"/>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Sepsis - acute pyelonephritis</w:t>
            </w:r>
          </w:p>
        </w:tc>
        <w:tc>
          <w:tcPr>
            <w:tcW w:w="599" w:type="pct"/>
            <w:noWrap/>
            <w:hideMark/>
          </w:tcPr>
          <w:p w:rsidR="008016EC" w:rsidRPr="00CA59F3" w:rsidRDefault="008016EC" w:rsidP="00B51AAB">
            <w:pPr>
              <w:pStyle w:val="DHHStabletext"/>
            </w:pPr>
            <w:r w:rsidRPr="00CA59F3">
              <w:t>1</w:t>
            </w:r>
          </w:p>
        </w:tc>
        <w:tc>
          <w:tcPr>
            <w:tcW w:w="656" w:type="pct"/>
            <w:hideMark/>
          </w:tcPr>
          <w:p w:rsidR="008016EC" w:rsidRPr="00CA59F3" w:rsidRDefault="008016EC" w:rsidP="00B51AAB">
            <w:pPr>
              <w:pStyle w:val="DHHStabletext"/>
            </w:pPr>
            <w:r w:rsidRPr="00CA59F3">
              <w:t> </w:t>
            </w:r>
          </w:p>
        </w:tc>
      </w:tr>
      <w:tr w:rsidR="008016EC" w:rsidRPr="009E76BB" w:rsidTr="00B51AAB">
        <w:trPr>
          <w:trHeight w:val="165"/>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 xml:space="preserve">Complications of heart transplant for the treatment of </w:t>
            </w:r>
            <w:proofErr w:type="spellStart"/>
            <w:r w:rsidRPr="00CA59F3">
              <w:t>peripartum</w:t>
            </w:r>
            <w:proofErr w:type="spellEnd"/>
            <w:r w:rsidRPr="00CA59F3">
              <w:t xml:space="preserve"> cardiomyopathy</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97"/>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Carcinoma of the cervix</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73"/>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Bronchopneumonia with associated substance abuse and domestic violence</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19"/>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Primary pulmonary hypertension</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51"/>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Multiple sclerosis</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84"/>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Undetermined</w:t>
            </w:r>
          </w:p>
        </w:tc>
        <w:tc>
          <w:tcPr>
            <w:tcW w:w="599" w:type="pct"/>
            <w:noWrap/>
            <w:hideMark/>
          </w:tcPr>
          <w:p w:rsidR="008016EC" w:rsidRPr="00CA59F3" w:rsidRDefault="008016EC" w:rsidP="00B51AAB">
            <w:pPr>
              <w:pStyle w:val="DHHStabletext"/>
            </w:pPr>
            <w:r w:rsidRPr="00CA59F3">
              <w:t>3</w:t>
            </w:r>
          </w:p>
        </w:tc>
        <w:tc>
          <w:tcPr>
            <w:tcW w:w="656" w:type="pct"/>
            <w:noWrap/>
            <w:hideMark/>
          </w:tcPr>
          <w:p w:rsidR="008016EC" w:rsidRPr="00CA59F3" w:rsidRDefault="008016EC" w:rsidP="00B51AAB">
            <w:pPr>
              <w:pStyle w:val="DHHStabletext"/>
            </w:pPr>
            <w:r w:rsidRPr="00CA59F3">
              <w:t> </w:t>
            </w:r>
          </w:p>
        </w:tc>
      </w:tr>
      <w:tr w:rsidR="008016EC" w:rsidRPr="00F049D1" w:rsidTr="00B51AAB">
        <w:trPr>
          <w:trHeight w:val="70"/>
        </w:trPr>
        <w:tc>
          <w:tcPr>
            <w:tcW w:w="721" w:type="pct"/>
            <w:noWrap/>
            <w:hideMark/>
          </w:tcPr>
          <w:p w:rsidR="008016EC" w:rsidRPr="00F049D1" w:rsidRDefault="008016EC" w:rsidP="00B51AAB">
            <w:pPr>
              <w:pStyle w:val="DHHStabletext"/>
              <w:rPr>
                <w:b/>
              </w:rPr>
            </w:pPr>
            <w:r w:rsidRPr="00F049D1">
              <w:rPr>
                <w:b/>
              </w:rPr>
              <w:t>Incidental</w:t>
            </w:r>
          </w:p>
        </w:tc>
        <w:tc>
          <w:tcPr>
            <w:tcW w:w="3025" w:type="pct"/>
            <w:noWrap/>
            <w:hideMark/>
          </w:tcPr>
          <w:p w:rsidR="008016EC" w:rsidRPr="00F049D1" w:rsidRDefault="008016EC" w:rsidP="00B51AAB">
            <w:pPr>
              <w:pStyle w:val="DHHStabletext"/>
              <w:rPr>
                <w:b/>
              </w:rPr>
            </w:pPr>
            <w:r w:rsidRPr="00F049D1">
              <w:rPr>
                <w:b/>
              </w:rPr>
              <w:t> </w:t>
            </w:r>
          </w:p>
        </w:tc>
        <w:tc>
          <w:tcPr>
            <w:tcW w:w="599" w:type="pct"/>
            <w:noWrap/>
            <w:hideMark/>
          </w:tcPr>
          <w:p w:rsidR="008016EC" w:rsidRPr="00F049D1" w:rsidRDefault="008016EC" w:rsidP="00B51AAB">
            <w:pPr>
              <w:pStyle w:val="DHHStabletext"/>
              <w:rPr>
                <w:b/>
              </w:rPr>
            </w:pPr>
            <w:r w:rsidRPr="00F049D1">
              <w:rPr>
                <w:b/>
              </w:rPr>
              <w:t>0</w:t>
            </w:r>
          </w:p>
        </w:tc>
        <w:tc>
          <w:tcPr>
            <w:tcW w:w="656" w:type="pct"/>
            <w:hideMark/>
          </w:tcPr>
          <w:p w:rsidR="008016EC" w:rsidRPr="00F049D1" w:rsidRDefault="008016EC" w:rsidP="00B51AAB">
            <w:pPr>
              <w:pStyle w:val="DHHStabletext"/>
              <w:rPr>
                <w:b/>
              </w:rPr>
            </w:pPr>
            <w:r w:rsidRPr="00F049D1">
              <w:rPr>
                <w:b/>
              </w:rPr>
              <w:t>12</w:t>
            </w:r>
          </w:p>
        </w:tc>
      </w:tr>
      <w:tr w:rsidR="008016EC" w:rsidRPr="009E76BB" w:rsidTr="00B51AAB">
        <w:trPr>
          <w:trHeight w:val="92"/>
        </w:trPr>
        <w:tc>
          <w:tcPr>
            <w:tcW w:w="721" w:type="pct"/>
            <w:vMerge w:val="restart"/>
            <w:hideMark/>
          </w:tcPr>
          <w:p w:rsidR="008016EC" w:rsidRPr="00CA59F3" w:rsidRDefault="008016EC" w:rsidP="00B51AAB">
            <w:pPr>
              <w:pStyle w:val="DHHStabletext"/>
            </w:pPr>
            <w:r w:rsidRPr="00CA59F3">
              <w:t>(where the pregnancy is unlikely to have contributed significantly to the death) </w:t>
            </w:r>
          </w:p>
        </w:tc>
        <w:tc>
          <w:tcPr>
            <w:tcW w:w="3025" w:type="pct"/>
            <w:noWrap/>
            <w:hideMark/>
          </w:tcPr>
          <w:p w:rsidR="008016EC" w:rsidRPr="00CA59F3" w:rsidRDefault="008016EC" w:rsidP="00B51AAB">
            <w:pPr>
              <w:pStyle w:val="DHHStabletext"/>
            </w:pPr>
            <w:r w:rsidRPr="00CA59F3">
              <w:t>Bronchopneumonia</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265"/>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Metastatic melanoma</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27"/>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Subarachnoid haemorrhage secondary to endocarditis</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70"/>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Prolonged QT syndrome</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70"/>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Pulmonary embolus</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77"/>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Complications post tubal ligation</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1</w:t>
            </w:r>
          </w:p>
        </w:tc>
      </w:tr>
      <w:tr w:rsidR="008016EC" w:rsidRPr="009E76BB" w:rsidTr="00B51AAB">
        <w:trPr>
          <w:trHeight w:val="192"/>
        </w:trPr>
        <w:tc>
          <w:tcPr>
            <w:tcW w:w="721" w:type="pct"/>
            <w:vMerge/>
            <w:hideMark/>
          </w:tcPr>
          <w:p w:rsidR="008016EC" w:rsidRPr="00CA59F3" w:rsidRDefault="008016EC" w:rsidP="00B51AAB">
            <w:pPr>
              <w:pStyle w:val="DHHStabletext"/>
            </w:pPr>
          </w:p>
        </w:tc>
        <w:tc>
          <w:tcPr>
            <w:tcW w:w="3025" w:type="pct"/>
            <w:noWrap/>
            <w:hideMark/>
          </w:tcPr>
          <w:p w:rsidR="008016EC" w:rsidRPr="00CA59F3" w:rsidRDefault="008016EC" w:rsidP="00B51AAB">
            <w:pPr>
              <w:pStyle w:val="DHHStabletext"/>
            </w:pPr>
            <w:r w:rsidRPr="00CA59F3">
              <w:t>Psychosocial</w:t>
            </w:r>
            <w:r w:rsidRPr="000A3714">
              <w:rPr>
                <w:sz w:val="24"/>
                <w:szCs w:val="24"/>
                <w:vertAlign w:val="superscript"/>
              </w:rPr>
              <w:t xml:space="preserve"> c</w:t>
            </w:r>
          </w:p>
        </w:tc>
        <w:tc>
          <w:tcPr>
            <w:tcW w:w="599" w:type="pct"/>
            <w:noWrap/>
            <w:hideMark/>
          </w:tcPr>
          <w:p w:rsidR="008016EC" w:rsidRPr="00CA59F3" w:rsidRDefault="008016EC" w:rsidP="00B51AAB">
            <w:pPr>
              <w:pStyle w:val="DHHStabletext"/>
            </w:pPr>
            <w:r w:rsidRPr="00CA59F3">
              <w:t> </w:t>
            </w:r>
          </w:p>
        </w:tc>
        <w:tc>
          <w:tcPr>
            <w:tcW w:w="656" w:type="pct"/>
            <w:hideMark/>
          </w:tcPr>
          <w:p w:rsidR="008016EC" w:rsidRPr="00CA59F3" w:rsidRDefault="008016EC" w:rsidP="00B51AAB">
            <w:pPr>
              <w:pStyle w:val="DHHStabletext"/>
            </w:pPr>
            <w:r w:rsidRPr="00CA59F3">
              <w:t>4</w:t>
            </w:r>
          </w:p>
        </w:tc>
      </w:tr>
      <w:tr w:rsidR="008016EC" w:rsidRPr="009E76BB" w:rsidTr="00B51AAB">
        <w:trPr>
          <w:trHeight w:val="96"/>
        </w:trPr>
        <w:tc>
          <w:tcPr>
            <w:tcW w:w="721" w:type="pct"/>
            <w:vMerge/>
            <w:tcBorders>
              <w:bottom w:val="single" w:sz="4" w:space="0" w:color="auto"/>
            </w:tcBorders>
            <w:hideMark/>
          </w:tcPr>
          <w:p w:rsidR="008016EC" w:rsidRPr="00CA59F3" w:rsidRDefault="008016EC" w:rsidP="00B51AAB">
            <w:pPr>
              <w:pStyle w:val="DHHStabletext"/>
            </w:pPr>
          </w:p>
        </w:tc>
        <w:tc>
          <w:tcPr>
            <w:tcW w:w="3025" w:type="pct"/>
            <w:tcBorders>
              <w:bottom w:val="single" w:sz="4" w:space="0" w:color="auto"/>
            </w:tcBorders>
            <w:noWrap/>
            <w:hideMark/>
          </w:tcPr>
          <w:p w:rsidR="008016EC" w:rsidRPr="00CA59F3" w:rsidRDefault="008016EC" w:rsidP="00B51AAB">
            <w:pPr>
              <w:pStyle w:val="DHHStabletext"/>
            </w:pPr>
            <w:r w:rsidRPr="00CA59F3">
              <w:t>Accidental injury</w:t>
            </w:r>
          </w:p>
        </w:tc>
        <w:tc>
          <w:tcPr>
            <w:tcW w:w="599" w:type="pct"/>
            <w:tcBorders>
              <w:bottom w:val="single" w:sz="4" w:space="0" w:color="auto"/>
            </w:tcBorders>
            <w:noWrap/>
            <w:hideMark/>
          </w:tcPr>
          <w:p w:rsidR="008016EC" w:rsidRPr="00CA59F3" w:rsidRDefault="008016EC" w:rsidP="00B51AAB">
            <w:pPr>
              <w:pStyle w:val="DHHStabletext"/>
            </w:pPr>
            <w:r w:rsidRPr="00CA59F3">
              <w:t> </w:t>
            </w:r>
          </w:p>
        </w:tc>
        <w:tc>
          <w:tcPr>
            <w:tcW w:w="656" w:type="pct"/>
            <w:tcBorders>
              <w:bottom w:val="single" w:sz="4" w:space="0" w:color="auto"/>
            </w:tcBorders>
            <w:hideMark/>
          </w:tcPr>
          <w:p w:rsidR="008016EC" w:rsidRPr="00CA59F3" w:rsidRDefault="008016EC" w:rsidP="00B51AAB">
            <w:pPr>
              <w:pStyle w:val="DHHStabletext"/>
            </w:pPr>
            <w:r w:rsidRPr="00CA59F3">
              <w:t>2</w:t>
            </w:r>
          </w:p>
        </w:tc>
      </w:tr>
      <w:tr w:rsidR="008016EC" w:rsidRPr="009E76BB" w:rsidTr="00B51AAB">
        <w:trPr>
          <w:trHeight w:val="300"/>
        </w:trPr>
        <w:tc>
          <w:tcPr>
            <w:tcW w:w="721" w:type="pct"/>
            <w:tcBorders>
              <w:top w:val="single" w:sz="4" w:space="0" w:color="auto"/>
              <w:bottom w:val="single" w:sz="4" w:space="0" w:color="auto"/>
            </w:tcBorders>
            <w:noWrap/>
            <w:hideMark/>
          </w:tcPr>
          <w:p w:rsidR="008016EC" w:rsidRPr="00F049D1" w:rsidRDefault="008016EC" w:rsidP="00B51AAB">
            <w:pPr>
              <w:pStyle w:val="DHHStabletext"/>
              <w:rPr>
                <w:b/>
              </w:rPr>
            </w:pPr>
            <w:r w:rsidRPr="00F049D1">
              <w:rPr>
                <w:b/>
              </w:rPr>
              <w:t> Total</w:t>
            </w:r>
          </w:p>
        </w:tc>
        <w:tc>
          <w:tcPr>
            <w:tcW w:w="3025" w:type="pct"/>
            <w:tcBorders>
              <w:top w:val="single" w:sz="4" w:space="0" w:color="auto"/>
              <w:bottom w:val="single" w:sz="4" w:space="0" w:color="auto"/>
            </w:tcBorders>
            <w:noWrap/>
            <w:hideMark/>
          </w:tcPr>
          <w:p w:rsidR="008016EC" w:rsidRPr="00F049D1" w:rsidRDefault="008016EC" w:rsidP="00B51AAB">
            <w:pPr>
              <w:pStyle w:val="DHHStabletext"/>
              <w:rPr>
                <w:b/>
              </w:rPr>
            </w:pPr>
            <w:r w:rsidRPr="00F049D1">
              <w:rPr>
                <w:b/>
              </w:rPr>
              <w:t> </w:t>
            </w:r>
          </w:p>
        </w:tc>
        <w:tc>
          <w:tcPr>
            <w:tcW w:w="599" w:type="pct"/>
            <w:tcBorders>
              <w:top w:val="single" w:sz="4" w:space="0" w:color="auto"/>
              <w:bottom w:val="single" w:sz="4" w:space="0" w:color="auto"/>
            </w:tcBorders>
            <w:noWrap/>
            <w:hideMark/>
          </w:tcPr>
          <w:p w:rsidR="008016EC" w:rsidRPr="00F049D1" w:rsidRDefault="008016EC" w:rsidP="00B51AAB">
            <w:pPr>
              <w:pStyle w:val="DHHStabletext"/>
              <w:rPr>
                <w:b/>
              </w:rPr>
            </w:pPr>
            <w:r w:rsidRPr="00F049D1">
              <w:rPr>
                <w:b/>
              </w:rPr>
              <w:t>45</w:t>
            </w:r>
          </w:p>
        </w:tc>
        <w:tc>
          <w:tcPr>
            <w:tcW w:w="656" w:type="pct"/>
            <w:tcBorders>
              <w:top w:val="single" w:sz="4" w:space="0" w:color="auto"/>
              <w:bottom w:val="single" w:sz="4" w:space="0" w:color="auto"/>
            </w:tcBorders>
            <w:noWrap/>
            <w:hideMark/>
          </w:tcPr>
          <w:p w:rsidR="008016EC" w:rsidRPr="00F049D1" w:rsidRDefault="008016EC" w:rsidP="00B51AAB">
            <w:pPr>
              <w:pStyle w:val="DHHStabletext"/>
              <w:rPr>
                <w:b/>
              </w:rPr>
            </w:pPr>
            <w:r w:rsidRPr="00F049D1">
              <w:rPr>
                <w:b/>
              </w:rPr>
              <w:t>23</w:t>
            </w:r>
          </w:p>
        </w:tc>
      </w:tr>
    </w:tbl>
    <w:p w:rsidR="008016EC" w:rsidRDefault="008016EC" w:rsidP="008016EC">
      <w:pPr>
        <w:pStyle w:val="DHHStabletext"/>
      </w:pPr>
      <w:r>
        <w:lastRenderedPageBreak/>
        <w:t>MMR: Maternal mortality ratio</w:t>
      </w:r>
    </w:p>
    <w:p w:rsidR="008016EC" w:rsidRPr="006A52B1" w:rsidRDefault="006A52B1" w:rsidP="006A52B1">
      <w:pPr>
        <w:pStyle w:val="DHHStabletext"/>
      </w:pPr>
      <w:r>
        <w:rPr>
          <w:vertAlign w:val="superscript"/>
        </w:rPr>
        <w:t>a</w:t>
      </w:r>
      <w:r>
        <w:t xml:space="preserve"> </w:t>
      </w:r>
      <w:r w:rsidR="008016EC" w:rsidRPr="006A52B1">
        <w:t>Late maternal deaths occur after 42 days but within 1 year of the birth and are not included in the maternal mortality ratio.</w:t>
      </w:r>
    </w:p>
    <w:p w:rsidR="008016EC" w:rsidRPr="006A52B1" w:rsidRDefault="006A52B1" w:rsidP="006A52B1">
      <w:pPr>
        <w:pStyle w:val="DHHStabletext"/>
      </w:pPr>
      <w:r>
        <w:rPr>
          <w:vertAlign w:val="superscript"/>
        </w:rPr>
        <w:t>b</w:t>
      </w:r>
      <w:r>
        <w:t xml:space="preserve"> </w:t>
      </w:r>
      <w:r w:rsidR="008016EC" w:rsidRPr="006A52B1">
        <w:t>This death did not occur in Victoria</w:t>
      </w:r>
    </w:p>
    <w:p w:rsidR="008016EC" w:rsidRPr="006A52B1" w:rsidRDefault="006A52B1" w:rsidP="006A52B1">
      <w:pPr>
        <w:pStyle w:val="DHHStabletext"/>
      </w:pPr>
      <w:r>
        <w:rPr>
          <w:vertAlign w:val="superscript"/>
        </w:rPr>
        <w:t>c</w:t>
      </w:r>
      <w:r>
        <w:t xml:space="preserve"> </w:t>
      </w:r>
      <w:r w:rsidR="008016EC" w:rsidRPr="006A52B1">
        <w:t>Psychosocial causes include deaths in which a psychiatric condition contributed to the cause of death and encompass wider issues such as family violence and substance misuse. In 2012 the National Maternal Mortality Advisory Committee advised that maternal deaths from suicide where the onset of mental health disorder is first recognised in pregnancy should be classified as “direct” deaths, all other maternal suicides and psychosocial deaths should be classified as “indirect”. Previously many psychosocial deaths unrelated to the pregnancy were classified as “incidental” deaths.</w:t>
      </w:r>
    </w:p>
    <w:p w:rsidR="008016EC" w:rsidRDefault="008016EC" w:rsidP="008016EC">
      <w:pPr>
        <w:rPr>
          <w:rFonts w:cs="Proxima Nova"/>
          <w:color w:val="000000"/>
        </w:rPr>
        <w:sectPr w:rsidR="008016EC" w:rsidSect="009E76BB">
          <w:pgSz w:w="11906" w:h="16838"/>
          <w:pgMar w:top="1440" w:right="1440" w:bottom="1440" w:left="1440" w:header="709" w:footer="709" w:gutter="0"/>
          <w:cols w:space="708"/>
          <w:docGrid w:linePitch="360"/>
        </w:sectPr>
      </w:pPr>
    </w:p>
    <w:p w:rsidR="008016EC" w:rsidRDefault="008016EC" w:rsidP="008016EC">
      <w:pPr>
        <w:pStyle w:val="Heading2"/>
      </w:pPr>
      <w:bookmarkStart w:id="7" w:name="_GoBack"/>
      <w:bookmarkEnd w:id="7"/>
      <w:r>
        <w:lastRenderedPageBreak/>
        <w:br w:type="page"/>
      </w:r>
      <w:bookmarkStart w:id="8" w:name="_Toc506386832"/>
      <w:r>
        <w:lastRenderedPageBreak/>
        <w:t xml:space="preserve">Table 5.5: </w:t>
      </w:r>
      <w:r w:rsidRPr="00194480">
        <w:t>Assessment of contributing factors in maternal deaths, Victoria 2011-2016</w:t>
      </w:r>
      <w:bookmarkEnd w:id="8"/>
    </w:p>
    <w:tbl>
      <w:tblPr>
        <w:tblStyle w:val="TableGrid"/>
        <w:tblW w:w="93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00"/>
        <w:gridCol w:w="1180"/>
      </w:tblGrid>
      <w:tr w:rsidR="008016EC" w:rsidRPr="00C5398F" w:rsidTr="00B51AAB">
        <w:trPr>
          <w:trHeight w:val="199"/>
        </w:trPr>
        <w:tc>
          <w:tcPr>
            <w:tcW w:w="8200" w:type="dxa"/>
            <w:noWrap/>
            <w:hideMark/>
          </w:tcPr>
          <w:p w:rsidR="008016EC" w:rsidRPr="00C5398F" w:rsidRDefault="008016EC" w:rsidP="00B51AAB">
            <w:pPr>
              <w:rPr>
                <w:rFonts w:cs="Arial"/>
                <w:b/>
                <w:bCs/>
                <w:color w:val="000000"/>
              </w:rPr>
            </w:pPr>
            <w:r w:rsidRPr="00C5398F">
              <w:rPr>
                <w:rFonts w:cs="Arial"/>
                <w:b/>
                <w:bCs/>
                <w:color w:val="000000"/>
              </w:rPr>
              <w:t>Contributing factor</w:t>
            </w:r>
          </w:p>
        </w:tc>
        <w:tc>
          <w:tcPr>
            <w:tcW w:w="1180" w:type="dxa"/>
            <w:noWrap/>
            <w:hideMark/>
          </w:tcPr>
          <w:p w:rsidR="008016EC" w:rsidRPr="00C5398F" w:rsidRDefault="008016EC" w:rsidP="00B51AAB">
            <w:pPr>
              <w:rPr>
                <w:rFonts w:cs="Arial"/>
                <w:b/>
                <w:bCs/>
                <w:color w:val="000000"/>
              </w:rPr>
            </w:pPr>
            <w:r w:rsidRPr="00C5398F">
              <w:rPr>
                <w:rFonts w:cs="Arial"/>
                <w:b/>
                <w:bCs/>
                <w:color w:val="000000"/>
              </w:rPr>
              <w:t>Number</w:t>
            </w:r>
          </w:p>
        </w:tc>
      </w:tr>
      <w:tr w:rsidR="008016EC" w:rsidRPr="004D38F4" w:rsidTr="00B51AAB">
        <w:trPr>
          <w:trHeight w:val="315"/>
        </w:trPr>
        <w:tc>
          <w:tcPr>
            <w:tcW w:w="8200" w:type="dxa"/>
            <w:noWrap/>
            <w:hideMark/>
          </w:tcPr>
          <w:p w:rsidR="008016EC" w:rsidRPr="004D38F4" w:rsidRDefault="008016EC" w:rsidP="00B51AAB">
            <w:pPr>
              <w:pStyle w:val="DHHStabletext"/>
              <w:rPr>
                <w:b/>
              </w:rPr>
            </w:pPr>
            <w:r w:rsidRPr="004D38F4">
              <w:rPr>
                <w:b/>
              </w:rPr>
              <w:t>Factors relating to access to care</w:t>
            </w:r>
          </w:p>
        </w:tc>
        <w:tc>
          <w:tcPr>
            <w:tcW w:w="1180" w:type="dxa"/>
            <w:noWrap/>
            <w:hideMark/>
          </w:tcPr>
          <w:p w:rsidR="008016EC" w:rsidRPr="004D38F4" w:rsidRDefault="008016EC" w:rsidP="00B51AAB">
            <w:pPr>
              <w:pStyle w:val="DHHStabletext"/>
              <w:rPr>
                <w:b/>
              </w:rPr>
            </w:pPr>
            <w:r w:rsidRPr="004D38F4">
              <w:rPr>
                <w:b/>
              </w:rPr>
              <w:t>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Delay in transfer</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Delay in access to specialist assistance</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Lack of access to specialist care and services</w:t>
            </w:r>
          </w:p>
        </w:tc>
        <w:tc>
          <w:tcPr>
            <w:tcW w:w="1180" w:type="dxa"/>
            <w:noWrap/>
            <w:hideMark/>
          </w:tcPr>
          <w:p w:rsidR="008016EC" w:rsidRPr="00C5398F" w:rsidRDefault="008016EC" w:rsidP="00B51AAB">
            <w:pPr>
              <w:pStyle w:val="DHHStabletext"/>
            </w:pPr>
            <w:r w:rsidRPr="00C5398F">
              <w:t>1</w:t>
            </w:r>
          </w:p>
        </w:tc>
      </w:tr>
      <w:tr w:rsidR="008016EC" w:rsidRPr="004D38F4" w:rsidTr="00B51AAB">
        <w:trPr>
          <w:trHeight w:val="315"/>
        </w:trPr>
        <w:tc>
          <w:tcPr>
            <w:tcW w:w="8200" w:type="dxa"/>
            <w:noWrap/>
            <w:hideMark/>
          </w:tcPr>
          <w:p w:rsidR="008016EC" w:rsidRPr="004D38F4" w:rsidRDefault="008016EC" w:rsidP="00B51AAB">
            <w:pPr>
              <w:pStyle w:val="DHHStabletext"/>
              <w:rPr>
                <w:b/>
              </w:rPr>
            </w:pPr>
            <w:r w:rsidRPr="004D38F4">
              <w:rPr>
                <w:b/>
              </w:rPr>
              <w:t>Factors relating to professional practice</w:t>
            </w:r>
          </w:p>
        </w:tc>
        <w:tc>
          <w:tcPr>
            <w:tcW w:w="1180" w:type="dxa"/>
            <w:noWrap/>
            <w:hideMark/>
          </w:tcPr>
          <w:p w:rsidR="008016EC" w:rsidRPr="004D38F4" w:rsidRDefault="008016EC" w:rsidP="00B51AAB">
            <w:pPr>
              <w:pStyle w:val="DHHStabletext"/>
              <w:rPr>
                <w:b/>
              </w:rPr>
            </w:pPr>
            <w:r w:rsidRPr="004D38F4">
              <w:rPr>
                <w:b/>
              </w:rPr>
              <w:t>33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Anaesthetic issues</w:t>
            </w:r>
          </w:p>
        </w:tc>
        <w:tc>
          <w:tcPr>
            <w:tcW w:w="1180" w:type="dxa"/>
            <w:noWrap/>
            <w:hideMark/>
          </w:tcPr>
          <w:p w:rsidR="008016EC" w:rsidRPr="00C5398F" w:rsidRDefault="008016EC" w:rsidP="00B51AAB">
            <w:pPr>
              <w:pStyle w:val="DHHStabletext"/>
            </w:pPr>
            <w:r w:rsidRPr="00C5398F">
              <w:t>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Delay in diagnosis and transfer</w:t>
            </w:r>
          </w:p>
        </w:tc>
        <w:tc>
          <w:tcPr>
            <w:tcW w:w="1180" w:type="dxa"/>
            <w:noWrap/>
            <w:hideMark/>
          </w:tcPr>
          <w:p w:rsidR="008016EC" w:rsidRPr="00C5398F" w:rsidRDefault="008016EC" w:rsidP="00B51AAB">
            <w:pPr>
              <w:pStyle w:val="DHHStabletext"/>
            </w:pPr>
            <w:r w:rsidRPr="00C5398F">
              <w:t>4</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Failure to review diagnosis in light of diagnostic evidence</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Failure to maintain an adequate airway and ventilation</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 xml:space="preserve">Over reliance on test result despite clinical evidence of placenta </w:t>
            </w:r>
            <w:proofErr w:type="spellStart"/>
            <w:r w:rsidRPr="00C5398F">
              <w:t>accreta</w:t>
            </w:r>
            <w:proofErr w:type="spellEnd"/>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Inadequate communication / communication breakdown</w:t>
            </w:r>
          </w:p>
        </w:tc>
        <w:tc>
          <w:tcPr>
            <w:tcW w:w="1180" w:type="dxa"/>
            <w:noWrap/>
            <w:hideMark/>
          </w:tcPr>
          <w:p w:rsidR="008016EC" w:rsidRPr="00C5398F" w:rsidRDefault="008016EC" w:rsidP="00B51AAB">
            <w:pPr>
              <w:pStyle w:val="DHHStabletext"/>
            </w:pPr>
            <w:r w:rsidRPr="00C5398F">
              <w:t>2</w:t>
            </w:r>
          </w:p>
        </w:tc>
      </w:tr>
      <w:tr w:rsidR="008016EC" w:rsidRPr="00C5398F" w:rsidTr="00B51AAB">
        <w:trPr>
          <w:trHeight w:val="300"/>
        </w:trPr>
        <w:tc>
          <w:tcPr>
            <w:tcW w:w="8200" w:type="dxa"/>
            <w:noWrap/>
            <w:hideMark/>
          </w:tcPr>
          <w:p w:rsidR="008016EC" w:rsidRDefault="008016EC" w:rsidP="00B51AAB">
            <w:pPr>
              <w:pStyle w:val="DHHStabletext"/>
            </w:pPr>
            <w:r w:rsidRPr="00C5398F">
              <w:t xml:space="preserve">Inadequate management of obstetric haemorrhage (monitoring, diagnosis, </w:t>
            </w:r>
            <w:r>
              <w:t xml:space="preserve"> </w:t>
            </w:r>
          </w:p>
          <w:p w:rsidR="008016EC" w:rsidRPr="00C5398F" w:rsidRDefault="008016EC" w:rsidP="00B51AAB">
            <w:pPr>
              <w:pStyle w:val="DHHStabletext"/>
            </w:pPr>
            <w:r w:rsidRPr="00C5398F">
              <w:t>resuscitation)</w:t>
            </w:r>
          </w:p>
        </w:tc>
        <w:tc>
          <w:tcPr>
            <w:tcW w:w="1180" w:type="dxa"/>
            <w:noWrap/>
            <w:hideMark/>
          </w:tcPr>
          <w:p w:rsidR="008016EC" w:rsidRPr="00C5398F" w:rsidRDefault="008016EC" w:rsidP="00B51AAB">
            <w:pPr>
              <w:pStyle w:val="DHHStabletext"/>
            </w:pPr>
            <w:r w:rsidRPr="00C5398F">
              <w:t>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Inadequate investigation and management of sepsis</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Suboptimal resuscitation</w:t>
            </w:r>
          </w:p>
        </w:tc>
        <w:tc>
          <w:tcPr>
            <w:tcW w:w="1180" w:type="dxa"/>
            <w:noWrap/>
            <w:hideMark/>
          </w:tcPr>
          <w:p w:rsidR="008016EC" w:rsidRPr="00C5398F" w:rsidRDefault="008016EC" w:rsidP="00B51AAB">
            <w:pPr>
              <w:pStyle w:val="DHHStabletext"/>
            </w:pPr>
            <w:r w:rsidRPr="00C5398F">
              <w:t>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Suboptimal diabetes management</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Inappropriate discharge</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Poor organisational management</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Poor documentation</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Poor crisis management</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Inadequate involvement with Koori maternity Services (KMS)</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Failure to recognise eclampsia</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Lack of recognition of complexity or seriousness of condition by care giver</w:t>
            </w:r>
          </w:p>
        </w:tc>
        <w:tc>
          <w:tcPr>
            <w:tcW w:w="1180" w:type="dxa"/>
            <w:noWrap/>
            <w:hideMark/>
          </w:tcPr>
          <w:p w:rsidR="008016EC" w:rsidRPr="00C5398F" w:rsidRDefault="008016EC" w:rsidP="00B51AAB">
            <w:pPr>
              <w:pStyle w:val="DHHStabletext"/>
            </w:pPr>
            <w:r w:rsidRPr="00C5398F">
              <w:t>2</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Delayed involvement of senior experienced staff/Failure to escalate care</w:t>
            </w:r>
          </w:p>
        </w:tc>
        <w:tc>
          <w:tcPr>
            <w:tcW w:w="1180" w:type="dxa"/>
            <w:noWrap/>
            <w:hideMark/>
          </w:tcPr>
          <w:p w:rsidR="008016EC" w:rsidRPr="00C5398F" w:rsidRDefault="008016EC" w:rsidP="00B51AAB">
            <w:pPr>
              <w:pStyle w:val="DHHStabletext"/>
            </w:pPr>
            <w:r w:rsidRPr="00C5398F">
              <w:t>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Failure to follow recommended best practice:</w:t>
            </w:r>
          </w:p>
        </w:tc>
        <w:tc>
          <w:tcPr>
            <w:tcW w:w="1180" w:type="dxa"/>
            <w:noWrap/>
            <w:hideMark/>
          </w:tcPr>
          <w:p w:rsidR="008016EC" w:rsidRPr="00C5398F" w:rsidRDefault="008016EC" w:rsidP="00B51AAB">
            <w:pPr>
              <w:pStyle w:val="DHHStabletext"/>
            </w:pP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 xml:space="preserve">             - cessation of anti-depressant medication</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 xml:space="preserve">             - delayed assessment of coagulation status</w:t>
            </w:r>
          </w:p>
        </w:tc>
        <w:tc>
          <w:tcPr>
            <w:tcW w:w="1180" w:type="dxa"/>
            <w:noWrap/>
            <w:hideMark/>
          </w:tcPr>
          <w:p w:rsidR="008016EC" w:rsidRPr="00C5398F" w:rsidRDefault="008016EC" w:rsidP="00B51AAB">
            <w:pPr>
              <w:pStyle w:val="DHHStabletext"/>
            </w:pPr>
            <w:r w:rsidRPr="00C5398F">
              <w:t>1</w:t>
            </w:r>
          </w:p>
        </w:tc>
      </w:tr>
      <w:tr w:rsidR="008016EC" w:rsidRPr="004D38F4" w:rsidTr="00B51AAB">
        <w:trPr>
          <w:trHeight w:val="315"/>
        </w:trPr>
        <w:tc>
          <w:tcPr>
            <w:tcW w:w="8200" w:type="dxa"/>
            <w:noWrap/>
            <w:hideMark/>
          </w:tcPr>
          <w:p w:rsidR="008016EC" w:rsidRPr="004D38F4" w:rsidRDefault="008016EC" w:rsidP="00B51AAB">
            <w:pPr>
              <w:pStyle w:val="DHHStabletext"/>
              <w:rPr>
                <w:b/>
              </w:rPr>
            </w:pPr>
            <w:r w:rsidRPr="004D38F4">
              <w:rPr>
                <w:b/>
              </w:rPr>
              <w:t>Factors relating to the pregnant woman, her family and social situation</w:t>
            </w:r>
          </w:p>
        </w:tc>
        <w:tc>
          <w:tcPr>
            <w:tcW w:w="1180" w:type="dxa"/>
            <w:noWrap/>
            <w:hideMark/>
          </w:tcPr>
          <w:p w:rsidR="008016EC" w:rsidRPr="004D38F4" w:rsidRDefault="008016EC" w:rsidP="00B51AAB">
            <w:pPr>
              <w:pStyle w:val="DHHStabletext"/>
              <w:rPr>
                <w:b/>
              </w:rPr>
            </w:pPr>
            <w:r w:rsidRPr="004D38F4">
              <w:rPr>
                <w:b/>
              </w:rPr>
              <w:t>22</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Declining or not following medical advice</w:t>
            </w:r>
          </w:p>
        </w:tc>
        <w:tc>
          <w:tcPr>
            <w:tcW w:w="1180" w:type="dxa"/>
            <w:noWrap/>
            <w:hideMark/>
          </w:tcPr>
          <w:p w:rsidR="008016EC" w:rsidRPr="00C5398F" w:rsidRDefault="008016EC" w:rsidP="00B51AAB">
            <w:pPr>
              <w:pStyle w:val="DHHStabletext"/>
            </w:pPr>
            <w:r w:rsidRPr="00C5398F">
              <w:t>2</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Delay in seeking medical advice/help</w:t>
            </w:r>
          </w:p>
        </w:tc>
        <w:tc>
          <w:tcPr>
            <w:tcW w:w="1180" w:type="dxa"/>
            <w:noWrap/>
            <w:hideMark/>
          </w:tcPr>
          <w:p w:rsidR="008016EC" w:rsidRPr="00C5398F" w:rsidRDefault="008016EC" w:rsidP="00B51AAB">
            <w:pPr>
              <w:pStyle w:val="DHHStabletext"/>
            </w:pPr>
            <w:r w:rsidRPr="00C5398F">
              <w:t>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Family violence</w:t>
            </w:r>
          </w:p>
        </w:tc>
        <w:tc>
          <w:tcPr>
            <w:tcW w:w="1180" w:type="dxa"/>
            <w:noWrap/>
            <w:hideMark/>
          </w:tcPr>
          <w:p w:rsidR="008016EC" w:rsidRPr="00C5398F" w:rsidRDefault="008016EC" w:rsidP="00B51AAB">
            <w:pPr>
              <w:pStyle w:val="DHHStabletext"/>
            </w:pPr>
            <w:r w:rsidRPr="00C5398F">
              <w:t>3</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Maternal mental illness</w:t>
            </w:r>
          </w:p>
        </w:tc>
        <w:tc>
          <w:tcPr>
            <w:tcW w:w="1180" w:type="dxa"/>
            <w:noWrap/>
            <w:hideMark/>
          </w:tcPr>
          <w:p w:rsidR="008016EC" w:rsidRPr="00C5398F" w:rsidRDefault="008016EC" w:rsidP="00B51AAB">
            <w:pPr>
              <w:pStyle w:val="DHHStabletext"/>
            </w:pPr>
            <w:r w:rsidRPr="00C5398F">
              <w:t>6</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Lack of recognition by the woman or family of the seriousness of the condition</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00"/>
        </w:trPr>
        <w:tc>
          <w:tcPr>
            <w:tcW w:w="8200" w:type="dxa"/>
            <w:noWrap/>
            <w:hideMark/>
          </w:tcPr>
          <w:p w:rsidR="008016EC" w:rsidRPr="00C5398F" w:rsidRDefault="008016EC" w:rsidP="00B51AAB">
            <w:pPr>
              <w:pStyle w:val="DHHStabletext"/>
            </w:pPr>
            <w:r w:rsidRPr="00C5398F">
              <w:t>Social isolation</w:t>
            </w:r>
          </w:p>
        </w:tc>
        <w:tc>
          <w:tcPr>
            <w:tcW w:w="1180" w:type="dxa"/>
            <w:noWrap/>
            <w:hideMark/>
          </w:tcPr>
          <w:p w:rsidR="008016EC" w:rsidRPr="00C5398F" w:rsidRDefault="008016EC" w:rsidP="00B51AAB">
            <w:pPr>
              <w:pStyle w:val="DHHStabletext"/>
            </w:pPr>
            <w:r w:rsidRPr="00C5398F">
              <w:t>1</w:t>
            </w:r>
          </w:p>
        </w:tc>
      </w:tr>
      <w:tr w:rsidR="008016EC" w:rsidRPr="00C5398F" w:rsidTr="00B51AAB">
        <w:trPr>
          <w:trHeight w:val="315"/>
        </w:trPr>
        <w:tc>
          <w:tcPr>
            <w:tcW w:w="8200" w:type="dxa"/>
            <w:tcBorders>
              <w:bottom w:val="single" w:sz="4" w:space="0" w:color="auto"/>
            </w:tcBorders>
            <w:noWrap/>
            <w:hideMark/>
          </w:tcPr>
          <w:p w:rsidR="008016EC" w:rsidRPr="00C5398F" w:rsidRDefault="008016EC" w:rsidP="00B51AAB">
            <w:pPr>
              <w:pStyle w:val="DHHStabletext"/>
            </w:pPr>
            <w:r w:rsidRPr="00C5398F">
              <w:lastRenderedPageBreak/>
              <w:t>Substance misuse</w:t>
            </w:r>
          </w:p>
        </w:tc>
        <w:tc>
          <w:tcPr>
            <w:tcW w:w="1180" w:type="dxa"/>
            <w:tcBorders>
              <w:bottom w:val="single" w:sz="4" w:space="0" w:color="auto"/>
            </w:tcBorders>
            <w:noWrap/>
            <w:hideMark/>
          </w:tcPr>
          <w:p w:rsidR="008016EC" w:rsidRPr="00C5398F" w:rsidRDefault="008016EC" w:rsidP="00B51AAB">
            <w:pPr>
              <w:pStyle w:val="DHHStabletext"/>
            </w:pPr>
            <w:r w:rsidRPr="00C5398F">
              <w:t>6</w:t>
            </w:r>
          </w:p>
        </w:tc>
      </w:tr>
      <w:tr w:rsidR="008016EC" w:rsidRPr="004D38F4" w:rsidTr="00B51AAB">
        <w:trPr>
          <w:trHeight w:val="300"/>
        </w:trPr>
        <w:tc>
          <w:tcPr>
            <w:tcW w:w="8200" w:type="dxa"/>
            <w:tcBorders>
              <w:top w:val="single" w:sz="4" w:space="0" w:color="auto"/>
              <w:bottom w:val="single" w:sz="4" w:space="0" w:color="auto"/>
            </w:tcBorders>
            <w:noWrap/>
            <w:hideMark/>
          </w:tcPr>
          <w:p w:rsidR="008016EC" w:rsidRPr="004D38F4" w:rsidRDefault="008016EC" w:rsidP="00B51AAB">
            <w:pPr>
              <w:pStyle w:val="DHHStabletext"/>
              <w:rPr>
                <w:b/>
              </w:rPr>
            </w:pPr>
            <w:r w:rsidRPr="004D38F4">
              <w:rPr>
                <w:b/>
              </w:rPr>
              <w:t>Total</w:t>
            </w:r>
          </w:p>
        </w:tc>
        <w:tc>
          <w:tcPr>
            <w:tcW w:w="1180" w:type="dxa"/>
            <w:tcBorders>
              <w:top w:val="single" w:sz="4" w:space="0" w:color="auto"/>
              <w:bottom w:val="single" w:sz="4" w:space="0" w:color="auto"/>
            </w:tcBorders>
            <w:noWrap/>
            <w:hideMark/>
          </w:tcPr>
          <w:p w:rsidR="008016EC" w:rsidRPr="004D38F4" w:rsidRDefault="008016EC" w:rsidP="00B51AAB">
            <w:pPr>
              <w:pStyle w:val="DHHStabletext"/>
              <w:rPr>
                <w:b/>
              </w:rPr>
            </w:pPr>
            <w:r w:rsidRPr="004D38F4">
              <w:rPr>
                <w:b/>
              </w:rPr>
              <w:t>58</w:t>
            </w:r>
          </w:p>
        </w:tc>
      </w:tr>
    </w:tbl>
    <w:p w:rsidR="008016EC" w:rsidRDefault="008016EC" w:rsidP="008016EC">
      <w:pPr>
        <w:pStyle w:val="DHHStabletext"/>
      </w:pPr>
      <w:r w:rsidRPr="0005388D">
        <w:t>Contributing factors were identified in 32 of all 68 maternal deaths (47%). Multiple contributing  factors were present in some cases. Removing the 12 incidental deaths increases the proportion in whom contributing factors were found to 55% (32/56). There were  12 out of 17 cases for 2016 which had contributing factors.</w:t>
      </w:r>
    </w:p>
    <w:p w:rsidR="002802E3" w:rsidRPr="00E56A01" w:rsidRDefault="008016EC" w:rsidP="00F3122E">
      <w:pPr>
        <w:pStyle w:val="DHHSbody"/>
        <w:rPr>
          <w:i/>
          <w:color w:val="D50032"/>
          <w:sz w:val="26"/>
          <w:szCs w:val="26"/>
        </w:rPr>
      </w:pPr>
      <w:r>
        <w:rPr>
          <w:color w:val="D50032"/>
          <w:sz w:val="26"/>
          <w:szCs w:val="26"/>
        </w:rPr>
        <w:br w:type="page"/>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8016EC" w:rsidRPr="00EB2731" w:rsidRDefault="008016EC" w:rsidP="008016EC">
            <w:pPr>
              <w:pStyle w:val="DHHSaccessibilitypara"/>
            </w:pPr>
            <w:r w:rsidRPr="00EB2731">
              <w:lastRenderedPageBreak/>
              <w:t>To receive this publication in an accessible format phone 03 9096 0380, using the National Relay Service 13 36 77 if required, or email consultative.councils@safercare.vic.gov.au</w:t>
            </w:r>
          </w:p>
          <w:p w:rsidR="008016EC" w:rsidRPr="00EB2731" w:rsidRDefault="008016EC" w:rsidP="008016EC">
            <w:pPr>
              <w:pStyle w:val="DHHSbody"/>
            </w:pPr>
            <w:r w:rsidRPr="00EB2731">
              <w:t>Authorised and published by the Victorian Government, 1 Treasury Place, Melbourne.</w:t>
            </w:r>
          </w:p>
          <w:p w:rsidR="008016EC" w:rsidRPr="00EB2731" w:rsidRDefault="008016EC" w:rsidP="008016EC">
            <w:pPr>
              <w:pStyle w:val="DHHSbody"/>
            </w:pPr>
            <w:r w:rsidRPr="00EB2731">
              <w:t>© State of Victoria, Department of Health and Human Services February, 2018.</w:t>
            </w:r>
          </w:p>
          <w:p w:rsidR="008016EC" w:rsidRPr="00EB2731" w:rsidRDefault="008016EC" w:rsidP="008016EC">
            <w:pPr>
              <w:pStyle w:val="DHHSbody"/>
            </w:pPr>
            <w:r w:rsidRPr="00EB2731">
              <w:t>Where the term ‘Aboriginal’ is used it refers to both Aboriginal and Torres Strait Islander people. Indigenous is retained when it is part of the title of a report, program or quotation.</w:t>
            </w:r>
          </w:p>
          <w:p w:rsidR="002802E3" w:rsidRPr="002802E3" w:rsidRDefault="008016EC" w:rsidP="008016EC">
            <w:pPr>
              <w:pStyle w:val="DHHSbody"/>
            </w:pPr>
            <w:r w:rsidRPr="00254F58">
              <w:rPr>
                <w:szCs w:val="19"/>
              </w:rPr>
              <w:t xml:space="preserve">Available at </w:t>
            </w:r>
            <w:r w:rsidRPr="00EB2731">
              <w:t>https://www2.health.vic.gov.au/hospitals-and-health-services/quality-safety-service/consultative-councils/council-obstetric-paediatric-mortality/mothers-babies-children-report</w:t>
            </w:r>
          </w:p>
        </w:tc>
      </w:tr>
    </w:tbl>
    <w:p w:rsidR="00B2752E" w:rsidRPr="00906490" w:rsidRDefault="00B2752E" w:rsidP="00FF6D9D">
      <w:pPr>
        <w:pStyle w:val="DHHSbody"/>
      </w:pPr>
    </w:p>
    <w:sectPr w:rsidR="00B2752E" w:rsidRPr="00906490"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EC" w:rsidRDefault="008016EC">
      <w:r>
        <w:separator/>
      </w:r>
    </w:p>
  </w:endnote>
  <w:endnote w:type="continuationSeparator" w:id="0">
    <w:p w:rsidR="008016EC" w:rsidRDefault="0080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8016EC"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EC" w:rsidRPr="008016EC" w:rsidRDefault="008016EC">
    <w:pPr>
      <w:pStyle w:val="Footer"/>
      <w:rPr>
        <w:color w:val="000000"/>
        <w:sz w:val="24"/>
        <w:szCs w:val="24"/>
      </w:rPr>
    </w:pPr>
    <w:r>
      <w:rPr>
        <w:noProof/>
        <w:lang w:eastAsia="en-AU"/>
      </w:rPr>
      <mc:AlternateContent>
        <mc:Choice Requires="wps">
          <w:drawing>
            <wp:anchor distT="91440" distB="91440" distL="114300" distR="114300" simplePos="0" relativeHeight="251664896" behindDoc="1" locked="0" layoutInCell="1" allowOverlap="1">
              <wp:simplePos x="0" y="0"/>
              <wp:positionH relativeFrom="page">
                <wp:posOffset>2517775</wp:posOffset>
              </wp:positionH>
              <wp:positionV relativeFrom="page">
                <wp:posOffset>13328015</wp:posOffset>
              </wp:positionV>
              <wp:extent cx="5656580" cy="36195"/>
              <wp:effectExtent l="0" t="0" r="1270" b="1905"/>
              <wp:wrapSquare wrapText="bothSides"/>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6580" cy="36195"/>
                      </a:xfrm>
                      <a:prstGeom prst="rect">
                        <a:avLst/>
                      </a:prstGeom>
                      <a:solidFill>
                        <a:srgbClr val="4F81BD"/>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198.25pt;margin-top:1049.45pt;width:445.4pt;height:2.85pt;z-index:-25165158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" fillcolor="#4f81bd" stroked="f" strokeweight="2pt">
              <v:path arrowok="t"/>
              <w10:wrap type="square" anchorx="page" anchory="page"/>
            </v:rect>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page">
                <wp:posOffset>5270500</wp:posOffset>
              </wp:positionH>
              <wp:positionV relativeFrom="page">
                <wp:posOffset>6760210</wp:posOffset>
              </wp:positionV>
              <wp:extent cx="1508760" cy="24003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0030"/>
                      </a:xfrm>
                      <a:prstGeom prst="rect">
                        <a:avLst/>
                      </a:prstGeom>
                      <a:noFill/>
                      <a:ln w="6350">
                        <a:noFill/>
                      </a:ln>
                      <a:effectLst/>
                    </wps:spPr>
                    <wps:txbx>
                      <w:txbxContent>
                        <w:p w:rsidR="008016EC" w:rsidRPr="008016EC" w:rsidRDefault="008016EC" w:rsidP="008016EC">
                          <w:pPr>
                            <w:pStyle w:val="Footer"/>
                            <w:rPr>
                              <w:rFonts w:ascii="Cambria" w:hAnsi="Cambria"/>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pt;margin-top:532.3pt;width:118.8pt;height:18.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" filled="f" stroked="f" strokeweight=".5pt">
              <v:path arrowok="t"/>
              <v:textbox style="mso-fit-shape-to-text:t">
                <w:txbxContent>
                  <w:p w:rsidR="008016EC" w:rsidRPr="008016EC" w:rsidRDefault="008016EC" w:rsidP="008016EC">
                    <w:pPr>
                      <w:pStyle w:val="Footer"/>
                      <w:rPr>
                        <w:rFonts w:ascii="Cambria" w:hAnsi="Cambria"/>
                        <w:color w:val="000000"/>
                        <w:sz w:val="20"/>
                        <w:szCs w:val="20"/>
                      </w:rPr>
                    </w:pPr>
                  </w:p>
                </w:txbxContent>
              </v:textbox>
              <w10:wrap anchorx="page" anchory="page"/>
            </v:shape>
          </w:pict>
        </mc:Fallback>
      </mc:AlternateContent>
    </w:r>
    <w:r>
      <w:rPr>
        <w:noProof/>
      </w:rPr>
      <w:t>Victoria’s Mothers, Babies and Children</w:t>
    </w:r>
    <w:r>
      <w:rPr>
        <w:noProof/>
        <w:lang w:eastAsia="en-AU"/>
      </w:rPr>
      <mc:AlternateContent>
        <mc:Choice Requires="wps">
          <w:drawing>
            <wp:anchor distT="0" distB="0" distL="114300" distR="114300" simplePos="0" relativeHeight="251660288" behindDoc="0" locked="0" layoutInCell="1" allowOverlap="1" wp14:anchorId="38AF8413" wp14:editId="406A9C54">
              <wp:simplePos x="0" y="0"/>
              <wp:positionH relativeFrom="margin">
                <wp:posOffset>4356100</wp:posOffset>
              </wp:positionH>
              <wp:positionV relativeFrom="bottomMargin">
                <wp:posOffset>114300</wp:posOffset>
              </wp:positionV>
              <wp:extent cx="1508760" cy="395605"/>
              <wp:effectExtent l="0" t="0" r="0" b="127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016EC" w:rsidRPr="005F4187" w:rsidRDefault="008016EC">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6A52B1">
                            <w:rPr>
                              <w:rFonts w:asciiTheme="majorHAnsi" w:hAnsiTheme="majorHAnsi"/>
                              <w:noProof/>
                              <w:color w:val="000000" w:themeColor="text1"/>
                              <w:sz w:val="20"/>
                              <w:szCs w:val="20"/>
                            </w:rPr>
                            <w:t>8</w:t>
                          </w:r>
                          <w:r w:rsidRPr="005F4187">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6" o:spid="_x0000_s1027" type="#_x0000_t202" style="position:absolute;margin-left:343pt;margin-top:9pt;width:118.8pt;height:3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" filled="f" stroked="f" strokeweight=".5pt">
              <v:textbox style="mso-fit-shape-to-text:t">
                <w:txbxContent>
                  <w:p w:rsidR="008016EC" w:rsidRPr="005F4187" w:rsidRDefault="008016EC">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6A52B1">
                      <w:rPr>
                        <w:rFonts w:asciiTheme="majorHAnsi" w:hAnsiTheme="majorHAnsi"/>
                        <w:noProof/>
                        <w:color w:val="000000" w:themeColor="text1"/>
                        <w:sz w:val="20"/>
                        <w:szCs w:val="20"/>
                      </w:rPr>
                      <w:t>8</w:t>
                    </w:r>
                    <w:r w:rsidRPr="005F4187">
                      <w:rPr>
                        <w:rFonts w:asciiTheme="majorHAnsi" w:hAnsiTheme="majorHAnsi"/>
                        <w:color w:val="000000" w:themeColor="text1"/>
                        <w:sz w:val="20"/>
                        <w:szCs w:val="20"/>
                      </w:rPr>
                      <w:fldChar w:fldCharType="end"/>
                    </w:r>
                  </w:p>
                </w:txbxContent>
              </v:textbox>
              <w10:wrap anchorx="margin" anchory="margin"/>
            </v:shape>
          </w:pict>
        </mc:Fallback>
      </mc:AlternateContent>
    </w:r>
  </w:p>
  <w:p w:rsidR="008016EC" w:rsidRDefault="008016EC" w:rsidP="00DB5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EC" w:rsidRDefault="008016EC">
    <w:pPr>
      <w:pStyle w:val="Footer"/>
    </w:pPr>
    <w:r>
      <w:rPr>
        <w:noProof/>
        <w:lang w:eastAsia="en-AU"/>
      </w:rPr>
      <w:drawing>
        <wp:anchor distT="0" distB="0" distL="114300" distR="114300" simplePos="0" relativeHeight="251662336" behindDoc="0" locked="1" layoutInCell="0" allowOverlap="1" wp14:anchorId="027BC8BF" wp14:editId="61D10BB9">
          <wp:simplePos x="0" y="0"/>
          <wp:positionH relativeFrom="page">
            <wp:posOffset>0</wp:posOffset>
          </wp:positionH>
          <wp:positionV relativeFrom="page">
            <wp:posOffset>9901555</wp:posOffset>
          </wp:positionV>
          <wp:extent cx="7561580" cy="791210"/>
          <wp:effectExtent l="0" t="0" r="1270" b="8890"/>
          <wp:wrapNone/>
          <wp:docPr id="8" name="Picture 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8016EC" w:rsidP="0051568D">
    <w:pPr>
      <w:pStyle w:val="DHHSfooter"/>
    </w:pPr>
    <w:r>
      <w:rPr>
        <w:noProof/>
      </w:rPr>
      <w:t>Victoria’s Mothers, Babies and Children</w:t>
    </w:r>
    <w:r w:rsidR="009D70A4" w:rsidRPr="00A11421">
      <w:tab/>
    </w:r>
    <w:r w:rsidR="009D70A4" w:rsidRPr="00A11421">
      <w:fldChar w:fldCharType="begin"/>
    </w:r>
    <w:r w:rsidR="009D70A4" w:rsidRPr="00A11421">
      <w:instrText xml:space="preserve"> PAGE </w:instrText>
    </w:r>
    <w:r w:rsidR="009D70A4" w:rsidRPr="00A11421">
      <w:fldChar w:fldCharType="separate"/>
    </w:r>
    <w:r w:rsidR="006A52B1">
      <w:rPr>
        <w:noProof/>
      </w:rPr>
      <w:t>11</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EC" w:rsidRDefault="008016EC" w:rsidP="002862F1">
      <w:pPr>
        <w:spacing w:before="120"/>
      </w:pPr>
      <w:r>
        <w:separator/>
      </w:r>
    </w:p>
  </w:footnote>
  <w:footnote w:type="continuationSeparator" w:id="0">
    <w:p w:rsidR="008016EC" w:rsidRDefault="0080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9005"/>
      <w:gridCol w:w="1300"/>
    </w:tblGrid>
    <w:tr w:rsidR="008016EC" w:rsidTr="004D38F4">
      <w:trPr>
        <w:trHeight w:val="288"/>
      </w:trPr>
      <w:sdt>
        <w:sdtPr>
          <w:rPr>
            <w:rStyle w:val="Heading2Char"/>
            <w:bCs/>
            <w:sz w:val="18"/>
            <w:szCs w:val="18"/>
          </w:rPr>
          <w:alias w:val="Title"/>
          <w:id w:val="676459241"/>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tc>
            <w:tcPr>
              <w:tcW w:w="7988" w:type="dxa"/>
            </w:tcPr>
            <w:p w:rsidR="008016EC" w:rsidRPr="005F4187" w:rsidRDefault="008016EC" w:rsidP="008016EC">
              <w:pPr>
                <w:pStyle w:val="Header"/>
                <w:jc w:val="right"/>
                <w:rPr>
                  <w:rFonts w:eastAsiaTheme="majorEastAsia" w:cstheme="minorHAnsi"/>
                  <w:sz w:val="36"/>
                  <w:szCs w:val="36"/>
                </w:rPr>
              </w:pPr>
              <w:r>
                <w:rPr>
                  <w:rStyle w:val="Heading2Char"/>
                  <w:bCs/>
                  <w:color w:val="auto"/>
                  <w:sz w:val="18"/>
                  <w:szCs w:val="18"/>
                </w:rPr>
                <w:t>Maternal mortality and severe acute maternal morbidity</w:t>
              </w:r>
            </w:p>
          </w:tc>
        </w:sdtContent>
      </w:sdt>
      <w:sdt>
        <w:sdtPr>
          <w:rPr>
            <w:rStyle w:val="Strong"/>
            <w:rFonts w:eastAsiaTheme="majorEastAsia"/>
          </w:rPr>
          <w:alias w:val="Year"/>
          <w:id w:val="1270202358"/>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rPr>
            <w:rStyle w:val="Strong"/>
          </w:rPr>
        </w:sdtEndPr>
        <w:sdtContent>
          <w:tc>
            <w:tcPr>
              <w:tcW w:w="1153" w:type="dxa"/>
            </w:tcPr>
            <w:p w:rsidR="008016EC" w:rsidRPr="004D38F4" w:rsidRDefault="008016EC" w:rsidP="008016EC">
              <w:pPr>
                <w:pStyle w:val="Header"/>
                <w:rPr>
                  <w:rStyle w:val="Strong"/>
                  <w:rFonts w:eastAsiaTheme="majorEastAsia"/>
                </w:rPr>
              </w:pPr>
              <w:r>
                <w:rPr>
                  <w:rStyle w:val="Strong"/>
                  <w:rFonts w:eastAsiaTheme="majorEastAsia"/>
                </w:rPr>
                <w:t>2016</w:t>
              </w:r>
            </w:p>
          </w:tc>
        </w:sdtContent>
      </w:sdt>
    </w:tr>
  </w:tbl>
  <w:p w:rsidR="008016EC" w:rsidRDefault="00801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EC" w:rsidRDefault="008016EC">
    <w:pPr>
      <w:pStyle w:val="Header"/>
    </w:pPr>
    <w:r>
      <w:rPr>
        <w:noProof/>
        <w:lang w:eastAsia="en-AU"/>
      </w:rPr>
      <w:drawing>
        <wp:anchor distT="0" distB="0" distL="114300" distR="114300" simplePos="0" relativeHeight="251661312" behindDoc="1" locked="1" layoutInCell="0" allowOverlap="1" wp14:anchorId="061C7F20" wp14:editId="0E45A314">
          <wp:simplePos x="0" y="0"/>
          <wp:positionH relativeFrom="page">
            <wp:posOffset>0</wp:posOffset>
          </wp:positionH>
          <wp:positionV relativeFrom="page">
            <wp:posOffset>0</wp:posOffset>
          </wp:positionV>
          <wp:extent cx="7563485" cy="2072640"/>
          <wp:effectExtent l="0" t="0" r="0" b="381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44B0D47"/>
    <w:multiLevelType w:val="hybridMultilevel"/>
    <w:tmpl w:val="E242BB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2D25A1F"/>
    <w:multiLevelType w:val="hybridMultilevel"/>
    <w:tmpl w:val="FD961B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224D21"/>
    <w:multiLevelType w:val="hybridMultilevel"/>
    <w:tmpl w:val="B5B6B1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77734E9C"/>
    <w:multiLevelType w:val="hybridMultilevel"/>
    <w:tmpl w:val="351CEE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3"/>
  </w:num>
  <w:num w:numId="10">
    <w:abstractNumId w:val="5"/>
  </w:num>
  <w:num w:numId="11">
    <w:abstractNumId w:val="4"/>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EC"/>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A52B1"/>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16EC"/>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8016EC"/>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BookTitle">
    <w:name w:val="Book Title"/>
    <w:uiPriority w:val="33"/>
    <w:qFormat/>
    <w:rsid w:val="008016EC"/>
    <w:rPr>
      <w:b/>
      <w:bCs/>
      <w:smallCaps/>
      <w:spacing w:val="5"/>
    </w:rPr>
  </w:style>
  <w:style w:type="character" w:customStyle="1" w:styleId="HeaderChar">
    <w:name w:val="Header Char"/>
    <w:link w:val="Header"/>
    <w:uiPriority w:val="10"/>
    <w:rsid w:val="008016EC"/>
    <w:rPr>
      <w:rFonts w:ascii="Arial" w:hAnsi="Arial" w:cs="Arial"/>
      <w:sz w:val="18"/>
      <w:szCs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FooterChar">
    <w:name w:val="Footer Char"/>
    <w:link w:val="Footer"/>
    <w:uiPriority w:val="99"/>
    <w:rsid w:val="008016EC"/>
    <w:rPr>
      <w:rFonts w:ascii="Arial" w:hAnsi="Arial" w:cs="Arial"/>
      <w:sz w:val="18"/>
      <w:szCs w:val="18"/>
      <w:lang w:eastAsia="en-US"/>
    </w:rPr>
  </w:style>
  <w:style w:type="paragraph" w:styleId="TOCHeading">
    <w:name w:val="TOC Heading"/>
    <w:basedOn w:val="Heading1"/>
    <w:next w:val="Normal"/>
    <w:uiPriority w:val="39"/>
    <w:semiHidden/>
    <w:unhideWhenUsed/>
    <w:qFormat/>
    <w:rsid w:val="008016EC"/>
    <w:pPr>
      <w:outlineLvl w:val="9"/>
    </w:pPr>
    <w:rPr>
      <w:color w:val="201547"/>
      <w:lang w:val="en-US" w:eastAsia="ja-JP"/>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8016EC"/>
    <w:pPr>
      <w:spacing w:after="0" w:line="240" w:lineRule="auto"/>
    </w:pPr>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8016EC"/>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8016EC"/>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BookTitle">
    <w:name w:val="Book Title"/>
    <w:uiPriority w:val="33"/>
    <w:qFormat/>
    <w:rsid w:val="008016EC"/>
    <w:rPr>
      <w:b/>
      <w:bCs/>
      <w:smallCaps/>
      <w:spacing w:val="5"/>
    </w:rPr>
  </w:style>
  <w:style w:type="character" w:customStyle="1" w:styleId="HeaderChar">
    <w:name w:val="Header Char"/>
    <w:link w:val="Header"/>
    <w:uiPriority w:val="10"/>
    <w:rsid w:val="008016EC"/>
    <w:rPr>
      <w:rFonts w:ascii="Arial" w:hAnsi="Arial" w:cs="Arial"/>
      <w:sz w:val="18"/>
      <w:szCs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FooterChar">
    <w:name w:val="Footer Char"/>
    <w:link w:val="Footer"/>
    <w:uiPriority w:val="99"/>
    <w:rsid w:val="008016EC"/>
    <w:rPr>
      <w:rFonts w:ascii="Arial" w:hAnsi="Arial" w:cs="Arial"/>
      <w:sz w:val="18"/>
      <w:szCs w:val="18"/>
      <w:lang w:eastAsia="en-US"/>
    </w:rPr>
  </w:style>
  <w:style w:type="paragraph" w:styleId="TOCHeading">
    <w:name w:val="TOC Heading"/>
    <w:basedOn w:val="Heading1"/>
    <w:next w:val="Normal"/>
    <w:uiPriority w:val="39"/>
    <w:semiHidden/>
    <w:unhideWhenUsed/>
    <w:qFormat/>
    <w:rsid w:val="008016EC"/>
    <w:pPr>
      <w:outlineLvl w:val="9"/>
    </w:pPr>
    <w:rPr>
      <w:color w:val="201547"/>
      <w:lang w:val="en-US" w:eastAsia="ja-JP"/>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8016EC"/>
    <w:pPr>
      <w:spacing w:after="0" w:line="240" w:lineRule="auto"/>
    </w:pPr>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8016E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890268-46CA-4B5A-A87D-679BD854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Template>
  <TotalTime>15</TotalTime>
  <Pages>11</Pages>
  <Words>1384</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Maternal mortality and severe acute maternal morbidity
</vt:lpstr>
    </vt:vector>
  </TitlesOfParts>
  <Company>Department of Health and Human Services</Company>
  <LinksUpToDate>false</LinksUpToDate>
  <CharactersWithSpaces>9548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mortality and severe acute maternal morbidity</dc:title>
  <dc:creator>Carla M Donnery (DHHS)</dc:creator>
  <cp:lastModifiedBy>Carla Donnery (DHHS)</cp:lastModifiedBy>
  <cp:revision>2</cp:revision>
  <cp:lastPrinted>2015-08-21T03:17:00Z</cp:lastPrinted>
  <dcterms:created xsi:type="dcterms:W3CDTF">2018-02-14T04:40:00Z</dcterms:created>
  <dcterms:modified xsi:type="dcterms:W3CDTF">2018-02-14T04:56:00Z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