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VIC SemiBold" w:hAnsi="VIC SemiBold"/>
          <w:b w:val="0"/>
        </w:rPr>
        <w:alias w:val="Title"/>
        <w:tag w:val=""/>
        <w:id w:val="-1540807229"/>
        <w:placeholder>
          <w:docPart w:val="09273B600FA846E982A2ECDCBF47B9D1"/>
        </w:placeholder>
        <w:dataBinding w:prefixMappings="xmlns:ns0='http://purl.org/dc/elements/1.1/' xmlns:ns1='http://schemas.openxmlformats.org/package/2006/metadata/core-properties' " w:xpath="/ns1:coreProperties[1]/ns0:title[1]" w:storeItemID="{6C3C8BC8-F283-45AE-878A-BAB7291924A1}"/>
        <w:text/>
      </w:sdtPr>
      <w:sdtEndPr/>
      <w:sdtContent>
        <w:p w:rsidR="00A46288" w:rsidRPr="00156D4D" w:rsidRDefault="00156D4D" w:rsidP="007A4444">
          <w:pPr>
            <w:pStyle w:val="Title"/>
            <w:rPr>
              <w:rFonts w:ascii="VIC SemiBold" w:hAnsi="VIC SemiBold"/>
              <w:b w:val="0"/>
            </w:rPr>
          </w:pPr>
          <w:r>
            <w:rPr>
              <w:rFonts w:ascii="VIC SemiBold" w:hAnsi="VIC SemiBold"/>
              <w:b w:val="0"/>
            </w:rPr>
            <w:t>Update:</w:t>
          </w:r>
          <w:r w:rsidR="00C529ED" w:rsidRPr="00156D4D">
            <w:rPr>
              <w:rFonts w:ascii="VIC SemiBold" w:hAnsi="VIC SemiBold"/>
              <w:b w:val="0"/>
            </w:rPr>
            <w:t xml:space="preserve"> Partnering in healthcare framework </w:t>
          </w:r>
          <w:r>
            <w:rPr>
              <w:rFonts w:ascii="VIC SemiBold" w:hAnsi="VIC SemiBold"/>
              <w:b w:val="0"/>
            </w:rPr>
            <w:t>consultation</w:t>
          </w:r>
        </w:p>
      </w:sdtContent>
    </w:sdt>
    <w:p w:rsidR="001B5205" w:rsidRPr="00B336F9" w:rsidRDefault="001B5205" w:rsidP="00B336F9">
      <w:pPr>
        <w:pStyle w:val="IntroductoryText"/>
        <w:spacing w:before="120"/>
        <w:rPr>
          <w:rFonts w:ascii="VIC Medium" w:hAnsi="VIC Medium"/>
          <w:b w:val="0"/>
          <w:sz w:val="22"/>
        </w:rPr>
      </w:pPr>
      <w:r w:rsidRPr="00B336F9">
        <w:rPr>
          <w:rFonts w:ascii="VIC Medium" w:hAnsi="VIC Medium"/>
          <w:b w:val="0"/>
          <w:sz w:val="22"/>
        </w:rPr>
        <w:t>Safer Care Victoria is our state’s new healthcare quality and safety improvement agency. We are committed to partnering with consumers in healthcare, and we believe care in hospital should be inclusive and respectful and respond to the needs of all people.</w:t>
      </w:r>
    </w:p>
    <w:p w:rsidR="001B5205" w:rsidRPr="00B336F9" w:rsidRDefault="001B5205" w:rsidP="00B336F9">
      <w:pPr>
        <w:pStyle w:val="IntroductoryText"/>
        <w:spacing w:before="120"/>
        <w:rPr>
          <w:rFonts w:ascii="VIC Medium" w:hAnsi="VIC Medium"/>
          <w:b w:val="0"/>
          <w:sz w:val="22"/>
        </w:rPr>
      </w:pPr>
      <w:r w:rsidRPr="00B336F9">
        <w:rPr>
          <w:rFonts w:ascii="VIC Medium" w:hAnsi="VIC Medium"/>
          <w:b w:val="0"/>
          <w:sz w:val="22"/>
        </w:rPr>
        <w:t xml:space="preserve">We know not all Victorians participate in their healthcare in an equal way, or have their needs equally well met. That’s why we’ve been working with you on a </w:t>
      </w:r>
      <w:r w:rsidRPr="002E37C6">
        <w:rPr>
          <w:rFonts w:ascii="VIC SemiBold" w:hAnsi="VIC SemiBold"/>
          <w:b w:val="0"/>
          <w:sz w:val="22"/>
        </w:rPr>
        <w:t>Partnering in healthcare framework</w:t>
      </w:r>
      <w:r w:rsidRPr="00B336F9">
        <w:rPr>
          <w:rFonts w:ascii="VIC Medium" w:hAnsi="VIC Medium"/>
          <w:b w:val="0"/>
          <w:sz w:val="22"/>
        </w:rPr>
        <w:t>, using your input to help guide better, safer care for all Victorians.</w:t>
      </w:r>
    </w:p>
    <w:p w:rsidR="007A4444" w:rsidRDefault="007A4444" w:rsidP="009F4BEA">
      <w:pPr>
        <w:pStyle w:val="NoSpacing"/>
        <w:spacing w:after="120"/>
      </w:pPr>
    </w:p>
    <w:p w:rsidR="007A4444" w:rsidRDefault="007A4444" w:rsidP="009F4BEA">
      <w:pPr>
        <w:pStyle w:val="NoSpacing"/>
        <w:spacing w:after="120"/>
        <w:sectPr w:rsidR="007A4444" w:rsidSect="000905F7">
          <w:headerReference w:type="first" r:id="rId9"/>
          <w:pgSz w:w="11906" w:h="16838" w:code="9"/>
          <w:pgMar w:top="2438" w:right="737" w:bottom="680" w:left="737" w:header="539" w:footer="624" w:gutter="0"/>
          <w:cols w:space="284"/>
          <w:titlePg/>
          <w:docGrid w:linePitch="360"/>
        </w:sectPr>
      </w:pPr>
    </w:p>
    <w:p w:rsidR="00297844" w:rsidRPr="00B336F9" w:rsidRDefault="00297844" w:rsidP="00B336F9">
      <w:pPr>
        <w:pStyle w:val="Heading2"/>
        <w:spacing w:before="0"/>
      </w:pPr>
      <w:r w:rsidRPr="00B336F9">
        <w:lastRenderedPageBreak/>
        <w:t>Thank you</w:t>
      </w:r>
    </w:p>
    <w:p w:rsidR="00297844" w:rsidRPr="00B336F9" w:rsidRDefault="00297844" w:rsidP="00B336F9">
      <w:pPr>
        <w:pStyle w:val="Normalfollowingheading"/>
      </w:pPr>
      <w:r w:rsidRPr="00B336F9">
        <w:t xml:space="preserve">More than 700 Victorians contributed to </w:t>
      </w:r>
      <w:r w:rsidRPr="002E37C6">
        <w:rPr>
          <w:rFonts w:ascii="VIC Medium" w:hAnsi="VIC Medium"/>
        </w:rPr>
        <w:t>Partnering in healthcare framework</w:t>
      </w:r>
      <w:r w:rsidRPr="00B336F9">
        <w:t xml:space="preserve"> consultations, providing </w:t>
      </w:r>
      <w:r w:rsidR="002E37C6">
        <w:t>more than</w:t>
      </w:r>
      <w:r w:rsidRPr="00B336F9">
        <w:t xml:space="preserve"> 3,000 comments and suggestions. We’ve heard from people with deep knowledge and wisdom based on personal experiences, and from those who work in our healthcare services. </w:t>
      </w:r>
    </w:p>
    <w:p w:rsidR="00297844" w:rsidRPr="00B336F9" w:rsidRDefault="00297844" w:rsidP="00B336F9">
      <w:r w:rsidRPr="00B336F9">
        <w:t xml:space="preserve">We appreciate the time you took to share your experiences and expertise, and we’re confident we can use these consumer and health service voices and experiences to improve health services and our health system. This document provides a brief overview of what we heard, and what we’re doing next. </w:t>
      </w:r>
    </w:p>
    <w:p w:rsidR="00297844" w:rsidRDefault="00297844" w:rsidP="00B336F9">
      <w:pPr>
        <w:pStyle w:val="Heading2"/>
      </w:pPr>
      <w:r>
        <w:t>Where we began and what you’ve told us</w:t>
      </w:r>
    </w:p>
    <w:p w:rsidR="00297844" w:rsidRDefault="00297844" w:rsidP="00B336F9">
      <w:pPr>
        <w:pStyle w:val="Normalfollowingheading"/>
      </w:pPr>
      <w:r>
        <w:t>In 2017 we developed a draft framework that responds to the challenges of participating in healthcare. This framework aims to give practical direction to improve consumer participation in Victorian hospitals and health services.</w:t>
      </w:r>
    </w:p>
    <w:p w:rsidR="008A58D2" w:rsidRPr="00B336F9" w:rsidRDefault="00297844" w:rsidP="00234142">
      <w:pPr>
        <w:pStyle w:val="Normalfollowingheading"/>
        <w:rPr>
          <w:rFonts w:ascii="VIC SemiBold" w:hAnsi="VIC SemiBold"/>
        </w:rPr>
      </w:pPr>
      <w:r>
        <w:t>The framework outlined five connected domains (areas). Evidence shows that these domains can work together to make positive differences to healthcare experiences and outcomes</w:t>
      </w:r>
      <w:r w:rsidR="009F4BEA">
        <w:t>.</w:t>
      </w:r>
      <w:r w:rsidR="009F4BEA">
        <w:rPr>
          <w:rFonts w:ascii="VIC SemiBold" w:hAnsi="VIC SemiBold"/>
        </w:rPr>
        <w:br w:type="column"/>
      </w:r>
      <w:r w:rsidR="008A58D2" w:rsidRPr="00B336F9">
        <w:rPr>
          <w:rFonts w:ascii="VIC SemiBold" w:hAnsi="VIC SemiBold"/>
        </w:rPr>
        <w:lastRenderedPageBreak/>
        <w:t>Figure</w:t>
      </w:r>
      <w:r w:rsidR="002E37C6">
        <w:rPr>
          <w:rFonts w:ascii="VIC SemiBold" w:hAnsi="VIC SemiBold"/>
        </w:rPr>
        <w:t xml:space="preserve"> 1: The original Partnering in h</w:t>
      </w:r>
      <w:r w:rsidRPr="00B336F9">
        <w:rPr>
          <w:rFonts w:ascii="VIC SemiBold" w:hAnsi="VIC SemiBold"/>
        </w:rPr>
        <w:t>ealthcare domains</w:t>
      </w:r>
    </w:p>
    <w:p w:rsidR="005B4086" w:rsidRDefault="009F4BEA" w:rsidP="00B336F9">
      <w:r w:rsidRPr="00B336F9">
        <w:rPr>
          <w:noProof/>
        </w:rPr>
        <w:drawing>
          <wp:inline distT="0" distB="0" distL="0" distR="0">
            <wp:extent cx="3321896" cy="3257550"/>
            <wp:effectExtent l="0" t="0" r="0" b="0"/>
            <wp:docPr id="1" name="Picture 2" descr="Five pointed star shape lists the five focus areas of 'Partnering in healthcare for better outcomes' framework. These are person and family centered services, care and outcomes; teams, paternships, knowledge transfer and shared learning; participation and shared decision making; equity, diversity, inclusion and responsiveness; and health literacy, information and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Five pointed star shape lists the five focus areas of 'Partnering in healthcare for better outcomes' framework. These are person and family centered services, care and outcomes; teams, paternships, knowledge transfer and shared learning; participation and shared decision making; equity, diversity, inclusion and responsiveness; and health literacy, information and communi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5923" cy="3261499"/>
                    </a:xfrm>
                    <a:prstGeom prst="rect">
                      <a:avLst/>
                    </a:prstGeom>
                    <a:solidFill>
                      <a:srgbClr val="FF9999">
                        <a:alpha val="94118"/>
                      </a:srgbClr>
                    </a:solidFill>
                    <a:ln>
                      <a:noFill/>
                    </a:ln>
                    <a:effectLst/>
                    <a:extLst/>
                  </pic:spPr>
                </pic:pic>
              </a:graphicData>
            </a:graphic>
          </wp:inline>
        </w:drawing>
      </w:r>
    </w:p>
    <w:p w:rsidR="009F4BEA" w:rsidRDefault="009F4BEA" w:rsidP="00234142">
      <w:pPr>
        <w:sectPr w:rsidR="009F4BEA" w:rsidSect="00297844">
          <w:type w:val="continuous"/>
          <w:pgSz w:w="11906" w:h="16838" w:code="9"/>
          <w:pgMar w:top="2127" w:right="737" w:bottom="680" w:left="737" w:header="539" w:footer="624" w:gutter="0"/>
          <w:cols w:num="2" w:space="284"/>
          <w:docGrid w:linePitch="360"/>
        </w:sectPr>
      </w:pPr>
      <w:r>
        <w:rPr>
          <w:noProof/>
        </w:rPr>
        <mc:AlternateContent>
          <mc:Choice Requires="wps">
            <w:drawing>
              <wp:inline distT="0" distB="0" distL="0" distR="0">
                <wp:extent cx="3150000" cy="1764000"/>
                <wp:effectExtent l="0" t="0" r="12700" b="177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rsidR="009F4BEA" w:rsidRPr="009F4BEA" w:rsidRDefault="009F4BEA" w:rsidP="009F4BEA">
                            <w:pPr>
                              <w:pStyle w:val="PulloutHeading"/>
                              <w:rPr>
                                <w:lang w:val="en-GB"/>
                              </w:rPr>
                            </w:pPr>
                            <w:r w:rsidRPr="009F4BEA">
                              <w:rPr>
                                <w:lang w:val="en-GB"/>
                              </w:rPr>
                              <w:t>“Hospital patients should be seen as human rather than just a cluster of symptoms.”</w:t>
                            </w:r>
                          </w:p>
                        </w:txbxContent>
                      </wps:txbx>
                      <wps:bodyPr rot="0" vert="horz" wrap="square" lIns="180000" tIns="180000" rIns="144000" bIns="3600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WjHAIAAEYEAAAOAAAAZHJzL2Uyb0RvYy54bWysU8FuGyEQvVfqPyDu9a7txIlWXkepU1eV&#10;0rRS0g9ggfWiAkMBe9f9+g6s7STtqVU5IAaGN2/ezCxvBqPJXvqgwNZ0OikpkZaDUHZb029Pm3fX&#10;lITIrGAarKzpQQZ6s3r7Ztm7Ss6gAy2kJwhiQ9W7mnYxuqooAu+kYWECTlp8bMEbFtH020J41iO6&#10;0cWsLBdFD144D1yGgLd34yNdZfy2lTx+adsgI9E1RW4x7z7vTdqL1ZJVW89cp/iRBvsHFoYpi0HP&#10;UHcsMrLz6g8oo7iHAG2ccDAFtK3iMueA2UzL37J57JiTORcUJ7izTOH/wfKH/VdPlKjpFSWWGSzR&#10;kxwieQ8DmSV1ehcqdHp06BYHvMYq50yDuwf+PRAL647Zrbz1HvpOMoHspuln8eLriBMSSNN/BoFh&#10;2C5CBhpab5J0KAZBdKzS4VyZRIXj5Xx6WeKihOPb9GpxkYwUg1Wn786H+FGCIelQU4+lz/Bsfx/i&#10;6HpySdECaCU2SutspHaTa+3JnmGjNNucOoK/8tKW9DVdzC/LUYC/RzAqYrdrZWp6nfI59l9S7YMV&#10;SJJVkSk9njG8tkcZk3KjhnFoBnRM2jYgDiioh7GrcQrx0IH/SUmPHV3T8GPHvKREf7KpKDkkzsAr&#10;y4/WRVaUNNmaLxI1wixHtJrG03Ed8+Rkxdwt1m+jsrLPZI50sVlzbY6DlabhpZ29nsd/9Qs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vAGlox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rsidR="009F4BEA" w:rsidRPr="009F4BEA" w:rsidRDefault="009F4BEA" w:rsidP="009F4BEA">
                      <w:pPr>
                        <w:pStyle w:val="PulloutHeading"/>
                        <w:rPr>
                          <w:lang w:val="en-GB"/>
                        </w:rPr>
                      </w:pPr>
                      <w:r w:rsidRPr="009F4BEA">
                        <w:rPr>
                          <w:lang w:val="en-GB"/>
                        </w:rPr>
                        <w:t>“Hospital patients should be seen as human rather than just a cluster of symptoms.”</w:t>
                      </w:r>
                    </w:p>
                  </w:txbxContent>
                </v:textbox>
                <w10:anchorlock/>
              </v:shape>
            </w:pict>
          </mc:Fallback>
        </mc:AlternateContent>
      </w:r>
    </w:p>
    <w:p w:rsidR="009F4BEA" w:rsidRDefault="009F4BEA" w:rsidP="00B336F9">
      <w:pPr>
        <w:pStyle w:val="Heading2"/>
      </w:pPr>
      <w:r>
        <w:lastRenderedPageBreak/>
        <w:br w:type="page"/>
      </w:r>
    </w:p>
    <w:p w:rsidR="005B4086" w:rsidRDefault="005B4086" w:rsidP="00B336F9">
      <w:pPr>
        <w:pStyle w:val="Heading2"/>
      </w:pPr>
      <w:r>
        <w:lastRenderedPageBreak/>
        <w:t>How we heard from you</w:t>
      </w:r>
    </w:p>
    <w:p w:rsidR="005B4086" w:rsidRPr="00B336F9" w:rsidRDefault="005B4086" w:rsidP="00B336F9">
      <w:pPr>
        <w:pStyle w:val="Heading3"/>
      </w:pPr>
      <w:r w:rsidRPr="00B336F9">
        <w:t>Online survey</w:t>
      </w:r>
    </w:p>
    <w:p w:rsidR="009F4BEA" w:rsidRDefault="00CA1E4B" w:rsidP="009F4BEA">
      <w:r>
        <w:rPr>
          <w:noProof/>
        </w:rPr>
        <w:drawing>
          <wp:anchor distT="0" distB="0" distL="114300" distR="114300" simplePos="0" relativeHeight="251684864" behindDoc="1" locked="0" layoutInCell="1" allowOverlap="1" wp14:anchorId="28278A9C" wp14:editId="0FFD55D8">
            <wp:simplePos x="0" y="0"/>
            <wp:positionH relativeFrom="column">
              <wp:posOffset>-3175</wp:posOffset>
            </wp:positionH>
            <wp:positionV relativeFrom="paragraph">
              <wp:posOffset>1078865</wp:posOffset>
            </wp:positionV>
            <wp:extent cx="6438900" cy="2087880"/>
            <wp:effectExtent l="0" t="0" r="0" b="7620"/>
            <wp:wrapTight wrapText="bothSides">
              <wp:wrapPolygon edited="0">
                <wp:start x="0" y="0"/>
                <wp:lineTo x="0" y="21482"/>
                <wp:lineTo x="21536" y="21482"/>
                <wp:lineTo x="2153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38900" cy="2087880"/>
                    </a:xfrm>
                    <a:prstGeom prst="rect">
                      <a:avLst/>
                    </a:prstGeom>
                  </pic:spPr>
                </pic:pic>
              </a:graphicData>
            </a:graphic>
            <wp14:sizeRelH relativeFrom="page">
              <wp14:pctWidth>0</wp14:pctWidth>
            </wp14:sizeRelH>
            <wp14:sizeRelV relativeFrom="page">
              <wp14:pctHeight>0</wp14:pctHeight>
            </wp14:sizeRelV>
          </wp:anchor>
        </w:drawing>
      </w:r>
      <w:r w:rsidR="005B4086">
        <w:t xml:space="preserve">In the first half of 2018 we delivered on our promise to collaborate with health service staff, consumers and peak bodies to check in on the draft </w:t>
      </w:r>
      <w:proofErr w:type="gramStart"/>
      <w:r w:rsidR="005B4086" w:rsidRPr="002E37C6">
        <w:rPr>
          <w:rFonts w:ascii="VIC Medium" w:hAnsi="VIC Medium"/>
        </w:rPr>
        <w:t>Partnering</w:t>
      </w:r>
      <w:proofErr w:type="gramEnd"/>
      <w:r w:rsidR="005B4086" w:rsidRPr="002E37C6">
        <w:rPr>
          <w:rFonts w:ascii="VIC Medium" w:hAnsi="VIC Medium"/>
        </w:rPr>
        <w:t xml:space="preserve"> in healthcare framework</w:t>
      </w:r>
      <w:r w:rsidR="005B4086">
        <w:t xml:space="preserve">. We used the Engage.vic online consultation platform to reach as many Victorians </w:t>
      </w:r>
      <w:r w:rsidR="002E37C6">
        <w:t xml:space="preserve">as </w:t>
      </w:r>
      <w:r w:rsidR="005B4086">
        <w:t>poss</w:t>
      </w:r>
      <w:r w:rsidR="009F4BEA">
        <w:t>ible in an eight-week timeframe.</w:t>
      </w:r>
    </w:p>
    <w:p w:rsidR="00FC579B" w:rsidRDefault="009F4BEA" w:rsidP="00C26D57">
      <w:pPr>
        <w:pStyle w:val="Tablechartdiagramheading"/>
        <w:spacing w:before="0" w:after="0"/>
        <w:rPr>
          <w:rFonts w:ascii="VIC SemiBold" w:hAnsi="VIC SemiBold"/>
        </w:rPr>
      </w:pPr>
      <w:r>
        <w:rPr>
          <w:noProof/>
        </w:rPr>
        <mc:AlternateContent>
          <mc:Choice Requires="wps">
            <w:drawing>
              <wp:anchor distT="0" distB="0" distL="114300" distR="114300" simplePos="0" relativeHeight="251680768" behindDoc="1" locked="0" layoutInCell="1" allowOverlap="1" wp14:anchorId="24F3809F" wp14:editId="2C9A1EFE">
                <wp:simplePos x="0" y="0"/>
                <wp:positionH relativeFrom="column">
                  <wp:posOffset>55880</wp:posOffset>
                </wp:positionH>
                <wp:positionV relativeFrom="paragraph">
                  <wp:posOffset>2571750</wp:posOffset>
                </wp:positionV>
                <wp:extent cx="6505575" cy="4429125"/>
                <wp:effectExtent l="0" t="0" r="28575" b="28575"/>
                <wp:wrapTight wrapText="bothSides">
                  <wp:wrapPolygon edited="0">
                    <wp:start x="0" y="0"/>
                    <wp:lineTo x="0" y="21646"/>
                    <wp:lineTo x="21632" y="21646"/>
                    <wp:lineTo x="2163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429125"/>
                        </a:xfrm>
                        <a:prstGeom prst="rect">
                          <a:avLst/>
                        </a:prstGeom>
                        <a:solidFill>
                          <a:srgbClr val="EDF5F7"/>
                        </a:solidFill>
                        <a:ln w="6350">
                          <a:solidFill>
                            <a:srgbClr val="EDF5F7"/>
                          </a:solidFill>
                          <a:miter lim="800000"/>
                          <a:headEnd/>
                          <a:tailEnd/>
                        </a:ln>
                      </wps:spPr>
                      <wps:txbx>
                        <w:txbxContent>
                          <w:p w:rsidR="009F4BEA" w:rsidRPr="004D6898" w:rsidRDefault="009F4BEA" w:rsidP="009F4BEA">
                            <w:pPr>
                              <w:pStyle w:val="PulloutHeading"/>
                            </w:pPr>
                            <w:r>
                              <w:t>Online consultation – who did we hear from?</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28% have never worked in healthcare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71% work/have worked in healthcare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26% are frequent hospital users</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 xml:space="preserve">45% identify as having an ongoing health condition </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32% support someone with a long-term health condition, disability, or who is elderly</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10% speak a language other than English</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9% identify as LGBTI</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11% identify as a person with a disability</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 xml:space="preserve">3% are Aboriginal and Torres Strait Islander people </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74% female, 24% male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2% preferred not to identify gender</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58% under 54 years old, 43% older</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63% live in Melbourne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24% live outside Melbourne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74% educated with a Bachelor’s degree or higher</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76% employed</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39% have children at home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34% are couples without children</w:t>
                            </w:r>
                          </w:p>
                        </w:txbxContent>
                      </wps:txbx>
                      <wps:bodyPr rot="0" vert="horz" wrap="square" lIns="180000" tIns="180000" rIns="144000" bIns="3600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4pt;margin-top:202.5pt;width:512.25pt;height:34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1xJgIAAE8EAAAOAAAAZHJzL2Uyb0RvYy54bWysVNtu2zAMfR+wfxD0vthJ47Qz4hRd0gwD&#10;ugvQ7gNkWY6FSaImKbGzry8lp2m7vRXzg0BK1OHhIeXl9aAVOQjnJZiKTic5JcJwaKTZVfTnw/bD&#10;FSU+MNMwBUZU9Cg8vV69f7fsbSlm0IFqhCMIYnzZ24p2IdgyyzzvhGZ+AlYYPGzBaRbQdbuscaxH&#10;dK2yWZ4vsh5cYx1w4T3ubsZDukr4bSt4+N62XgSiKorcQlpdWuu4ZqslK3eO2U7yEw32BhaaSYNJ&#10;z1AbFhjZO/kPlJbcgYc2TDjoDNpWcpFqwGqm+V/V3HfMilQLiuPtWSb//2D5t8MPR2RT0Tklhmls&#10;0YMYAvkEA5lFdXrrSwy6txgWBtzGLqdKvb0D/ssTA+uOmZ24cQ76TrAG2U3jzezF1RHHR5C6/woN&#10;pmH7AAloaJ2O0qEYBNGxS8dzZyIVjpuLIi+Ky4ISjmfz+ezjdFakHKx8um6dD58FaBKNijpsfYJn&#10;hzsfIh1WPoXEbB6UbLZSqeS4Xb1WjhwYjsntZltsL0/or8KUIT1yuSjyUYE3QGgZcN6V1BW9yuMX&#10;87Ay6nZrmmQHJtVoI2VlTkJG7UYVw1APqWNJ5ShyDc0RlXUwjjc+RzQ6cH8o6XG0K+p/75kTlKgv&#10;JnYnZcbH8MpzozefR1KkTt7FIjnMcESraKBkNNchPaHI3MANNrKVSeJnMifWOLVJ+dMLi8/ipZ+i&#10;nv8Dq0cAAAD//wMAUEsDBBQABgAIAAAAIQCbdl+P3wAAAAsBAAAPAAAAZHJzL2Rvd25yZXYueG1s&#10;TI/BTsMwEETvSPyDtUjcqN2mhSrEqVAljog24cLNiZckIl5HsduGfD3bE9x2NaOZN9lucr044xg6&#10;TxqWCwUCqfa2o0bDR/n6sAURoiFrek+o4QcD7PLbm8yk1l/oiOciNoJDKKRGQxvjkEoZ6hadCQs/&#10;ILH25UdnIr9jI+1oLhzuerlS6lE60xE3tGbAfYv1d3FyXPJZHNbvT4eyfqvU/ujmci6LWev7u+nl&#10;GUTEKf6Z4YrP6JAzU+VPZIPoNWwZPGpYqw1PuuoqSRIQFV9LtdqAzDP5f0P+CwAA//8DAFBLAQIt&#10;ABQABgAIAAAAIQC2gziS/gAAAOEBAAATAAAAAAAAAAAAAAAAAAAAAABbQ29udGVudF9UeXBlc10u&#10;eG1sUEsBAi0AFAAGAAgAAAAhADj9If/WAAAAlAEAAAsAAAAAAAAAAAAAAAAALwEAAF9yZWxzLy5y&#10;ZWxzUEsBAi0AFAAGAAgAAAAhAJHGLXEmAgAATwQAAA4AAAAAAAAAAAAAAAAALgIAAGRycy9lMm9E&#10;b2MueG1sUEsBAi0AFAAGAAgAAAAhAJt2X4/fAAAACwEAAA8AAAAAAAAAAAAAAAAAgAQAAGRycy9k&#10;b3ducmV2LnhtbFBLBQYAAAAABAAEAPMAAACMBQAAAAA=&#10;" fillcolor="#edf5f7" strokecolor="#edf5f7" strokeweight=".5pt">
                <v:textbox inset="5mm,5mm,4mm,1mm">
                  <w:txbxContent>
                    <w:p w:rsidR="009F4BEA" w:rsidRPr="004D6898" w:rsidRDefault="009F4BEA" w:rsidP="009F4BEA">
                      <w:pPr>
                        <w:pStyle w:val="PulloutHeading"/>
                      </w:pPr>
                      <w:r>
                        <w:t>Online consultation – who did we hear from?</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28% have never worked in healthcare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71% work/have worked in healthcare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26% are frequent hospital users</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 xml:space="preserve">45% identify as having an ongoing health condition </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32% support someone with a long-term health condition, disability, or who is elderly</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10% speak a language other than English</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9% identify as LGBTI</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11% identify as a person with a disability</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 xml:space="preserve">3% are Aboriginal and Torres Strait Islander people </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74% female, 24% male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2% preferred not to identify gender</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58% under 54 years old, 43% older</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63% live in Melbourne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24% live outside Melbourne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74% educated with a Bachelor’s degree or higher</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76% employed</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39% have children at home</w:t>
                      </w:r>
                    </w:p>
                    <w:p w:rsidR="009F4BEA" w:rsidRPr="00B336F9" w:rsidRDefault="009F4BEA" w:rsidP="009F4BEA">
                      <w:pPr>
                        <w:pStyle w:val="Bullet2"/>
                        <w:numPr>
                          <w:ilvl w:val="0"/>
                          <w:numId w:val="16"/>
                        </w:numPr>
                        <w:rPr>
                          <w:rFonts w:ascii="VIC" w:hAnsi="VIC"/>
                          <w:color w:val="007586" w:themeColor="text2"/>
                        </w:rPr>
                      </w:pPr>
                      <w:r w:rsidRPr="00B336F9">
                        <w:rPr>
                          <w:rFonts w:ascii="VIC" w:hAnsi="VIC"/>
                          <w:color w:val="007586" w:themeColor="text2"/>
                        </w:rPr>
                        <w:t>34% are couples without children</w:t>
                      </w:r>
                    </w:p>
                  </w:txbxContent>
                </v:textbox>
                <w10:wrap type="tight"/>
              </v:shape>
            </w:pict>
          </mc:Fallback>
        </mc:AlternateContent>
      </w:r>
      <w:r w:rsidR="003E0676" w:rsidRPr="009F4BEA">
        <w:rPr>
          <w:rFonts w:ascii="VIC SemiBold" w:hAnsi="VIC SemiBold"/>
        </w:rPr>
        <w:t>Figure 2: Using online platforms helped us reach more Victorians</w:t>
      </w:r>
    </w:p>
    <w:p w:rsidR="00CC5568" w:rsidRPr="00B336F9" w:rsidRDefault="00CC5568" w:rsidP="00B336F9">
      <w:pPr>
        <w:rPr>
          <w:rFonts w:ascii="VIC SemiBold" w:hAnsi="VIC SemiBold"/>
        </w:rPr>
        <w:sectPr w:rsidR="00CC5568" w:rsidRPr="00B336F9" w:rsidSect="00FC579B">
          <w:type w:val="continuous"/>
          <w:pgSz w:w="11906" w:h="16838" w:code="9"/>
          <w:pgMar w:top="2127" w:right="737" w:bottom="680" w:left="737" w:header="539" w:footer="624" w:gutter="0"/>
          <w:cols w:space="284"/>
          <w:docGrid w:linePitch="360"/>
        </w:sectPr>
      </w:pPr>
    </w:p>
    <w:p w:rsidR="009F4BEA" w:rsidRDefault="009F4BEA">
      <w:pPr>
        <w:spacing w:before="160"/>
        <w:rPr>
          <w:rFonts w:ascii="VIC SemiBold" w:eastAsiaTheme="majorEastAsia" w:hAnsi="VIC SemiBold" w:cstheme="majorBidi"/>
          <w:bCs/>
          <w:caps/>
          <w:color w:val="007586" w:themeColor="text2"/>
          <w:sz w:val="24"/>
          <w:szCs w:val="26"/>
        </w:rPr>
      </w:pPr>
      <w:r>
        <w:lastRenderedPageBreak/>
        <w:br w:type="page"/>
      </w:r>
    </w:p>
    <w:p w:rsidR="003E0676" w:rsidRDefault="009F12F5" w:rsidP="00B336F9">
      <w:pPr>
        <w:pStyle w:val="Heading2"/>
      </w:pPr>
      <w:r>
        <w:lastRenderedPageBreak/>
        <w:t>reaching out</w:t>
      </w:r>
    </w:p>
    <w:p w:rsidR="00B0272E" w:rsidRDefault="00A0067E" w:rsidP="00B336F9">
      <w:r>
        <w:t xml:space="preserve">Using social media and other online networks, we were able to share the message about the </w:t>
      </w:r>
      <w:r w:rsidRPr="002E37C6">
        <w:rPr>
          <w:rFonts w:ascii="VIC Medium" w:hAnsi="VIC Medium"/>
        </w:rPr>
        <w:t>Partnering in healthcare framework</w:t>
      </w:r>
      <w:r>
        <w:t xml:space="preserve"> with close to 180,000 Victorians. </w:t>
      </w:r>
    </w:p>
    <w:p w:rsidR="00AC2A1B" w:rsidRDefault="00A0067E" w:rsidP="00B336F9">
      <w:r>
        <w:t>This resulted in 2,259 visitors making 3,145 visits to our consultation web page.</w:t>
      </w:r>
    </w:p>
    <w:p w:rsidR="009F4BEA" w:rsidRDefault="009F4BEA" w:rsidP="00B336F9"/>
    <w:p w:rsidR="00AC2A1B" w:rsidRDefault="009F4BEA" w:rsidP="00B336F9">
      <w:pPr>
        <w:pStyle w:val="Heading3"/>
      </w:pPr>
      <w:r>
        <w:br w:type="column"/>
      </w:r>
      <w:r w:rsidR="002E37C6">
        <w:lastRenderedPageBreak/>
        <w:t>Priorities s</w:t>
      </w:r>
      <w:r w:rsidR="00AC2A1B">
        <w:t>ummit</w:t>
      </w:r>
    </w:p>
    <w:p w:rsidR="00AC2A1B" w:rsidRDefault="00AC2A1B" w:rsidP="00B336F9">
      <w:r>
        <w:t>In Mar</w:t>
      </w:r>
      <w:r w:rsidR="002E37C6">
        <w:t>ch 2018 we hosted a priorities s</w:t>
      </w:r>
      <w:r>
        <w:t>ummit workshop with 31 attendees.  We used this face-to-face workshop as an opportunity to hear more ideas from consumers with different kinds of life experience.</w:t>
      </w:r>
    </w:p>
    <w:p w:rsidR="00AC2A1B" w:rsidRDefault="00B0272E" w:rsidP="00B336F9">
      <w:r>
        <w:rPr>
          <w:noProof/>
        </w:rPr>
        <mc:AlternateContent>
          <mc:Choice Requires="wps">
            <w:drawing>
              <wp:anchor distT="0" distB="0" distL="114300" distR="114300" simplePos="0" relativeHeight="251683840" behindDoc="1" locked="0" layoutInCell="1" allowOverlap="1" wp14:anchorId="10059368" wp14:editId="40F4BB46">
                <wp:simplePos x="0" y="0"/>
                <wp:positionH relativeFrom="column">
                  <wp:posOffset>-3474085</wp:posOffset>
                </wp:positionH>
                <wp:positionV relativeFrom="paragraph">
                  <wp:posOffset>372745</wp:posOffset>
                </wp:positionV>
                <wp:extent cx="3149600" cy="2423160"/>
                <wp:effectExtent l="0" t="0" r="12700" b="15240"/>
                <wp:wrapTight wrapText="bothSides">
                  <wp:wrapPolygon edited="0">
                    <wp:start x="0" y="0"/>
                    <wp:lineTo x="0" y="21566"/>
                    <wp:lineTo x="21556" y="21566"/>
                    <wp:lineTo x="21556"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3160"/>
                        </a:xfrm>
                        <a:prstGeom prst="rect">
                          <a:avLst/>
                        </a:prstGeom>
                        <a:solidFill>
                          <a:schemeClr val="bg2"/>
                        </a:solidFill>
                        <a:ln w="6350">
                          <a:solidFill>
                            <a:schemeClr val="bg2"/>
                          </a:solidFill>
                          <a:miter lim="800000"/>
                          <a:headEnd/>
                          <a:tailEnd/>
                        </a:ln>
                      </wps:spPr>
                      <wps:txbx>
                        <w:txbxContent>
                          <w:p w:rsidR="009F4BEA" w:rsidRPr="009F4BEA" w:rsidRDefault="009F4BEA" w:rsidP="00B0272E">
                            <w:pPr>
                              <w:pStyle w:val="PulloutHeading"/>
                              <w:spacing w:line="276" w:lineRule="auto"/>
                              <w:rPr>
                                <w:lang w:val="en-GB"/>
                              </w:rPr>
                            </w:pPr>
                            <w:r w:rsidRPr="009F4BEA">
                              <w:rPr>
                                <w:iCs/>
                                <w:lang w:val="en-GB"/>
                              </w:rPr>
                              <w:t>“Pati</w:t>
                            </w:r>
                            <w:r>
                              <w:rPr>
                                <w:iCs/>
                                <w:lang w:val="en-GB"/>
                              </w:rPr>
                              <w:t>ents need to know when doctors/</w:t>
                            </w:r>
                            <w:r w:rsidRPr="009F4BEA">
                              <w:rPr>
                                <w:iCs/>
                                <w:lang w:val="en-GB"/>
                              </w:rPr>
                              <w:t>allied health will visit them. They get very anxious when they don't know. Perhaps a chart on the wall where the person concerned commits to what they are going to do so patie</w:t>
                            </w:r>
                            <w:r w:rsidR="002E37C6">
                              <w:rPr>
                                <w:iCs/>
                                <w:lang w:val="en-GB"/>
                              </w:rPr>
                              <w:t xml:space="preserve">nts know. </w:t>
                            </w:r>
                            <w:proofErr w:type="gramStart"/>
                            <w:r w:rsidR="002E37C6">
                              <w:rPr>
                                <w:iCs/>
                                <w:lang w:val="en-GB"/>
                              </w:rPr>
                              <w:t>(E</w:t>
                            </w:r>
                            <w:r>
                              <w:rPr>
                                <w:iCs/>
                                <w:lang w:val="en-GB"/>
                              </w:rPr>
                              <w:t>.</w:t>
                            </w:r>
                            <w:r w:rsidRPr="009F4BEA">
                              <w:rPr>
                                <w:iCs/>
                                <w:lang w:val="en-GB"/>
                              </w:rPr>
                              <w:t>g</w:t>
                            </w:r>
                            <w:r>
                              <w:rPr>
                                <w:iCs/>
                                <w:lang w:val="en-GB"/>
                              </w:rPr>
                              <w:t>.</w:t>
                            </w:r>
                            <w:r w:rsidRPr="009F4BEA">
                              <w:rPr>
                                <w:iCs/>
                                <w:lang w:val="en-GB"/>
                              </w:rPr>
                              <w:t xml:space="preserve"> Phy</w:t>
                            </w:r>
                            <w:r>
                              <w:rPr>
                                <w:iCs/>
                                <w:lang w:val="en-GB"/>
                              </w:rPr>
                              <w:t>sio-daily, Dr-daily, pharmacist –</w:t>
                            </w:r>
                            <w:r w:rsidRPr="009F4BEA">
                              <w:rPr>
                                <w:iCs/>
                                <w:lang w:val="en-GB"/>
                              </w:rPr>
                              <w:t xml:space="preserve"> as required</w:t>
                            </w:r>
                            <w:r w:rsidR="002E37C6">
                              <w:rPr>
                                <w:iCs/>
                                <w:lang w:val="en-GB"/>
                              </w:rPr>
                              <w:t>.</w:t>
                            </w:r>
                            <w:r w:rsidRPr="009F4BEA">
                              <w:rPr>
                                <w:iCs/>
                                <w:lang w:val="en-GB"/>
                              </w:rPr>
                              <w:t>)</w:t>
                            </w:r>
                            <w:proofErr w:type="gramEnd"/>
                            <w:r w:rsidRPr="009F4BEA">
                              <w:rPr>
                                <w:iCs/>
                                <w:lang w:val="en-GB"/>
                              </w:rPr>
                              <w:t xml:space="preserve"> This takes away guesswork</w:t>
                            </w:r>
                            <w:r w:rsidRPr="009F4BEA">
                              <w:rPr>
                                <w:lang w:val="en-GB"/>
                              </w:rPr>
                              <w:t>.”</w:t>
                            </w:r>
                          </w:p>
                        </w:txbxContent>
                      </wps:txbx>
                      <wps:bodyPr rot="0" vert="horz" wrap="square" lIns="180000" tIns="180000" rIns="144000" bIns="3600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73.55pt;margin-top:29.35pt;width:248pt;height:19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4IgIAAE0EAAAOAAAAZHJzL2Uyb0RvYy54bWysVNuO0zAQfUfiHyy/06QXKoiarpYui5CW&#10;BWmXD5g6TmNhe4ztNilfz9hpyy48gciD5bHHZ2bOmcnqajCaHaQPCm3Np5OSM2kFNsruav718fbV&#10;G85CBNuARitrfpSBX61fvlj1rpIz7FA30jMCsaHqXc27GF1VFEF00kCYoJOWLlv0BiKZflc0HnpC&#10;N7qYleWy6NE3zqOQIdDpzXjJ1xm/baWIn9s2yMh0zSm3mFef121ai/UKqp0H1ylxSgP+IQsDylLQ&#10;C9QNRGB7r/6AMkp4DNjGiUBTYNsqIXMNVM20/K2ahw6czLUQOcFdaAr/D1bcH754ppqak1AWDEn0&#10;KIfI3uHAZomd3oWKnB4cucWBjknlXGlwdyi+BWZx04HdyWvvse8kNJTdNL0snjwdcUIC2fafsKEw&#10;sI+YgYbWm0QdkcEInVQ6XpRJqQg6nE8Xb5clXQm6my1m8+kya1dAdX7ufIgfJBqWNjX3JH2Gh8Nd&#10;iCkdqM4uKVpArZpbpXU2UrvJjfbsANQo210unV4889KW9TVfzl+XIwF/j2BUpG7XyhDdZfrG/kus&#10;vbdN7sUISo97Cq/ticbE3MhhHLZD1uuizhabI/HqcWxuGkbadOh/cNZTY9c8fN+Dl5zpjzZpkyPT&#10;KDyz/GgtFikpts3WnBgnA6wgtJrH83YT8wAl4ixek4ytygQnvcdkTllTz2beT/OVhuKpnb1+/QXW&#10;PwEAAP//AwBQSwMEFAAGAAgAAAAhAOW9kVfgAAAACwEAAA8AAABkcnMvZG93bnJldi54bWxMj8FO&#10;g0AQhu8mvsNmTLw0dMGCrcjSkEauJtY+wJadAsrOEnbb4ts7nuxxZv588/3FdraDuODke0cKkmUM&#10;AqlxpqdWweGzjjYgfNBk9OAIFfygh215f1fo3LgrfeBlH1rBEPK5VtCFMOZS+qZDq/3SjUh8O7nJ&#10;6sDj1Eoz6SvD7SCf4vhZWt0Tf+j0iLsOm+/92TKlrerFySxemvfDKjFfdV+9JTulHh/m6hVEwDn8&#10;h+FPn9WhZKejO5PxYlAQZek64ayCbLMGwYkoS3hxVJCm8QpkWcjbDuUvAAAA//8DAFBLAQItABQA&#10;BgAIAAAAIQC2gziS/gAAAOEBAAATAAAAAAAAAAAAAAAAAAAAAABbQ29udGVudF9UeXBlc10ueG1s&#10;UEsBAi0AFAAGAAgAAAAhADj9If/WAAAAlAEAAAsAAAAAAAAAAAAAAAAALwEAAF9yZWxzLy5yZWxz&#10;UEsBAi0AFAAGAAgAAAAhAAjP63giAgAATQQAAA4AAAAAAAAAAAAAAAAALgIAAGRycy9lMm9Eb2Mu&#10;eG1sUEsBAi0AFAAGAAgAAAAhAOW9kVfgAAAACwEAAA8AAAAAAAAAAAAAAAAAfAQAAGRycy9kb3du&#10;cmV2LnhtbFBLBQYAAAAABAAEAPMAAACJBQAAAAA=&#10;" fillcolor="#edf5f7 [3214]" strokecolor="#edf5f7 [3214]" strokeweight=".5pt">
                <v:textbox inset="5mm,5mm,4mm,1mm">
                  <w:txbxContent>
                    <w:p w:rsidR="009F4BEA" w:rsidRPr="009F4BEA" w:rsidRDefault="009F4BEA" w:rsidP="00B0272E">
                      <w:pPr>
                        <w:pStyle w:val="PulloutHeading"/>
                        <w:spacing w:line="276" w:lineRule="auto"/>
                        <w:rPr>
                          <w:lang w:val="en-GB"/>
                        </w:rPr>
                      </w:pPr>
                      <w:r w:rsidRPr="009F4BEA">
                        <w:rPr>
                          <w:iCs/>
                          <w:lang w:val="en-GB"/>
                        </w:rPr>
                        <w:t>“Pati</w:t>
                      </w:r>
                      <w:r>
                        <w:rPr>
                          <w:iCs/>
                          <w:lang w:val="en-GB"/>
                        </w:rPr>
                        <w:t>ents need to know when doctors/</w:t>
                      </w:r>
                      <w:r w:rsidRPr="009F4BEA">
                        <w:rPr>
                          <w:iCs/>
                          <w:lang w:val="en-GB"/>
                        </w:rPr>
                        <w:t>allied health will visit them. They get very anxious when they don't know. Perhaps a chart on the wall where the person concerned commits to what they are going to do so patie</w:t>
                      </w:r>
                      <w:r w:rsidR="002E37C6">
                        <w:rPr>
                          <w:iCs/>
                          <w:lang w:val="en-GB"/>
                        </w:rPr>
                        <w:t xml:space="preserve">nts know. </w:t>
                      </w:r>
                      <w:proofErr w:type="gramStart"/>
                      <w:r w:rsidR="002E37C6">
                        <w:rPr>
                          <w:iCs/>
                          <w:lang w:val="en-GB"/>
                        </w:rPr>
                        <w:t>(E</w:t>
                      </w:r>
                      <w:r>
                        <w:rPr>
                          <w:iCs/>
                          <w:lang w:val="en-GB"/>
                        </w:rPr>
                        <w:t>.</w:t>
                      </w:r>
                      <w:r w:rsidRPr="009F4BEA">
                        <w:rPr>
                          <w:iCs/>
                          <w:lang w:val="en-GB"/>
                        </w:rPr>
                        <w:t>g</w:t>
                      </w:r>
                      <w:r>
                        <w:rPr>
                          <w:iCs/>
                          <w:lang w:val="en-GB"/>
                        </w:rPr>
                        <w:t>.</w:t>
                      </w:r>
                      <w:r w:rsidRPr="009F4BEA">
                        <w:rPr>
                          <w:iCs/>
                          <w:lang w:val="en-GB"/>
                        </w:rPr>
                        <w:t xml:space="preserve"> Phy</w:t>
                      </w:r>
                      <w:r>
                        <w:rPr>
                          <w:iCs/>
                          <w:lang w:val="en-GB"/>
                        </w:rPr>
                        <w:t>sio-daily, Dr-daily, pharmacist –</w:t>
                      </w:r>
                      <w:r w:rsidRPr="009F4BEA">
                        <w:rPr>
                          <w:iCs/>
                          <w:lang w:val="en-GB"/>
                        </w:rPr>
                        <w:t xml:space="preserve"> as required</w:t>
                      </w:r>
                      <w:r w:rsidR="002E37C6">
                        <w:rPr>
                          <w:iCs/>
                          <w:lang w:val="en-GB"/>
                        </w:rPr>
                        <w:t>.</w:t>
                      </w:r>
                      <w:r w:rsidRPr="009F4BEA">
                        <w:rPr>
                          <w:iCs/>
                          <w:lang w:val="en-GB"/>
                        </w:rPr>
                        <w:t>)</w:t>
                      </w:r>
                      <w:proofErr w:type="gramEnd"/>
                      <w:r w:rsidRPr="009F4BEA">
                        <w:rPr>
                          <w:iCs/>
                          <w:lang w:val="en-GB"/>
                        </w:rPr>
                        <w:t xml:space="preserve"> This takes away guesswork</w:t>
                      </w:r>
                      <w:r w:rsidRPr="009F4BEA">
                        <w:rPr>
                          <w:lang w:val="en-GB"/>
                        </w:rPr>
                        <w:t>.”</w:t>
                      </w:r>
                    </w:p>
                  </w:txbxContent>
                </v:textbox>
                <w10:wrap type="tight"/>
              </v:shape>
            </w:pict>
          </mc:Fallback>
        </mc:AlternateContent>
      </w:r>
      <w:r w:rsidR="00AC2A1B">
        <w:t>To achieve this, we aimed for a ratio of at least two health consumers (who hadn’t ever worked in healthcare) for each health professional in the room. We also paid attention to making sure those in the room represented a good cross-section of our communities.</w:t>
      </w:r>
    </w:p>
    <w:p w:rsidR="002A641E" w:rsidRDefault="00AC2A1B" w:rsidP="009F4BEA">
      <w:r>
        <w:t>The workshop itself used a mixture of online voting and small group discussion to help us prioritise a big list of ideas (close to 100) into a smalle</w:t>
      </w:r>
      <w:r w:rsidR="00F44434">
        <w:t>r list. Key priority areas identified on the day included:</w:t>
      </w:r>
    </w:p>
    <w:p w:rsidR="00F44434" w:rsidRPr="00B0272E" w:rsidRDefault="00F44434" w:rsidP="002E37C6">
      <w:pPr>
        <w:pStyle w:val="Bullet2"/>
        <w:numPr>
          <w:ilvl w:val="0"/>
          <w:numId w:val="20"/>
        </w:numPr>
        <w:spacing w:after="0" w:line="240" w:lineRule="auto"/>
        <w:rPr>
          <w:rFonts w:ascii="VIC" w:hAnsi="VIC"/>
        </w:rPr>
      </w:pPr>
      <w:r w:rsidRPr="00B0272E">
        <w:rPr>
          <w:rFonts w:ascii="VIC" w:hAnsi="VIC"/>
        </w:rPr>
        <w:t>Improving communication</w:t>
      </w:r>
    </w:p>
    <w:p w:rsidR="0092008A" w:rsidRPr="00B0272E" w:rsidRDefault="0092008A" w:rsidP="002E37C6">
      <w:pPr>
        <w:pStyle w:val="Bullet2"/>
        <w:numPr>
          <w:ilvl w:val="0"/>
          <w:numId w:val="20"/>
        </w:numPr>
        <w:spacing w:after="0" w:line="240" w:lineRule="auto"/>
        <w:rPr>
          <w:rFonts w:ascii="VIC" w:hAnsi="VIC"/>
        </w:rPr>
      </w:pPr>
      <w:r w:rsidRPr="00B0272E">
        <w:rPr>
          <w:rFonts w:ascii="VIC" w:hAnsi="VIC"/>
        </w:rPr>
        <w:t>Addressing continuity of care and care planning</w:t>
      </w:r>
    </w:p>
    <w:p w:rsidR="0092008A" w:rsidRDefault="0092008A" w:rsidP="002E37C6">
      <w:pPr>
        <w:pStyle w:val="Bullet2"/>
        <w:numPr>
          <w:ilvl w:val="0"/>
          <w:numId w:val="20"/>
        </w:numPr>
        <w:spacing w:after="0" w:line="240" w:lineRule="auto"/>
        <w:rPr>
          <w:rFonts w:ascii="VIC" w:hAnsi="VIC"/>
        </w:rPr>
      </w:pPr>
      <w:r w:rsidRPr="00B0272E">
        <w:rPr>
          <w:rFonts w:ascii="VIC" w:hAnsi="VIC"/>
        </w:rPr>
        <w:t>Supporting care that is compassionate and respectful</w:t>
      </w:r>
    </w:p>
    <w:p w:rsidR="003C0FC6" w:rsidRPr="00B0272E" w:rsidRDefault="003C0FC6" w:rsidP="002E37C6">
      <w:pPr>
        <w:pStyle w:val="Bullet2"/>
        <w:numPr>
          <w:ilvl w:val="0"/>
          <w:numId w:val="20"/>
        </w:numPr>
        <w:spacing w:after="0" w:line="240" w:lineRule="auto"/>
        <w:rPr>
          <w:rFonts w:ascii="VIC" w:hAnsi="VIC"/>
        </w:rPr>
      </w:pPr>
      <w:r>
        <w:rPr>
          <w:rFonts w:ascii="VIC" w:hAnsi="VIC"/>
        </w:rPr>
        <w:t>Supporting shared decision making</w:t>
      </w:r>
    </w:p>
    <w:p w:rsidR="0092008A" w:rsidRPr="00B0272E" w:rsidRDefault="0092008A" w:rsidP="002E37C6">
      <w:pPr>
        <w:pStyle w:val="Bullet2"/>
        <w:numPr>
          <w:ilvl w:val="0"/>
          <w:numId w:val="20"/>
        </w:numPr>
        <w:spacing w:after="0" w:line="240" w:lineRule="auto"/>
        <w:rPr>
          <w:rFonts w:ascii="VIC" w:hAnsi="VIC"/>
        </w:rPr>
      </w:pPr>
      <w:r w:rsidRPr="00B0272E">
        <w:rPr>
          <w:rFonts w:ascii="VIC" w:hAnsi="VIC"/>
        </w:rPr>
        <w:t>Ensuring care responds to people’s individual and diverse needs</w:t>
      </w:r>
    </w:p>
    <w:p w:rsidR="00F44434" w:rsidRDefault="00F44434" w:rsidP="009F4BEA">
      <w:pPr>
        <w:sectPr w:rsidR="00F44434" w:rsidSect="003E0676">
          <w:type w:val="continuous"/>
          <w:pgSz w:w="11906" w:h="16838" w:code="9"/>
          <w:pgMar w:top="2127" w:right="737" w:bottom="680" w:left="737" w:header="539" w:footer="624" w:gutter="0"/>
          <w:cols w:num="2" w:space="284"/>
          <w:docGrid w:linePitch="360"/>
        </w:sectPr>
      </w:pPr>
    </w:p>
    <w:p w:rsidR="00B336F9" w:rsidRPr="00B336F9" w:rsidRDefault="009F4BEA" w:rsidP="00B336F9">
      <w:pPr>
        <w:pStyle w:val="Tablechartdiagramheading"/>
        <w:spacing w:before="0" w:after="120"/>
        <w:rPr>
          <w:rFonts w:ascii="VIC SemiBold" w:hAnsi="VIC SemiBold"/>
          <w:b w:val="0"/>
        </w:rPr>
      </w:pPr>
      <w:r>
        <w:rPr>
          <w:rFonts w:ascii="VIC SemiBold" w:hAnsi="VIC SemiBold"/>
          <w:b w:val="0"/>
        </w:rPr>
        <w:lastRenderedPageBreak/>
        <w:t>Figure 4</w:t>
      </w:r>
      <w:r w:rsidR="00B336F9">
        <w:rPr>
          <w:rFonts w:ascii="VIC SemiBold" w:hAnsi="VIC SemiBold"/>
          <w:b w:val="0"/>
        </w:rPr>
        <w:t xml:space="preserve">: </w:t>
      </w:r>
      <w:r>
        <w:rPr>
          <w:rFonts w:ascii="VIC SemiBold" w:hAnsi="VIC SemiBold"/>
          <w:b w:val="0"/>
        </w:rPr>
        <w:t>Priorities Summit –</w:t>
      </w:r>
      <w:r w:rsidR="00B336F9" w:rsidRPr="00B336F9">
        <w:rPr>
          <w:rFonts w:ascii="VIC SemiBold" w:hAnsi="VIC SemiBold"/>
          <w:b w:val="0"/>
        </w:rPr>
        <w:t xml:space="preserve"> who was in the room?</w:t>
      </w:r>
    </w:p>
    <w:p w:rsidR="00A22444" w:rsidRDefault="00B336F9" w:rsidP="00B336F9">
      <w:r>
        <w:rPr>
          <w:noProof/>
        </w:rPr>
        <w:drawing>
          <wp:inline distT="0" distB="0" distL="0" distR="0" wp14:anchorId="0BA3829E" wp14:editId="1AD6945C">
            <wp:extent cx="5812221" cy="240792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4BEA" w:rsidRDefault="009F4BEA" w:rsidP="00B336F9">
      <w:pPr>
        <w:pStyle w:val="Heading2"/>
        <w:sectPr w:rsidR="009F4BEA" w:rsidSect="004556C8">
          <w:type w:val="continuous"/>
          <w:pgSz w:w="11906" w:h="16838" w:code="9"/>
          <w:pgMar w:top="2438" w:right="737" w:bottom="680" w:left="737" w:header="539" w:footer="624" w:gutter="0"/>
          <w:cols w:space="284"/>
          <w:docGrid w:linePitch="360"/>
        </w:sectPr>
      </w:pPr>
    </w:p>
    <w:p w:rsidR="00AC2A1B" w:rsidRDefault="006877FB" w:rsidP="00B336F9">
      <w:pPr>
        <w:pStyle w:val="Heading2"/>
      </w:pPr>
      <w:r>
        <w:lastRenderedPageBreak/>
        <w:t>SURVEY AND SUMMIT RESULTS</w:t>
      </w:r>
    </w:p>
    <w:p w:rsidR="005953EA" w:rsidRPr="00B336F9" w:rsidRDefault="00FB1BFC" w:rsidP="00B0272E">
      <w:pPr>
        <w:rPr>
          <w:rFonts w:ascii="VIC SemiBold" w:hAnsi="VIC SemiBold"/>
          <w:b/>
        </w:rPr>
      </w:pPr>
      <w:r>
        <w:t>The a</w:t>
      </w:r>
      <w:r w:rsidR="006877FB">
        <w:t xml:space="preserve">nswers and ideas </w:t>
      </w:r>
      <w:r>
        <w:t xml:space="preserve">you </w:t>
      </w:r>
      <w:r w:rsidR="006877FB">
        <w:t xml:space="preserve">shared with us </w:t>
      </w:r>
      <w:r w:rsidR="00BD7C9D">
        <w:t xml:space="preserve">gave us two key things. Firstly, </w:t>
      </w:r>
      <w:r w:rsidR="00AC2A1B">
        <w:t>endorsement that the five areas we identified are important</w:t>
      </w:r>
      <w:r>
        <w:t xml:space="preserve"> ones to focus on</w:t>
      </w:r>
      <w:r w:rsidR="00AC2A1B">
        <w:t xml:space="preserve">, and </w:t>
      </w:r>
      <w:r w:rsidR="00BD7C9D">
        <w:t xml:space="preserve">secondly, insight into </w:t>
      </w:r>
      <w:r>
        <w:t xml:space="preserve">specific </w:t>
      </w:r>
      <w:r w:rsidR="00BD7C9D">
        <w:t xml:space="preserve">areas that need to be </w:t>
      </w:r>
      <w:r w:rsidR="00AC2A1B">
        <w:t>prioritise</w:t>
      </w:r>
      <w:r w:rsidR="00BD7C9D">
        <w:t>d</w:t>
      </w:r>
      <w:r w:rsidR="00AC2A1B">
        <w:t xml:space="preserve"> </w:t>
      </w:r>
      <w:r>
        <w:t>for framework imple</w:t>
      </w:r>
      <w:r w:rsidR="009F4BEA">
        <w:t>mentation.</w:t>
      </w:r>
      <w:r w:rsidR="00856FF6">
        <w:t xml:space="preserve"> </w:t>
      </w:r>
      <w:r w:rsidR="00AC2A1B">
        <w:t>T</w:t>
      </w:r>
      <w:r w:rsidR="009F4BEA">
        <w:t xml:space="preserve">he table </w:t>
      </w:r>
      <w:r w:rsidR="00681382">
        <w:t xml:space="preserve">on the next page </w:t>
      </w:r>
      <w:r>
        <w:t xml:space="preserve">shows the </w:t>
      </w:r>
      <w:r w:rsidR="00AC2A1B">
        <w:t xml:space="preserve">five areas we wanted to know about, </w:t>
      </w:r>
      <w:r>
        <w:t>the questions we asked, and some of the ideas shared with us.</w:t>
      </w:r>
      <w:r w:rsidR="009F4BEA">
        <w:br w:type="column"/>
      </w:r>
      <w:r w:rsidR="002B5C34" w:rsidRPr="002E37C6">
        <w:rPr>
          <w:rFonts w:ascii="VIC SemiBold" w:hAnsi="VIC SemiBold"/>
          <w:bCs/>
          <w:color w:val="007586" w:themeColor="text2"/>
          <w:szCs w:val="18"/>
        </w:rPr>
        <w:lastRenderedPageBreak/>
        <w:t xml:space="preserve">Table </w:t>
      </w:r>
      <w:r w:rsidR="009F4BEA" w:rsidRPr="002E37C6">
        <w:rPr>
          <w:rFonts w:ascii="VIC SemiBold" w:hAnsi="VIC SemiBold"/>
          <w:bCs/>
          <w:color w:val="007586" w:themeColor="text2"/>
          <w:szCs w:val="18"/>
        </w:rPr>
        <w:t>1:</w:t>
      </w:r>
      <w:r w:rsidR="006877FB" w:rsidRPr="002E37C6">
        <w:rPr>
          <w:rFonts w:ascii="VIC SemiBold" w:hAnsi="VIC SemiBold"/>
          <w:bCs/>
          <w:color w:val="007586" w:themeColor="text2"/>
          <w:szCs w:val="18"/>
        </w:rPr>
        <w:t xml:space="preserve"> An overview of what we asked, and what we heard</w:t>
      </w:r>
    </w:p>
    <w:tbl>
      <w:tblPr>
        <w:tblStyle w:val="TableGrid"/>
        <w:tblW w:w="4973" w:type="pct"/>
        <w:tblLook w:val="06A0" w:firstRow="1" w:lastRow="0" w:firstColumn="1" w:lastColumn="0" w:noHBand="1" w:noVBand="1"/>
      </w:tblPr>
      <w:tblGrid>
        <w:gridCol w:w="2949"/>
        <w:gridCol w:w="2834"/>
        <w:gridCol w:w="4817"/>
      </w:tblGrid>
      <w:tr w:rsidR="00FC579B" w:rsidRPr="009F4BEA" w:rsidTr="00FC5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8703D8" w:rsidRPr="009F4BEA" w:rsidRDefault="00174A29" w:rsidP="00B336F9">
            <w:pPr>
              <w:rPr>
                <w:sz w:val="18"/>
              </w:rPr>
            </w:pPr>
            <w:r w:rsidRPr="009F4BEA">
              <w:rPr>
                <w:sz w:val="18"/>
              </w:rPr>
              <w:t>We wanted to know more about</w:t>
            </w:r>
            <w:r w:rsidR="009A22C7" w:rsidRPr="009F4BEA">
              <w:rPr>
                <w:sz w:val="18"/>
              </w:rPr>
              <w:t>:</w:t>
            </w:r>
          </w:p>
        </w:tc>
        <w:tc>
          <w:tcPr>
            <w:tcW w:w="1337" w:type="pct"/>
          </w:tcPr>
          <w:p w:rsidR="008703D8" w:rsidRPr="009F4BEA" w:rsidRDefault="00174A29" w:rsidP="00B336F9">
            <w:pPr>
              <w:cnfStyle w:val="100000000000" w:firstRow="1" w:lastRow="0" w:firstColumn="0" w:lastColumn="0" w:oddVBand="0" w:evenVBand="0" w:oddHBand="0" w:evenHBand="0" w:firstRowFirstColumn="0" w:firstRowLastColumn="0" w:lastRowFirstColumn="0" w:lastRowLastColumn="0"/>
              <w:rPr>
                <w:sz w:val="18"/>
              </w:rPr>
            </w:pPr>
            <w:r w:rsidRPr="009F4BEA">
              <w:rPr>
                <w:sz w:val="18"/>
              </w:rPr>
              <w:t>So we asked</w:t>
            </w:r>
            <w:r w:rsidR="009A22C7" w:rsidRPr="009F4BEA">
              <w:rPr>
                <w:sz w:val="18"/>
              </w:rPr>
              <w:t>:</w:t>
            </w:r>
          </w:p>
        </w:tc>
        <w:tc>
          <w:tcPr>
            <w:tcW w:w="2272" w:type="pct"/>
          </w:tcPr>
          <w:p w:rsidR="008703D8" w:rsidRPr="009F4BEA" w:rsidRDefault="00B527B7" w:rsidP="00B336F9">
            <w:pPr>
              <w:cnfStyle w:val="100000000000" w:firstRow="1" w:lastRow="0" w:firstColumn="0" w:lastColumn="0" w:oddVBand="0" w:evenVBand="0" w:oddHBand="0" w:evenHBand="0" w:firstRowFirstColumn="0" w:firstRowLastColumn="0" w:lastRowFirstColumn="0" w:lastRowLastColumn="0"/>
              <w:rPr>
                <w:sz w:val="18"/>
              </w:rPr>
            </w:pPr>
            <w:r w:rsidRPr="009F4BEA">
              <w:rPr>
                <w:sz w:val="18"/>
              </w:rPr>
              <w:t>Suggestions</w:t>
            </w:r>
            <w:r w:rsidR="00174A29" w:rsidRPr="009F4BEA">
              <w:rPr>
                <w:sz w:val="18"/>
              </w:rPr>
              <w:t xml:space="preserve"> included</w:t>
            </w:r>
            <w:r w:rsidR="009A22C7" w:rsidRPr="009F4BEA">
              <w:rPr>
                <w:sz w:val="18"/>
              </w:rPr>
              <w:t>:</w:t>
            </w:r>
          </w:p>
        </w:tc>
      </w:tr>
      <w:tr w:rsidR="008703D8" w:rsidRPr="009F4BEA" w:rsidTr="00FC579B">
        <w:tc>
          <w:tcPr>
            <w:cnfStyle w:val="001000000000" w:firstRow="0" w:lastRow="0" w:firstColumn="1" w:lastColumn="0" w:oddVBand="0" w:evenVBand="0" w:oddHBand="0" w:evenHBand="0" w:firstRowFirstColumn="0" w:firstRowLastColumn="0" w:lastRowFirstColumn="0" w:lastRowLastColumn="0"/>
            <w:tcW w:w="1391" w:type="pct"/>
          </w:tcPr>
          <w:p w:rsidR="008703D8" w:rsidRPr="009F4BEA" w:rsidRDefault="009A22C7" w:rsidP="00B336F9">
            <w:pPr>
              <w:rPr>
                <w:sz w:val="18"/>
              </w:rPr>
            </w:pPr>
            <w:r w:rsidRPr="009F4BEA">
              <w:rPr>
                <w:sz w:val="18"/>
              </w:rPr>
              <w:t>P</w:t>
            </w:r>
            <w:r w:rsidR="00A65D40" w:rsidRPr="009F4BEA">
              <w:rPr>
                <w:sz w:val="18"/>
              </w:rPr>
              <w:t>erson- and family-centred services,</w:t>
            </w:r>
            <w:r w:rsidR="009162D7">
              <w:rPr>
                <w:sz w:val="18"/>
              </w:rPr>
              <w:t xml:space="preserve"> care and outcomes</w:t>
            </w:r>
          </w:p>
        </w:tc>
        <w:tc>
          <w:tcPr>
            <w:tcW w:w="1337" w:type="pct"/>
          </w:tcPr>
          <w:p w:rsidR="008703D8" w:rsidRPr="009F4BEA" w:rsidRDefault="00FA4CFB" w:rsidP="00B336F9">
            <w:pPr>
              <w:cnfStyle w:val="000000000000" w:firstRow="0" w:lastRow="0" w:firstColumn="0" w:lastColumn="0" w:oddVBand="0" w:evenVBand="0" w:oddHBand="0" w:evenHBand="0" w:firstRowFirstColumn="0" w:firstRowLastColumn="0" w:lastRowFirstColumn="0" w:lastRowLastColumn="0"/>
              <w:rPr>
                <w:sz w:val="18"/>
              </w:rPr>
            </w:pPr>
            <w:r>
              <w:rPr>
                <w:sz w:val="18"/>
              </w:rPr>
              <w:t>“</w:t>
            </w:r>
            <w:r w:rsidR="009A22C7" w:rsidRPr="009F4BEA">
              <w:rPr>
                <w:sz w:val="18"/>
              </w:rPr>
              <w:t>What could be done differently in hospitals to ensure that patients are treated as a whole person?</w:t>
            </w:r>
            <w:r>
              <w:rPr>
                <w:sz w:val="18"/>
              </w:rPr>
              <w:t>”</w:t>
            </w:r>
          </w:p>
        </w:tc>
        <w:tc>
          <w:tcPr>
            <w:tcW w:w="2272" w:type="pct"/>
          </w:tcPr>
          <w:p w:rsidR="009A22C7" w:rsidRPr="009F4BEA" w:rsidRDefault="009A22C7" w:rsidP="00B336F9">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 xml:space="preserve">More holistic treatment of patient in hospitals, looking at the whole person not just the illness </w:t>
            </w:r>
          </w:p>
          <w:p w:rsidR="009A22C7" w:rsidRPr="009F4BEA" w:rsidRDefault="009A22C7" w:rsidP="00B336F9">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 xml:space="preserve">More time is needed to be with patients and consider what is important to the individual (identified by consumers and those working in health services) </w:t>
            </w:r>
          </w:p>
          <w:p w:rsidR="008703D8" w:rsidRPr="009F4BEA" w:rsidRDefault="009A22C7" w:rsidP="00B336F9">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More attention on finding out what’s important to the patient and the people caring for them</w:t>
            </w:r>
          </w:p>
        </w:tc>
      </w:tr>
      <w:tr w:rsidR="00174A29" w:rsidRPr="009F4BEA" w:rsidTr="00FC579B">
        <w:tc>
          <w:tcPr>
            <w:cnfStyle w:val="001000000000" w:firstRow="0" w:lastRow="0" w:firstColumn="1" w:lastColumn="0" w:oddVBand="0" w:evenVBand="0" w:oddHBand="0" w:evenHBand="0" w:firstRowFirstColumn="0" w:firstRowLastColumn="0" w:lastRowFirstColumn="0" w:lastRowLastColumn="0"/>
            <w:tcW w:w="1391" w:type="pct"/>
          </w:tcPr>
          <w:p w:rsidR="00174A29" w:rsidRPr="009F4BEA" w:rsidRDefault="009A22C7" w:rsidP="00B336F9">
            <w:pPr>
              <w:rPr>
                <w:sz w:val="18"/>
              </w:rPr>
            </w:pPr>
            <w:r w:rsidRPr="009F4BEA">
              <w:rPr>
                <w:sz w:val="18"/>
              </w:rPr>
              <w:t>T</w:t>
            </w:r>
            <w:r w:rsidR="00A65D40" w:rsidRPr="009F4BEA">
              <w:rPr>
                <w:sz w:val="18"/>
              </w:rPr>
              <w:t>eams, partnerships, knowledge an</w:t>
            </w:r>
            <w:r w:rsidR="009162D7">
              <w:rPr>
                <w:sz w:val="18"/>
              </w:rPr>
              <w:t>d shared learnings</w:t>
            </w:r>
          </w:p>
        </w:tc>
        <w:tc>
          <w:tcPr>
            <w:tcW w:w="1337" w:type="pct"/>
          </w:tcPr>
          <w:p w:rsidR="00174A29" w:rsidRPr="009F4BEA" w:rsidRDefault="009A22C7" w:rsidP="00B336F9">
            <w:pPr>
              <w:cnfStyle w:val="000000000000" w:firstRow="0" w:lastRow="0" w:firstColumn="0" w:lastColumn="0" w:oddVBand="0" w:evenVBand="0" w:oddHBand="0" w:evenHBand="0" w:firstRowFirstColumn="0" w:firstRowLastColumn="0" w:lastRowFirstColumn="0" w:lastRowLastColumn="0"/>
              <w:rPr>
                <w:sz w:val="18"/>
              </w:rPr>
            </w:pPr>
            <w:r w:rsidRPr="009F4BEA">
              <w:rPr>
                <w:sz w:val="18"/>
              </w:rPr>
              <w:t>“How could hospitals support patients and staff to work together for better care?”</w:t>
            </w:r>
          </w:p>
        </w:tc>
        <w:tc>
          <w:tcPr>
            <w:tcW w:w="2272" w:type="pct"/>
          </w:tcPr>
          <w:p w:rsidR="009A22C7" w:rsidRPr="009F4BEA" w:rsidRDefault="009A22C7" w:rsidP="00D9096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Clinicians and hospital staff to understand the patient’s story and share that information with others caring for patient be that other clinicians, services and families</w:t>
            </w:r>
          </w:p>
          <w:p w:rsidR="00D90967" w:rsidRPr="00D90967" w:rsidRDefault="00D90967" w:rsidP="00D90967">
            <w:pPr>
              <w:pStyle w:val="ListParagraph"/>
              <w:numPr>
                <w:ilvl w:val="0"/>
                <w:numId w:val="12"/>
              </w:numPr>
              <w:spacing w:after="0"/>
              <w:contextualSpacing w:val="0"/>
              <w:cnfStyle w:val="000000000000" w:firstRow="0" w:lastRow="0" w:firstColumn="0" w:lastColumn="0" w:oddVBand="0" w:evenVBand="0" w:oddHBand="0" w:evenHBand="0" w:firstRowFirstColumn="0" w:firstRowLastColumn="0" w:lastRowFirstColumn="0" w:lastRowLastColumn="0"/>
              <w:rPr>
                <w:sz w:val="18"/>
              </w:rPr>
            </w:pPr>
            <w:r w:rsidRPr="00D90967">
              <w:rPr>
                <w:sz w:val="18"/>
              </w:rPr>
              <w:t>Enhance opportunities for clinical team meetings with patients and families</w:t>
            </w:r>
          </w:p>
          <w:p w:rsidR="00174A29" w:rsidRPr="009F4BEA" w:rsidRDefault="009A22C7" w:rsidP="00D9096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Involve consumers in quality and safety improvements plus innovations in health services</w:t>
            </w:r>
          </w:p>
        </w:tc>
      </w:tr>
      <w:tr w:rsidR="00174A29" w:rsidRPr="009F4BEA" w:rsidTr="00FC579B">
        <w:tc>
          <w:tcPr>
            <w:cnfStyle w:val="001000000000" w:firstRow="0" w:lastRow="0" w:firstColumn="1" w:lastColumn="0" w:oddVBand="0" w:evenVBand="0" w:oddHBand="0" w:evenHBand="0" w:firstRowFirstColumn="0" w:firstRowLastColumn="0" w:lastRowFirstColumn="0" w:lastRowLastColumn="0"/>
            <w:tcW w:w="1391" w:type="pct"/>
          </w:tcPr>
          <w:p w:rsidR="00174A29" w:rsidRPr="009F4BEA" w:rsidRDefault="009A22C7" w:rsidP="00B336F9">
            <w:pPr>
              <w:rPr>
                <w:sz w:val="18"/>
              </w:rPr>
            </w:pPr>
            <w:r w:rsidRPr="009F4BEA">
              <w:rPr>
                <w:sz w:val="18"/>
              </w:rPr>
              <w:t>P</w:t>
            </w:r>
            <w:r w:rsidR="00A65D40" w:rsidRPr="009F4BEA">
              <w:rPr>
                <w:sz w:val="18"/>
              </w:rPr>
              <w:t xml:space="preserve">articipation and shared decision making </w:t>
            </w:r>
          </w:p>
        </w:tc>
        <w:tc>
          <w:tcPr>
            <w:tcW w:w="1337" w:type="pct"/>
          </w:tcPr>
          <w:p w:rsidR="00174A29" w:rsidRPr="009F4BEA" w:rsidRDefault="009A22C7" w:rsidP="00B336F9">
            <w:pPr>
              <w:cnfStyle w:val="000000000000" w:firstRow="0" w:lastRow="0" w:firstColumn="0" w:lastColumn="0" w:oddVBand="0" w:evenVBand="0" w:oddHBand="0" w:evenHBand="0" w:firstRowFirstColumn="0" w:firstRowLastColumn="0" w:lastRowFirstColumn="0" w:lastRowLastColumn="0"/>
              <w:rPr>
                <w:sz w:val="18"/>
              </w:rPr>
            </w:pPr>
            <w:r w:rsidRPr="009F4BEA">
              <w:rPr>
                <w:sz w:val="18"/>
              </w:rPr>
              <w:t>“What needs to change for patients and the people who support them to be more involved in healthcare decisions in hospitals?</w:t>
            </w:r>
            <w:r w:rsidR="009162D7">
              <w:rPr>
                <w:sz w:val="18"/>
              </w:rPr>
              <w:t>”</w:t>
            </w:r>
            <w:r w:rsidRPr="009F4BEA">
              <w:rPr>
                <w:sz w:val="18"/>
              </w:rPr>
              <w:t xml:space="preserve"> </w:t>
            </w:r>
          </w:p>
        </w:tc>
        <w:tc>
          <w:tcPr>
            <w:tcW w:w="2272" w:type="pct"/>
          </w:tcPr>
          <w:p w:rsidR="00D90967" w:rsidRPr="00D90967" w:rsidRDefault="00D90967" w:rsidP="00D9096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8"/>
              </w:rPr>
            </w:pPr>
            <w:r w:rsidRPr="00D90967">
              <w:rPr>
                <w:sz w:val="18"/>
              </w:rPr>
              <w:t>Recording, communicating and implementing patients’ preferences</w:t>
            </w:r>
          </w:p>
          <w:p w:rsidR="009A22C7" w:rsidRPr="009F4BEA" w:rsidRDefault="009A22C7" w:rsidP="00D9096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 xml:space="preserve">Patients should be equal partners in decisions about care, given information and have autonomy, plus treated as unique individuals that all have different needs and requirements </w:t>
            </w:r>
          </w:p>
          <w:p w:rsidR="00174A29" w:rsidRPr="009F4BEA" w:rsidRDefault="009A22C7" w:rsidP="00D9096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Encourage two-way communication in doctor’s rounds</w:t>
            </w:r>
          </w:p>
        </w:tc>
      </w:tr>
      <w:tr w:rsidR="00174A29" w:rsidRPr="009F4BEA" w:rsidTr="00FC579B">
        <w:tc>
          <w:tcPr>
            <w:cnfStyle w:val="001000000000" w:firstRow="0" w:lastRow="0" w:firstColumn="1" w:lastColumn="0" w:oddVBand="0" w:evenVBand="0" w:oddHBand="0" w:evenHBand="0" w:firstRowFirstColumn="0" w:firstRowLastColumn="0" w:lastRowFirstColumn="0" w:lastRowLastColumn="0"/>
            <w:tcW w:w="1391" w:type="pct"/>
          </w:tcPr>
          <w:p w:rsidR="00174A29" w:rsidRPr="009F4BEA" w:rsidRDefault="009A22C7" w:rsidP="00B336F9">
            <w:pPr>
              <w:rPr>
                <w:sz w:val="18"/>
              </w:rPr>
            </w:pPr>
            <w:r w:rsidRPr="009F4BEA">
              <w:rPr>
                <w:sz w:val="18"/>
              </w:rPr>
              <w:t>E</w:t>
            </w:r>
            <w:r w:rsidR="00A65D40" w:rsidRPr="009F4BEA">
              <w:rPr>
                <w:sz w:val="18"/>
              </w:rPr>
              <w:t>quity, diversity,</w:t>
            </w:r>
            <w:r w:rsidRPr="009F4BEA">
              <w:rPr>
                <w:sz w:val="18"/>
              </w:rPr>
              <w:t xml:space="preserve"> inclus</w:t>
            </w:r>
            <w:r w:rsidR="009162D7">
              <w:rPr>
                <w:sz w:val="18"/>
              </w:rPr>
              <w:t>ion and responsiveness</w:t>
            </w:r>
          </w:p>
        </w:tc>
        <w:tc>
          <w:tcPr>
            <w:tcW w:w="1337" w:type="pct"/>
          </w:tcPr>
          <w:p w:rsidR="00174A29" w:rsidRPr="00D90967" w:rsidRDefault="009A22C7" w:rsidP="00D90967">
            <w:pPr>
              <w:cnfStyle w:val="000000000000" w:firstRow="0" w:lastRow="0" w:firstColumn="0" w:lastColumn="0" w:oddVBand="0" w:evenVBand="0" w:oddHBand="0" w:evenHBand="0" w:firstRowFirstColumn="0" w:firstRowLastColumn="0" w:lastRowFirstColumn="0" w:lastRowLastColumn="0"/>
              <w:rPr>
                <w:sz w:val="18"/>
              </w:rPr>
            </w:pPr>
            <w:r w:rsidRPr="00D90967">
              <w:rPr>
                <w:sz w:val="18"/>
              </w:rPr>
              <w:t>“What could be done differently to respond to people’s individual needs in hospitals?”</w:t>
            </w:r>
          </w:p>
        </w:tc>
        <w:tc>
          <w:tcPr>
            <w:tcW w:w="2272" w:type="pct"/>
          </w:tcPr>
          <w:p w:rsidR="009A22C7" w:rsidRPr="009F4BEA" w:rsidRDefault="009A22C7" w:rsidP="00D9096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Consider cultural diversity/competence training for staff</w:t>
            </w:r>
          </w:p>
          <w:p w:rsidR="00D90967" w:rsidRPr="00D90967" w:rsidRDefault="00D90967" w:rsidP="00D9096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D90967">
              <w:rPr>
                <w:sz w:val="18"/>
              </w:rPr>
              <w:t xml:space="preserve">Ensure greater access to interpreters for patients with limited English proficiency, including information in their preferred language </w:t>
            </w:r>
          </w:p>
          <w:p w:rsidR="00174A29" w:rsidRPr="009F4BEA" w:rsidRDefault="009A22C7" w:rsidP="00D9096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Ensure that the diversity of consumer representatives matches the diversity of people using a health service</w:t>
            </w:r>
          </w:p>
        </w:tc>
      </w:tr>
      <w:tr w:rsidR="00174A29" w:rsidRPr="009F4BEA" w:rsidTr="00FC579B">
        <w:tc>
          <w:tcPr>
            <w:cnfStyle w:val="001000000000" w:firstRow="0" w:lastRow="0" w:firstColumn="1" w:lastColumn="0" w:oddVBand="0" w:evenVBand="0" w:oddHBand="0" w:evenHBand="0" w:firstRowFirstColumn="0" w:firstRowLastColumn="0" w:lastRowFirstColumn="0" w:lastRowLastColumn="0"/>
            <w:tcW w:w="1391" w:type="pct"/>
          </w:tcPr>
          <w:p w:rsidR="00174A29" w:rsidRPr="009F4BEA" w:rsidRDefault="006877FB" w:rsidP="00B336F9">
            <w:pPr>
              <w:rPr>
                <w:sz w:val="18"/>
              </w:rPr>
            </w:pPr>
            <w:r w:rsidRPr="009F4BEA">
              <w:rPr>
                <w:sz w:val="18"/>
              </w:rPr>
              <w:t>H</w:t>
            </w:r>
            <w:r w:rsidR="00A65D40" w:rsidRPr="009F4BEA">
              <w:rPr>
                <w:sz w:val="18"/>
              </w:rPr>
              <w:t>ealth literacy, information and communication</w:t>
            </w:r>
          </w:p>
        </w:tc>
        <w:tc>
          <w:tcPr>
            <w:tcW w:w="1337" w:type="pct"/>
          </w:tcPr>
          <w:p w:rsidR="00174A29" w:rsidRPr="009F4BEA" w:rsidRDefault="006877FB" w:rsidP="00B336F9">
            <w:pPr>
              <w:cnfStyle w:val="000000000000" w:firstRow="0" w:lastRow="0" w:firstColumn="0" w:lastColumn="0" w:oddVBand="0" w:evenVBand="0" w:oddHBand="0" w:evenHBand="0" w:firstRowFirstColumn="0" w:firstRowLastColumn="0" w:lastRowFirstColumn="0" w:lastRowLastColumn="0"/>
              <w:rPr>
                <w:sz w:val="18"/>
              </w:rPr>
            </w:pPr>
            <w:r w:rsidRPr="009F4BEA">
              <w:rPr>
                <w:sz w:val="18"/>
              </w:rPr>
              <w:t>“How can hospital staff help patients better understand health information</w:t>
            </w:r>
            <w:proofErr w:type="gramStart"/>
            <w:r w:rsidRPr="009F4BEA">
              <w:rPr>
                <w:sz w:val="18"/>
              </w:rPr>
              <w:t>?“</w:t>
            </w:r>
            <w:proofErr w:type="gramEnd"/>
          </w:p>
        </w:tc>
        <w:tc>
          <w:tcPr>
            <w:tcW w:w="2272" w:type="pct"/>
          </w:tcPr>
          <w:p w:rsidR="006877FB" w:rsidRPr="009F4BEA" w:rsidRDefault="006877FB" w:rsidP="00B336F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Include patients and families when developing health information</w:t>
            </w:r>
          </w:p>
          <w:p w:rsidR="006877FB" w:rsidRPr="009F4BEA" w:rsidRDefault="006877FB" w:rsidP="00B336F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Better use of available technology when it matches consumer needs</w:t>
            </w:r>
          </w:p>
          <w:p w:rsidR="00174A29" w:rsidRPr="009F4BEA" w:rsidRDefault="006877FB" w:rsidP="00B336F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18"/>
              </w:rPr>
            </w:pPr>
            <w:r w:rsidRPr="009F4BEA">
              <w:rPr>
                <w:sz w:val="18"/>
              </w:rPr>
              <w:t>Help hospital staff build their skills in effective verbal and written communication</w:t>
            </w:r>
          </w:p>
        </w:tc>
      </w:tr>
    </w:tbl>
    <w:p w:rsidR="000905F7" w:rsidRDefault="000905F7" w:rsidP="00B336F9">
      <w:pPr>
        <w:sectPr w:rsidR="000905F7" w:rsidSect="004556C8">
          <w:type w:val="continuous"/>
          <w:pgSz w:w="11906" w:h="16838" w:code="9"/>
          <w:pgMar w:top="2438" w:right="737" w:bottom="680" w:left="737" w:header="539" w:footer="624" w:gutter="0"/>
          <w:cols w:space="284"/>
          <w:docGrid w:linePitch="360"/>
        </w:sectPr>
      </w:pPr>
    </w:p>
    <w:p w:rsidR="001616C5" w:rsidRDefault="001616C5" w:rsidP="001616C5"/>
    <w:p w:rsidR="009F4BEA" w:rsidRDefault="001616C5" w:rsidP="001616C5">
      <w:pPr>
        <w:ind w:hanging="142"/>
        <w:rPr>
          <w:rFonts w:ascii="VIC SemiBold" w:eastAsiaTheme="majorEastAsia" w:hAnsi="VIC SemiBold" w:cstheme="majorBidi"/>
          <w:bCs/>
          <w:caps/>
          <w:color w:val="007586" w:themeColor="text2"/>
          <w:sz w:val="24"/>
          <w:szCs w:val="26"/>
        </w:rPr>
      </w:pPr>
      <w:r>
        <w:rPr>
          <w:noProof/>
        </w:rPr>
        <mc:AlternateContent>
          <mc:Choice Requires="wps">
            <w:drawing>
              <wp:inline distT="0" distB="0" distL="0" distR="0" wp14:anchorId="142B2323" wp14:editId="55EFAD89">
                <wp:extent cx="6724650" cy="1764000"/>
                <wp:effectExtent l="0" t="0" r="1905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764000"/>
                        </a:xfrm>
                        <a:prstGeom prst="rect">
                          <a:avLst/>
                        </a:prstGeom>
                        <a:solidFill>
                          <a:schemeClr val="bg2"/>
                        </a:solidFill>
                        <a:ln w="6350">
                          <a:solidFill>
                            <a:schemeClr val="bg2"/>
                          </a:solidFill>
                          <a:miter lim="800000"/>
                          <a:headEnd/>
                          <a:tailEnd/>
                        </a:ln>
                      </wps:spPr>
                      <wps:txbx>
                        <w:txbxContent>
                          <w:p w:rsidR="001616C5" w:rsidRPr="001616C5" w:rsidRDefault="001616C5" w:rsidP="001616C5">
                            <w:pPr>
                              <w:pStyle w:val="Quote"/>
                              <w:ind w:left="0" w:right="37"/>
                              <w:jc w:val="left"/>
                              <w:rPr>
                                <w:b/>
                                <w:i w:val="0"/>
                                <w:iCs w:val="0"/>
                                <w:color w:val="007586" w:themeColor="text2"/>
                                <w:sz w:val="24"/>
                                <w:lang w:val="en-GB"/>
                              </w:rPr>
                            </w:pPr>
                            <w:r w:rsidRPr="001616C5">
                              <w:rPr>
                                <w:b/>
                                <w:i w:val="0"/>
                                <w:iCs w:val="0"/>
                                <w:color w:val="007586" w:themeColor="text2"/>
                                <w:sz w:val="24"/>
                                <w:lang w:val="en-GB"/>
                              </w:rPr>
                              <w:t xml:space="preserve">“Consumers should always be part of the process in developing health information, so that they are presenting information in a way that is </w:t>
                            </w:r>
                            <w:proofErr w:type="gramStart"/>
                            <w:r w:rsidRPr="001616C5">
                              <w:rPr>
                                <w:b/>
                                <w:i w:val="0"/>
                                <w:iCs w:val="0"/>
                                <w:color w:val="007586" w:themeColor="text2"/>
                                <w:sz w:val="24"/>
                                <w:lang w:val="en-GB"/>
                              </w:rPr>
                              <w:t>understandable/relevant</w:t>
                            </w:r>
                            <w:proofErr w:type="gramEnd"/>
                            <w:r w:rsidRPr="001616C5">
                              <w:rPr>
                                <w:b/>
                                <w:i w:val="0"/>
                                <w:iCs w:val="0"/>
                                <w:color w:val="007586" w:themeColor="text2"/>
                                <w:sz w:val="24"/>
                                <w:lang w:val="en-GB"/>
                              </w:rPr>
                              <w:t>.”</w:t>
                            </w:r>
                          </w:p>
                        </w:txbxContent>
                      </wps:txbx>
                      <wps:bodyPr rot="0" vert="horz" wrap="square" lIns="180000" tIns="180000" rIns="144000" bIns="36000" anchor="t" anchorCtr="0">
                        <a:spAutoFit/>
                      </wps:bodyPr>
                    </wps:wsp>
                  </a:graphicData>
                </a:graphic>
              </wp:inline>
            </w:drawing>
          </mc:Choice>
          <mc:Fallback>
            <w:pict>
              <v:shape id="_x0000_s1029" type="#_x0000_t202" style="width:529.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IQIAAE4EAAAOAAAAZHJzL2Uyb0RvYy54bWysVMtu2zAQvBfoPxC815IfdQLBcpA6dVEg&#10;TQsk/YAVRVlEKS5L0pbcr++Sst2kvQW9CFxyOTs7s9TqZug0O0jnFZqSTyc5Z9IIrJXZlfz70/bd&#10;NWc+gKlBo5ElP0rPb9Zv36x6W8gZtqhr6RiBGF/0tuRtCLbIMi9a2YGfoJWGDht0HQQK3S6rHfSE&#10;3ulslufLrEdXW4dCek+7d+MhXyf8ppEifG0aLwPTJSduIX1d+lbxm61XUOwc2FaJEw14BYsOlKGi&#10;F6g7CMD2Tv0D1Snh0GMTJgK7DJtGCZl6oG6m+V/dPLZgZeqFxPH2IpP/f7Di4fDNMVWTd1PODHTk&#10;0ZMcAvuAA5tFeXrrC8p6tJQXBtqm1NSqt/cofnhmcNOC2clb57BvJdREbxpvZs+ujjg+glT9F6yp&#10;DOwDJqChcV3UjtRghE42HS/WRCqCNpdXs8XyPR0JOpteLRd5nszLoDhft86HTxI7Fhcld+R9gofD&#10;vQ+RDhTnlFjNo1b1VmmdgjhvcqMdOwBNSrVLrdONF1nasJ6ozInHKxE6FWjctepKfk0djD1AEVX7&#10;aOo0jAGUHtdUXpuTjFG5UcMwVEMybH52p8L6SLo6HKebXiMtWnS/OOtpskvuf+7BSc70ZxO9SZXp&#10;LbyI3BgtkrCsStF8GRkyMILQSh7Oy01ILyhpYG/Jxq1KAke/RzIn1jS0SffTA4uv4nmcsv78Bta/&#10;AQAA//8DAFBLAwQUAAYACAAAACEAMyWAv9wAAAAGAQAADwAAAGRycy9kb3ducmV2LnhtbEyPT0vD&#10;QBDF74LfYRnBm90Y6L80myJCsSgIqdLzNjsmobuzITtN4rd360UvDx5veO83+XZyVgzYh9aTgsdZ&#10;AgKp8qalWsHnx+5hBSKwJqOtJ1TwjQG2xe1NrjPjRypxOHAtYgmFTCtomLtMylA16HSY+Q4pZl++&#10;d5qj7Wtpej3GcmdlmiQL6XRLcaHRHT43WJ0PF6fgOJQv5Wu6P+/G/ZudL8Y1v7NR6v5uetqAYJz4&#10;7xiu+BEdish08hcyQVgF8RH+1WuWzNfRnxSky+UKZJHL//jFDwAAAP//AwBQSwECLQAUAAYACAAA&#10;ACEAtoM4kv4AAADhAQAAEwAAAAAAAAAAAAAAAAAAAAAAW0NvbnRlbnRfVHlwZXNdLnhtbFBLAQIt&#10;ABQABgAIAAAAIQA4/SH/1gAAAJQBAAALAAAAAAAAAAAAAAAAAC8BAABfcmVscy8ucmVsc1BLAQIt&#10;ABQABgAIAAAAIQCx/0/2IQIAAE4EAAAOAAAAAAAAAAAAAAAAAC4CAABkcnMvZTJvRG9jLnhtbFBL&#10;AQItABQABgAIAAAAIQAzJYC/3AAAAAYBAAAPAAAAAAAAAAAAAAAAAHsEAABkcnMvZG93bnJldi54&#10;bWxQSwUGAAAAAAQABADzAAAAhAUAAAAA&#10;" fillcolor="#edf5f7 [3214]" strokecolor="#edf5f7 [3214]" strokeweight=".5pt">
                <v:textbox style="mso-fit-shape-to-text:t" inset="5mm,5mm,4mm,1mm">
                  <w:txbxContent>
                    <w:p w:rsidR="001616C5" w:rsidRPr="001616C5" w:rsidRDefault="001616C5" w:rsidP="001616C5">
                      <w:pPr>
                        <w:pStyle w:val="Quote"/>
                        <w:ind w:left="0" w:right="37"/>
                        <w:jc w:val="left"/>
                        <w:rPr>
                          <w:b/>
                          <w:i w:val="0"/>
                          <w:iCs w:val="0"/>
                          <w:color w:val="007586" w:themeColor="text2"/>
                          <w:sz w:val="24"/>
                          <w:lang w:val="en-GB"/>
                        </w:rPr>
                      </w:pPr>
                      <w:r w:rsidRPr="001616C5">
                        <w:rPr>
                          <w:b/>
                          <w:i w:val="0"/>
                          <w:iCs w:val="0"/>
                          <w:color w:val="007586" w:themeColor="text2"/>
                          <w:sz w:val="24"/>
                          <w:lang w:val="en-GB"/>
                        </w:rPr>
                        <w:t xml:space="preserve">“Consumers should always be part of the process in developing health information, so that they are presenting information in a way that is </w:t>
                      </w:r>
                      <w:proofErr w:type="gramStart"/>
                      <w:r w:rsidRPr="001616C5">
                        <w:rPr>
                          <w:b/>
                          <w:i w:val="0"/>
                          <w:iCs w:val="0"/>
                          <w:color w:val="007586" w:themeColor="text2"/>
                          <w:sz w:val="24"/>
                          <w:lang w:val="en-GB"/>
                        </w:rPr>
                        <w:t>understandable/relevant</w:t>
                      </w:r>
                      <w:proofErr w:type="gramEnd"/>
                      <w:r w:rsidRPr="001616C5">
                        <w:rPr>
                          <w:b/>
                          <w:i w:val="0"/>
                          <w:iCs w:val="0"/>
                          <w:color w:val="007586" w:themeColor="text2"/>
                          <w:sz w:val="24"/>
                          <w:lang w:val="en-GB"/>
                        </w:rPr>
                        <w:t>.”</w:t>
                      </w:r>
                    </w:p>
                  </w:txbxContent>
                </v:textbox>
                <w10:anchorlock/>
              </v:shape>
            </w:pict>
          </mc:Fallback>
        </mc:AlternateContent>
      </w:r>
      <w:r w:rsidR="009F4BEA">
        <w:br w:type="page"/>
      </w:r>
    </w:p>
    <w:p w:rsidR="001616C5" w:rsidRPr="00615AAC" w:rsidRDefault="001616C5" w:rsidP="00BA0C37">
      <w:r>
        <w:rPr>
          <w:noProof/>
        </w:rPr>
        <w:lastRenderedPageBreak/>
        <mc:AlternateContent>
          <mc:Choice Requires="wps">
            <w:drawing>
              <wp:inline distT="0" distB="0" distL="0" distR="0" wp14:anchorId="0B26DC40" wp14:editId="6CDC2F75">
                <wp:extent cx="6581775" cy="14382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38275"/>
                        </a:xfrm>
                        <a:prstGeom prst="rect">
                          <a:avLst/>
                        </a:prstGeom>
                        <a:solidFill>
                          <a:schemeClr val="bg2"/>
                        </a:solidFill>
                        <a:ln w="6350">
                          <a:solidFill>
                            <a:schemeClr val="bg2"/>
                          </a:solidFill>
                          <a:miter lim="800000"/>
                          <a:headEnd/>
                          <a:tailEnd/>
                        </a:ln>
                      </wps:spPr>
                      <wps:txbx>
                        <w:txbxContent>
                          <w:p w:rsidR="001616C5" w:rsidRPr="001616C5" w:rsidRDefault="001616C5" w:rsidP="00A41500">
                            <w:pPr>
                              <w:pStyle w:val="PulloutHeading"/>
                              <w:rPr>
                                <w:lang w:val="en-GB"/>
                              </w:rPr>
                            </w:pPr>
                            <w:r w:rsidRPr="001616C5">
                              <w:rPr>
                                <w:lang w:val="en-GB"/>
                              </w:rPr>
                              <w:t xml:space="preserve">“Communications training for doctors and nurses would be great. My main experience has been that sometimes it's difficult to understand the entire picture or what is going on at any one moment in time. Having a single person whose job it is to manage the patient's case would also be </w:t>
                            </w:r>
                            <w:r w:rsidRPr="00A41500">
                              <w:t>wonderful</w:t>
                            </w:r>
                            <w:r w:rsidRPr="001616C5">
                              <w:rPr>
                                <w:lang w:val="en-GB"/>
                              </w:rPr>
                              <w:t xml:space="preserve"> so that you're not left having to try to deal with a bunch of different specialists all saying something different.“</w:t>
                            </w:r>
                          </w:p>
                        </w:txbxContent>
                      </wps:txbx>
                      <wps:bodyPr rot="0" vert="horz" wrap="square" lIns="180000" tIns="180000" rIns="144000" bIns="36000" anchor="t" anchorCtr="0">
                        <a:noAutofit/>
                      </wps:bodyPr>
                    </wps:wsp>
                  </a:graphicData>
                </a:graphic>
              </wp:inline>
            </w:drawing>
          </mc:Choice>
          <mc:Fallback>
            <w:pict>
              <v:shape id="_x0000_s1030" type="#_x0000_t202" style="width:518.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5fXIwIAAE4EAAAOAAAAZHJzL2Uyb0RvYy54bWysVNuO2yAQfa/Uf0C8N3auG1nrrLbZblVp&#10;e5F2+wEYcIwKDAUSO/36DjhJd9unVs0DYvBw5sw5Q65vBqPJQfqgwNZ0OikpkZaDUHZX069P92/W&#10;lITIrGAarKzpUQZ6s3n96rp3lZxBB1pITxDEhqp3Ne1idFVRBN5Jw8IEnLT4sQVvWMTQ7wrhWY/o&#10;RhezslwVPXjhPHAZAp7ejR/pJuO3reTxc9sGGYmuKXKLefV5bdJabK5ZtfPMdYqfaLB/YGGYslj0&#10;AnXHIiN7r/6AMop7CNDGCQdTQNsqLnMP2M20/K2bx445mXtBcYK7yBT+Hyz/dPjiiRLo3YwSywx6&#10;9CSHSN7CQGZJnt6FCrMeHebFAY8xNbca3APwb4FY2HbM7uSt99B3kgmkN003i2dXR5yQQJr+Iwgs&#10;w/YRMtDQepO0QzUIoqNNx4s1iQrHw9VyPb26WlLC8dt0MV/PMEg1WHW+7nyI7yUYkjY19eh9hmeH&#10;hxDH1HNKqhZAK3GvtM5Bmje51Z4cGE5Ks8utI/iLLG1Jj1Tmy3IU4O8RjIo47lqZmq7L9BsHMKn2&#10;zgokyarIlB73WF7bk4xJuVHDODRDNmxxdqcBcURdPYzTja8RNx34H5T0ONk1Dd/3zEtK9AebvMmV&#10;8S28iPwYLRaJFGlyNF/lgFmOaDWNlIzbbcwvKLG1cIs2tioLnPweyZxY49Bmi04PLL2K53HO+vU3&#10;sPkJAAD//wMAUEsDBBQABgAIAAAAIQDE/6Gd2gAAAAYBAAAPAAAAZHJzL2Rvd25yZXYueG1sTI/B&#10;TsMwDIbvSLxDZCQuE0vbiQlK06ma6BWJsQfwGq8tNE7VZFt5ezwucLFs/dbnz8VmdoM60xR6zwbS&#10;ZQKKuPG259bA/qN+eAIVIrLFwTMZ+KYAm/L2psDc+gu/03kXWyUQDjka6GIcc61D05HDsPQjsWRH&#10;PzmMMk6tthNeBO4GnSXJWjvsWS50ONK2o+Zrd3JCaat6cbSL5+Ztv0rtZ91Xr+nWmPu7uXoBFWmO&#10;f8tw1Rd1KMXp4E9sgxoMyCPxt16zZLV+BHUwkGXS6LLQ//XLHwAAAP//AwBQSwECLQAUAAYACAAA&#10;ACEAtoM4kv4AAADhAQAAEwAAAAAAAAAAAAAAAAAAAAAAW0NvbnRlbnRfVHlwZXNdLnhtbFBLAQIt&#10;ABQABgAIAAAAIQA4/SH/1gAAAJQBAAALAAAAAAAAAAAAAAAAAC8BAABfcmVscy8ucmVsc1BLAQIt&#10;ABQABgAIAAAAIQD0D5fXIwIAAE4EAAAOAAAAAAAAAAAAAAAAAC4CAABkcnMvZTJvRG9jLnhtbFBL&#10;AQItABQABgAIAAAAIQDE/6Gd2gAAAAYBAAAPAAAAAAAAAAAAAAAAAH0EAABkcnMvZG93bnJldi54&#10;bWxQSwUGAAAAAAQABADzAAAAhAUAAAAA&#10;" fillcolor="#edf5f7 [3214]" strokecolor="#edf5f7 [3214]" strokeweight=".5pt">
                <v:textbox inset="5mm,5mm,4mm,1mm">
                  <w:txbxContent>
                    <w:p w:rsidR="001616C5" w:rsidRPr="001616C5" w:rsidRDefault="001616C5" w:rsidP="00A41500">
                      <w:pPr>
                        <w:pStyle w:val="PulloutHeading"/>
                        <w:rPr>
                          <w:lang w:val="en-GB"/>
                        </w:rPr>
                      </w:pPr>
                      <w:r w:rsidRPr="001616C5">
                        <w:rPr>
                          <w:lang w:val="en-GB"/>
                        </w:rPr>
                        <w:t xml:space="preserve">“Communications training for doctors and nurses would be great. My main experience has been that sometimes it's difficult to understand the entire picture or what is going on at any one moment in time. Having a single person whose job it is to manage the patient's case would also be </w:t>
                      </w:r>
                      <w:r w:rsidRPr="00A41500">
                        <w:t>wonderful</w:t>
                      </w:r>
                      <w:r w:rsidRPr="001616C5">
                        <w:rPr>
                          <w:lang w:val="en-GB"/>
                        </w:rPr>
                        <w:t xml:space="preserve"> so that you're not left having to try to deal with a bunch of different specialists all saying something different.“</w:t>
                      </w:r>
                    </w:p>
                  </w:txbxContent>
                </v:textbox>
                <w10:anchorlock/>
              </v:shape>
            </w:pict>
          </mc:Fallback>
        </mc:AlternateContent>
      </w:r>
    </w:p>
    <w:p w:rsidR="00426CC8" w:rsidRDefault="001E223F" w:rsidP="00B336F9">
      <w:pPr>
        <w:pStyle w:val="Heading2"/>
      </w:pPr>
      <w:r>
        <w:rPr>
          <w:noProof/>
        </w:rPr>
        <w:drawing>
          <wp:anchor distT="0" distB="0" distL="114300" distR="114300" simplePos="0" relativeHeight="251662336" behindDoc="1" locked="0" layoutInCell="1" allowOverlap="1" wp14:anchorId="71EEB950" wp14:editId="6E481ABC">
            <wp:simplePos x="0" y="0"/>
            <wp:positionH relativeFrom="column">
              <wp:posOffset>3601085</wp:posOffset>
            </wp:positionH>
            <wp:positionV relativeFrom="paragraph">
              <wp:posOffset>117475</wp:posOffset>
            </wp:positionV>
            <wp:extent cx="3206115" cy="2036445"/>
            <wp:effectExtent l="0" t="0" r="0" b="1905"/>
            <wp:wrapTight wrapText="bothSides">
              <wp:wrapPolygon edited="0">
                <wp:start x="0" y="0"/>
                <wp:lineTo x="0" y="21418"/>
                <wp:lineTo x="21433" y="21418"/>
                <wp:lineTo x="2143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a:blip r:embed="rId13">
                      <a:extLst>
                        <a:ext uri="{28A0092B-C50C-407E-A947-70E740481C1C}">
                          <a14:useLocalDpi xmlns:a14="http://schemas.microsoft.com/office/drawing/2010/main" val="0"/>
                        </a:ext>
                      </a:extLst>
                    </a:blip>
                    <a:stretch>
                      <a:fillRect/>
                    </a:stretch>
                  </pic:blipFill>
                  <pic:spPr>
                    <a:xfrm>
                      <a:off x="0" y="0"/>
                      <a:ext cx="3206115" cy="2036445"/>
                    </a:xfrm>
                    <a:prstGeom prst="rect">
                      <a:avLst/>
                    </a:prstGeom>
                  </pic:spPr>
                </pic:pic>
              </a:graphicData>
            </a:graphic>
            <wp14:sizeRelH relativeFrom="page">
              <wp14:pctWidth>0</wp14:pctWidth>
            </wp14:sizeRelH>
            <wp14:sizeRelV relativeFrom="page">
              <wp14:pctHeight>0</wp14:pctHeight>
            </wp14:sizeRelV>
          </wp:anchor>
        </w:drawing>
      </w:r>
      <w:r w:rsidR="00426CC8">
        <w:t>Where to from here</w:t>
      </w:r>
    </w:p>
    <w:p w:rsidR="00426CC8" w:rsidRDefault="00426CC8" w:rsidP="00B336F9">
      <w:r>
        <w:t>Now that we’ve heard what’s important to you, we’re developing a final framework that will</w:t>
      </w:r>
      <w:r w:rsidR="00B567B6">
        <w:t xml:space="preserve"> act as </w:t>
      </w:r>
      <w:r>
        <w:t xml:space="preserve">a </w:t>
      </w:r>
      <w:r w:rsidR="00F44434">
        <w:t>guide for</w:t>
      </w:r>
      <w:r w:rsidR="00B567B6">
        <w:t xml:space="preserve"> consumers and health services.</w:t>
      </w:r>
    </w:p>
    <w:p w:rsidR="00426CC8" w:rsidRDefault="00426CC8" w:rsidP="00B336F9">
      <w:r>
        <w:t xml:space="preserve">The second half of 2018 will see us conduct further online and face-to-face events to share our framework and implementation recommendations. </w:t>
      </w:r>
    </w:p>
    <w:p w:rsidR="00B0272E" w:rsidRDefault="00426CC8" w:rsidP="009162D7">
      <w:pPr>
        <w:ind w:right="-171"/>
      </w:pPr>
      <w:r>
        <w:t>To hear more about what happens ne</w:t>
      </w:r>
      <w:r w:rsidR="001616C5">
        <w:t xml:space="preserve">xt, you can register </w:t>
      </w:r>
      <w:r w:rsidR="009162D7">
        <w:t xml:space="preserve">at </w:t>
      </w:r>
      <w:r w:rsidRPr="009162D7">
        <w:rPr>
          <w:b/>
        </w:rPr>
        <w:t>engage.vic.gov.au/</w:t>
      </w:r>
      <w:proofErr w:type="spellStart"/>
      <w:r w:rsidRPr="009162D7">
        <w:rPr>
          <w:b/>
        </w:rPr>
        <w:t>partneringinhealthcare</w:t>
      </w:r>
      <w:proofErr w:type="spellEnd"/>
      <w:r w:rsidR="009162D7" w:rsidRPr="009162D7">
        <w:t>.</w:t>
      </w:r>
    </w:p>
    <w:tbl>
      <w:tblPr>
        <w:tblStyle w:val="SCVInformationTable"/>
        <w:tblpPr w:leftFromText="181" w:rightFromText="181" w:vertAnchor="page" w:horzAnchor="page" w:tblpX="738" w:tblpY="14289"/>
        <w:tblW w:w="10603" w:type="dxa"/>
        <w:shd w:val="clear" w:color="auto" w:fill="F2F2F3"/>
        <w:tblLook w:val="0600" w:firstRow="0" w:lastRow="0" w:firstColumn="0" w:lastColumn="0" w:noHBand="1" w:noVBand="1"/>
      </w:tblPr>
      <w:tblGrid>
        <w:gridCol w:w="4508"/>
        <w:gridCol w:w="3543"/>
        <w:gridCol w:w="2552"/>
      </w:tblGrid>
      <w:tr w:rsidR="001616C5" w:rsidRPr="00736C0C" w:rsidTr="002E37C6">
        <w:trPr>
          <w:trHeight w:val="1531"/>
        </w:trPr>
        <w:tc>
          <w:tcPr>
            <w:tcW w:w="4508" w:type="dxa"/>
            <w:tcMar>
              <w:left w:w="113" w:type="dxa"/>
            </w:tcMar>
          </w:tcPr>
          <w:p w:rsidR="001616C5" w:rsidRDefault="001616C5" w:rsidP="00B336F9">
            <w:pPr>
              <w:rPr>
                <w:b/>
                <w:sz w:val="24"/>
              </w:rPr>
            </w:pPr>
            <w:r w:rsidRPr="001616C5">
              <w:rPr>
                <w:sz w:val="24"/>
              </w:rPr>
              <w:t xml:space="preserve">To receive this publication in </w:t>
            </w:r>
            <w:r w:rsidRPr="001616C5">
              <w:rPr>
                <w:sz w:val="24"/>
              </w:rPr>
              <w:br/>
              <w:t>an accessible format phone</w:t>
            </w:r>
            <w:r w:rsidR="009162D7">
              <w:rPr>
                <w:sz w:val="24"/>
              </w:rPr>
              <w:t xml:space="preserve"> </w:t>
            </w:r>
            <w:r w:rsidR="00D43C6C">
              <w:rPr>
                <w:sz w:val="24"/>
              </w:rPr>
              <w:br/>
            </w:r>
            <w:r w:rsidR="00CB4B9B">
              <w:rPr>
                <w:sz w:val="24"/>
              </w:rPr>
              <w:t>9096 5484</w:t>
            </w:r>
            <w:r w:rsidRPr="001616C5">
              <w:rPr>
                <w:sz w:val="24"/>
              </w:rPr>
              <w:t>, using the Natio</w:t>
            </w:r>
            <w:bookmarkStart w:id="0" w:name="_GoBack"/>
            <w:bookmarkEnd w:id="0"/>
            <w:r w:rsidRPr="001616C5">
              <w:rPr>
                <w:sz w:val="24"/>
              </w:rPr>
              <w:t>nal Relay Service</w:t>
            </w:r>
            <w:r w:rsidR="00CB4B9B">
              <w:rPr>
                <w:sz w:val="24"/>
              </w:rPr>
              <w:t xml:space="preserve"> </w:t>
            </w:r>
            <w:r w:rsidRPr="001616C5">
              <w:rPr>
                <w:sz w:val="24"/>
              </w:rPr>
              <w:t xml:space="preserve">13 36 77 if required, or email </w:t>
            </w:r>
            <w:hyperlink r:id="rId14" w:history="1">
              <w:r w:rsidR="002E37C6" w:rsidRPr="003D5AC6">
                <w:rPr>
                  <w:rStyle w:val="Hyperlink"/>
                  <w:b/>
                  <w:sz w:val="24"/>
                </w:rPr>
                <w:t>info@safercare.vic.gov.au</w:t>
              </w:r>
            </w:hyperlink>
          </w:p>
          <w:p w:rsidR="002E37C6" w:rsidRDefault="002E37C6" w:rsidP="00B336F9">
            <w:pPr>
              <w:rPr>
                <w:b/>
                <w:sz w:val="24"/>
              </w:rPr>
            </w:pPr>
          </w:p>
          <w:p w:rsidR="002E37C6" w:rsidRPr="00736C0C" w:rsidRDefault="002E37C6" w:rsidP="002E37C6">
            <w:pPr>
              <w:ind w:left="0"/>
            </w:pPr>
          </w:p>
        </w:tc>
        <w:tc>
          <w:tcPr>
            <w:tcW w:w="3543" w:type="dxa"/>
          </w:tcPr>
          <w:p w:rsidR="001616C5" w:rsidRPr="007A4444" w:rsidRDefault="001616C5" w:rsidP="00B336F9">
            <w:r w:rsidRPr="007A4444">
              <w:t>Authorised and published by the Victorian Government, 1 Treasury Place, Melbourne.</w:t>
            </w:r>
          </w:p>
          <w:p w:rsidR="001616C5" w:rsidRDefault="001616C5" w:rsidP="001616C5">
            <w:r w:rsidRPr="007A4444">
              <w:t xml:space="preserve">© State of Victoria, Australia, Safer Care Victoria, February 2018 </w:t>
            </w:r>
          </w:p>
          <w:p w:rsidR="002E37C6" w:rsidRDefault="002E37C6" w:rsidP="001616C5">
            <w:r w:rsidRPr="002E37C6">
              <w:t>ISBN 978-1-76069-527-9 (pdf/online/MS word)</w:t>
            </w:r>
          </w:p>
          <w:p w:rsidR="001616C5" w:rsidRPr="007A4444" w:rsidRDefault="001616C5" w:rsidP="009162D7">
            <w:r w:rsidRPr="007A4444">
              <w:t xml:space="preserve">Available at </w:t>
            </w:r>
            <w:hyperlink r:id="rId15" w:history="1">
              <w:r w:rsidRPr="000B71A5">
                <w:rPr>
                  <w:rStyle w:val="Hyperlink"/>
                  <w:sz w:val="13"/>
                  <w:szCs w:val="13"/>
                </w:rPr>
                <w:t>www.safercare.vic</w:t>
              </w:r>
            </w:hyperlink>
            <w:r w:rsidRPr="007A4444">
              <w:t>.gov.au</w:t>
            </w:r>
          </w:p>
        </w:tc>
        <w:tc>
          <w:tcPr>
            <w:tcW w:w="2552" w:type="dxa"/>
          </w:tcPr>
          <w:p w:rsidR="001616C5" w:rsidRPr="00736C0C" w:rsidRDefault="001616C5" w:rsidP="00B336F9">
            <w:r>
              <w:rPr>
                <w:noProof/>
              </w:rPr>
              <w:drawing>
                <wp:inline distT="0" distB="0" distL="0" distR="0" wp14:anchorId="7F9EF587" wp14:editId="103E4790">
                  <wp:extent cx="972000" cy="55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tbl>
    <w:p w:rsidR="001E223F" w:rsidRDefault="001E223F" w:rsidP="00B336F9"/>
    <w:sectPr w:rsidR="001E223F"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0E" w:rsidRDefault="002F6A0E" w:rsidP="00B336F9">
      <w:r>
        <w:separator/>
      </w:r>
    </w:p>
  </w:endnote>
  <w:endnote w:type="continuationSeparator" w:id="0">
    <w:p w:rsidR="002F6A0E" w:rsidRDefault="002F6A0E" w:rsidP="00B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VIC SemiBold">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0E" w:rsidRDefault="002F6A0E" w:rsidP="00B336F9"/>
  </w:footnote>
  <w:footnote w:type="continuationSeparator" w:id="0">
    <w:p w:rsidR="002F6A0E" w:rsidRDefault="002F6A0E" w:rsidP="00B33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5F7" w:rsidRDefault="000905F7" w:rsidP="00B336F9">
    <w:pPr>
      <w:pStyle w:val="Header"/>
    </w:pPr>
    <w:r>
      <w:rPr>
        <w:noProof/>
      </w:rPr>
      <w:drawing>
        <wp:anchor distT="0" distB="0" distL="114300" distR="114300" simplePos="0" relativeHeight="251662336" behindDoc="1" locked="0" layoutInCell="1" allowOverlap="1" wp14:anchorId="2560177F" wp14:editId="72722D2A">
          <wp:simplePos x="0" y="0"/>
          <wp:positionH relativeFrom="page">
            <wp:posOffset>0</wp:posOffset>
          </wp:positionH>
          <wp:positionV relativeFrom="page">
            <wp:posOffset>0</wp:posOffset>
          </wp:positionV>
          <wp:extent cx="1522800" cy="120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37E"/>
    <w:multiLevelType w:val="hybridMultilevel"/>
    <w:tmpl w:val="51B4E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E113F1"/>
    <w:multiLevelType w:val="multilevel"/>
    <w:tmpl w:val="943AFA02"/>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nsid w:val="2E995B3F"/>
    <w:multiLevelType w:val="hybridMultilevel"/>
    <w:tmpl w:val="B2D88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2EF499F"/>
    <w:multiLevelType w:val="multilevel"/>
    <w:tmpl w:val="4D7CDC0A"/>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nsid w:val="38042031"/>
    <w:multiLevelType w:val="hybridMultilevel"/>
    <w:tmpl w:val="635C4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7">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nsid w:val="425E523D"/>
    <w:multiLevelType w:val="hybridMultilevel"/>
    <w:tmpl w:val="7E6E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nsid w:val="4EA13C23"/>
    <w:multiLevelType w:val="hybridMultilevel"/>
    <w:tmpl w:val="B1AEC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3A3D40"/>
    <w:multiLevelType w:val="hybridMultilevel"/>
    <w:tmpl w:val="E1565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02C1B7D"/>
    <w:multiLevelType w:val="hybridMultilevel"/>
    <w:tmpl w:val="65782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8F1103E"/>
    <w:multiLevelType w:val="hybridMultilevel"/>
    <w:tmpl w:val="B0C63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0"/>
  </w:num>
  <w:num w:numId="2">
    <w:abstractNumId w:val="10"/>
  </w:num>
  <w:num w:numId="3">
    <w:abstractNumId w:val="10"/>
  </w:num>
  <w:num w:numId="4">
    <w:abstractNumId w:val="16"/>
  </w:num>
  <w:num w:numId="5">
    <w:abstractNumId w:val="2"/>
  </w:num>
  <w:num w:numId="6">
    <w:abstractNumId w:val="9"/>
  </w:num>
  <w:num w:numId="7">
    <w:abstractNumId w:val="15"/>
  </w:num>
  <w:num w:numId="8">
    <w:abstractNumId w:val="7"/>
  </w:num>
  <w:num w:numId="9">
    <w:abstractNumId w:val="7"/>
  </w:num>
  <w:num w:numId="10">
    <w:abstractNumId w:val="6"/>
  </w:num>
  <w:num w:numId="11">
    <w:abstractNumId w:val="14"/>
  </w:num>
  <w:num w:numId="12">
    <w:abstractNumId w:val="12"/>
  </w:num>
  <w:num w:numId="13">
    <w:abstractNumId w:val="5"/>
  </w:num>
  <w:num w:numId="14">
    <w:abstractNumId w:val="13"/>
  </w:num>
  <w:num w:numId="15">
    <w:abstractNumId w:val="3"/>
  </w:num>
  <w:num w:numId="16">
    <w:abstractNumId w:val="1"/>
  </w:num>
  <w:num w:numId="17">
    <w:abstractNumId w:val="0"/>
  </w:num>
  <w:num w:numId="18">
    <w:abstractNumId w:val="11"/>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47"/>
    <w:rsid w:val="00012F6F"/>
    <w:rsid w:val="00014213"/>
    <w:rsid w:val="00014B55"/>
    <w:rsid w:val="00020E3E"/>
    <w:rsid w:val="00023BF3"/>
    <w:rsid w:val="00026811"/>
    <w:rsid w:val="0004185E"/>
    <w:rsid w:val="00053181"/>
    <w:rsid w:val="00056988"/>
    <w:rsid w:val="00072279"/>
    <w:rsid w:val="00073407"/>
    <w:rsid w:val="00075E6C"/>
    <w:rsid w:val="00081C12"/>
    <w:rsid w:val="00087D42"/>
    <w:rsid w:val="000905F7"/>
    <w:rsid w:val="000B29AD"/>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55FB0"/>
    <w:rsid w:val="00156D4D"/>
    <w:rsid w:val="001616C5"/>
    <w:rsid w:val="001617B6"/>
    <w:rsid w:val="00165E66"/>
    <w:rsid w:val="00174A29"/>
    <w:rsid w:val="00196143"/>
    <w:rsid w:val="001A24FC"/>
    <w:rsid w:val="001B5205"/>
    <w:rsid w:val="001C6993"/>
    <w:rsid w:val="001C7BAE"/>
    <w:rsid w:val="001E223F"/>
    <w:rsid w:val="001E31FA"/>
    <w:rsid w:val="001E48F9"/>
    <w:rsid w:val="001E64F6"/>
    <w:rsid w:val="001E7AEB"/>
    <w:rsid w:val="001F55BA"/>
    <w:rsid w:val="00204B82"/>
    <w:rsid w:val="00212987"/>
    <w:rsid w:val="00222BEB"/>
    <w:rsid w:val="00225E60"/>
    <w:rsid w:val="00230BBB"/>
    <w:rsid w:val="0023202C"/>
    <w:rsid w:val="00234142"/>
    <w:rsid w:val="00234619"/>
    <w:rsid w:val="00235BE2"/>
    <w:rsid w:val="00245043"/>
    <w:rsid w:val="0026028E"/>
    <w:rsid w:val="00284FA2"/>
    <w:rsid w:val="0028692E"/>
    <w:rsid w:val="00292D36"/>
    <w:rsid w:val="00294A5A"/>
    <w:rsid w:val="00297281"/>
    <w:rsid w:val="00297844"/>
    <w:rsid w:val="00297A47"/>
    <w:rsid w:val="002A5891"/>
    <w:rsid w:val="002A641E"/>
    <w:rsid w:val="002B03F1"/>
    <w:rsid w:val="002B5C34"/>
    <w:rsid w:val="002B5E2B"/>
    <w:rsid w:val="002B6DAA"/>
    <w:rsid w:val="002C0C5B"/>
    <w:rsid w:val="002D70F7"/>
    <w:rsid w:val="002D711A"/>
    <w:rsid w:val="002D7336"/>
    <w:rsid w:val="002E1347"/>
    <w:rsid w:val="002E3396"/>
    <w:rsid w:val="002E37C6"/>
    <w:rsid w:val="002E6454"/>
    <w:rsid w:val="002F2953"/>
    <w:rsid w:val="002F6A0E"/>
    <w:rsid w:val="0031149C"/>
    <w:rsid w:val="0036778F"/>
    <w:rsid w:val="0038771C"/>
    <w:rsid w:val="003A430B"/>
    <w:rsid w:val="003A541A"/>
    <w:rsid w:val="003A6923"/>
    <w:rsid w:val="003C0FC6"/>
    <w:rsid w:val="003C2C67"/>
    <w:rsid w:val="003C2D4C"/>
    <w:rsid w:val="003C3B3A"/>
    <w:rsid w:val="003C5BA4"/>
    <w:rsid w:val="003E0676"/>
    <w:rsid w:val="003E3E26"/>
    <w:rsid w:val="003F1295"/>
    <w:rsid w:val="003F5102"/>
    <w:rsid w:val="003F76FC"/>
    <w:rsid w:val="004002EB"/>
    <w:rsid w:val="00407A79"/>
    <w:rsid w:val="00422DDC"/>
    <w:rsid w:val="004231B5"/>
    <w:rsid w:val="004236C8"/>
    <w:rsid w:val="00426CC8"/>
    <w:rsid w:val="00427681"/>
    <w:rsid w:val="00433DB7"/>
    <w:rsid w:val="0045347E"/>
    <w:rsid w:val="00453750"/>
    <w:rsid w:val="004556C8"/>
    <w:rsid w:val="00456941"/>
    <w:rsid w:val="00460BD5"/>
    <w:rsid w:val="004702EA"/>
    <w:rsid w:val="0048259C"/>
    <w:rsid w:val="00482D02"/>
    <w:rsid w:val="00484326"/>
    <w:rsid w:val="00490369"/>
    <w:rsid w:val="004A7519"/>
    <w:rsid w:val="004B64B1"/>
    <w:rsid w:val="004D01AC"/>
    <w:rsid w:val="004D3518"/>
    <w:rsid w:val="004D62D6"/>
    <w:rsid w:val="004D6898"/>
    <w:rsid w:val="004F3F4E"/>
    <w:rsid w:val="00502416"/>
    <w:rsid w:val="00510167"/>
    <w:rsid w:val="00513E86"/>
    <w:rsid w:val="005306A2"/>
    <w:rsid w:val="0053416C"/>
    <w:rsid w:val="00541C2F"/>
    <w:rsid w:val="00552DE4"/>
    <w:rsid w:val="00563527"/>
    <w:rsid w:val="0057407A"/>
    <w:rsid w:val="0058124E"/>
    <w:rsid w:val="005875A3"/>
    <w:rsid w:val="005953EA"/>
    <w:rsid w:val="005A3416"/>
    <w:rsid w:val="005B061F"/>
    <w:rsid w:val="005B27FE"/>
    <w:rsid w:val="005B3C5F"/>
    <w:rsid w:val="005B4086"/>
    <w:rsid w:val="005B76DF"/>
    <w:rsid w:val="005B79CB"/>
    <w:rsid w:val="005E08D7"/>
    <w:rsid w:val="005E4C16"/>
    <w:rsid w:val="005E5947"/>
    <w:rsid w:val="005F61DF"/>
    <w:rsid w:val="0060163A"/>
    <w:rsid w:val="006023F9"/>
    <w:rsid w:val="00610559"/>
    <w:rsid w:val="00614076"/>
    <w:rsid w:val="00632F2E"/>
    <w:rsid w:val="006332F6"/>
    <w:rsid w:val="006413F2"/>
    <w:rsid w:val="006534B2"/>
    <w:rsid w:val="0065615D"/>
    <w:rsid w:val="00657011"/>
    <w:rsid w:val="00661E71"/>
    <w:rsid w:val="006650B5"/>
    <w:rsid w:val="006651B1"/>
    <w:rsid w:val="00665778"/>
    <w:rsid w:val="00676E5F"/>
    <w:rsid w:val="00680577"/>
    <w:rsid w:val="00681382"/>
    <w:rsid w:val="006877FB"/>
    <w:rsid w:val="006945CA"/>
    <w:rsid w:val="006A3309"/>
    <w:rsid w:val="006A3A03"/>
    <w:rsid w:val="006A3A5A"/>
    <w:rsid w:val="006A5380"/>
    <w:rsid w:val="006A5B34"/>
    <w:rsid w:val="006C77A9"/>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56FF6"/>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162D7"/>
    <w:rsid w:val="00916AD5"/>
    <w:rsid w:val="0092008A"/>
    <w:rsid w:val="00922944"/>
    <w:rsid w:val="00936479"/>
    <w:rsid w:val="00937A10"/>
    <w:rsid w:val="00953A2C"/>
    <w:rsid w:val="00966115"/>
    <w:rsid w:val="00977501"/>
    <w:rsid w:val="009834C0"/>
    <w:rsid w:val="00986AAC"/>
    <w:rsid w:val="00995526"/>
    <w:rsid w:val="009A1DA2"/>
    <w:rsid w:val="009A22C7"/>
    <w:rsid w:val="009A3704"/>
    <w:rsid w:val="009A4739"/>
    <w:rsid w:val="009A674F"/>
    <w:rsid w:val="009A6D22"/>
    <w:rsid w:val="009B199C"/>
    <w:rsid w:val="009B61F1"/>
    <w:rsid w:val="009B62E0"/>
    <w:rsid w:val="009C3D88"/>
    <w:rsid w:val="009E1651"/>
    <w:rsid w:val="009E3858"/>
    <w:rsid w:val="009E467D"/>
    <w:rsid w:val="009E70DD"/>
    <w:rsid w:val="009F12F5"/>
    <w:rsid w:val="009F2ED9"/>
    <w:rsid w:val="009F3231"/>
    <w:rsid w:val="009F4BEA"/>
    <w:rsid w:val="009F5C58"/>
    <w:rsid w:val="00A0067E"/>
    <w:rsid w:val="00A023A0"/>
    <w:rsid w:val="00A05EBC"/>
    <w:rsid w:val="00A1562B"/>
    <w:rsid w:val="00A170F4"/>
    <w:rsid w:val="00A21408"/>
    <w:rsid w:val="00A21CFD"/>
    <w:rsid w:val="00A22444"/>
    <w:rsid w:val="00A25B78"/>
    <w:rsid w:val="00A41500"/>
    <w:rsid w:val="00A46288"/>
    <w:rsid w:val="00A46BA8"/>
    <w:rsid w:val="00A47634"/>
    <w:rsid w:val="00A612FE"/>
    <w:rsid w:val="00A65D40"/>
    <w:rsid w:val="00A70B49"/>
    <w:rsid w:val="00A92D94"/>
    <w:rsid w:val="00AA26B8"/>
    <w:rsid w:val="00AC0B87"/>
    <w:rsid w:val="00AC2624"/>
    <w:rsid w:val="00AC2A1B"/>
    <w:rsid w:val="00AC32A8"/>
    <w:rsid w:val="00AD7E4E"/>
    <w:rsid w:val="00AF4D58"/>
    <w:rsid w:val="00AF6666"/>
    <w:rsid w:val="00AF7BC5"/>
    <w:rsid w:val="00B0272E"/>
    <w:rsid w:val="00B336F9"/>
    <w:rsid w:val="00B527B7"/>
    <w:rsid w:val="00B567B6"/>
    <w:rsid w:val="00B81B44"/>
    <w:rsid w:val="00B9053B"/>
    <w:rsid w:val="00BA0C37"/>
    <w:rsid w:val="00BA3782"/>
    <w:rsid w:val="00BB2AFE"/>
    <w:rsid w:val="00BB4D98"/>
    <w:rsid w:val="00BB4EBF"/>
    <w:rsid w:val="00BB59E0"/>
    <w:rsid w:val="00BC3422"/>
    <w:rsid w:val="00BC6E19"/>
    <w:rsid w:val="00BD11C2"/>
    <w:rsid w:val="00BD5018"/>
    <w:rsid w:val="00BD7C9D"/>
    <w:rsid w:val="00BE5ADC"/>
    <w:rsid w:val="00BF4F96"/>
    <w:rsid w:val="00C015B9"/>
    <w:rsid w:val="00C022F9"/>
    <w:rsid w:val="00C032EA"/>
    <w:rsid w:val="00C06EB5"/>
    <w:rsid w:val="00C1145F"/>
    <w:rsid w:val="00C11CD1"/>
    <w:rsid w:val="00C26D57"/>
    <w:rsid w:val="00C32D49"/>
    <w:rsid w:val="00C33AD3"/>
    <w:rsid w:val="00C35D53"/>
    <w:rsid w:val="00C41B3C"/>
    <w:rsid w:val="00C43F06"/>
    <w:rsid w:val="00C51C01"/>
    <w:rsid w:val="00C529ED"/>
    <w:rsid w:val="00C637E1"/>
    <w:rsid w:val="00C67EAC"/>
    <w:rsid w:val="00C70D50"/>
    <w:rsid w:val="00C72252"/>
    <w:rsid w:val="00C907D7"/>
    <w:rsid w:val="00C92338"/>
    <w:rsid w:val="00CA05DC"/>
    <w:rsid w:val="00CA1E4B"/>
    <w:rsid w:val="00CA7B47"/>
    <w:rsid w:val="00CB3976"/>
    <w:rsid w:val="00CB4B9B"/>
    <w:rsid w:val="00CC5568"/>
    <w:rsid w:val="00CD0307"/>
    <w:rsid w:val="00CD3C79"/>
    <w:rsid w:val="00CD3D1B"/>
    <w:rsid w:val="00D02663"/>
    <w:rsid w:val="00D0633E"/>
    <w:rsid w:val="00D12E74"/>
    <w:rsid w:val="00D2312F"/>
    <w:rsid w:val="00D23B04"/>
    <w:rsid w:val="00D269C1"/>
    <w:rsid w:val="00D41230"/>
    <w:rsid w:val="00D41B2F"/>
    <w:rsid w:val="00D43C6C"/>
    <w:rsid w:val="00D44953"/>
    <w:rsid w:val="00D50E36"/>
    <w:rsid w:val="00D542F3"/>
    <w:rsid w:val="00D54513"/>
    <w:rsid w:val="00D54AAE"/>
    <w:rsid w:val="00D5644B"/>
    <w:rsid w:val="00D56E25"/>
    <w:rsid w:val="00D57E89"/>
    <w:rsid w:val="00D6560D"/>
    <w:rsid w:val="00D65D77"/>
    <w:rsid w:val="00D718D7"/>
    <w:rsid w:val="00D814B7"/>
    <w:rsid w:val="00D90688"/>
    <w:rsid w:val="00D90967"/>
    <w:rsid w:val="00DA3AAD"/>
    <w:rsid w:val="00DA3F36"/>
    <w:rsid w:val="00DA49FD"/>
    <w:rsid w:val="00DB312B"/>
    <w:rsid w:val="00DB5899"/>
    <w:rsid w:val="00DC5654"/>
    <w:rsid w:val="00DC658F"/>
    <w:rsid w:val="00DC674A"/>
    <w:rsid w:val="00DE60CC"/>
    <w:rsid w:val="00E03F35"/>
    <w:rsid w:val="00E26B32"/>
    <w:rsid w:val="00E31CD4"/>
    <w:rsid w:val="00E31E60"/>
    <w:rsid w:val="00E33E08"/>
    <w:rsid w:val="00E407B6"/>
    <w:rsid w:val="00E41EF1"/>
    <w:rsid w:val="00E42942"/>
    <w:rsid w:val="00E42E49"/>
    <w:rsid w:val="00E65A0A"/>
    <w:rsid w:val="00E71BDF"/>
    <w:rsid w:val="00E75CCB"/>
    <w:rsid w:val="00E8245B"/>
    <w:rsid w:val="00E82C21"/>
    <w:rsid w:val="00E82F59"/>
    <w:rsid w:val="00E83CA7"/>
    <w:rsid w:val="00E92192"/>
    <w:rsid w:val="00E95A71"/>
    <w:rsid w:val="00EB1EC0"/>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44434"/>
    <w:rsid w:val="00F60F9F"/>
    <w:rsid w:val="00F61246"/>
    <w:rsid w:val="00F64F08"/>
    <w:rsid w:val="00F70055"/>
    <w:rsid w:val="00F734F5"/>
    <w:rsid w:val="00F73B5B"/>
    <w:rsid w:val="00F90EA5"/>
    <w:rsid w:val="00F91F5A"/>
    <w:rsid w:val="00F966B1"/>
    <w:rsid w:val="00F97D48"/>
    <w:rsid w:val="00FA0311"/>
    <w:rsid w:val="00FA1489"/>
    <w:rsid w:val="00FA16AC"/>
    <w:rsid w:val="00FA4CFB"/>
    <w:rsid w:val="00FB1BFC"/>
    <w:rsid w:val="00FC579B"/>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nhideWhenUsed="0" w:qFormat="1"/>
    <w:lsdException w:name="heading 6" w:unhideWhenUsed="0" w:qFormat="1"/>
    <w:lsdException w:name="heading 7" w:qFormat="1"/>
    <w:lsdException w:name="heading 8" w:qFormat="1"/>
    <w:lsdException w:name="heading 9" w:qFormat="1"/>
    <w:lsdException w:name="index 1" w:semiHidden="0" w:uiPriority="99"/>
    <w:lsdException w:name="index 2" w:semiHidden="0" w:uiPriority="99"/>
    <w:lsdException w:name="toc 1" w:semiHidden="0" w:uiPriority="39"/>
    <w:lsdException w:name="toc 2" w:semiHidden="0" w:uiPriority="39"/>
    <w:lsdException w:name="toc 3" w:semiHidden="0" w:uiPriority="39"/>
    <w:lsdException w:name="toc 4" w:uiPriority="39" w:unhideWhenUsed="0"/>
    <w:lsdException w:name="toc 5" w:unhideWhenUsed="0"/>
    <w:lsdException w:name="toc 6" w:unhideWhenUsed="0"/>
    <w:lsdException w:name="Normal Indent" w:semiHidden="0" w:uiPriority="0" w:qFormat="1"/>
    <w:lsdException w:name="footnote text" w:uiPriority="99"/>
    <w:lsdException w:name="header" w:semiHidden="0" w:uiPriority="99"/>
    <w:lsdException w:name="footer" w:semiHidden="0" w:uiPriority="99"/>
    <w:lsdException w:name="index heading" w:semiHidden="0" w:uiPriority="99"/>
    <w:lsdException w:name="caption" w:semiHidden="0" w:uiPriority="35"/>
    <w:lsdException w:name="table of figures" w:uiPriority="2"/>
    <w:lsdException w:name="footnote reference" w:uiPriority="99"/>
    <w:lsdException w:name="page number" w:semiHidden="0" w:uiPriority="49"/>
    <w:lsdException w:name="table of authorities" w:uiPriority="2"/>
    <w:lsdException w:name="toa heading" w:uiPriority="99"/>
    <w:lsdException w:name="List Number" w:unhideWhenUsed="0"/>
    <w:lsdException w:name="List 4" w:unhideWhenUsed="0"/>
    <w:lsdException w:name="List 5" w:unhideWhenUsed="0"/>
    <w:lsdException w:name="Title" w:semiHidden="0" w:uiPriority="99" w:unhideWhenUsed="0"/>
    <w:lsdException w:name="Body Text" w:uiPriority="49"/>
    <w:lsdException w:name="Subtitle" w:semiHidden="0" w:uiPriority="99" w:unhideWhenUsed="0"/>
    <w:lsdException w:name="Salutation" w:unhideWhenUsed="0"/>
    <w:lsdException w:name="Date" w:unhideWhenUsed="0"/>
    <w:lsdException w:name="Body Text First Indent" w:unhideWhenUsed="0"/>
    <w:lsdException w:name="Hyperlink" w:semiHidden="0" w:uiPriority="99"/>
    <w:lsdException w:name="Strong" w:unhideWhenUsed="0" w:qFormat="1"/>
    <w:lsdException w:name="Emphasis"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lsdException w:name="Subtle Reference" w:unhideWhenUsed="0" w:qFormat="1"/>
    <w:lsdException w:name="Intense Reference" w:unhideWhenUsed="0"/>
    <w:lsdException w:name="Book Title" w:unhideWhenUsed="0" w:qFormat="1"/>
    <w:lsdException w:name="TOC Heading" w:semiHidden="0" w:uiPriority="39"/>
  </w:latentStyles>
  <w:style w:type="paragraph" w:default="1" w:styleId="Normal">
    <w:name w:val="Normal"/>
    <w:uiPriority w:val="1"/>
    <w:qFormat/>
    <w:rsid w:val="00B336F9"/>
    <w:pPr>
      <w:spacing w:before="0"/>
    </w:pPr>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B336F9"/>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B336F9"/>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B336F9"/>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B336F9"/>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nhideWhenUsed="0" w:qFormat="1"/>
    <w:lsdException w:name="heading 6" w:unhideWhenUsed="0" w:qFormat="1"/>
    <w:lsdException w:name="heading 7" w:qFormat="1"/>
    <w:lsdException w:name="heading 8" w:qFormat="1"/>
    <w:lsdException w:name="heading 9" w:qFormat="1"/>
    <w:lsdException w:name="index 1" w:semiHidden="0" w:uiPriority="99"/>
    <w:lsdException w:name="index 2" w:semiHidden="0" w:uiPriority="99"/>
    <w:lsdException w:name="toc 1" w:semiHidden="0" w:uiPriority="39"/>
    <w:lsdException w:name="toc 2" w:semiHidden="0" w:uiPriority="39"/>
    <w:lsdException w:name="toc 3" w:semiHidden="0" w:uiPriority="39"/>
    <w:lsdException w:name="toc 4" w:uiPriority="39" w:unhideWhenUsed="0"/>
    <w:lsdException w:name="toc 5" w:unhideWhenUsed="0"/>
    <w:lsdException w:name="toc 6" w:unhideWhenUsed="0"/>
    <w:lsdException w:name="Normal Indent" w:semiHidden="0" w:uiPriority="0" w:qFormat="1"/>
    <w:lsdException w:name="footnote text" w:uiPriority="99"/>
    <w:lsdException w:name="header" w:semiHidden="0" w:uiPriority="99"/>
    <w:lsdException w:name="footer" w:semiHidden="0" w:uiPriority="99"/>
    <w:lsdException w:name="index heading" w:semiHidden="0" w:uiPriority="99"/>
    <w:lsdException w:name="caption" w:semiHidden="0" w:uiPriority="35"/>
    <w:lsdException w:name="table of figures" w:uiPriority="2"/>
    <w:lsdException w:name="footnote reference" w:uiPriority="99"/>
    <w:lsdException w:name="page number" w:semiHidden="0" w:uiPriority="49"/>
    <w:lsdException w:name="table of authorities" w:uiPriority="2"/>
    <w:lsdException w:name="toa heading" w:uiPriority="99"/>
    <w:lsdException w:name="List Number" w:unhideWhenUsed="0"/>
    <w:lsdException w:name="List 4" w:unhideWhenUsed="0"/>
    <w:lsdException w:name="List 5" w:unhideWhenUsed="0"/>
    <w:lsdException w:name="Title" w:semiHidden="0" w:uiPriority="99" w:unhideWhenUsed="0"/>
    <w:lsdException w:name="Body Text" w:uiPriority="49"/>
    <w:lsdException w:name="Subtitle" w:semiHidden="0" w:uiPriority="99" w:unhideWhenUsed="0"/>
    <w:lsdException w:name="Salutation" w:unhideWhenUsed="0"/>
    <w:lsdException w:name="Date" w:unhideWhenUsed="0"/>
    <w:lsdException w:name="Body Text First Indent" w:unhideWhenUsed="0"/>
    <w:lsdException w:name="Hyperlink" w:semiHidden="0" w:uiPriority="99"/>
    <w:lsdException w:name="Strong" w:unhideWhenUsed="0" w:qFormat="1"/>
    <w:lsdException w:name="Emphasis"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lsdException w:name="Subtle Reference" w:unhideWhenUsed="0" w:qFormat="1"/>
    <w:lsdException w:name="Intense Reference" w:unhideWhenUsed="0"/>
    <w:lsdException w:name="Book Title" w:unhideWhenUsed="0" w:qFormat="1"/>
    <w:lsdException w:name="TOC Heading" w:semiHidden="0" w:uiPriority="39"/>
  </w:latentStyles>
  <w:style w:type="paragraph" w:default="1" w:styleId="Normal">
    <w:name w:val="Normal"/>
    <w:uiPriority w:val="1"/>
    <w:qFormat/>
    <w:rsid w:val="00B336F9"/>
    <w:pPr>
      <w:spacing w:before="0"/>
    </w:pPr>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B336F9"/>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B336F9"/>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B336F9"/>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B336F9"/>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safercare.vic"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c2909\AppData\Roaming\Microsoft\Templates\SCV%20TEMPLATE_Fact%20shee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43338836677673E-2"/>
          <c:y val="2.0739716557207053E-2"/>
          <c:w val="0.53487903225806455"/>
          <c:h val="0.9170411337711718"/>
        </c:manualLayout>
      </c:layout>
      <c:doughnutChart>
        <c:varyColors val="1"/>
        <c:ser>
          <c:idx val="0"/>
          <c:order val="0"/>
          <c:tx>
            <c:strRef>
              <c:f>Sheet1!$B$1</c:f>
              <c:strCache>
                <c:ptCount val="1"/>
                <c:pt idx="0">
                  <c:v>Column1</c:v>
                </c:pt>
              </c:strCache>
            </c:strRef>
          </c:tx>
          <c:spPr>
            <a:ln w="3175">
              <a:solidFill>
                <a:schemeClr val="bg1"/>
              </a:solidFill>
            </a:ln>
          </c:spPr>
          <c:dPt>
            <c:idx val="0"/>
            <c:bubble3D val="0"/>
            <c:spPr>
              <a:solidFill>
                <a:schemeClr val="accent1"/>
              </a:solidFill>
              <a:ln w="3175">
                <a:solidFill>
                  <a:schemeClr val="bg1"/>
                </a:solidFill>
              </a:ln>
              <a:effectLst/>
            </c:spPr>
          </c:dPt>
          <c:dPt>
            <c:idx val="1"/>
            <c:bubble3D val="0"/>
            <c:spPr>
              <a:solidFill>
                <a:schemeClr val="accent2"/>
              </a:solidFill>
              <a:ln w="3175">
                <a:solidFill>
                  <a:schemeClr val="bg1"/>
                </a:solidFill>
              </a:ln>
              <a:effectLst/>
            </c:spPr>
          </c:dPt>
          <c:dPt>
            <c:idx val="2"/>
            <c:bubble3D val="0"/>
            <c:spPr>
              <a:solidFill>
                <a:schemeClr val="accent3"/>
              </a:solidFill>
              <a:ln w="3175">
                <a:solidFill>
                  <a:schemeClr val="bg1"/>
                </a:solidFill>
              </a:ln>
              <a:effectLst/>
            </c:spPr>
          </c:dPt>
          <c:dPt>
            <c:idx val="3"/>
            <c:bubble3D val="0"/>
            <c:spPr>
              <a:solidFill>
                <a:schemeClr val="accent4"/>
              </a:solidFill>
              <a:ln w="3175">
                <a:solidFill>
                  <a:schemeClr val="bg1"/>
                </a:solidFill>
              </a:ln>
              <a:effectLst/>
            </c:spPr>
          </c:dPt>
          <c:cat>
            <c:strRef>
              <c:f>Sheet1!$A$2:$A$12</c:f>
              <c:strCache>
                <c:ptCount val="11"/>
                <c:pt idx="0">
                  <c:v>Aboriginal and Torrens Strait Islander  (ATSI)</c:v>
                </c:pt>
                <c:pt idx="1">
                  <c:v>Consumer advocates</c:v>
                </c:pt>
                <c:pt idx="2">
                  <c:v>Culturally and Linguistically Diverse (CALD)</c:v>
                </c:pt>
                <c:pt idx="3">
                  <c:v>Experience of homelessness</c:v>
                </c:pt>
                <c:pt idx="4">
                  <c:v>Experiencing mental health issues</c:v>
                </c:pt>
                <c:pt idx="5">
                  <c:v>LGBTQI</c:v>
                </c:pt>
                <c:pt idx="6">
                  <c:v>Living with chronic illness</c:v>
                </c:pt>
                <c:pt idx="7">
                  <c:v>Living with disability</c:v>
                </c:pt>
                <c:pt idx="8">
                  <c:v>Older people</c:v>
                </c:pt>
                <c:pt idx="9">
                  <c:v>Regional, remote, rural community</c:v>
                </c:pt>
                <c:pt idx="10">
                  <c:v>Young people &lt;25</c:v>
                </c:pt>
              </c:strCache>
            </c:strRef>
          </c:cat>
          <c:val>
            <c:numRef>
              <c:f>Sheet1!$B$2:$B$12</c:f>
              <c:numCache>
                <c:formatCode>General</c:formatCode>
                <c:ptCount val="11"/>
                <c:pt idx="0">
                  <c:v>2</c:v>
                </c:pt>
                <c:pt idx="1">
                  <c:v>2</c:v>
                </c:pt>
                <c:pt idx="2">
                  <c:v>2</c:v>
                </c:pt>
                <c:pt idx="3">
                  <c:v>2</c:v>
                </c:pt>
                <c:pt idx="4">
                  <c:v>2</c:v>
                </c:pt>
                <c:pt idx="5">
                  <c:v>2</c:v>
                </c:pt>
                <c:pt idx="6">
                  <c:v>2</c:v>
                </c:pt>
                <c:pt idx="7">
                  <c:v>1</c:v>
                </c:pt>
                <c:pt idx="8">
                  <c:v>2</c:v>
                </c:pt>
                <c:pt idx="9">
                  <c:v>2</c:v>
                </c:pt>
                <c:pt idx="10">
                  <c:v>2</c:v>
                </c:pt>
              </c:numCache>
            </c:numRef>
          </c:val>
        </c:ser>
        <c:dLbls>
          <c:showLegendKey val="0"/>
          <c:showVal val="0"/>
          <c:showCatName val="0"/>
          <c:showSerName val="0"/>
          <c:showPercent val="0"/>
          <c:showBubbleSize val="0"/>
          <c:showLeaderLines val="1"/>
        </c:dLbls>
        <c:firstSliceAng val="0"/>
        <c:holeSize val="52"/>
      </c:doughnutChart>
      <c:spPr>
        <a:noFill/>
        <a:ln w="3175">
          <a:noFill/>
        </a:ln>
        <a:effectLst/>
      </c:spPr>
    </c:plotArea>
    <c:legend>
      <c:legendPos val="r"/>
      <c:layout>
        <c:manualLayout>
          <c:xMode val="edge"/>
          <c:yMode val="edge"/>
          <c:x val="0.60225806451612907"/>
          <c:y val="2.8599885279240761E-2"/>
          <c:w val="0.39774191592387587"/>
          <c:h val="0.9701868557821000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IC" pitchFamily="50"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solidFill>
            <a:sysClr val="windowText" lastClr="000000"/>
          </a:solidFill>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273B600FA846E982A2ECDCBF47B9D1"/>
        <w:category>
          <w:name w:val="General"/>
          <w:gallery w:val="placeholder"/>
        </w:category>
        <w:types>
          <w:type w:val="bbPlcHdr"/>
        </w:types>
        <w:behaviors>
          <w:behavior w:val="content"/>
        </w:behaviors>
        <w:guid w:val="{772D93FB-9574-4C34-9D5D-4161CC808CF0}"/>
      </w:docPartPr>
      <w:docPartBody>
        <w:p w:rsidR="000975F2" w:rsidRDefault="00733B71">
          <w:pPr>
            <w:pStyle w:val="09273B600FA846E982A2ECDCBF47B9D1"/>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VIC SemiBold">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71"/>
    <w:rsid w:val="000975F2"/>
    <w:rsid w:val="004A1D5F"/>
    <w:rsid w:val="00733B71"/>
    <w:rsid w:val="0079470C"/>
    <w:rsid w:val="00AC2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0975F2"/>
    <w:rPr>
      <w:color w:val="808080"/>
    </w:rPr>
  </w:style>
  <w:style w:type="paragraph" w:customStyle="1" w:styleId="09273B600FA846E982A2ECDCBF47B9D1">
    <w:name w:val="09273B600FA846E982A2ECDCBF47B9D1"/>
  </w:style>
  <w:style w:type="paragraph" w:customStyle="1" w:styleId="3B54F22F55904AC18B8A1287011DCC21">
    <w:name w:val="3B54F22F55904AC18B8A1287011DCC21"/>
  </w:style>
  <w:style w:type="paragraph" w:customStyle="1" w:styleId="7CAC9466AC0748649835E0983CC91400">
    <w:name w:val="7CAC9466AC0748649835E0983CC91400"/>
  </w:style>
  <w:style w:type="paragraph" w:customStyle="1" w:styleId="C05A68C00BB049D88F60E6EE78AA2098">
    <w:name w:val="C05A68C00BB049D88F60E6EE78AA2098"/>
    <w:rsid w:val="00733B71"/>
  </w:style>
  <w:style w:type="paragraph" w:customStyle="1" w:styleId="63A07E5FA88F4D259BFFBF73B4B6CF1F">
    <w:name w:val="63A07E5FA88F4D259BFFBF73B4B6CF1F"/>
    <w:rsid w:val="00733B71"/>
  </w:style>
  <w:style w:type="paragraph" w:customStyle="1" w:styleId="DD47EC7155114A56A221B88B70DE91DD">
    <w:name w:val="DD47EC7155114A56A221B88B70DE91DD"/>
    <w:rsid w:val="000975F2"/>
  </w:style>
  <w:style w:type="paragraph" w:customStyle="1" w:styleId="93B9CC70B5874A67858670799D4F7FC6">
    <w:name w:val="93B9CC70B5874A67858670799D4F7FC6"/>
    <w:rsid w:val="000975F2"/>
  </w:style>
  <w:style w:type="paragraph" w:customStyle="1" w:styleId="7DBFC94674974820ABD6E3B447B27772">
    <w:name w:val="7DBFC94674974820ABD6E3B447B27772"/>
    <w:rsid w:val="000975F2"/>
  </w:style>
  <w:style w:type="paragraph" w:customStyle="1" w:styleId="CD0FB31CFF784F9098B865335359DB5E">
    <w:name w:val="CD0FB31CFF784F9098B865335359DB5E"/>
    <w:rsid w:val="000975F2"/>
  </w:style>
  <w:style w:type="paragraph" w:customStyle="1" w:styleId="6ED4FC9FC8184D15B5085CD584FAE4C5">
    <w:name w:val="6ED4FC9FC8184D15B5085CD584FAE4C5"/>
    <w:rsid w:val="000975F2"/>
  </w:style>
  <w:style w:type="paragraph" w:customStyle="1" w:styleId="F9FB5716841242B692CBC6879AA10D1F">
    <w:name w:val="F9FB5716841242B692CBC6879AA10D1F"/>
    <w:rsid w:val="000975F2"/>
  </w:style>
  <w:style w:type="paragraph" w:customStyle="1" w:styleId="6C60AC289BDD47FEB51BBF349F4C5A07">
    <w:name w:val="6C60AC289BDD47FEB51BBF349F4C5A07"/>
    <w:rsid w:val="000975F2"/>
  </w:style>
  <w:style w:type="paragraph" w:customStyle="1" w:styleId="49FC3588B05D482EACFE9D82F5F40729">
    <w:name w:val="49FC3588B05D482EACFE9D82F5F40729"/>
    <w:rsid w:val="000975F2"/>
  </w:style>
  <w:style w:type="paragraph" w:customStyle="1" w:styleId="6618FED9A6474383AAFE1AE74EE4A182">
    <w:name w:val="6618FED9A6474383AAFE1AE74EE4A182"/>
    <w:rsid w:val="000975F2"/>
  </w:style>
  <w:style w:type="paragraph" w:customStyle="1" w:styleId="5893A2E4E9424C40A5D3A23910B5190D">
    <w:name w:val="5893A2E4E9424C40A5D3A23910B5190D"/>
    <w:rsid w:val="000975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0975F2"/>
    <w:rPr>
      <w:color w:val="808080"/>
    </w:rPr>
  </w:style>
  <w:style w:type="paragraph" w:customStyle="1" w:styleId="09273B600FA846E982A2ECDCBF47B9D1">
    <w:name w:val="09273B600FA846E982A2ECDCBF47B9D1"/>
  </w:style>
  <w:style w:type="paragraph" w:customStyle="1" w:styleId="3B54F22F55904AC18B8A1287011DCC21">
    <w:name w:val="3B54F22F55904AC18B8A1287011DCC21"/>
  </w:style>
  <w:style w:type="paragraph" w:customStyle="1" w:styleId="7CAC9466AC0748649835E0983CC91400">
    <w:name w:val="7CAC9466AC0748649835E0983CC91400"/>
  </w:style>
  <w:style w:type="paragraph" w:customStyle="1" w:styleId="C05A68C00BB049D88F60E6EE78AA2098">
    <w:name w:val="C05A68C00BB049D88F60E6EE78AA2098"/>
    <w:rsid w:val="00733B71"/>
  </w:style>
  <w:style w:type="paragraph" w:customStyle="1" w:styleId="63A07E5FA88F4D259BFFBF73B4B6CF1F">
    <w:name w:val="63A07E5FA88F4D259BFFBF73B4B6CF1F"/>
    <w:rsid w:val="00733B71"/>
  </w:style>
  <w:style w:type="paragraph" w:customStyle="1" w:styleId="DD47EC7155114A56A221B88B70DE91DD">
    <w:name w:val="DD47EC7155114A56A221B88B70DE91DD"/>
    <w:rsid w:val="000975F2"/>
  </w:style>
  <w:style w:type="paragraph" w:customStyle="1" w:styleId="93B9CC70B5874A67858670799D4F7FC6">
    <w:name w:val="93B9CC70B5874A67858670799D4F7FC6"/>
    <w:rsid w:val="000975F2"/>
  </w:style>
  <w:style w:type="paragraph" w:customStyle="1" w:styleId="7DBFC94674974820ABD6E3B447B27772">
    <w:name w:val="7DBFC94674974820ABD6E3B447B27772"/>
    <w:rsid w:val="000975F2"/>
  </w:style>
  <w:style w:type="paragraph" w:customStyle="1" w:styleId="CD0FB31CFF784F9098B865335359DB5E">
    <w:name w:val="CD0FB31CFF784F9098B865335359DB5E"/>
    <w:rsid w:val="000975F2"/>
  </w:style>
  <w:style w:type="paragraph" w:customStyle="1" w:styleId="6ED4FC9FC8184D15B5085CD584FAE4C5">
    <w:name w:val="6ED4FC9FC8184D15B5085CD584FAE4C5"/>
    <w:rsid w:val="000975F2"/>
  </w:style>
  <w:style w:type="paragraph" w:customStyle="1" w:styleId="F9FB5716841242B692CBC6879AA10D1F">
    <w:name w:val="F9FB5716841242B692CBC6879AA10D1F"/>
    <w:rsid w:val="000975F2"/>
  </w:style>
  <w:style w:type="paragraph" w:customStyle="1" w:styleId="6C60AC289BDD47FEB51BBF349F4C5A07">
    <w:name w:val="6C60AC289BDD47FEB51BBF349F4C5A07"/>
    <w:rsid w:val="000975F2"/>
  </w:style>
  <w:style w:type="paragraph" w:customStyle="1" w:styleId="49FC3588B05D482EACFE9D82F5F40729">
    <w:name w:val="49FC3588B05D482EACFE9D82F5F40729"/>
    <w:rsid w:val="000975F2"/>
  </w:style>
  <w:style w:type="paragraph" w:customStyle="1" w:styleId="6618FED9A6474383AAFE1AE74EE4A182">
    <w:name w:val="6618FED9A6474383AAFE1AE74EE4A182"/>
    <w:rsid w:val="000975F2"/>
  </w:style>
  <w:style w:type="paragraph" w:customStyle="1" w:styleId="5893A2E4E9424C40A5D3A23910B5190D">
    <w:name w:val="5893A2E4E9424C40A5D3A23910B5190D"/>
    <w:rsid w:val="00097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EC6B-8552-460E-AF31-4E00130C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TEMPLATE_Fact sheet</Template>
  <TotalTime>2</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Update: Partnering in healthcare framework consultation</vt:lpstr>
    </vt:vector>
  </TitlesOfParts>
  <Company>Department of Treasury and Finance</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Partnering in healthcare framework consultation</dc:title>
  <dc:creator>Belinda MacLeod-Smith (Safer Care Victoria)</dc:creator>
  <cp:lastModifiedBy>Emma Gumbleton</cp:lastModifiedBy>
  <cp:revision>4</cp:revision>
  <cp:lastPrinted>2018-08-13T23:19:00Z</cp:lastPrinted>
  <dcterms:created xsi:type="dcterms:W3CDTF">2018-08-13T23:18:00Z</dcterms:created>
  <dcterms:modified xsi:type="dcterms:W3CDTF">2018-08-13T23:20:00Z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