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IC SemiBold" w:hAnsi="VIC SemiBold"/>
          <w:b w:val="0"/>
        </w:rPr>
        <w:alias w:val="Title"/>
        <w:tag w:val=""/>
        <w:id w:val="-1540807229"/>
        <w:placeholder>
          <w:docPart w:val="119698BD7414459DB3B8DE948CE8A2E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A46288" w:rsidRPr="002A797F" w:rsidRDefault="00BC7DFB" w:rsidP="007A4444">
          <w:pPr>
            <w:pStyle w:val="Title"/>
            <w:rPr>
              <w:rFonts w:ascii="VIC SemiBold" w:hAnsi="VIC SemiBold"/>
              <w:b w:val="0"/>
            </w:rPr>
          </w:pPr>
          <w:proofErr w:type="spellStart"/>
          <w:r w:rsidRPr="00BC7DFB">
            <w:rPr>
              <w:rFonts w:ascii="VIC SemiBold" w:hAnsi="VIC SemiBold"/>
              <w:b w:val="0"/>
            </w:rPr>
            <w:t>Isoprenaline</w:t>
          </w:r>
          <w:proofErr w:type="spellEnd"/>
        </w:p>
      </w:sdtContent>
    </w:sdt>
    <w:p w:rsidR="008F1145" w:rsidRPr="0096053F" w:rsidRDefault="008F1145" w:rsidP="008F1145">
      <w:pPr>
        <w:pStyle w:val="Heading2"/>
      </w:pPr>
      <w:r w:rsidRPr="0096053F">
        <w:t>Applicable areas</w:t>
      </w:r>
    </w:p>
    <w:p w:rsidR="008F1145" w:rsidRDefault="008F1145" w:rsidP="008F1145">
      <w:pPr>
        <w:pStyle w:val="Heading2"/>
      </w:pPr>
      <w:r w:rsidRPr="005350E0">
        <w:rPr>
          <w:color w:val="A6A6A6" w:themeColor="background1" w:themeShade="A6"/>
        </w:rPr>
        <w:t>This section will be left blank for each hospital to complete in accordance with local practice. Examples: ICU, ED, OR, Ward 2B</w:t>
      </w:r>
    </w:p>
    <w:p w:rsidR="008F1145" w:rsidRDefault="008F1145" w:rsidP="00BC7DFB">
      <w:pPr>
        <w:pStyle w:val="Heading2"/>
      </w:pPr>
    </w:p>
    <w:p w:rsidR="00BC7DFB" w:rsidRPr="00C4312A" w:rsidRDefault="00BC7DFB" w:rsidP="00BC7DFB">
      <w:pPr>
        <w:pStyle w:val="Heading2"/>
      </w:pPr>
      <w:r w:rsidRPr="00C4312A">
        <w:t>Mechanism of action/pharmacology</w:t>
      </w:r>
    </w:p>
    <w:p w:rsidR="00BC7DFB" w:rsidRPr="005F6A6C" w:rsidRDefault="00BC7DFB" w:rsidP="00BC7DFB">
      <w:pPr>
        <w:pStyle w:val="Normalfollowingheading"/>
        <w:rPr>
          <w:vertAlign w:val="superscript"/>
        </w:rPr>
      </w:pPr>
      <w:proofErr w:type="spellStart"/>
      <w:r w:rsidRPr="005F6A6C">
        <w:t>Isoprenaline</w:t>
      </w:r>
      <w:proofErr w:type="spellEnd"/>
      <w:r w:rsidRPr="005F6A6C">
        <w:t xml:space="preserve"> is a non-selective </w:t>
      </w:r>
      <w:r w:rsidRPr="00C4312A">
        <w:rPr>
          <w:rFonts w:ascii="Times New Roman" w:hAnsi="Times New Roman" w:cs="Times New Roman"/>
        </w:rPr>
        <w:t>β</w:t>
      </w:r>
      <w:r w:rsidRPr="005F6A6C">
        <w:t>-adrenergic agonist.</w:t>
      </w:r>
      <w:r w:rsidRPr="005F6A6C">
        <w:rPr>
          <w:vertAlign w:val="superscript"/>
        </w:rPr>
        <w:t xml:space="preserve">1,2 </w:t>
      </w:r>
      <w:r w:rsidRPr="005F6A6C">
        <w:t xml:space="preserve">It has positive inotropic and chronotropic effects, increasing cardiac output by increasing </w:t>
      </w:r>
      <w:r>
        <w:t xml:space="preserve">the </w:t>
      </w:r>
      <w:r w:rsidRPr="005F6A6C">
        <w:t>heart rate and cardiac contractility.</w:t>
      </w:r>
      <w:r w:rsidRPr="005F6A6C">
        <w:rPr>
          <w:vertAlign w:val="superscript"/>
        </w:rPr>
        <w:t>1,2</w:t>
      </w:r>
      <w:r w:rsidRPr="005F6A6C">
        <w:t xml:space="preserve"> </w:t>
      </w:r>
      <w:proofErr w:type="spellStart"/>
      <w:r w:rsidRPr="005F6A6C">
        <w:t>Isoprenaline</w:t>
      </w:r>
      <w:proofErr w:type="spellEnd"/>
      <w:r w:rsidRPr="005F6A6C">
        <w:t xml:space="preserve"> also decreases diastolic blood pressure by lowering peripheral vascular resistance.</w:t>
      </w:r>
      <w:r w:rsidRPr="005F6A6C">
        <w:rPr>
          <w:vertAlign w:val="superscript"/>
        </w:rPr>
        <w:t>1,2</w:t>
      </w:r>
    </w:p>
    <w:p w:rsidR="00BC7DFB" w:rsidRPr="005F6A6C" w:rsidRDefault="00BC7DFB" w:rsidP="00BC7DFB">
      <w:pPr>
        <w:rPr>
          <w:vertAlign w:val="superscript"/>
        </w:rPr>
      </w:pPr>
      <w:r w:rsidRPr="005F6A6C">
        <w:t>Onset of action: Immediate</w:t>
      </w:r>
      <w:r w:rsidR="00E97908">
        <w:t>.</w:t>
      </w:r>
      <w:r w:rsidRPr="005F6A6C">
        <w:rPr>
          <w:vertAlign w:val="superscript"/>
        </w:rPr>
        <w:t>3</w:t>
      </w:r>
    </w:p>
    <w:p w:rsidR="00BC7DFB" w:rsidRPr="005F6A6C" w:rsidRDefault="00BC7DFB" w:rsidP="00BC7DFB">
      <w:pPr>
        <w:rPr>
          <w:vertAlign w:val="superscript"/>
        </w:rPr>
      </w:pPr>
      <w:r w:rsidRPr="005F6A6C">
        <w:t>Duration of action (IV): 10</w:t>
      </w:r>
      <w:r>
        <w:t>–</w:t>
      </w:r>
      <w:r w:rsidRPr="005F6A6C">
        <w:t>15 minutes</w:t>
      </w:r>
      <w:r w:rsidR="00E97908">
        <w:t>.</w:t>
      </w:r>
      <w:r w:rsidRPr="005F6A6C">
        <w:rPr>
          <w:vertAlign w:val="superscript"/>
        </w:rPr>
        <w:t>3</w:t>
      </w:r>
    </w:p>
    <w:p w:rsidR="00BC7DFB" w:rsidRPr="00BC7DFB" w:rsidRDefault="00BC7DFB" w:rsidP="00BC7DFB">
      <w:pPr>
        <w:rPr>
          <w:vertAlign w:val="superscript"/>
        </w:rPr>
      </w:pPr>
      <w:r w:rsidRPr="005F6A6C">
        <w:t>Half-life: 2.5</w:t>
      </w:r>
      <w:r>
        <w:t>–</w:t>
      </w:r>
      <w:r w:rsidRPr="005F6A6C">
        <w:t>5 minutes</w:t>
      </w:r>
      <w:r w:rsidR="00E1529D">
        <w:t>.</w:t>
      </w:r>
      <w:r w:rsidRPr="005F6A6C">
        <w:rPr>
          <w:vertAlign w:val="superscript"/>
        </w:rPr>
        <w:t>3</w:t>
      </w:r>
    </w:p>
    <w:p w:rsidR="00BC7DFB" w:rsidRPr="00C4312A" w:rsidRDefault="00BC7DFB" w:rsidP="00BC7DFB">
      <w:pPr>
        <w:pStyle w:val="Heading2"/>
      </w:pPr>
      <w:r w:rsidRPr="00C4312A">
        <w:t>Indications</w:t>
      </w:r>
    </w:p>
    <w:p w:rsidR="00BC7DFB" w:rsidRPr="005F6A6C" w:rsidRDefault="00BC7DFB" w:rsidP="00BC7DFB">
      <w:pPr>
        <w:pStyle w:val="Normalfollowingheading"/>
        <w:rPr>
          <w:vertAlign w:val="superscript"/>
        </w:rPr>
      </w:pPr>
      <w:r w:rsidRPr="005F6A6C">
        <w:t>Heart block</w:t>
      </w:r>
      <w:r w:rsidR="00E97908">
        <w:t>.</w:t>
      </w:r>
      <w:r w:rsidRPr="005F6A6C">
        <w:rPr>
          <w:vertAlign w:val="superscript"/>
        </w:rPr>
        <w:t>2</w:t>
      </w:r>
    </w:p>
    <w:p w:rsidR="00BC7DFB" w:rsidRPr="00BC7DFB" w:rsidRDefault="00BC7DFB" w:rsidP="00BC7DFB">
      <w:pPr>
        <w:rPr>
          <w:vertAlign w:val="superscript"/>
        </w:rPr>
      </w:pPr>
      <w:r w:rsidRPr="005F6A6C">
        <w:t>Bradycardia with haemodynamic compromise</w:t>
      </w:r>
      <w:r w:rsidR="00E1529D">
        <w:t>.</w:t>
      </w:r>
      <w:r w:rsidRPr="005F6A6C">
        <w:rPr>
          <w:vertAlign w:val="superscript"/>
        </w:rPr>
        <w:t>2</w:t>
      </w:r>
    </w:p>
    <w:p w:rsidR="00BC7DFB" w:rsidRPr="00C4312A" w:rsidRDefault="00BC7DFB" w:rsidP="00BC7DFB">
      <w:pPr>
        <w:pStyle w:val="Heading2"/>
      </w:pPr>
      <w:r w:rsidRPr="00C4312A">
        <w:t>Precautions</w:t>
      </w:r>
    </w:p>
    <w:p w:rsidR="00BC7DFB" w:rsidRPr="00A63F32" w:rsidRDefault="00BC7DFB" w:rsidP="00BC7DFB">
      <w:pPr>
        <w:pStyle w:val="Bullet1"/>
        <w:rPr>
          <w:rStyle w:val="BookTitle"/>
        </w:rPr>
      </w:pPr>
      <w:r w:rsidRPr="00A63F32">
        <w:rPr>
          <w:rStyle w:val="BookTitle"/>
        </w:rPr>
        <w:t xml:space="preserve">Hypersensitivity to </w:t>
      </w:r>
      <w:proofErr w:type="spellStart"/>
      <w:r w:rsidRPr="00A63F32">
        <w:rPr>
          <w:rStyle w:val="BookTitle"/>
        </w:rPr>
        <w:t>isoprenaline</w:t>
      </w:r>
      <w:proofErr w:type="spellEnd"/>
      <w:r w:rsidRPr="00A63F32">
        <w:rPr>
          <w:rStyle w:val="BookTitle"/>
        </w:rPr>
        <w:t xml:space="preserve"> or any of the excipients</w:t>
      </w:r>
      <w:r w:rsidRPr="00A63F32">
        <w:rPr>
          <w:rStyle w:val="BookTitle"/>
          <w:vertAlign w:val="superscript"/>
        </w:rPr>
        <w:t>4</w:t>
      </w:r>
    </w:p>
    <w:p w:rsidR="00BC7DFB" w:rsidRPr="00A63F32" w:rsidRDefault="00BC7DFB" w:rsidP="00BC7DFB">
      <w:pPr>
        <w:pStyle w:val="Bullet1"/>
        <w:rPr>
          <w:rStyle w:val="BookTitle"/>
        </w:rPr>
      </w:pPr>
      <w:r w:rsidRPr="00A63F32">
        <w:rPr>
          <w:rStyle w:val="BookTitle"/>
        </w:rPr>
        <w:t>Hypotension due to uncorrected hypovolaemia</w:t>
      </w:r>
      <w:r w:rsidRPr="00A63F32">
        <w:rPr>
          <w:rStyle w:val="BookTitle"/>
          <w:vertAlign w:val="superscript"/>
        </w:rPr>
        <w:t>2,4</w:t>
      </w:r>
    </w:p>
    <w:p w:rsidR="00BC7DFB" w:rsidRPr="00A63F32" w:rsidRDefault="00BC7DFB" w:rsidP="00BC7DFB">
      <w:pPr>
        <w:pStyle w:val="Bullet1"/>
        <w:rPr>
          <w:rStyle w:val="BookTitle"/>
        </w:rPr>
      </w:pPr>
      <w:r w:rsidRPr="00A63F32">
        <w:rPr>
          <w:rStyle w:val="BookTitle"/>
        </w:rPr>
        <w:t>Tachyarrhythmias</w:t>
      </w:r>
      <w:r w:rsidRPr="00A63F32">
        <w:rPr>
          <w:rStyle w:val="BookTitle"/>
          <w:vertAlign w:val="superscript"/>
        </w:rPr>
        <w:t>4</w:t>
      </w:r>
    </w:p>
    <w:p w:rsidR="00BC7DFB" w:rsidRPr="00A63F32" w:rsidRDefault="00BC7DFB" w:rsidP="00BC7DFB">
      <w:pPr>
        <w:pStyle w:val="Bullet1"/>
        <w:rPr>
          <w:rStyle w:val="BookTitle"/>
        </w:rPr>
      </w:pPr>
      <w:r w:rsidRPr="00A63F32">
        <w:rPr>
          <w:rStyle w:val="BookTitle"/>
        </w:rPr>
        <w:t>Recent myocardial infarction – may increase myocardial oxygen demand</w:t>
      </w:r>
      <w:r w:rsidRPr="00A63F32">
        <w:rPr>
          <w:rStyle w:val="BookTitle"/>
          <w:vertAlign w:val="superscript"/>
        </w:rPr>
        <w:t>2,4</w:t>
      </w:r>
    </w:p>
    <w:p w:rsidR="00BC7DFB" w:rsidRPr="00A63F32" w:rsidRDefault="00BC7DFB" w:rsidP="00BC7DFB">
      <w:pPr>
        <w:pStyle w:val="Bullet1"/>
        <w:rPr>
          <w:rStyle w:val="BookTitle"/>
        </w:rPr>
      </w:pPr>
      <w:r w:rsidRPr="00A63F32">
        <w:rPr>
          <w:rStyle w:val="BookTitle"/>
        </w:rPr>
        <w:t xml:space="preserve">Angina – </w:t>
      </w:r>
      <w:proofErr w:type="gramStart"/>
      <w:r w:rsidRPr="00A63F32">
        <w:rPr>
          <w:rStyle w:val="BookTitle"/>
        </w:rPr>
        <w:t>may</w:t>
      </w:r>
      <w:proofErr w:type="gramEnd"/>
      <w:r w:rsidRPr="00A63F32">
        <w:rPr>
          <w:rStyle w:val="BookTitle"/>
        </w:rPr>
        <w:t xml:space="preserve"> exacerbate</w:t>
      </w:r>
      <w:r w:rsidRPr="00A63F32">
        <w:rPr>
          <w:rStyle w:val="BookTitle"/>
          <w:vertAlign w:val="superscript"/>
        </w:rPr>
        <w:t>2</w:t>
      </w:r>
    </w:p>
    <w:p w:rsidR="00BC7DFB" w:rsidRPr="00A63F32" w:rsidRDefault="00BC7DFB" w:rsidP="00BC7DFB">
      <w:pPr>
        <w:pStyle w:val="Bullet1"/>
        <w:rPr>
          <w:rStyle w:val="BookTitle"/>
        </w:rPr>
      </w:pPr>
      <w:r w:rsidRPr="00A63F32">
        <w:rPr>
          <w:rStyle w:val="BookTitle"/>
        </w:rPr>
        <w:t>Heart block due to digoxin toxicity</w:t>
      </w:r>
      <w:r w:rsidRPr="00A63F32">
        <w:rPr>
          <w:rStyle w:val="BookTitle"/>
          <w:vertAlign w:val="superscript"/>
        </w:rPr>
        <w:t>4</w:t>
      </w:r>
    </w:p>
    <w:p w:rsidR="00BC7DFB" w:rsidRDefault="00BC7DFB" w:rsidP="00BC7DFB">
      <w:pPr>
        <w:pStyle w:val="Bullet1"/>
      </w:pPr>
      <w:r w:rsidRPr="00A63F32">
        <w:rPr>
          <w:rStyle w:val="BookTitle"/>
        </w:rPr>
        <w:t>Phaeochromocytoma</w:t>
      </w:r>
      <w:r w:rsidR="00E1529D">
        <w:rPr>
          <w:rStyle w:val="BookTitle"/>
        </w:rPr>
        <w:t>.</w:t>
      </w:r>
      <w:r w:rsidRPr="00A63F32">
        <w:rPr>
          <w:rStyle w:val="BookTitle"/>
          <w:vertAlign w:val="superscript"/>
        </w:rPr>
        <w:t>2</w:t>
      </w:r>
    </w:p>
    <w:p w:rsidR="00BC7DFB" w:rsidRPr="00C4312A" w:rsidRDefault="00BC7DFB" w:rsidP="00BC7DFB">
      <w:pPr>
        <w:pStyle w:val="Heading2"/>
      </w:pPr>
      <w:r w:rsidRPr="00C4312A">
        <w:t>Medication presentation</w:t>
      </w:r>
    </w:p>
    <w:p w:rsidR="00BC7DFB" w:rsidRPr="005F6A6C" w:rsidRDefault="00BC7DFB" w:rsidP="00BC7DFB">
      <w:pPr>
        <w:pStyle w:val="Normalfollowingheading"/>
      </w:pPr>
      <w:r w:rsidRPr="005F6A6C">
        <w:t>1</w:t>
      </w:r>
      <w:r>
        <w:t xml:space="preserve"> </w:t>
      </w:r>
      <w:r w:rsidRPr="005F6A6C">
        <w:t>mg/5mL ampoule (1:5000)</w:t>
      </w:r>
    </w:p>
    <w:p w:rsidR="00BC7DFB" w:rsidRPr="005F6A6C" w:rsidRDefault="00BC7DFB" w:rsidP="00BC7DFB">
      <w:r w:rsidRPr="005F6A6C">
        <w:t>Also available as 200</w:t>
      </w:r>
      <w:r>
        <w:t xml:space="preserve"> </w:t>
      </w:r>
      <w:r w:rsidRPr="005F6A6C">
        <w:t xml:space="preserve">microg/1mL </w:t>
      </w:r>
      <w:bookmarkStart w:id="0" w:name="_GoBack"/>
      <w:bookmarkEnd w:id="0"/>
      <w:proofErr w:type="gramStart"/>
      <w:r w:rsidRPr="005F6A6C">
        <w:t>ampoule</w:t>
      </w:r>
      <w:proofErr w:type="gramEnd"/>
      <w:r w:rsidRPr="005F6A6C">
        <w:t xml:space="preserve"> (1:5000)</w:t>
      </w:r>
      <w:r>
        <w:t xml:space="preserve">; </w:t>
      </w:r>
      <w:r w:rsidRPr="005F6A6C">
        <w:t>however</w:t>
      </w:r>
      <w:r>
        <w:t>,</w:t>
      </w:r>
      <w:r w:rsidRPr="005F6A6C">
        <w:t xml:space="preserve"> due to the number of vials that would be required, this concentration is not usually used to prepare infusions.</w:t>
      </w:r>
    </w:p>
    <w:p w:rsidR="00BC7DFB" w:rsidRPr="00C4312A" w:rsidRDefault="00BC7DFB" w:rsidP="00BC7DFB">
      <w:pPr>
        <w:pStyle w:val="Heading2"/>
      </w:pPr>
      <w:r w:rsidRPr="00C4312A">
        <w:lastRenderedPageBreak/>
        <w:t>Medicati</w:t>
      </w:r>
      <w:r w:rsidRPr="00E04F11">
        <w:t>on</w:t>
      </w:r>
      <w:r w:rsidRPr="00C4312A">
        <w:t xml:space="preserve"> storage</w:t>
      </w:r>
    </w:p>
    <w:p w:rsidR="00BC7DFB" w:rsidRPr="005F6A6C" w:rsidRDefault="00BC7DFB" w:rsidP="00BC7DFB">
      <w:pPr>
        <w:pStyle w:val="Normalfollowingheading"/>
      </w:pPr>
      <w:r w:rsidRPr="005F6A6C">
        <w:t>Store ampoules below 25°C. Protect from light.</w:t>
      </w:r>
      <w:r w:rsidRPr="005F6A6C">
        <w:rPr>
          <w:vertAlign w:val="superscript"/>
        </w:rPr>
        <w:t>5</w:t>
      </w:r>
    </w:p>
    <w:p w:rsidR="00BC7DFB" w:rsidRPr="00BC7DFB" w:rsidRDefault="00BC7DFB" w:rsidP="00BC7DFB">
      <w:pPr>
        <w:rPr>
          <w:vertAlign w:val="superscript"/>
        </w:rPr>
      </w:pPr>
      <w:r w:rsidRPr="005F6A6C">
        <w:t>Infusion solutions are stable for up to 24 hours.</w:t>
      </w:r>
      <w:r w:rsidRPr="005F6A6C">
        <w:rPr>
          <w:vertAlign w:val="superscript"/>
        </w:rPr>
        <w:t>6</w:t>
      </w:r>
    </w:p>
    <w:p w:rsidR="00BC7DFB" w:rsidRDefault="00BC7DFB" w:rsidP="00BC7DFB">
      <w:pPr>
        <w:pStyle w:val="Heading2"/>
      </w:pPr>
      <w:r w:rsidRPr="00C4312A">
        <w:t xml:space="preserve">Preparation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74"/>
        <w:gridCol w:w="3475"/>
      </w:tblGrid>
      <w:tr w:rsidR="00BC7DFB" w:rsidRPr="00FF42C4" w:rsidTr="00BC7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:rsidR="00BC7DFB" w:rsidRPr="00FF42C4" w:rsidRDefault="00BC7DFB" w:rsidP="00BC7DFB">
            <w:pPr>
              <w:pStyle w:val="Normalfollowingheading"/>
              <w:rPr>
                <w:sz w:val="18"/>
                <w:szCs w:val="18"/>
              </w:rPr>
            </w:pPr>
          </w:p>
        </w:tc>
        <w:tc>
          <w:tcPr>
            <w:tcW w:w="3549" w:type="dxa"/>
          </w:tcPr>
          <w:p w:rsidR="00BC7DFB" w:rsidRPr="00FF42C4" w:rsidRDefault="00BC7DFB" w:rsidP="00BC7DFB">
            <w:pPr>
              <w:pStyle w:val="Normalfollowing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42C4">
              <w:rPr>
                <w:sz w:val="18"/>
                <w:szCs w:val="18"/>
              </w:rPr>
              <w:t>Infusion pump</w:t>
            </w:r>
          </w:p>
        </w:tc>
        <w:tc>
          <w:tcPr>
            <w:tcW w:w="3550" w:type="dxa"/>
          </w:tcPr>
          <w:p w:rsidR="00BC7DFB" w:rsidRPr="00FF42C4" w:rsidRDefault="00BC7DFB" w:rsidP="00BC7DFB">
            <w:pPr>
              <w:pStyle w:val="Normalfollowing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42C4">
              <w:rPr>
                <w:sz w:val="18"/>
                <w:szCs w:val="18"/>
              </w:rPr>
              <w:t>Syringe driver</w:t>
            </w:r>
          </w:p>
        </w:tc>
      </w:tr>
      <w:tr w:rsidR="00BC7DFB" w:rsidRPr="00FF42C4" w:rsidTr="00BC7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:rsidR="00BC7DFB" w:rsidRPr="00FF42C4" w:rsidRDefault="00BC7DFB" w:rsidP="00605AA0">
            <w:pPr>
              <w:pStyle w:val="Body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FF42C4">
              <w:rPr>
                <w:rFonts w:ascii="VIC" w:hAnsi="VIC"/>
                <w:color w:val="007586" w:themeColor="text2"/>
                <w:sz w:val="18"/>
                <w:szCs w:val="18"/>
              </w:rPr>
              <w:t>Prescribe</w:t>
            </w:r>
          </w:p>
        </w:tc>
        <w:tc>
          <w:tcPr>
            <w:tcW w:w="3549" w:type="dxa"/>
          </w:tcPr>
          <w:p w:rsidR="00BC7DFB" w:rsidRPr="00FF42C4" w:rsidRDefault="00BC7DFB" w:rsidP="00EE35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42C4">
              <w:rPr>
                <w:sz w:val="18"/>
                <w:szCs w:val="18"/>
              </w:rPr>
              <w:t>6 mg in 100 mL</w:t>
            </w:r>
          </w:p>
        </w:tc>
        <w:tc>
          <w:tcPr>
            <w:tcW w:w="3550" w:type="dxa"/>
          </w:tcPr>
          <w:p w:rsidR="00BC7DFB" w:rsidRPr="00FF42C4" w:rsidRDefault="00BC7DFB" w:rsidP="00EE35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42C4">
              <w:rPr>
                <w:sz w:val="18"/>
                <w:szCs w:val="18"/>
              </w:rPr>
              <w:t>3 mg in 50 mL</w:t>
            </w:r>
          </w:p>
        </w:tc>
      </w:tr>
      <w:tr w:rsidR="00BC7DFB" w:rsidRPr="00FF42C4" w:rsidTr="00BC7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:rsidR="00BC7DFB" w:rsidRPr="00FF42C4" w:rsidRDefault="00BC7DFB" w:rsidP="00605AA0">
            <w:pPr>
              <w:pStyle w:val="Body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FF42C4">
              <w:rPr>
                <w:rFonts w:ascii="VIC" w:hAnsi="VIC"/>
                <w:color w:val="007586" w:themeColor="text2"/>
                <w:sz w:val="18"/>
                <w:szCs w:val="18"/>
              </w:rPr>
              <w:t>Make up infusion in</w:t>
            </w:r>
          </w:p>
        </w:tc>
        <w:tc>
          <w:tcPr>
            <w:tcW w:w="3549" w:type="dxa"/>
          </w:tcPr>
          <w:p w:rsidR="00BC7DFB" w:rsidRPr="00FF42C4" w:rsidRDefault="00BC7DFB" w:rsidP="00EE35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42C4">
              <w:rPr>
                <w:sz w:val="18"/>
                <w:szCs w:val="18"/>
              </w:rPr>
              <w:t>100 mL bag of glucose 5%*</w:t>
            </w:r>
          </w:p>
        </w:tc>
        <w:tc>
          <w:tcPr>
            <w:tcW w:w="3550" w:type="dxa"/>
          </w:tcPr>
          <w:p w:rsidR="00BC7DFB" w:rsidRPr="00FF42C4" w:rsidRDefault="00BC7DFB" w:rsidP="00EE35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42C4">
              <w:rPr>
                <w:sz w:val="18"/>
                <w:szCs w:val="18"/>
              </w:rPr>
              <w:t>Glucose 5%* (to a total of 50 mL in the syringe)</w:t>
            </w:r>
          </w:p>
        </w:tc>
      </w:tr>
      <w:tr w:rsidR="00BC7DFB" w:rsidRPr="00FF42C4" w:rsidTr="00BC7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:rsidR="00BC7DFB" w:rsidRPr="00FF42C4" w:rsidRDefault="00BC7DFB" w:rsidP="00605AA0">
            <w:pPr>
              <w:pStyle w:val="Body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FF42C4">
              <w:rPr>
                <w:rFonts w:ascii="VIC" w:hAnsi="VIC"/>
                <w:color w:val="007586" w:themeColor="text2"/>
                <w:sz w:val="18"/>
                <w:szCs w:val="18"/>
              </w:rPr>
              <w:t>Volume to be removed from IV bag</w:t>
            </w:r>
          </w:p>
        </w:tc>
        <w:tc>
          <w:tcPr>
            <w:tcW w:w="3549" w:type="dxa"/>
          </w:tcPr>
          <w:p w:rsidR="00BC7DFB" w:rsidRPr="00FF42C4" w:rsidRDefault="00BC7DFB" w:rsidP="00EE35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42C4">
              <w:rPr>
                <w:sz w:val="18"/>
                <w:szCs w:val="18"/>
              </w:rPr>
              <w:t>30 mL</w:t>
            </w:r>
          </w:p>
        </w:tc>
        <w:tc>
          <w:tcPr>
            <w:tcW w:w="3550" w:type="dxa"/>
          </w:tcPr>
          <w:p w:rsidR="00BC7DFB" w:rsidRPr="00FF42C4" w:rsidRDefault="00BC7DFB" w:rsidP="00EE35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42C4">
              <w:rPr>
                <w:sz w:val="18"/>
                <w:szCs w:val="18"/>
              </w:rPr>
              <w:t>Not applicable</w:t>
            </w:r>
          </w:p>
          <w:p w:rsidR="00BC7DFB" w:rsidRPr="00FF42C4" w:rsidRDefault="00BC7DFB" w:rsidP="00EE35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42C4">
              <w:rPr>
                <w:sz w:val="18"/>
                <w:szCs w:val="18"/>
              </w:rPr>
              <w:t>Draw up 35 mL in the syringe</w:t>
            </w:r>
          </w:p>
        </w:tc>
      </w:tr>
      <w:tr w:rsidR="00BC7DFB" w:rsidRPr="00FF42C4" w:rsidTr="00BC7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:rsidR="00BC7DFB" w:rsidRPr="00FF42C4" w:rsidRDefault="00BC7DFB" w:rsidP="00605AA0">
            <w:pPr>
              <w:pStyle w:val="Body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FF42C4">
              <w:rPr>
                <w:rFonts w:ascii="VIC" w:hAnsi="VIC"/>
                <w:color w:val="007586" w:themeColor="text2"/>
                <w:sz w:val="18"/>
                <w:szCs w:val="18"/>
              </w:rPr>
              <w:t>Drug dose to be added</w:t>
            </w:r>
          </w:p>
        </w:tc>
        <w:tc>
          <w:tcPr>
            <w:tcW w:w="3549" w:type="dxa"/>
          </w:tcPr>
          <w:p w:rsidR="00BC7DFB" w:rsidRPr="00FF42C4" w:rsidRDefault="00BC7DFB" w:rsidP="00EE35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42C4">
              <w:rPr>
                <w:sz w:val="18"/>
                <w:szCs w:val="18"/>
              </w:rPr>
              <w:t>6 mg (30 mL)</w:t>
            </w:r>
          </w:p>
        </w:tc>
        <w:tc>
          <w:tcPr>
            <w:tcW w:w="3550" w:type="dxa"/>
          </w:tcPr>
          <w:p w:rsidR="00BC7DFB" w:rsidRPr="00FF42C4" w:rsidRDefault="00BC7DFB" w:rsidP="00EE35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42C4">
              <w:rPr>
                <w:sz w:val="18"/>
                <w:szCs w:val="18"/>
              </w:rPr>
              <w:t>3 mg (15 mL)</w:t>
            </w:r>
          </w:p>
        </w:tc>
      </w:tr>
      <w:tr w:rsidR="00BC7DFB" w:rsidRPr="00FF42C4" w:rsidTr="00BC7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:rsidR="00BC7DFB" w:rsidRPr="00FF42C4" w:rsidRDefault="00BC7DFB" w:rsidP="00605AA0">
            <w:pPr>
              <w:pStyle w:val="Body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FF42C4">
              <w:rPr>
                <w:rFonts w:ascii="VIC" w:hAnsi="VIC"/>
                <w:color w:val="007586" w:themeColor="text2"/>
                <w:sz w:val="18"/>
                <w:szCs w:val="18"/>
              </w:rPr>
              <w:t>Final volume</w:t>
            </w:r>
          </w:p>
        </w:tc>
        <w:tc>
          <w:tcPr>
            <w:tcW w:w="3549" w:type="dxa"/>
          </w:tcPr>
          <w:p w:rsidR="00BC7DFB" w:rsidRPr="00FF42C4" w:rsidRDefault="00BC7DFB" w:rsidP="00EE35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42C4">
              <w:rPr>
                <w:sz w:val="18"/>
                <w:szCs w:val="18"/>
              </w:rPr>
              <w:t>100 mL</w:t>
            </w:r>
          </w:p>
        </w:tc>
        <w:tc>
          <w:tcPr>
            <w:tcW w:w="3550" w:type="dxa"/>
          </w:tcPr>
          <w:p w:rsidR="00BC7DFB" w:rsidRPr="00FF42C4" w:rsidRDefault="00BC7DFB" w:rsidP="00EE35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42C4">
              <w:rPr>
                <w:sz w:val="18"/>
                <w:szCs w:val="18"/>
              </w:rPr>
              <w:t>50 mL</w:t>
            </w:r>
          </w:p>
        </w:tc>
      </w:tr>
      <w:tr w:rsidR="00BC7DFB" w:rsidRPr="00FF42C4" w:rsidTr="00BC7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:rsidR="00BC7DFB" w:rsidRPr="00FF42C4" w:rsidRDefault="00BC7DFB" w:rsidP="00605AA0">
            <w:pPr>
              <w:pStyle w:val="Body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FF42C4">
              <w:rPr>
                <w:rFonts w:ascii="VIC" w:hAnsi="VIC"/>
                <w:color w:val="007586" w:themeColor="text2"/>
                <w:sz w:val="18"/>
                <w:szCs w:val="18"/>
              </w:rPr>
              <w:t>Final concentration</w:t>
            </w:r>
          </w:p>
        </w:tc>
        <w:tc>
          <w:tcPr>
            <w:tcW w:w="3549" w:type="dxa"/>
          </w:tcPr>
          <w:p w:rsidR="00BC7DFB" w:rsidRPr="00FF42C4" w:rsidRDefault="00BC7DFB" w:rsidP="00EE35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42C4">
              <w:rPr>
                <w:sz w:val="18"/>
                <w:szCs w:val="18"/>
              </w:rPr>
              <w:t>60 microg/mL</w:t>
            </w:r>
          </w:p>
        </w:tc>
        <w:tc>
          <w:tcPr>
            <w:tcW w:w="3550" w:type="dxa"/>
          </w:tcPr>
          <w:p w:rsidR="00BC7DFB" w:rsidRPr="00FF42C4" w:rsidRDefault="00BC7DFB" w:rsidP="00EE35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42C4">
              <w:rPr>
                <w:sz w:val="18"/>
                <w:szCs w:val="18"/>
              </w:rPr>
              <w:t>60 microg/mL</w:t>
            </w:r>
          </w:p>
        </w:tc>
      </w:tr>
      <w:tr w:rsidR="00BC7DFB" w:rsidRPr="00FF42C4" w:rsidTr="00BC7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9" w:type="dxa"/>
          </w:tcPr>
          <w:p w:rsidR="00BC7DFB" w:rsidRPr="00FF42C4" w:rsidRDefault="00BC7DFB" w:rsidP="00605AA0">
            <w:pPr>
              <w:pStyle w:val="Body"/>
              <w:rPr>
                <w:rFonts w:ascii="VIC" w:hAnsi="VIC"/>
                <w:b w:val="0"/>
                <w:color w:val="007586" w:themeColor="text2"/>
                <w:sz w:val="18"/>
                <w:szCs w:val="18"/>
              </w:rPr>
            </w:pPr>
            <w:r w:rsidRPr="00FF42C4">
              <w:rPr>
                <w:rFonts w:ascii="VIC" w:hAnsi="VIC"/>
                <w:color w:val="007586" w:themeColor="text2"/>
                <w:sz w:val="18"/>
                <w:szCs w:val="18"/>
              </w:rPr>
              <w:t>1mL/hr =</w:t>
            </w:r>
          </w:p>
        </w:tc>
        <w:tc>
          <w:tcPr>
            <w:tcW w:w="3549" w:type="dxa"/>
          </w:tcPr>
          <w:p w:rsidR="00BC7DFB" w:rsidRPr="00FF42C4" w:rsidRDefault="00BC7DFB" w:rsidP="00EE35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42C4">
              <w:rPr>
                <w:sz w:val="18"/>
                <w:szCs w:val="18"/>
              </w:rPr>
              <w:t>1 microg/min</w:t>
            </w:r>
          </w:p>
        </w:tc>
        <w:tc>
          <w:tcPr>
            <w:tcW w:w="3550" w:type="dxa"/>
          </w:tcPr>
          <w:p w:rsidR="00BC7DFB" w:rsidRPr="00FF42C4" w:rsidRDefault="00BC7DFB" w:rsidP="00EE35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42C4">
              <w:rPr>
                <w:sz w:val="18"/>
                <w:szCs w:val="18"/>
              </w:rPr>
              <w:t>1 microg/min</w:t>
            </w:r>
          </w:p>
        </w:tc>
      </w:tr>
    </w:tbl>
    <w:p w:rsidR="00BC7DFB" w:rsidRDefault="00BC7DFB" w:rsidP="00BC7DFB">
      <w:pPr>
        <w:pStyle w:val="Normalfollowingheading"/>
      </w:pPr>
      <w:r w:rsidRPr="00BC7DFB">
        <w:rPr>
          <w:rFonts w:cs="Arial"/>
          <w:color w:val="000000" w:themeColor="text1"/>
          <w:sz w:val="16"/>
          <w:lang w:eastAsia="ja-JP"/>
        </w:rPr>
        <w:t xml:space="preserve">*Glucose 5% is preferred for diluting all inotropes and vasopressors. However, </w:t>
      </w:r>
      <w:proofErr w:type="spellStart"/>
      <w:r w:rsidRPr="00BC7DFB">
        <w:rPr>
          <w:rFonts w:cs="Arial"/>
          <w:color w:val="000000" w:themeColor="text1"/>
          <w:sz w:val="16"/>
          <w:lang w:eastAsia="ja-JP"/>
        </w:rPr>
        <w:t>isoprenaline</w:t>
      </w:r>
      <w:proofErr w:type="spellEnd"/>
      <w:r w:rsidRPr="00BC7DFB">
        <w:rPr>
          <w:rFonts w:cs="Arial"/>
          <w:color w:val="000000" w:themeColor="text1"/>
          <w:sz w:val="16"/>
          <w:lang w:eastAsia="ja-JP"/>
        </w:rPr>
        <w:t xml:space="preserve"> is also compatible with sodium chloride 0.9%.</w:t>
      </w:r>
      <w:r w:rsidRPr="00BC7DFB">
        <w:rPr>
          <w:rFonts w:cs="Arial"/>
          <w:color w:val="000000" w:themeColor="text1"/>
          <w:sz w:val="16"/>
          <w:vertAlign w:val="superscript"/>
          <w:lang w:eastAsia="ja-JP"/>
        </w:rPr>
        <w:t>5</w:t>
      </w:r>
    </w:p>
    <w:p w:rsidR="00BC7DFB" w:rsidRPr="007506D5" w:rsidRDefault="00BC7DFB" w:rsidP="00BC7DFB">
      <w:pPr>
        <w:pStyle w:val="Heading2"/>
      </w:pPr>
      <w:r w:rsidRPr="007506D5">
        <w:t>Administration – this guideline is intended for central access only</w:t>
      </w:r>
    </w:p>
    <w:p w:rsidR="00BC7DFB" w:rsidRPr="0012508A" w:rsidRDefault="00BC7DFB" w:rsidP="00BC7DFB">
      <w:pPr>
        <w:pStyle w:val="Normalfollowingheading"/>
        <w:rPr>
          <w:lang w:val="en-US"/>
        </w:rPr>
      </w:pPr>
      <w:r>
        <w:rPr>
          <w:lang w:val="en-US"/>
        </w:rPr>
        <w:t xml:space="preserve">Administer </w:t>
      </w:r>
      <w:r w:rsidRPr="0012508A">
        <w:rPr>
          <w:lang w:val="en-US"/>
        </w:rPr>
        <w:t xml:space="preserve">continuous </w:t>
      </w:r>
      <w:r>
        <w:rPr>
          <w:lang w:val="en-US"/>
        </w:rPr>
        <w:t>i</w:t>
      </w:r>
      <w:r w:rsidRPr="0012508A">
        <w:rPr>
          <w:lang w:val="en-US"/>
        </w:rPr>
        <w:t>ntravenous infusion through a central access line.</w:t>
      </w:r>
    </w:p>
    <w:p w:rsidR="00BC7DFB" w:rsidRPr="0012508A" w:rsidRDefault="00BC7DFB" w:rsidP="00BC7DFB">
      <w:pPr>
        <w:rPr>
          <w:lang w:val="en-US"/>
        </w:rPr>
      </w:pPr>
      <w:r w:rsidRPr="0012508A">
        <w:rPr>
          <w:lang w:val="en-US"/>
        </w:rPr>
        <w:t xml:space="preserve">Infusions should be administered via </w:t>
      </w:r>
      <w:r>
        <w:rPr>
          <w:lang w:val="en-US"/>
        </w:rPr>
        <w:t xml:space="preserve">a </w:t>
      </w:r>
      <w:r w:rsidRPr="0012508A">
        <w:rPr>
          <w:lang w:val="en-US"/>
        </w:rPr>
        <w:t>syringe driver or infusion pump, preferably with medication error reduction software enabled.</w:t>
      </w:r>
    </w:p>
    <w:p w:rsidR="00BC7DFB" w:rsidRPr="00BC7DFB" w:rsidRDefault="00BC7DFB" w:rsidP="00BC7DFB">
      <w:pPr>
        <w:rPr>
          <w:lang w:val="en-US"/>
        </w:rPr>
      </w:pPr>
      <w:r w:rsidRPr="0012508A">
        <w:rPr>
          <w:lang w:val="en-US"/>
        </w:rPr>
        <w:t xml:space="preserve">Avoid administration in lines where other drugs or fluids may be </w:t>
      </w:r>
      <w:proofErr w:type="spellStart"/>
      <w:r w:rsidRPr="0012508A">
        <w:rPr>
          <w:lang w:val="en-US"/>
        </w:rPr>
        <w:t>bolused</w:t>
      </w:r>
      <w:proofErr w:type="spellEnd"/>
      <w:r w:rsidRPr="0012508A">
        <w:rPr>
          <w:lang w:val="en-US"/>
        </w:rPr>
        <w:t xml:space="preserve"> or flushed.</w:t>
      </w:r>
    </w:p>
    <w:p w:rsidR="00BC7DFB" w:rsidRPr="00C4312A" w:rsidRDefault="00BC7DFB" w:rsidP="00BC7DFB">
      <w:pPr>
        <w:pStyle w:val="Heading2"/>
      </w:pPr>
      <w:r w:rsidRPr="00C4312A">
        <w:t>Dosing</w:t>
      </w:r>
    </w:p>
    <w:p w:rsidR="00BC7DFB" w:rsidRPr="005F6A6C" w:rsidRDefault="00BC7DFB" w:rsidP="00BC7DFB">
      <w:pPr>
        <w:pStyle w:val="Normalfollowingheading"/>
        <w:rPr>
          <w:vertAlign w:val="superscript"/>
        </w:rPr>
      </w:pPr>
      <w:r w:rsidRPr="005F6A6C">
        <w:t>Starting dose: 0.5</w:t>
      </w:r>
      <w:r>
        <w:t xml:space="preserve"> to </w:t>
      </w:r>
      <w:r w:rsidRPr="005F6A6C">
        <w:t>2</w:t>
      </w:r>
      <w:r>
        <w:t xml:space="preserve"> </w:t>
      </w:r>
      <w:r w:rsidRPr="005F6A6C">
        <w:t>microg/min</w:t>
      </w:r>
      <w:r w:rsidR="00E1529D">
        <w:t>.</w:t>
      </w:r>
    </w:p>
    <w:p w:rsidR="00BC7DFB" w:rsidRPr="005F6A6C" w:rsidRDefault="00BC7DFB" w:rsidP="00BC7DFB">
      <w:r w:rsidRPr="005F6A6C">
        <w:t>Titrate in accordance with prescribed parameters</w:t>
      </w:r>
      <w:r>
        <w:t xml:space="preserve"> –</w:t>
      </w:r>
      <w:r w:rsidRPr="005F6A6C">
        <w:t xml:space="preserve"> for example</w:t>
      </w:r>
      <w:r>
        <w:t>,</w:t>
      </w:r>
      <w:r w:rsidRPr="005F6A6C">
        <w:t xml:space="preserve"> by increments of 0.5 to 1 microg/min</w:t>
      </w:r>
      <w:r w:rsidR="00E1529D">
        <w:t>.</w:t>
      </w:r>
    </w:p>
    <w:p w:rsidR="00BC7DFB" w:rsidRPr="005F6A6C" w:rsidRDefault="00BC7DFB" w:rsidP="00BC7DFB">
      <w:pPr>
        <w:rPr>
          <w:vertAlign w:val="superscript"/>
        </w:rPr>
      </w:pPr>
      <w:r w:rsidRPr="005F6A6C">
        <w:t>Usual dose range: 2</w:t>
      </w:r>
      <w:r>
        <w:t xml:space="preserve"> to </w:t>
      </w:r>
      <w:r w:rsidRPr="005F6A6C">
        <w:t>10</w:t>
      </w:r>
      <w:r>
        <w:t xml:space="preserve"> </w:t>
      </w:r>
      <w:r w:rsidRPr="005F6A6C">
        <w:t>microg/min</w:t>
      </w:r>
      <w:r w:rsidR="00E1529D">
        <w:t>.</w:t>
      </w:r>
      <w:r w:rsidRPr="005F6A6C">
        <w:rPr>
          <w:vertAlign w:val="superscript"/>
        </w:rPr>
        <w:t>3</w:t>
      </w:r>
    </w:p>
    <w:p w:rsidR="00BC7DFB" w:rsidRPr="005F6A6C" w:rsidRDefault="00BC7DFB" w:rsidP="00BC7DFB">
      <w:pPr>
        <w:rPr>
          <w:vertAlign w:val="superscript"/>
        </w:rPr>
      </w:pPr>
      <w:r w:rsidRPr="005F6A6C">
        <w:t xml:space="preserve">Maximum dose: </w:t>
      </w:r>
      <w:r>
        <w:t>r</w:t>
      </w:r>
      <w:r w:rsidRPr="005F6A6C">
        <w:t>ates greater than 30microg/min have been used in advanced stages of shock</w:t>
      </w:r>
      <w:r w:rsidR="00E1529D">
        <w:t>.</w:t>
      </w:r>
      <w:r w:rsidRPr="005F6A6C">
        <w:rPr>
          <w:vertAlign w:val="superscript"/>
        </w:rPr>
        <w:t>4</w:t>
      </w:r>
    </w:p>
    <w:p w:rsidR="00BC7DFB" w:rsidRPr="00C4312A" w:rsidRDefault="00BC7DFB" w:rsidP="00BC7DFB">
      <w:pPr>
        <w:pStyle w:val="Heading2"/>
      </w:pPr>
      <w:r w:rsidRPr="00C4312A">
        <w:t>Monitoring</w:t>
      </w:r>
    </w:p>
    <w:p w:rsidR="00BC7DFB" w:rsidRPr="00D562D9" w:rsidRDefault="00BC7DFB" w:rsidP="00BC7DFB">
      <w:pPr>
        <w:pStyle w:val="Bullet1"/>
        <w:rPr>
          <w:rStyle w:val="BookTitle"/>
        </w:rPr>
      </w:pPr>
      <w:r w:rsidRPr="00D562D9">
        <w:rPr>
          <w:rStyle w:val="BookTitle"/>
        </w:rPr>
        <w:t>Continuous blood pressure and cardiac monitoring for the duration of the infusion</w:t>
      </w:r>
      <w:r>
        <w:rPr>
          <w:rStyle w:val="BookTitle"/>
          <w:vertAlign w:val="superscript"/>
        </w:rPr>
        <w:t>5</w:t>
      </w:r>
    </w:p>
    <w:p w:rsidR="00BC7DFB" w:rsidRPr="00D562D9" w:rsidRDefault="00BC7DFB" w:rsidP="00BC7DFB">
      <w:pPr>
        <w:pStyle w:val="Bullet1"/>
        <w:rPr>
          <w:rStyle w:val="BookTitle"/>
        </w:rPr>
      </w:pPr>
      <w:r w:rsidRPr="00D562D9">
        <w:rPr>
          <w:rStyle w:val="BookTitle"/>
        </w:rPr>
        <w:t>Daily 12-lead ECG</w:t>
      </w:r>
    </w:p>
    <w:p w:rsidR="00BC7DFB" w:rsidRDefault="00BC7DFB" w:rsidP="00BC7DFB">
      <w:pPr>
        <w:pStyle w:val="Bullet1"/>
        <w:rPr>
          <w:rStyle w:val="BookTitle"/>
        </w:rPr>
      </w:pPr>
      <w:r w:rsidRPr="00D562D9">
        <w:rPr>
          <w:rStyle w:val="BookTitle"/>
        </w:rPr>
        <w:t>Monitor fluid balance and electrolytes at least daily, especially magnesium and potassium</w:t>
      </w:r>
      <w:r w:rsidR="00E1529D">
        <w:rPr>
          <w:rStyle w:val="BookTitle"/>
        </w:rPr>
        <w:t>.</w:t>
      </w:r>
    </w:p>
    <w:p w:rsidR="00BC7DFB" w:rsidRPr="009750B7" w:rsidRDefault="00BC7DFB" w:rsidP="00BC7DFB">
      <w:pPr>
        <w:pStyle w:val="Heading2"/>
        <w:rPr>
          <w:rStyle w:val="BookTitle"/>
        </w:rPr>
      </w:pPr>
      <w:r w:rsidRPr="009750B7">
        <w:rPr>
          <w:rStyle w:val="BookTitle"/>
        </w:rPr>
        <w:t>Side effects</w:t>
      </w:r>
    </w:p>
    <w:p w:rsidR="00BC7DFB" w:rsidRPr="005F6A6C" w:rsidRDefault="00BC7DFB" w:rsidP="00BC7DFB">
      <w:pPr>
        <w:pStyle w:val="Bullet1"/>
        <w:rPr>
          <w:rFonts w:ascii="Calibri" w:hAnsi="Calibri"/>
        </w:rPr>
      </w:pPr>
      <w:r w:rsidRPr="008E3085">
        <w:rPr>
          <w:rStyle w:val="BookTitle"/>
        </w:rPr>
        <w:t>Tachycardia</w:t>
      </w:r>
      <w:r w:rsidRPr="008E3085">
        <w:rPr>
          <w:rStyle w:val="BookTitle"/>
          <w:vertAlign w:val="superscript"/>
        </w:rPr>
        <w:t>2</w:t>
      </w:r>
    </w:p>
    <w:p w:rsidR="00BC7DFB" w:rsidRPr="005F6A6C" w:rsidRDefault="00BC7DFB" w:rsidP="00BC7DFB">
      <w:pPr>
        <w:pStyle w:val="Bullet1"/>
        <w:rPr>
          <w:rFonts w:ascii="Calibri" w:hAnsi="Calibri"/>
        </w:rPr>
      </w:pPr>
      <w:r w:rsidRPr="008E3085">
        <w:rPr>
          <w:rStyle w:val="BookTitle"/>
        </w:rPr>
        <w:t>Hypotension</w:t>
      </w:r>
      <w:r w:rsidRPr="008E3085">
        <w:rPr>
          <w:rStyle w:val="BookTitle"/>
          <w:vertAlign w:val="superscript"/>
        </w:rPr>
        <w:t>2</w:t>
      </w:r>
    </w:p>
    <w:p w:rsidR="00BC7DFB" w:rsidRPr="005F6A6C" w:rsidRDefault="00BC7DFB" w:rsidP="00BC7DFB">
      <w:pPr>
        <w:pStyle w:val="Bullet1"/>
        <w:rPr>
          <w:rFonts w:ascii="Calibri" w:hAnsi="Calibri"/>
        </w:rPr>
      </w:pPr>
      <w:r w:rsidRPr="008E3085">
        <w:rPr>
          <w:rStyle w:val="BookTitle"/>
        </w:rPr>
        <w:lastRenderedPageBreak/>
        <w:t>Arrhythmias</w:t>
      </w:r>
      <w:r w:rsidRPr="008E3085">
        <w:rPr>
          <w:rStyle w:val="BookTitle"/>
          <w:vertAlign w:val="superscript"/>
        </w:rPr>
        <w:t>2</w:t>
      </w:r>
    </w:p>
    <w:p w:rsidR="00BC7DFB" w:rsidRPr="00BC7DFB" w:rsidRDefault="00BC7DFB" w:rsidP="00BC7DFB">
      <w:pPr>
        <w:pStyle w:val="Bullet1"/>
        <w:rPr>
          <w:rFonts w:ascii="Calibri" w:hAnsi="Calibri"/>
        </w:rPr>
      </w:pPr>
      <w:r w:rsidRPr="008E3085">
        <w:rPr>
          <w:rStyle w:val="BookTitle"/>
        </w:rPr>
        <w:t>Angina</w:t>
      </w:r>
      <w:r w:rsidR="00E1529D">
        <w:rPr>
          <w:rStyle w:val="BookTitle"/>
        </w:rPr>
        <w:t>.</w:t>
      </w:r>
      <w:r w:rsidRPr="008E3085">
        <w:rPr>
          <w:rStyle w:val="BookTitle"/>
          <w:vertAlign w:val="superscript"/>
        </w:rPr>
        <w:t>2</w:t>
      </w:r>
    </w:p>
    <w:p w:rsidR="00BC7DFB" w:rsidRPr="00C4312A" w:rsidRDefault="00BC7DFB" w:rsidP="00BC7DFB">
      <w:pPr>
        <w:pStyle w:val="Heading2"/>
        <w:rPr>
          <w:lang w:val="en-US"/>
        </w:rPr>
      </w:pPr>
      <w:r w:rsidRPr="00C4312A">
        <w:rPr>
          <w:lang w:val="en-US"/>
        </w:rPr>
        <w:t>Compatibilities</w:t>
      </w:r>
    </w:p>
    <w:p w:rsidR="00BC7DFB" w:rsidRPr="00C4312A" w:rsidRDefault="00BC7DFB" w:rsidP="00BC7DFB">
      <w:pPr>
        <w:pStyle w:val="Normalfollowingheading"/>
        <w:rPr>
          <w:lang w:val="en-US"/>
        </w:rPr>
      </w:pPr>
      <w:r w:rsidRPr="00C4312A">
        <w:rPr>
          <w:lang w:val="en-US"/>
        </w:rPr>
        <w:t>Consult the following references</w:t>
      </w:r>
      <w:r>
        <w:rPr>
          <w:lang w:val="en-US"/>
        </w:rPr>
        <w:t>,</w:t>
      </w:r>
      <w:r w:rsidRPr="00C4312A">
        <w:rPr>
          <w:lang w:val="en-US"/>
        </w:rPr>
        <w:t xml:space="preserve"> which are available online through </w:t>
      </w:r>
      <w:r w:rsidRPr="009415FF">
        <w:t xml:space="preserve">the </w:t>
      </w:r>
      <w:hyperlink r:id="rId8" w:history="1">
        <w:r w:rsidRPr="009415FF">
          <w:rPr>
            <w:rStyle w:val="Hyperlink"/>
          </w:rPr>
          <w:t>Clinicians Health Channel</w:t>
        </w:r>
      </w:hyperlink>
      <w:r w:rsidRPr="009415FF">
        <w:t>:</w:t>
      </w:r>
    </w:p>
    <w:p w:rsidR="00BC7DFB" w:rsidRPr="00E371E3" w:rsidRDefault="00BC7DFB" w:rsidP="00E56DFF">
      <w:pPr>
        <w:pStyle w:val="Bullet1"/>
        <w:rPr>
          <w:rStyle w:val="BookTitle"/>
          <w:b/>
        </w:rPr>
      </w:pPr>
      <w:r w:rsidRPr="00E371E3">
        <w:rPr>
          <w:rStyle w:val="BookTitle"/>
        </w:rPr>
        <w:t>Australian injectable drugs handbook</w:t>
      </w:r>
    </w:p>
    <w:p w:rsidR="00BC7DFB" w:rsidRPr="009750B7" w:rsidRDefault="00BC7DFB" w:rsidP="00E56DFF">
      <w:pPr>
        <w:pStyle w:val="Bullet1"/>
        <w:rPr>
          <w:rStyle w:val="BookTitle"/>
        </w:rPr>
      </w:pPr>
      <w:proofErr w:type="spellStart"/>
      <w:r w:rsidRPr="00E371E3">
        <w:rPr>
          <w:rStyle w:val="BookTitle"/>
        </w:rPr>
        <w:t>Trissel’s</w:t>
      </w:r>
      <w:proofErr w:type="spellEnd"/>
      <w:r w:rsidRPr="00E371E3">
        <w:rPr>
          <w:rStyle w:val="BookTitle"/>
        </w:rPr>
        <w:t>™ in IV compatibility (Micromedex)</w:t>
      </w:r>
      <w:r w:rsidRPr="009750B7">
        <w:rPr>
          <w:rStyle w:val="BookTitle"/>
        </w:rPr>
        <w:t xml:space="preserve"> – from the site homepage, select the ‘IV Compatibility’ tab</w:t>
      </w:r>
      <w:r w:rsidR="00E1529D">
        <w:rPr>
          <w:rStyle w:val="BookTitle"/>
        </w:rPr>
        <w:t>.</w:t>
      </w:r>
    </w:p>
    <w:p w:rsidR="00BC7DFB" w:rsidRPr="008E4F7A" w:rsidRDefault="00BC7DFB" w:rsidP="00BC7DFB">
      <w:pPr>
        <w:pStyle w:val="Heading2"/>
        <w:rPr>
          <w:rStyle w:val="BookTitle"/>
          <w:vertAlign w:val="superscript"/>
        </w:rPr>
      </w:pPr>
      <w:r w:rsidRPr="00C4312A">
        <w:rPr>
          <w:lang w:val="en-US"/>
        </w:rPr>
        <w:t xml:space="preserve">Important drug interactions </w:t>
      </w:r>
    </w:p>
    <w:p w:rsidR="00BC7DFB" w:rsidRPr="00A63F32" w:rsidRDefault="00BC7DFB" w:rsidP="00BC7DFB">
      <w:pPr>
        <w:pStyle w:val="Bullet1"/>
        <w:rPr>
          <w:b/>
        </w:rPr>
      </w:pPr>
      <w:r w:rsidRPr="00A63F32">
        <w:rPr>
          <w:rStyle w:val="BookTitle"/>
        </w:rPr>
        <w:t xml:space="preserve">Combined </w:t>
      </w:r>
      <w:r w:rsidRPr="00A63F32">
        <w:t>use with other medications with</w:t>
      </w:r>
      <w:r w:rsidRPr="00A63F32">
        <w:rPr>
          <w:b/>
        </w:rPr>
        <w:t xml:space="preserve"> beta-agonist effects (e.g. adrenaline)</w:t>
      </w:r>
      <w:r w:rsidRPr="00A63F32">
        <w:t xml:space="preserve"> may increase the risk of arrhythmias.</w:t>
      </w:r>
      <w:r w:rsidRPr="00A63F32">
        <w:rPr>
          <w:vertAlign w:val="superscript"/>
        </w:rPr>
        <w:t>4</w:t>
      </w:r>
    </w:p>
    <w:p w:rsidR="00BC7DFB" w:rsidRPr="00A63F32" w:rsidRDefault="00BC7DFB" w:rsidP="00BC7DFB">
      <w:pPr>
        <w:pStyle w:val="Bullet1"/>
        <w:rPr>
          <w:b/>
        </w:rPr>
      </w:pPr>
      <w:r w:rsidRPr="00E97908">
        <w:rPr>
          <w:rFonts w:ascii="Times New Roman" w:hAnsi="Times New Roman" w:cs="Times New Roman"/>
          <w:b/>
        </w:rPr>
        <w:t>β</w:t>
      </w:r>
      <w:r w:rsidRPr="00E97908">
        <w:rPr>
          <w:b/>
        </w:rPr>
        <w:t>-</w:t>
      </w:r>
      <w:r w:rsidRPr="00AF0614">
        <w:rPr>
          <w:rStyle w:val="BookTitle"/>
          <w:b/>
        </w:rPr>
        <w:t>antagonists</w:t>
      </w:r>
      <w:r w:rsidRPr="00A63F32">
        <w:t xml:space="preserve"> may decrease the efficacy of isoprenaline.</w:t>
      </w:r>
      <w:r w:rsidRPr="00A63F32">
        <w:rPr>
          <w:vertAlign w:val="superscript"/>
        </w:rPr>
        <w:t>2</w:t>
      </w:r>
    </w:p>
    <w:p w:rsidR="00BC7DFB" w:rsidRPr="00A63F32" w:rsidRDefault="00BC7DFB" w:rsidP="00BC7DFB">
      <w:pPr>
        <w:pStyle w:val="Bullet1"/>
      </w:pPr>
      <w:proofErr w:type="spellStart"/>
      <w:r w:rsidRPr="00AF0614">
        <w:rPr>
          <w:rStyle w:val="BookTitle"/>
          <w:b/>
        </w:rPr>
        <w:t>Entacapone</w:t>
      </w:r>
      <w:proofErr w:type="spellEnd"/>
      <w:r w:rsidRPr="00A63F32">
        <w:rPr>
          <w:b/>
        </w:rPr>
        <w:t xml:space="preserve"> </w:t>
      </w:r>
      <w:r w:rsidRPr="00A63F32">
        <w:t>is</w:t>
      </w:r>
      <w:r w:rsidR="00284903">
        <w:t xml:space="preserve"> a catechol-O-methyltransferase</w:t>
      </w:r>
      <w:r w:rsidRPr="00A63F32">
        <w:t xml:space="preserve"> (COMT) inhibitor, which may inhibit the metabolism of </w:t>
      </w:r>
      <w:proofErr w:type="spellStart"/>
      <w:r w:rsidRPr="00A63F32">
        <w:t>isoprenaline</w:t>
      </w:r>
      <w:proofErr w:type="spellEnd"/>
      <w:r w:rsidRPr="00A63F32">
        <w:t xml:space="preserve">, increasing the risk of side effects. Dose </w:t>
      </w:r>
      <w:proofErr w:type="spellStart"/>
      <w:r w:rsidRPr="00A63F32">
        <w:t>isoprenaline</w:t>
      </w:r>
      <w:proofErr w:type="spellEnd"/>
      <w:r w:rsidRPr="00A63F32">
        <w:t xml:space="preserve"> conservatively.</w:t>
      </w:r>
      <w:r w:rsidRPr="00A63F32">
        <w:rPr>
          <w:vertAlign w:val="superscript"/>
        </w:rPr>
        <w:t>2,7</w:t>
      </w:r>
    </w:p>
    <w:p w:rsidR="00BC7DFB" w:rsidRPr="00BC7DFB" w:rsidRDefault="00BC7DFB" w:rsidP="00BC7DFB">
      <w:pPr>
        <w:pStyle w:val="Bullet1"/>
      </w:pPr>
      <w:r w:rsidRPr="00AF0614">
        <w:rPr>
          <w:rStyle w:val="BookTitle"/>
          <w:b/>
        </w:rPr>
        <w:t>Theophylline</w:t>
      </w:r>
      <w:r w:rsidRPr="00A63F32">
        <w:rPr>
          <w:b/>
        </w:rPr>
        <w:t xml:space="preserve"> </w:t>
      </w:r>
      <w:r w:rsidRPr="00A63F32">
        <w:t xml:space="preserve">may potentiate hypokalaemia induced by </w:t>
      </w:r>
      <w:proofErr w:type="spellStart"/>
      <w:r w:rsidRPr="00A63F32">
        <w:t>isoprenaline</w:t>
      </w:r>
      <w:proofErr w:type="spellEnd"/>
      <w:r w:rsidRPr="00A63F32">
        <w:t xml:space="preserve">, monitor potassium. </w:t>
      </w:r>
      <w:proofErr w:type="spellStart"/>
      <w:r w:rsidRPr="00A63F32">
        <w:t>Isoprenaline</w:t>
      </w:r>
      <w:proofErr w:type="spellEnd"/>
      <w:r w:rsidRPr="00A63F32">
        <w:t xml:space="preserve"> may also decrease theophylline concentration and consequently clinical effect. Monitor theophylline concentration and adjust accordingly.</w:t>
      </w:r>
      <w:r w:rsidRPr="00A63F32">
        <w:rPr>
          <w:vertAlign w:val="superscript"/>
        </w:rPr>
        <w:t>2</w:t>
      </w:r>
    </w:p>
    <w:p w:rsidR="00BC7DFB" w:rsidRPr="00C4312A" w:rsidRDefault="00BC7DFB" w:rsidP="00AF0614">
      <w:pPr>
        <w:pStyle w:val="Heading2"/>
      </w:pPr>
      <w:r w:rsidRPr="00C4312A">
        <w:t>References</w:t>
      </w:r>
    </w:p>
    <w:p w:rsidR="00BC7DFB" w:rsidRPr="008E3085" w:rsidRDefault="00BC7DFB" w:rsidP="00BC7DFB">
      <w:pPr>
        <w:pStyle w:val="ListParagraph"/>
        <w:numPr>
          <w:ilvl w:val="0"/>
          <w:numId w:val="16"/>
        </w:numPr>
        <w:spacing w:before="60" w:after="60" w:line="240" w:lineRule="auto"/>
        <w:ind w:left="357" w:hanging="357"/>
        <w:contextualSpacing w:val="0"/>
        <w:rPr>
          <w:sz w:val="18"/>
          <w:szCs w:val="18"/>
        </w:rPr>
      </w:pPr>
      <w:r w:rsidRPr="008E3085">
        <w:rPr>
          <w:sz w:val="18"/>
          <w:szCs w:val="18"/>
        </w:rPr>
        <w:t>Micromedex [online] (accessed 20 January 2018)</w:t>
      </w:r>
    </w:p>
    <w:p w:rsidR="00BC7DFB" w:rsidRPr="008E3085" w:rsidRDefault="00BC7DFB" w:rsidP="00BC7DFB">
      <w:pPr>
        <w:pStyle w:val="ListParagraph"/>
        <w:numPr>
          <w:ilvl w:val="0"/>
          <w:numId w:val="16"/>
        </w:numPr>
        <w:spacing w:before="60" w:after="60" w:line="240" w:lineRule="auto"/>
        <w:ind w:left="357" w:hanging="357"/>
        <w:contextualSpacing w:val="0"/>
        <w:rPr>
          <w:sz w:val="18"/>
          <w:szCs w:val="18"/>
        </w:rPr>
      </w:pPr>
      <w:r w:rsidRPr="008E3085">
        <w:rPr>
          <w:sz w:val="18"/>
          <w:szCs w:val="18"/>
        </w:rPr>
        <w:t>Australian medicines handbook (AMH) [online] (accessed 20 January 2018)</w:t>
      </w:r>
    </w:p>
    <w:p w:rsidR="00BC7DFB" w:rsidRPr="008E3085" w:rsidRDefault="00BC7DFB" w:rsidP="00BC7DFB">
      <w:pPr>
        <w:pStyle w:val="ListParagraph"/>
        <w:numPr>
          <w:ilvl w:val="0"/>
          <w:numId w:val="16"/>
        </w:numPr>
        <w:spacing w:before="60" w:after="60" w:line="240" w:lineRule="auto"/>
        <w:ind w:left="357" w:hanging="357"/>
        <w:contextualSpacing w:val="0"/>
        <w:rPr>
          <w:sz w:val="18"/>
          <w:szCs w:val="18"/>
        </w:rPr>
      </w:pPr>
      <w:r w:rsidRPr="008E3085">
        <w:rPr>
          <w:sz w:val="18"/>
          <w:szCs w:val="18"/>
        </w:rPr>
        <w:t>Lexicomp [online] (accessed 20 January 2018)</w:t>
      </w:r>
    </w:p>
    <w:p w:rsidR="00BC7DFB" w:rsidRPr="008E3085" w:rsidRDefault="00BC7DFB" w:rsidP="00BC7DFB">
      <w:pPr>
        <w:pStyle w:val="ListParagraph"/>
        <w:numPr>
          <w:ilvl w:val="0"/>
          <w:numId w:val="16"/>
        </w:numPr>
        <w:spacing w:before="60" w:after="60" w:line="240" w:lineRule="auto"/>
        <w:ind w:left="357" w:hanging="357"/>
        <w:contextualSpacing w:val="0"/>
        <w:rPr>
          <w:sz w:val="18"/>
          <w:szCs w:val="18"/>
        </w:rPr>
      </w:pPr>
      <w:r w:rsidRPr="008E3085">
        <w:rPr>
          <w:sz w:val="18"/>
          <w:szCs w:val="18"/>
        </w:rPr>
        <w:t>MIMS [online] (accessed 20 January 2018)</w:t>
      </w:r>
    </w:p>
    <w:p w:rsidR="00BC7DFB" w:rsidRPr="008E3085" w:rsidRDefault="00BC7DFB" w:rsidP="00BC7DFB">
      <w:pPr>
        <w:pStyle w:val="ListParagraph"/>
        <w:numPr>
          <w:ilvl w:val="0"/>
          <w:numId w:val="16"/>
        </w:numPr>
        <w:spacing w:before="60" w:after="60" w:line="240" w:lineRule="auto"/>
        <w:ind w:left="357" w:hanging="357"/>
        <w:contextualSpacing w:val="0"/>
        <w:rPr>
          <w:sz w:val="18"/>
          <w:szCs w:val="18"/>
        </w:rPr>
      </w:pPr>
      <w:r w:rsidRPr="008E3085">
        <w:rPr>
          <w:sz w:val="18"/>
          <w:szCs w:val="18"/>
        </w:rPr>
        <w:t>Australian injectable drugs handbook (AIDH)[online] (accessed 20 January 2018)</w:t>
      </w:r>
    </w:p>
    <w:p w:rsidR="00BC7DFB" w:rsidRPr="008E3085" w:rsidRDefault="00BC7DFB" w:rsidP="00BC7DFB">
      <w:pPr>
        <w:pStyle w:val="ListParagraph"/>
        <w:numPr>
          <w:ilvl w:val="0"/>
          <w:numId w:val="16"/>
        </w:numPr>
        <w:spacing w:before="60" w:after="60" w:line="240" w:lineRule="auto"/>
        <w:ind w:left="357" w:hanging="357"/>
        <w:contextualSpacing w:val="0"/>
        <w:rPr>
          <w:sz w:val="18"/>
          <w:szCs w:val="18"/>
        </w:rPr>
      </w:pPr>
      <w:r w:rsidRPr="008E3085">
        <w:rPr>
          <w:sz w:val="18"/>
          <w:szCs w:val="18"/>
        </w:rPr>
        <w:t xml:space="preserve">Injectable medicines guide (Medusa) – </w:t>
      </w:r>
      <w:proofErr w:type="spellStart"/>
      <w:r w:rsidRPr="008E3085">
        <w:rPr>
          <w:sz w:val="18"/>
          <w:szCs w:val="18"/>
        </w:rPr>
        <w:t>Isoprenaline</w:t>
      </w:r>
      <w:proofErr w:type="spellEnd"/>
      <w:r w:rsidRPr="008E3085">
        <w:rPr>
          <w:sz w:val="18"/>
          <w:szCs w:val="18"/>
        </w:rPr>
        <w:t xml:space="preserve"> – intravenous, Version 3 [online] (accessed 3 March 2017). Available from: </w:t>
      </w:r>
      <w:hyperlink r:id="rId9" w:history="1">
        <w:r w:rsidRPr="008E3085">
          <w:rPr>
            <w:rStyle w:val="Hyperlink"/>
            <w:sz w:val="18"/>
            <w:szCs w:val="18"/>
          </w:rPr>
          <w:t>http://medusa.wales.nhs.uk/IVGuidePrint.asp?Drugno=2413&amp;format=3</w:t>
        </w:r>
      </w:hyperlink>
      <w:r w:rsidRPr="008E3085">
        <w:rPr>
          <w:sz w:val="18"/>
          <w:szCs w:val="18"/>
        </w:rPr>
        <w:t xml:space="preserve"> </w:t>
      </w:r>
    </w:p>
    <w:tbl>
      <w:tblPr>
        <w:tblStyle w:val="SCVInformationTable"/>
        <w:tblpPr w:leftFromText="181" w:rightFromText="181" w:vertAnchor="page" w:horzAnchor="margin" w:tblpY="13627"/>
        <w:tblW w:w="10603" w:type="dxa"/>
        <w:shd w:val="clear" w:color="auto" w:fill="F2F2F3"/>
        <w:tblLook w:val="0600" w:firstRow="0" w:lastRow="0" w:firstColumn="0" w:lastColumn="0" w:noHBand="1" w:noVBand="1"/>
      </w:tblPr>
      <w:tblGrid>
        <w:gridCol w:w="3955"/>
        <w:gridCol w:w="3955"/>
        <w:gridCol w:w="2693"/>
      </w:tblGrid>
      <w:tr w:rsidR="004C4782" w:rsidRPr="00736C0C" w:rsidTr="004C4782">
        <w:trPr>
          <w:trHeight w:val="1531"/>
        </w:trPr>
        <w:tc>
          <w:tcPr>
            <w:tcW w:w="3955" w:type="dxa"/>
            <w:tcMar>
              <w:left w:w="113" w:type="dxa"/>
            </w:tcMar>
          </w:tcPr>
          <w:p w:rsidR="004C4782" w:rsidRPr="00736C0C" w:rsidRDefault="004C4782" w:rsidP="004C4782">
            <w:pPr>
              <w:spacing w:line="235" w:lineRule="auto"/>
            </w:pPr>
            <w:r w:rsidRPr="00292213">
              <w:rPr>
                <w:sz w:val="24"/>
              </w:rPr>
              <w:t xml:space="preserve">To receive this publication in </w:t>
            </w:r>
            <w:r w:rsidRPr="00292213">
              <w:rPr>
                <w:sz w:val="24"/>
              </w:rPr>
              <w:br/>
              <w:t xml:space="preserve">an accessible format phone </w:t>
            </w:r>
            <w:r>
              <w:rPr>
                <w:sz w:val="24"/>
              </w:rPr>
              <w:t>9096 1384</w:t>
            </w:r>
            <w:r w:rsidRPr="00292213">
              <w:rPr>
                <w:sz w:val="24"/>
              </w:rPr>
              <w:t xml:space="preserve">, using the National Relay Service 13 36 77 if required, or email </w:t>
            </w:r>
            <w:r w:rsidRPr="00292213">
              <w:rPr>
                <w:b/>
                <w:sz w:val="24"/>
              </w:rPr>
              <w:t>info@safercare.vic.gov.au</w:t>
            </w:r>
          </w:p>
        </w:tc>
        <w:tc>
          <w:tcPr>
            <w:tcW w:w="3955" w:type="dxa"/>
          </w:tcPr>
          <w:p w:rsidR="004C4782" w:rsidRDefault="004C4782" w:rsidP="004C4782">
            <w:pPr>
              <w:spacing w:line="230" w:lineRule="auto"/>
              <w:rPr>
                <w:sz w:val="13"/>
                <w:szCs w:val="13"/>
              </w:rPr>
            </w:pPr>
            <w:r w:rsidRPr="00292213">
              <w:rPr>
                <w:sz w:val="13"/>
                <w:szCs w:val="13"/>
              </w:rPr>
              <w:t>Printed copies of this document may not be the most recent version.</w:t>
            </w:r>
          </w:p>
          <w:p w:rsidR="004C4782" w:rsidRPr="007A4444" w:rsidRDefault="004C4782" w:rsidP="004C4782">
            <w:pPr>
              <w:spacing w:line="230" w:lineRule="auto"/>
              <w:rPr>
                <w:sz w:val="13"/>
                <w:szCs w:val="13"/>
              </w:rPr>
            </w:pPr>
            <w:r w:rsidRPr="007A4444">
              <w:rPr>
                <w:sz w:val="13"/>
                <w:szCs w:val="13"/>
              </w:rPr>
              <w:t>Authorised and published by the Victorian Government, 1 Treasury Place, Melbourne.</w:t>
            </w:r>
          </w:p>
          <w:p w:rsidR="004C4782" w:rsidRDefault="004C4782" w:rsidP="004C4782">
            <w:pPr>
              <w:spacing w:line="230" w:lineRule="auto"/>
              <w:rPr>
                <w:sz w:val="13"/>
                <w:szCs w:val="13"/>
              </w:rPr>
            </w:pPr>
            <w:r w:rsidRPr="007A4444">
              <w:rPr>
                <w:sz w:val="13"/>
                <w:szCs w:val="13"/>
              </w:rPr>
              <w:t xml:space="preserve">© State of Victoria, Australia, Safer Care Victoria, </w:t>
            </w:r>
            <w:r>
              <w:rPr>
                <w:sz w:val="13"/>
                <w:szCs w:val="13"/>
              </w:rPr>
              <w:t xml:space="preserve">December </w:t>
            </w:r>
            <w:r w:rsidRPr="007A4444">
              <w:rPr>
                <w:sz w:val="13"/>
                <w:szCs w:val="13"/>
              </w:rPr>
              <w:t xml:space="preserve">2018 </w:t>
            </w:r>
          </w:p>
          <w:p w:rsidR="004C4782" w:rsidRPr="007A4444" w:rsidRDefault="004C4782" w:rsidP="004C4782">
            <w:pPr>
              <w:spacing w:line="230" w:lineRule="auto"/>
              <w:rPr>
                <w:sz w:val="13"/>
                <w:szCs w:val="13"/>
              </w:rPr>
            </w:pPr>
            <w:r w:rsidRPr="007A4444">
              <w:rPr>
                <w:sz w:val="13"/>
                <w:szCs w:val="13"/>
              </w:rPr>
              <w:t>ISBN</w:t>
            </w:r>
            <w:r w:rsidR="00E56DFF">
              <w:rPr>
                <w:sz w:val="13"/>
                <w:szCs w:val="13"/>
              </w:rPr>
              <w:t xml:space="preserve"> </w:t>
            </w:r>
            <w:r w:rsidR="00E56DFF" w:rsidRPr="00E56DFF">
              <w:rPr>
                <w:rFonts w:cs="Arial"/>
                <w:sz w:val="12"/>
              </w:rPr>
              <w:t>978-1-76069-716-7</w:t>
            </w:r>
            <w:r w:rsidR="00E56DFF" w:rsidRPr="00E56DFF">
              <w:rPr>
                <w:rFonts w:ascii="Cambria" w:hAnsi="Cambria" w:cs="Cambria"/>
                <w:b/>
                <w:bCs/>
                <w:sz w:val="12"/>
              </w:rPr>
              <w:t> </w:t>
            </w:r>
            <w:r w:rsidRPr="007A4444">
              <w:rPr>
                <w:sz w:val="13"/>
                <w:szCs w:val="13"/>
              </w:rPr>
              <w:t>(online/print)</w:t>
            </w:r>
          </w:p>
          <w:p w:rsidR="004C4782" w:rsidRDefault="004C4782" w:rsidP="004C4782">
            <w:pPr>
              <w:spacing w:line="230" w:lineRule="auto"/>
              <w:rPr>
                <w:sz w:val="13"/>
                <w:szCs w:val="13"/>
              </w:rPr>
            </w:pPr>
            <w:r w:rsidRPr="007A4444">
              <w:rPr>
                <w:sz w:val="13"/>
                <w:szCs w:val="13"/>
              </w:rPr>
              <w:t xml:space="preserve">Available at </w:t>
            </w:r>
            <w:hyperlink r:id="rId10" w:history="1">
              <w:r w:rsidRPr="002C713F">
                <w:rPr>
                  <w:rStyle w:val="Hyperlink"/>
                  <w:sz w:val="13"/>
                  <w:szCs w:val="13"/>
                </w:rPr>
                <w:t>www.safercare.vic.gov.au</w:t>
              </w:r>
            </w:hyperlink>
          </w:p>
          <w:p w:rsidR="004C4782" w:rsidRPr="007A4444" w:rsidRDefault="004C4782" w:rsidP="004C4782">
            <w:pPr>
              <w:spacing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Email criticalcare.clinicalnetwork@safercare.vic.gov.au</w:t>
            </w:r>
          </w:p>
        </w:tc>
        <w:tc>
          <w:tcPr>
            <w:tcW w:w="2693" w:type="dxa"/>
          </w:tcPr>
          <w:p w:rsidR="004C4782" w:rsidRPr="00736C0C" w:rsidRDefault="004C4782" w:rsidP="004C4782">
            <w:pPr>
              <w:rPr>
                <w:szCs w:val="15"/>
              </w:rPr>
            </w:pPr>
            <w:r>
              <w:rPr>
                <w:noProof/>
                <w:szCs w:val="15"/>
              </w:rPr>
              <w:drawing>
                <wp:inline distT="0" distB="0" distL="0" distR="0" wp14:anchorId="41A4F8A3" wp14:editId="70E36F3C">
                  <wp:extent cx="972000" cy="558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tate 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3129" w:rsidRPr="00FF42C4" w:rsidRDefault="00BC7DFB" w:rsidP="00FF42C4">
      <w:pPr>
        <w:pStyle w:val="ListParagraph"/>
        <w:numPr>
          <w:ilvl w:val="0"/>
          <w:numId w:val="16"/>
        </w:numPr>
        <w:spacing w:before="60" w:after="60" w:line="240" w:lineRule="auto"/>
        <w:ind w:left="357" w:hanging="357"/>
        <w:contextualSpacing w:val="0"/>
        <w:rPr>
          <w:sz w:val="18"/>
          <w:szCs w:val="18"/>
        </w:rPr>
      </w:pPr>
      <w:r w:rsidRPr="008E3085">
        <w:rPr>
          <w:sz w:val="18"/>
          <w:szCs w:val="18"/>
        </w:rPr>
        <w:t xml:space="preserve">Kane-Gill S, </w:t>
      </w:r>
      <w:proofErr w:type="spellStart"/>
      <w:r w:rsidRPr="008E3085">
        <w:rPr>
          <w:sz w:val="18"/>
          <w:szCs w:val="18"/>
        </w:rPr>
        <w:t>Dasta</w:t>
      </w:r>
      <w:proofErr w:type="spellEnd"/>
      <w:r w:rsidRPr="008E3085">
        <w:rPr>
          <w:sz w:val="18"/>
          <w:szCs w:val="18"/>
        </w:rPr>
        <w:t xml:space="preserve"> J (</w:t>
      </w:r>
      <w:proofErr w:type="spellStart"/>
      <w:r w:rsidRPr="008E3085">
        <w:rPr>
          <w:sz w:val="18"/>
          <w:szCs w:val="18"/>
        </w:rPr>
        <w:t>eds</w:t>
      </w:r>
      <w:proofErr w:type="spellEnd"/>
      <w:r w:rsidRPr="008E3085">
        <w:rPr>
          <w:sz w:val="18"/>
          <w:szCs w:val="18"/>
        </w:rPr>
        <w:t>). High-risk IV medications in special patient populations. Springer-Verlag London, 2011</w:t>
      </w:r>
    </w:p>
    <w:p w:rsidR="007A4444" w:rsidRDefault="007A4444" w:rsidP="007A4444">
      <w:pPr>
        <w:pStyle w:val="NoSpacing"/>
        <w:sectPr w:rsidR="007A4444" w:rsidSect="000905F7">
          <w:headerReference w:type="first" r:id="rId12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:rsidR="00897157" w:rsidRDefault="00AF0614" w:rsidP="00AF0614">
      <w:pPr>
        <w:pStyle w:val="Heading2"/>
      </w:pPr>
      <w:r>
        <w:t>Acknowledgements</w:t>
      </w:r>
    </w:p>
    <w:p w:rsidR="00AF0614" w:rsidRPr="00AF0614" w:rsidRDefault="00AF0614" w:rsidP="00AF0614">
      <w:pPr>
        <w:pStyle w:val="Normalfollowingheading"/>
      </w:pPr>
      <w:r w:rsidRPr="00AF0614">
        <w:t xml:space="preserve">We would like to thank the pharmacists involved in writing the guidelines: Melissa </w:t>
      </w:r>
      <w:proofErr w:type="spellStart"/>
      <w:r w:rsidRPr="00AF0614">
        <w:t>Ankravs</w:t>
      </w:r>
      <w:proofErr w:type="spellEnd"/>
      <w:r w:rsidRPr="00AF0614">
        <w:t xml:space="preserve">, Melanie Kowalski, Rachel Fyfe, Robyn Ingram, </w:t>
      </w:r>
      <w:proofErr w:type="spellStart"/>
      <w:r w:rsidRPr="00AF0614">
        <w:t>Annalie</w:t>
      </w:r>
      <w:proofErr w:type="spellEnd"/>
      <w:r w:rsidRPr="00AF0614">
        <w:t xml:space="preserve"> Jones, Susan </w:t>
      </w:r>
      <w:proofErr w:type="spellStart"/>
      <w:r w:rsidRPr="00AF0614">
        <w:t>Trevillian</w:t>
      </w:r>
      <w:proofErr w:type="spellEnd"/>
      <w:r w:rsidRPr="00AF0614">
        <w:t>, and Lucy Sharrock.</w:t>
      </w:r>
    </w:p>
    <w:sectPr w:rsidR="00AF0614" w:rsidRPr="00AF0614" w:rsidSect="00AF0614">
      <w:type w:val="continuous"/>
      <w:pgSz w:w="11906" w:h="16838" w:code="9"/>
      <w:pgMar w:top="2438" w:right="737" w:bottom="680" w:left="737" w:header="539" w:footer="62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97F" w:rsidRDefault="002A797F" w:rsidP="002A797F">
      <w:r>
        <w:separator/>
      </w:r>
    </w:p>
  </w:endnote>
  <w:endnote w:type="continuationSeparator" w:id="0">
    <w:p w:rsidR="002A797F" w:rsidRDefault="002A797F" w:rsidP="002A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rebuchet MS"/>
    <w:charset w:val="00"/>
    <w:family w:val="swiss"/>
    <w:pitch w:val="variable"/>
    <w:sig w:usb0="00000001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97F" w:rsidRDefault="002A797F" w:rsidP="002A797F"/>
  </w:footnote>
  <w:footnote w:type="continuationSeparator" w:id="0">
    <w:p w:rsidR="002A797F" w:rsidRDefault="002A797F" w:rsidP="002A7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5F7" w:rsidRDefault="000905F7" w:rsidP="002A797F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51C804E" wp14:editId="117326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22800" cy="1206000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10791"/>
    <w:multiLevelType w:val="hybridMultilevel"/>
    <w:tmpl w:val="16AC4B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341E0ED3"/>
    <w:multiLevelType w:val="hybridMultilevel"/>
    <w:tmpl w:val="E3C80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700BF"/>
    <w:multiLevelType w:val="hybridMultilevel"/>
    <w:tmpl w:val="9918C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93A12AA"/>
    <w:multiLevelType w:val="multilevel"/>
    <w:tmpl w:val="3DBE2574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8" w15:restartNumberingAfterBreak="0">
    <w:nsid w:val="461135B8"/>
    <w:multiLevelType w:val="hybridMultilevel"/>
    <w:tmpl w:val="2AA8B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F3703"/>
    <w:multiLevelType w:val="hybridMultilevel"/>
    <w:tmpl w:val="62085E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972D2"/>
    <w:multiLevelType w:val="hybridMultilevel"/>
    <w:tmpl w:val="7952C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12"/>
  </w:num>
  <w:num w:numId="5">
    <w:abstractNumId w:val="1"/>
  </w:num>
  <w:num w:numId="6">
    <w:abstractNumId w:val="6"/>
  </w:num>
  <w:num w:numId="7">
    <w:abstractNumId w:val="11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9"/>
  </w:num>
  <w:num w:numId="13">
    <w:abstractNumId w:val="2"/>
  </w:num>
  <w:num w:numId="14">
    <w:abstractNumId w:val="8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7F"/>
    <w:rsid w:val="00012F6F"/>
    <w:rsid w:val="00014213"/>
    <w:rsid w:val="00014B55"/>
    <w:rsid w:val="00020E3E"/>
    <w:rsid w:val="00023BF3"/>
    <w:rsid w:val="00026811"/>
    <w:rsid w:val="0004185E"/>
    <w:rsid w:val="00053181"/>
    <w:rsid w:val="00056988"/>
    <w:rsid w:val="00072279"/>
    <w:rsid w:val="00073407"/>
    <w:rsid w:val="00075E6C"/>
    <w:rsid w:val="00081C12"/>
    <w:rsid w:val="00087D42"/>
    <w:rsid w:val="000905F7"/>
    <w:rsid w:val="000B29AD"/>
    <w:rsid w:val="000C6372"/>
    <w:rsid w:val="000D0C9F"/>
    <w:rsid w:val="000D7841"/>
    <w:rsid w:val="000E392D"/>
    <w:rsid w:val="000E39B6"/>
    <w:rsid w:val="000E3D05"/>
    <w:rsid w:val="000E604E"/>
    <w:rsid w:val="000F4288"/>
    <w:rsid w:val="000F7165"/>
    <w:rsid w:val="00102379"/>
    <w:rsid w:val="00103722"/>
    <w:rsid w:val="001065D6"/>
    <w:rsid w:val="001068D5"/>
    <w:rsid w:val="00121252"/>
    <w:rsid w:val="00124609"/>
    <w:rsid w:val="001254CE"/>
    <w:rsid w:val="0013637A"/>
    <w:rsid w:val="001422CC"/>
    <w:rsid w:val="00145346"/>
    <w:rsid w:val="00155FB0"/>
    <w:rsid w:val="001617B6"/>
    <w:rsid w:val="00165E66"/>
    <w:rsid w:val="00196143"/>
    <w:rsid w:val="001A24FC"/>
    <w:rsid w:val="001C6993"/>
    <w:rsid w:val="001C7BAE"/>
    <w:rsid w:val="001E31FA"/>
    <w:rsid w:val="001E48F9"/>
    <w:rsid w:val="001E64F6"/>
    <w:rsid w:val="001E7AEB"/>
    <w:rsid w:val="00204B82"/>
    <w:rsid w:val="00212987"/>
    <w:rsid w:val="00222BEB"/>
    <w:rsid w:val="00225E60"/>
    <w:rsid w:val="00230BBB"/>
    <w:rsid w:val="0023202C"/>
    <w:rsid w:val="00234619"/>
    <w:rsid w:val="00235BE2"/>
    <w:rsid w:val="00245043"/>
    <w:rsid w:val="0025110D"/>
    <w:rsid w:val="0026028E"/>
    <w:rsid w:val="00284903"/>
    <w:rsid w:val="00284FA2"/>
    <w:rsid w:val="00292213"/>
    <w:rsid w:val="00292D36"/>
    <w:rsid w:val="00294A5A"/>
    <w:rsid w:val="00297281"/>
    <w:rsid w:val="00297A47"/>
    <w:rsid w:val="002A5891"/>
    <w:rsid w:val="002A797F"/>
    <w:rsid w:val="002B03F1"/>
    <w:rsid w:val="002B5C34"/>
    <w:rsid w:val="002B5E2B"/>
    <w:rsid w:val="002B6DAA"/>
    <w:rsid w:val="002C0C5B"/>
    <w:rsid w:val="002D70F7"/>
    <w:rsid w:val="002D711A"/>
    <w:rsid w:val="002D7336"/>
    <w:rsid w:val="002E3396"/>
    <w:rsid w:val="002E6454"/>
    <w:rsid w:val="002F0B22"/>
    <w:rsid w:val="002F2953"/>
    <w:rsid w:val="0031149C"/>
    <w:rsid w:val="0036778F"/>
    <w:rsid w:val="0038771C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22DDC"/>
    <w:rsid w:val="004231B5"/>
    <w:rsid w:val="004236C8"/>
    <w:rsid w:val="00427681"/>
    <w:rsid w:val="00433DB7"/>
    <w:rsid w:val="0045347E"/>
    <w:rsid w:val="00453750"/>
    <w:rsid w:val="00456941"/>
    <w:rsid w:val="00460BD5"/>
    <w:rsid w:val="004702EA"/>
    <w:rsid w:val="0048259C"/>
    <w:rsid w:val="00482D02"/>
    <w:rsid w:val="00484326"/>
    <w:rsid w:val="00490369"/>
    <w:rsid w:val="004A7519"/>
    <w:rsid w:val="004B64B1"/>
    <w:rsid w:val="004C4782"/>
    <w:rsid w:val="004D01AC"/>
    <w:rsid w:val="004D3518"/>
    <w:rsid w:val="004D62D6"/>
    <w:rsid w:val="004D6898"/>
    <w:rsid w:val="004F3F4E"/>
    <w:rsid w:val="00510167"/>
    <w:rsid w:val="00513E86"/>
    <w:rsid w:val="005306A2"/>
    <w:rsid w:val="0053416C"/>
    <w:rsid w:val="00541C2F"/>
    <w:rsid w:val="00552DE4"/>
    <w:rsid w:val="00563527"/>
    <w:rsid w:val="00567B1F"/>
    <w:rsid w:val="0057407A"/>
    <w:rsid w:val="0058124E"/>
    <w:rsid w:val="005875A3"/>
    <w:rsid w:val="00593129"/>
    <w:rsid w:val="005953EA"/>
    <w:rsid w:val="005A3416"/>
    <w:rsid w:val="005B061F"/>
    <w:rsid w:val="005B27FE"/>
    <w:rsid w:val="005B76DF"/>
    <w:rsid w:val="005B79CB"/>
    <w:rsid w:val="005E08D7"/>
    <w:rsid w:val="005E4C16"/>
    <w:rsid w:val="005E5947"/>
    <w:rsid w:val="005F61DF"/>
    <w:rsid w:val="0060163A"/>
    <w:rsid w:val="006023F9"/>
    <w:rsid w:val="00610559"/>
    <w:rsid w:val="00614076"/>
    <w:rsid w:val="00632F2E"/>
    <w:rsid w:val="006332F6"/>
    <w:rsid w:val="006413F2"/>
    <w:rsid w:val="006534B2"/>
    <w:rsid w:val="0065615D"/>
    <w:rsid w:val="00657011"/>
    <w:rsid w:val="006650B5"/>
    <w:rsid w:val="006651B1"/>
    <w:rsid w:val="00665778"/>
    <w:rsid w:val="00676E5F"/>
    <w:rsid w:val="00680577"/>
    <w:rsid w:val="006945CA"/>
    <w:rsid w:val="006A3309"/>
    <w:rsid w:val="006A3A5A"/>
    <w:rsid w:val="006A5B34"/>
    <w:rsid w:val="006C77A9"/>
    <w:rsid w:val="006D4720"/>
    <w:rsid w:val="006E6CDF"/>
    <w:rsid w:val="006F37F2"/>
    <w:rsid w:val="006F6693"/>
    <w:rsid w:val="00707FE8"/>
    <w:rsid w:val="00714AAE"/>
    <w:rsid w:val="00724962"/>
    <w:rsid w:val="00724A0F"/>
    <w:rsid w:val="00726D2F"/>
    <w:rsid w:val="00736732"/>
    <w:rsid w:val="00740019"/>
    <w:rsid w:val="00746426"/>
    <w:rsid w:val="00750BF9"/>
    <w:rsid w:val="00750CBE"/>
    <w:rsid w:val="00761711"/>
    <w:rsid w:val="007650D2"/>
    <w:rsid w:val="00766B5A"/>
    <w:rsid w:val="00772209"/>
    <w:rsid w:val="007770A5"/>
    <w:rsid w:val="007834F2"/>
    <w:rsid w:val="00791020"/>
    <w:rsid w:val="007A04D2"/>
    <w:rsid w:val="007A4444"/>
    <w:rsid w:val="007A5F82"/>
    <w:rsid w:val="007D5F9E"/>
    <w:rsid w:val="007E098F"/>
    <w:rsid w:val="007E3BA2"/>
    <w:rsid w:val="007E6F9B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55FF9"/>
    <w:rsid w:val="0086277A"/>
    <w:rsid w:val="008668A8"/>
    <w:rsid w:val="008703D8"/>
    <w:rsid w:val="008768AD"/>
    <w:rsid w:val="00880AC4"/>
    <w:rsid w:val="008816EE"/>
    <w:rsid w:val="00897157"/>
    <w:rsid w:val="00897447"/>
    <w:rsid w:val="008A4900"/>
    <w:rsid w:val="008A55FE"/>
    <w:rsid w:val="008A58D2"/>
    <w:rsid w:val="008B146D"/>
    <w:rsid w:val="008B42AD"/>
    <w:rsid w:val="008B5666"/>
    <w:rsid w:val="008C2C15"/>
    <w:rsid w:val="008D0281"/>
    <w:rsid w:val="008E2348"/>
    <w:rsid w:val="008F1145"/>
    <w:rsid w:val="008F6D45"/>
    <w:rsid w:val="00916AD5"/>
    <w:rsid w:val="00922944"/>
    <w:rsid w:val="00936479"/>
    <w:rsid w:val="00937A10"/>
    <w:rsid w:val="00953A2C"/>
    <w:rsid w:val="00966115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C3D88"/>
    <w:rsid w:val="009E1651"/>
    <w:rsid w:val="009E3858"/>
    <w:rsid w:val="009E467D"/>
    <w:rsid w:val="009E70DD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46288"/>
    <w:rsid w:val="00A46BA8"/>
    <w:rsid w:val="00A47634"/>
    <w:rsid w:val="00A612FE"/>
    <w:rsid w:val="00A70B49"/>
    <w:rsid w:val="00A92D94"/>
    <w:rsid w:val="00AA26B8"/>
    <w:rsid w:val="00AC0B87"/>
    <w:rsid w:val="00AC2624"/>
    <w:rsid w:val="00AC32A8"/>
    <w:rsid w:val="00AD7E4E"/>
    <w:rsid w:val="00AF0614"/>
    <w:rsid w:val="00AF4D58"/>
    <w:rsid w:val="00AF6666"/>
    <w:rsid w:val="00AF7BC5"/>
    <w:rsid w:val="00B81B44"/>
    <w:rsid w:val="00B9053B"/>
    <w:rsid w:val="00BA0C37"/>
    <w:rsid w:val="00BA3782"/>
    <w:rsid w:val="00BB4D98"/>
    <w:rsid w:val="00BB4EBF"/>
    <w:rsid w:val="00BB59E0"/>
    <w:rsid w:val="00BC3422"/>
    <w:rsid w:val="00BC6E19"/>
    <w:rsid w:val="00BC7DFB"/>
    <w:rsid w:val="00BD11C2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32D49"/>
    <w:rsid w:val="00C33AD3"/>
    <w:rsid w:val="00C35D53"/>
    <w:rsid w:val="00C41B3C"/>
    <w:rsid w:val="00C43F06"/>
    <w:rsid w:val="00C51C01"/>
    <w:rsid w:val="00C637E1"/>
    <w:rsid w:val="00C67EAC"/>
    <w:rsid w:val="00C70D50"/>
    <w:rsid w:val="00C72252"/>
    <w:rsid w:val="00C907D7"/>
    <w:rsid w:val="00C92338"/>
    <w:rsid w:val="00CA05DC"/>
    <w:rsid w:val="00CA1847"/>
    <w:rsid w:val="00CA7B47"/>
    <w:rsid w:val="00CB3976"/>
    <w:rsid w:val="00CD0307"/>
    <w:rsid w:val="00CD3C79"/>
    <w:rsid w:val="00CD3D1B"/>
    <w:rsid w:val="00D02663"/>
    <w:rsid w:val="00D0633E"/>
    <w:rsid w:val="00D12E74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814B7"/>
    <w:rsid w:val="00D90688"/>
    <w:rsid w:val="00DA3AAD"/>
    <w:rsid w:val="00DA3F36"/>
    <w:rsid w:val="00DB312B"/>
    <w:rsid w:val="00DC5654"/>
    <w:rsid w:val="00DC658F"/>
    <w:rsid w:val="00DC674A"/>
    <w:rsid w:val="00DE60CC"/>
    <w:rsid w:val="00E03F35"/>
    <w:rsid w:val="00E1529D"/>
    <w:rsid w:val="00E26B32"/>
    <w:rsid w:val="00E31CD4"/>
    <w:rsid w:val="00E31E60"/>
    <w:rsid w:val="00E33E08"/>
    <w:rsid w:val="00E407B6"/>
    <w:rsid w:val="00E41EF1"/>
    <w:rsid w:val="00E42942"/>
    <w:rsid w:val="00E56DFF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97908"/>
    <w:rsid w:val="00EB7014"/>
    <w:rsid w:val="00EC5CDE"/>
    <w:rsid w:val="00EC7F2A"/>
    <w:rsid w:val="00ED3077"/>
    <w:rsid w:val="00ED487E"/>
    <w:rsid w:val="00ED64F1"/>
    <w:rsid w:val="00EE33A1"/>
    <w:rsid w:val="00EE7A0D"/>
    <w:rsid w:val="00F0222C"/>
    <w:rsid w:val="00F06647"/>
    <w:rsid w:val="00F12312"/>
    <w:rsid w:val="00F17CE1"/>
    <w:rsid w:val="00F2115C"/>
    <w:rsid w:val="00F22ABA"/>
    <w:rsid w:val="00F25919"/>
    <w:rsid w:val="00F25F4B"/>
    <w:rsid w:val="00F27C9D"/>
    <w:rsid w:val="00F36B12"/>
    <w:rsid w:val="00F60F9F"/>
    <w:rsid w:val="00F61246"/>
    <w:rsid w:val="00F64F08"/>
    <w:rsid w:val="00F70055"/>
    <w:rsid w:val="00F734F5"/>
    <w:rsid w:val="00F73B5B"/>
    <w:rsid w:val="00F90EA5"/>
    <w:rsid w:val="00F91F5A"/>
    <w:rsid w:val="00F966B1"/>
    <w:rsid w:val="00F97D48"/>
    <w:rsid w:val="00FA0311"/>
    <w:rsid w:val="00FA1489"/>
    <w:rsid w:val="00FA16AC"/>
    <w:rsid w:val="00FD50F0"/>
    <w:rsid w:val="00FD640F"/>
    <w:rsid w:val="00FD6B4C"/>
    <w:rsid w:val="00FE04C6"/>
    <w:rsid w:val="00FE0553"/>
    <w:rsid w:val="00FE25D0"/>
    <w:rsid w:val="00FE6CB3"/>
    <w:rsid w:val="00FF42C4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C39A8F8"/>
  <w15:docId w15:val="{5FF21394-8553-4D42-A116-ACE1888D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7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 w:uiPriority="33" w:qFormat="1"/>
    <w:lsdException w:name="Bibliography" w:semiHidden="1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2A797F"/>
    <w:rPr>
      <w:rFonts w:ascii="VIC" w:hAnsi="VIC" w:cstheme="majorHAnsi"/>
    </w:rPr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A797F"/>
    <w:pPr>
      <w:keepNext/>
      <w:keepLines/>
      <w:spacing w:before="280" w:after="60" w:line="240" w:lineRule="auto"/>
      <w:outlineLvl w:val="1"/>
    </w:pPr>
    <w:rPr>
      <w:rFonts w:ascii="VIC SemiBold" w:eastAsiaTheme="majorEastAsia" w:hAnsi="VIC SemiBold" w:cstheme="majorBidi"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567B1F"/>
    <w:pPr>
      <w:keepNext/>
      <w:keepLines/>
      <w:spacing w:before="240" w:after="50" w:line="240" w:lineRule="auto"/>
      <w:outlineLvl w:val="2"/>
    </w:pPr>
    <w:rPr>
      <w:rFonts w:ascii="VIC SemiBold" w:eastAsiaTheme="majorEastAsia" w:hAnsi="VIC SemiBold" w:cstheme="majorBidi"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7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2A797F"/>
    <w:rPr>
      <w:rFonts w:ascii="VIC SemiBold" w:eastAsiaTheme="majorEastAsia" w:hAnsi="VIC SemiBold" w:cstheme="majorBidi"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292213"/>
    <w:pPr>
      <w:numPr>
        <w:numId w:val="9"/>
      </w:numPr>
      <w:spacing w:before="60" w:after="60"/>
    </w:pPr>
    <w:rPr>
      <w:rFonts w:ascii="VIC" w:eastAsia="Times New Roman" w:hAnsi="VIC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567B1F"/>
    <w:rPr>
      <w:rFonts w:ascii="VIC SemiBold" w:eastAsiaTheme="majorEastAsia" w:hAnsi="VIC SemiBold" w:cstheme="majorBidi"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A797F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2A797F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character" w:styleId="BookTitle">
    <w:name w:val="Book Title"/>
    <w:aliases w:val="Dot points"/>
    <w:uiPriority w:val="33"/>
    <w:qFormat/>
    <w:rsid w:val="002A797F"/>
  </w:style>
  <w:style w:type="paragraph" w:customStyle="1" w:styleId="Tablecolhead">
    <w:name w:val="Table col head"/>
    <w:basedOn w:val="Body"/>
    <w:qFormat/>
    <w:rsid w:val="00593129"/>
    <w:pPr>
      <w:snapToGrid w:val="0"/>
      <w:spacing w:before="60" w:after="60" w:line="240" w:lineRule="auto"/>
    </w:pPr>
    <w:rPr>
      <w:rFonts w:eastAsia="MS Mincho"/>
      <w:b/>
      <w:color w:val="007F9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clinicianshealthchann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fercare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usa.wales.nhs.uk/IVGuidePrint.asp?Drugno=2413&amp;format=3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fer%20Care%20Victoria\Common%20folder%20(for%20all%20SCV)\Branding%20toolkit\1.%20Templates\1.%20Safer%20Care%20Victoria\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9698BD7414459DB3B8DE948CE8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CB44-5041-43F5-9D84-730CB2379BF7}"/>
      </w:docPartPr>
      <w:docPartBody>
        <w:p w:rsidR="00973ECD" w:rsidRDefault="00973ECD">
          <w:pPr>
            <w:pStyle w:val="119698BD7414459DB3B8DE948CE8A2E9"/>
          </w:pPr>
          <w:r w:rsidRPr="0080378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rebuchet MS"/>
    <w:charset w:val="00"/>
    <w:family w:val="swiss"/>
    <w:pitch w:val="variable"/>
    <w:sig w:usb0="00000001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ECD"/>
    <w:rsid w:val="0097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customStyle="1" w:styleId="119698BD7414459DB3B8DE948CE8A2E9">
    <w:name w:val="119698BD7414459DB3B8DE948CE8A2E9"/>
  </w:style>
  <w:style w:type="paragraph" w:customStyle="1" w:styleId="ED64744474CD4692B141CF39C5384E32">
    <w:name w:val="ED64744474CD4692B141CF39C5384E32"/>
  </w:style>
  <w:style w:type="paragraph" w:customStyle="1" w:styleId="A1571EFD677E498783B20E42C2AC57A5">
    <w:name w:val="A1571EFD677E498783B20E42C2AC5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6BA67-3EAF-44E7-99EE-E610F16F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sheet.dotx</Template>
  <TotalTime>0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Isoprenaline</vt:lpstr>
    </vt:vector>
  </TitlesOfParts>
  <Company>Department of Treasury and Finance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Isoprenaline</dc:title>
  <dc:creator>Emma D Gumbleton (DHHS)</dc:creator>
  <cp:lastModifiedBy>Freya L Jones (DHHS)</cp:lastModifiedBy>
  <cp:revision>3</cp:revision>
  <cp:lastPrinted>2018-05-20T09:23:00Z</cp:lastPrinted>
  <dcterms:created xsi:type="dcterms:W3CDTF">2018-12-04T05:56:00Z</dcterms:created>
  <dcterms:modified xsi:type="dcterms:W3CDTF">2018-12-04T05:56:00Z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