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VIC SemiBold" w:hAnsi="VIC SemiBold"/>
          <w:b w:val="0"/>
        </w:rPr>
        <w:alias w:val="Title"/>
        <w:tag w:val=""/>
        <w:id w:val="-1540807229"/>
        <w:placeholder>
          <w:docPart w:val="119698BD7414459DB3B8DE948CE8A2E9"/>
        </w:placeholder>
        <w:dataBinding w:prefixMappings="xmlns:ns0='http://purl.org/dc/elements/1.1/' xmlns:ns1='http://schemas.openxmlformats.org/package/2006/metadata/core-properties' " w:xpath="/ns1:coreProperties[1]/ns0:title[1]" w:storeItemID="{6C3C8BC8-F283-45AE-878A-BAB7291924A1}"/>
        <w:text/>
      </w:sdtPr>
      <w:sdtEndPr/>
      <w:sdtContent>
        <w:p w:rsidR="00A46288" w:rsidRPr="002A797F" w:rsidRDefault="00D1323F" w:rsidP="007A4444">
          <w:pPr>
            <w:pStyle w:val="Title"/>
            <w:rPr>
              <w:rFonts w:ascii="VIC SemiBold" w:hAnsi="VIC SemiBold"/>
              <w:b w:val="0"/>
            </w:rPr>
          </w:pPr>
          <w:r w:rsidRPr="00D1323F">
            <w:rPr>
              <w:rFonts w:ascii="VIC SemiBold" w:hAnsi="VIC SemiBold"/>
              <w:b w:val="0"/>
            </w:rPr>
            <w:t>Metaraminol</w:t>
          </w:r>
        </w:p>
      </w:sdtContent>
    </w:sdt>
    <w:p w:rsidR="00504F75" w:rsidRPr="0096053F" w:rsidRDefault="00504F75" w:rsidP="00504F75">
      <w:pPr>
        <w:pStyle w:val="Heading2"/>
      </w:pPr>
      <w:r w:rsidRPr="0096053F">
        <w:t>Applicable areas</w:t>
      </w:r>
    </w:p>
    <w:p w:rsidR="00504F75" w:rsidRDefault="00504F75" w:rsidP="00504F75">
      <w:pPr>
        <w:pStyle w:val="Heading2"/>
        <w:rPr>
          <w:color w:val="A6A6A6" w:themeColor="background1" w:themeShade="A6"/>
        </w:rPr>
      </w:pPr>
      <w:r w:rsidRPr="005350E0">
        <w:rPr>
          <w:color w:val="A6A6A6" w:themeColor="background1" w:themeShade="A6"/>
        </w:rPr>
        <w:t>This section will be left blank for each hospital to complete in accordance with local practice. Examples: ICU, ED, OR, Ward 2B</w:t>
      </w:r>
    </w:p>
    <w:p w:rsidR="001B3E55" w:rsidRPr="001B3E55" w:rsidRDefault="001B3E55" w:rsidP="001B3E55">
      <w:pPr>
        <w:pStyle w:val="Normalfollowingheading"/>
      </w:pPr>
    </w:p>
    <w:p w:rsidR="00D1323F" w:rsidRPr="00C4312A" w:rsidRDefault="00D1323F" w:rsidP="00D1323F">
      <w:pPr>
        <w:pStyle w:val="Heading2"/>
      </w:pPr>
      <w:r w:rsidRPr="00C4312A">
        <w:t>Mechanism of action/pharmacology</w:t>
      </w:r>
    </w:p>
    <w:p w:rsidR="00D1323F" w:rsidRPr="002C69C2" w:rsidRDefault="00D1323F" w:rsidP="00D1323F">
      <w:pPr>
        <w:pStyle w:val="Normalfollowingheading"/>
      </w:pPr>
      <w:r w:rsidRPr="00971EFD">
        <w:t xml:space="preserve">Metaraminol is a vasoconstrictor that predominantly stimulates </w:t>
      </w:r>
      <w:r w:rsidRPr="00971EFD">
        <w:rPr>
          <w:rFonts w:ascii="Times New Roman" w:hAnsi="Times New Roman" w:cs="Times New Roman"/>
        </w:rPr>
        <w:t>α</w:t>
      </w:r>
      <w:r w:rsidRPr="00971EFD">
        <w:rPr>
          <w:vertAlign w:val="subscript"/>
        </w:rPr>
        <w:t>1</w:t>
      </w:r>
      <w:r>
        <w:t xml:space="preserve"> </w:t>
      </w:r>
      <w:r w:rsidRPr="00971EFD">
        <w:t xml:space="preserve">receptors to cause peripheral vasoconstriction and increase blood pressure. Indirect effects on sympathetic nerve endings cause the release of endogenous noradrenaline, though stores may become depleted during prolonged use </w:t>
      </w:r>
      <w:r>
        <w:t>contributing</w:t>
      </w:r>
      <w:r w:rsidRPr="00971EFD">
        <w:t xml:space="preserve"> to tachyphylaxis. I</w:t>
      </w:r>
      <w:r>
        <w:t>n low doses metaraminol</w:t>
      </w:r>
      <w:r w:rsidRPr="00971EFD">
        <w:t xml:space="preserve"> also has some </w:t>
      </w:r>
      <w:r w:rsidRPr="00971EFD">
        <w:rPr>
          <w:rFonts w:ascii="Times New Roman" w:hAnsi="Times New Roman" w:cs="Times New Roman"/>
        </w:rPr>
        <w:t>β</w:t>
      </w:r>
      <w:r w:rsidRPr="00971EFD">
        <w:rPr>
          <w:vertAlign w:val="subscript"/>
        </w:rPr>
        <w:t>1</w:t>
      </w:r>
      <w:r>
        <w:t xml:space="preserve"> </w:t>
      </w:r>
      <w:r w:rsidRPr="00971EFD">
        <w:t>receptor agonist activity</w:t>
      </w:r>
      <w:r>
        <w:t>, producing a positive inotropic effect on the heart.</w:t>
      </w:r>
      <w:r w:rsidRPr="00317FB9">
        <w:rPr>
          <w:vertAlign w:val="superscript"/>
        </w:rPr>
        <w:t>1</w:t>
      </w:r>
    </w:p>
    <w:p w:rsidR="00D1323F" w:rsidRPr="003E2AEE" w:rsidRDefault="00D1323F" w:rsidP="00D1323F">
      <w:r w:rsidRPr="003E2AEE">
        <w:t>Onset of action:</w:t>
      </w:r>
      <w:r>
        <w:t xml:space="preserve"> 1–2 minutes</w:t>
      </w:r>
      <w:r w:rsidR="006263D5">
        <w:t>.</w:t>
      </w:r>
      <w:r w:rsidRPr="00317FB9">
        <w:rPr>
          <w:vertAlign w:val="superscript"/>
        </w:rPr>
        <w:t>2</w:t>
      </w:r>
    </w:p>
    <w:p w:rsidR="00D1323F" w:rsidRPr="003E2AEE" w:rsidRDefault="00D1323F" w:rsidP="00D1323F">
      <w:r w:rsidRPr="0052504B">
        <w:t>Duration of action: 20</w:t>
      </w:r>
      <w:r>
        <w:t>–</w:t>
      </w:r>
      <w:r w:rsidRPr="0052504B">
        <w:t>60</w:t>
      </w:r>
      <w:r>
        <w:t xml:space="preserve"> minutes</w:t>
      </w:r>
      <w:r w:rsidR="006263D5">
        <w:t>.</w:t>
      </w:r>
      <w:r w:rsidRPr="00317FB9">
        <w:rPr>
          <w:vertAlign w:val="superscript"/>
        </w:rPr>
        <w:t>2</w:t>
      </w:r>
    </w:p>
    <w:p w:rsidR="00D1323F" w:rsidRDefault="00915ADB" w:rsidP="00D1323F">
      <w:r>
        <w:t>Half-life: m</w:t>
      </w:r>
      <w:r w:rsidR="00D1323F">
        <w:t>inutes</w:t>
      </w:r>
      <w:r w:rsidR="006F7E26">
        <w:t>.</w:t>
      </w:r>
    </w:p>
    <w:p w:rsidR="00D1323F" w:rsidRPr="00C4312A" w:rsidRDefault="00D1323F" w:rsidP="00D1323F">
      <w:pPr>
        <w:pStyle w:val="Heading2"/>
      </w:pPr>
      <w:r w:rsidRPr="00C4312A">
        <w:t>Indications</w:t>
      </w:r>
    </w:p>
    <w:p w:rsidR="00D1323F" w:rsidRDefault="00D1323F" w:rsidP="00D1323F">
      <w:pPr>
        <w:pStyle w:val="Normalfollowingheading"/>
      </w:pPr>
      <w:r>
        <w:t xml:space="preserve">Metaraminol is the vasoconstrictor </w:t>
      </w:r>
      <w:r w:rsidRPr="0045571A">
        <w:t>of choice</w:t>
      </w:r>
      <w:r>
        <w:t xml:space="preserve"> for the short-term management of acute hypotension and can be administered by peripheral intravenous catheter. If low blood pressure persists</w:t>
      </w:r>
      <w:r w:rsidRPr="00034C55">
        <w:t xml:space="preserve"> </w:t>
      </w:r>
      <w:r>
        <w:t>despite adequate fluid resuscitation, it is usual practice to switch to a noradrenaline infusion once central access is available.</w:t>
      </w:r>
    </w:p>
    <w:p w:rsidR="00D1323F" w:rsidRPr="00C4312A" w:rsidRDefault="00D1323F" w:rsidP="00D1323F">
      <w:pPr>
        <w:pStyle w:val="Heading2"/>
      </w:pPr>
      <w:r w:rsidRPr="00C4312A">
        <w:t>Precautions</w:t>
      </w:r>
    </w:p>
    <w:p w:rsidR="00D1323F" w:rsidRPr="00337977" w:rsidRDefault="00D1323F" w:rsidP="00D1323F">
      <w:pPr>
        <w:pStyle w:val="Bullet1"/>
      </w:pPr>
      <w:r w:rsidRPr="00897613">
        <w:rPr>
          <w:rStyle w:val="BookTitle"/>
        </w:rPr>
        <w:t>Hypersensitivity</w:t>
      </w:r>
      <w:r w:rsidRPr="00337977">
        <w:t xml:space="preserve"> to metaraminol or </w:t>
      </w:r>
      <w:proofErr w:type="spellStart"/>
      <w:r w:rsidRPr="00337977">
        <w:t>sulfites</w:t>
      </w:r>
      <w:proofErr w:type="spellEnd"/>
      <w:r w:rsidRPr="00337977">
        <w:t xml:space="preserve"> (may contain sodium metabisulfite)</w:t>
      </w:r>
      <w:r w:rsidRPr="00337977">
        <w:rPr>
          <w:vertAlign w:val="superscript"/>
        </w:rPr>
        <w:t>2</w:t>
      </w:r>
    </w:p>
    <w:p w:rsidR="00D1323F" w:rsidRPr="00337977" w:rsidRDefault="00D1323F" w:rsidP="00D1323F">
      <w:pPr>
        <w:pStyle w:val="Bullet1"/>
      </w:pPr>
      <w:r w:rsidRPr="00897613">
        <w:rPr>
          <w:rStyle w:val="BookTitle"/>
        </w:rPr>
        <w:t>Hypotension</w:t>
      </w:r>
      <w:r w:rsidRPr="00337977">
        <w:t xml:space="preserve"> due to uncorrected hypovolaemia</w:t>
      </w:r>
    </w:p>
    <w:p w:rsidR="00D1323F" w:rsidRPr="00337977" w:rsidRDefault="00D1323F" w:rsidP="00D1323F">
      <w:pPr>
        <w:pStyle w:val="Bullet1"/>
      </w:pPr>
      <w:r w:rsidRPr="00897613">
        <w:rPr>
          <w:rStyle w:val="BookTitle"/>
        </w:rPr>
        <w:t>Tachycardia</w:t>
      </w:r>
      <w:r w:rsidRPr="00337977">
        <w:t xml:space="preserve"> or reflex bradycardia</w:t>
      </w:r>
      <w:r w:rsidRPr="00337977">
        <w:rPr>
          <w:vertAlign w:val="superscript"/>
        </w:rPr>
        <w:t>2,3</w:t>
      </w:r>
    </w:p>
    <w:p w:rsidR="00D1323F" w:rsidRPr="00337977" w:rsidRDefault="00D1323F" w:rsidP="00D1323F">
      <w:pPr>
        <w:pStyle w:val="Bullet1"/>
      </w:pPr>
      <w:r w:rsidRPr="00897613">
        <w:rPr>
          <w:rStyle w:val="BookTitle"/>
        </w:rPr>
        <w:t>Cardiac</w:t>
      </w:r>
      <w:r w:rsidRPr="00337977">
        <w:t xml:space="preserve"> arrhythmias</w:t>
      </w:r>
      <w:r w:rsidRPr="00337977">
        <w:rPr>
          <w:vertAlign w:val="superscript"/>
        </w:rPr>
        <w:t>1</w:t>
      </w:r>
    </w:p>
    <w:p w:rsidR="00D1323F" w:rsidRDefault="00D1323F" w:rsidP="00D1323F">
      <w:pPr>
        <w:pStyle w:val="Bullet1"/>
      </w:pPr>
      <w:r w:rsidRPr="00897613">
        <w:rPr>
          <w:rStyle w:val="BookTitle"/>
        </w:rPr>
        <w:t>Excessive</w:t>
      </w:r>
      <w:r w:rsidRPr="00337977">
        <w:t xml:space="preserve"> and prolonged blood pressure elevation – sustained metaraminol use or overly frequent dosing can result in cumulative effects that persist even when therapy is discontinued, due to the long duration of action of the drug</w:t>
      </w:r>
      <w:r w:rsidR="006F7E26">
        <w:t>.</w:t>
      </w:r>
      <w:r w:rsidRPr="00337977">
        <w:rPr>
          <w:vertAlign w:val="superscript"/>
        </w:rPr>
        <w:t>1</w:t>
      </w:r>
      <w:r w:rsidRPr="00337977">
        <w:t xml:space="preserve"> </w:t>
      </w:r>
    </w:p>
    <w:p w:rsidR="00D1323F" w:rsidRPr="00C4312A" w:rsidRDefault="00D1323F" w:rsidP="00D1323F">
      <w:pPr>
        <w:pStyle w:val="Heading2"/>
      </w:pPr>
      <w:r w:rsidRPr="00C4312A">
        <w:t>Medication presentation</w:t>
      </w:r>
    </w:p>
    <w:p w:rsidR="00D1323F" w:rsidRPr="003E2AEE" w:rsidRDefault="00D1323F" w:rsidP="00D1323F">
      <w:pPr>
        <w:pStyle w:val="Normalfollowingheading"/>
      </w:pPr>
      <w:r>
        <w:t>10 mg</w:t>
      </w:r>
      <w:r w:rsidRPr="003E2AEE">
        <w:t>/1mL per vial</w:t>
      </w:r>
      <w:r w:rsidR="006263D5">
        <w:t>.</w:t>
      </w:r>
    </w:p>
    <w:p w:rsidR="00D1323F" w:rsidRPr="00C4312A" w:rsidRDefault="00D1323F" w:rsidP="00D1323F">
      <w:pPr>
        <w:pStyle w:val="Heading2"/>
      </w:pPr>
      <w:r w:rsidRPr="00C4312A">
        <w:t>Medicati</w:t>
      </w:r>
      <w:r w:rsidRPr="00E04F11">
        <w:t>on</w:t>
      </w:r>
      <w:r w:rsidRPr="00C4312A">
        <w:t xml:space="preserve"> storage</w:t>
      </w:r>
    </w:p>
    <w:p w:rsidR="00D1323F" w:rsidRPr="003E2AEE" w:rsidRDefault="00D1323F" w:rsidP="00D1323F">
      <w:pPr>
        <w:pStyle w:val="Normalfollowingheading"/>
        <w:rPr>
          <w:i/>
        </w:rPr>
      </w:pPr>
      <w:r w:rsidRPr="003E2AEE">
        <w:t>Store</w:t>
      </w:r>
      <w:r>
        <w:t xml:space="preserve"> ampoules</w:t>
      </w:r>
      <w:r w:rsidRPr="003E2AEE">
        <w:t xml:space="preserve"> below 25°C. </w:t>
      </w:r>
      <w:r>
        <w:t>Protect from light.</w:t>
      </w:r>
      <w:r w:rsidRPr="00317FB9">
        <w:rPr>
          <w:vertAlign w:val="superscript"/>
        </w:rPr>
        <w:t>4</w:t>
      </w:r>
    </w:p>
    <w:p w:rsidR="00D1323F" w:rsidRDefault="00D1323F" w:rsidP="00D1323F">
      <w:r>
        <w:lastRenderedPageBreak/>
        <w:t>Infusion solutions are stable for up to 24 hours.</w:t>
      </w:r>
      <w:r w:rsidRPr="00317FB9">
        <w:rPr>
          <w:vertAlign w:val="superscript"/>
        </w:rPr>
        <w:t>1</w:t>
      </w:r>
    </w:p>
    <w:p w:rsidR="00D1323F" w:rsidRDefault="00D1323F" w:rsidP="00D1323F">
      <w:pPr>
        <w:pStyle w:val="Heading2"/>
      </w:pPr>
      <w:r w:rsidRPr="00C4312A">
        <w:t xml:space="preserve">Preparation </w:t>
      </w:r>
    </w:p>
    <w:tbl>
      <w:tblPr>
        <w:tblStyle w:val="TableGrid"/>
        <w:tblW w:w="0" w:type="auto"/>
        <w:tblLook w:val="04A0" w:firstRow="1" w:lastRow="0" w:firstColumn="1" w:lastColumn="0" w:noHBand="0" w:noVBand="1"/>
      </w:tblPr>
      <w:tblGrid>
        <w:gridCol w:w="3485"/>
        <w:gridCol w:w="3479"/>
        <w:gridCol w:w="3468"/>
      </w:tblGrid>
      <w:tr w:rsidR="00D1323F" w:rsidRPr="00D1323F" w:rsidTr="00504F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D1323F">
            <w:pPr>
              <w:pStyle w:val="Normalfollowingheading"/>
              <w:rPr>
                <w:sz w:val="18"/>
              </w:rPr>
            </w:pPr>
          </w:p>
        </w:tc>
        <w:tc>
          <w:tcPr>
            <w:tcW w:w="3479" w:type="dxa"/>
          </w:tcPr>
          <w:p w:rsidR="00D1323F" w:rsidRPr="00D1323F" w:rsidRDefault="00D1323F" w:rsidP="00D1323F">
            <w:pPr>
              <w:pStyle w:val="Normalfollowingheading"/>
              <w:cnfStyle w:val="100000000000" w:firstRow="1" w:lastRow="0" w:firstColumn="0" w:lastColumn="0" w:oddVBand="0" w:evenVBand="0" w:oddHBand="0" w:evenHBand="0" w:firstRowFirstColumn="0" w:firstRowLastColumn="0" w:lastRowFirstColumn="0" w:lastRowLastColumn="0"/>
              <w:rPr>
                <w:sz w:val="18"/>
              </w:rPr>
            </w:pPr>
            <w:r w:rsidRPr="00D1323F">
              <w:rPr>
                <w:sz w:val="18"/>
              </w:rPr>
              <w:t>Incremental IV bolus</w:t>
            </w:r>
          </w:p>
        </w:tc>
        <w:tc>
          <w:tcPr>
            <w:tcW w:w="3468" w:type="dxa"/>
          </w:tcPr>
          <w:p w:rsidR="00D1323F" w:rsidRPr="00D1323F" w:rsidRDefault="00D1323F" w:rsidP="00D1323F">
            <w:pPr>
              <w:pStyle w:val="Normalfollowingheading"/>
              <w:cnfStyle w:val="100000000000" w:firstRow="1" w:lastRow="0" w:firstColumn="0" w:lastColumn="0" w:oddVBand="0" w:evenVBand="0" w:oddHBand="0" w:evenHBand="0" w:firstRowFirstColumn="0" w:firstRowLastColumn="0" w:lastRowFirstColumn="0" w:lastRowLastColumn="0"/>
              <w:rPr>
                <w:sz w:val="18"/>
              </w:rPr>
            </w:pPr>
            <w:r w:rsidRPr="00D1323F">
              <w:rPr>
                <w:sz w:val="18"/>
              </w:rPr>
              <w:t>Syringe driver</w:t>
            </w:r>
          </w:p>
        </w:tc>
      </w:tr>
      <w:tr w:rsidR="00D1323F" w:rsidRPr="00D1323F" w:rsidTr="00504F75">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1270F6">
            <w:pPr>
              <w:pStyle w:val="Tabletext"/>
              <w:rPr>
                <w:b w:val="0"/>
                <w:sz w:val="18"/>
              </w:rPr>
            </w:pPr>
            <w:r w:rsidRPr="00D1323F">
              <w:rPr>
                <w:sz w:val="18"/>
              </w:rPr>
              <w:t>Prescribe</w:t>
            </w:r>
          </w:p>
        </w:tc>
        <w:tc>
          <w:tcPr>
            <w:tcW w:w="3479" w:type="dxa"/>
          </w:tcPr>
          <w:p w:rsidR="00D1323F" w:rsidRPr="00D1323F" w:rsidRDefault="00D1323F" w:rsidP="00B17949">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10 mg in 20 mL</w:t>
            </w:r>
          </w:p>
        </w:tc>
        <w:tc>
          <w:tcPr>
            <w:tcW w:w="3468" w:type="dxa"/>
          </w:tcPr>
          <w:p w:rsidR="00D1323F" w:rsidRPr="00D1323F" w:rsidRDefault="00D1323F" w:rsidP="001A55F6">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20mg in 40mL</w:t>
            </w:r>
          </w:p>
        </w:tc>
      </w:tr>
      <w:tr w:rsidR="00D1323F" w:rsidRPr="00D1323F" w:rsidTr="00504F75">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1270F6">
            <w:pPr>
              <w:pStyle w:val="Tabletext"/>
              <w:rPr>
                <w:b w:val="0"/>
                <w:sz w:val="18"/>
              </w:rPr>
            </w:pPr>
            <w:r w:rsidRPr="00D1323F">
              <w:rPr>
                <w:sz w:val="18"/>
              </w:rPr>
              <w:t>Make up infusion in</w:t>
            </w:r>
          </w:p>
        </w:tc>
        <w:tc>
          <w:tcPr>
            <w:tcW w:w="3479" w:type="dxa"/>
          </w:tcPr>
          <w:p w:rsidR="00D1323F" w:rsidRPr="00D1323F" w:rsidRDefault="00D1323F" w:rsidP="00B17949">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Glucose 5%</w:t>
            </w:r>
            <w:r w:rsidR="00504F75">
              <w:rPr>
                <w:sz w:val="18"/>
              </w:rPr>
              <w:t>*</w:t>
            </w:r>
            <w:r w:rsidRPr="00D1323F">
              <w:rPr>
                <w:sz w:val="18"/>
              </w:rPr>
              <w:t xml:space="preserve"> </w:t>
            </w:r>
          </w:p>
        </w:tc>
        <w:tc>
          <w:tcPr>
            <w:tcW w:w="3468" w:type="dxa"/>
          </w:tcPr>
          <w:p w:rsidR="00D1323F" w:rsidRPr="00D1323F" w:rsidRDefault="00504F75" w:rsidP="001A55F6">
            <w:pPr>
              <w:pStyle w:val="Tabletext"/>
              <w:cnfStyle w:val="000000000000" w:firstRow="0" w:lastRow="0" w:firstColumn="0" w:lastColumn="0" w:oddVBand="0" w:evenVBand="0" w:oddHBand="0" w:evenHBand="0" w:firstRowFirstColumn="0" w:firstRowLastColumn="0" w:lastRowFirstColumn="0" w:lastRowLastColumn="0"/>
              <w:rPr>
                <w:sz w:val="18"/>
              </w:rPr>
            </w:pPr>
            <w:r>
              <w:rPr>
                <w:sz w:val="18"/>
              </w:rPr>
              <w:t>Glucose 5%*</w:t>
            </w:r>
          </w:p>
        </w:tc>
      </w:tr>
      <w:tr w:rsidR="00D1323F" w:rsidRPr="00D1323F" w:rsidTr="00504F75">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1270F6">
            <w:pPr>
              <w:pStyle w:val="Tabletext"/>
              <w:rPr>
                <w:b w:val="0"/>
                <w:sz w:val="18"/>
              </w:rPr>
            </w:pPr>
            <w:r w:rsidRPr="00D1323F">
              <w:rPr>
                <w:sz w:val="18"/>
              </w:rPr>
              <w:t>Volume to be drawn up into the syringe</w:t>
            </w:r>
          </w:p>
        </w:tc>
        <w:tc>
          <w:tcPr>
            <w:tcW w:w="3479" w:type="dxa"/>
            <w:vAlign w:val="center"/>
          </w:tcPr>
          <w:p w:rsidR="00D1323F" w:rsidRPr="00D1323F" w:rsidRDefault="00D1323F" w:rsidP="00B17949">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19 mL</w:t>
            </w:r>
          </w:p>
        </w:tc>
        <w:tc>
          <w:tcPr>
            <w:tcW w:w="3468" w:type="dxa"/>
            <w:vAlign w:val="center"/>
          </w:tcPr>
          <w:p w:rsidR="00D1323F" w:rsidRPr="00D1323F" w:rsidRDefault="00D1323F" w:rsidP="001A55F6">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38 mL</w:t>
            </w:r>
          </w:p>
        </w:tc>
      </w:tr>
      <w:tr w:rsidR="00D1323F" w:rsidRPr="00D1323F" w:rsidTr="00504F75">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1270F6">
            <w:pPr>
              <w:pStyle w:val="Tabletext"/>
              <w:rPr>
                <w:b w:val="0"/>
                <w:sz w:val="18"/>
              </w:rPr>
            </w:pPr>
            <w:r w:rsidRPr="00D1323F">
              <w:rPr>
                <w:sz w:val="18"/>
              </w:rPr>
              <w:t>Drug dose to be added</w:t>
            </w:r>
          </w:p>
        </w:tc>
        <w:tc>
          <w:tcPr>
            <w:tcW w:w="3479" w:type="dxa"/>
          </w:tcPr>
          <w:p w:rsidR="00D1323F" w:rsidRPr="00D1323F" w:rsidRDefault="00D1323F" w:rsidP="00B17949">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10 mg (1 mL)</w:t>
            </w:r>
          </w:p>
        </w:tc>
        <w:tc>
          <w:tcPr>
            <w:tcW w:w="3468" w:type="dxa"/>
          </w:tcPr>
          <w:p w:rsidR="00D1323F" w:rsidRPr="00D1323F" w:rsidRDefault="00D1323F" w:rsidP="001A55F6">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20 mg (2 mL)</w:t>
            </w:r>
          </w:p>
        </w:tc>
      </w:tr>
      <w:tr w:rsidR="00D1323F" w:rsidRPr="00D1323F" w:rsidTr="00504F75">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1270F6">
            <w:pPr>
              <w:pStyle w:val="Tabletext"/>
              <w:rPr>
                <w:b w:val="0"/>
                <w:sz w:val="18"/>
              </w:rPr>
            </w:pPr>
            <w:r w:rsidRPr="00D1323F">
              <w:rPr>
                <w:sz w:val="18"/>
              </w:rPr>
              <w:t>Final volume</w:t>
            </w:r>
          </w:p>
        </w:tc>
        <w:tc>
          <w:tcPr>
            <w:tcW w:w="3479" w:type="dxa"/>
          </w:tcPr>
          <w:p w:rsidR="00D1323F" w:rsidRPr="00D1323F" w:rsidRDefault="00D1323F" w:rsidP="00B17949">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20 mL</w:t>
            </w:r>
          </w:p>
        </w:tc>
        <w:tc>
          <w:tcPr>
            <w:tcW w:w="3468" w:type="dxa"/>
          </w:tcPr>
          <w:p w:rsidR="00D1323F" w:rsidRPr="00D1323F" w:rsidRDefault="00D1323F" w:rsidP="001A55F6">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40 mL</w:t>
            </w:r>
          </w:p>
        </w:tc>
      </w:tr>
      <w:tr w:rsidR="00D1323F" w:rsidRPr="00D1323F" w:rsidTr="00504F75">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1270F6">
            <w:pPr>
              <w:pStyle w:val="Tabletext"/>
              <w:rPr>
                <w:b w:val="0"/>
                <w:sz w:val="18"/>
              </w:rPr>
            </w:pPr>
            <w:r w:rsidRPr="00D1323F">
              <w:rPr>
                <w:sz w:val="18"/>
              </w:rPr>
              <w:t>Final concentration</w:t>
            </w:r>
          </w:p>
        </w:tc>
        <w:tc>
          <w:tcPr>
            <w:tcW w:w="3479" w:type="dxa"/>
          </w:tcPr>
          <w:p w:rsidR="00D1323F" w:rsidRPr="00D1323F" w:rsidRDefault="00D1323F" w:rsidP="00B17949">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0.5 mg/mL</w:t>
            </w:r>
          </w:p>
        </w:tc>
        <w:tc>
          <w:tcPr>
            <w:tcW w:w="3468" w:type="dxa"/>
          </w:tcPr>
          <w:p w:rsidR="00D1323F" w:rsidRPr="00D1323F" w:rsidRDefault="00D1323F" w:rsidP="001A55F6">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0.5 mg/mL</w:t>
            </w:r>
          </w:p>
        </w:tc>
      </w:tr>
      <w:tr w:rsidR="00D1323F" w:rsidRPr="00D1323F" w:rsidTr="00504F75">
        <w:tc>
          <w:tcPr>
            <w:cnfStyle w:val="001000000000" w:firstRow="0" w:lastRow="0" w:firstColumn="1" w:lastColumn="0" w:oddVBand="0" w:evenVBand="0" w:oddHBand="0" w:evenHBand="0" w:firstRowFirstColumn="0" w:firstRowLastColumn="0" w:lastRowFirstColumn="0" w:lastRowLastColumn="0"/>
            <w:tcW w:w="3485" w:type="dxa"/>
          </w:tcPr>
          <w:p w:rsidR="00D1323F" w:rsidRPr="00D1323F" w:rsidRDefault="00D1323F" w:rsidP="001270F6">
            <w:pPr>
              <w:pStyle w:val="Tabletext"/>
              <w:rPr>
                <w:b w:val="0"/>
                <w:sz w:val="18"/>
              </w:rPr>
            </w:pPr>
            <w:r w:rsidRPr="00D1323F">
              <w:rPr>
                <w:sz w:val="18"/>
              </w:rPr>
              <w:t>1mL/hr =</w:t>
            </w:r>
          </w:p>
        </w:tc>
        <w:tc>
          <w:tcPr>
            <w:tcW w:w="3479" w:type="dxa"/>
          </w:tcPr>
          <w:p w:rsidR="00D1323F" w:rsidRPr="00D1323F" w:rsidRDefault="00D1323F" w:rsidP="00B17949">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0.5 mg/h</w:t>
            </w:r>
          </w:p>
        </w:tc>
        <w:tc>
          <w:tcPr>
            <w:tcW w:w="3468" w:type="dxa"/>
          </w:tcPr>
          <w:p w:rsidR="00D1323F" w:rsidRPr="00D1323F" w:rsidRDefault="00D1323F" w:rsidP="001A55F6">
            <w:pPr>
              <w:pStyle w:val="Tabletext"/>
              <w:cnfStyle w:val="000000000000" w:firstRow="0" w:lastRow="0" w:firstColumn="0" w:lastColumn="0" w:oddVBand="0" w:evenVBand="0" w:oddHBand="0" w:evenHBand="0" w:firstRowFirstColumn="0" w:firstRowLastColumn="0" w:lastRowFirstColumn="0" w:lastRowLastColumn="0"/>
              <w:rPr>
                <w:sz w:val="18"/>
              </w:rPr>
            </w:pPr>
            <w:r w:rsidRPr="00D1323F">
              <w:rPr>
                <w:sz w:val="18"/>
              </w:rPr>
              <w:t>0.5 mg/hr</w:t>
            </w:r>
          </w:p>
        </w:tc>
      </w:tr>
    </w:tbl>
    <w:p w:rsidR="00504F75" w:rsidRDefault="00504F75" w:rsidP="00504F75">
      <w:r>
        <w:t>*Glucose 5% is preferred for dilution of all inotropes and vasopressors. However, metaraminol is also compatible with sodium chloride 0.9%.</w:t>
      </w:r>
      <w:r w:rsidRPr="00B05657">
        <w:rPr>
          <w:rFonts w:asciiTheme="minorHAnsi" w:hAnsiTheme="minorHAnsi" w:cstheme="minorBidi"/>
          <w:vertAlign w:val="superscript"/>
        </w:rPr>
        <w:t>4</w:t>
      </w:r>
    </w:p>
    <w:p w:rsidR="00D1323F" w:rsidRPr="00CD2DB3" w:rsidRDefault="00D1323F" w:rsidP="00D1323F">
      <w:pPr>
        <w:pStyle w:val="Heading2"/>
      </w:pPr>
      <w:r w:rsidRPr="00CD2DB3">
        <w:t>Administration – this guideline is intended for central access only</w:t>
      </w:r>
    </w:p>
    <w:p w:rsidR="00D1323F" w:rsidRDefault="00D1323F" w:rsidP="00D1323F">
      <w:pPr>
        <w:pStyle w:val="Normalfollowingheading"/>
      </w:pPr>
      <w:r>
        <w:t xml:space="preserve">The intravenous bolus injection is given in small incremental doses. See ‘Dosing’. </w:t>
      </w:r>
      <w:r w:rsidRPr="00337977">
        <w:rPr>
          <w:b/>
        </w:rPr>
        <w:t>Do not bolus entire syringe contents as a single dose.</w:t>
      </w:r>
    </w:p>
    <w:p w:rsidR="00D1323F" w:rsidRPr="00337977" w:rsidRDefault="00D1323F" w:rsidP="00D1323F">
      <w:r w:rsidRPr="00337977">
        <w:t>or</w:t>
      </w:r>
    </w:p>
    <w:p w:rsidR="00D1323F" w:rsidRPr="003E2AEE" w:rsidRDefault="00D1323F" w:rsidP="00D1323F">
      <w:r>
        <w:t>Continuous intravenous infusion via</w:t>
      </w:r>
      <w:r w:rsidRPr="003E2AEE">
        <w:t xml:space="preserve"> a</w:t>
      </w:r>
      <w:r>
        <w:t xml:space="preserve"> large peripheral vein or</w:t>
      </w:r>
      <w:r w:rsidRPr="003E2AEE">
        <w:t xml:space="preserve"> central access line.</w:t>
      </w:r>
      <w:r w:rsidRPr="00317FB9">
        <w:rPr>
          <w:vertAlign w:val="superscript"/>
        </w:rPr>
        <w:t>4</w:t>
      </w:r>
    </w:p>
    <w:p w:rsidR="00D1323F" w:rsidRDefault="00D1323F" w:rsidP="00D1323F">
      <w:r>
        <w:t>If administering via a large peripheral vein, e</w:t>
      </w:r>
      <w:r w:rsidRPr="00217E22">
        <w:t xml:space="preserve">nsure another line is accessible for continuity of infusion if </w:t>
      </w:r>
      <w:r>
        <w:t xml:space="preserve">the primary access site fails. </w:t>
      </w:r>
      <w:r w:rsidRPr="00217E22">
        <w:t>Monitor the access site every time patient observations are recorded</w:t>
      </w:r>
      <w:r>
        <w:t xml:space="preserve"> –</w:t>
      </w:r>
      <w:r w:rsidRPr="00217E22">
        <w:t xml:space="preserve"> at least every 15–30 minutes.</w:t>
      </w:r>
    </w:p>
    <w:p w:rsidR="00D1323F" w:rsidRDefault="00D1323F" w:rsidP="00D1323F">
      <w:r w:rsidRPr="003E2AEE">
        <w:t xml:space="preserve">Infusions should be administered via </w:t>
      </w:r>
      <w:r>
        <w:t xml:space="preserve">a </w:t>
      </w:r>
      <w:r w:rsidRPr="003E2AEE">
        <w:t>syringe driver, preferably with medication e</w:t>
      </w:r>
      <w:r>
        <w:t xml:space="preserve">rror reduction software enabled. </w:t>
      </w:r>
    </w:p>
    <w:p w:rsidR="00D1323F" w:rsidRPr="003E2AEE" w:rsidRDefault="00D1323F" w:rsidP="00D1323F">
      <w:r>
        <w:t>For continuous infusions, a</w:t>
      </w:r>
      <w:r w:rsidRPr="003E2AEE">
        <w:t>void administration in lines where other drugs or flu</w:t>
      </w:r>
      <w:r>
        <w:t xml:space="preserve">ids may be </w:t>
      </w:r>
      <w:proofErr w:type="spellStart"/>
      <w:r>
        <w:t>bolused</w:t>
      </w:r>
      <w:proofErr w:type="spellEnd"/>
      <w:r>
        <w:t xml:space="preserve"> or flushed.</w:t>
      </w:r>
      <w:r w:rsidRPr="008C1302">
        <w:rPr>
          <w:vertAlign w:val="superscript"/>
        </w:rPr>
        <w:t>5</w:t>
      </w:r>
    </w:p>
    <w:p w:rsidR="00D1323F" w:rsidRPr="00C4312A" w:rsidRDefault="00D1323F" w:rsidP="00D1323F">
      <w:pPr>
        <w:pStyle w:val="Heading2"/>
      </w:pPr>
      <w:r w:rsidRPr="00C4312A">
        <w:t>Dosing</w:t>
      </w:r>
    </w:p>
    <w:p w:rsidR="006C0906" w:rsidRPr="00D1323F" w:rsidRDefault="006C0906" w:rsidP="006C0906">
      <w:pPr>
        <w:pStyle w:val="Normalfollowingheading"/>
        <w:rPr>
          <w:b/>
          <w:lang w:val="en-US"/>
        </w:rPr>
      </w:pPr>
      <w:r w:rsidRPr="00D1323F">
        <w:rPr>
          <w:b/>
          <w:lang w:val="en-US"/>
        </w:rPr>
        <w:t>Intravenous bolus injection:</w:t>
      </w:r>
    </w:p>
    <w:p w:rsidR="00D1323F" w:rsidRDefault="00D1323F" w:rsidP="00D1323F">
      <w:r>
        <w:t>0.5 to 1mg (1 to 2mL) every 2–5 minutes as required, via peripheral or central intravenous access.</w:t>
      </w:r>
    </w:p>
    <w:p w:rsidR="00D1323F" w:rsidRDefault="00D1323F" w:rsidP="00D1323F">
      <w:r>
        <w:t>If cumulative doses exceeding 10mg are necessary, consider commencing metaraminol or noradrenaline infusion.</w:t>
      </w:r>
    </w:p>
    <w:p w:rsidR="00D1323F" w:rsidRPr="00897613" w:rsidRDefault="00D1323F" w:rsidP="00D1323F">
      <w:pPr>
        <w:rPr>
          <w:b/>
          <w:lang w:val="en-US"/>
        </w:rPr>
      </w:pPr>
      <w:r w:rsidRPr="00897613">
        <w:rPr>
          <w:b/>
          <w:lang w:val="en-US"/>
        </w:rPr>
        <w:t>Continuous intravenous infusion:</w:t>
      </w:r>
    </w:p>
    <w:p w:rsidR="00D1323F" w:rsidRDefault="0079108B" w:rsidP="00D1323F">
      <w:pPr>
        <w:rPr>
          <w:lang w:val="en-US"/>
        </w:rPr>
      </w:pPr>
      <w:r>
        <w:rPr>
          <w:lang w:val="en-US"/>
        </w:rPr>
        <w:t>0.5 to 10mg/hr</w:t>
      </w:r>
      <w:r w:rsidR="00D16E29">
        <w:rPr>
          <w:lang w:val="en-US"/>
        </w:rPr>
        <w:t>.</w:t>
      </w:r>
    </w:p>
    <w:p w:rsidR="00D1323F" w:rsidRPr="008540E4" w:rsidRDefault="00D1323F" w:rsidP="00D1323F">
      <w:pPr>
        <w:rPr>
          <w:lang w:val="en-US"/>
        </w:rPr>
      </w:pPr>
      <w:r w:rsidRPr="008540E4">
        <w:rPr>
          <w:lang w:val="en-US"/>
        </w:rPr>
        <w:t xml:space="preserve">Titrate in accordance with prescribed blood pressure parameters. </w:t>
      </w:r>
    </w:p>
    <w:p w:rsidR="00D1323F" w:rsidRPr="008540E4" w:rsidRDefault="00D1323F" w:rsidP="00D1323F">
      <w:r w:rsidRPr="008540E4">
        <w:rPr>
          <w:lang w:val="en-US"/>
        </w:rPr>
        <w:lastRenderedPageBreak/>
        <w:t>Evidence to support the safety and efficacy of metaraminol infusions is limited.</w:t>
      </w:r>
      <w:r w:rsidRPr="008C1302">
        <w:rPr>
          <w:vertAlign w:val="superscript"/>
          <w:lang w:val="en-US"/>
        </w:rPr>
        <w:t>6</w:t>
      </w:r>
      <w:r>
        <w:rPr>
          <w:lang w:val="en-US"/>
        </w:rPr>
        <w:t xml:space="preserve"> </w:t>
      </w:r>
      <w:r w:rsidRPr="008540E4">
        <w:rPr>
          <w:lang w:val="en-US"/>
        </w:rPr>
        <w:t>Noradrenaline infusions are preferred if ongoing vasopressor support is anticipated and central intravenous access can be obtained.</w:t>
      </w:r>
      <w:r w:rsidRPr="008540E4">
        <w:t xml:space="preserve"> There is no correlation between metaraminol and nor</w:t>
      </w:r>
      <w:r>
        <w:t>adrenaline</w:t>
      </w:r>
      <w:r w:rsidRPr="008540E4">
        <w:t xml:space="preserve"> dos</w:t>
      </w:r>
      <w:r>
        <w:t>ing requirements.</w:t>
      </w:r>
      <w:r w:rsidRPr="008C1302">
        <w:rPr>
          <w:vertAlign w:val="superscript"/>
        </w:rPr>
        <w:t>7</w:t>
      </w:r>
    </w:p>
    <w:p w:rsidR="00D1323F" w:rsidRPr="00DF10D7" w:rsidRDefault="00D1323F">
      <w:r w:rsidRPr="003E2AEE">
        <w:t xml:space="preserve">Maximum dose: </w:t>
      </w:r>
      <w:r>
        <w:t>up to 0.3mg/kg/hr has been reported in the literature.</w:t>
      </w:r>
      <w:r w:rsidRPr="008C1302">
        <w:rPr>
          <w:vertAlign w:val="superscript"/>
        </w:rPr>
        <w:t>7</w:t>
      </w:r>
    </w:p>
    <w:p w:rsidR="00D1323F" w:rsidRPr="00C4312A" w:rsidRDefault="00D1323F" w:rsidP="00D1323F">
      <w:pPr>
        <w:pStyle w:val="Heading2"/>
      </w:pPr>
      <w:r w:rsidRPr="00C4312A">
        <w:t>Monitoring</w:t>
      </w:r>
    </w:p>
    <w:p w:rsidR="00D1323F" w:rsidRPr="00D562D9" w:rsidRDefault="00D1323F" w:rsidP="00D1323F">
      <w:pPr>
        <w:pStyle w:val="Bullet1"/>
        <w:rPr>
          <w:rStyle w:val="BookTitle"/>
        </w:rPr>
      </w:pPr>
      <w:r w:rsidRPr="00D562D9">
        <w:rPr>
          <w:rStyle w:val="BookTitle"/>
        </w:rPr>
        <w:t>Continuous blood pressure and cardiac monitoring for the duration of the infusion</w:t>
      </w:r>
      <w:r>
        <w:rPr>
          <w:rStyle w:val="BookTitle"/>
          <w:vertAlign w:val="superscript"/>
        </w:rPr>
        <w:t>4</w:t>
      </w:r>
    </w:p>
    <w:p w:rsidR="00D1323F" w:rsidRPr="00897613" w:rsidRDefault="00D1323F" w:rsidP="00D1323F">
      <w:pPr>
        <w:pStyle w:val="Bullet1"/>
        <w:rPr>
          <w:rStyle w:val="BookTitle"/>
        </w:rPr>
      </w:pPr>
      <w:r w:rsidRPr="00897613">
        <w:rPr>
          <w:rStyle w:val="BookTitle"/>
        </w:rPr>
        <w:t>Monitor fluid balance</w:t>
      </w:r>
    </w:p>
    <w:p w:rsidR="00D1323F" w:rsidRDefault="00D1323F" w:rsidP="00D1323F">
      <w:pPr>
        <w:pStyle w:val="Bullet1"/>
        <w:rPr>
          <w:rStyle w:val="BookTitle"/>
        </w:rPr>
      </w:pPr>
      <w:r w:rsidRPr="00897613">
        <w:rPr>
          <w:rStyle w:val="BookTitle"/>
        </w:rPr>
        <w:t>Monitor peripheral vein infusion site for signs of extravasation, which can cause local tissue necrosis</w:t>
      </w:r>
      <w:r w:rsidR="001B3E55">
        <w:rPr>
          <w:rStyle w:val="BookTitle"/>
        </w:rPr>
        <w:t>.</w:t>
      </w:r>
      <w:r w:rsidRPr="00897613">
        <w:rPr>
          <w:rStyle w:val="BookTitle"/>
          <w:vertAlign w:val="superscript"/>
        </w:rPr>
        <w:t xml:space="preserve">4 </w:t>
      </w:r>
    </w:p>
    <w:p w:rsidR="00D1323F" w:rsidRPr="009750B7" w:rsidRDefault="00D1323F" w:rsidP="00D1323F">
      <w:pPr>
        <w:pStyle w:val="Heading2"/>
        <w:rPr>
          <w:rStyle w:val="BookTitle"/>
        </w:rPr>
      </w:pPr>
      <w:r w:rsidRPr="009750B7">
        <w:rPr>
          <w:rStyle w:val="BookTitle"/>
        </w:rPr>
        <w:t>Side effects</w:t>
      </w:r>
    </w:p>
    <w:p w:rsidR="00D1323F" w:rsidRPr="00897613" w:rsidRDefault="00D1323F" w:rsidP="00D1323F">
      <w:pPr>
        <w:pStyle w:val="Bullet1"/>
        <w:rPr>
          <w:rStyle w:val="BookTitle"/>
        </w:rPr>
      </w:pPr>
      <w:r w:rsidRPr="00897613">
        <w:rPr>
          <w:rStyle w:val="BookTitle"/>
        </w:rPr>
        <w:t xml:space="preserve">Bradycardia – as a reflex to the increase in blood pressure </w:t>
      </w:r>
    </w:p>
    <w:p w:rsidR="00D1323F" w:rsidRPr="00D1323F" w:rsidRDefault="00D1323F" w:rsidP="00D1323F">
      <w:pPr>
        <w:pStyle w:val="Bullet1"/>
        <w:rPr>
          <w:sz w:val="22"/>
        </w:rPr>
      </w:pPr>
      <w:r w:rsidRPr="00897613">
        <w:rPr>
          <w:rStyle w:val="BookTitle"/>
        </w:rPr>
        <w:t>Arrhythmias</w:t>
      </w:r>
      <w:r w:rsidR="00DF10D7">
        <w:rPr>
          <w:rStyle w:val="BookTitle"/>
        </w:rPr>
        <w:t>.</w:t>
      </w:r>
      <w:r w:rsidRPr="00897613">
        <w:rPr>
          <w:rStyle w:val="BookTitle"/>
          <w:vertAlign w:val="superscript"/>
        </w:rPr>
        <w:t>2</w:t>
      </w:r>
    </w:p>
    <w:p w:rsidR="00D1323F" w:rsidRPr="00C4312A" w:rsidRDefault="00D1323F" w:rsidP="00D1323F">
      <w:pPr>
        <w:pStyle w:val="Heading2"/>
        <w:rPr>
          <w:lang w:val="en-US"/>
        </w:rPr>
      </w:pPr>
      <w:r w:rsidRPr="00C4312A">
        <w:rPr>
          <w:lang w:val="en-US"/>
        </w:rPr>
        <w:t>Compatibilities</w:t>
      </w:r>
    </w:p>
    <w:p w:rsidR="00D1323F" w:rsidRPr="00C4312A" w:rsidRDefault="00D1323F" w:rsidP="00D1323F">
      <w:pPr>
        <w:pStyle w:val="Normalfollowingheading"/>
        <w:spacing w:after="120"/>
        <w:rPr>
          <w:lang w:val="en-US"/>
        </w:rPr>
      </w:pPr>
      <w:r w:rsidRPr="00C4312A">
        <w:rPr>
          <w:lang w:val="en-US"/>
        </w:rPr>
        <w:t>Consult the following references</w:t>
      </w:r>
      <w:r>
        <w:rPr>
          <w:lang w:val="en-US"/>
        </w:rPr>
        <w:t>,</w:t>
      </w:r>
      <w:r w:rsidRPr="00C4312A">
        <w:rPr>
          <w:lang w:val="en-US"/>
        </w:rPr>
        <w:t xml:space="preserve"> which are available online through </w:t>
      </w:r>
      <w:r w:rsidRPr="009415FF">
        <w:t xml:space="preserve">the </w:t>
      </w:r>
      <w:hyperlink r:id="rId8" w:history="1">
        <w:r w:rsidRPr="009415FF">
          <w:rPr>
            <w:rStyle w:val="Hyperlink"/>
          </w:rPr>
          <w:t>Clinicians Health Channel</w:t>
        </w:r>
      </w:hyperlink>
      <w:r w:rsidRPr="009415FF">
        <w:t>:</w:t>
      </w:r>
    </w:p>
    <w:p w:rsidR="00D1323F" w:rsidRPr="00E371E3" w:rsidRDefault="00D1323F" w:rsidP="00D1323F">
      <w:pPr>
        <w:pStyle w:val="Bullet1"/>
        <w:rPr>
          <w:rStyle w:val="BookTitle"/>
          <w:b/>
        </w:rPr>
      </w:pPr>
      <w:r w:rsidRPr="00E371E3">
        <w:rPr>
          <w:rStyle w:val="BookTitle"/>
        </w:rPr>
        <w:t>Australian injectable drugs handbook</w:t>
      </w:r>
    </w:p>
    <w:p w:rsidR="00D1323F" w:rsidRPr="00D1323F" w:rsidRDefault="00D1323F" w:rsidP="00D1323F">
      <w:pPr>
        <w:pStyle w:val="Bullet1"/>
      </w:pPr>
      <w:proofErr w:type="spellStart"/>
      <w:r w:rsidRPr="00E371E3">
        <w:rPr>
          <w:rStyle w:val="BookTitle"/>
        </w:rPr>
        <w:t>Trissel’s</w:t>
      </w:r>
      <w:proofErr w:type="spellEnd"/>
      <w:r w:rsidRPr="00E371E3">
        <w:rPr>
          <w:rStyle w:val="BookTitle"/>
        </w:rPr>
        <w:t>™ in IV compatibility (Micromedex)</w:t>
      </w:r>
      <w:r w:rsidRPr="009750B7">
        <w:rPr>
          <w:rStyle w:val="BookTitle"/>
        </w:rPr>
        <w:t xml:space="preserve"> – from the site homepage, select the ‘IV Compatibility’ tab</w:t>
      </w:r>
      <w:r w:rsidR="00DF10D7">
        <w:rPr>
          <w:rStyle w:val="BookTitle"/>
        </w:rPr>
        <w:t>.</w:t>
      </w:r>
    </w:p>
    <w:p w:rsidR="00D1323F" w:rsidRPr="008E4F7A" w:rsidRDefault="00D1323F" w:rsidP="00D1323F">
      <w:pPr>
        <w:pStyle w:val="Heading2"/>
        <w:rPr>
          <w:rStyle w:val="BookTitle"/>
          <w:vertAlign w:val="superscript"/>
        </w:rPr>
      </w:pPr>
      <w:r>
        <w:rPr>
          <w:lang w:val="en-US"/>
        </w:rPr>
        <w:t>Important drug interactions</w:t>
      </w:r>
    </w:p>
    <w:p w:rsidR="00D1323F" w:rsidRPr="00D16873" w:rsidRDefault="00D1323F" w:rsidP="00D1323F">
      <w:pPr>
        <w:pStyle w:val="Bullet1"/>
      </w:pPr>
      <w:r w:rsidRPr="001B3E55">
        <w:rPr>
          <w:rStyle w:val="BookTitle"/>
          <w:b/>
        </w:rPr>
        <w:t>Monoamine</w:t>
      </w:r>
      <w:r w:rsidRPr="00472B3E">
        <w:rPr>
          <w:b/>
        </w:rPr>
        <w:t xml:space="preserve"> oxidase inhibitors </w:t>
      </w:r>
      <w:r>
        <w:rPr>
          <w:b/>
        </w:rPr>
        <w:t xml:space="preserve">(MAOIs) </w:t>
      </w:r>
      <w:r w:rsidRPr="00063D18">
        <w:t xml:space="preserve">may </w:t>
      </w:r>
      <w:r w:rsidRPr="00897613">
        <w:rPr>
          <w:rStyle w:val="BookTitle"/>
        </w:rPr>
        <w:t>potentiate</w:t>
      </w:r>
      <w:r w:rsidRPr="00063D18">
        <w:t xml:space="preserve"> the effects of metaraminol. Metaraminol acts in part by causing the release of noradrenaline from sympathetic nerve endings. MAOIs inhibit the metabolism of noradrenaline, resulting in higher noradrenaline levels. Dose metaraminol conservatively.</w:t>
      </w:r>
      <w:r w:rsidRPr="008C1302">
        <w:rPr>
          <w:vertAlign w:val="superscript"/>
        </w:rPr>
        <w:t>2,8</w:t>
      </w:r>
    </w:p>
    <w:p w:rsidR="00D1323F" w:rsidRPr="00D16873" w:rsidRDefault="00D1323F" w:rsidP="00D1323F">
      <w:pPr>
        <w:pStyle w:val="Bullet1"/>
      </w:pPr>
      <w:r w:rsidRPr="00217E22">
        <w:rPr>
          <w:b/>
        </w:rPr>
        <w:t>Tricyclic antidepressants (TCAs)</w:t>
      </w:r>
      <w:r w:rsidRPr="00063D18">
        <w:t xml:space="preserve"> may </w:t>
      </w:r>
      <w:r w:rsidRPr="00897613">
        <w:rPr>
          <w:rStyle w:val="BookTitle"/>
        </w:rPr>
        <w:t>potentiate</w:t>
      </w:r>
      <w:r w:rsidRPr="00063D18">
        <w:t xml:space="preserve"> the effects of metaraminol. Metaraminol acts in part by causing the release of noradrenaline from sympathetic nerve endings. TCAs inhibit the uptake of noradrenaline into adrenergic nerve endings, resulting in higher noradrenaline levels. Dose metaraminol conservatively.</w:t>
      </w:r>
      <w:r w:rsidRPr="008C1302">
        <w:rPr>
          <w:vertAlign w:val="superscript"/>
        </w:rPr>
        <w:t>2,8</w:t>
      </w:r>
    </w:p>
    <w:p w:rsidR="00391F66" w:rsidRPr="004679F6" w:rsidRDefault="00D1323F" w:rsidP="00915ADB">
      <w:pPr>
        <w:pStyle w:val="Bullet1"/>
      </w:pPr>
      <w:r w:rsidRPr="00217E22">
        <w:rPr>
          <w:b/>
        </w:rPr>
        <w:t>Digoxin</w:t>
      </w:r>
      <w:r w:rsidRPr="00E42C57">
        <w:rPr>
          <w:b/>
        </w:rPr>
        <w:t>’s</w:t>
      </w:r>
      <w:r w:rsidRPr="00063D18">
        <w:t xml:space="preserve"> arrhythmogenic effect</w:t>
      </w:r>
      <w:r>
        <w:t>s</w:t>
      </w:r>
      <w:r w:rsidRPr="00063D18">
        <w:t xml:space="preserve"> may be </w:t>
      </w:r>
      <w:r w:rsidRPr="00897613">
        <w:rPr>
          <w:rStyle w:val="BookTitle"/>
        </w:rPr>
        <w:t>enhanced</w:t>
      </w:r>
      <w:r w:rsidRPr="00063D18">
        <w:t xml:space="preserve"> by metaraminol. Monitor digitalised patients for signs of ectopic arrhythmias.</w:t>
      </w:r>
      <w:r w:rsidRPr="008C1302">
        <w:rPr>
          <w:vertAlign w:val="superscript"/>
        </w:rPr>
        <w:t>2,8</w:t>
      </w:r>
    </w:p>
    <w:p w:rsidR="004679F6" w:rsidRPr="004679F6" w:rsidRDefault="004679F6" w:rsidP="004679F6">
      <w:pPr>
        <w:rPr>
          <w:rFonts w:eastAsia="Times New Roman" w:cs="Calibri"/>
        </w:rPr>
      </w:pPr>
      <w:r>
        <w:br w:type="page"/>
      </w:r>
    </w:p>
    <w:p w:rsidR="00D1323F" w:rsidRPr="00C4312A" w:rsidRDefault="00D1323F" w:rsidP="001B3E55">
      <w:pPr>
        <w:pStyle w:val="Heading2"/>
      </w:pPr>
      <w:r w:rsidRPr="00C4312A">
        <w:lastRenderedPageBreak/>
        <w:t>References</w:t>
      </w:r>
    </w:p>
    <w:p w:rsidR="00D1323F" w:rsidRPr="00D1323F" w:rsidRDefault="00D1323F" w:rsidP="00D1323F">
      <w:pPr>
        <w:numPr>
          <w:ilvl w:val="0"/>
          <w:numId w:val="18"/>
        </w:numPr>
        <w:shd w:val="clear" w:color="auto" w:fill="FFFFFF"/>
        <w:spacing w:before="60" w:after="60" w:line="240" w:lineRule="auto"/>
        <w:ind w:left="357" w:hanging="357"/>
        <w:contextualSpacing/>
        <w:rPr>
          <w:iCs/>
          <w:sz w:val="16"/>
          <w:szCs w:val="18"/>
        </w:rPr>
      </w:pPr>
      <w:r w:rsidRPr="00D1323F">
        <w:rPr>
          <w:iCs/>
          <w:sz w:val="16"/>
          <w:szCs w:val="18"/>
        </w:rPr>
        <w:t>Micromedex [online] (accessed 29 October 2017)</w:t>
      </w:r>
    </w:p>
    <w:p w:rsidR="00D1323F" w:rsidRPr="00D1323F" w:rsidRDefault="00D1323F" w:rsidP="00D1323F">
      <w:pPr>
        <w:numPr>
          <w:ilvl w:val="0"/>
          <w:numId w:val="18"/>
        </w:numPr>
        <w:shd w:val="clear" w:color="auto" w:fill="FFFFFF"/>
        <w:spacing w:before="60" w:after="60" w:line="240" w:lineRule="auto"/>
        <w:ind w:left="357" w:hanging="357"/>
        <w:contextualSpacing/>
        <w:rPr>
          <w:iCs/>
          <w:sz w:val="16"/>
          <w:szCs w:val="18"/>
        </w:rPr>
      </w:pPr>
      <w:r w:rsidRPr="00D1323F">
        <w:rPr>
          <w:iCs/>
          <w:sz w:val="16"/>
          <w:szCs w:val="18"/>
        </w:rPr>
        <w:t>MIMS [online] (accessed 5 September 2017)</w:t>
      </w:r>
    </w:p>
    <w:p w:rsidR="00D1323F" w:rsidRPr="00D1323F" w:rsidRDefault="00D1323F" w:rsidP="00D1323F">
      <w:pPr>
        <w:pStyle w:val="References"/>
        <w:rPr>
          <w:rFonts w:ascii="VIC" w:hAnsi="VIC"/>
          <w:sz w:val="16"/>
        </w:rPr>
      </w:pPr>
      <w:r w:rsidRPr="00D1323F">
        <w:rPr>
          <w:rFonts w:ascii="VIC" w:hAnsi="VIC"/>
          <w:sz w:val="16"/>
        </w:rPr>
        <w:t xml:space="preserve">Bangash MN, Long ML, </w:t>
      </w:r>
      <w:proofErr w:type="spellStart"/>
      <w:r w:rsidRPr="00D1323F">
        <w:rPr>
          <w:rFonts w:ascii="VIC" w:hAnsi="VIC"/>
          <w:sz w:val="16"/>
        </w:rPr>
        <w:t>Peasrse</w:t>
      </w:r>
      <w:proofErr w:type="spellEnd"/>
      <w:r w:rsidRPr="00D1323F">
        <w:rPr>
          <w:rFonts w:ascii="VIC" w:hAnsi="VIC"/>
          <w:sz w:val="16"/>
        </w:rPr>
        <w:t xml:space="preserve"> RM. Use of inotropes and vasopressor agents in critically ill patients. British Journal of Pharmacology 2012; 165:2015–2033</w:t>
      </w:r>
    </w:p>
    <w:p w:rsidR="00D1323F" w:rsidRPr="00D1323F" w:rsidRDefault="00D1323F" w:rsidP="00D1323F">
      <w:pPr>
        <w:numPr>
          <w:ilvl w:val="0"/>
          <w:numId w:val="18"/>
        </w:numPr>
        <w:shd w:val="clear" w:color="auto" w:fill="FFFFFF"/>
        <w:spacing w:before="60" w:after="60" w:line="240" w:lineRule="auto"/>
        <w:ind w:left="357" w:hanging="357"/>
        <w:contextualSpacing/>
        <w:rPr>
          <w:iCs/>
          <w:sz w:val="16"/>
          <w:szCs w:val="18"/>
        </w:rPr>
      </w:pPr>
      <w:r w:rsidRPr="00D1323F">
        <w:rPr>
          <w:sz w:val="16"/>
          <w:szCs w:val="18"/>
        </w:rPr>
        <w:t>Australian injectable drugs handbook (AIDH) [online] (accessed 24 September 2017)</w:t>
      </w:r>
    </w:p>
    <w:p w:rsidR="00D1323F" w:rsidRPr="00D1323F" w:rsidRDefault="00D1323F" w:rsidP="00D1323F">
      <w:pPr>
        <w:numPr>
          <w:ilvl w:val="0"/>
          <w:numId w:val="18"/>
        </w:numPr>
        <w:shd w:val="clear" w:color="auto" w:fill="FFFFFF"/>
        <w:spacing w:before="60" w:after="60" w:line="240" w:lineRule="auto"/>
        <w:ind w:left="357" w:hanging="357"/>
        <w:contextualSpacing/>
        <w:rPr>
          <w:iCs/>
          <w:sz w:val="16"/>
          <w:szCs w:val="18"/>
        </w:rPr>
      </w:pPr>
      <w:r w:rsidRPr="00D1323F">
        <w:rPr>
          <w:sz w:val="16"/>
          <w:szCs w:val="18"/>
        </w:rPr>
        <w:t xml:space="preserve">University College London Hospitals (UCL). UCL hospitals injectable medicines administration guide: pharmacy department, 3rd </w:t>
      </w:r>
      <w:proofErr w:type="spellStart"/>
      <w:r w:rsidRPr="00D1323F">
        <w:rPr>
          <w:sz w:val="16"/>
          <w:szCs w:val="18"/>
        </w:rPr>
        <w:t>edn</w:t>
      </w:r>
      <w:proofErr w:type="spellEnd"/>
      <w:r w:rsidRPr="00D1323F">
        <w:rPr>
          <w:sz w:val="16"/>
          <w:szCs w:val="18"/>
        </w:rPr>
        <w:t>. Wiley-Blackwell, Chichester, 2013</w:t>
      </w:r>
    </w:p>
    <w:p w:rsidR="00D1323F" w:rsidRPr="00D1323F" w:rsidRDefault="00D1323F" w:rsidP="00D1323F">
      <w:pPr>
        <w:numPr>
          <w:ilvl w:val="0"/>
          <w:numId w:val="18"/>
        </w:numPr>
        <w:shd w:val="clear" w:color="auto" w:fill="FFFFFF"/>
        <w:spacing w:before="60" w:after="60" w:line="240" w:lineRule="auto"/>
        <w:ind w:left="357" w:hanging="357"/>
        <w:contextualSpacing/>
        <w:rPr>
          <w:iCs/>
          <w:sz w:val="16"/>
          <w:szCs w:val="18"/>
        </w:rPr>
      </w:pPr>
      <w:r w:rsidRPr="00D1323F">
        <w:rPr>
          <w:iCs/>
          <w:sz w:val="16"/>
          <w:szCs w:val="18"/>
        </w:rPr>
        <w:t xml:space="preserve">Anderson K, </w:t>
      </w:r>
      <w:proofErr w:type="spellStart"/>
      <w:r w:rsidRPr="00D1323F">
        <w:rPr>
          <w:iCs/>
          <w:sz w:val="16"/>
          <w:szCs w:val="18"/>
        </w:rPr>
        <w:t>Chatha</w:t>
      </w:r>
      <w:proofErr w:type="spellEnd"/>
      <w:r w:rsidRPr="00D1323F">
        <w:rPr>
          <w:iCs/>
          <w:sz w:val="16"/>
          <w:szCs w:val="18"/>
        </w:rPr>
        <w:t xml:space="preserve"> H. BET 3: Peripheral metaraminol infusion in the emergency department. Emergency Medicine Journal 2017; 34(3):190–192</w:t>
      </w:r>
    </w:p>
    <w:p w:rsidR="00D1323F" w:rsidRPr="00D1323F" w:rsidRDefault="00D1323F" w:rsidP="00D1323F">
      <w:pPr>
        <w:numPr>
          <w:ilvl w:val="0"/>
          <w:numId w:val="18"/>
        </w:numPr>
        <w:shd w:val="clear" w:color="auto" w:fill="FFFFFF"/>
        <w:spacing w:before="60" w:after="60" w:line="240" w:lineRule="auto"/>
        <w:ind w:left="357" w:hanging="357"/>
        <w:contextualSpacing/>
        <w:rPr>
          <w:sz w:val="16"/>
          <w:szCs w:val="18"/>
        </w:rPr>
      </w:pPr>
      <w:proofErr w:type="spellStart"/>
      <w:r w:rsidRPr="00D1323F">
        <w:rPr>
          <w:iCs/>
          <w:sz w:val="16"/>
          <w:szCs w:val="18"/>
        </w:rPr>
        <w:t>Natalini</w:t>
      </w:r>
      <w:proofErr w:type="spellEnd"/>
      <w:r w:rsidRPr="00D1323F">
        <w:rPr>
          <w:iCs/>
          <w:sz w:val="16"/>
          <w:szCs w:val="18"/>
        </w:rPr>
        <w:t xml:space="preserve"> G, </w:t>
      </w:r>
      <w:proofErr w:type="spellStart"/>
      <w:r w:rsidRPr="00D1323F">
        <w:rPr>
          <w:iCs/>
          <w:sz w:val="16"/>
          <w:szCs w:val="18"/>
        </w:rPr>
        <w:t>Schivalocchi</w:t>
      </w:r>
      <w:proofErr w:type="spellEnd"/>
      <w:r w:rsidRPr="00D1323F">
        <w:rPr>
          <w:iCs/>
          <w:sz w:val="16"/>
          <w:szCs w:val="18"/>
        </w:rPr>
        <w:t xml:space="preserve"> V, </w:t>
      </w:r>
      <w:proofErr w:type="spellStart"/>
      <w:r w:rsidRPr="00D1323F">
        <w:rPr>
          <w:iCs/>
          <w:sz w:val="16"/>
          <w:szCs w:val="18"/>
        </w:rPr>
        <w:t>Rosano</w:t>
      </w:r>
      <w:proofErr w:type="spellEnd"/>
      <w:r w:rsidRPr="00D1323F">
        <w:rPr>
          <w:iCs/>
          <w:sz w:val="16"/>
          <w:szCs w:val="18"/>
        </w:rPr>
        <w:t xml:space="preserve"> A, et al.</w:t>
      </w:r>
      <w:r w:rsidRPr="00D1323F">
        <w:rPr>
          <w:sz w:val="16"/>
          <w:szCs w:val="18"/>
        </w:rPr>
        <w:t xml:space="preserve"> Norepinephrine and</w:t>
      </w:r>
      <w:r w:rsidRPr="00D1323F">
        <w:rPr>
          <w:rFonts w:ascii="Times New Roman" w:hAnsi="Times New Roman" w:cs="Times New Roman"/>
          <w:sz w:val="16"/>
          <w:szCs w:val="18"/>
        </w:rPr>
        <w:t> </w:t>
      </w:r>
      <w:r w:rsidRPr="00D1323F">
        <w:rPr>
          <w:sz w:val="16"/>
          <w:szCs w:val="18"/>
        </w:rPr>
        <w:t>metaraminol</w:t>
      </w:r>
      <w:r w:rsidRPr="00D1323F">
        <w:rPr>
          <w:rFonts w:ascii="Times New Roman" w:hAnsi="Times New Roman" w:cs="Times New Roman"/>
          <w:sz w:val="16"/>
          <w:szCs w:val="18"/>
        </w:rPr>
        <w:t> </w:t>
      </w:r>
      <w:r w:rsidRPr="00D1323F">
        <w:rPr>
          <w:sz w:val="16"/>
          <w:szCs w:val="18"/>
        </w:rPr>
        <w:t>in septic shock: a comparison of the hemodynamic effects. Intensive Care Medicine 2005; 31(5):634</w:t>
      </w:r>
      <w:r w:rsidRPr="00D1323F">
        <w:rPr>
          <w:rFonts w:cs="VIC"/>
          <w:sz w:val="16"/>
          <w:szCs w:val="18"/>
        </w:rPr>
        <w:t>–</w:t>
      </w:r>
      <w:r w:rsidRPr="00D1323F">
        <w:rPr>
          <w:sz w:val="16"/>
          <w:szCs w:val="18"/>
        </w:rPr>
        <w:t>637</w:t>
      </w:r>
    </w:p>
    <w:tbl>
      <w:tblPr>
        <w:tblStyle w:val="SCVInformationTable"/>
        <w:tblpPr w:leftFromText="181" w:rightFromText="181" w:vertAnchor="page" w:horzAnchor="margin" w:tblpY="13814"/>
        <w:tblW w:w="10603" w:type="dxa"/>
        <w:shd w:val="clear" w:color="auto" w:fill="F2F2F3"/>
        <w:tblLook w:val="0600" w:firstRow="0" w:lastRow="0" w:firstColumn="0" w:lastColumn="0" w:noHBand="1" w:noVBand="1"/>
      </w:tblPr>
      <w:tblGrid>
        <w:gridCol w:w="3955"/>
        <w:gridCol w:w="3955"/>
        <w:gridCol w:w="2693"/>
      </w:tblGrid>
      <w:tr w:rsidR="00DF10D7" w:rsidRPr="00736C0C" w:rsidTr="00DF10D7">
        <w:trPr>
          <w:trHeight w:val="1531"/>
        </w:trPr>
        <w:tc>
          <w:tcPr>
            <w:tcW w:w="3955" w:type="dxa"/>
            <w:tcMar>
              <w:left w:w="113" w:type="dxa"/>
            </w:tcMar>
          </w:tcPr>
          <w:p w:rsidR="00DF10D7" w:rsidRPr="00736C0C" w:rsidRDefault="00DF10D7" w:rsidP="00DF10D7">
            <w:pPr>
              <w:spacing w:line="235" w:lineRule="auto"/>
            </w:pPr>
            <w:r w:rsidRPr="00292213">
              <w:rPr>
                <w:sz w:val="24"/>
              </w:rPr>
              <w:t xml:space="preserve">To receive this publication in </w:t>
            </w:r>
            <w:r w:rsidRPr="00292213">
              <w:rPr>
                <w:sz w:val="24"/>
              </w:rPr>
              <w:br/>
              <w:t xml:space="preserve">an accessible format phone </w:t>
            </w:r>
            <w:r>
              <w:rPr>
                <w:sz w:val="24"/>
              </w:rPr>
              <w:t>9096 1384</w:t>
            </w:r>
            <w:r w:rsidRPr="00292213">
              <w:rPr>
                <w:sz w:val="24"/>
              </w:rPr>
              <w:t xml:space="preserve">, using the National Relay Service 13 36 77 if required, or email </w:t>
            </w:r>
            <w:r w:rsidRPr="00292213">
              <w:rPr>
                <w:b/>
                <w:sz w:val="24"/>
              </w:rPr>
              <w:t>info@safercare.vic.gov.au</w:t>
            </w:r>
          </w:p>
        </w:tc>
        <w:tc>
          <w:tcPr>
            <w:tcW w:w="3955" w:type="dxa"/>
          </w:tcPr>
          <w:p w:rsidR="00DF10D7" w:rsidRDefault="00DF10D7" w:rsidP="00DF10D7">
            <w:pPr>
              <w:spacing w:line="230" w:lineRule="auto"/>
              <w:rPr>
                <w:sz w:val="13"/>
                <w:szCs w:val="13"/>
              </w:rPr>
            </w:pPr>
            <w:r w:rsidRPr="00292213">
              <w:rPr>
                <w:sz w:val="13"/>
                <w:szCs w:val="13"/>
              </w:rPr>
              <w:t>Printed copies of this document may not be the most recent version.</w:t>
            </w:r>
          </w:p>
          <w:p w:rsidR="00DF10D7" w:rsidRPr="007A4444" w:rsidRDefault="00DF10D7" w:rsidP="00DF10D7">
            <w:pPr>
              <w:spacing w:line="230" w:lineRule="auto"/>
              <w:rPr>
                <w:sz w:val="13"/>
                <w:szCs w:val="13"/>
              </w:rPr>
            </w:pPr>
            <w:r w:rsidRPr="007A4444">
              <w:rPr>
                <w:sz w:val="13"/>
                <w:szCs w:val="13"/>
              </w:rPr>
              <w:t>Authorised and published by the Victorian Government, 1 Treasury Place, Melbourne.</w:t>
            </w:r>
          </w:p>
          <w:p w:rsidR="00DF10D7" w:rsidRDefault="00DF10D7" w:rsidP="00DF10D7">
            <w:pPr>
              <w:spacing w:line="230" w:lineRule="auto"/>
              <w:rPr>
                <w:sz w:val="13"/>
                <w:szCs w:val="13"/>
              </w:rPr>
            </w:pPr>
            <w:r w:rsidRPr="007A4444">
              <w:rPr>
                <w:sz w:val="13"/>
                <w:szCs w:val="13"/>
              </w:rPr>
              <w:t xml:space="preserve">© State of Victoria, Australia, Safer Care Victoria, </w:t>
            </w:r>
            <w:r>
              <w:rPr>
                <w:sz w:val="13"/>
                <w:szCs w:val="13"/>
              </w:rPr>
              <w:t xml:space="preserve">December </w:t>
            </w:r>
            <w:r w:rsidRPr="007A4444">
              <w:rPr>
                <w:sz w:val="13"/>
                <w:szCs w:val="13"/>
              </w:rPr>
              <w:t xml:space="preserve">2018 </w:t>
            </w:r>
          </w:p>
          <w:p w:rsidR="00DF10D7" w:rsidRPr="007A4444" w:rsidRDefault="00DF10D7" w:rsidP="00DF10D7">
            <w:pPr>
              <w:spacing w:line="230" w:lineRule="auto"/>
              <w:rPr>
                <w:sz w:val="13"/>
                <w:szCs w:val="13"/>
              </w:rPr>
            </w:pPr>
            <w:r w:rsidRPr="007A4444">
              <w:rPr>
                <w:sz w:val="13"/>
                <w:szCs w:val="13"/>
              </w:rPr>
              <w:t>ISBN</w:t>
            </w:r>
            <w:r>
              <w:rPr>
                <w:sz w:val="13"/>
                <w:szCs w:val="13"/>
              </w:rPr>
              <w:t xml:space="preserve"> </w:t>
            </w:r>
            <w:r w:rsidR="00915ADB" w:rsidRPr="00915ADB">
              <w:rPr>
                <w:rFonts w:cs="Arial"/>
                <w:sz w:val="12"/>
              </w:rPr>
              <w:t>978-1-76069-719-8</w:t>
            </w:r>
            <w:r w:rsidR="00915ADB" w:rsidRPr="00915ADB">
              <w:rPr>
                <w:rFonts w:cs="Arial"/>
                <w:b/>
                <w:bCs/>
                <w:sz w:val="12"/>
              </w:rPr>
              <w:t xml:space="preserve"> </w:t>
            </w:r>
            <w:r w:rsidRPr="007A4444">
              <w:rPr>
                <w:sz w:val="13"/>
                <w:szCs w:val="13"/>
              </w:rPr>
              <w:t>(online/print)</w:t>
            </w:r>
          </w:p>
          <w:p w:rsidR="00DF10D7" w:rsidRDefault="00DF10D7" w:rsidP="00DF10D7">
            <w:pPr>
              <w:spacing w:line="230" w:lineRule="auto"/>
              <w:rPr>
                <w:sz w:val="13"/>
                <w:szCs w:val="13"/>
              </w:rPr>
            </w:pPr>
            <w:r w:rsidRPr="007A4444">
              <w:rPr>
                <w:sz w:val="13"/>
                <w:szCs w:val="13"/>
              </w:rPr>
              <w:t xml:space="preserve">Available at </w:t>
            </w:r>
            <w:hyperlink r:id="rId9" w:history="1">
              <w:r w:rsidRPr="002C713F">
                <w:rPr>
                  <w:rStyle w:val="Hyperlink"/>
                  <w:sz w:val="13"/>
                  <w:szCs w:val="13"/>
                </w:rPr>
                <w:t>www.safercare.vic.gov.au</w:t>
              </w:r>
            </w:hyperlink>
          </w:p>
          <w:p w:rsidR="00DF10D7" w:rsidRPr="007A4444" w:rsidRDefault="00DF10D7" w:rsidP="00DF10D7">
            <w:pPr>
              <w:spacing w:line="230" w:lineRule="auto"/>
              <w:rPr>
                <w:sz w:val="13"/>
                <w:szCs w:val="13"/>
              </w:rPr>
            </w:pPr>
            <w:r>
              <w:rPr>
                <w:sz w:val="13"/>
                <w:szCs w:val="13"/>
              </w:rPr>
              <w:t>Email criticalcare.clinicalnetwork@safercare.vic.gov.au</w:t>
            </w:r>
          </w:p>
        </w:tc>
        <w:tc>
          <w:tcPr>
            <w:tcW w:w="2693" w:type="dxa"/>
          </w:tcPr>
          <w:p w:rsidR="00DF10D7" w:rsidRPr="00736C0C" w:rsidRDefault="00DF10D7" w:rsidP="00DF10D7">
            <w:pPr>
              <w:rPr>
                <w:szCs w:val="15"/>
              </w:rPr>
            </w:pPr>
            <w:r>
              <w:rPr>
                <w:noProof/>
                <w:szCs w:val="15"/>
              </w:rPr>
              <w:drawing>
                <wp:inline distT="0" distB="0" distL="0" distR="0" wp14:anchorId="3F840500" wp14:editId="46C0AD16">
                  <wp:extent cx="972000" cy="558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tc>
      </w:tr>
    </w:tbl>
    <w:p w:rsidR="007A4444" w:rsidRPr="00DF10D7" w:rsidRDefault="00D1323F" w:rsidP="00D1323F">
      <w:pPr>
        <w:pStyle w:val="ListParagraph"/>
        <w:numPr>
          <w:ilvl w:val="0"/>
          <w:numId w:val="18"/>
        </w:numPr>
        <w:spacing w:before="60" w:after="60" w:line="240" w:lineRule="auto"/>
        <w:ind w:left="357" w:hanging="357"/>
        <w:rPr>
          <w:sz w:val="16"/>
          <w:szCs w:val="18"/>
        </w:rPr>
        <w:sectPr w:rsidR="007A4444" w:rsidRPr="00DF10D7" w:rsidSect="000905F7">
          <w:headerReference w:type="first" r:id="rId11"/>
          <w:pgSz w:w="11906" w:h="16838" w:code="9"/>
          <w:pgMar w:top="2438" w:right="737" w:bottom="680" w:left="737" w:header="539" w:footer="624" w:gutter="0"/>
          <w:cols w:space="284"/>
          <w:titlePg/>
          <w:docGrid w:linePitch="360"/>
        </w:sectPr>
      </w:pPr>
      <w:r w:rsidRPr="00D1323F">
        <w:rPr>
          <w:sz w:val="16"/>
          <w:szCs w:val="18"/>
        </w:rPr>
        <w:t>Lexicomp [online] (accessed 17 Oc</w:t>
      </w:r>
      <w:r w:rsidR="00915ADB">
        <w:rPr>
          <w:sz w:val="16"/>
          <w:szCs w:val="18"/>
        </w:rPr>
        <w:t>tober 2018</w:t>
      </w:r>
    </w:p>
    <w:p w:rsidR="00897157" w:rsidRDefault="00897157" w:rsidP="00915ADB">
      <w:pPr>
        <w:spacing w:before="0" w:after="0" w:line="240" w:lineRule="auto"/>
        <w:rPr>
          <w:sz w:val="10"/>
          <w:szCs w:val="16"/>
        </w:rPr>
      </w:pPr>
    </w:p>
    <w:p w:rsidR="001B3E55" w:rsidRDefault="001B3E55" w:rsidP="001B3E55">
      <w:pPr>
        <w:pStyle w:val="Heading2"/>
        <w:sectPr w:rsidR="001B3E55" w:rsidSect="000905F7">
          <w:type w:val="continuous"/>
          <w:pgSz w:w="11906" w:h="16838" w:code="9"/>
          <w:pgMar w:top="2438" w:right="737" w:bottom="680" w:left="737" w:header="539" w:footer="624" w:gutter="0"/>
          <w:cols w:num="2" w:space="284"/>
          <w:docGrid w:linePitch="360"/>
        </w:sectPr>
      </w:pPr>
    </w:p>
    <w:p w:rsidR="001B3E55" w:rsidRDefault="001B3E55" w:rsidP="001B3E55">
      <w:pPr>
        <w:pStyle w:val="Heading2"/>
      </w:pPr>
      <w:r>
        <w:t>Acknowledgements</w:t>
      </w:r>
    </w:p>
    <w:p w:rsidR="001B3E55" w:rsidRPr="001B3E55" w:rsidRDefault="001B3E55" w:rsidP="001B3E55">
      <w:r w:rsidRPr="001B3E55">
        <w:t xml:space="preserve">We would like to thank the pharmacists involved in writing the guidelines: Melissa </w:t>
      </w:r>
      <w:proofErr w:type="spellStart"/>
      <w:r w:rsidRPr="001B3E55">
        <w:t>Ankravs</w:t>
      </w:r>
      <w:proofErr w:type="spellEnd"/>
      <w:r w:rsidRPr="001B3E55">
        <w:t>, Melanie</w:t>
      </w:r>
      <w:r w:rsidRPr="001B3E55">
        <w:br/>
        <w:t>Kowalski, Ra</w:t>
      </w:r>
      <w:bookmarkStart w:id="0" w:name="_GoBack"/>
      <w:bookmarkEnd w:id="0"/>
      <w:r w:rsidRPr="001B3E55">
        <w:t xml:space="preserve">chel Fyfe, Robyn Ingram, </w:t>
      </w:r>
      <w:proofErr w:type="spellStart"/>
      <w:r w:rsidRPr="001B3E55">
        <w:t>Annalie</w:t>
      </w:r>
      <w:proofErr w:type="spellEnd"/>
      <w:r w:rsidRPr="001B3E55">
        <w:t xml:space="preserve"> Jones, Susan </w:t>
      </w:r>
      <w:proofErr w:type="spellStart"/>
      <w:r w:rsidRPr="001B3E55">
        <w:t>Trevillian</w:t>
      </w:r>
      <w:proofErr w:type="spellEnd"/>
      <w:r w:rsidRPr="001B3E55">
        <w:t>, and Lucy Sharrock.</w:t>
      </w:r>
    </w:p>
    <w:sectPr w:rsidR="001B3E55" w:rsidRPr="001B3E55" w:rsidSect="001B3E55">
      <w:type w:val="continuous"/>
      <w:pgSz w:w="11906" w:h="16838" w:code="9"/>
      <w:pgMar w:top="2438" w:right="737" w:bottom="680" w:left="737" w:header="539" w:footer="62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FA1" w:rsidRDefault="00DB0FA1" w:rsidP="002A797F">
      <w:r>
        <w:separator/>
      </w:r>
    </w:p>
  </w:endnote>
  <w:endnote w:type="continuationSeparator" w:id="0">
    <w:p w:rsidR="00DB0FA1" w:rsidRDefault="00DB0FA1" w:rsidP="002A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swiss"/>
    <w:pitch w:val="variable"/>
    <w:sig w:usb0="00000001"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FA1" w:rsidRDefault="00DB0FA1" w:rsidP="002A797F"/>
  </w:footnote>
  <w:footnote w:type="continuationSeparator" w:id="0">
    <w:p w:rsidR="00DB0FA1" w:rsidRDefault="00DB0FA1" w:rsidP="002A79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5F7" w:rsidRDefault="000905F7" w:rsidP="002A797F">
    <w:pPr>
      <w:pStyle w:val="Header"/>
    </w:pPr>
    <w:r>
      <w:rPr>
        <w:noProof/>
      </w:rPr>
      <w:drawing>
        <wp:anchor distT="0" distB="0" distL="114300" distR="114300" simplePos="0" relativeHeight="251662336" behindDoc="1" locked="0" layoutInCell="1" allowOverlap="1" wp14:anchorId="308BF70A" wp14:editId="0490F5C1">
          <wp:simplePos x="0" y="0"/>
          <wp:positionH relativeFrom="page">
            <wp:posOffset>0</wp:posOffset>
          </wp:positionH>
          <wp:positionV relativeFrom="page">
            <wp:posOffset>0</wp:posOffset>
          </wp:positionV>
          <wp:extent cx="1522800" cy="12060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2800" cy="12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30B4"/>
    <w:multiLevelType w:val="multilevel"/>
    <w:tmpl w:val="C58AD904"/>
    <w:lvl w:ilvl="0">
      <w:start w:val="1"/>
      <w:numFmt w:val="decimal"/>
      <w:pStyle w:val="References"/>
      <w:lvlText w:val="%1."/>
      <w:lvlJc w:val="left"/>
      <w:pPr>
        <w:tabs>
          <w:tab w:val="num" w:pos="720"/>
        </w:tabs>
        <w:ind w:left="720" w:hanging="360"/>
      </w:pPr>
      <w:rPr>
        <w:rFonts w:asciiTheme="minorHAnsi" w:eastAsiaTheme="minorEastAsia" w:hAnsiTheme="minorHAnsi" w:cstheme="minorBidi"/>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3F10791"/>
    <w:multiLevelType w:val="hybridMultilevel"/>
    <w:tmpl w:val="16AC4B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341E0ED3"/>
    <w:multiLevelType w:val="hybridMultilevel"/>
    <w:tmpl w:val="E3C8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7C700BF"/>
    <w:multiLevelType w:val="hybridMultilevel"/>
    <w:tmpl w:val="9918C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6" w15:restartNumberingAfterBreak="0">
    <w:nsid w:val="393A12AA"/>
    <w:multiLevelType w:val="multilevel"/>
    <w:tmpl w:val="3DBE2574"/>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7" w15:restartNumberingAfterBreak="0">
    <w:nsid w:val="43BF2BD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6D3A6A"/>
    <w:multiLevelType w:val="multilevel"/>
    <w:tmpl w:val="F58A407A"/>
    <w:lvl w:ilvl="0">
      <w:start w:val="1"/>
      <w:numFmt w:val="bullet"/>
      <w:lvlText w:val=""/>
      <w:lvlJc w:val="left"/>
      <w:pPr>
        <w:tabs>
          <w:tab w:val="num" w:pos="360"/>
        </w:tabs>
        <w:ind w:left="360" w:hanging="360"/>
      </w:pPr>
      <w:rPr>
        <w:rFonts w:ascii="Symbol" w:hAnsi="Symbol" w:hint="default"/>
        <w:b w:val="0"/>
        <w:i w:val="0"/>
        <w:vanish w:val="0"/>
        <w:color w:val="auto"/>
        <w:sz w:val="22"/>
      </w:rPr>
    </w:lvl>
    <w:lvl w:ilvl="1">
      <w:start w:val="1"/>
      <w:numFmt w:val="bullet"/>
      <w:lvlText w:val="–"/>
      <w:lvlJc w:val="left"/>
      <w:pPr>
        <w:tabs>
          <w:tab w:val="num" w:pos="720"/>
        </w:tabs>
        <w:ind w:left="720" w:hanging="360"/>
      </w:pPr>
      <w:rPr>
        <w:rFonts w:ascii="Calibri" w:hAnsi="Calibri"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9" w15:restartNumberingAfterBreak="0">
    <w:nsid w:val="461135B8"/>
    <w:multiLevelType w:val="hybridMultilevel"/>
    <w:tmpl w:val="2AA8B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7EF3703"/>
    <w:multiLevelType w:val="hybridMultilevel"/>
    <w:tmpl w:val="62085E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B7972D2"/>
    <w:multiLevelType w:val="hybridMultilevel"/>
    <w:tmpl w:val="7952C3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13" w15:restartNumberingAfterBreak="0">
    <w:nsid w:val="7ED50557"/>
    <w:multiLevelType w:val="hybridMultilevel"/>
    <w:tmpl w:val="FB603E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8"/>
  </w:num>
  <w:num w:numId="2">
    <w:abstractNumId w:val="8"/>
  </w:num>
  <w:num w:numId="3">
    <w:abstractNumId w:val="8"/>
  </w:num>
  <w:num w:numId="4">
    <w:abstractNumId w:val="14"/>
  </w:num>
  <w:num w:numId="5">
    <w:abstractNumId w:val="2"/>
  </w:num>
  <w:num w:numId="6">
    <w:abstractNumId w:val="7"/>
  </w:num>
  <w:num w:numId="7">
    <w:abstractNumId w:val="12"/>
  </w:num>
  <w:num w:numId="8">
    <w:abstractNumId w:val="6"/>
  </w:num>
  <w:num w:numId="9">
    <w:abstractNumId w:val="6"/>
  </w:num>
  <w:num w:numId="10">
    <w:abstractNumId w:val="5"/>
  </w:num>
  <w:num w:numId="11">
    <w:abstractNumId w:val="4"/>
  </w:num>
  <w:num w:numId="12">
    <w:abstractNumId w:val="10"/>
  </w:num>
  <w:num w:numId="13">
    <w:abstractNumId w:val="3"/>
  </w:num>
  <w:num w:numId="14">
    <w:abstractNumId w:val="9"/>
  </w:num>
  <w:num w:numId="15">
    <w:abstractNumId w:val="11"/>
  </w:num>
  <w:num w:numId="16">
    <w:abstractNumId w:val="1"/>
  </w:num>
  <w:num w:numId="17">
    <w:abstractNumId w:val="1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7F"/>
    <w:rsid w:val="00012F6F"/>
    <w:rsid w:val="00014213"/>
    <w:rsid w:val="00014B55"/>
    <w:rsid w:val="00020E3E"/>
    <w:rsid w:val="00023BF3"/>
    <w:rsid w:val="00026811"/>
    <w:rsid w:val="0004185E"/>
    <w:rsid w:val="00053181"/>
    <w:rsid w:val="00056988"/>
    <w:rsid w:val="00064E2D"/>
    <w:rsid w:val="00072279"/>
    <w:rsid w:val="00073407"/>
    <w:rsid w:val="00075E6C"/>
    <w:rsid w:val="00081C12"/>
    <w:rsid w:val="00087D42"/>
    <w:rsid w:val="000905F7"/>
    <w:rsid w:val="000B29AD"/>
    <w:rsid w:val="000C523D"/>
    <w:rsid w:val="000C6372"/>
    <w:rsid w:val="000D7841"/>
    <w:rsid w:val="000E392D"/>
    <w:rsid w:val="000E39B6"/>
    <w:rsid w:val="000E3D05"/>
    <w:rsid w:val="000F4288"/>
    <w:rsid w:val="000F7165"/>
    <w:rsid w:val="00102379"/>
    <w:rsid w:val="00103722"/>
    <w:rsid w:val="001065D6"/>
    <w:rsid w:val="001068D5"/>
    <w:rsid w:val="00121252"/>
    <w:rsid w:val="00124609"/>
    <w:rsid w:val="001254CE"/>
    <w:rsid w:val="0013637A"/>
    <w:rsid w:val="001422CC"/>
    <w:rsid w:val="00145346"/>
    <w:rsid w:val="00155FB0"/>
    <w:rsid w:val="001617B6"/>
    <w:rsid w:val="00165E66"/>
    <w:rsid w:val="00196143"/>
    <w:rsid w:val="001A24FC"/>
    <w:rsid w:val="001B3E55"/>
    <w:rsid w:val="001C6993"/>
    <w:rsid w:val="001C7BAE"/>
    <w:rsid w:val="001E31FA"/>
    <w:rsid w:val="001E48F9"/>
    <w:rsid w:val="001E64F6"/>
    <w:rsid w:val="001E7AEB"/>
    <w:rsid w:val="00204B82"/>
    <w:rsid w:val="00212987"/>
    <w:rsid w:val="00222BEB"/>
    <w:rsid w:val="00225E60"/>
    <w:rsid w:val="00230BBB"/>
    <w:rsid w:val="0023202C"/>
    <w:rsid w:val="00234619"/>
    <w:rsid w:val="00235BE2"/>
    <w:rsid w:val="00245043"/>
    <w:rsid w:val="0025110D"/>
    <w:rsid w:val="0026028E"/>
    <w:rsid w:val="00284FA2"/>
    <w:rsid w:val="00292213"/>
    <w:rsid w:val="00292D36"/>
    <w:rsid w:val="00294A5A"/>
    <w:rsid w:val="00297281"/>
    <w:rsid w:val="00297A47"/>
    <w:rsid w:val="002A5891"/>
    <w:rsid w:val="002A797F"/>
    <w:rsid w:val="002B03F1"/>
    <w:rsid w:val="002B5C34"/>
    <w:rsid w:val="002B5E2B"/>
    <w:rsid w:val="002B6DAA"/>
    <w:rsid w:val="002C0C5B"/>
    <w:rsid w:val="002D70F7"/>
    <w:rsid w:val="002D711A"/>
    <w:rsid w:val="002D7336"/>
    <w:rsid w:val="002E3396"/>
    <w:rsid w:val="002E6454"/>
    <w:rsid w:val="002F0B22"/>
    <w:rsid w:val="002F2953"/>
    <w:rsid w:val="0031149C"/>
    <w:rsid w:val="0036778F"/>
    <w:rsid w:val="0038771C"/>
    <w:rsid w:val="00391F66"/>
    <w:rsid w:val="003A430B"/>
    <w:rsid w:val="003A541A"/>
    <w:rsid w:val="003A6923"/>
    <w:rsid w:val="003C2C67"/>
    <w:rsid w:val="003C2D4C"/>
    <w:rsid w:val="003C3B3A"/>
    <w:rsid w:val="003C5BA4"/>
    <w:rsid w:val="003E3E26"/>
    <w:rsid w:val="003F1295"/>
    <w:rsid w:val="003F5102"/>
    <w:rsid w:val="003F76FC"/>
    <w:rsid w:val="004002EB"/>
    <w:rsid w:val="00407A79"/>
    <w:rsid w:val="00422DDC"/>
    <w:rsid w:val="004231B5"/>
    <w:rsid w:val="004236C8"/>
    <w:rsid w:val="00427681"/>
    <w:rsid w:val="00433DB7"/>
    <w:rsid w:val="0045347E"/>
    <w:rsid w:val="00453750"/>
    <w:rsid w:val="00456941"/>
    <w:rsid w:val="00460BD5"/>
    <w:rsid w:val="004679F6"/>
    <w:rsid w:val="004702EA"/>
    <w:rsid w:val="0048259C"/>
    <w:rsid w:val="00482D02"/>
    <w:rsid w:val="00484326"/>
    <w:rsid w:val="00490369"/>
    <w:rsid w:val="004A7519"/>
    <w:rsid w:val="004B64B1"/>
    <w:rsid w:val="004D01AC"/>
    <w:rsid w:val="004D3518"/>
    <w:rsid w:val="004D62D6"/>
    <w:rsid w:val="004D6898"/>
    <w:rsid w:val="004F3F4E"/>
    <w:rsid w:val="00504F75"/>
    <w:rsid w:val="00510167"/>
    <w:rsid w:val="00513E86"/>
    <w:rsid w:val="005306A2"/>
    <w:rsid w:val="0053416C"/>
    <w:rsid w:val="00541C2F"/>
    <w:rsid w:val="00552DE4"/>
    <w:rsid w:val="00563527"/>
    <w:rsid w:val="00567B1F"/>
    <w:rsid w:val="0057407A"/>
    <w:rsid w:val="0058124E"/>
    <w:rsid w:val="005875A3"/>
    <w:rsid w:val="00593129"/>
    <w:rsid w:val="005953EA"/>
    <w:rsid w:val="005A3416"/>
    <w:rsid w:val="005B061F"/>
    <w:rsid w:val="005B27FE"/>
    <w:rsid w:val="005B76DF"/>
    <w:rsid w:val="005B79CB"/>
    <w:rsid w:val="005E08D7"/>
    <w:rsid w:val="005E4C16"/>
    <w:rsid w:val="005E5947"/>
    <w:rsid w:val="005F61DF"/>
    <w:rsid w:val="0060163A"/>
    <w:rsid w:val="006023F9"/>
    <w:rsid w:val="00610559"/>
    <w:rsid w:val="0061087C"/>
    <w:rsid w:val="00614076"/>
    <w:rsid w:val="006263D5"/>
    <w:rsid w:val="00632F2E"/>
    <w:rsid w:val="006332F6"/>
    <w:rsid w:val="006413F2"/>
    <w:rsid w:val="006534B2"/>
    <w:rsid w:val="0065615D"/>
    <w:rsid w:val="00657011"/>
    <w:rsid w:val="006650B5"/>
    <w:rsid w:val="006651B1"/>
    <w:rsid w:val="00665778"/>
    <w:rsid w:val="00676E5F"/>
    <w:rsid w:val="00680577"/>
    <w:rsid w:val="006945CA"/>
    <w:rsid w:val="006A3309"/>
    <w:rsid w:val="006A3A5A"/>
    <w:rsid w:val="006A5B34"/>
    <w:rsid w:val="006C0906"/>
    <w:rsid w:val="006C77A9"/>
    <w:rsid w:val="006D4720"/>
    <w:rsid w:val="006E6CDF"/>
    <w:rsid w:val="006F37F2"/>
    <w:rsid w:val="006F6693"/>
    <w:rsid w:val="006F7E26"/>
    <w:rsid w:val="00707FE8"/>
    <w:rsid w:val="00714AAE"/>
    <w:rsid w:val="00724962"/>
    <w:rsid w:val="00724A0F"/>
    <w:rsid w:val="00726D2F"/>
    <w:rsid w:val="00736732"/>
    <w:rsid w:val="00740019"/>
    <w:rsid w:val="00746426"/>
    <w:rsid w:val="00750BF9"/>
    <w:rsid w:val="00750CBE"/>
    <w:rsid w:val="007650D2"/>
    <w:rsid w:val="00766B5A"/>
    <w:rsid w:val="00772209"/>
    <w:rsid w:val="007770A5"/>
    <w:rsid w:val="007834F2"/>
    <w:rsid w:val="00791020"/>
    <w:rsid w:val="0079108B"/>
    <w:rsid w:val="007A04D2"/>
    <w:rsid w:val="007A4444"/>
    <w:rsid w:val="007A5F82"/>
    <w:rsid w:val="007D5F9E"/>
    <w:rsid w:val="007E098F"/>
    <w:rsid w:val="007E3BA2"/>
    <w:rsid w:val="007E6F9B"/>
    <w:rsid w:val="007F1A4C"/>
    <w:rsid w:val="007F723F"/>
    <w:rsid w:val="008022C3"/>
    <w:rsid w:val="008041E6"/>
    <w:rsid w:val="008065D2"/>
    <w:rsid w:val="00815A8A"/>
    <w:rsid w:val="0082194C"/>
    <w:rsid w:val="008222FF"/>
    <w:rsid w:val="008241FF"/>
    <w:rsid w:val="008411E9"/>
    <w:rsid w:val="00841617"/>
    <w:rsid w:val="0084200F"/>
    <w:rsid w:val="00843B2C"/>
    <w:rsid w:val="00844F16"/>
    <w:rsid w:val="00855FF9"/>
    <w:rsid w:val="0086277A"/>
    <w:rsid w:val="008668A8"/>
    <w:rsid w:val="008703D8"/>
    <w:rsid w:val="008768AD"/>
    <w:rsid w:val="00880AC4"/>
    <w:rsid w:val="008816EE"/>
    <w:rsid w:val="00897157"/>
    <w:rsid w:val="00897447"/>
    <w:rsid w:val="008A4900"/>
    <w:rsid w:val="008A55FE"/>
    <w:rsid w:val="008A58D2"/>
    <w:rsid w:val="008B146D"/>
    <w:rsid w:val="008B42AD"/>
    <w:rsid w:val="008B5666"/>
    <w:rsid w:val="008C2C15"/>
    <w:rsid w:val="008D0281"/>
    <w:rsid w:val="008E2348"/>
    <w:rsid w:val="008F6D45"/>
    <w:rsid w:val="00915ADB"/>
    <w:rsid w:val="00916AD5"/>
    <w:rsid w:val="00922944"/>
    <w:rsid w:val="00936479"/>
    <w:rsid w:val="00937A10"/>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E1651"/>
    <w:rsid w:val="009E3858"/>
    <w:rsid w:val="009E467D"/>
    <w:rsid w:val="009E70DD"/>
    <w:rsid w:val="009F2ED9"/>
    <w:rsid w:val="009F3231"/>
    <w:rsid w:val="009F5C58"/>
    <w:rsid w:val="00A023A0"/>
    <w:rsid w:val="00A05EBC"/>
    <w:rsid w:val="00A1562B"/>
    <w:rsid w:val="00A170F4"/>
    <w:rsid w:val="00A21408"/>
    <w:rsid w:val="00A21CFD"/>
    <w:rsid w:val="00A25B78"/>
    <w:rsid w:val="00A46288"/>
    <w:rsid w:val="00A46BA8"/>
    <w:rsid w:val="00A47634"/>
    <w:rsid w:val="00A612FE"/>
    <w:rsid w:val="00A70B49"/>
    <w:rsid w:val="00A92D94"/>
    <w:rsid w:val="00AA26B8"/>
    <w:rsid w:val="00AC0B87"/>
    <w:rsid w:val="00AC2624"/>
    <w:rsid w:val="00AC32A8"/>
    <w:rsid w:val="00AD7E4E"/>
    <w:rsid w:val="00AF4D58"/>
    <w:rsid w:val="00AF6666"/>
    <w:rsid w:val="00AF7BC5"/>
    <w:rsid w:val="00B81B44"/>
    <w:rsid w:val="00B9053B"/>
    <w:rsid w:val="00BA0C37"/>
    <w:rsid w:val="00BA3782"/>
    <w:rsid w:val="00BB4D98"/>
    <w:rsid w:val="00BB4EBF"/>
    <w:rsid w:val="00BB59E0"/>
    <w:rsid w:val="00BC3422"/>
    <w:rsid w:val="00BC6E19"/>
    <w:rsid w:val="00BC7DFB"/>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51C01"/>
    <w:rsid w:val="00C637E1"/>
    <w:rsid w:val="00C67EAC"/>
    <w:rsid w:val="00C70D50"/>
    <w:rsid w:val="00C72252"/>
    <w:rsid w:val="00C907D7"/>
    <w:rsid w:val="00C92338"/>
    <w:rsid w:val="00CA05DC"/>
    <w:rsid w:val="00CA7B47"/>
    <w:rsid w:val="00CB3976"/>
    <w:rsid w:val="00CD0307"/>
    <w:rsid w:val="00CD3C79"/>
    <w:rsid w:val="00CD3D1B"/>
    <w:rsid w:val="00D02663"/>
    <w:rsid w:val="00D0633E"/>
    <w:rsid w:val="00D12E74"/>
    <w:rsid w:val="00D1323F"/>
    <w:rsid w:val="00D16E29"/>
    <w:rsid w:val="00D2312F"/>
    <w:rsid w:val="00D23B04"/>
    <w:rsid w:val="00D269C1"/>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0FA1"/>
    <w:rsid w:val="00DB312B"/>
    <w:rsid w:val="00DC5654"/>
    <w:rsid w:val="00DC658F"/>
    <w:rsid w:val="00DC674A"/>
    <w:rsid w:val="00DE0AE6"/>
    <w:rsid w:val="00DE60CC"/>
    <w:rsid w:val="00DF0E5B"/>
    <w:rsid w:val="00DF10D7"/>
    <w:rsid w:val="00E03F35"/>
    <w:rsid w:val="00E26B32"/>
    <w:rsid w:val="00E31CD4"/>
    <w:rsid w:val="00E31E60"/>
    <w:rsid w:val="00E33E08"/>
    <w:rsid w:val="00E407B6"/>
    <w:rsid w:val="00E41EF1"/>
    <w:rsid w:val="00E42942"/>
    <w:rsid w:val="00E65A0A"/>
    <w:rsid w:val="00E71BDF"/>
    <w:rsid w:val="00E75CCB"/>
    <w:rsid w:val="00E8245B"/>
    <w:rsid w:val="00E82C21"/>
    <w:rsid w:val="00E82F59"/>
    <w:rsid w:val="00E83CA7"/>
    <w:rsid w:val="00E92192"/>
    <w:rsid w:val="00E95A71"/>
    <w:rsid w:val="00EB7014"/>
    <w:rsid w:val="00EC5CDE"/>
    <w:rsid w:val="00EC7F2A"/>
    <w:rsid w:val="00ED3077"/>
    <w:rsid w:val="00ED487E"/>
    <w:rsid w:val="00ED64F1"/>
    <w:rsid w:val="00EE33A1"/>
    <w:rsid w:val="00EE7A0D"/>
    <w:rsid w:val="00F0222C"/>
    <w:rsid w:val="00F06647"/>
    <w:rsid w:val="00F12312"/>
    <w:rsid w:val="00F17CE1"/>
    <w:rsid w:val="00F2115C"/>
    <w:rsid w:val="00F22ABA"/>
    <w:rsid w:val="00F25919"/>
    <w:rsid w:val="00F25F4B"/>
    <w:rsid w:val="00F27C9D"/>
    <w:rsid w:val="00F36B12"/>
    <w:rsid w:val="00F60F9F"/>
    <w:rsid w:val="00F61246"/>
    <w:rsid w:val="00F64F08"/>
    <w:rsid w:val="00F70055"/>
    <w:rsid w:val="00F734F5"/>
    <w:rsid w:val="00F73B5B"/>
    <w:rsid w:val="00F8214B"/>
    <w:rsid w:val="00F90EA5"/>
    <w:rsid w:val="00F91F5A"/>
    <w:rsid w:val="00F966B1"/>
    <w:rsid w:val="00F97D48"/>
    <w:rsid w:val="00FA0311"/>
    <w:rsid w:val="00FA1489"/>
    <w:rsid w:val="00FA16AC"/>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A5E52F"/>
  <w15:docId w15:val="{52FE3372-7B53-44EB-9F99-CD067072D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7"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Subtle Reference" w:qFormat="1"/>
    <w:lsdException w:name="Intense Reference" w:semiHidden="1"/>
    <w:lsdException w:name="Book Title" w:semiHidden="1" w:uiPriority="33" w:qFormat="1"/>
    <w:lsdException w:name="Bibliography" w:semiHidden="1" w:unhideWhenUsed="1"/>
    <w:lsdException w:name="TOC Heading"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2A797F"/>
    <w:rPr>
      <w:rFonts w:ascii="VIC" w:hAnsi="VIC" w:cstheme="majorHAnsi"/>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A797F"/>
    <w:pPr>
      <w:keepNext/>
      <w:keepLines/>
      <w:spacing w:before="280" w:after="60" w:line="240" w:lineRule="auto"/>
      <w:outlineLvl w:val="1"/>
    </w:pPr>
    <w:rPr>
      <w:rFonts w:ascii="VIC SemiBold" w:eastAsiaTheme="majorEastAsia" w:hAnsi="VIC SemiBold" w:cstheme="majorBidi"/>
      <w:bCs/>
      <w:caps/>
      <w:color w:val="007586" w:themeColor="text2"/>
      <w:sz w:val="24"/>
      <w:szCs w:val="26"/>
    </w:rPr>
  </w:style>
  <w:style w:type="paragraph" w:styleId="Heading3">
    <w:name w:val="heading 3"/>
    <w:basedOn w:val="Normal"/>
    <w:next w:val="Normalfollowingheading"/>
    <w:link w:val="Heading3Char"/>
    <w:qFormat/>
    <w:rsid w:val="00567B1F"/>
    <w:pPr>
      <w:keepNext/>
      <w:keepLines/>
      <w:spacing w:before="240" w:after="50" w:line="240" w:lineRule="auto"/>
      <w:outlineLvl w:val="2"/>
    </w:pPr>
    <w:rPr>
      <w:rFonts w:ascii="VIC SemiBold" w:eastAsiaTheme="majorEastAsia" w:hAnsi="VIC SemiBold" w:cstheme="majorBidi"/>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7"/>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2A797F"/>
    <w:rPr>
      <w:rFonts w:ascii="VIC SemiBold" w:eastAsiaTheme="majorEastAsia" w:hAnsi="VIC SemiBold" w:cstheme="majorBidi"/>
      <w:bCs/>
      <w:caps/>
      <w:color w:val="007586" w:themeColor="text2"/>
      <w:sz w:val="24"/>
      <w:szCs w:val="26"/>
    </w:rPr>
  </w:style>
  <w:style w:type="paragraph" w:customStyle="1" w:styleId="Bullet1">
    <w:name w:val="Bullet 1"/>
    <w:uiPriority w:val="1"/>
    <w:qFormat/>
    <w:rsid w:val="00292213"/>
    <w:pPr>
      <w:numPr>
        <w:numId w:val="9"/>
      </w:numPr>
      <w:spacing w:before="60" w:after="60"/>
    </w:pPr>
    <w:rPr>
      <w:rFonts w:ascii="VIC" w:eastAsia="Times New Roman" w:hAnsi="VIC"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10"/>
      </w:numPr>
    </w:pPr>
  </w:style>
  <w:style w:type="paragraph" w:customStyle="1" w:styleId="Heading2numbered">
    <w:name w:val="Heading 2 numbered"/>
    <w:basedOn w:val="Heading2"/>
    <w:next w:val="NormalIndent"/>
    <w:qFormat/>
    <w:rsid w:val="00BD5018"/>
    <w:pPr>
      <w:numPr>
        <w:ilvl w:val="1"/>
        <w:numId w:val="10"/>
      </w:numPr>
    </w:pPr>
  </w:style>
  <w:style w:type="paragraph" w:customStyle="1" w:styleId="Heading3numbered">
    <w:name w:val="Heading 3 numbered"/>
    <w:basedOn w:val="Heading3"/>
    <w:next w:val="NormalIndent"/>
    <w:qFormat/>
    <w:rsid w:val="00BD5018"/>
    <w:pPr>
      <w:numPr>
        <w:ilvl w:val="2"/>
        <w:numId w:val="10"/>
      </w:numPr>
    </w:pPr>
  </w:style>
  <w:style w:type="character" w:customStyle="1" w:styleId="Heading3Char">
    <w:name w:val="Heading 3 Char"/>
    <w:basedOn w:val="DefaultParagraphFont"/>
    <w:link w:val="Heading3"/>
    <w:rsid w:val="00567B1F"/>
    <w:rPr>
      <w:rFonts w:ascii="VIC SemiBold" w:eastAsiaTheme="majorEastAsia" w:hAnsi="VIC SemiBold" w:cstheme="majorBidi"/>
      <w:bCs/>
      <w:color w:val="000000" w:themeColor="text1"/>
      <w:sz w:val="24"/>
      <w:szCs w:val="22"/>
    </w:rPr>
  </w:style>
  <w:style w:type="paragraph" w:customStyle="1" w:styleId="Heading4numbered">
    <w:name w:val="Heading 4 numbered"/>
    <w:basedOn w:val="Heading4"/>
    <w:next w:val="NormalIndent"/>
    <w:qFormat/>
    <w:rsid w:val="00BD5018"/>
    <w:pPr>
      <w:numPr>
        <w:ilvl w:val="3"/>
        <w:numId w:val="10"/>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4"/>
      </w:numPr>
    </w:pPr>
  </w:style>
  <w:style w:type="paragraph" w:customStyle="1" w:styleId="Listnum2">
    <w:name w:val="List num 2"/>
    <w:basedOn w:val="Normal"/>
    <w:uiPriority w:val="1"/>
    <w:qFormat/>
    <w:rsid w:val="004A7519"/>
    <w:pPr>
      <w:numPr>
        <w:ilvl w:val="1"/>
        <w:numId w:val="4"/>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5"/>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7"/>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5"/>
      </w:numPr>
      <w:spacing w:before="60" w:after="60"/>
    </w:pPr>
    <w:rPr>
      <w:sz w:val="17"/>
    </w:rPr>
  </w:style>
  <w:style w:type="paragraph" w:customStyle="1" w:styleId="Tablenum2">
    <w:name w:val="Table num 2"/>
    <w:basedOn w:val="Normal"/>
    <w:uiPriority w:val="2"/>
    <w:rsid w:val="007F723F"/>
    <w:pPr>
      <w:numPr>
        <w:ilvl w:val="3"/>
        <w:numId w:val="5"/>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A797F"/>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customStyle="1" w:styleId="GridTable1Light1">
    <w:name w:val="Grid Table 1 Light1"/>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2-Accent21">
    <w:name w:val="Grid Table 2 - Accent 21"/>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2-Accent31">
    <w:name w:val="Grid Table 2 - Accent 31"/>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2-Accent41">
    <w:name w:val="Grid Table 2 - Accent 41"/>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2-Accent51">
    <w:name w:val="Grid Table 2 - Accent 51"/>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2-Accent61">
    <w:name w:val="Grid Table 2 - Accent 61"/>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31">
    <w:name w:val="Grid Table 31"/>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3-Accent21">
    <w:name w:val="Grid Table 3 - Accent 21"/>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3-Accent31">
    <w:name w:val="Grid Table 3 - Accent 31"/>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3-Accent41">
    <w:name w:val="Grid Table 3 - Accent 41"/>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3-Accent51">
    <w:name w:val="Grid Table 3 - Accent 51"/>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3-Accent61">
    <w:name w:val="Grid Table 3 - Accent 61"/>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customStyle="1" w:styleId="GridTable41">
    <w:name w:val="Grid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1">
    <w:name w:val="Grid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4-Accent21">
    <w:name w:val="Grid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4-Accent31">
    <w:name w:val="Grid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4-Accent41">
    <w:name w:val="Grid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4-Accent51">
    <w:name w:val="Grid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4-Accent61">
    <w:name w:val="Grid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5Dark1">
    <w:name w:val="Grid Table 5 Dark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1">
    <w:name w:val="Grid Table 5 Dark - Accent 1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customStyle="1" w:styleId="GridTable5Dark-Accent21">
    <w:name w:val="Grid Table 5 Dark - Accent 2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customStyle="1" w:styleId="GridTable5Dark-Accent31">
    <w:name w:val="Grid Table 5 Dark - Accent 3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customStyle="1" w:styleId="GridTable5Dark-Accent41">
    <w:name w:val="Grid Table 5 Dark - Accent 4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customStyle="1" w:styleId="GridTable5Dark-Accent51">
    <w:name w:val="Grid Table 5 Dark - Accent 5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customStyle="1" w:styleId="GridTable5Dark-Accent61">
    <w:name w:val="Grid Table 5 Dark - Accent 6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customStyle="1" w:styleId="GridTable6Colorful1">
    <w:name w:val="Grid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GridTable6Colorful-Accent21">
    <w:name w:val="Grid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GridTable6Colorful-Accent31">
    <w:name w:val="Grid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GridTable6Colorful-Accent41">
    <w:name w:val="Grid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GridTable6Colorful-Accent51">
    <w:name w:val="Grid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GridTable6Colorful-Accent61">
    <w:name w:val="Grid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GridTable7Colorful1">
    <w:name w:val="Grid Table 7 Colorful1"/>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customStyle="1" w:styleId="GridTable7Colorful-Accent21">
    <w:name w:val="Grid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customStyle="1" w:styleId="GridTable7Colorful-Accent31">
    <w:name w:val="Grid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customStyle="1" w:styleId="GridTable7Colorful-Accent41">
    <w:name w:val="Grid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customStyle="1" w:styleId="GridTable7Colorful-Accent51">
    <w:name w:val="Grid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customStyle="1" w:styleId="GridTable7Colorful-Accent61">
    <w:name w:val="Grid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customStyle="1" w:styleId="ListTable1Light1">
    <w:name w:val="List Table 1 Light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1Light-Accent21">
    <w:name w:val="List Table 1 Light - Accent 2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1Light-Accent31">
    <w:name w:val="List Table 1 Light - Accent 3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1Light-Accent41">
    <w:name w:val="List Table 1 Light - Accent 4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1Light-Accent51">
    <w:name w:val="List Table 1 Light - Accent 5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1Light-Accent61">
    <w:name w:val="List Table 1 Light - Accent 6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21">
    <w:name w:val="List Table 21"/>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2-Accent21">
    <w:name w:val="List Table 2 - Accent 21"/>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2-Accent31">
    <w:name w:val="List Table 2 - Accent 31"/>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2-Accent41">
    <w:name w:val="List Table 2 - Accent 41"/>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2-Accent51">
    <w:name w:val="List Table 2 - Accent 51"/>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2-Accent61">
    <w:name w:val="List Table 2 - Accent 61"/>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31">
    <w:name w:val="List Table 31"/>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customStyle="1" w:styleId="ListTable3-Accent21">
    <w:name w:val="List Table 3 - Accent 21"/>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customStyle="1" w:styleId="ListTable3-Accent31">
    <w:name w:val="List Table 3 - Accent 31"/>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customStyle="1" w:styleId="ListTable3-Accent41">
    <w:name w:val="List Table 3 - Accent 41"/>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customStyle="1" w:styleId="ListTable3-Accent51">
    <w:name w:val="List Table 3 - Accent 51"/>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customStyle="1" w:styleId="ListTable3-Accent61">
    <w:name w:val="List Table 3 - Accent 61"/>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customStyle="1" w:styleId="ListTable41">
    <w:name w:val="List Table 41"/>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4-Accent21">
    <w:name w:val="List Table 4 - Accent 21"/>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4-Accent31">
    <w:name w:val="List Table 4 - Accent 31"/>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4-Accent41">
    <w:name w:val="List Table 4 - Accent 41"/>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4-Accent51">
    <w:name w:val="List Table 4 - Accent 51"/>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4-Accent61">
    <w:name w:val="List Table 4 - Accent 61"/>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5Dark1">
    <w:name w:val="List Table 5 Dark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customStyle="1" w:styleId="ListTable6Colorful-Accent21">
    <w:name w:val="List Table 6 Colorful - Accent 21"/>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customStyle="1" w:styleId="ListTable6Colorful-Accent31">
    <w:name w:val="List Table 6 Colorful - Accent 31"/>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customStyle="1" w:styleId="ListTable6Colorful-Accent41">
    <w:name w:val="List Table 6 Colorful - Accent 41"/>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customStyle="1" w:styleId="ListTable6Colorful-Accent51">
    <w:name w:val="List Table 6 Colorful - Accent 51"/>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customStyle="1" w:styleId="ListTable6Colorful-Accent61">
    <w:name w:val="List Table 6 Colorful - Accent 61"/>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customStyle="1" w:styleId="ListTable7Colorful1">
    <w:name w:val="List Table 7 Colorful1"/>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PlainTable11">
    <w:name w:val="Plain Table 1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86277A"/>
    <w:pPr>
      <w:spacing w:before="0" w:after="80" w:line="240" w:lineRule="auto"/>
      <w:ind w:left="170"/>
    </w:pPr>
    <w:rPr>
      <w:sz w:val="15"/>
    </w:rPr>
    <w:tblPr>
      <w:tblCellMar>
        <w:top w:w="323" w:type="dxa"/>
        <w:left w:w="0" w:type="dxa"/>
        <w:right w:w="0" w:type="dxa"/>
      </w:tblCellMar>
    </w:tblPr>
    <w:tcPr>
      <w:shd w:val="clear" w:color="auto" w:fill="F2F2F3"/>
    </w:tcPr>
  </w:style>
  <w:style w:type="paragraph" w:customStyle="1" w:styleId="Body">
    <w:name w:val="Body"/>
    <w:basedOn w:val="Normal"/>
    <w:uiPriority w:val="99"/>
    <w:rsid w:val="002A797F"/>
    <w:pPr>
      <w:suppressAutoHyphens/>
      <w:autoSpaceDE w:val="0"/>
      <w:autoSpaceDN w:val="0"/>
      <w:adjustRightInd w:val="0"/>
      <w:spacing w:before="0" w:after="170" w:line="260" w:lineRule="atLeast"/>
      <w:textAlignment w:val="center"/>
    </w:pPr>
    <w:rPr>
      <w:rFonts w:ascii="Raleway" w:eastAsiaTheme="minorHAnsi" w:hAnsi="Raleway" w:cs="Raleway"/>
      <w:color w:val="000000"/>
      <w:lang w:val="en-GB" w:eastAsia="en-US"/>
    </w:rPr>
  </w:style>
  <w:style w:type="character" w:styleId="BookTitle">
    <w:name w:val="Book Title"/>
    <w:aliases w:val="Dot points"/>
    <w:uiPriority w:val="33"/>
    <w:qFormat/>
    <w:rsid w:val="002A797F"/>
  </w:style>
  <w:style w:type="paragraph" w:customStyle="1" w:styleId="Tablecolhead">
    <w:name w:val="Table col head"/>
    <w:basedOn w:val="Body"/>
    <w:qFormat/>
    <w:rsid w:val="00593129"/>
    <w:pPr>
      <w:snapToGrid w:val="0"/>
      <w:spacing w:before="60" w:after="60" w:line="240" w:lineRule="auto"/>
    </w:pPr>
    <w:rPr>
      <w:rFonts w:eastAsia="MS Mincho"/>
      <w:b/>
      <w:color w:val="007F92"/>
      <w:lang w:eastAsia="en-GB"/>
    </w:rPr>
  </w:style>
  <w:style w:type="paragraph" w:customStyle="1" w:styleId="References">
    <w:name w:val="References"/>
    <w:basedOn w:val="Normal"/>
    <w:qFormat/>
    <w:rsid w:val="00D1323F"/>
    <w:pPr>
      <w:numPr>
        <w:numId w:val="18"/>
      </w:numPr>
      <w:shd w:val="clear" w:color="auto" w:fill="FFFFFF"/>
      <w:spacing w:before="60" w:after="60" w:line="240" w:lineRule="auto"/>
      <w:ind w:left="357" w:hanging="357"/>
      <w:contextualSpacing/>
    </w:pPr>
    <w:rPr>
      <w:rFonts w:asciiTheme="majorHAnsi" w:eastAsiaTheme="minorHAnsi" w:hAnsiTheme="majorHAnsi"/>
      <w:iCs/>
      <w:color w:val="000000"/>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health.vic.gov.au/clinicianshealthchanne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safercare.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1.%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698BD7414459DB3B8DE948CE8A2E9"/>
        <w:category>
          <w:name w:val="General"/>
          <w:gallery w:val="placeholder"/>
        </w:category>
        <w:types>
          <w:type w:val="bbPlcHdr"/>
        </w:types>
        <w:behaviors>
          <w:behavior w:val="content"/>
        </w:behaviors>
        <w:guid w:val="{E23BCB44-5041-43F5-9D84-730CB2379BF7}"/>
      </w:docPartPr>
      <w:docPartBody>
        <w:p w:rsidR="00973ECD" w:rsidRDefault="00973ECD">
          <w:pPr>
            <w:pStyle w:val="119698BD7414459DB3B8DE948CE8A2E9"/>
          </w:pPr>
          <w:r w:rsidRPr="00803789">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Raleway">
    <w:altName w:val="Trebuchet MS"/>
    <w:charset w:val="00"/>
    <w:family w:val="swiss"/>
    <w:pitch w:val="variable"/>
    <w:sig w:usb0="00000001" w:usb1="5000205B" w:usb2="00000000" w:usb3="00000000" w:csb0="00000097"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3ECD"/>
    <w:rsid w:val="00973ECD"/>
    <w:rsid w:val="00A20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119698BD7414459DB3B8DE948CE8A2E9">
    <w:name w:val="119698BD7414459DB3B8DE948CE8A2E9"/>
  </w:style>
  <w:style w:type="paragraph" w:customStyle="1" w:styleId="ED64744474CD4692B141CF39C5384E32">
    <w:name w:val="ED64744474CD4692B141CF39C5384E32"/>
  </w:style>
  <w:style w:type="paragraph" w:customStyle="1" w:styleId="A1571EFD677E498783B20E42C2AC57A5">
    <w:name w:val="A1571EFD677E498783B20E42C2AC57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B57BE-0973-410A-8DDD-EFAC31A5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1</TotalTime>
  <Pages>4</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Metaraminol</vt:lpstr>
    </vt:vector>
  </TitlesOfParts>
  <Company>Department of Treasury and Finance</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Metaraminol</dc:title>
  <dc:creator>Emma D Gumbleton (DHHS)</dc:creator>
  <cp:lastModifiedBy>Freya L Jones (DHHS)</cp:lastModifiedBy>
  <cp:revision>2</cp:revision>
  <cp:lastPrinted>2018-05-20T09:23:00Z</cp:lastPrinted>
  <dcterms:created xsi:type="dcterms:W3CDTF">2018-12-04T23:00:00Z</dcterms:created>
  <dcterms:modified xsi:type="dcterms:W3CDTF">2018-12-04T23:00:00Z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