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VIC SemiBold" w:hAnsi="VIC SemiBold"/>
        </w:rPr>
        <w:alias w:val="Title"/>
        <w:tag w:val=""/>
        <w:id w:val="-1540807229"/>
        <w:placeholder>
          <w:docPart w:val="119698BD7414459DB3B8DE948CE8A2E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A46288" w:rsidRPr="002A797F" w:rsidRDefault="00670EB0" w:rsidP="007A4444">
          <w:pPr>
            <w:pStyle w:val="Title"/>
            <w:rPr>
              <w:rFonts w:ascii="VIC SemiBold" w:hAnsi="VIC SemiBold"/>
              <w:b w:val="0"/>
            </w:rPr>
          </w:pPr>
          <w:r>
            <w:rPr>
              <w:rFonts w:ascii="VIC SemiBold" w:hAnsi="VIC SemiBold"/>
            </w:rPr>
            <w:t>Vasopressin (</w:t>
          </w:r>
          <w:proofErr w:type="spellStart"/>
          <w:r>
            <w:rPr>
              <w:rFonts w:ascii="VIC SemiBold" w:hAnsi="VIC SemiBold"/>
            </w:rPr>
            <w:t>Argipressin</w:t>
          </w:r>
          <w:proofErr w:type="spellEnd"/>
          <w:r>
            <w:rPr>
              <w:rFonts w:ascii="VIC SemiBold" w:hAnsi="VIC SemiBold"/>
            </w:rPr>
            <w:t>)</w:t>
          </w:r>
        </w:p>
      </w:sdtContent>
    </w:sdt>
    <w:p w:rsidR="00476966" w:rsidRPr="00FD0AE2" w:rsidRDefault="00476966" w:rsidP="00476966">
      <w:pPr>
        <w:keepNext/>
        <w:keepLines/>
        <w:spacing w:before="280" w:after="60" w:line="240" w:lineRule="auto"/>
        <w:outlineLvl w:val="1"/>
        <w:rPr>
          <w:rFonts w:asciiTheme="majorHAnsi" w:eastAsiaTheme="majorEastAsia" w:hAnsiTheme="majorHAnsi" w:cstheme="majorBidi"/>
          <w:b/>
          <w:bCs/>
          <w:caps/>
          <w:color w:val="007586" w:themeColor="text2"/>
          <w:sz w:val="24"/>
          <w:szCs w:val="26"/>
        </w:rPr>
      </w:pPr>
      <w:r w:rsidRPr="00FD0AE2">
        <w:rPr>
          <w:rFonts w:asciiTheme="majorHAnsi" w:eastAsiaTheme="majorEastAsia" w:hAnsiTheme="majorHAnsi" w:cstheme="majorBidi"/>
          <w:b/>
          <w:bCs/>
          <w:caps/>
          <w:color w:val="007586" w:themeColor="text2"/>
          <w:sz w:val="24"/>
          <w:szCs w:val="26"/>
        </w:rPr>
        <w:t>Applicable areas</w:t>
      </w:r>
    </w:p>
    <w:p w:rsidR="00476966" w:rsidRPr="00FD0AE2" w:rsidRDefault="00476966" w:rsidP="00476966">
      <w:pPr>
        <w:keepNext/>
        <w:keepLines/>
        <w:spacing w:before="280" w:after="60" w:line="240" w:lineRule="auto"/>
        <w:outlineLvl w:val="1"/>
        <w:rPr>
          <w:rFonts w:asciiTheme="majorHAnsi" w:eastAsiaTheme="majorEastAsia" w:hAnsiTheme="majorHAnsi" w:cstheme="majorBidi"/>
          <w:b/>
          <w:bCs/>
          <w:caps/>
          <w:color w:val="007586" w:themeColor="text2"/>
          <w:sz w:val="24"/>
          <w:szCs w:val="26"/>
        </w:rPr>
      </w:pPr>
      <w:r w:rsidRPr="00FD0AE2">
        <w:rPr>
          <w:rFonts w:asciiTheme="majorHAnsi" w:eastAsiaTheme="majorEastAsia" w:hAnsiTheme="majorHAnsi" w:cstheme="majorBidi"/>
          <w:b/>
          <w:bCs/>
          <w:caps/>
          <w:color w:val="A6A6A6" w:themeColor="background1" w:themeShade="A6"/>
          <w:sz w:val="24"/>
          <w:szCs w:val="26"/>
        </w:rPr>
        <w:t>This section will be left blank for each hospital to complete in accordance with local practice. Examples: ICU, ED, OR, Ward 2B</w:t>
      </w:r>
    </w:p>
    <w:p w:rsidR="00476966" w:rsidRDefault="00476966" w:rsidP="00627E18">
      <w:pPr>
        <w:pStyle w:val="Heading2"/>
      </w:pPr>
    </w:p>
    <w:p w:rsidR="00627E18" w:rsidRPr="00C4312A" w:rsidRDefault="00627E18" w:rsidP="00627E18">
      <w:pPr>
        <w:pStyle w:val="Heading2"/>
      </w:pPr>
      <w:r w:rsidRPr="00C4312A">
        <w:t>Mechanism of action/pharmacology</w:t>
      </w:r>
    </w:p>
    <w:p w:rsidR="00627E18" w:rsidRPr="003E2AEE" w:rsidRDefault="00627E18" w:rsidP="00627E18">
      <w:pPr>
        <w:pStyle w:val="Normalfollowingheading"/>
      </w:pPr>
      <w:r>
        <w:t>E</w:t>
      </w:r>
      <w:r w:rsidRPr="003E2AEE">
        <w:t>ndogenous vasopressin</w:t>
      </w:r>
      <w:r>
        <w:t xml:space="preserve"> is a </w:t>
      </w:r>
      <w:r w:rsidRPr="003E2AEE">
        <w:t>hormone secreted by the posterior pituitary</w:t>
      </w:r>
      <w:r>
        <w:t xml:space="preserve"> gland that acts as a n</w:t>
      </w:r>
      <w:r w:rsidRPr="003E2AEE">
        <w:t>on-adrenergic vasopressor</w:t>
      </w:r>
      <w:r>
        <w:t>. Actions on</w:t>
      </w:r>
      <w:r w:rsidRPr="003E2AEE">
        <w:t xml:space="preserve"> </w:t>
      </w:r>
      <w:r>
        <w:t xml:space="preserve">vascular smooth muscle </w:t>
      </w:r>
      <w:r w:rsidRPr="003E2AEE">
        <w:t>V</w:t>
      </w:r>
      <w:r w:rsidRPr="003E2AEE">
        <w:rPr>
          <w:vertAlign w:val="subscript"/>
        </w:rPr>
        <w:t>1</w:t>
      </w:r>
      <w:r w:rsidRPr="003E2AEE">
        <w:t xml:space="preserve"> receptors cause peripheral vasoconstriction and </w:t>
      </w:r>
      <w:r>
        <w:t>increase</w:t>
      </w:r>
      <w:r w:rsidRPr="003E2AEE">
        <w:t xml:space="preserve"> </w:t>
      </w:r>
      <w:r w:rsidRPr="00C7590A">
        <w:t>systemic vascular resistance and blood pressure.</w:t>
      </w:r>
      <w:r>
        <w:t xml:space="preserve"> </w:t>
      </w:r>
      <w:r w:rsidRPr="003E2AEE">
        <w:t>Less potent actions on V</w:t>
      </w:r>
      <w:r w:rsidRPr="003E2AEE">
        <w:rPr>
          <w:vertAlign w:val="subscript"/>
        </w:rPr>
        <w:t>2</w:t>
      </w:r>
      <w:r w:rsidRPr="003E2AEE">
        <w:t xml:space="preserve"> receptors in the kidneys cause an antidiuretic effect by promoting </w:t>
      </w:r>
      <w:r>
        <w:t xml:space="preserve">water </w:t>
      </w:r>
      <w:r w:rsidRPr="003E2AEE">
        <w:t>reabsorpti</w:t>
      </w:r>
      <w:r>
        <w:t>on by</w:t>
      </w:r>
      <w:r w:rsidRPr="003E2AEE">
        <w:t xml:space="preserve"> the renal tubules</w:t>
      </w:r>
      <w:r>
        <w:t>.</w:t>
      </w:r>
      <w:r w:rsidRPr="00EA212F">
        <w:rPr>
          <w:vertAlign w:val="superscript"/>
        </w:rPr>
        <w:t>1</w:t>
      </w:r>
      <w:r w:rsidRPr="003E2AEE">
        <w:t xml:space="preserve"> </w:t>
      </w:r>
      <w:r>
        <w:t>Vasopressin a</w:t>
      </w:r>
      <w:r w:rsidRPr="003E2AEE">
        <w:t>lso increases adre</w:t>
      </w:r>
      <w:r>
        <w:t>nocorticotropic hormone (ACTH) and</w:t>
      </w:r>
      <w:r w:rsidRPr="003E2AEE">
        <w:t xml:space="preserve"> aldosterone levels.</w:t>
      </w:r>
    </w:p>
    <w:p w:rsidR="00627E18" w:rsidRDefault="00627E18" w:rsidP="00627E18">
      <w:r>
        <w:t>Vasopressin plays a minimal role in blood pressure regulation in normotensive states. During vasodilatory shock, a</w:t>
      </w:r>
      <w:r w:rsidRPr="003E2AEE">
        <w:t xml:space="preserve">dministration may correct a relative endogenous vasopressin deficiency </w:t>
      </w:r>
      <w:r>
        <w:t>that develops when endogenous secretory stores become depleted.</w:t>
      </w:r>
      <w:r w:rsidRPr="00EA212F">
        <w:rPr>
          <w:vertAlign w:val="superscript"/>
        </w:rPr>
        <w:t>2</w:t>
      </w:r>
    </w:p>
    <w:p w:rsidR="00627E18" w:rsidRPr="003E2AEE" w:rsidRDefault="00627E18" w:rsidP="00627E18">
      <w:r>
        <w:t xml:space="preserve">Vasopressin </w:t>
      </w:r>
      <w:r w:rsidRPr="003E2AEE">
        <w:t>augment</w:t>
      </w:r>
      <w:r>
        <w:t>s</w:t>
      </w:r>
      <w:r w:rsidRPr="003E2AEE">
        <w:t xml:space="preserve"> the re</w:t>
      </w:r>
      <w:r>
        <w:t>sponse to catecholamine therapy, reducing</w:t>
      </w:r>
      <w:r w:rsidRPr="003E2AEE">
        <w:t xml:space="preserve"> the </w:t>
      </w:r>
      <w:r>
        <w:t>required catecholamine dose,</w:t>
      </w:r>
      <w:r w:rsidRPr="00662459">
        <w:rPr>
          <w:vertAlign w:val="superscript"/>
        </w:rPr>
        <w:t>3,4</w:t>
      </w:r>
      <w:r>
        <w:t xml:space="preserve"> and </w:t>
      </w:r>
      <w:r w:rsidRPr="003E2AEE">
        <w:t>may be a more effective vasopressor i</w:t>
      </w:r>
      <w:r>
        <w:t>n patients with severe acidosis, when the</w:t>
      </w:r>
      <w:r w:rsidRPr="003E2AEE">
        <w:t xml:space="preserve"> efficacy of adrenergic agents</w:t>
      </w:r>
      <w:r>
        <w:t xml:space="preserve"> is potentially reduced due to receptor down-regulation.</w:t>
      </w:r>
      <w:r w:rsidRPr="00662459">
        <w:rPr>
          <w:vertAlign w:val="superscript"/>
        </w:rPr>
        <w:t>5</w:t>
      </w:r>
      <w:r>
        <w:t xml:space="preserve"> </w:t>
      </w:r>
    </w:p>
    <w:p w:rsidR="00627E18" w:rsidRPr="003E2AEE" w:rsidRDefault="00627E18" w:rsidP="00627E18">
      <w:r w:rsidRPr="003E2AEE">
        <w:t>Onset of action:</w:t>
      </w:r>
      <w:r>
        <w:t xml:space="preserve"> 1–2 minutes</w:t>
      </w:r>
      <w:r w:rsidR="00A220A1">
        <w:t>.</w:t>
      </w:r>
      <w:r w:rsidRPr="00A56D16">
        <w:rPr>
          <w:vertAlign w:val="superscript"/>
        </w:rPr>
        <w:t>6</w:t>
      </w:r>
    </w:p>
    <w:p w:rsidR="00627E18" w:rsidRPr="003E2AEE" w:rsidRDefault="00627E18" w:rsidP="00627E18">
      <w:r w:rsidRPr="00D3300E">
        <w:t>Duration of action: up to 20 minutes</w:t>
      </w:r>
      <w:r w:rsidR="00A220A1">
        <w:t>.</w:t>
      </w:r>
      <w:r w:rsidRPr="00D3300E">
        <w:rPr>
          <w:vertAlign w:val="superscript"/>
        </w:rPr>
        <w:t>6</w:t>
      </w:r>
      <w:r w:rsidRPr="003E2AEE">
        <w:t xml:space="preserve">  </w:t>
      </w:r>
    </w:p>
    <w:p w:rsidR="00627E18" w:rsidRDefault="00627E18" w:rsidP="00627E18">
      <w:r w:rsidRPr="003E2AEE">
        <w:t>Half-life: 10</w:t>
      </w:r>
      <w:r>
        <w:t>–</w:t>
      </w:r>
      <w:r w:rsidRPr="003E2AEE">
        <w:t>20 minutes</w:t>
      </w:r>
      <w:r w:rsidR="00A220A1">
        <w:t>.</w:t>
      </w:r>
      <w:r>
        <w:rPr>
          <w:vertAlign w:val="superscript"/>
        </w:rPr>
        <w:t>1</w:t>
      </w:r>
    </w:p>
    <w:p w:rsidR="00627E18" w:rsidRPr="00C4312A" w:rsidRDefault="00627E18" w:rsidP="00627E18">
      <w:pPr>
        <w:pStyle w:val="Heading2"/>
      </w:pPr>
      <w:r w:rsidRPr="00C4312A">
        <w:t>Indications</w:t>
      </w:r>
    </w:p>
    <w:p w:rsidR="00627E18" w:rsidRPr="003E2AEE" w:rsidRDefault="00627E18" w:rsidP="00627E18">
      <w:pPr>
        <w:pStyle w:val="Normalfollowingheading"/>
      </w:pPr>
      <w:r w:rsidRPr="003E2AEE">
        <w:t>To increase blood pressure in refractory vasodilatory shock when low systemic vascular resistance persists despite adequate fluid resuscitation and first-line vasopressor support with noradrenaline.</w:t>
      </w:r>
      <w:r>
        <w:rPr>
          <w:vertAlign w:val="superscript"/>
        </w:rPr>
        <w:t>7</w:t>
      </w:r>
      <w:r w:rsidRPr="003E2AEE">
        <w:t xml:space="preserve"> </w:t>
      </w:r>
    </w:p>
    <w:p w:rsidR="00627E18" w:rsidRPr="003E2AEE" w:rsidRDefault="00627E18" w:rsidP="00627E18">
      <w:r w:rsidRPr="003E2AEE">
        <w:t>The optimal timing for initiati</w:t>
      </w:r>
      <w:r>
        <w:t>ng</w:t>
      </w:r>
      <w:r w:rsidRPr="003E2AEE">
        <w:t xml:space="preserve"> vasopressin therapy remains controversial. Under conventional management, the introduction of vasopressin is delayed until the patient’s noradrenaline requirement is greater </w:t>
      </w:r>
      <w:r w:rsidRPr="00C87718">
        <w:t>than 20 to 30microg</w:t>
      </w:r>
      <w:r>
        <w:t>/</w:t>
      </w:r>
      <w:r w:rsidRPr="003E2AEE">
        <w:t>min. Limited studies have investigated the role of vasopressin as a first</w:t>
      </w:r>
      <w:r>
        <w:t>-</w:t>
      </w:r>
      <w:r w:rsidRPr="003E2AEE">
        <w:t>line agent in treat</w:t>
      </w:r>
      <w:r>
        <w:t>ing</w:t>
      </w:r>
      <w:r w:rsidRPr="003E2AEE">
        <w:t xml:space="preserve"> septic shock</w:t>
      </w:r>
      <w:r>
        <w:t>,</w:t>
      </w:r>
      <w:r w:rsidRPr="003E2AEE">
        <w:t xml:space="preserve"> and the benefits of t</w:t>
      </w:r>
      <w:r>
        <w:t>his approach remain uncertain.</w:t>
      </w:r>
      <w:r>
        <w:rPr>
          <w:vertAlign w:val="superscript"/>
        </w:rPr>
        <w:t>8</w:t>
      </w:r>
    </w:p>
    <w:p w:rsidR="00627E18" w:rsidRPr="002D3B3D" w:rsidRDefault="00627E18" w:rsidP="00627E18">
      <w:r w:rsidRPr="008A5184">
        <w:t xml:space="preserve">Vasopressin </w:t>
      </w:r>
      <w:r>
        <w:t>provides a c</w:t>
      </w:r>
      <w:r w:rsidRPr="003E2AEE">
        <w:t>omponent of</w:t>
      </w:r>
      <w:r>
        <w:t xml:space="preserve"> physiological support</w:t>
      </w:r>
      <w:r w:rsidRPr="003E2AEE">
        <w:t xml:space="preserve"> </w:t>
      </w:r>
      <w:r>
        <w:t>in brain dead potential organ donors.</w:t>
      </w:r>
      <w:r>
        <w:rPr>
          <w:vertAlign w:val="superscript"/>
        </w:rPr>
        <w:t xml:space="preserve">9 </w:t>
      </w:r>
    </w:p>
    <w:p w:rsidR="00627E18" w:rsidRDefault="00627E18" w:rsidP="00627E18">
      <w:pPr>
        <w:pStyle w:val="Heading2"/>
      </w:pPr>
      <w:r w:rsidRPr="00C4312A">
        <w:t>Precautions</w:t>
      </w:r>
    </w:p>
    <w:p w:rsidR="00A220A1" w:rsidRPr="00407C45" w:rsidRDefault="00A220A1" w:rsidP="00A220A1">
      <w:pPr>
        <w:numPr>
          <w:ilvl w:val="0"/>
          <w:numId w:val="8"/>
        </w:numPr>
        <w:spacing w:before="60" w:after="60"/>
        <w:rPr>
          <w:rFonts w:eastAsia="Times New Roman" w:cs="Calibri"/>
        </w:rPr>
      </w:pPr>
      <w:r w:rsidRPr="00407C45">
        <w:rPr>
          <w:rFonts w:eastAsiaTheme="majorEastAsia" w:cs="Calibri"/>
        </w:rPr>
        <w:t>Hypersensitivity</w:t>
      </w:r>
      <w:r w:rsidRPr="00407C45">
        <w:rPr>
          <w:rFonts w:eastAsia="Times New Roman" w:cs="Calibri"/>
        </w:rPr>
        <w:t xml:space="preserve"> to vasopressin or components – anaphylaxis has been reported</w:t>
      </w:r>
      <w:r w:rsidRPr="00407C45">
        <w:rPr>
          <w:rFonts w:eastAsia="Times New Roman" w:cs="Calibri"/>
          <w:vertAlign w:val="superscript"/>
        </w:rPr>
        <w:t>1</w:t>
      </w:r>
    </w:p>
    <w:p w:rsidR="00A220A1" w:rsidRPr="00407C45" w:rsidRDefault="00A220A1" w:rsidP="00A220A1">
      <w:pPr>
        <w:numPr>
          <w:ilvl w:val="0"/>
          <w:numId w:val="8"/>
        </w:numPr>
        <w:spacing w:before="60" w:after="60"/>
        <w:rPr>
          <w:rFonts w:eastAsia="Times New Roman" w:cs="Calibri"/>
        </w:rPr>
      </w:pPr>
      <w:r w:rsidRPr="00407C45">
        <w:rPr>
          <w:rFonts w:eastAsiaTheme="majorEastAsia" w:cs="Calibri"/>
        </w:rPr>
        <w:t>Hypotension</w:t>
      </w:r>
      <w:r w:rsidRPr="00407C45">
        <w:rPr>
          <w:rFonts w:eastAsia="Times New Roman" w:cs="Calibri"/>
        </w:rPr>
        <w:t xml:space="preserve"> due to uncorrected hypovolaemia</w:t>
      </w:r>
      <w:r w:rsidRPr="00407C45">
        <w:rPr>
          <w:rFonts w:eastAsia="Times New Roman" w:cs="Calibri"/>
          <w:vertAlign w:val="superscript"/>
        </w:rPr>
        <w:t>1</w:t>
      </w:r>
    </w:p>
    <w:p w:rsidR="00A220A1" w:rsidRPr="00407C45" w:rsidRDefault="00A220A1" w:rsidP="00407C45">
      <w:pPr>
        <w:numPr>
          <w:ilvl w:val="0"/>
          <w:numId w:val="8"/>
        </w:numPr>
        <w:spacing w:before="60" w:after="60"/>
        <w:rPr>
          <w:rFonts w:eastAsia="Times New Roman" w:cs="Times-Bold"/>
          <w:bCs/>
        </w:rPr>
      </w:pPr>
      <w:r w:rsidRPr="00407C45">
        <w:rPr>
          <w:rFonts w:eastAsiaTheme="majorEastAsia" w:cs="Calibri"/>
        </w:rPr>
        <w:lastRenderedPageBreak/>
        <w:t>Conditions</w:t>
      </w:r>
      <w:r w:rsidRPr="00407C45">
        <w:rPr>
          <w:rFonts w:eastAsia="Times New Roman" w:cs="Times-Bold"/>
          <w:bCs/>
        </w:rPr>
        <w:t xml:space="preserve"> exacerbated by fluid overload or water intoxication including asthma, epilepsy and heart failure.</w:t>
      </w:r>
      <w:r w:rsidRPr="00407C45">
        <w:rPr>
          <w:rFonts w:eastAsia="Times New Roman" w:cs="Times-Bold"/>
          <w:bCs/>
          <w:vertAlign w:val="superscript"/>
        </w:rPr>
        <w:t>1</w:t>
      </w:r>
      <w:bookmarkStart w:id="0" w:name="_GoBack"/>
      <w:bookmarkEnd w:id="0"/>
    </w:p>
    <w:p w:rsidR="00627E18" w:rsidRPr="00C4312A" w:rsidRDefault="00627E18" w:rsidP="00627E18">
      <w:pPr>
        <w:pStyle w:val="Heading2"/>
      </w:pPr>
      <w:r w:rsidRPr="00C4312A">
        <w:t>Medication presentation</w:t>
      </w:r>
    </w:p>
    <w:p w:rsidR="00627E18" w:rsidRDefault="00627E18" w:rsidP="00627E18">
      <w:pPr>
        <w:pStyle w:val="Normalfollowingheading"/>
      </w:pPr>
      <w:r w:rsidRPr="003E2AEE">
        <w:t>20 units/1</w:t>
      </w:r>
      <w:r>
        <w:t xml:space="preserve"> </w:t>
      </w:r>
      <w:r w:rsidRPr="003E2AEE">
        <w:t>mL vial</w:t>
      </w:r>
      <w:r w:rsidR="00A220A1">
        <w:t>.</w:t>
      </w:r>
    </w:p>
    <w:p w:rsidR="00627E18" w:rsidRPr="00C4312A" w:rsidRDefault="00627E18" w:rsidP="00627E18">
      <w:pPr>
        <w:pStyle w:val="Heading2"/>
      </w:pPr>
      <w:r w:rsidRPr="00C4312A">
        <w:t>Medicati</w:t>
      </w:r>
      <w:r w:rsidRPr="00E04F11">
        <w:t>on</w:t>
      </w:r>
      <w:r w:rsidRPr="00C4312A">
        <w:t xml:space="preserve"> storage</w:t>
      </w:r>
    </w:p>
    <w:p w:rsidR="00627E18" w:rsidRPr="003E2AEE" w:rsidRDefault="00627E18" w:rsidP="00627E18">
      <w:pPr>
        <w:pStyle w:val="Normalfollowingheading"/>
        <w:rPr>
          <w:i/>
        </w:rPr>
      </w:pPr>
      <w:r w:rsidRPr="003E2AEE">
        <w:t>Store vials below 25°C. Do not freeze.</w:t>
      </w:r>
      <w:r>
        <w:rPr>
          <w:vertAlign w:val="superscript"/>
        </w:rPr>
        <w:t>10</w:t>
      </w:r>
      <w:r>
        <w:t xml:space="preserve"> </w:t>
      </w:r>
    </w:p>
    <w:p w:rsidR="00627E18" w:rsidRPr="003E2AEE" w:rsidRDefault="00627E18" w:rsidP="00627E18">
      <w:pPr>
        <w:rPr>
          <w:rFonts w:cs="TimesNewRomanPSMT"/>
        </w:rPr>
      </w:pPr>
      <w:r>
        <w:t>Infusion solutions are</w:t>
      </w:r>
      <w:r w:rsidRPr="003E2AEE">
        <w:rPr>
          <w:rFonts w:cs="TimesNewRomanPSMT"/>
        </w:rPr>
        <w:t xml:space="preserve"> only stable for 18 hours at room temperature</w:t>
      </w:r>
      <w:r w:rsidRPr="008E2AF6">
        <w:rPr>
          <w:rFonts w:cs="TimesNewRomanPSMT"/>
          <w:vertAlign w:val="superscript"/>
        </w:rPr>
        <w:t>1</w:t>
      </w:r>
      <w:r>
        <w:t xml:space="preserve"> or</w:t>
      </w:r>
      <w:r w:rsidRPr="003E2AEE">
        <w:t xml:space="preserve"> 24 hours</w:t>
      </w:r>
      <w:r>
        <w:t xml:space="preserve"> at 2–8</w:t>
      </w:r>
      <w:r w:rsidRPr="003E2AEE">
        <w:t>°C</w:t>
      </w:r>
      <w:r>
        <w:t>.</w:t>
      </w:r>
      <w:r>
        <w:rPr>
          <w:vertAlign w:val="superscript"/>
        </w:rPr>
        <w:t>10</w:t>
      </w:r>
    </w:p>
    <w:p w:rsidR="00627E18" w:rsidRPr="00627E18" w:rsidRDefault="00627E18" w:rsidP="00627E18">
      <w:pPr>
        <w:rPr>
          <w:rFonts w:cs="TimesNewRomanPSMT"/>
        </w:rPr>
      </w:pPr>
      <w:r w:rsidRPr="003E2AEE">
        <w:rPr>
          <w:rFonts w:cs="TimesNewRomanPSMT"/>
        </w:rPr>
        <w:t>Stock not registered in Australia will require completion of a Special Access Scheme Category A form</w:t>
      </w:r>
      <w:r>
        <w:rPr>
          <w:rFonts w:cs="TimesNewRomanPSMT"/>
        </w:rPr>
        <w:t>.</w:t>
      </w:r>
    </w:p>
    <w:p w:rsidR="00627E18" w:rsidRDefault="00627E18" w:rsidP="00627E18">
      <w:pPr>
        <w:pStyle w:val="Heading2"/>
      </w:pPr>
      <w:r w:rsidRPr="00C4312A">
        <w:t xml:space="preserve">Preparation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8"/>
        <w:gridCol w:w="3472"/>
        <w:gridCol w:w="3472"/>
      </w:tblGrid>
      <w:tr w:rsidR="00627E18" w:rsidRPr="00627E18" w:rsidTr="004769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8" w:type="dxa"/>
          </w:tcPr>
          <w:p w:rsidR="00627E18" w:rsidRPr="00627E18" w:rsidRDefault="00627E18" w:rsidP="00627E18">
            <w:pPr>
              <w:pStyle w:val="Normalfollowingheading"/>
              <w:rPr>
                <w:sz w:val="18"/>
              </w:rPr>
            </w:pPr>
          </w:p>
        </w:tc>
        <w:tc>
          <w:tcPr>
            <w:tcW w:w="6944" w:type="dxa"/>
            <w:gridSpan w:val="2"/>
          </w:tcPr>
          <w:p w:rsidR="00627E18" w:rsidRPr="00627E18" w:rsidRDefault="00627E18" w:rsidP="00627E18">
            <w:pPr>
              <w:pStyle w:val="Normalfollowing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627E18">
              <w:rPr>
                <w:sz w:val="18"/>
              </w:rPr>
              <w:t>Syringe driver</w:t>
            </w:r>
          </w:p>
        </w:tc>
      </w:tr>
      <w:tr w:rsidR="00627E18" w:rsidRPr="00627E18" w:rsidTr="004769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8" w:type="dxa"/>
          </w:tcPr>
          <w:p w:rsidR="00627E18" w:rsidRPr="00627E18" w:rsidRDefault="00627E18" w:rsidP="002133C6">
            <w:pPr>
              <w:pStyle w:val="Tabletext"/>
              <w:rPr>
                <w:b w:val="0"/>
                <w:sz w:val="18"/>
              </w:rPr>
            </w:pPr>
            <w:r w:rsidRPr="00627E18">
              <w:rPr>
                <w:sz w:val="18"/>
              </w:rPr>
              <w:t>Prescribe</w:t>
            </w:r>
          </w:p>
        </w:tc>
        <w:tc>
          <w:tcPr>
            <w:tcW w:w="3472" w:type="dxa"/>
          </w:tcPr>
          <w:p w:rsidR="00627E18" w:rsidRPr="00627E18" w:rsidRDefault="00627E18" w:rsidP="002133C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627E18">
              <w:rPr>
                <w:sz w:val="18"/>
              </w:rPr>
              <w:t>20 units in 20</w:t>
            </w:r>
            <w:r>
              <w:rPr>
                <w:sz w:val="18"/>
              </w:rPr>
              <w:t xml:space="preserve"> </w:t>
            </w:r>
            <w:r w:rsidRPr="00627E18">
              <w:rPr>
                <w:sz w:val="18"/>
              </w:rPr>
              <w:t>mL</w:t>
            </w:r>
          </w:p>
        </w:tc>
        <w:tc>
          <w:tcPr>
            <w:tcW w:w="3472" w:type="dxa"/>
          </w:tcPr>
          <w:p w:rsidR="00627E18" w:rsidRPr="00627E18" w:rsidRDefault="00627E18" w:rsidP="002133C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627E18">
              <w:rPr>
                <w:sz w:val="18"/>
              </w:rPr>
              <w:t>40 units in 40</w:t>
            </w:r>
            <w:r>
              <w:rPr>
                <w:sz w:val="18"/>
              </w:rPr>
              <w:t xml:space="preserve"> </w:t>
            </w:r>
            <w:r w:rsidRPr="00627E18">
              <w:rPr>
                <w:sz w:val="18"/>
              </w:rPr>
              <w:t>mL</w:t>
            </w:r>
          </w:p>
        </w:tc>
      </w:tr>
      <w:tr w:rsidR="00627E18" w:rsidRPr="00627E18" w:rsidTr="004769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8" w:type="dxa"/>
          </w:tcPr>
          <w:p w:rsidR="00627E18" w:rsidRPr="00627E18" w:rsidRDefault="00627E18" w:rsidP="002133C6">
            <w:pPr>
              <w:pStyle w:val="Tabletext"/>
              <w:rPr>
                <w:b w:val="0"/>
                <w:sz w:val="18"/>
              </w:rPr>
            </w:pPr>
            <w:r w:rsidRPr="00627E18">
              <w:rPr>
                <w:sz w:val="18"/>
              </w:rPr>
              <w:t>Make up infusion in</w:t>
            </w:r>
          </w:p>
        </w:tc>
        <w:tc>
          <w:tcPr>
            <w:tcW w:w="3472" w:type="dxa"/>
          </w:tcPr>
          <w:p w:rsidR="00627E18" w:rsidRPr="00627E18" w:rsidRDefault="00627E18" w:rsidP="002133C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627E18">
              <w:rPr>
                <w:sz w:val="18"/>
              </w:rPr>
              <w:t>Glucose 5%</w:t>
            </w:r>
            <w:r w:rsidR="00476966">
              <w:rPr>
                <w:sz w:val="18"/>
              </w:rPr>
              <w:t>*</w:t>
            </w:r>
          </w:p>
        </w:tc>
        <w:tc>
          <w:tcPr>
            <w:tcW w:w="3472" w:type="dxa"/>
          </w:tcPr>
          <w:p w:rsidR="00627E18" w:rsidRPr="00627E18" w:rsidRDefault="00627E18" w:rsidP="002133C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627E18">
              <w:rPr>
                <w:sz w:val="18"/>
              </w:rPr>
              <w:t>Glucose 5%</w:t>
            </w:r>
            <w:r w:rsidR="00476966">
              <w:rPr>
                <w:sz w:val="18"/>
              </w:rPr>
              <w:t>*</w:t>
            </w:r>
          </w:p>
        </w:tc>
      </w:tr>
      <w:tr w:rsidR="00627E18" w:rsidRPr="00627E18" w:rsidTr="004769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8" w:type="dxa"/>
          </w:tcPr>
          <w:p w:rsidR="00627E18" w:rsidRPr="00627E18" w:rsidRDefault="00627E18" w:rsidP="002133C6">
            <w:pPr>
              <w:pStyle w:val="Tabletext"/>
              <w:rPr>
                <w:b w:val="0"/>
                <w:sz w:val="18"/>
              </w:rPr>
            </w:pPr>
            <w:r w:rsidRPr="00627E18">
              <w:rPr>
                <w:sz w:val="18"/>
              </w:rPr>
              <w:t>Volume to be drawn up into the syringe</w:t>
            </w:r>
          </w:p>
        </w:tc>
        <w:tc>
          <w:tcPr>
            <w:tcW w:w="3472" w:type="dxa"/>
          </w:tcPr>
          <w:p w:rsidR="00627E18" w:rsidRPr="00627E18" w:rsidRDefault="00627E18" w:rsidP="002133C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627E18">
              <w:rPr>
                <w:sz w:val="18"/>
              </w:rPr>
              <w:t>19</w:t>
            </w:r>
            <w:r>
              <w:rPr>
                <w:sz w:val="18"/>
              </w:rPr>
              <w:t xml:space="preserve"> </w:t>
            </w:r>
            <w:r w:rsidRPr="00627E18">
              <w:rPr>
                <w:sz w:val="18"/>
              </w:rPr>
              <w:t>mL</w:t>
            </w:r>
          </w:p>
        </w:tc>
        <w:tc>
          <w:tcPr>
            <w:tcW w:w="3472" w:type="dxa"/>
          </w:tcPr>
          <w:p w:rsidR="00627E18" w:rsidRPr="00627E18" w:rsidRDefault="00627E18" w:rsidP="002133C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627E18">
              <w:rPr>
                <w:sz w:val="18"/>
              </w:rPr>
              <w:t>38</w:t>
            </w:r>
            <w:r>
              <w:rPr>
                <w:sz w:val="18"/>
              </w:rPr>
              <w:t xml:space="preserve"> </w:t>
            </w:r>
            <w:r w:rsidRPr="00627E18">
              <w:rPr>
                <w:sz w:val="18"/>
              </w:rPr>
              <w:t>mL</w:t>
            </w:r>
          </w:p>
        </w:tc>
      </w:tr>
      <w:tr w:rsidR="00627E18" w:rsidRPr="00627E18" w:rsidTr="004769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8" w:type="dxa"/>
          </w:tcPr>
          <w:p w:rsidR="00627E18" w:rsidRPr="00627E18" w:rsidRDefault="00627E18" w:rsidP="002133C6">
            <w:pPr>
              <w:pStyle w:val="Tabletext"/>
              <w:rPr>
                <w:b w:val="0"/>
                <w:sz w:val="18"/>
              </w:rPr>
            </w:pPr>
            <w:r w:rsidRPr="00627E18">
              <w:rPr>
                <w:sz w:val="18"/>
              </w:rPr>
              <w:t>Drug dose to be added</w:t>
            </w:r>
          </w:p>
        </w:tc>
        <w:tc>
          <w:tcPr>
            <w:tcW w:w="3472" w:type="dxa"/>
          </w:tcPr>
          <w:p w:rsidR="00627E18" w:rsidRPr="00627E18" w:rsidRDefault="00627E18" w:rsidP="002133C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627E18">
              <w:rPr>
                <w:sz w:val="18"/>
              </w:rPr>
              <w:t>20 units (1</w:t>
            </w:r>
            <w:r>
              <w:rPr>
                <w:sz w:val="18"/>
              </w:rPr>
              <w:t xml:space="preserve"> </w:t>
            </w:r>
            <w:r w:rsidRPr="00627E18">
              <w:rPr>
                <w:sz w:val="18"/>
              </w:rPr>
              <w:t>mL)</w:t>
            </w:r>
          </w:p>
        </w:tc>
        <w:tc>
          <w:tcPr>
            <w:tcW w:w="3472" w:type="dxa"/>
          </w:tcPr>
          <w:p w:rsidR="00627E18" w:rsidRPr="00627E18" w:rsidRDefault="00627E18" w:rsidP="002133C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627E18">
              <w:rPr>
                <w:sz w:val="18"/>
              </w:rPr>
              <w:t>40 units (2</w:t>
            </w:r>
            <w:r>
              <w:rPr>
                <w:sz w:val="18"/>
              </w:rPr>
              <w:t xml:space="preserve"> </w:t>
            </w:r>
            <w:r w:rsidRPr="00627E18">
              <w:rPr>
                <w:sz w:val="18"/>
              </w:rPr>
              <w:t>mL)</w:t>
            </w:r>
          </w:p>
        </w:tc>
      </w:tr>
      <w:tr w:rsidR="00627E18" w:rsidRPr="00627E18" w:rsidTr="004769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8" w:type="dxa"/>
          </w:tcPr>
          <w:p w:rsidR="00627E18" w:rsidRPr="00627E18" w:rsidRDefault="00627E18" w:rsidP="002133C6">
            <w:pPr>
              <w:pStyle w:val="Tabletext"/>
              <w:rPr>
                <w:b w:val="0"/>
                <w:sz w:val="18"/>
              </w:rPr>
            </w:pPr>
            <w:r w:rsidRPr="00627E18">
              <w:rPr>
                <w:sz w:val="18"/>
              </w:rPr>
              <w:t>Final volume</w:t>
            </w:r>
          </w:p>
        </w:tc>
        <w:tc>
          <w:tcPr>
            <w:tcW w:w="3472" w:type="dxa"/>
          </w:tcPr>
          <w:p w:rsidR="00627E18" w:rsidRPr="00627E18" w:rsidRDefault="00627E18" w:rsidP="002133C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627E18">
              <w:rPr>
                <w:sz w:val="18"/>
              </w:rPr>
              <w:t>20</w:t>
            </w:r>
            <w:r>
              <w:rPr>
                <w:sz w:val="18"/>
              </w:rPr>
              <w:t xml:space="preserve"> </w:t>
            </w:r>
            <w:r w:rsidRPr="00627E18">
              <w:rPr>
                <w:sz w:val="18"/>
              </w:rPr>
              <w:t>mL</w:t>
            </w:r>
          </w:p>
        </w:tc>
        <w:tc>
          <w:tcPr>
            <w:tcW w:w="3472" w:type="dxa"/>
          </w:tcPr>
          <w:p w:rsidR="00627E18" w:rsidRPr="00627E18" w:rsidRDefault="00627E18" w:rsidP="002133C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627E18">
              <w:rPr>
                <w:sz w:val="18"/>
              </w:rPr>
              <w:t>40</w:t>
            </w:r>
            <w:r>
              <w:rPr>
                <w:sz w:val="18"/>
              </w:rPr>
              <w:t xml:space="preserve"> </w:t>
            </w:r>
            <w:r w:rsidRPr="00627E18">
              <w:rPr>
                <w:sz w:val="18"/>
              </w:rPr>
              <w:t>mL</w:t>
            </w:r>
          </w:p>
        </w:tc>
      </w:tr>
      <w:tr w:rsidR="00627E18" w:rsidRPr="00627E18" w:rsidTr="004769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8" w:type="dxa"/>
          </w:tcPr>
          <w:p w:rsidR="00627E18" w:rsidRPr="00627E18" w:rsidRDefault="00627E18" w:rsidP="002133C6">
            <w:pPr>
              <w:pStyle w:val="Tabletext"/>
              <w:rPr>
                <w:b w:val="0"/>
                <w:sz w:val="18"/>
              </w:rPr>
            </w:pPr>
            <w:r w:rsidRPr="00627E18">
              <w:rPr>
                <w:sz w:val="18"/>
              </w:rPr>
              <w:t>Final concentration</w:t>
            </w:r>
          </w:p>
        </w:tc>
        <w:tc>
          <w:tcPr>
            <w:tcW w:w="3472" w:type="dxa"/>
          </w:tcPr>
          <w:p w:rsidR="00627E18" w:rsidRPr="00627E18" w:rsidRDefault="00627E18" w:rsidP="002133C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627E18">
              <w:rPr>
                <w:sz w:val="18"/>
              </w:rPr>
              <w:t>1 unit/mL</w:t>
            </w:r>
          </w:p>
        </w:tc>
        <w:tc>
          <w:tcPr>
            <w:tcW w:w="3472" w:type="dxa"/>
          </w:tcPr>
          <w:p w:rsidR="00627E18" w:rsidRPr="00627E18" w:rsidRDefault="00627E18" w:rsidP="002133C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627E18">
              <w:rPr>
                <w:sz w:val="18"/>
              </w:rPr>
              <w:t>1 unit/mL</w:t>
            </w:r>
          </w:p>
        </w:tc>
      </w:tr>
      <w:tr w:rsidR="00627E18" w:rsidRPr="00627E18" w:rsidTr="004769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8" w:type="dxa"/>
          </w:tcPr>
          <w:p w:rsidR="00627E18" w:rsidRPr="00627E18" w:rsidRDefault="00627E18" w:rsidP="002133C6">
            <w:pPr>
              <w:pStyle w:val="Tabletext"/>
              <w:rPr>
                <w:b w:val="0"/>
                <w:sz w:val="18"/>
              </w:rPr>
            </w:pPr>
            <w:r w:rsidRPr="00627E18">
              <w:rPr>
                <w:sz w:val="18"/>
              </w:rPr>
              <w:t>1</w:t>
            </w:r>
            <w:r>
              <w:rPr>
                <w:sz w:val="18"/>
              </w:rPr>
              <w:t xml:space="preserve"> </w:t>
            </w:r>
            <w:r w:rsidRPr="00627E18">
              <w:rPr>
                <w:sz w:val="18"/>
              </w:rPr>
              <w:t>mL/hr =</w:t>
            </w:r>
          </w:p>
        </w:tc>
        <w:tc>
          <w:tcPr>
            <w:tcW w:w="3472" w:type="dxa"/>
          </w:tcPr>
          <w:p w:rsidR="00627E18" w:rsidRPr="00627E18" w:rsidRDefault="00627E18" w:rsidP="002133C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627E18">
              <w:rPr>
                <w:sz w:val="18"/>
              </w:rPr>
              <w:t>1 unit/hr</w:t>
            </w:r>
          </w:p>
        </w:tc>
        <w:tc>
          <w:tcPr>
            <w:tcW w:w="3472" w:type="dxa"/>
          </w:tcPr>
          <w:p w:rsidR="00627E18" w:rsidRPr="00627E18" w:rsidRDefault="00627E18" w:rsidP="002133C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627E18">
              <w:rPr>
                <w:sz w:val="18"/>
              </w:rPr>
              <w:t>1 unit/hr</w:t>
            </w:r>
          </w:p>
        </w:tc>
      </w:tr>
    </w:tbl>
    <w:p w:rsidR="00627E18" w:rsidRDefault="00476966" w:rsidP="00627E18">
      <w:pPr>
        <w:pStyle w:val="Normalfollowingheading"/>
      </w:pPr>
      <w:r w:rsidRPr="00476966">
        <w:rPr>
          <w:sz w:val="18"/>
        </w:rPr>
        <w:t xml:space="preserve">*Glucose 5% is preferred for diluting all inotropes and vasopressors. However, </w:t>
      </w:r>
      <w:r w:rsidR="00627E18" w:rsidRPr="00627E18">
        <w:rPr>
          <w:sz w:val="18"/>
        </w:rPr>
        <w:t>Vasopressin is also compatible with sodium chloride 0.9%.</w:t>
      </w:r>
      <w:r w:rsidR="00627E18" w:rsidRPr="00627E18">
        <w:rPr>
          <w:sz w:val="18"/>
          <w:vertAlign w:val="superscript"/>
        </w:rPr>
        <w:t>10</w:t>
      </w:r>
    </w:p>
    <w:p w:rsidR="00627E18" w:rsidRPr="000467EF" w:rsidRDefault="00627E18" w:rsidP="00627E18">
      <w:pPr>
        <w:pStyle w:val="Heading2"/>
      </w:pPr>
      <w:r w:rsidRPr="000467EF">
        <w:t>Administration – this guideline is intended for central access only</w:t>
      </w:r>
    </w:p>
    <w:p w:rsidR="00627E18" w:rsidRPr="003E2AEE" w:rsidRDefault="00627E18" w:rsidP="00627E18">
      <w:pPr>
        <w:pStyle w:val="Normalfollowingheading"/>
      </w:pPr>
      <w:r>
        <w:t xml:space="preserve">Administer </w:t>
      </w:r>
      <w:r w:rsidRPr="003E2AEE">
        <w:t xml:space="preserve">continuous </w:t>
      </w:r>
      <w:r>
        <w:t>i</w:t>
      </w:r>
      <w:r w:rsidRPr="003E2AEE">
        <w:t>ntravenous infusion through a central access line.</w:t>
      </w:r>
      <w:r>
        <w:rPr>
          <w:vertAlign w:val="superscript"/>
        </w:rPr>
        <w:t>10</w:t>
      </w:r>
    </w:p>
    <w:p w:rsidR="00627E18" w:rsidRPr="003E2AEE" w:rsidRDefault="00627E18" w:rsidP="00627E18">
      <w:r w:rsidRPr="003E2AEE">
        <w:t xml:space="preserve">Infusions should be administered via </w:t>
      </w:r>
      <w:r>
        <w:t xml:space="preserve">a </w:t>
      </w:r>
      <w:r w:rsidRPr="003E2AEE">
        <w:t>syringe driver, preferably with medication error reduction software enabled.</w:t>
      </w:r>
    </w:p>
    <w:p w:rsidR="00627E18" w:rsidRDefault="00627E18" w:rsidP="00627E18">
      <w:r w:rsidRPr="003E2AEE">
        <w:t xml:space="preserve">Avoid administration </w:t>
      </w:r>
      <w:r>
        <w:t xml:space="preserve">via </w:t>
      </w:r>
      <w:r w:rsidRPr="003E2AEE">
        <w:t>lines where other drugs or flu</w:t>
      </w:r>
      <w:r>
        <w:t xml:space="preserve">ids may be </w:t>
      </w:r>
      <w:proofErr w:type="spellStart"/>
      <w:r>
        <w:t>bolused</w:t>
      </w:r>
      <w:proofErr w:type="spellEnd"/>
      <w:r>
        <w:t xml:space="preserve"> or flushed.</w:t>
      </w:r>
      <w:r>
        <w:rPr>
          <w:vertAlign w:val="superscript"/>
        </w:rPr>
        <w:t>11</w:t>
      </w:r>
    </w:p>
    <w:p w:rsidR="00627E18" w:rsidRPr="00C4312A" w:rsidRDefault="00627E18" w:rsidP="00627E18">
      <w:pPr>
        <w:pStyle w:val="Heading2"/>
      </w:pPr>
      <w:r w:rsidRPr="00C4312A">
        <w:t>Dosing</w:t>
      </w:r>
    </w:p>
    <w:p w:rsidR="00627E18" w:rsidRPr="003E2AEE" w:rsidRDefault="00627E18" w:rsidP="00627E18">
      <w:pPr>
        <w:pStyle w:val="Normalfollowingheading"/>
      </w:pPr>
      <w:r w:rsidRPr="003E2AEE">
        <w:t>Starting dose: 0.6 units/h</w:t>
      </w:r>
      <w:r>
        <w:t>r.</w:t>
      </w:r>
    </w:p>
    <w:p w:rsidR="00627E18" w:rsidRPr="003E2AEE" w:rsidRDefault="00627E18" w:rsidP="00627E18">
      <w:r w:rsidRPr="003E2AEE">
        <w:rPr>
          <w:lang w:val="en-US"/>
        </w:rPr>
        <w:t>Titrate in accordance with prescribed blood pressure parameters</w:t>
      </w:r>
      <w:r>
        <w:rPr>
          <w:lang w:val="en-US"/>
        </w:rPr>
        <w:t xml:space="preserve"> –</w:t>
      </w:r>
      <w:r w:rsidRPr="003E2AEE">
        <w:rPr>
          <w:lang w:val="en-US"/>
        </w:rPr>
        <w:t xml:space="preserve"> for example</w:t>
      </w:r>
      <w:r>
        <w:rPr>
          <w:lang w:val="en-US"/>
        </w:rPr>
        <w:t>,</w:t>
      </w:r>
      <w:r w:rsidRPr="003E2AEE">
        <w:rPr>
          <w:lang w:val="en-US"/>
        </w:rPr>
        <w:t xml:space="preserve"> </w:t>
      </w:r>
      <w:r>
        <w:rPr>
          <w:lang w:val="en-US"/>
        </w:rPr>
        <w:t>in</w:t>
      </w:r>
      <w:r w:rsidRPr="003E2AEE">
        <w:rPr>
          <w:lang w:val="en-US"/>
        </w:rPr>
        <w:t xml:space="preserve"> increments of 0.6</w:t>
      </w:r>
      <w:r>
        <w:rPr>
          <w:lang w:val="en-US"/>
        </w:rPr>
        <w:t xml:space="preserve"> </w:t>
      </w:r>
      <w:r w:rsidRPr="003E2AEE">
        <w:rPr>
          <w:lang w:val="en-US"/>
        </w:rPr>
        <w:t>units/h</w:t>
      </w:r>
      <w:r>
        <w:rPr>
          <w:lang w:val="en-US"/>
        </w:rPr>
        <w:t>r.</w:t>
      </w:r>
    </w:p>
    <w:p w:rsidR="00627E18" w:rsidRPr="003E2AEE" w:rsidRDefault="00627E18" w:rsidP="00627E18">
      <w:r w:rsidRPr="003E2AEE">
        <w:t>Usual dose range for vasodilatory shock: 0.6 to 2.4 units/h</w:t>
      </w:r>
      <w:r>
        <w:t>r.</w:t>
      </w:r>
      <w:r>
        <w:rPr>
          <w:vertAlign w:val="superscript"/>
        </w:rPr>
        <w:t>3,4,12</w:t>
      </w:r>
    </w:p>
    <w:p w:rsidR="00627E18" w:rsidRPr="003E2AEE" w:rsidRDefault="00627E18" w:rsidP="00627E18">
      <w:r w:rsidRPr="003E2AEE">
        <w:t>Maximum dose: up to</w:t>
      </w:r>
      <w:r>
        <w:t xml:space="preserve"> 3.6</w:t>
      </w:r>
      <w:r w:rsidRPr="003E2AEE">
        <w:t xml:space="preserve"> units/h</w:t>
      </w:r>
      <w:r>
        <w:t>r</w:t>
      </w:r>
      <w:r w:rsidRPr="003E2AEE">
        <w:t xml:space="preserve"> </w:t>
      </w:r>
      <w:r>
        <w:t>has</w:t>
      </w:r>
      <w:r w:rsidRPr="003E2AEE">
        <w:t xml:space="preserve"> been used</w:t>
      </w:r>
      <w:r>
        <w:t>,</w:t>
      </w:r>
      <w:r w:rsidRPr="003E2AEE">
        <w:t xml:space="preserve"> but </w:t>
      </w:r>
      <w:r>
        <w:t>higher doses may</w:t>
      </w:r>
      <w:r w:rsidRPr="003E2AEE">
        <w:t xml:space="preserve"> increase th</w:t>
      </w:r>
      <w:r>
        <w:t>e risk of ischaemic side effects.</w:t>
      </w:r>
      <w:r>
        <w:rPr>
          <w:vertAlign w:val="superscript"/>
        </w:rPr>
        <w:t>8</w:t>
      </w:r>
    </w:p>
    <w:p w:rsidR="00627E18" w:rsidRPr="003E2AEE" w:rsidRDefault="00627E18" w:rsidP="00627E18">
      <w:proofErr w:type="gramStart"/>
      <w:r w:rsidRPr="003E2AEE">
        <w:t>As a general rule</w:t>
      </w:r>
      <w:proofErr w:type="gramEnd"/>
      <w:r w:rsidRPr="003E2AEE">
        <w:t xml:space="preserve">, </w:t>
      </w:r>
      <w:r>
        <w:t xml:space="preserve">consider </w:t>
      </w:r>
      <w:r w:rsidRPr="003E2AEE">
        <w:t>commenc</w:t>
      </w:r>
      <w:r>
        <w:t>ing</w:t>
      </w:r>
      <w:r w:rsidRPr="003E2AEE">
        <w:t xml:space="preserve"> vasopressin wean when the patient’s noradrenaline requirement is below </w:t>
      </w:r>
      <w:r>
        <w:t>2</w:t>
      </w:r>
      <w:r w:rsidRPr="003E2AEE">
        <w:t xml:space="preserve">0microg/min, and wean </w:t>
      </w:r>
      <w:r>
        <w:t xml:space="preserve">no more rapidly than </w:t>
      </w:r>
      <w:r w:rsidRPr="003E2AEE">
        <w:t>in increments of 0.6 units/h</w:t>
      </w:r>
      <w:r>
        <w:t>r</w:t>
      </w:r>
      <w:r w:rsidRPr="003E2AEE">
        <w:t xml:space="preserve"> every 15 minutes.</w:t>
      </w:r>
    </w:p>
    <w:p w:rsidR="00627E18" w:rsidRDefault="00627E18" w:rsidP="00627E18">
      <w:r w:rsidRPr="003E2AEE">
        <w:lastRenderedPageBreak/>
        <w:t xml:space="preserve">Usual dose range for </w:t>
      </w:r>
      <w:r>
        <w:t>physiological support</w:t>
      </w:r>
      <w:r w:rsidRPr="003E2AEE">
        <w:t xml:space="preserve"> for</w:t>
      </w:r>
      <w:r>
        <w:t xml:space="preserve"> brain dead</w:t>
      </w:r>
      <w:r w:rsidRPr="003E2AEE">
        <w:t xml:space="preserve"> potential organ donors:</w:t>
      </w:r>
      <w:r>
        <w:t xml:space="preserve"> 0.5 to 2.4 units/hr.</w:t>
      </w:r>
      <w:r>
        <w:rPr>
          <w:vertAlign w:val="superscript"/>
        </w:rPr>
        <w:t>9</w:t>
      </w:r>
      <w:r>
        <w:t xml:space="preserve"> </w:t>
      </w:r>
    </w:p>
    <w:p w:rsidR="00627E18" w:rsidRPr="00C4312A" w:rsidRDefault="00627E18" w:rsidP="00627E18">
      <w:pPr>
        <w:pStyle w:val="Heading2"/>
      </w:pPr>
      <w:r w:rsidRPr="00C4312A">
        <w:t>Monitoring</w:t>
      </w:r>
    </w:p>
    <w:p w:rsidR="00627E18" w:rsidRPr="00AE0FF5" w:rsidRDefault="00627E18" w:rsidP="00627E18">
      <w:pPr>
        <w:pStyle w:val="Bullet1"/>
        <w:numPr>
          <w:ilvl w:val="0"/>
          <w:numId w:val="8"/>
        </w:numPr>
        <w:rPr>
          <w:rStyle w:val="BookTitle"/>
          <w:rFonts w:eastAsiaTheme="majorEastAsia"/>
        </w:rPr>
      </w:pPr>
      <w:r w:rsidRPr="00AE0FF5">
        <w:rPr>
          <w:rStyle w:val="BookTitle"/>
          <w:rFonts w:eastAsiaTheme="majorEastAsia"/>
        </w:rPr>
        <w:t>Continuous blood pressure and cardiac monitoring for the duration of the infusion</w:t>
      </w:r>
    </w:p>
    <w:p w:rsidR="00627E18" w:rsidRPr="00AE0FF5" w:rsidRDefault="00627E18" w:rsidP="00627E18">
      <w:pPr>
        <w:pStyle w:val="Bullet1"/>
        <w:numPr>
          <w:ilvl w:val="0"/>
          <w:numId w:val="8"/>
        </w:numPr>
        <w:rPr>
          <w:rStyle w:val="BookTitle"/>
          <w:rFonts w:eastAsiaTheme="majorEastAsia"/>
        </w:rPr>
      </w:pPr>
      <w:r w:rsidRPr="00AE0FF5">
        <w:rPr>
          <w:rStyle w:val="BookTitle"/>
          <w:rFonts w:eastAsiaTheme="majorEastAsia"/>
        </w:rPr>
        <w:t>Monitor fluid balance and electrolytes</w:t>
      </w:r>
    </w:p>
    <w:p w:rsidR="00627E18" w:rsidRPr="00627E18" w:rsidRDefault="00627E18" w:rsidP="00627E18">
      <w:pPr>
        <w:pStyle w:val="Bullet1"/>
        <w:numPr>
          <w:ilvl w:val="0"/>
          <w:numId w:val="8"/>
        </w:numPr>
        <w:rPr>
          <w:rStyle w:val="BookTitle"/>
          <w:rFonts w:eastAsiaTheme="majorEastAsia"/>
          <w:lang w:val="en-US"/>
        </w:rPr>
      </w:pPr>
      <w:r w:rsidRPr="00AE0FF5">
        <w:rPr>
          <w:rStyle w:val="BookTitle"/>
          <w:rFonts w:eastAsiaTheme="majorEastAsia"/>
        </w:rPr>
        <w:t xml:space="preserve">Assess for organ </w:t>
      </w:r>
      <w:proofErr w:type="spellStart"/>
      <w:r w:rsidRPr="00AE0FF5">
        <w:rPr>
          <w:rStyle w:val="BookTitle"/>
          <w:rFonts w:eastAsiaTheme="majorEastAsia"/>
        </w:rPr>
        <w:t>ischaemia</w:t>
      </w:r>
      <w:proofErr w:type="spellEnd"/>
      <w:r w:rsidRPr="00AE0FF5">
        <w:rPr>
          <w:rStyle w:val="BookTitle"/>
          <w:rFonts w:eastAsiaTheme="majorEastAsia"/>
        </w:rPr>
        <w:t xml:space="preserve"> (including </w:t>
      </w:r>
      <w:r w:rsidR="00A220A1">
        <w:rPr>
          <w:rStyle w:val="BookTitle"/>
          <w:rFonts w:eastAsiaTheme="majorEastAsia"/>
        </w:rPr>
        <w:t xml:space="preserve">myocardium, </w:t>
      </w:r>
      <w:r w:rsidRPr="00AE0FF5">
        <w:rPr>
          <w:rStyle w:val="BookTitle"/>
          <w:rFonts w:eastAsiaTheme="majorEastAsia"/>
        </w:rPr>
        <w:t>kidneys, gastrointestinal tract and peripheral extremities) – see ‘Side</w:t>
      </w:r>
      <w:r w:rsidRPr="00E93C7F">
        <w:rPr>
          <w:lang w:val="en-US"/>
        </w:rPr>
        <w:t xml:space="preserve"> effects’ for more information</w:t>
      </w:r>
      <w:r w:rsidR="00A220A1">
        <w:rPr>
          <w:lang w:val="en-US"/>
        </w:rPr>
        <w:t>.</w:t>
      </w:r>
    </w:p>
    <w:p w:rsidR="00627E18" w:rsidRPr="009750B7" w:rsidRDefault="00627E18" w:rsidP="00627E18">
      <w:pPr>
        <w:pStyle w:val="Heading2"/>
        <w:rPr>
          <w:rStyle w:val="BookTitle"/>
        </w:rPr>
      </w:pPr>
      <w:r w:rsidRPr="009750B7">
        <w:rPr>
          <w:rStyle w:val="BookTitle"/>
        </w:rPr>
        <w:t>Side effects</w:t>
      </w:r>
    </w:p>
    <w:p w:rsidR="00627E18" w:rsidRPr="00E93C7F" w:rsidRDefault="00627E18" w:rsidP="00627E18">
      <w:pPr>
        <w:pStyle w:val="Bullet1"/>
        <w:numPr>
          <w:ilvl w:val="0"/>
          <w:numId w:val="8"/>
        </w:numPr>
      </w:pPr>
      <w:r w:rsidRPr="00AE0FF5">
        <w:rPr>
          <w:rStyle w:val="BookTitle"/>
          <w:rFonts w:eastAsiaTheme="majorEastAsia"/>
        </w:rPr>
        <w:t>Decreased</w:t>
      </w:r>
      <w:r w:rsidRPr="00E93C7F">
        <w:t xml:space="preserve"> cardiac output, cardiac dysrhythmia and cardiac arrest</w:t>
      </w:r>
      <w:r w:rsidRPr="009327EF">
        <w:rPr>
          <w:vertAlign w:val="superscript"/>
        </w:rPr>
        <w:t>6</w:t>
      </w:r>
    </w:p>
    <w:p w:rsidR="00627E18" w:rsidRPr="00E93C7F" w:rsidRDefault="00627E18" w:rsidP="00627E18">
      <w:pPr>
        <w:pStyle w:val="Bullet1"/>
        <w:numPr>
          <w:ilvl w:val="0"/>
          <w:numId w:val="8"/>
        </w:numPr>
        <w:rPr>
          <w:i/>
        </w:rPr>
      </w:pPr>
      <w:r>
        <w:t xml:space="preserve">Myocardial, mesenteric </w:t>
      </w:r>
      <w:r w:rsidRPr="00E93C7F">
        <w:t xml:space="preserve">or peripheral (digital) </w:t>
      </w:r>
      <w:proofErr w:type="spellStart"/>
      <w:r w:rsidRPr="00E93C7F">
        <w:t>ischaemia</w:t>
      </w:r>
      <w:proofErr w:type="spellEnd"/>
      <w:r w:rsidRPr="00E93C7F">
        <w:t xml:space="preserve"> </w:t>
      </w:r>
      <w:r>
        <w:t>–</w:t>
      </w:r>
      <w:r w:rsidRPr="00E93C7F">
        <w:t xml:space="preserve"> can manifest as acute myocardial infarction, </w:t>
      </w:r>
      <w:r w:rsidRPr="00AE0FF5">
        <w:rPr>
          <w:rStyle w:val="BookTitle"/>
          <w:rFonts w:eastAsiaTheme="majorEastAsia"/>
        </w:rPr>
        <w:t>gastrointestinal</w:t>
      </w:r>
      <w:r w:rsidRPr="00E93C7F">
        <w:t xml:space="preserve"> infarction, decreased urine output/creatinine clearance or gangrene</w:t>
      </w:r>
      <w:r w:rsidRPr="009327EF">
        <w:rPr>
          <w:vertAlign w:val="superscript"/>
        </w:rPr>
        <w:t>6</w:t>
      </w:r>
    </w:p>
    <w:p w:rsidR="00627E18" w:rsidRPr="00627E18" w:rsidRDefault="00627E18" w:rsidP="00627E18">
      <w:pPr>
        <w:pStyle w:val="Bullet1"/>
        <w:numPr>
          <w:ilvl w:val="0"/>
          <w:numId w:val="8"/>
        </w:numPr>
      </w:pPr>
      <w:r w:rsidRPr="00AE0FF5">
        <w:rPr>
          <w:rStyle w:val="BookTitle"/>
          <w:rFonts w:eastAsiaTheme="majorEastAsia"/>
        </w:rPr>
        <w:t>Hyponatraemia</w:t>
      </w:r>
      <w:r w:rsidRPr="00E93C7F">
        <w:t xml:space="preserve"> – due to water retention</w:t>
      </w:r>
      <w:r w:rsidR="00A220A1">
        <w:t>.</w:t>
      </w:r>
      <w:r w:rsidRPr="009327EF">
        <w:rPr>
          <w:vertAlign w:val="superscript"/>
        </w:rPr>
        <w:t>6</w:t>
      </w:r>
    </w:p>
    <w:p w:rsidR="00627E18" w:rsidRPr="00C4312A" w:rsidRDefault="007C1968" w:rsidP="00627E18">
      <w:pPr>
        <w:pStyle w:val="Heading2"/>
        <w:rPr>
          <w:lang w:val="en-US"/>
        </w:rPr>
      </w:pPr>
      <w:r>
        <w:rPr>
          <w:lang w:val="en-US"/>
        </w:rPr>
        <w:t>Compatibilitie</w:t>
      </w:r>
      <w:r w:rsidR="005B4CCD">
        <w:rPr>
          <w:lang w:val="en-US"/>
        </w:rPr>
        <w:t>s</w:t>
      </w:r>
    </w:p>
    <w:p w:rsidR="00627E18" w:rsidRPr="00C4312A" w:rsidRDefault="00627E18" w:rsidP="00627E18">
      <w:pPr>
        <w:pStyle w:val="Normalfollowingheading"/>
        <w:rPr>
          <w:lang w:val="en-US"/>
        </w:rPr>
      </w:pPr>
      <w:r w:rsidRPr="00C4312A">
        <w:rPr>
          <w:lang w:val="en-US"/>
        </w:rPr>
        <w:t>Consult the following references</w:t>
      </w:r>
      <w:r>
        <w:rPr>
          <w:lang w:val="en-US"/>
        </w:rPr>
        <w:t>,</w:t>
      </w:r>
      <w:r w:rsidRPr="00C4312A">
        <w:rPr>
          <w:lang w:val="en-US"/>
        </w:rPr>
        <w:t xml:space="preserve"> which are available online through </w:t>
      </w:r>
      <w:r w:rsidRPr="009415FF">
        <w:t xml:space="preserve">the </w:t>
      </w:r>
      <w:hyperlink r:id="rId8" w:history="1">
        <w:r w:rsidRPr="009415FF">
          <w:rPr>
            <w:rStyle w:val="Hyperlink"/>
          </w:rPr>
          <w:t>Clinicians Health Channel</w:t>
        </w:r>
      </w:hyperlink>
      <w:r w:rsidRPr="009415FF">
        <w:t>:</w:t>
      </w:r>
    </w:p>
    <w:p w:rsidR="00627E18" w:rsidRPr="00E371E3" w:rsidRDefault="00627E18" w:rsidP="00627E18">
      <w:pPr>
        <w:pStyle w:val="Bullet1"/>
        <w:numPr>
          <w:ilvl w:val="0"/>
          <w:numId w:val="8"/>
        </w:numPr>
        <w:rPr>
          <w:rStyle w:val="BookTitle"/>
          <w:rFonts w:eastAsiaTheme="majorEastAsia"/>
          <w:b/>
        </w:rPr>
      </w:pPr>
      <w:r w:rsidRPr="00E371E3">
        <w:rPr>
          <w:rStyle w:val="BookTitle"/>
          <w:rFonts w:eastAsiaTheme="majorEastAsia"/>
        </w:rPr>
        <w:t>Australian injectable drugs handbook</w:t>
      </w:r>
    </w:p>
    <w:p w:rsidR="00627E18" w:rsidRPr="00627E18" w:rsidRDefault="00627E18" w:rsidP="00627E18">
      <w:pPr>
        <w:pStyle w:val="Bullet1"/>
        <w:numPr>
          <w:ilvl w:val="0"/>
          <w:numId w:val="8"/>
        </w:numPr>
        <w:rPr>
          <w:rFonts w:eastAsiaTheme="majorEastAsia"/>
        </w:rPr>
      </w:pPr>
      <w:proofErr w:type="spellStart"/>
      <w:r w:rsidRPr="00E371E3">
        <w:rPr>
          <w:rStyle w:val="BookTitle"/>
          <w:rFonts w:eastAsiaTheme="majorEastAsia"/>
        </w:rPr>
        <w:t>Trissel’s</w:t>
      </w:r>
      <w:proofErr w:type="spellEnd"/>
      <w:r w:rsidRPr="00E371E3">
        <w:rPr>
          <w:rStyle w:val="BookTitle"/>
          <w:rFonts w:eastAsiaTheme="majorEastAsia"/>
        </w:rPr>
        <w:t>™ in IV compatibility (Micromedex)</w:t>
      </w:r>
      <w:r w:rsidRPr="009750B7">
        <w:rPr>
          <w:rStyle w:val="BookTitle"/>
          <w:rFonts w:eastAsiaTheme="majorEastAsia"/>
        </w:rPr>
        <w:t xml:space="preserve"> – from the site homepage, select the ‘IV Compatibility’ tab</w:t>
      </w:r>
      <w:r w:rsidR="00A220A1">
        <w:rPr>
          <w:rStyle w:val="BookTitle"/>
          <w:rFonts w:eastAsiaTheme="majorEastAsia"/>
        </w:rPr>
        <w:t>.</w:t>
      </w:r>
    </w:p>
    <w:p w:rsidR="00627E18" w:rsidRPr="008E4F7A" w:rsidRDefault="00627E18" w:rsidP="00627E18">
      <w:pPr>
        <w:pStyle w:val="Heading2"/>
        <w:rPr>
          <w:rStyle w:val="BookTitle"/>
          <w:vertAlign w:val="superscript"/>
        </w:rPr>
      </w:pPr>
      <w:r w:rsidRPr="00C4312A">
        <w:rPr>
          <w:lang w:val="en-US"/>
        </w:rPr>
        <w:t xml:space="preserve">Important drug interactions </w:t>
      </w:r>
    </w:p>
    <w:p w:rsidR="00627E18" w:rsidRDefault="00627E18" w:rsidP="00627E18">
      <w:r w:rsidRPr="003E2AEE">
        <w:t xml:space="preserve">There are no known significant drug interactions. </w:t>
      </w:r>
    </w:p>
    <w:p w:rsidR="00670EB0" w:rsidRPr="00627E18" w:rsidRDefault="00670EB0" w:rsidP="00627E18">
      <w:r>
        <w:br w:type="page"/>
      </w:r>
    </w:p>
    <w:p w:rsidR="00627E18" w:rsidRPr="00C4312A" w:rsidRDefault="00627E18" w:rsidP="00407C45">
      <w:pPr>
        <w:pStyle w:val="Heading2"/>
      </w:pPr>
      <w:r w:rsidRPr="00C4312A">
        <w:lastRenderedPageBreak/>
        <w:t>References</w:t>
      </w:r>
    </w:p>
    <w:p w:rsidR="00627E18" w:rsidRPr="00627E18" w:rsidRDefault="00627E18" w:rsidP="00627E18">
      <w:pPr>
        <w:pStyle w:val="References"/>
        <w:contextualSpacing w:val="0"/>
        <w:rPr>
          <w:rFonts w:ascii="VIC" w:hAnsi="VIC"/>
          <w:sz w:val="16"/>
        </w:rPr>
      </w:pPr>
      <w:r w:rsidRPr="00627E18">
        <w:rPr>
          <w:rFonts w:ascii="VIC" w:hAnsi="VIC"/>
          <w:sz w:val="16"/>
        </w:rPr>
        <w:t>MIMS [online] (accessed 4 April 2017)</w:t>
      </w:r>
    </w:p>
    <w:p w:rsidR="00627E18" w:rsidRPr="00627E18" w:rsidRDefault="00627E18" w:rsidP="00627E18">
      <w:pPr>
        <w:pStyle w:val="References"/>
        <w:contextualSpacing w:val="0"/>
        <w:rPr>
          <w:rFonts w:ascii="VIC" w:hAnsi="VIC"/>
          <w:sz w:val="16"/>
        </w:rPr>
      </w:pPr>
      <w:r w:rsidRPr="00627E18">
        <w:rPr>
          <w:rFonts w:ascii="VIC" w:hAnsi="VIC"/>
          <w:sz w:val="16"/>
        </w:rPr>
        <w:t>Landry DW, Levin HR, Gallant EM, et al. Vasopressin deficiency contributes to the vasodilation of septic shock.</w:t>
      </w:r>
      <w:r w:rsidRPr="00627E18">
        <w:rPr>
          <w:rStyle w:val="apple-converted-space"/>
          <w:rFonts w:ascii="Times New Roman" w:hAnsi="Times New Roman" w:cs="Times New Roman"/>
          <w:sz w:val="20"/>
          <w:szCs w:val="22"/>
        </w:rPr>
        <w:t> </w:t>
      </w:r>
      <w:r w:rsidRPr="00627E18">
        <w:rPr>
          <w:rFonts w:ascii="VIC" w:hAnsi="VIC"/>
          <w:sz w:val="16"/>
        </w:rPr>
        <w:t>Circulation 1997; 95(5): 1122–1125</w:t>
      </w:r>
    </w:p>
    <w:p w:rsidR="00627E18" w:rsidRPr="00627E18" w:rsidRDefault="00627E18" w:rsidP="00627E18">
      <w:pPr>
        <w:pStyle w:val="References"/>
        <w:contextualSpacing w:val="0"/>
        <w:rPr>
          <w:rFonts w:ascii="VIC" w:hAnsi="VIC"/>
          <w:sz w:val="16"/>
        </w:rPr>
      </w:pPr>
      <w:proofErr w:type="spellStart"/>
      <w:r w:rsidRPr="00627E18">
        <w:rPr>
          <w:rFonts w:ascii="VIC" w:hAnsi="VIC"/>
          <w:color w:val="222222"/>
          <w:sz w:val="16"/>
        </w:rPr>
        <w:t>Tsuneyoshi</w:t>
      </w:r>
      <w:proofErr w:type="spellEnd"/>
      <w:r w:rsidRPr="00627E18">
        <w:rPr>
          <w:rFonts w:ascii="VIC" w:hAnsi="VIC"/>
          <w:color w:val="222222"/>
          <w:sz w:val="16"/>
        </w:rPr>
        <w:t xml:space="preserve"> I, Yamada H, </w:t>
      </w:r>
      <w:proofErr w:type="spellStart"/>
      <w:r w:rsidRPr="00627E18">
        <w:rPr>
          <w:rFonts w:ascii="VIC" w:hAnsi="VIC"/>
          <w:color w:val="222222"/>
          <w:sz w:val="16"/>
        </w:rPr>
        <w:t>Kakihana</w:t>
      </w:r>
      <w:proofErr w:type="spellEnd"/>
      <w:r w:rsidRPr="00627E18">
        <w:rPr>
          <w:rFonts w:ascii="VIC" w:hAnsi="VIC"/>
          <w:color w:val="222222"/>
          <w:sz w:val="16"/>
        </w:rPr>
        <w:t xml:space="preserve"> Y, et al. Hemodynamic and metabolic effects of low-dose vasopressin infusions in vasodilatory septic shock. Critical Care Medicine 2001; 29(3): 487–493</w:t>
      </w:r>
    </w:p>
    <w:p w:rsidR="00627E18" w:rsidRPr="00627E18" w:rsidRDefault="00627E18" w:rsidP="00627E18">
      <w:pPr>
        <w:pStyle w:val="References"/>
        <w:contextualSpacing w:val="0"/>
        <w:rPr>
          <w:rFonts w:ascii="VIC" w:hAnsi="VIC"/>
          <w:sz w:val="16"/>
        </w:rPr>
      </w:pPr>
      <w:r w:rsidRPr="00627E18">
        <w:rPr>
          <w:rFonts w:ascii="VIC" w:hAnsi="VIC"/>
          <w:sz w:val="16"/>
        </w:rPr>
        <w:t>Dellinger RP, Levy MM, Rhodes A, et al. Surviving sepsis campaign: international guidelines for management of severe sepsis and septic shock, 2012.</w:t>
      </w:r>
      <w:r w:rsidRPr="00627E18">
        <w:rPr>
          <w:rStyle w:val="apple-converted-space"/>
          <w:rFonts w:ascii="Times New Roman" w:hAnsi="Times New Roman" w:cs="Times New Roman"/>
          <w:sz w:val="20"/>
          <w:szCs w:val="22"/>
        </w:rPr>
        <w:t> </w:t>
      </w:r>
      <w:r w:rsidRPr="00627E18">
        <w:rPr>
          <w:rFonts w:ascii="VIC" w:hAnsi="VIC"/>
          <w:sz w:val="16"/>
        </w:rPr>
        <w:t>Critical Care Medicine 2013; 41(2): 580–637</w:t>
      </w:r>
    </w:p>
    <w:p w:rsidR="00627E18" w:rsidRPr="00627E18" w:rsidRDefault="00627E18" w:rsidP="00627E18">
      <w:pPr>
        <w:pStyle w:val="References"/>
        <w:contextualSpacing w:val="0"/>
        <w:rPr>
          <w:rFonts w:ascii="VIC" w:hAnsi="VIC"/>
          <w:sz w:val="16"/>
        </w:rPr>
      </w:pPr>
      <w:r w:rsidRPr="00627E18">
        <w:rPr>
          <w:rFonts w:ascii="VIC" w:hAnsi="VIC"/>
          <w:sz w:val="16"/>
          <w:shd w:val="clear" w:color="auto" w:fill="FFFFFF"/>
        </w:rPr>
        <w:t xml:space="preserve">Sharman A, Low J. Vasopressin and its role in critical care. </w:t>
      </w:r>
      <w:r w:rsidRPr="00627E18">
        <w:rPr>
          <w:rFonts w:ascii="VIC" w:hAnsi="VIC"/>
          <w:color w:val="2A2A2A"/>
          <w:sz w:val="16"/>
          <w:shd w:val="clear" w:color="auto" w:fill="FFFFFF"/>
        </w:rPr>
        <w:t>Continuing Education in Anaesthesia Critical Care and Pain 2008; 8(4): 134–137</w:t>
      </w:r>
    </w:p>
    <w:p w:rsidR="00627E18" w:rsidRPr="00627E18" w:rsidRDefault="00627E18" w:rsidP="00627E18">
      <w:pPr>
        <w:pStyle w:val="References"/>
        <w:contextualSpacing w:val="0"/>
        <w:rPr>
          <w:rFonts w:ascii="VIC" w:hAnsi="VIC"/>
          <w:sz w:val="16"/>
        </w:rPr>
      </w:pPr>
      <w:r w:rsidRPr="00627E18">
        <w:rPr>
          <w:rFonts w:ascii="VIC" w:hAnsi="VIC"/>
          <w:sz w:val="16"/>
        </w:rPr>
        <w:t>Micromedex [online] (accessed 5 April 2017).</w:t>
      </w:r>
    </w:p>
    <w:p w:rsidR="00627E18" w:rsidRPr="00627E18" w:rsidRDefault="00627E18" w:rsidP="00627E18">
      <w:pPr>
        <w:pStyle w:val="References"/>
        <w:contextualSpacing w:val="0"/>
        <w:rPr>
          <w:rFonts w:ascii="VIC" w:hAnsi="VIC"/>
          <w:sz w:val="16"/>
        </w:rPr>
      </w:pPr>
      <w:r w:rsidRPr="00627E18">
        <w:rPr>
          <w:rFonts w:ascii="VIC" w:hAnsi="VIC"/>
          <w:sz w:val="16"/>
        </w:rPr>
        <w:t xml:space="preserve">Rhodes A, Evans LE, </w:t>
      </w:r>
      <w:proofErr w:type="spellStart"/>
      <w:r w:rsidRPr="00627E18">
        <w:rPr>
          <w:rFonts w:ascii="VIC" w:hAnsi="VIC"/>
          <w:sz w:val="16"/>
        </w:rPr>
        <w:t>Alhazzani</w:t>
      </w:r>
      <w:proofErr w:type="spellEnd"/>
      <w:r w:rsidRPr="00627E18">
        <w:rPr>
          <w:rFonts w:ascii="VIC" w:hAnsi="VIC"/>
          <w:sz w:val="16"/>
        </w:rPr>
        <w:t xml:space="preserve"> W, et al. Surviving sepsis campaign: international guidelines for management of sepsis and septic shock: 2016. Intensive Care Medicine 2017; 43(3): 304–377</w:t>
      </w:r>
    </w:p>
    <w:p w:rsidR="00627E18" w:rsidRPr="00627E18" w:rsidRDefault="00627E18" w:rsidP="00627E18">
      <w:pPr>
        <w:pStyle w:val="References"/>
        <w:contextualSpacing w:val="0"/>
        <w:rPr>
          <w:rFonts w:ascii="VIC" w:hAnsi="VIC"/>
          <w:sz w:val="16"/>
        </w:rPr>
      </w:pPr>
      <w:r w:rsidRPr="00627E18">
        <w:rPr>
          <w:rFonts w:ascii="VIC" w:hAnsi="VIC"/>
          <w:sz w:val="16"/>
        </w:rPr>
        <w:t xml:space="preserve">Gordon AC, Mason AJ, </w:t>
      </w:r>
      <w:proofErr w:type="spellStart"/>
      <w:r w:rsidRPr="00627E18">
        <w:rPr>
          <w:rFonts w:ascii="VIC" w:hAnsi="VIC"/>
          <w:sz w:val="16"/>
        </w:rPr>
        <w:t>Thirunavukkarasu</w:t>
      </w:r>
      <w:proofErr w:type="spellEnd"/>
      <w:r w:rsidRPr="00627E18">
        <w:rPr>
          <w:rFonts w:ascii="VIC" w:hAnsi="VIC"/>
          <w:sz w:val="16"/>
        </w:rPr>
        <w:t xml:space="preserve"> N, et al. Effect of early vasopressin vs norepinephrine on kidney failure in patients with septic shock: the VANISH randomized clinical trial. JAMA 2016; 316(5):509–518</w:t>
      </w:r>
    </w:p>
    <w:p w:rsidR="00627E18" w:rsidRPr="00627E18" w:rsidRDefault="00627E18" w:rsidP="00627E18">
      <w:pPr>
        <w:pStyle w:val="References"/>
        <w:contextualSpacing w:val="0"/>
        <w:rPr>
          <w:rFonts w:ascii="VIC" w:hAnsi="VIC"/>
          <w:sz w:val="16"/>
        </w:rPr>
      </w:pPr>
      <w:r w:rsidRPr="00627E18">
        <w:rPr>
          <w:rFonts w:ascii="VIC" w:hAnsi="VIC"/>
          <w:sz w:val="16"/>
        </w:rPr>
        <w:t>Australian and New Zealand Intensive Care Society. The ANZICS statement on death and organ donation (Edition 3.2). ANZICS, Melbourne, 2013.</w:t>
      </w:r>
    </w:p>
    <w:p w:rsidR="00627E18" w:rsidRPr="00627E18" w:rsidRDefault="00627E18" w:rsidP="00627E18">
      <w:pPr>
        <w:pStyle w:val="References"/>
        <w:contextualSpacing w:val="0"/>
        <w:rPr>
          <w:rFonts w:ascii="VIC" w:hAnsi="VIC"/>
          <w:sz w:val="16"/>
        </w:rPr>
      </w:pPr>
      <w:r w:rsidRPr="00627E18">
        <w:rPr>
          <w:rFonts w:ascii="VIC" w:hAnsi="VIC"/>
          <w:sz w:val="16"/>
        </w:rPr>
        <w:t>Australian injectable drugs handbook (AIDH) [online] (accessed 2 April 2016).</w:t>
      </w:r>
    </w:p>
    <w:p w:rsidR="00627E18" w:rsidRPr="00627E18" w:rsidRDefault="00627E18" w:rsidP="00627E18">
      <w:pPr>
        <w:pStyle w:val="References"/>
        <w:contextualSpacing w:val="0"/>
        <w:rPr>
          <w:rFonts w:ascii="VIC" w:hAnsi="VIC"/>
          <w:sz w:val="16"/>
        </w:rPr>
      </w:pPr>
      <w:r w:rsidRPr="00627E18">
        <w:rPr>
          <w:rFonts w:ascii="VIC" w:hAnsi="VIC"/>
          <w:sz w:val="16"/>
        </w:rPr>
        <w:t xml:space="preserve">University College London Hospitals (UCL). UCL hospitals injectable medicines administration guide: pharmacy department, 3rd </w:t>
      </w:r>
      <w:proofErr w:type="spellStart"/>
      <w:r w:rsidRPr="00627E18">
        <w:rPr>
          <w:rFonts w:ascii="VIC" w:hAnsi="VIC"/>
          <w:sz w:val="16"/>
        </w:rPr>
        <w:t>edn</w:t>
      </w:r>
      <w:proofErr w:type="spellEnd"/>
      <w:r w:rsidRPr="00627E18">
        <w:rPr>
          <w:rFonts w:ascii="VIC" w:hAnsi="VIC"/>
          <w:sz w:val="16"/>
        </w:rPr>
        <w:t>. Wiley-Blackwell, Chichester, 2013.</w:t>
      </w:r>
    </w:p>
    <w:p w:rsidR="00DF0E5B" w:rsidRPr="00627E18" w:rsidRDefault="00627E18" w:rsidP="00EC2193">
      <w:pPr>
        <w:pStyle w:val="References"/>
        <w:contextualSpacing w:val="0"/>
        <w:rPr>
          <w:rFonts w:ascii="VIC" w:hAnsi="VIC"/>
          <w:sz w:val="16"/>
        </w:rPr>
      </w:pPr>
      <w:r w:rsidRPr="00627E18">
        <w:rPr>
          <w:rFonts w:ascii="VIC" w:hAnsi="VIC"/>
          <w:sz w:val="16"/>
        </w:rPr>
        <w:t>Russell JA, Walley KR, Singer J, et al. Vasopressin versus norepinephrine infusion in patients with septic shock. New England Journal of Medicine 2008; 358(9):877–887</w:t>
      </w:r>
    </w:p>
    <w:p w:rsidR="007A4444" w:rsidRPr="00D1323F" w:rsidRDefault="007A4444" w:rsidP="00D1323F">
      <w:pPr>
        <w:pStyle w:val="NoSpacing"/>
        <w:rPr>
          <w:sz w:val="10"/>
          <w:szCs w:val="16"/>
        </w:rPr>
        <w:sectPr w:rsidR="007A4444" w:rsidRPr="00D1323F" w:rsidSect="000905F7">
          <w:headerReference w:type="first" r:id="rId9"/>
          <w:pgSz w:w="11906" w:h="16838" w:code="9"/>
          <w:pgMar w:top="2438" w:right="737" w:bottom="680" w:left="737" w:header="539" w:footer="624" w:gutter="0"/>
          <w:cols w:space="284"/>
          <w:titlePg/>
          <w:docGrid w:linePitch="360"/>
        </w:sectPr>
      </w:pPr>
    </w:p>
    <w:tbl>
      <w:tblPr>
        <w:tblStyle w:val="SCVInformationTable"/>
        <w:tblpPr w:leftFromText="181" w:rightFromText="181" w:vertAnchor="page" w:horzAnchor="page" w:tblpX="738" w:tblpY="14289"/>
        <w:tblW w:w="10603" w:type="dxa"/>
        <w:shd w:val="clear" w:color="auto" w:fill="F2F2F3"/>
        <w:tblLook w:val="0600" w:firstRow="0" w:lastRow="0" w:firstColumn="0" w:lastColumn="0" w:noHBand="1" w:noVBand="1"/>
      </w:tblPr>
      <w:tblGrid>
        <w:gridCol w:w="3955"/>
        <w:gridCol w:w="3955"/>
        <w:gridCol w:w="2693"/>
      </w:tblGrid>
      <w:tr w:rsidR="00670EB0" w:rsidRPr="00736C0C" w:rsidTr="0014471D">
        <w:trPr>
          <w:trHeight w:val="1531"/>
        </w:trPr>
        <w:tc>
          <w:tcPr>
            <w:tcW w:w="3955" w:type="dxa"/>
            <w:tcMar>
              <w:left w:w="113" w:type="dxa"/>
            </w:tcMar>
          </w:tcPr>
          <w:p w:rsidR="00670EB0" w:rsidRPr="00736C0C" w:rsidRDefault="00670EB0" w:rsidP="0014471D">
            <w:pPr>
              <w:spacing w:line="235" w:lineRule="auto"/>
            </w:pPr>
            <w:r w:rsidRPr="00292213">
              <w:rPr>
                <w:sz w:val="24"/>
              </w:rPr>
              <w:t xml:space="preserve">To receive this publication in </w:t>
            </w:r>
            <w:r w:rsidRPr="00292213">
              <w:rPr>
                <w:sz w:val="24"/>
              </w:rPr>
              <w:br/>
              <w:t xml:space="preserve">an accessible format phone </w:t>
            </w:r>
            <w:r>
              <w:rPr>
                <w:sz w:val="24"/>
              </w:rPr>
              <w:t>9096 1384</w:t>
            </w:r>
            <w:r w:rsidRPr="00292213">
              <w:rPr>
                <w:sz w:val="24"/>
              </w:rPr>
              <w:t xml:space="preserve">, using the National Relay Service 13 36 77 if required, or email </w:t>
            </w:r>
            <w:r w:rsidRPr="00292213">
              <w:rPr>
                <w:b/>
                <w:sz w:val="24"/>
              </w:rPr>
              <w:t>info@safercare.vic.gov.au</w:t>
            </w:r>
          </w:p>
        </w:tc>
        <w:tc>
          <w:tcPr>
            <w:tcW w:w="3955" w:type="dxa"/>
          </w:tcPr>
          <w:p w:rsidR="00670EB0" w:rsidRDefault="00670EB0" w:rsidP="0014471D">
            <w:pPr>
              <w:spacing w:line="230" w:lineRule="auto"/>
              <w:rPr>
                <w:sz w:val="13"/>
                <w:szCs w:val="13"/>
              </w:rPr>
            </w:pPr>
            <w:r w:rsidRPr="00292213">
              <w:rPr>
                <w:sz w:val="13"/>
                <w:szCs w:val="13"/>
              </w:rPr>
              <w:t>Printed copies of this document may not be the most recent version.</w:t>
            </w:r>
          </w:p>
          <w:p w:rsidR="00670EB0" w:rsidRPr="007A4444" w:rsidRDefault="00670EB0" w:rsidP="0014471D">
            <w:pPr>
              <w:spacing w:line="230" w:lineRule="auto"/>
              <w:rPr>
                <w:sz w:val="13"/>
                <w:szCs w:val="13"/>
              </w:rPr>
            </w:pPr>
            <w:r w:rsidRPr="007A4444">
              <w:rPr>
                <w:sz w:val="13"/>
                <w:szCs w:val="13"/>
              </w:rPr>
              <w:t>Authorised and published by the Victorian Government, 1 Treasury Place, Melbourne.</w:t>
            </w:r>
          </w:p>
          <w:p w:rsidR="00670EB0" w:rsidRDefault="00670EB0" w:rsidP="0014471D">
            <w:pPr>
              <w:spacing w:line="230" w:lineRule="auto"/>
              <w:rPr>
                <w:sz w:val="13"/>
                <w:szCs w:val="13"/>
              </w:rPr>
            </w:pPr>
            <w:r w:rsidRPr="007A4444">
              <w:rPr>
                <w:sz w:val="13"/>
                <w:szCs w:val="13"/>
              </w:rPr>
              <w:t xml:space="preserve">© State of Victoria, Australia, Safer Care Victoria, </w:t>
            </w:r>
            <w:r>
              <w:rPr>
                <w:sz w:val="13"/>
                <w:szCs w:val="13"/>
              </w:rPr>
              <w:t xml:space="preserve">December </w:t>
            </w:r>
            <w:r w:rsidRPr="007A4444">
              <w:rPr>
                <w:sz w:val="13"/>
                <w:szCs w:val="13"/>
              </w:rPr>
              <w:t xml:space="preserve">2018 </w:t>
            </w:r>
          </w:p>
          <w:p w:rsidR="00670EB0" w:rsidRPr="007A4444" w:rsidRDefault="00670EB0" w:rsidP="0014471D">
            <w:pPr>
              <w:spacing w:line="230" w:lineRule="auto"/>
              <w:rPr>
                <w:sz w:val="13"/>
                <w:szCs w:val="13"/>
              </w:rPr>
            </w:pPr>
            <w:r w:rsidRPr="007A4444">
              <w:rPr>
                <w:sz w:val="13"/>
                <w:szCs w:val="13"/>
              </w:rPr>
              <w:t>ISBN</w:t>
            </w:r>
            <w:r>
              <w:rPr>
                <w:sz w:val="13"/>
                <w:szCs w:val="13"/>
              </w:rPr>
              <w:t xml:space="preserve"> </w:t>
            </w:r>
            <w:r w:rsidR="0020674B" w:rsidRPr="0020674B">
              <w:rPr>
                <w:rFonts w:cs="Arial"/>
                <w:color w:val="000000"/>
                <w:sz w:val="13"/>
              </w:rPr>
              <w:t>978-1-76069-711-2</w:t>
            </w:r>
            <w:r w:rsidRPr="007A4444">
              <w:rPr>
                <w:sz w:val="13"/>
                <w:szCs w:val="13"/>
              </w:rPr>
              <w:t xml:space="preserve"> (online/print)</w:t>
            </w:r>
          </w:p>
          <w:p w:rsidR="00670EB0" w:rsidRDefault="00670EB0" w:rsidP="0014471D">
            <w:pPr>
              <w:spacing w:line="230" w:lineRule="auto"/>
              <w:rPr>
                <w:sz w:val="13"/>
                <w:szCs w:val="13"/>
              </w:rPr>
            </w:pPr>
            <w:r w:rsidRPr="007A4444">
              <w:rPr>
                <w:sz w:val="13"/>
                <w:szCs w:val="13"/>
              </w:rPr>
              <w:t xml:space="preserve">Available at </w:t>
            </w:r>
            <w:hyperlink r:id="rId10" w:history="1">
              <w:r w:rsidRPr="002C713F">
                <w:rPr>
                  <w:rStyle w:val="Hyperlink"/>
                  <w:sz w:val="13"/>
                  <w:szCs w:val="13"/>
                </w:rPr>
                <w:t>www.safercare.vic.gov.au</w:t>
              </w:r>
            </w:hyperlink>
          </w:p>
          <w:p w:rsidR="00670EB0" w:rsidRPr="007A4444" w:rsidRDefault="00670EB0" w:rsidP="0014471D">
            <w:pPr>
              <w:spacing w:line="23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Email criticalcare.clinicalnetwork@safercare.vic.gov.au</w:t>
            </w:r>
          </w:p>
        </w:tc>
        <w:tc>
          <w:tcPr>
            <w:tcW w:w="2693" w:type="dxa"/>
          </w:tcPr>
          <w:p w:rsidR="00670EB0" w:rsidRPr="00736C0C" w:rsidRDefault="00670EB0" w:rsidP="0014471D">
            <w:pPr>
              <w:rPr>
                <w:szCs w:val="15"/>
              </w:rPr>
            </w:pPr>
            <w:r>
              <w:rPr>
                <w:noProof/>
                <w:szCs w:val="15"/>
              </w:rPr>
              <w:drawing>
                <wp:inline distT="0" distB="0" distL="0" distR="0" wp14:anchorId="2FBCCCED" wp14:editId="790E63FB">
                  <wp:extent cx="972000" cy="5580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tate Logo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000" cy="55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7C45" w:rsidRDefault="00407C45" w:rsidP="00407C45">
      <w:pPr>
        <w:pStyle w:val="Heading2"/>
        <w:sectPr w:rsidR="00407C45" w:rsidSect="000905F7">
          <w:type w:val="continuous"/>
          <w:pgSz w:w="11906" w:h="16838" w:code="9"/>
          <w:pgMar w:top="2438" w:right="737" w:bottom="680" w:left="737" w:header="539" w:footer="624" w:gutter="0"/>
          <w:cols w:num="2" w:space="284"/>
          <w:docGrid w:linePitch="360"/>
        </w:sectPr>
      </w:pPr>
    </w:p>
    <w:p w:rsidR="00897157" w:rsidRDefault="00407C45" w:rsidP="00407C45">
      <w:pPr>
        <w:pStyle w:val="Heading2"/>
      </w:pPr>
      <w:r>
        <w:t>Acknowledgements</w:t>
      </w:r>
    </w:p>
    <w:p w:rsidR="00407C45" w:rsidRPr="00407C45" w:rsidRDefault="00407C45" w:rsidP="00407C45">
      <w:pPr>
        <w:pStyle w:val="Normalfollowingheading"/>
      </w:pPr>
      <w:r w:rsidRPr="00407C45">
        <w:t xml:space="preserve">We would like to thank the pharmacists involved in writing the guidelines: Melissa </w:t>
      </w:r>
      <w:proofErr w:type="spellStart"/>
      <w:r w:rsidRPr="00407C45">
        <w:t>Ankravs</w:t>
      </w:r>
      <w:proofErr w:type="spellEnd"/>
      <w:r w:rsidRPr="00407C45">
        <w:t xml:space="preserve">, Melanie Kowalski, Rachel Fyfe, Robyn Ingram, </w:t>
      </w:r>
      <w:proofErr w:type="spellStart"/>
      <w:r w:rsidRPr="00407C45">
        <w:t>Annalie</w:t>
      </w:r>
      <w:proofErr w:type="spellEnd"/>
      <w:r w:rsidRPr="00407C45">
        <w:t xml:space="preserve"> Jones, Susan </w:t>
      </w:r>
      <w:proofErr w:type="spellStart"/>
      <w:r w:rsidRPr="00407C45">
        <w:t>Trevillian</w:t>
      </w:r>
      <w:proofErr w:type="spellEnd"/>
      <w:r w:rsidRPr="00407C45">
        <w:t>, and Lucy Sharrock.</w:t>
      </w:r>
    </w:p>
    <w:sectPr w:rsidR="00407C45" w:rsidRPr="00407C45" w:rsidSect="00407C45">
      <w:type w:val="continuous"/>
      <w:pgSz w:w="11906" w:h="16838" w:code="9"/>
      <w:pgMar w:top="2438" w:right="737" w:bottom="680" w:left="737" w:header="539" w:footer="624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33C6" w:rsidRDefault="002133C6" w:rsidP="002A797F">
      <w:r>
        <w:separator/>
      </w:r>
    </w:p>
  </w:endnote>
  <w:endnote w:type="continuationSeparator" w:id="0">
    <w:p w:rsidR="002133C6" w:rsidRDefault="002133C6" w:rsidP="002A7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altName w:val="Trebuchet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33C6" w:rsidRDefault="002133C6" w:rsidP="002A797F"/>
  </w:footnote>
  <w:footnote w:type="continuationSeparator" w:id="0">
    <w:p w:rsidR="002133C6" w:rsidRDefault="002133C6" w:rsidP="002A79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5F7" w:rsidRDefault="000905F7" w:rsidP="002A797F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96A8FBF" wp14:editId="18197B9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522800" cy="1206000"/>
          <wp:effectExtent l="0" t="0" r="127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00" cy="12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230B4"/>
    <w:multiLevelType w:val="multilevel"/>
    <w:tmpl w:val="09BAA584"/>
    <w:lvl w:ilvl="0">
      <w:start w:val="1"/>
      <w:numFmt w:val="decimal"/>
      <w:pStyle w:val="References"/>
      <w:lvlText w:val="%1."/>
      <w:lvlJc w:val="left"/>
      <w:pPr>
        <w:tabs>
          <w:tab w:val="num" w:pos="3195"/>
        </w:tabs>
        <w:ind w:left="3195" w:hanging="360"/>
      </w:pPr>
      <w:rPr>
        <w:rFonts w:ascii="VIC" w:eastAsiaTheme="minorEastAsia" w:hAnsi="VIC" w:cstheme="minorBidi" w:hint="default"/>
      </w:rPr>
    </w:lvl>
    <w:lvl w:ilvl="1">
      <w:start w:val="1"/>
      <w:numFmt w:val="decimal"/>
      <w:lvlText w:val="%2."/>
      <w:lvlJc w:val="left"/>
      <w:pPr>
        <w:tabs>
          <w:tab w:val="num" w:pos="3915"/>
        </w:tabs>
        <w:ind w:left="3915" w:hanging="360"/>
      </w:pPr>
    </w:lvl>
    <w:lvl w:ilvl="2">
      <w:start w:val="1"/>
      <w:numFmt w:val="decimal"/>
      <w:lvlText w:val="%3."/>
      <w:lvlJc w:val="left"/>
      <w:pPr>
        <w:tabs>
          <w:tab w:val="num" w:pos="4635"/>
        </w:tabs>
        <w:ind w:left="4635" w:hanging="360"/>
      </w:pPr>
    </w:lvl>
    <w:lvl w:ilvl="3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>
      <w:start w:val="1"/>
      <w:numFmt w:val="decimal"/>
      <w:lvlText w:val="%5."/>
      <w:lvlJc w:val="left"/>
      <w:pPr>
        <w:tabs>
          <w:tab w:val="num" w:pos="6075"/>
        </w:tabs>
        <w:ind w:left="6075" w:hanging="360"/>
      </w:pPr>
    </w:lvl>
    <w:lvl w:ilvl="5">
      <w:start w:val="1"/>
      <w:numFmt w:val="decimal"/>
      <w:lvlText w:val="%6."/>
      <w:lvlJc w:val="left"/>
      <w:pPr>
        <w:tabs>
          <w:tab w:val="num" w:pos="6795"/>
        </w:tabs>
        <w:ind w:left="6795" w:hanging="360"/>
      </w:pPr>
    </w:lvl>
    <w:lvl w:ilvl="6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>
      <w:start w:val="1"/>
      <w:numFmt w:val="decimal"/>
      <w:lvlText w:val="%8."/>
      <w:lvlJc w:val="left"/>
      <w:pPr>
        <w:tabs>
          <w:tab w:val="num" w:pos="8235"/>
        </w:tabs>
        <w:ind w:left="8235" w:hanging="360"/>
      </w:pPr>
    </w:lvl>
    <w:lvl w:ilvl="8">
      <w:start w:val="1"/>
      <w:numFmt w:val="decimal"/>
      <w:lvlText w:val="%9."/>
      <w:lvlJc w:val="left"/>
      <w:pPr>
        <w:tabs>
          <w:tab w:val="num" w:pos="8955"/>
        </w:tabs>
        <w:ind w:left="8955" w:hanging="360"/>
      </w:pPr>
    </w:lvl>
  </w:abstractNum>
  <w:abstractNum w:abstractNumId="1" w15:restartNumberingAfterBreak="0">
    <w:nsid w:val="23F10791"/>
    <w:multiLevelType w:val="hybridMultilevel"/>
    <w:tmpl w:val="16AC4B1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56FFD"/>
    <w:multiLevelType w:val="multilevel"/>
    <w:tmpl w:val="47D41E60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4D92C0"/>
      </w:rPr>
    </w:lvl>
    <w:lvl w:ilvl="1">
      <w:start w:val="1"/>
      <w:numFmt w:val="bullet"/>
      <w:pStyle w:val="Tabledash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" w15:restartNumberingAfterBreak="0">
    <w:nsid w:val="341E0ED3"/>
    <w:multiLevelType w:val="hybridMultilevel"/>
    <w:tmpl w:val="E3C807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700BF"/>
    <w:multiLevelType w:val="hybridMultilevel"/>
    <w:tmpl w:val="9918CD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615B0"/>
    <w:multiLevelType w:val="multilevel"/>
    <w:tmpl w:val="F27293EC"/>
    <w:name w:val="List num2"/>
    <w:lvl w:ilvl="0">
      <w:start w:val="1"/>
      <w:numFmt w:val="decimal"/>
      <w:pStyle w:val="Heading1numbered"/>
      <w:suff w:val="space"/>
      <w:lvlText w:val="Section 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numbere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393A12AA"/>
    <w:multiLevelType w:val="multilevel"/>
    <w:tmpl w:val="3DBE2574"/>
    <w:lvl w:ilvl="0">
      <w:start w:val="1"/>
      <w:numFmt w:val="bullet"/>
      <w:pStyle w:val="Bullet1"/>
      <w:lvlText w:val=""/>
      <w:lvlJc w:val="left"/>
      <w:pPr>
        <w:ind w:left="284" w:hanging="284"/>
      </w:pPr>
      <w:rPr>
        <w:rFonts w:ascii="Wingdings 2" w:hAnsi="Wingdings 2" w:hint="default"/>
        <w:color w:val="4D92C0"/>
        <w:position w:val="2"/>
        <w:sz w:val="16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 Black" w:hAnsi="Arial Black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7" w15:restartNumberingAfterBreak="0">
    <w:nsid w:val="43BF2BD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46D3A6A"/>
    <w:multiLevelType w:val="multilevel"/>
    <w:tmpl w:val="F58A40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9" w15:restartNumberingAfterBreak="0">
    <w:nsid w:val="461135B8"/>
    <w:multiLevelType w:val="hybridMultilevel"/>
    <w:tmpl w:val="2AA8BC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F3703"/>
    <w:multiLevelType w:val="hybridMultilevel"/>
    <w:tmpl w:val="62085E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972D2"/>
    <w:multiLevelType w:val="hybridMultilevel"/>
    <w:tmpl w:val="7952C3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7E12E5"/>
    <w:multiLevelType w:val="multilevel"/>
    <w:tmpl w:val="F74E2CE0"/>
    <w:lvl w:ilvl="0">
      <w:start w:val="1"/>
      <w:numFmt w:val="decimal"/>
      <w:pStyle w:val="Numpara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7ED50557"/>
    <w:multiLevelType w:val="hybridMultilevel"/>
    <w:tmpl w:val="FB603E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D44514"/>
    <w:multiLevelType w:val="multilevel"/>
    <w:tmpl w:val="457635A8"/>
    <w:name w:val="List num"/>
    <w:lvl w:ilvl="0">
      <w:start w:val="1"/>
      <w:numFmt w:val="lowerLetter"/>
      <w:pStyle w:val="Listnum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upperRoman"/>
      <w:lvlRestart w:val="1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2345"/>
        </w:tabs>
        <w:ind w:left="2382" w:hanging="39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742"/>
        </w:tabs>
        <w:ind w:left="2779" w:hanging="39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3139"/>
        </w:tabs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36"/>
        </w:tabs>
        <w:ind w:left="3573" w:hanging="397"/>
      </w:pPr>
      <w:rPr>
        <w:rFonts w:hint="default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14"/>
  </w:num>
  <w:num w:numId="5">
    <w:abstractNumId w:val="2"/>
  </w:num>
  <w:num w:numId="6">
    <w:abstractNumId w:val="7"/>
  </w:num>
  <w:num w:numId="7">
    <w:abstractNumId w:val="12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3"/>
  </w:num>
  <w:num w:numId="14">
    <w:abstractNumId w:val="9"/>
  </w:num>
  <w:num w:numId="15">
    <w:abstractNumId w:val="11"/>
  </w:num>
  <w:num w:numId="16">
    <w:abstractNumId w:val="1"/>
  </w:num>
  <w:num w:numId="17">
    <w:abstractNumId w:val="13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attachedTemplate r:id="rId1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97F"/>
    <w:rsid w:val="00012F6F"/>
    <w:rsid w:val="00014213"/>
    <w:rsid w:val="00014B55"/>
    <w:rsid w:val="00020E3E"/>
    <w:rsid w:val="00023BF3"/>
    <w:rsid w:val="00026811"/>
    <w:rsid w:val="0004185E"/>
    <w:rsid w:val="00053181"/>
    <w:rsid w:val="00056988"/>
    <w:rsid w:val="00064E2D"/>
    <w:rsid w:val="00072279"/>
    <w:rsid w:val="00073407"/>
    <w:rsid w:val="00075E6C"/>
    <w:rsid w:val="00081C12"/>
    <w:rsid w:val="00087D42"/>
    <w:rsid w:val="000905F7"/>
    <w:rsid w:val="000B29AD"/>
    <w:rsid w:val="000C6372"/>
    <w:rsid w:val="000C68F3"/>
    <w:rsid w:val="000D7841"/>
    <w:rsid w:val="000E392D"/>
    <w:rsid w:val="000E39B6"/>
    <w:rsid w:val="000E3D05"/>
    <w:rsid w:val="000F4288"/>
    <w:rsid w:val="000F7165"/>
    <w:rsid w:val="00102379"/>
    <w:rsid w:val="00103722"/>
    <w:rsid w:val="001065D6"/>
    <w:rsid w:val="001068D5"/>
    <w:rsid w:val="00121252"/>
    <w:rsid w:val="00124609"/>
    <w:rsid w:val="001254CE"/>
    <w:rsid w:val="0013637A"/>
    <w:rsid w:val="001422CC"/>
    <w:rsid w:val="00145346"/>
    <w:rsid w:val="00155FB0"/>
    <w:rsid w:val="001617B6"/>
    <w:rsid w:val="00165E66"/>
    <w:rsid w:val="00196143"/>
    <w:rsid w:val="001A24FC"/>
    <w:rsid w:val="001C6993"/>
    <w:rsid w:val="001C7BAE"/>
    <w:rsid w:val="001E31FA"/>
    <w:rsid w:val="001E48F9"/>
    <w:rsid w:val="001E64F6"/>
    <w:rsid w:val="001E7AEB"/>
    <w:rsid w:val="00204B82"/>
    <w:rsid w:val="0020674B"/>
    <w:rsid w:val="00212987"/>
    <w:rsid w:val="002133C6"/>
    <w:rsid w:val="00222BEB"/>
    <w:rsid w:val="00225E60"/>
    <w:rsid w:val="00230BBB"/>
    <w:rsid w:val="0023202C"/>
    <w:rsid w:val="00234619"/>
    <w:rsid w:val="00235BE2"/>
    <w:rsid w:val="00245043"/>
    <w:rsid w:val="0025110D"/>
    <w:rsid w:val="0026028E"/>
    <w:rsid w:val="00262F9B"/>
    <w:rsid w:val="00284FA2"/>
    <w:rsid w:val="00292213"/>
    <w:rsid w:val="00292D36"/>
    <w:rsid w:val="00294A5A"/>
    <w:rsid w:val="00297281"/>
    <w:rsid w:val="00297A47"/>
    <w:rsid w:val="002A5891"/>
    <w:rsid w:val="002A797F"/>
    <w:rsid w:val="002B03F1"/>
    <w:rsid w:val="002B5C34"/>
    <w:rsid w:val="002B5E2B"/>
    <w:rsid w:val="002B6DAA"/>
    <w:rsid w:val="002C0C5B"/>
    <w:rsid w:val="002D70F7"/>
    <w:rsid w:val="002D711A"/>
    <w:rsid w:val="002D7336"/>
    <w:rsid w:val="002E3396"/>
    <w:rsid w:val="002E6454"/>
    <w:rsid w:val="002F0B22"/>
    <w:rsid w:val="002F2953"/>
    <w:rsid w:val="0031149C"/>
    <w:rsid w:val="0036778F"/>
    <w:rsid w:val="0038771C"/>
    <w:rsid w:val="003A430B"/>
    <w:rsid w:val="003A541A"/>
    <w:rsid w:val="003A6923"/>
    <w:rsid w:val="003C2C67"/>
    <w:rsid w:val="003C2D4C"/>
    <w:rsid w:val="003C3B3A"/>
    <w:rsid w:val="003C5BA4"/>
    <w:rsid w:val="003E3E26"/>
    <w:rsid w:val="003F1295"/>
    <w:rsid w:val="003F5102"/>
    <w:rsid w:val="003F76FC"/>
    <w:rsid w:val="004002EB"/>
    <w:rsid w:val="00407A79"/>
    <w:rsid w:val="00407C45"/>
    <w:rsid w:val="00422DDC"/>
    <w:rsid w:val="004231B5"/>
    <w:rsid w:val="004236C8"/>
    <w:rsid w:val="00427681"/>
    <w:rsid w:val="00433DB7"/>
    <w:rsid w:val="0045347E"/>
    <w:rsid w:val="00453750"/>
    <w:rsid w:val="00456941"/>
    <w:rsid w:val="00460BD5"/>
    <w:rsid w:val="004702EA"/>
    <w:rsid w:val="00476966"/>
    <w:rsid w:val="0048259C"/>
    <w:rsid w:val="00482D02"/>
    <w:rsid w:val="00484326"/>
    <w:rsid w:val="00490369"/>
    <w:rsid w:val="004A7519"/>
    <w:rsid w:val="004B64B1"/>
    <w:rsid w:val="004D01AC"/>
    <w:rsid w:val="004D3518"/>
    <w:rsid w:val="004D62D6"/>
    <w:rsid w:val="004D6898"/>
    <w:rsid w:val="004F3F4E"/>
    <w:rsid w:val="00510167"/>
    <w:rsid w:val="00513E86"/>
    <w:rsid w:val="005306A2"/>
    <w:rsid w:val="0053416C"/>
    <w:rsid w:val="00541C2F"/>
    <w:rsid w:val="00552DE4"/>
    <w:rsid w:val="00563527"/>
    <w:rsid w:val="00567B1F"/>
    <w:rsid w:val="0057407A"/>
    <w:rsid w:val="0058124E"/>
    <w:rsid w:val="005875A3"/>
    <w:rsid w:val="00593129"/>
    <w:rsid w:val="005953EA"/>
    <w:rsid w:val="005A3416"/>
    <w:rsid w:val="005B061F"/>
    <w:rsid w:val="005B27FE"/>
    <w:rsid w:val="005B4CCD"/>
    <w:rsid w:val="005B76DF"/>
    <w:rsid w:val="005B79CB"/>
    <w:rsid w:val="005E08D7"/>
    <w:rsid w:val="005E4C16"/>
    <w:rsid w:val="005E5947"/>
    <w:rsid w:val="005F61DF"/>
    <w:rsid w:val="0060163A"/>
    <w:rsid w:val="006023F9"/>
    <w:rsid w:val="00610559"/>
    <w:rsid w:val="00614076"/>
    <w:rsid w:val="00627E18"/>
    <w:rsid w:val="00632F2E"/>
    <w:rsid w:val="006332F6"/>
    <w:rsid w:val="006413F2"/>
    <w:rsid w:val="006534B2"/>
    <w:rsid w:val="0065615D"/>
    <w:rsid w:val="00657011"/>
    <w:rsid w:val="006650B5"/>
    <w:rsid w:val="006651B1"/>
    <w:rsid w:val="00665778"/>
    <w:rsid w:val="00670EB0"/>
    <w:rsid w:val="00676E5F"/>
    <w:rsid w:val="00680577"/>
    <w:rsid w:val="006945CA"/>
    <w:rsid w:val="006A3309"/>
    <w:rsid w:val="006A3A5A"/>
    <w:rsid w:val="006A5B34"/>
    <w:rsid w:val="006C77A9"/>
    <w:rsid w:val="006D4720"/>
    <w:rsid w:val="006E6CDF"/>
    <w:rsid w:val="006F37F2"/>
    <w:rsid w:val="006F6693"/>
    <w:rsid w:val="00707FE8"/>
    <w:rsid w:val="007141DE"/>
    <w:rsid w:val="00714AAE"/>
    <w:rsid w:val="00724962"/>
    <w:rsid w:val="00724A0F"/>
    <w:rsid w:val="00726D2F"/>
    <w:rsid w:val="00736732"/>
    <w:rsid w:val="00740019"/>
    <w:rsid w:val="00746426"/>
    <w:rsid w:val="00750BF9"/>
    <w:rsid w:val="00750CBE"/>
    <w:rsid w:val="007650D2"/>
    <w:rsid w:val="00766B5A"/>
    <w:rsid w:val="00772209"/>
    <w:rsid w:val="007770A5"/>
    <w:rsid w:val="007834F2"/>
    <w:rsid w:val="00791020"/>
    <w:rsid w:val="007A04D2"/>
    <w:rsid w:val="007A4444"/>
    <w:rsid w:val="007A5F82"/>
    <w:rsid w:val="007C1968"/>
    <w:rsid w:val="007D5F9E"/>
    <w:rsid w:val="007E098F"/>
    <w:rsid w:val="007E3BA2"/>
    <w:rsid w:val="007E6F9B"/>
    <w:rsid w:val="007F1A4C"/>
    <w:rsid w:val="007F723F"/>
    <w:rsid w:val="008022C3"/>
    <w:rsid w:val="008041E6"/>
    <w:rsid w:val="008065D2"/>
    <w:rsid w:val="00815A8A"/>
    <w:rsid w:val="0082194C"/>
    <w:rsid w:val="008222FF"/>
    <w:rsid w:val="008241FF"/>
    <w:rsid w:val="008411E9"/>
    <w:rsid w:val="00841617"/>
    <w:rsid w:val="0084200F"/>
    <w:rsid w:val="00843B2C"/>
    <w:rsid w:val="00844F16"/>
    <w:rsid w:val="00855FF9"/>
    <w:rsid w:val="0086277A"/>
    <w:rsid w:val="008668A8"/>
    <w:rsid w:val="008703D8"/>
    <w:rsid w:val="008768AD"/>
    <w:rsid w:val="00880AC4"/>
    <w:rsid w:val="008816EE"/>
    <w:rsid w:val="00897157"/>
    <w:rsid w:val="00897447"/>
    <w:rsid w:val="008A4900"/>
    <w:rsid w:val="008A55FE"/>
    <w:rsid w:val="008A58D2"/>
    <w:rsid w:val="008B146D"/>
    <w:rsid w:val="008B42AD"/>
    <w:rsid w:val="008B5666"/>
    <w:rsid w:val="008C2C15"/>
    <w:rsid w:val="008D0281"/>
    <w:rsid w:val="008E2348"/>
    <w:rsid w:val="008F6D45"/>
    <w:rsid w:val="00916AD5"/>
    <w:rsid w:val="00922944"/>
    <w:rsid w:val="00936479"/>
    <w:rsid w:val="00937A10"/>
    <w:rsid w:val="00953A2C"/>
    <w:rsid w:val="00966115"/>
    <w:rsid w:val="009834C0"/>
    <w:rsid w:val="00986AAC"/>
    <w:rsid w:val="00995526"/>
    <w:rsid w:val="009A1DA2"/>
    <w:rsid w:val="009A3704"/>
    <w:rsid w:val="009A4739"/>
    <w:rsid w:val="009A674F"/>
    <w:rsid w:val="009A6D22"/>
    <w:rsid w:val="009B199C"/>
    <w:rsid w:val="009B61F1"/>
    <w:rsid w:val="009B62E0"/>
    <w:rsid w:val="009C3D88"/>
    <w:rsid w:val="009E1651"/>
    <w:rsid w:val="009E3858"/>
    <w:rsid w:val="009E467D"/>
    <w:rsid w:val="009E70DD"/>
    <w:rsid w:val="009F2973"/>
    <w:rsid w:val="009F2ED9"/>
    <w:rsid w:val="009F3231"/>
    <w:rsid w:val="009F5C58"/>
    <w:rsid w:val="00A023A0"/>
    <w:rsid w:val="00A05EBC"/>
    <w:rsid w:val="00A1562B"/>
    <w:rsid w:val="00A170F4"/>
    <w:rsid w:val="00A21408"/>
    <w:rsid w:val="00A21CFD"/>
    <w:rsid w:val="00A220A1"/>
    <w:rsid w:val="00A25B78"/>
    <w:rsid w:val="00A46288"/>
    <w:rsid w:val="00A46BA8"/>
    <w:rsid w:val="00A47634"/>
    <w:rsid w:val="00A612FE"/>
    <w:rsid w:val="00A70B49"/>
    <w:rsid w:val="00A92D94"/>
    <w:rsid w:val="00AA26B8"/>
    <w:rsid w:val="00AC0B87"/>
    <w:rsid w:val="00AC2624"/>
    <w:rsid w:val="00AC32A8"/>
    <w:rsid w:val="00AD7E4E"/>
    <w:rsid w:val="00AF4D58"/>
    <w:rsid w:val="00AF6666"/>
    <w:rsid w:val="00AF7BC5"/>
    <w:rsid w:val="00B81B44"/>
    <w:rsid w:val="00B9053B"/>
    <w:rsid w:val="00BA0C37"/>
    <w:rsid w:val="00BA3782"/>
    <w:rsid w:val="00BB4D98"/>
    <w:rsid w:val="00BB4EBF"/>
    <w:rsid w:val="00BB59E0"/>
    <w:rsid w:val="00BC3422"/>
    <w:rsid w:val="00BC6E19"/>
    <w:rsid w:val="00BC7DFB"/>
    <w:rsid w:val="00BD11C2"/>
    <w:rsid w:val="00BD5018"/>
    <w:rsid w:val="00BE5ADC"/>
    <w:rsid w:val="00BF4F96"/>
    <w:rsid w:val="00C015B9"/>
    <w:rsid w:val="00C022F9"/>
    <w:rsid w:val="00C032EA"/>
    <w:rsid w:val="00C06EB5"/>
    <w:rsid w:val="00C1145F"/>
    <w:rsid w:val="00C11CD1"/>
    <w:rsid w:val="00C32D49"/>
    <w:rsid w:val="00C33AD3"/>
    <w:rsid w:val="00C35D53"/>
    <w:rsid w:val="00C41B3C"/>
    <w:rsid w:val="00C43F06"/>
    <w:rsid w:val="00C51C01"/>
    <w:rsid w:val="00C637E1"/>
    <w:rsid w:val="00C67EAC"/>
    <w:rsid w:val="00C70D50"/>
    <w:rsid w:val="00C72252"/>
    <w:rsid w:val="00C907D7"/>
    <w:rsid w:val="00C92338"/>
    <w:rsid w:val="00CA05DC"/>
    <w:rsid w:val="00CA7B47"/>
    <w:rsid w:val="00CB3976"/>
    <w:rsid w:val="00CD0307"/>
    <w:rsid w:val="00CD3C79"/>
    <w:rsid w:val="00CD3D1B"/>
    <w:rsid w:val="00CE1CDD"/>
    <w:rsid w:val="00D02663"/>
    <w:rsid w:val="00D0633E"/>
    <w:rsid w:val="00D12E74"/>
    <w:rsid w:val="00D1323F"/>
    <w:rsid w:val="00D2312F"/>
    <w:rsid w:val="00D23B04"/>
    <w:rsid w:val="00D269C1"/>
    <w:rsid w:val="00D41230"/>
    <w:rsid w:val="00D41B2F"/>
    <w:rsid w:val="00D44953"/>
    <w:rsid w:val="00D542F3"/>
    <w:rsid w:val="00D54513"/>
    <w:rsid w:val="00D54AAE"/>
    <w:rsid w:val="00D5644B"/>
    <w:rsid w:val="00D56E25"/>
    <w:rsid w:val="00D57E89"/>
    <w:rsid w:val="00D6560D"/>
    <w:rsid w:val="00D65D77"/>
    <w:rsid w:val="00D718D7"/>
    <w:rsid w:val="00D814B7"/>
    <w:rsid w:val="00D90688"/>
    <w:rsid w:val="00DA3AAD"/>
    <w:rsid w:val="00DA3F36"/>
    <w:rsid w:val="00DB312B"/>
    <w:rsid w:val="00DC5654"/>
    <w:rsid w:val="00DC658F"/>
    <w:rsid w:val="00DC674A"/>
    <w:rsid w:val="00DE60CC"/>
    <w:rsid w:val="00DF0E5B"/>
    <w:rsid w:val="00E03F35"/>
    <w:rsid w:val="00E26B32"/>
    <w:rsid w:val="00E31CD4"/>
    <w:rsid w:val="00E31E60"/>
    <w:rsid w:val="00E33E08"/>
    <w:rsid w:val="00E407B6"/>
    <w:rsid w:val="00E41EF1"/>
    <w:rsid w:val="00E42942"/>
    <w:rsid w:val="00E65A0A"/>
    <w:rsid w:val="00E71BDF"/>
    <w:rsid w:val="00E75CCB"/>
    <w:rsid w:val="00E8245B"/>
    <w:rsid w:val="00E82C21"/>
    <w:rsid w:val="00E82F59"/>
    <w:rsid w:val="00E83CA7"/>
    <w:rsid w:val="00E92192"/>
    <w:rsid w:val="00E95A71"/>
    <w:rsid w:val="00EB7014"/>
    <w:rsid w:val="00EC2193"/>
    <w:rsid w:val="00EC5CDE"/>
    <w:rsid w:val="00EC7F2A"/>
    <w:rsid w:val="00ED3077"/>
    <w:rsid w:val="00ED487E"/>
    <w:rsid w:val="00ED64F1"/>
    <w:rsid w:val="00EE33A1"/>
    <w:rsid w:val="00EE7A0D"/>
    <w:rsid w:val="00F0222C"/>
    <w:rsid w:val="00F06647"/>
    <w:rsid w:val="00F12312"/>
    <w:rsid w:val="00F17CE1"/>
    <w:rsid w:val="00F2115C"/>
    <w:rsid w:val="00F22ABA"/>
    <w:rsid w:val="00F25919"/>
    <w:rsid w:val="00F25F4B"/>
    <w:rsid w:val="00F27C9D"/>
    <w:rsid w:val="00F36B12"/>
    <w:rsid w:val="00F60F9F"/>
    <w:rsid w:val="00F61246"/>
    <w:rsid w:val="00F64F08"/>
    <w:rsid w:val="00F70055"/>
    <w:rsid w:val="00F734F5"/>
    <w:rsid w:val="00F73B5B"/>
    <w:rsid w:val="00F90EA5"/>
    <w:rsid w:val="00F91F5A"/>
    <w:rsid w:val="00F966B1"/>
    <w:rsid w:val="00F97D48"/>
    <w:rsid w:val="00FA0311"/>
    <w:rsid w:val="00FA1489"/>
    <w:rsid w:val="00FA16AC"/>
    <w:rsid w:val="00FD50F0"/>
    <w:rsid w:val="00FD640F"/>
    <w:rsid w:val="00FD6B4C"/>
    <w:rsid w:val="00FE04C6"/>
    <w:rsid w:val="00FE0553"/>
    <w:rsid w:val="00FE25D0"/>
    <w:rsid w:val="00FE6CB3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356851AB"/>
  <w15:docId w15:val="{87CFF3D8-AAEC-4BE4-9A2A-2D876968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before="160" w:after="160" w:line="280" w:lineRule="atLeast"/>
      </w:pPr>
    </w:pPrDefault>
  </w:docDefaults>
  <w:latentStyles w:defLockedState="0" w:defUIPriority="1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unhideWhenUsed="1"/>
    <w:lsdException w:name="index 2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/>
    <w:lsdException w:name="toc 5" w:semiHidden="1"/>
    <w:lsdException w:name="toc 6" w:semiHidden="1"/>
    <w:lsdException w:name="toc 7" w:semiHidden="1" w:unhideWhenUsed="1"/>
    <w:lsdException w:name="toc 8" w:semiHidden="1" w:unhideWhenUsed="1"/>
    <w:lsdException w:name="toc 9" w:semiHidden="1" w:unhideWhenUsed="1"/>
    <w:lsdException w:name="Normal Indent" w:uiPriority="0" w:unhideWhenUsed="1" w:qFormat="1"/>
    <w:lsdException w:name="footnote text" w:semiHidden="1" w:uiPriority="99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uiPriority="99" w:unhideWhenUsed="1"/>
    <w:lsdException w:name="caption" w:uiPriority="35" w:unhideWhenUsed="1"/>
    <w:lsdException w:name="table of figures" w:semiHidden="1" w:uiPriority="2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iPriority="2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4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7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Subtle Reference" w:qFormat="1"/>
    <w:lsdException w:name="Intense Reference" w:semiHidden="1"/>
    <w:lsdException w:name="Book Title" w:semiHidden="1" w:uiPriority="33" w:qFormat="1"/>
    <w:lsdException w:name="Bibliography" w:semiHidden="1" w:unhideWhenUsed="1"/>
    <w:lsdException w:name="TOC Heading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1"/>
    <w:qFormat/>
    <w:rsid w:val="002A797F"/>
    <w:rPr>
      <w:rFonts w:ascii="VIC" w:hAnsi="VIC" w:cstheme="majorHAnsi"/>
    </w:rPr>
  </w:style>
  <w:style w:type="paragraph" w:styleId="Heading1">
    <w:name w:val="heading 1"/>
    <w:basedOn w:val="Normal"/>
    <w:next w:val="Normalfollowingheading"/>
    <w:link w:val="Heading1Char"/>
    <w:qFormat/>
    <w:rsid w:val="0026028E"/>
    <w:pPr>
      <w:keepNext/>
      <w:keepLines/>
      <w:framePr w:wrap="around" w:vAnchor="page" w:hAnchor="margin" w:y="1022"/>
      <w:spacing w:before="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7586" w:themeColor="text2"/>
      <w:spacing w:val="-1"/>
      <w:sz w:val="48"/>
      <w:szCs w:val="28"/>
    </w:rPr>
  </w:style>
  <w:style w:type="paragraph" w:styleId="Heading2">
    <w:name w:val="heading 2"/>
    <w:basedOn w:val="Normal"/>
    <w:next w:val="Normalfollowingheading"/>
    <w:link w:val="Heading2Char"/>
    <w:qFormat/>
    <w:rsid w:val="002A797F"/>
    <w:pPr>
      <w:keepNext/>
      <w:keepLines/>
      <w:spacing w:before="280" w:after="60" w:line="240" w:lineRule="auto"/>
      <w:outlineLvl w:val="1"/>
    </w:pPr>
    <w:rPr>
      <w:rFonts w:ascii="VIC SemiBold" w:eastAsiaTheme="majorEastAsia" w:hAnsi="VIC SemiBold" w:cstheme="majorBidi"/>
      <w:bCs/>
      <w:caps/>
      <w:color w:val="007586" w:themeColor="text2"/>
      <w:sz w:val="24"/>
      <w:szCs w:val="26"/>
    </w:rPr>
  </w:style>
  <w:style w:type="paragraph" w:styleId="Heading3">
    <w:name w:val="heading 3"/>
    <w:basedOn w:val="Normal"/>
    <w:next w:val="Normalfollowingheading"/>
    <w:link w:val="Heading3Char"/>
    <w:qFormat/>
    <w:rsid w:val="00567B1F"/>
    <w:pPr>
      <w:keepNext/>
      <w:keepLines/>
      <w:spacing w:before="240" w:after="50" w:line="240" w:lineRule="auto"/>
      <w:outlineLvl w:val="2"/>
    </w:pPr>
    <w:rPr>
      <w:rFonts w:ascii="VIC SemiBold" w:eastAsiaTheme="majorEastAsia" w:hAnsi="VIC SemiBold" w:cstheme="majorBidi"/>
      <w:bCs/>
      <w:color w:val="000000" w:themeColor="text1"/>
      <w:sz w:val="24"/>
      <w:szCs w:val="22"/>
    </w:rPr>
  </w:style>
  <w:style w:type="paragraph" w:styleId="Heading4">
    <w:name w:val="heading 4"/>
    <w:basedOn w:val="Normal"/>
    <w:next w:val="Normalfollowingheading"/>
    <w:link w:val="Heading4Char"/>
    <w:qFormat/>
    <w:rsid w:val="0026028E"/>
    <w:pPr>
      <w:keepNext/>
      <w:keepLines/>
      <w:spacing w:before="320" w:after="70" w:line="240" w:lineRule="auto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semiHidden/>
    <w:rsid w:val="008219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9E1651"/>
    <w:pPr>
      <w:spacing w:before="60" w:after="60" w:line="192" w:lineRule="atLeast"/>
    </w:pPr>
    <w:rPr>
      <w:rFonts w:eastAsiaTheme="minorHAnsi"/>
      <w:sz w:val="16"/>
      <w:szCs w:val="21"/>
      <w:lang w:eastAsia="en-US"/>
    </w:rPr>
    <w:tblPr>
      <w:tblStyleColBandSize w:val="1"/>
      <w:tblBorders>
        <w:top w:val="single" w:sz="2" w:space="0" w:color="80808B" w:themeColor="accent5"/>
        <w:bottom w:val="single" w:sz="2" w:space="0" w:color="80808B" w:themeColor="accent5"/>
        <w:insideH w:val="single" w:sz="2" w:space="0" w:color="80808B" w:themeColor="accent5"/>
      </w:tblBorders>
      <w:tblCellMar>
        <w:left w:w="113" w:type="dxa"/>
        <w:right w:w="113" w:type="dxa"/>
      </w:tblCellMar>
    </w:tblPr>
    <w:tblStylePr w:type="firstRow">
      <w:pPr>
        <w:keepNext/>
        <w:keepLines/>
        <w:widowControl/>
        <w:wordWrap/>
        <w:spacing w:beforeLines="0" w:before="0" w:beforeAutospacing="0" w:afterLines="0" w:after="0" w:afterAutospacing="0" w:line="260" w:lineRule="atLeast"/>
        <w:ind w:leftChars="0" w:left="0"/>
        <w:jc w:val="left"/>
      </w:pPr>
      <w:rPr>
        <w:b/>
        <w:i w:val="0"/>
        <w:color w:val="007586" w:themeColor="text2"/>
        <w:sz w:val="16"/>
      </w:rPr>
      <w:tblPr/>
      <w:tcPr>
        <w:tcBorders>
          <w:top w:val="single" w:sz="2" w:space="0" w:color="EDF5F7" w:themeColor="background2"/>
          <w:left w:val="nil"/>
          <w:bottom w:val="single" w:sz="24" w:space="0" w:color="CCCCD0" w:themeColor="accent6"/>
          <w:right w:val="nil"/>
          <w:insideH w:val="nil"/>
          <w:insideV w:val="nil"/>
          <w:tl2br w:val="nil"/>
          <w:tr2bl w:val="nil"/>
        </w:tcBorders>
        <w:shd w:val="clear" w:color="auto" w:fill="EDF5F7"/>
        <w:tcMar>
          <w:top w:w="80" w:type="dxa"/>
          <w:left w:w="113" w:type="dxa"/>
          <w:bottom w:w="80" w:type="dxa"/>
          <w:right w:w="113" w:type="dxa"/>
        </w:tcMar>
      </w:tcPr>
    </w:tblStylePr>
    <w:tblStylePr w:type="lastRow"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beforeLines="0" w:before="50" w:beforeAutospacing="0" w:line="260" w:lineRule="atLeast"/>
        <w:ind w:leftChars="0" w:left="0"/>
        <w:jc w:val="left"/>
      </w:pPr>
      <w:rPr>
        <w:b/>
        <w:color w:val="007586" w:themeColor="text2"/>
        <w:sz w:val="16"/>
      </w:rPr>
    </w:tblStylePr>
    <w:tblStylePr w:type="band1Vert">
      <w:pPr>
        <w:jc w:val="right"/>
      </w:pPr>
    </w:tblStylePr>
    <w:tblStylePr w:type="band2Vert">
      <w:pPr>
        <w:jc w:val="right"/>
      </w:pPr>
    </w:tblStylePr>
  </w:style>
  <w:style w:type="table" w:styleId="LightList-Accent4">
    <w:name w:val="Light List Accent 4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band1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ED64F1"/>
    <w:pPr>
      <w:pBdr>
        <w:bottom w:val="single" w:sz="2" w:space="4" w:color="000016"/>
        <w:between w:val="single" w:sz="2" w:space="1" w:color="000000" w:themeColor="text1"/>
      </w:pBdr>
      <w:tabs>
        <w:tab w:val="right" w:pos="10206"/>
      </w:tabs>
      <w:spacing w:before="0" w:after="0"/>
      <w:ind w:right="57"/>
    </w:pPr>
    <w:rPr>
      <w:b/>
      <w:noProof/>
      <w:lang w:eastAsia="en-US"/>
    </w:rPr>
  </w:style>
  <w:style w:type="paragraph" w:styleId="TOC2">
    <w:name w:val="toc 2"/>
    <w:basedOn w:val="Normal"/>
    <w:next w:val="Normal"/>
    <w:uiPriority w:val="39"/>
    <w:rsid w:val="009E1651"/>
    <w:pPr>
      <w:pBdr>
        <w:bottom w:val="single" w:sz="2" w:space="4" w:color="000000" w:themeColor="text1"/>
        <w:between w:val="single" w:sz="2" w:space="0" w:color="000000" w:themeColor="text1"/>
      </w:pBdr>
      <w:tabs>
        <w:tab w:val="left" w:pos="340"/>
        <w:tab w:val="right" w:pos="10206"/>
      </w:tabs>
      <w:spacing w:after="60" w:line="240" w:lineRule="auto"/>
      <w:ind w:right="57"/>
    </w:pPr>
    <w:rPr>
      <w:b/>
      <w:noProof/>
      <w:color w:val="007586" w:themeColor="text2"/>
    </w:rPr>
  </w:style>
  <w:style w:type="paragraph" w:styleId="TOC3">
    <w:name w:val="toc 3"/>
    <w:basedOn w:val="TOC2"/>
    <w:next w:val="Normal"/>
    <w:uiPriority w:val="39"/>
    <w:rsid w:val="009E1651"/>
  </w:style>
  <w:style w:type="paragraph" w:styleId="Index1">
    <w:name w:val="index 1"/>
    <w:basedOn w:val="Normal"/>
    <w:next w:val="Normal"/>
    <w:uiPriority w:val="1"/>
    <w:semiHidden/>
    <w:rsid w:val="00DA3AA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1"/>
    <w:semiHidden/>
    <w:rsid w:val="00014B55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7"/>
    <w:rsid w:val="00F966B1"/>
    <w:rPr>
      <w:color w:val="000000" w:themeColor="hyperlink"/>
      <w:u w:val="none"/>
    </w:rPr>
  </w:style>
  <w:style w:type="character" w:customStyle="1" w:styleId="Heading1Char">
    <w:name w:val="Heading 1 Char"/>
    <w:basedOn w:val="DefaultParagraphFont"/>
    <w:link w:val="Heading1"/>
    <w:rsid w:val="00A05EBC"/>
    <w:rPr>
      <w:rFonts w:asciiTheme="majorHAnsi" w:eastAsiaTheme="majorEastAsia" w:hAnsiTheme="majorHAnsi" w:cstheme="majorBidi"/>
      <w:b/>
      <w:bCs/>
      <w:color w:val="007586" w:themeColor="text2"/>
      <w:spacing w:val="-1"/>
      <w:sz w:val="48"/>
      <w:szCs w:val="28"/>
    </w:rPr>
  </w:style>
  <w:style w:type="character" w:customStyle="1" w:styleId="Heading2Char">
    <w:name w:val="Heading 2 Char"/>
    <w:basedOn w:val="DefaultParagraphFont"/>
    <w:link w:val="Heading2"/>
    <w:rsid w:val="002A797F"/>
    <w:rPr>
      <w:rFonts w:ascii="VIC SemiBold" w:eastAsiaTheme="majorEastAsia" w:hAnsi="VIC SemiBold" w:cstheme="majorBidi"/>
      <w:bCs/>
      <w:caps/>
      <w:color w:val="007586" w:themeColor="text2"/>
      <w:sz w:val="24"/>
      <w:szCs w:val="26"/>
    </w:rPr>
  </w:style>
  <w:style w:type="paragraph" w:customStyle="1" w:styleId="Bullet1">
    <w:name w:val="Bullet 1"/>
    <w:uiPriority w:val="1"/>
    <w:qFormat/>
    <w:rsid w:val="00292213"/>
    <w:pPr>
      <w:numPr>
        <w:numId w:val="9"/>
      </w:numPr>
      <w:spacing w:before="60" w:after="60"/>
    </w:pPr>
    <w:rPr>
      <w:rFonts w:ascii="VIC" w:eastAsia="Times New Roman" w:hAnsi="VIC" w:cs="Calibri"/>
    </w:rPr>
  </w:style>
  <w:style w:type="paragraph" w:customStyle="1" w:styleId="Bullet2">
    <w:name w:val="Bullet 2"/>
    <w:basedOn w:val="Bullet1"/>
    <w:uiPriority w:val="1"/>
    <w:qFormat/>
    <w:rsid w:val="00294A5A"/>
    <w:pPr>
      <w:numPr>
        <w:ilvl w:val="1"/>
      </w:numPr>
    </w:pPr>
  </w:style>
  <w:style w:type="paragraph" w:styleId="Quote">
    <w:name w:val="Quote"/>
    <w:basedOn w:val="Normal"/>
    <w:next w:val="Normal"/>
    <w:link w:val="QuoteChar"/>
    <w:uiPriority w:val="1"/>
    <w:qFormat/>
    <w:rsid w:val="00A05EBC"/>
    <w:pPr>
      <w:ind w:left="567" w:right="567"/>
      <w:jc w:val="center"/>
    </w:pPr>
    <w:rPr>
      <w:i/>
      <w:iCs/>
      <w:color w:val="000000" w:themeColor="text1"/>
    </w:rPr>
  </w:style>
  <w:style w:type="paragraph" w:customStyle="1" w:styleId="Heading1numbered">
    <w:name w:val="Heading 1 numbered"/>
    <w:basedOn w:val="Heading1"/>
    <w:next w:val="NormalIndent"/>
    <w:qFormat/>
    <w:rsid w:val="00BD5018"/>
    <w:pPr>
      <w:framePr w:wrap="around"/>
      <w:numPr>
        <w:numId w:val="10"/>
      </w:numPr>
    </w:pPr>
  </w:style>
  <w:style w:type="paragraph" w:customStyle="1" w:styleId="Heading2numbered">
    <w:name w:val="Heading 2 numbered"/>
    <w:basedOn w:val="Heading2"/>
    <w:next w:val="NormalIndent"/>
    <w:qFormat/>
    <w:rsid w:val="00BD5018"/>
    <w:pPr>
      <w:numPr>
        <w:ilvl w:val="1"/>
        <w:numId w:val="10"/>
      </w:numPr>
    </w:pPr>
  </w:style>
  <w:style w:type="paragraph" w:customStyle="1" w:styleId="Heading3numbered">
    <w:name w:val="Heading 3 numbered"/>
    <w:basedOn w:val="Heading3"/>
    <w:next w:val="NormalIndent"/>
    <w:qFormat/>
    <w:rsid w:val="00BD5018"/>
    <w:pPr>
      <w:numPr>
        <w:ilvl w:val="2"/>
        <w:numId w:val="10"/>
      </w:numPr>
    </w:pPr>
  </w:style>
  <w:style w:type="character" w:customStyle="1" w:styleId="Heading3Char">
    <w:name w:val="Heading 3 Char"/>
    <w:basedOn w:val="DefaultParagraphFont"/>
    <w:link w:val="Heading3"/>
    <w:rsid w:val="00567B1F"/>
    <w:rPr>
      <w:rFonts w:ascii="VIC SemiBold" w:eastAsiaTheme="majorEastAsia" w:hAnsi="VIC SemiBold" w:cstheme="majorBidi"/>
      <w:bCs/>
      <w:color w:val="000000" w:themeColor="text1"/>
      <w:sz w:val="24"/>
      <w:szCs w:val="22"/>
    </w:rPr>
  </w:style>
  <w:style w:type="paragraph" w:customStyle="1" w:styleId="Heading4numbered">
    <w:name w:val="Heading 4 numbered"/>
    <w:basedOn w:val="Heading4"/>
    <w:next w:val="NormalIndent"/>
    <w:qFormat/>
    <w:rsid w:val="00BD5018"/>
    <w:pPr>
      <w:numPr>
        <w:ilvl w:val="3"/>
        <w:numId w:val="10"/>
      </w:numPr>
    </w:pPr>
  </w:style>
  <w:style w:type="character" w:customStyle="1" w:styleId="Heading4Char">
    <w:name w:val="Heading 4 Char"/>
    <w:basedOn w:val="DefaultParagraphFont"/>
    <w:link w:val="Heading4"/>
    <w:rsid w:val="00A05EBC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NormalIndent">
    <w:name w:val="Normal Indent"/>
    <w:basedOn w:val="Normal"/>
    <w:uiPriority w:val="1"/>
    <w:qFormat/>
    <w:rsid w:val="009B62E0"/>
    <w:pPr>
      <w:spacing w:line="252" w:lineRule="auto"/>
      <w:ind w:left="792"/>
    </w:pPr>
  </w:style>
  <w:style w:type="paragraph" w:customStyle="1" w:styleId="NoteNormal">
    <w:name w:val="Note Normal"/>
    <w:basedOn w:val="Normal"/>
    <w:next w:val="Normal"/>
    <w:uiPriority w:val="1"/>
    <w:rsid w:val="00DA3F36"/>
    <w:pPr>
      <w:spacing w:line="240" w:lineRule="atLeast"/>
      <w:contextualSpacing/>
    </w:pPr>
    <w:rPr>
      <w:sz w:val="16"/>
    </w:rPr>
  </w:style>
  <w:style w:type="paragraph" w:customStyle="1" w:styleId="Spacer">
    <w:name w:val="Spacer"/>
    <w:basedOn w:val="Normal"/>
    <w:uiPriority w:val="1"/>
    <w:semiHidden/>
    <w:qFormat/>
    <w:rsid w:val="00165E66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Normal"/>
    <w:link w:val="SubtitleChar"/>
    <w:uiPriority w:val="99"/>
    <w:rsid w:val="00A46288"/>
    <w:pPr>
      <w:framePr w:hSpace="181" w:wrap="around" w:vAnchor="page" w:hAnchor="margin" w:y="11965"/>
      <w:spacing w:before="0" w:after="0" w:line="240" w:lineRule="auto"/>
      <w:suppressOverlap/>
    </w:pPr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05EBC"/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paragraph" w:styleId="TOC4">
    <w:name w:val="toc 4"/>
    <w:basedOn w:val="Normal"/>
    <w:next w:val="Normal"/>
    <w:autoRedefine/>
    <w:uiPriority w:val="99"/>
    <w:rsid w:val="00ED64F1"/>
    <w:pPr>
      <w:spacing w:after="100"/>
      <w:ind w:left="600"/>
    </w:pPr>
  </w:style>
  <w:style w:type="paragraph" w:styleId="Title">
    <w:name w:val="Title"/>
    <w:next w:val="Subtitle"/>
    <w:link w:val="TitleChar"/>
    <w:uiPriority w:val="99"/>
    <w:rsid w:val="007A4444"/>
    <w:pPr>
      <w:pBdr>
        <w:top w:val="single" w:sz="24" w:space="6" w:color="CCCCD0" w:themeColor="accent6"/>
      </w:pBdr>
      <w:spacing w:before="0" w:after="1260" w:line="240" w:lineRule="auto"/>
      <w:contextualSpacing/>
    </w:pPr>
    <w:rPr>
      <w:rFonts w:asciiTheme="majorHAnsi" w:eastAsia="Times New Roman" w:hAnsiTheme="majorHAnsi" w:cstheme="majorHAnsi"/>
      <w:b/>
      <w:color w:val="007586" w:themeColor="text2"/>
      <w:sz w:val="48"/>
      <w:szCs w:val="22"/>
    </w:rPr>
  </w:style>
  <w:style w:type="character" w:customStyle="1" w:styleId="TitleChar">
    <w:name w:val="Title Char"/>
    <w:basedOn w:val="DefaultParagraphFont"/>
    <w:link w:val="Title"/>
    <w:uiPriority w:val="99"/>
    <w:rsid w:val="007A4444"/>
    <w:rPr>
      <w:rFonts w:asciiTheme="majorHAnsi" w:eastAsia="Times New Roman" w:hAnsiTheme="majorHAnsi" w:cstheme="majorHAnsi"/>
      <w:b/>
      <w:color w:val="007586" w:themeColor="text2"/>
      <w:sz w:val="48"/>
      <w:szCs w:val="22"/>
    </w:rPr>
  </w:style>
  <w:style w:type="paragraph" w:styleId="BalloonText">
    <w:name w:val="Balloon Text"/>
    <w:basedOn w:val="Normal"/>
    <w:link w:val="BalloonTextChar"/>
    <w:uiPriority w:val="1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00A05EBC"/>
    <w:rPr>
      <w:rFonts w:ascii="Tahoma" w:hAnsi="Tahoma" w:cs="Tahoma"/>
      <w:sz w:val="16"/>
      <w:szCs w:val="16"/>
    </w:rPr>
  </w:style>
  <w:style w:type="character" w:customStyle="1" w:styleId="QuoteChar">
    <w:name w:val="Quote Char"/>
    <w:basedOn w:val="DefaultParagraphFont"/>
    <w:link w:val="Quote"/>
    <w:uiPriority w:val="1"/>
    <w:rsid w:val="00A05EBC"/>
    <w:rPr>
      <w:i/>
      <w:iCs/>
      <w:color w:val="000000" w:themeColor="text1"/>
    </w:rPr>
  </w:style>
  <w:style w:type="paragraph" w:styleId="IndexHeading">
    <w:name w:val="index heading"/>
    <w:basedOn w:val="Normal"/>
    <w:next w:val="Index1"/>
    <w:uiPriority w:val="1"/>
    <w:semiHidden/>
    <w:rsid w:val="00014B55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rsid w:val="0089715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157"/>
  </w:style>
  <w:style w:type="paragraph" w:styleId="Footer">
    <w:name w:val="footer"/>
    <w:basedOn w:val="Normal"/>
    <w:link w:val="FooterChar"/>
    <w:uiPriority w:val="99"/>
    <w:rsid w:val="0026028E"/>
    <w:pPr>
      <w:tabs>
        <w:tab w:val="left" w:pos="1304"/>
      </w:tabs>
      <w:spacing w:before="0" w:after="0" w:line="156" w:lineRule="exact"/>
    </w:pPr>
    <w:rPr>
      <w:noProof/>
      <w:sz w:val="13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05EBC"/>
    <w:rPr>
      <w:noProof/>
      <w:sz w:val="13"/>
      <w:szCs w:val="18"/>
    </w:rPr>
  </w:style>
  <w:style w:type="character" w:styleId="PageNumber">
    <w:name w:val="page number"/>
    <w:uiPriority w:val="1"/>
    <w:semiHidden/>
    <w:rsid w:val="00BB59E0"/>
    <w:rPr>
      <w:rFonts w:asciiTheme="minorHAnsi" w:hAnsiTheme="minorHAnsi"/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99"/>
    <w:rsid w:val="0026028E"/>
    <w:pPr>
      <w:framePr w:vSpace="1418" w:wrap="around"/>
      <w:outlineLvl w:val="9"/>
    </w:pPr>
    <w:rPr>
      <w:spacing w:val="2"/>
    </w:rPr>
  </w:style>
  <w:style w:type="paragraph" w:customStyle="1" w:styleId="NormalTight">
    <w:name w:val="Normal Tight"/>
    <w:uiPriority w:val="1"/>
    <w:semiHidden/>
    <w:rsid w:val="008D0281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1"/>
    <w:semiHidden/>
    <w:rsid w:val="00750CBE"/>
    <w:pPr>
      <w:spacing w:before="100" w:line="240" w:lineRule="auto"/>
      <w:ind w:left="794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05EBC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1"/>
    <w:semiHidden/>
    <w:qFormat/>
    <w:rsid w:val="00E26B32"/>
    <w:pPr>
      <w:spacing w:before="5800"/>
      <w:ind w:right="1382"/>
    </w:pPr>
  </w:style>
  <w:style w:type="table" w:styleId="ColorfulGrid">
    <w:name w:val="Colorful Grid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ECEF" w:themeFill="accent1" w:themeFillTint="33"/>
    </w:tcPr>
    <w:tblStylePr w:type="firstRow">
      <w:rPr>
        <w:b/>
        <w:bCs/>
      </w:rPr>
      <w:tblPr/>
      <w:tcPr>
        <w:shd w:val="clear" w:color="auto" w:fill="ADD9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D9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717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717A" w:themeFill="accent1" w:themeFillShade="BF"/>
      </w:tc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shd w:val="clear" w:color="auto" w:fill="99D0D7" w:themeFill="accent1" w:themeFillTint="7F"/>
      </w:tcPr>
    </w:tblStylePr>
  </w:style>
  <w:style w:type="paragraph" w:customStyle="1" w:styleId="Tabletext">
    <w:name w:val="Table text"/>
    <w:basedOn w:val="Normal"/>
    <w:qFormat/>
    <w:rsid w:val="009E1651"/>
    <w:pPr>
      <w:spacing w:before="60" w:after="60" w:line="192" w:lineRule="atLeast"/>
    </w:pPr>
    <w:rPr>
      <w:rFonts w:eastAsiaTheme="minorHAnsi"/>
      <w:sz w:val="16"/>
      <w:szCs w:val="21"/>
      <w:lang w:eastAsia="en-US"/>
    </w:rPr>
  </w:style>
  <w:style w:type="paragraph" w:customStyle="1" w:styleId="Tabletextright">
    <w:name w:val="Table text right"/>
    <w:basedOn w:val="Tabletext"/>
    <w:uiPriority w:val="2"/>
    <w:qFormat/>
    <w:rsid w:val="00B9053B"/>
    <w:pPr>
      <w:jc w:val="right"/>
    </w:pPr>
  </w:style>
  <w:style w:type="paragraph" w:customStyle="1" w:styleId="Listnum">
    <w:name w:val="List num"/>
    <w:basedOn w:val="Normal"/>
    <w:uiPriority w:val="1"/>
    <w:qFormat/>
    <w:rsid w:val="004A7519"/>
    <w:pPr>
      <w:numPr>
        <w:numId w:val="4"/>
      </w:numPr>
    </w:pPr>
  </w:style>
  <w:style w:type="paragraph" w:customStyle="1" w:styleId="Listnum2">
    <w:name w:val="List num 2"/>
    <w:basedOn w:val="Normal"/>
    <w:uiPriority w:val="1"/>
    <w:qFormat/>
    <w:rsid w:val="004A7519"/>
    <w:pPr>
      <w:numPr>
        <w:ilvl w:val="1"/>
        <w:numId w:val="4"/>
      </w:numPr>
    </w:pPr>
  </w:style>
  <w:style w:type="paragraph" w:customStyle="1" w:styleId="Tabletextcentred">
    <w:name w:val="Table text centred"/>
    <w:basedOn w:val="Tabletext"/>
    <w:uiPriority w:val="2"/>
    <w:qFormat/>
    <w:rsid w:val="00B9053B"/>
    <w:pPr>
      <w:jc w:val="center"/>
    </w:pPr>
  </w:style>
  <w:style w:type="paragraph" w:customStyle="1" w:styleId="Tableheader">
    <w:name w:val="Table header"/>
    <w:basedOn w:val="Normal"/>
    <w:uiPriority w:val="2"/>
    <w:qFormat/>
    <w:rsid w:val="009E1651"/>
    <w:pPr>
      <w:keepNext/>
      <w:keepLines/>
      <w:spacing w:before="0" w:after="0" w:line="260" w:lineRule="atLeast"/>
    </w:pPr>
    <w:rPr>
      <w:rFonts w:eastAsiaTheme="minorHAnsi"/>
      <w:b/>
      <w:color w:val="007586" w:themeColor="text2"/>
      <w:sz w:val="16"/>
      <w:szCs w:val="21"/>
      <w:lang w:eastAsia="en-US"/>
    </w:rPr>
  </w:style>
  <w:style w:type="paragraph" w:customStyle="1" w:styleId="Tablebullet">
    <w:name w:val="Table bullet"/>
    <w:basedOn w:val="Tabletext"/>
    <w:uiPriority w:val="2"/>
    <w:rsid w:val="00937A10"/>
    <w:pPr>
      <w:numPr>
        <w:numId w:val="5"/>
      </w:numPr>
    </w:pPr>
  </w:style>
  <w:style w:type="paragraph" w:customStyle="1" w:styleId="Tabledash">
    <w:name w:val="Table dash"/>
    <w:basedOn w:val="Tablebullet"/>
    <w:uiPriority w:val="2"/>
    <w:rsid w:val="00937A10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2"/>
    <w:qFormat/>
    <w:rsid w:val="00C11CD1"/>
    <w:pPr>
      <w:ind w:left="288"/>
    </w:pPr>
  </w:style>
  <w:style w:type="paragraph" w:styleId="ListParagraph">
    <w:name w:val="List Paragraph"/>
    <w:basedOn w:val="Normal"/>
    <w:uiPriority w:val="34"/>
    <w:qFormat/>
    <w:rsid w:val="004231B5"/>
    <w:pPr>
      <w:ind w:left="720"/>
      <w:contextualSpacing/>
    </w:pPr>
  </w:style>
  <w:style w:type="paragraph" w:customStyle="1" w:styleId="Numpara">
    <w:name w:val="Num para"/>
    <w:basedOn w:val="ListParagraph"/>
    <w:uiPriority w:val="1"/>
    <w:qFormat/>
    <w:rsid w:val="00C72252"/>
    <w:pPr>
      <w:numPr>
        <w:numId w:val="7"/>
      </w:numPr>
      <w:tabs>
        <w:tab w:val="left" w:pos="540"/>
      </w:tabs>
    </w:pPr>
  </w:style>
  <w:style w:type="paragraph" w:styleId="FootnoteText">
    <w:name w:val="footnote text"/>
    <w:basedOn w:val="Normal"/>
    <w:link w:val="FootnoteTextChar"/>
    <w:uiPriority w:val="99"/>
    <w:rsid w:val="006945CA"/>
    <w:pPr>
      <w:spacing w:before="57" w:after="0" w:line="160" w:lineRule="atLeast"/>
    </w:pPr>
    <w:rPr>
      <w:sz w:val="13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5EBC"/>
    <w:rPr>
      <w:sz w:val="13"/>
    </w:rPr>
  </w:style>
  <w:style w:type="character" w:styleId="FootnoteReference">
    <w:name w:val="footnote reference"/>
    <w:basedOn w:val="DefaultParagraphFont"/>
    <w:uiPriority w:val="99"/>
    <w:rsid w:val="00726D2F"/>
    <w:rPr>
      <w:vertAlign w:val="superscript"/>
    </w:rPr>
  </w:style>
  <w:style w:type="table" w:styleId="ColorfulGrid-Accent2">
    <w:name w:val="Colorful Grid Accent 2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F1F3" w:themeFill="accent2" w:themeFillTint="33"/>
    </w:tcPr>
    <w:tblStylePr w:type="firstRow">
      <w:rPr>
        <w:b/>
        <w:bCs/>
      </w:rPr>
      <w:tblPr/>
      <w:tcPr>
        <w:shd w:val="clear" w:color="auto" w:fill="CCE3E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E3E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D98A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D98A4" w:themeFill="accent2" w:themeFillShade="BF"/>
      </w:tc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shd w:val="clear" w:color="auto" w:fill="BFDCE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8F9" w:themeFill="accent3" w:themeFillTint="33"/>
    </w:tcPr>
    <w:tblStylePr w:type="firstRow">
      <w:rPr>
        <w:b/>
        <w:bCs/>
      </w:rPr>
      <w:tblPr/>
      <w:tcPr>
        <w:shd w:val="clear" w:color="auto" w:fill="E5F1F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F1F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7B7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7B7BF" w:themeFill="accent3" w:themeFillShade="BF"/>
      </w:tc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paragraph" w:customStyle="1" w:styleId="Tablenum1">
    <w:name w:val="Table num 1"/>
    <w:basedOn w:val="Normal"/>
    <w:uiPriority w:val="2"/>
    <w:rsid w:val="007F723F"/>
    <w:pPr>
      <w:numPr>
        <w:ilvl w:val="2"/>
        <w:numId w:val="5"/>
      </w:numPr>
      <w:spacing w:before="60" w:after="60"/>
    </w:pPr>
    <w:rPr>
      <w:sz w:val="17"/>
    </w:rPr>
  </w:style>
  <w:style w:type="paragraph" w:customStyle="1" w:styleId="Tablenum2">
    <w:name w:val="Table num 2"/>
    <w:basedOn w:val="Normal"/>
    <w:uiPriority w:val="2"/>
    <w:rsid w:val="007F723F"/>
    <w:pPr>
      <w:numPr>
        <w:ilvl w:val="3"/>
        <w:numId w:val="5"/>
      </w:numPr>
      <w:spacing w:before="60" w:after="60"/>
    </w:pPr>
    <w:rPr>
      <w:sz w:val="17"/>
    </w:rPr>
  </w:style>
  <w:style w:type="paragraph" w:styleId="Caption">
    <w:name w:val="caption"/>
    <w:basedOn w:val="Normal"/>
    <w:next w:val="Normal"/>
    <w:uiPriority w:val="1"/>
    <w:rsid w:val="00A92D94"/>
    <w:pPr>
      <w:spacing w:before="280" w:after="210" w:line="260" w:lineRule="atLeast"/>
    </w:pPr>
    <w:rPr>
      <w:b/>
      <w:bCs/>
      <w:color w:val="007586" w:themeColor="text2"/>
      <w:szCs w:val="18"/>
    </w:rPr>
  </w:style>
  <w:style w:type="paragraph" w:customStyle="1" w:styleId="Tablechartdiagramheading">
    <w:name w:val="Table/chart/diagram heading"/>
    <w:next w:val="Normal"/>
    <w:uiPriority w:val="2"/>
    <w:qFormat/>
    <w:rsid w:val="00897157"/>
    <w:pPr>
      <w:tabs>
        <w:tab w:val="left" w:pos="1080"/>
      </w:tabs>
      <w:spacing w:before="280" w:after="210" w:line="260" w:lineRule="atLeast"/>
    </w:pPr>
    <w:rPr>
      <w:b/>
      <w:bCs/>
      <w:color w:val="007586" w:themeColor="text2"/>
      <w:szCs w:val="18"/>
    </w:rPr>
  </w:style>
  <w:style w:type="character" w:styleId="PlaceholderText">
    <w:name w:val="Placeholder Text"/>
    <w:basedOn w:val="DefaultParagraphFont"/>
    <w:uiPriority w:val="1"/>
    <w:semiHidden/>
    <w:rsid w:val="00966115"/>
    <w:rPr>
      <w:color w:val="808080"/>
    </w:rPr>
  </w:style>
  <w:style w:type="paragraph" w:customStyle="1" w:styleId="FooterOdd">
    <w:name w:val="Footer Odd"/>
    <w:basedOn w:val="Footer"/>
    <w:uiPriority w:val="99"/>
    <w:qFormat/>
    <w:rsid w:val="002A5891"/>
    <w:pPr>
      <w:framePr w:hSpace="17010" w:wrap="around" w:vAnchor="text" w:hAnchor="margin" w:xAlign="right" w:y="1"/>
      <w:pBdr>
        <w:top w:val="single" w:sz="8" w:space="6" w:color="CCCCD0" w:themeColor="accent6"/>
      </w:pBdr>
      <w:jc w:val="right"/>
    </w:pPr>
  </w:style>
  <w:style w:type="paragraph" w:customStyle="1" w:styleId="FooterEven">
    <w:name w:val="Footer Even"/>
    <w:basedOn w:val="Footer"/>
    <w:uiPriority w:val="99"/>
    <w:qFormat/>
    <w:rsid w:val="002A5891"/>
    <w:pPr>
      <w:framePr w:hSpace="17010" w:wrap="around" w:vAnchor="text" w:hAnchor="margin" w:y="1"/>
      <w:pBdr>
        <w:top w:val="single" w:sz="8" w:space="6" w:color="CCCCD0" w:themeColor="accent6"/>
      </w:pBdr>
    </w:pPr>
  </w:style>
  <w:style w:type="paragraph" w:customStyle="1" w:styleId="IntroductoryText">
    <w:name w:val="Introductory Text"/>
    <w:basedOn w:val="Normal"/>
    <w:uiPriority w:val="1"/>
    <w:qFormat/>
    <w:rsid w:val="00E03F35"/>
    <w:pPr>
      <w:spacing w:before="280" w:after="60"/>
    </w:pPr>
    <w:rPr>
      <w:b/>
      <w:color w:val="007586" w:themeColor="text2"/>
    </w:rPr>
  </w:style>
  <w:style w:type="paragraph" w:styleId="NoSpacing">
    <w:name w:val="No Spacing"/>
    <w:uiPriority w:val="1"/>
    <w:qFormat/>
    <w:rsid w:val="00294A5A"/>
    <w:pPr>
      <w:spacing w:before="0" w:after="0" w:line="240" w:lineRule="auto"/>
    </w:pPr>
  </w:style>
  <w:style w:type="paragraph" w:customStyle="1" w:styleId="Normalfollowingheading">
    <w:name w:val="Normal following heading"/>
    <w:basedOn w:val="Normal"/>
    <w:next w:val="Normal"/>
    <w:uiPriority w:val="1"/>
    <w:qFormat/>
    <w:rsid w:val="002A797F"/>
    <w:pPr>
      <w:spacing w:before="0"/>
    </w:pPr>
  </w:style>
  <w:style w:type="table" w:styleId="ColorfulGrid-Accent4">
    <w:name w:val="Colorful Grid Accent 4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</w:rPr>
      <w:tblPr/>
      <w:tcPr>
        <w:shd w:val="clear" w:color="auto" w:fill="ADAD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AD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</w:rPr>
      <w:tblPr/>
      <w:tcPr>
        <w:shd w:val="clear" w:color="auto" w:fill="CCCCD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</w:rPr>
      <w:tblPr/>
      <w:tcPr>
        <w:shd w:val="clear" w:color="auto" w:fill="EAEAE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EAE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5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8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B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3333F" w:themeFill="accent4" w:themeFillShade="CC"/>
      </w:tcPr>
    </w:tblStylePr>
    <w:tblStylePr w:type="lastRow">
      <w:rPr>
        <w:b/>
        <w:bCs/>
        <w:color w:val="3333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EB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6BEC6" w:themeFill="accent3" w:themeFillShade="CC"/>
      </w:tcPr>
    </w:tblStylePr>
    <w:tblStylePr w:type="lastRow">
      <w:rPr>
        <w:b/>
        <w:bCs/>
        <w:color w:val="86BEC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A1A8" w:themeFill="accent6" w:themeFillShade="CC"/>
      </w:tcPr>
    </w:tblStylePr>
    <w:tblStylePr w:type="lastRow">
      <w:rPr>
        <w:b/>
        <w:bCs/>
        <w:color w:val="A1A1A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9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F" w:themeFill="accent5" w:themeFillShade="CC"/>
      </w:tcPr>
    </w:tblStylePr>
    <w:tblStylePr w:type="lastRow">
      <w:rPr>
        <w:b/>
        <w:bCs/>
        <w:color w:val="66666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4098A4" w:themeColor="accent1"/>
        <w:bottom w:val="single" w:sz="4" w:space="0" w:color="4098A4" w:themeColor="accent1"/>
        <w:right w:val="single" w:sz="4" w:space="0" w:color="4098A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5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5A6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5A62" w:themeColor="accent1" w:themeShade="99"/>
          <w:insideV w:val="nil"/>
        </w:tcBorders>
        <w:shd w:val="clear" w:color="auto" w:fill="265A6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5A62" w:themeFill="accent1" w:themeFillShade="99"/>
      </w:tcPr>
    </w:tblStylePr>
    <w:tblStylePr w:type="band1Vert">
      <w:tblPr/>
      <w:tcPr>
        <w:shd w:val="clear" w:color="auto" w:fill="ADD9DF" w:themeFill="accent1" w:themeFillTint="66"/>
      </w:tcPr>
    </w:tblStylePr>
    <w:tblStylePr w:type="band1Horz">
      <w:tblPr/>
      <w:tcPr>
        <w:shd w:val="clear" w:color="auto" w:fill="99D0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80BAC3" w:themeColor="accent2"/>
        <w:bottom w:val="single" w:sz="4" w:space="0" w:color="80BAC3" w:themeColor="accent2"/>
        <w:right w:val="single" w:sz="4" w:space="0" w:color="80BAC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8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798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7983" w:themeColor="accent2" w:themeShade="99"/>
          <w:insideV w:val="nil"/>
        </w:tcBorders>
        <w:shd w:val="clear" w:color="auto" w:fill="3E798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983" w:themeFill="accent2" w:themeFillShade="99"/>
      </w:tcPr>
    </w:tblStylePr>
    <w:tblStylePr w:type="band1Vert">
      <w:tblPr/>
      <w:tcPr>
        <w:shd w:val="clear" w:color="auto" w:fill="CCE3E7" w:themeFill="accent2" w:themeFillTint="66"/>
      </w:tcPr>
    </w:tblStylePr>
    <w:tblStylePr w:type="band1Horz">
      <w:tblPr/>
      <w:tcPr>
        <w:shd w:val="clear" w:color="auto" w:fill="BFDCE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04050" w:themeColor="accent4"/>
        <w:left w:val="single" w:sz="4" w:space="0" w:color="BFDDE1" w:themeColor="accent3"/>
        <w:bottom w:val="single" w:sz="4" w:space="0" w:color="BFDDE1" w:themeColor="accent3"/>
        <w:right w:val="single" w:sz="4" w:space="0" w:color="BFDDE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B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9FA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9FA9" w:themeColor="accent3" w:themeShade="99"/>
          <w:insideV w:val="nil"/>
        </w:tcBorders>
        <w:shd w:val="clear" w:color="auto" w:fill="4F9FA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9FA9" w:themeFill="accent3" w:themeFillShade="99"/>
      </w:tcPr>
    </w:tblStylePr>
    <w:tblStylePr w:type="band1Vert">
      <w:tblPr/>
      <w:tcPr>
        <w:shd w:val="clear" w:color="auto" w:fill="E5F1F3" w:themeFill="accent3" w:themeFillTint="66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DDE1" w:themeColor="accent3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DDE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26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262F" w:themeColor="accent4" w:themeShade="99"/>
          <w:insideV w:val="nil"/>
        </w:tcBorders>
        <w:shd w:val="clear" w:color="auto" w:fill="2626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F" w:themeFill="accent4" w:themeFillShade="99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9999A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CCD0" w:themeColor="accent6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53" w:themeColor="accent5" w:themeShade="99"/>
          <w:insideV w:val="nil"/>
        </w:tcBorders>
        <w:shd w:val="clear" w:color="auto" w:fill="4C4C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53" w:themeFill="accent5" w:themeFillShade="99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BFBFC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B" w:themeColor="accent5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768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7680" w:themeColor="accent6" w:themeShade="99"/>
          <w:insideV w:val="nil"/>
        </w:tcBorders>
        <w:shd w:val="clear" w:color="auto" w:fill="76768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7680" w:themeFill="accent6" w:themeFillShade="99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5E5E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98A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B5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717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BAC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656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98A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DDE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848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B7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6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626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6969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</w:style>
  <w:style w:type="table" w:customStyle="1" w:styleId="GridTable1Light1">
    <w:name w:val="Grid Table 1 Light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ADD9DF" w:themeColor="accent1" w:themeTint="66"/>
        <w:left w:val="single" w:sz="4" w:space="0" w:color="ADD9DF" w:themeColor="accent1" w:themeTint="66"/>
        <w:bottom w:val="single" w:sz="4" w:space="0" w:color="ADD9DF" w:themeColor="accent1" w:themeTint="66"/>
        <w:right w:val="single" w:sz="4" w:space="0" w:color="ADD9DF" w:themeColor="accent1" w:themeTint="66"/>
        <w:insideH w:val="single" w:sz="4" w:space="0" w:color="ADD9DF" w:themeColor="accent1" w:themeTint="66"/>
        <w:insideV w:val="single" w:sz="4" w:space="0" w:color="ADD9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E3E7" w:themeColor="accent2" w:themeTint="66"/>
        <w:left w:val="single" w:sz="4" w:space="0" w:color="CCE3E7" w:themeColor="accent2" w:themeTint="66"/>
        <w:bottom w:val="single" w:sz="4" w:space="0" w:color="CCE3E7" w:themeColor="accent2" w:themeTint="66"/>
        <w:right w:val="single" w:sz="4" w:space="0" w:color="CCE3E7" w:themeColor="accent2" w:themeTint="66"/>
        <w:insideH w:val="single" w:sz="4" w:space="0" w:color="CCE3E7" w:themeColor="accent2" w:themeTint="66"/>
        <w:insideV w:val="single" w:sz="4" w:space="0" w:color="CCE3E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5F1F3" w:themeColor="accent3" w:themeTint="66"/>
        <w:left w:val="single" w:sz="4" w:space="0" w:color="E5F1F3" w:themeColor="accent3" w:themeTint="66"/>
        <w:bottom w:val="single" w:sz="4" w:space="0" w:color="E5F1F3" w:themeColor="accent3" w:themeTint="66"/>
        <w:right w:val="single" w:sz="4" w:space="0" w:color="E5F1F3" w:themeColor="accent3" w:themeTint="66"/>
        <w:insideH w:val="single" w:sz="4" w:space="0" w:color="E5F1F3" w:themeColor="accent3" w:themeTint="66"/>
        <w:insideV w:val="single" w:sz="4" w:space="0" w:color="E5F1F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ADADBD" w:themeColor="accent4" w:themeTint="66"/>
        <w:left w:val="single" w:sz="4" w:space="0" w:color="ADADBD" w:themeColor="accent4" w:themeTint="66"/>
        <w:bottom w:val="single" w:sz="4" w:space="0" w:color="ADADBD" w:themeColor="accent4" w:themeTint="66"/>
        <w:right w:val="single" w:sz="4" w:space="0" w:color="ADADBD" w:themeColor="accent4" w:themeTint="66"/>
        <w:insideH w:val="single" w:sz="4" w:space="0" w:color="ADADBD" w:themeColor="accent4" w:themeTint="66"/>
        <w:insideV w:val="single" w:sz="4" w:space="0" w:color="ADAD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CCD0" w:themeColor="accent5" w:themeTint="66"/>
        <w:left w:val="single" w:sz="4" w:space="0" w:color="CCCCD0" w:themeColor="accent5" w:themeTint="66"/>
        <w:bottom w:val="single" w:sz="4" w:space="0" w:color="CCCCD0" w:themeColor="accent5" w:themeTint="66"/>
        <w:right w:val="single" w:sz="4" w:space="0" w:color="CCCCD0" w:themeColor="accent5" w:themeTint="66"/>
        <w:insideH w:val="single" w:sz="4" w:space="0" w:color="CCCCD0" w:themeColor="accent5" w:themeTint="66"/>
        <w:insideV w:val="single" w:sz="4" w:space="0" w:color="CCCC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AEAEC" w:themeColor="accent6" w:themeTint="66"/>
        <w:left w:val="single" w:sz="4" w:space="0" w:color="EAEAEC" w:themeColor="accent6" w:themeTint="66"/>
        <w:bottom w:val="single" w:sz="4" w:space="0" w:color="EAEAEC" w:themeColor="accent6" w:themeTint="66"/>
        <w:right w:val="single" w:sz="4" w:space="0" w:color="EAEAEC" w:themeColor="accent6" w:themeTint="66"/>
        <w:insideH w:val="single" w:sz="4" w:space="0" w:color="EAEAEC" w:themeColor="accent6" w:themeTint="66"/>
        <w:insideV w:val="single" w:sz="4" w:space="0" w:color="EAEAE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85C6CF" w:themeColor="accent1" w:themeTint="99"/>
        <w:bottom w:val="single" w:sz="2" w:space="0" w:color="85C6CF" w:themeColor="accent1" w:themeTint="99"/>
        <w:insideH w:val="single" w:sz="2" w:space="0" w:color="85C6CF" w:themeColor="accent1" w:themeTint="99"/>
        <w:insideV w:val="single" w:sz="2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5C6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5C6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B2D5DB" w:themeColor="accent2" w:themeTint="99"/>
        <w:bottom w:val="single" w:sz="2" w:space="0" w:color="B2D5DB" w:themeColor="accent2" w:themeTint="99"/>
        <w:insideH w:val="single" w:sz="2" w:space="0" w:color="B2D5DB" w:themeColor="accent2" w:themeTint="99"/>
        <w:insideV w:val="single" w:sz="2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D5D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D5D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D8EAED" w:themeColor="accent3" w:themeTint="99"/>
        <w:bottom w:val="single" w:sz="2" w:space="0" w:color="D8EAED" w:themeColor="accent3" w:themeTint="99"/>
        <w:insideH w:val="single" w:sz="2" w:space="0" w:color="D8EAED" w:themeColor="accent3" w:themeTint="99"/>
        <w:insideV w:val="single" w:sz="2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EAE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EAE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84849D" w:themeColor="accent4" w:themeTint="99"/>
        <w:bottom w:val="single" w:sz="2" w:space="0" w:color="84849D" w:themeColor="accent4" w:themeTint="99"/>
        <w:insideH w:val="single" w:sz="2" w:space="0" w:color="84849D" w:themeColor="accent4" w:themeTint="99"/>
        <w:insideV w:val="single" w:sz="2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484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B2B2B9" w:themeColor="accent5" w:themeTint="99"/>
        <w:bottom w:val="single" w:sz="2" w:space="0" w:color="B2B2B9" w:themeColor="accent5" w:themeTint="99"/>
        <w:insideH w:val="single" w:sz="2" w:space="0" w:color="B2B2B9" w:themeColor="accent5" w:themeTint="99"/>
        <w:insideV w:val="single" w:sz="2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E0E0E2" w:themeColor="accent6" w:themeTint="99"/>
        <w:bottom w:val="single" w:sz="2" w:space="0" w:color="E0E0E2" w:themeColor="accent6" w:themeTint="99"/>
        <w:insideH w:val="single" w:sz="2" w:space="0" w:color="E0E0E2" w:themeColor="accent6" w:themeTint="99"/>
        <w:insideV w:val="single" w:sz="2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E0E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GridTable31">
    <w:name w:val="Grid Table 3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bottom w:val="single" w:sz="4" w:space="0" w:color="85C6CF" w:themeColor="accent1" w:themeTint="99"/>
        </w:tcBorders>
      </w:tcPr>
    </w:tblStylePr>
    <w:tblStylePr w:type="nwCell">
      <w:tblPr/>
      <w:tcPr>
        <w:tcBorders>
          <w:bottom w:val="single" w:sz="4" w:space="0" w:color="85C6CF" w:themeColor="accent1" w:themeTint="99"/>
        </w:tcBorders>
      </w:tcPr>
    </w:tblStylePr>
    <w:tblStylePr w:type="seCell">
      <w:tblPr/>
      <w:tcPr>
        <w:tcBorders>
          <w:top w:val="single" w:sz="4" w:space="0" w:color="85C6CF" w:themeColor="accent1" w:themeTint="99"/>
        </w:tcBorders>
      </w:tcPr>
    </w:tblStylePr>
    <w:tblStylePr w:type="swCell">
      <w:tblPr/>
      <w:tcPr>
        <w:tcBorders>
          <w:top w:val="single" w:sz="4" w:space="0" w:color="85C6CF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bottom w:val="single" w:sz="4" w:space="0" w:color="B2D5DB" w:themeColor="accent2" w:themeTint="99"/>
        </w:tcBorders>
      </w:tcPr>
    </w:tblStylePr>
    <w:tblStylePr w:type="nwCell">
      <w:tblPr/>
      <w:tcPr>
        <w:tcBorders>
          <w:bottom w:val="single" w:sz="4" w:space="0" w:color="B2D5DB" w:themeColor="accent2" w:themeTint="99"/>
        </w:tcBorders>
      </w:tcPr>
    </w:tblStylePr>
    <w:tblStylePr w:type="seCell">
      <w:tblPr/>
      <w:tcPr>
        <w:tcBorders>
          <w:top w:val="single" w:sz="4" w:space="0" w:color="B2D5DB" w:themeColor="accent2" w:themeTint="99"/>
        </w:tcBorders>
      </w:tcPr>
    </w:tblStylePr>
    <w:tblStylePr w:type="swCell">
      <w:tblPr/>
      <w:tcPr>
        <w:tcBorders>
          <w:top w:val="single" w:sz="4" w:space="0" w:color="B2D5DB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bottom w:val="single" w:sz="4" w:space="0" w:color="D8EAED" w:themeColor="accent3" w:themeTint="99"/>
        </w:tcBorders>
      </w:tcPr>
    </w:tblStylePr>
    <w:tblStylePr w:type="nwCell">
      <w:tblPr/>
      <w:tcPr>
        <w:tcBorders>
          <w:bottom w:val="single" w:sz="4" w:space="0" w:color="D8EAED" w:themeColor="accent3" w:themeTint="99"/>
        </w:tcBorders>
      </w:tcPr>
    </w:tblStylePr>
    <w:tblStylePr w:type="seCell">
      <w:tblPr/>
      <w:tcPr>
        <w:tcBorders>
          <w:top w:val="single" w:sz="4" w:space="0" w:color="D8EAED" w:themeColor="accent3" w:themeTint="99"/>
        </w:tcBorders>
      </w:tcPr>
    </w:tblStylePr>
    <w:tblStylePr w:type="swCell">
      <w:tblPr/>
      <w:tcPr>
        <w:tcBorders>
          <w:top w:val="single" w:sz="4" w:space="0" w:color="D8EAED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98A4" w:themeColor="accent1"/>
          <w:left w:val="single" w:sz="4" w:space="0" w:color="4098A4" w:themeColor="accent1"/>
          <w:bottom w:val="single" w:sz="4" w:space="0" w:color="4098A4" w:themeColor="accent1"/>
          <w:right w:val="single" w:sz="4" w:space="0" w:color="4098A4" w:themeColor="accent1"/>
          <w:insideH w:val="nil"/>
          <w:insideV w:val="nil"/>
        </w:tcBorders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AC3" w:themeColor="accent2"/>
          <w:left w:val="single" w:sz="4" w:space="0" w:color="80BAC3" w:themeColor="accent2"/>
          <w:bottom w:val="single" w:sz="4" w:space="0" w:color="80BAC3" w:themeColor="accent2"/>
          <w:right w:val="single" w:sz="4" w:space="0" w:color="80BAC3" w:themeColor="accent2"/>
          <w:insideH w:val="nil"/>
          <w:insideV w:val="nil"/>
        </w:tcBorders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DE1" w:themeColor="accent3"/>
          <w:left w:val="single" w:sz="4" w:space="0" w:color="BFDDE1" w:themeColor="accent3"/>
          <w:bottom w:val="single" w:sz="4" w:space="0" w:color="BFDDE1" w:themeColor="accent3"/>
          <w:right w:val="single" w:sz="4" w:space="0" w:color="BFDDE1" w:themeColor="accent3"/>
          <w:insideH w:val="nil"/>
          <w:insideV w:val="nil"/>
        </w:tcBorders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C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98A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98A4" w:themeFill="accent1"/>
      </w:tcPr>
    </w:tblStylePr>
    <w:tblStylePr w:type="band1Vert">
      <w:tblPr/>
      <w:tcPr>
        <w:shd w:val="clear" w:color="auto" w:fill="ADD9DF" w:themeFill="accent1" w:themeFillTint="66"/>
      </w:tcPr>
    </w:tblStylePr>
    <w:tblStylePr w:type="band1Horz">
      <w:tblPr/>
      <w:tcPr>
        <w:shd w:val="clear" w:color="auto" w:fill="ADD9DF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1F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BAC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BAC3" w:themeFill="accent2"/>
      </w:tcPr>
    </w:tblStylePr>
    <w:tblStylePr w:type="band1Vert">
      <w:tblPr/>
      <w:tcPr>
        <w:shd w:val="clear" w:color="auto" w:fill="CCE3E7" w:themeFill="accent2" w:themeFillTint="66"/>
      </w:tcPr>
    </w:tblStylePr>
    <w:tblStylePr w:type="band1Horz">
      <w:tblPr/>
      <w:tcPr>
        <w:shd w:val="clear" w:color="auto" w:fill="CCE3E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8F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DDE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DDE1" w:themeFill="accent3"/>
      </w:tcPr>
    </w:tblStylePr>
    <w:tblStylePr w:type="band1Vert">
      <w:tblPr/>
      <w:tcPr>
        <w:shd w:val="clear" w:color="auto" w:fill="E5F1F3" w:themeFill="accent3" w:themeFillTint="66"/>
      </w:tcPr>
    </w:tblStylePr>
    <w:tblStylePr w:type="band1Horz">
      <w:tblPr/>
      <w:tcPr>
        <w:shd w:val="clear" w:color="auto" w:fill="E5F1F3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ADADBD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CCCCD0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AEAEC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bottom w:val="single" w:sz="4" w:space="0" w:color="85C6CF" w:themeColor="accent1" w:themeTint="99"/>
        </w:tcBorders>
      </w:tcPr>
    </w:tblStylePr>
    <w:tblStylePr w:type="nwCell">
      <w:tblPr/>
      <w:tcPr>
        <w:tcBorders>
          <w:bottom w:val="single" w:sz="4" w:space="0" w:color="85C6CF" w:themeColor="accent1" w:themeTint="99"/>
        </w:tcBorders>
      </w:tcPr>
    </w:tblStylePr>
    <w:tblStylePr w:type="seCell">
      <w:tblPr/>
      <w:tcPr>
        <w:tcBorders>
          <w:top w:val="single" w:sz="4" w:space="0" w:color="85C6CF" w:themeColor="accent1" w:themeTint="99"/>
        </w:tcBorders>
      </w:tcPr>
    </w:tblStylePr>
    <w:tblStylePr w:type="swCell">
      <w:tblPr/>
      <w:tcPr>
        <w:tcBorders>
          <w:top w:val="single" w:sz="4" w:space="0" w:color="85C6CF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bottom w:val="single" w:sz="4" w:space="0" w:color="B2D5DB" w:themeColor="accent2" w:themeTint="99"/>
        </w:tcBorders>
      </w:tcPr>
    </w:tblStylePr>
    <w:tblStylePr w:type="nwCell">
      <w:tblPr/>
      <w:tcPr>
        <w:tcBorders>
          <w:bottom w:val="single" w:sz="4" w:space="0" w:color="B2D5DB" w:themeColor="accent2" w:themeTint="99"/>
        </w:tcBorders>
      </w:tcPr>
    </w:tblStylePr>
    <w:tblStylePr w:type="seCell">
      <w:tblPr/>
      <w:tcPr>
        <w:tcBorders>
          <w:top w:val="single" w:sz="4" w:space="0" w:color="B2D5DB" w:themeColor="accent2" w:themeTint="99"/>
        </w:tcBorders>
      </w:tcPr>
    </w:tblStylePr>
    <w:tblStylePr w:type="swCell">
      <w:tblPr/>
      <w:tcPr>
        <w:tcBorders>
          <w:top w:val="single" w:sz="4" w:space="0" w:color="B2D5DB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bottom w:val="single" w:sz="4" w:space="0" w:color="D8EAED" w:themeColor="accent3" w:themeTint="99"/>
        </w:tcBorders>
      </w:tcPr>
    </w:tblStylePr>
    <w:tblStylePr w:type="nwCell">
      <w:tblPr/>
      <w:tcPr>
        <w:tcBorders>
          <w:bottom w:val="single" w:sz="4" w:space="0" w:color="D8EAED" w:themeColor="accent3" w:themeTint="99"/>
        </w:tcBorders>
      </w:tcPr>
    </w:tblStylePr>
    <w:tblStylePr w:type="seCell">
      <w:tblPr/>
      <w:tcPr>
        <w:tcBorders>
          <w:top w:val="single" w:sz="4" w:space="0" w:color="D8EAED" w:themeColor="accent3" w:themeTint="99"/>
        </w:tcBorders>
      </w:tcPr>
    </w:tblStylePr>
    <w:tblStylePr w:type="swCell">
      <w:tblPr/>
      <w:tcPr>
        <w:tcBorders>
          <w:top w:val="single" w:sz="4" w:space="0" w:color="D8EAED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  <w:insideH w:val="single" w:sz="8" w:space="0" w:color="4098A4" w:themeColor="accent1"/>
        <w:insideV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18" w:space="0" w:color="4098A4" w:themeColor="accent1"/>
          <w:right w:val="single" w:sz="8" w:space="0" w:color="4098A4" w:themeColor="accent1"/>
          <w:insideH w:val="nil"/>
          <w:insideV w:val="single" w:sz="8" w:space="0" w:color="4098A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H w:val="nil"/>
          <w:insideV w:val="single" w:sz="8" w:space="0" w:color="4098A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band1Vert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  <w:shd w:val="clear" w:color="auto" w:fill="CCE7EB" w:themeFill="accent1" w:themeFillTint="3F"/>
      </w:tcPr>
    </w:tblStylePr>
    <w:tblStylePr w:type="band1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V w:val="single" w:sz="8" w:space="0" w:color="4098A4" w:themeColor="accent1"/>
        </w:tcBorders>
        <w:shd w:val="clear" w:color="auto" w:fill="CCE7EB" w:themeFill="accent1" w:themeFillTint="3F"/>
      </w:tcPr>
    </w:tblStylePr>
    <w:tblStylePr w:type="band2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V w:val="single" w:sz="8" w:space="0" w:color="4098A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  <w:insideH w:val="single" w:sz="8" w:space="0" w:color="80BAC3" w:themeColor="accent2"/>
        <w:insideV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18" w:space="0" w:color="80BAC3" w:themeColor="accent2"/>
          <w:right w:val="single" w:sz="8" w:space="0" w:color="80BAC3" w:themeColor="accent2"/>
          <w:insideH w:val="nil"/>
          <w:insideV w:val="single" w:sz="8" w:space="0" w:color="80BAC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H w:val="nil"/>
          <w:insideV w:val="single" w:sz="8" w:space="0" w:color="80BAC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band1Vert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  <w:shd w:val="clear" w:color="auto" w:fill="DFEDF0" w:themeFill="accent2" w:themeFillTint="3F"/>
      </w:tcPr>
    </w:tblStylePr>
    <w:tblStylePr w:type="band1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V w:val="single" w:sz="8" w:space="0" w:color="80BAC3" w:themeColor="accent2"/>
        </w:tcBorders>
        <w:shd w:val="clear" w:color="auto" w:fill="DFEDF0" w:themeFill="accent2" w:themeFillTint="3F"/>
      </w:tcPr>
    </w:tblStylePr>
    <w:tblStylePr w:type="band2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V w:val="single" w:sz="8" w:space="0" w:color="80BAC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  <w:insideH w:val="single" w:sz="8" w:space="0" w:color="BFDDE1" w:themeColor="accent3"/>
        <w:insideV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18" w:space="0" w:color="BFDDE1" w:themeColor="accent3"/>
          <w:right w:val="single" w:sz="8" w:space="0" w:color="BFDDE1" w:themeColor="accent3"/>
          <w:insideH w:val="nil"/>
          <w:insideV w:val="single" w:sz="8" w:space="0" w:color="BFDDE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H w:val="nil"/>
          <w:insideV w:val="single" w:sz="8" w:space="0" w:color="BFDDE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band1Vert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  <w:shd w:val="clear" w:color="auto" w:fill="EFF6F7" w:themeFill="accent3" w:themeFillTint="3F"/>
      </w:tcPr>
    </w:tblStylePr>
    <w:tblStylePr w:type="band1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V w:val="single" w:sz="8" w:space="0" w:color="BFDDE1" w:themeColor="accent3"/>
        </w:tcBorders>
        <w:shd w:val="clear" w:color="auto" w:fill="EFF6F7" w:themeFill="accent3" w:themeFillTint="3F"/>
      </w:tcPr>
    </w:tblStylePr>
    <w:tblStylePr w:type="band2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V w:val="single" w:sz="8" w:space="0" w:color="BFDDE1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1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  <w:shd w:val="clear" w:color="auto" w:fill="CCCCD6" w:themeFill="accent4" w:themeFillTint="3F"/>
      </w:tcPr>
    </w:tblStylePr>
    <w:tblStylePr w:type="band2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1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  <w:shd w:val="clear" w:color="auto" w:fill="DFDFE2" w:themeFill="accent5" w:themeFillTint="3F"/>
      </w:tcPr>
    </w:tblStylePr>
    <w:tblStylePr w:type="band2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1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  <w:shd w:val="clear" w:color="auto" w:fill="F2F2F3" w:themeFill="accent6" w:themeFillTint="3F"/>
      </w:tcPr>
    </w:tblStylePr>
    <w:tblStylePr w:type="band2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band1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band1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</w:style>
  <w:style w:type="table" w:styleId="LightShading-Accent1">
    <w:name w:val="Light Shading Accent 1"/>
    <w:basedOn w:val="TableNormal"/>
    <w:uiPriority w:val="60"/>
    <w:semiHidden/>
    <w:rsid w:val="00294A5A"/>
    <w:pPr>
      <w:spacing w:before="0"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8" w:space="0" w:color="4098A4" w:themeColor="accent1"/>
        <w:bottom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98A4" w:themeColor="accent1"/>
          <w:left w:val="nil"/>
          <w:bottom w:val="single" w:sz="8" w:space="0" w:color="4098A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98A4" w:themeColor="accent1"/>
          <w:left w:val="nil"/>
          <w:bottom w:val="single" w:sz="8" w:space="0" w:color="4098A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294A5A"/>
    <w:pPr>
      <w:spacing w:before="0"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8" w:space="0" w:color="80BAC3" w:themeColor="accent2"/>
        <w:bottom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C3" w:themeColor="accent2"/>
          <w:left w:val="nil"/>
          <w:bottom w:val="single" w:sz="8" w:space="0" w:color="80BAC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C3" w:themeColor="accent2"/>
          <w:left w:val="nil"/>
          <w:bottom w:val="single" w:sz="8" w:space="0" w:color="80BAC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294A5A"/>
    <w:pPr>
      <w:spacing w:before="0"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8" w:space="0" w:color="BFDDE1" w:themeColor="accent3"/>
        <w:bottom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DE1" w:themeColor="accent3"/>
          <w:left w:val="nil"/>
          <w:bottom w:val="single" w:sz="8" w:space="0" w:color="BFDDE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DE1" w:themeColor="accent3"/>
          <w:left w:val="nil"/>
          <w:bottom w:val="single" w:sz="8" w:space="0" w:color="BFDDE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294A5A"/>
    <w:pPr>
      <w:spacing w:before="0"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294A5A"/>
    <w:pPr>
      <w:spacing w:before="0"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294A5A"/>
    <w:pPr>
      <w:spacing w:before="0"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</w:style>
  <w:style w:type="table" w:customStyle="1" w:styleId="ListTable1Light1">
    <w:name w:val="List Table 1 Light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ListTable21">
    <w:name w:val="List Table 2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bottom w:val="single" w:sz="4" w:space="0" w:color="85C6CF" w:themeColor="accent1" w:themeTint="99"/>
        <w:insideH w:val="single" w:sz="4" w:space="0" w:color="85C6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bottom w:val="single" w:sz="4" w:space="0" w:color="B2D5DB" w:themeColor="accent2" w:themeTint="99"/>
        <w:insideH w:val="single" w:sz="4" w:space="0" w:color="B2D5D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bottom w:val="single" w:sz="4" w:space="0" w:color="D8EAED" w:themeColor="accent3" w:themeTint="99"/>
        <w:insideH w:val="single" w:sz="4" w:space="0" w:color="D8EAE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bottom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bottom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bottom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ListTable31">
    <w:name w:val="List Table 3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4098A4" w:themeColor="accent1"/>
        <w:left w:val="single" w:sz="4" w:space="0" w:color="4098A4" w:themeColor="accent1"/>
        <w:bottom w:val="single" w:sz="4" w:space="0" w:color="4098A4" w:themeColor="accent1"/>
        <w:right w:val="single" w:sz="4" w:space="0" w:color="4098A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98A4" w:themeColor="accent1"/>
          <w:right w:val="single" w:sz="4" w:space="0" w:color="4098A4" w:themeColor="accent1"/>
        </w:tcBorders>
      </w:tcPr>
    </w:tblStylePr>
    <w:tblStylePr w:type="band1Horz">
      <w:tblPr/>
      <w:tcPr>
        <w:tcBorders>
          <w:top w:val="single" w:sz="4" w:space="0" w:color="4098A4" w:themeColor="accent1"/>
          <w:bottom w:val="single" w:sz="4" w:space="0" w:color="4098A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98A4" w:themeColor="accent1"/>
          <w:left w:val="nil"/>
        </w:tcBorders>
      </w:tcPr>
    </w:tblStylePr>
    <w:tblStylePr w:type="swCell">
      <w:tblPr/>
      <w:tcPr>
        <w:tcBorders>
          <w:top w:val="double" w:sz="4" w:space="0" w:color="4098A4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0BAC3" w:themeColor="accent2"/>
        <w:left w:val="single" w:sz="4" w:space="0" w:color="80BAC3" w:themeColor="accent2"/>
        <w:bottom w:val="single" w:sz="4" w:space="0" w:color="80BAC3" w:themeColor="accent2"/>
        <w:right w:val="single" w:sz="4" w:space="0" w:color="80BAC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BAC3" w:themeColor="accent2"/>
          <w:right w:val="single" w:sz="4" w:space="0" w:color="80BAC3" w:themeColor="accent2"/>
        </w:tcBorders>
      </w:tcPr>
    </w:tblStylePr>
    <w:tblStylePr w:type="band1Horz">
      <w:tblPr/>
      <w:tcPr>
        <w:tcBorders>
          <w:top w:val="single" w:sz="4" w:space="0" w:color="80BAC3" w:themeColor="accent2"/>
          <w:bottom w:val="single" w:sz="4" w:space="0" w:color="80BAC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BAC3" w:themeColor="accent2"/>
          <w:left w:val="nil"/>
        </w:tcBorders>
      </w:tcPr>
    </w:tblStylePr>
    <w:tblStylePr w:type="swCell">
      <w:tblPr/>
      <w:tcPr>
        <w:tcBorders>
          <w:top w:val="double" w:sz="4" w:space="0" w:color="80BAC3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DDE1" w:themeColor="accent3"/>
        <w:left w:val="single" w:sz="4" w:space="0" w:color="BFDDE1" w:themeColor="accent3"/>
        <w:bottom w:val="single" w:sz="4" w:space="0" w:color="BFDDE1" w:themeColor="accent3"/>
        <w:right w:val="single" w:sz="4" w:space="0" w:color="BFDDE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DDE1" w:themeColor="accent3"/>
          <w:right w:val="single" w:sz="4" w:space="0" w:color="BFDDE1" w:themeColor="accent3"/>
        </w:tcBorders>
      </w:tcPr>
    </w:tblStylePr>
    <w:tblStylePr w:type="band1Horz">
      <w:tblPr/>
      <w:tcPr>
        <w:tcBorders>
          <w:top w:val="single" w:sz="4" w:space="0" w:color="BFDDE1" w:themeColor="accent3"/>
          <w:bottom w:val="single" w:sz="4" w:space="0" w:color="BFDDE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DDE1" w:themeColor="accent3"/>
          <w:left w:val="nil"/>
        </w:tcBorders>
      </w:tcPr>
    </w:tblStylePr>
    <w:tblStylePr w:type="swCell">
      <w:tblPr/>
      <w:tcPr>
        <w:tcBorders>
          <w:top w:val="double" w:sz="4" w:space="0" w:color="BFDDE1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404050" w:themeColor="accent4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4050" w:themeColor="accent4"/>
          <w:right w:val="single" w:sz="4" w:space="0" w:color="404050" w:themeColor="accent4"/>
        </w:tcBorders>
      </w:tcPr>
    </w:tblStylePr>
    <w:tblStylePr w:type="band1Horz">
      <w:tblPr/>
      <w:tcPr>
        <w:tcBorders>
          <w:top w:val="single" w:sz="4" w:space="0" w:color="404050" w:themeColor="accent4"/>
          <w:bottom w:val="single" w:sz="4" w:space="0" w:color="404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4050" w:themeColor="accent4"/>
          <w:left w:val="nil"/>
        </w:tcBorders>
      </w:tcPr>
    </w:tblStylePr>
    <w:tblStylePr w:type="swCell">
      <w:tblPr/>
      <w:tcPr>
        <w:tcBorders>
          <w:top w:val="double" w:sz="4" w:space="0" w:color="40405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0808B" w:themeColor="accent5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B" w:themeColor="accent5"/>
          <w:right w:val="single" w:sz="4" w:space="0" w:color="80808B" w:themeColor="accent5"/>
        </w:tcBorders>
      </w:tcPr>
    </w:tblStylePr>
    <w:tblStylePr w:type="band1Horz">
      <w:tblPr/>
      <w:tcPr>
        <w:tcBorders>
          <w:top w:val="single" w:sz="4" w:space="0" w:color="80808B" w:themeColor="accent5"/>
          <w:bottom w:val="single" w:sz="4" w:space="0" w:color="80808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B" w:themeColor="accent5"/>
          <w:left w:val="nil"/>
        </w:tcBorders>
      </w:tcPr>
    </w:tblStylePr>
    <w:tblStylePr w:type="swCell">
      <w:tblPr/>
      <w:tcPr>
        <w:tcBorders>
          <w:top w:val="double" w:sz="4" w:space="0" w:color="80808B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CCD0" w:themeColor="accent6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CCD0" w:themeColor="accent6"/>
          <w:right w:val="single" w:sz="4" w:space="0" w:color="CCCCD0" w:themeColor="accent6"/>
        </w:tcBorders>
      </w:tcPr>
    </w:tblStylePr>
    <w:tblStylePr w:type="band1Horz">
      <w:tblPr/>
      <w:tcPr>
        <w:tcBorders>
          <w:top w:val="single" w:sz="4" w:space="0" w:color="CCCCD0" w:themeColor="accent6"/>
          <w:bottom w:val="single" w:sz="4" w:space="0" w:color="CCCCD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CCD0" w:themeColor="accent6"/>
          <w:left w:val="nil"/>
        </w:tcBorders>
      </w:tcPr>
    </w:tblStylePr>
    <w:tblStylePr w:type="swCell">
      <w:tblPr/>
      <w:tcPr>
        <w:tcBorders>
          <w:top w:val="double" w:sz="4" w:space="0" w:color="CCCCD0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98A4" w:themeColor="accent1"/>
          <w:left w:val="single" w:sz="4" w:space="0" w:color="4098A4" w:themeColor="accent1"/>
          <w:bottom w:val="single" w:sz="4" w:space="0" w:color="4098A4" w:themeColor="accent1"/>
          <w:right w:val="single" w:sz="4" w:space="0" w:color="4098A4" w:themeColor="accent1"/>
          <w:insideH w:val="nil"/>
        </w:tcBorders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AC3" w:themeColor="accent2"/>
          <w:left w:val="single" w:sz="4" w:space="0" w:color="80BAC3" w:themeColor="accent2"/>
          <w:bottom w:val="single" w:sz="4" w:space="0" w:color="80BAC3" w:themeColor="accent2"/>
          <w:right w:val="single" w:sz="4" w:space="0" w:color="80BAC3" w:themeColor="accent2"/>
          <w:insideH w:val="nil"/>
        </w:tcBorders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DE1" w:themeColor="accent3"/>
          <w:left w:val="single" w:sz="4" w:space="0" w:color="BFDDE1" w:themeColor="accent3"/>
          <w:bottom w:val="single" w:sz="4" w:space="0" w:color="BFDDE1" w:themeColor="accent3"/>
          <w:right w:val="single" w:sz="4" w:space="0" w:color="BFDDE1" w:themeColor="accent3"/>
          <w:insideH w:val="nil"/>
        </w:tcBorders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98A4" w:themeColor="accent1"/>
        <w:left w:val="single" w:sz="24" w:space="0" w:color="4098A4" w:themeColor="accent1"/>
        <w:bottom w:val="single" w:sz="24" w:space="0" w:color="4098A4" w:themeColor="accent1"/>
        <w:right w:val="single" w:sz="24" w:space="0" w:color="4098A4" w:themeColor="accent1"/>
      </w:tblBorders>
    </w:tblPr>
    <w:tcPr>
      <w:shd w:val="clear" w:color="auto" w:fill="4098A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BAC3" w:themeColor="accent2"/>
        <w:left w:val="single" w:sz="24" w:space="0" w:color="80BAC3" w:themeColor="accent2"/>
        <w:bottom w:val="single" w:sz="24" w:space="0" w:color="80BAC3" w:themeColor="accent2"/>
        <w:right w:val="single" w:sz="24" w:space="0" w:color="80BAC3" w:themeColor="accent2"/>
      </w:tblBorders>
    </w:tblPr>
    <w:tcPr>
      <w:shd w:val="clear" w:color="auto" w:fill="80BAC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DDE1" w:themeColor="accent3"/>
        <w:left w:val="single" w:sz="24" w:space="0" w:color="BFDDE1" w:themeColor="accent3"/>
        <w:bottom w:val="single" w:sz="24" w:space="0" w:color="BFDDE1" w:themeColor="accent3"/>
        <w:right w:val="single" w:sz="24" w:space="0" w:color="BFDDE1" w:themeColor="accent3"/>
      </w:tblBorders>
    </w:tblPr>
    <w:tcPr>
      <w:shd w:val="clear" w:color="auto" w:fill="BFDDE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4050" w:themeColor="accent4"/>
        <w:left w:val="single" w:sz="24" w:space="0" w:color="404050" w:themeColor="accent4"/>
        <w:bottom w:val="single" w:sz="24" w:space="0" w:color="404050" w:themeColor="accent4"/>
        <w:right w:val="single" w:sz="24" w:space="0" w:color="404050" w:themeColor="accent4"/>
      </w:tblBorders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B" w:themeColor="accent5"/>
        <w:left w:val="single" w:sz="24" w:space="0" w:color="80808B" w:themeColor="accent5"/>
        <w:bottom w:val="single" w:sz="24" w:space="0" w:color="80808B" w:themeColor="accent5"/>
        <w:right w:val="single" w:sz="24" w:space="0" w:color="80808B" w:themeColor="accent5"/>
      </w:tblBorders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CCD0" w:themeColor="accent6"/>
        <w:left w:val="single" w:sz="24" w:space="0" w:color="CCCCD0" w:themeColor="accent6"/>
        <w:bottom w:val="single" w:sz="24" w:space="0" w:color="CCCCD0" w:themeColor="accent6"/>
        <w:right w:val="single" w:sz="24" w:space="0" w:color="CCCCD0" w:themeColor="accent6"/>
      </w:tblBorders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4098A4" w:themeColor="accent1"/>
        <w:bottom w:val="single" w:sz="4" w:space="0" w:color="4098A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098A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80BAC3" w:themeColor="accent2"/>
        <w:bottom w:val="single" w:sz="4" w:space="0" w:color="80BAC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0BAC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BFDDE1" w:themeColor="accent3"/>
        <w:bottom w:val="single" w:sz="4" w:space="0" w:color="BFDDE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FDDE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404050" w:themeColor="accent4"/>
        <w:bottom w:val="single" w:sz="4" w:space="0" w:color="4040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04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80808B" w:themeColor="accent5"/>
        <w:bottom w:val="single" w:sz="4" w:space="0" w:color="80808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0808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CCCCD0" w:themeColor="accent6"/>
        <w:bottom w:val="single" w:sz="4" w:space="0" w:color="CCCCD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CCCD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98A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98A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98A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98A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BAC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BAC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BAC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BAC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DDE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DDE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DDE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DDE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4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4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4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4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CCD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CCD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CCD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CCD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6B8C3" w:themeColor="accent1" w:themeTint="BF"/>
        <w:left w:val="single" w:sz="8" w:space="0" w:color="66B8C3" w:themeColor="accent1" w:themeTint="BF"/>
        <w:bottom w:val="single" w:sz="8" w:space="0" w:color="66B8C3" w:themeColor="accent1" w:themeTint="BF"/>
        <w:right w:val="single" w:sz="8" w:space="0" w:color="66B8C3" w:themeColor="accent1" w:themeTint="BF"/>
        <w:insideH w:val="single" w:sz="8" w:space="0" w:color="66B8C3" w:themeColor="accent1" w:themeTint="BF"/>
        <w:insideV w:val="single" w:sz="8" w:space="0" w:color="66B8C3" w:themeColor="accent1" w:themeTint="BF"/>
      </w:tblBorders>
    </w:tblPr>
    <w:tcPr>
      <w:shd w:val="clear" w:color="auto" w:fill="CCE7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6B8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shd w:val="clear" w:color="auto" w:fill="99D0D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CBD2" w:themeColor="accent2" w:themeTint="BF"/>
        <w:left w:val="single" w:sz="8" w:space="0" w:color="9FCBD2" w:themeColor="accent2" w:themeTint="BF"/>
        <w:bottom w:val="single" w:sz="8" w:space="0" w:color="9FCBD2" w:themeColor="accent2" w:themeTint="BF"/>
        <w:right w:val="single" w:sz="8" w:space="0" w:color="9FCBD2" w:themeColor="accent2" w:themeTint="BF"/>
        <w:insideH w:val="single" w:sz="8" w:space="0" w:color="9FCBD2" w:themeColor="accent2" w:themeTint="BF"/>
        <w:insideV w:val="single" w:sz="8" w:space="0" w:color="9FCBD2" w:themeColor="accent2" w:themeTint="BF"/>
      </w:tblBorders>
    </w:tblPr>
    <w:tcPr>
      <w:shd w:val="clear" w:color="auto" w:fill="DFEDF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CBD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shd w:val="clear" w:color="auto" w:fill="BFDCE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EE5E8" w:themeColor="accent3" w:themeTint="BF"/>
        <w:left w:val="single" w:sz="8" w:space="0" w:color="CEE5E8" w:themeColor="accent3" w:themeTint="BF"/>
        <w:bottom w:val="single" w:sz="8" w:space="0" w:color="CEE5E8" w:themeColor="accent3" w:themeTint="BF"/>
        <w:right w:val="single" w:sz="8" w:space="0" w:color="CEE5E8" w:themeColor="accent3" w:themeTint="BF"/>
        <w:insideH w:val="single" w:sz="8" w:space="0" w:color="CEE5E8" w:themeColor="accent3" w:themeTint="BF"/>
        <w:insideV w:val="single" w:sz="8" w:space="0" w:color="CEE5E8" w:themeColor="accent3" w:themeTint="BF"/>
      </w:tblBorders>
    </w:tblPr>
    <w:tcPr>
      <w:shd w:val="clear" w:color="auto" w:fill="EFF6F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5E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  <w:insideV w:val="single" w:sz="8" w:space="0" w:color="686882" w:themeColor="accent4" w:themeTint="BF"/>
      </w:tblBorders>
    </w:tblPr>
    <w:tcPr>
      <w:shd w:val="clear" w:color="auto" w:fill="CCCC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8688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  <w:insideV w:val="single" w:sz="8" w:space="0" w:color="9F9FA8" w:themeColor="accent5" w:themeTint="BF"/>
      </w:tblBorders>
    </w:tblPr>
    <w:tcPr>
      <w:shd w:val="clear" w:color="auto" w:fill="DFDF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A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  <w:insideV w:val="single" w:sz="8" w:space="0" w:color="D8D8DB" w:themeColor="accent6" w:themeTint="BF"/>
      </w:tblBorders>
    </w:tblPr>
    <w:tcPr>
      <w:shd w:val="clear" w:color="auto" w:fill="F2F2F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D8D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  <w:insideH w:val="single" w:sz="8" w:space="0" w:color="4098A4" w:themeColor="accent1"/>
        <w:insideV w:val="single" w:sz="8" w:space="0" w:color="4098A4" w:themeColor="accent1"/>
      </w:tblBorders>
    </w:tblPr>
    <w:tcPr>
      <w:shd w:val="clear" w:color="auto" w:fill="CCE7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5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CEF" w:themeFill="accent1" w:themeFillTint="33"/>
      </w:tc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tcBorders>
          <w:insideH w:val="single" w:sz="6" w:space="0" w:color="4098A4" w:themeColor="accent1"/>
          <w:insideV w:val="single" w:sz="6" w:space="0" w:color="4098A4" w:themeColor="accent1"/>
        </w:tcBorders>
        <w:shd w:val="clear" w:color="auto" w:fill="99D0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  <w:insideH w:val="single" w:sz="8" w:space="0" w:color="80BAC3" w:themeColor="accent2"/>
        <w:insideV w:val="single" w:sz="8" w:space="0" w:color="80BAC3" w:themeColor="accent2"/>
      </w:tblBorders>
    </w:tblPr>
    <w:tcPr>
      <w:shd w:val="clear" w:color="auto" w:fill="DFEDF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F8F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F3" w:themeFill="accent2" w:themeFillTint="33"/>
      </w:tc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tcBorders>
          <w:insideH w:val="single" w:sz="6" w:space="0" w:color="80BAC3" w:themeColor="accent2"/>
          <w:insideV w:val="single" w:sz="6" w:space="0" w:color="80BAC3" w:themeColor="accent2"/>
        </w:tcBorders>
        <w:shd w:val="clear" w:color="auto" w:fill="BFDCE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  <w:insideH w:val="single" w:sz="8" w:space="0" w:color="BFDDE1" w:themeColor="accent3"/>
        <w:insideV w:val="single" w:sz="8" w:space="0" w:color="BFDDE1" w:themeColor="accent3"/>
      </w:tblBorders>
    </w:tblPr>
    <w:tcPr>
      <w:shd w:val="clear" w:color="auto" w:fill="EFF6F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FB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8F9" w:themeFill="accent3" w:themeFillTint="33"/>
      </w:tc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tcBorders>
          <w:insideH w:val="single" w:sz="6" w:space="0" w:color="BFDDE1" w:themeColor="accent3"/>
          <w:insideV w:val="single" w:sz="6" w:space="0" w:color="BFDDE1" w:themeColor="accent3"/>
        </w:tcBorders>
        <w:shd w:val="clear" w:color="auto" w:fill="DFEEF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cPr>
      <w:shd w:val="clear" w:color="auto" w:fill="CCCC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BEB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E" w:themeFill="accent4" w:themeFillTint="33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tcBorders>
          <w:insideH w:val="single" w:sz="6" w:space="0" w:color="404050" w:themeColor="accent4"/>
          <w:insideV w:val="single" w:sz="6" w:space="0" w:color="404050" w:themeColor="accent4"/>
        </w:tcBorders>
        <w:shd w:val="clear" w:color="auto" w:fill="9999A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cPr>
      <w:shd w:val="clear" w:color="auto" w:fill="DFDF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7" w:themeFill="accent5" w:themeFillTint="33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tcBorders>
          <w:insideH w:val="single" w:sz="6" w:space="0" w:color="80808B" w:themeColor="accent5"/>
          <w:insideV w:val="single" w:sz="6" w:space="0" w:color="80808B" w:themeColor="accent5"/>
        </w:tcBorders>
        <w:shd w:val="clear" w:color="auto" w:fill="BFBFC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cPr>
      <w:shd w:val="clear" w:color="auto" w:fill="F2F2F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9F9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5" w:themeFill="accent6" w:themeFillTint="33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tcBorders>
          <w:insideH w:val="single" w:sz="6" w:space="0" w:color="CCCCD0" w:themeColor="accent6"/>
          <w:insideV w:val="single" w:sz="6" w:space="0" w:color="CCCCD0" w:themeColor="accent6"/>
        </w:tcBorders>
        <w:shd w:val="clear" w:color="auto" w:fill="E5E5E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E7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98A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98A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98A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D0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D0D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DF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AC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AC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BAC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DCE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DCE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6F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DE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DE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DDE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EEF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EEF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CC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99A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99A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C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C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2F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E5E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E5E7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bottom w:val="single" w:sz="8" w:space="0" w:color="4098A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98A4" w:themeColor="accen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4098A4" w:themeColor="accent1"/>
          <w:bottom w:val="single" w:sz="8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98A4" w:themeColor="accent1"/>
          <w:bottom w:val="single" w:sz="8" w:space="0" w:color="4098A4" w:themeColor="accent1"/>
        </w:tcBorders>
      </w:tcPr>
    </w:tblStylePr>
    <w:tblStylePr w:type="band1Vert">
      <w:tblPr/>
      <w:tcPr>
        <w:shd w:val="clear" w:color="auto" w:fill="CCE7EB" w:themeFill="accent1" w:themeFillTint="3F"/>
      </w:tcPr>
    </w:tblStylePr>
    <w:tblStylePr w:type="band1Horz">
      <w:tblPr/>
      <w:tcPr>
        <w:shd w:val="clear" w:color="auto" w:fill="CCE7E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bottom w:val="single" w:sz="8" w:space="0" w:color="80BAC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BAC3" w:themeColor="accent2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80BAC3" w:themeColor="accent2"/>
          <w:bottom w:val="single" w:sz="8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BAC3" w:themeColor="accent2"/>
          <w:bottom w:val="single" w:sz="8" w:space="0" w:color="80BAC3" w:themeColor="accent2"/>
        </w:tcBorders>
      </w:tcPr>
    </w:tblStylePr>
    <w:tblStylePr w:type="band1Vert">
      <w:tblPr/>
      <w:tcPr>
        <w:shd w:val="clear" w:color="auto" w:fill="DFEDF0" w:themeFill="accent2" w:themeFillTint="3F"/>
      </w:tcPr>
    </w:tblStylePr>
    <w:tblStylePr w:type="band1Horz">
      <w:tblPr/>
      <w:tcPr>
        <w:shd w:val="clear" w:color="auto" w:fill="DFEDF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bottom w:val="single" w:sz="8" w:space="0" w:color="BFDDE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DDE1" w:themeColor="accent3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BFDDE1" w:themeColor="accent3"/>
          <w:bottom w:val="single" w:sz="8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DDE1" w:themeColor="accent3"/>
          <w:bottom w:val="single" w:sz="8" w:space="0" w:color="BFDDE1" w:themeColor="accent3"/>
        </w:tcBorders>
      </w:tcPr>
    </w:tblStylePr>
    <w:tblStylePr w:type="band1Vert">
      <w:tblPr/>
      <w:tcPr>
        <w:shd w:val="clear" w:color="auto" w:fill="EFF6F7" w:themeFill="accent3" w:themeFillTint="3F"/>
      </w:tcPr>
    </w:tblStylePr>
    <w:tblStylePr w:type="band1Horz">
      <w:tblPr/>
      <w:tcPr>
        <w:shd w:val="clear" w:color="auto" w:fill="EFF6F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4050" w:themeColor="accent4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shd w:val="clear" w:color="auto" w:fill="CCCCD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B" w:themeColor="accent5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shd w:val="clear" w:color="auto" w:fill="DFDFE2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CCD0" w:themeColor="accent6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shd w:val="clear" w:color="auto" w:fill="F2F2F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98A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98A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98A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98A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E7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BAC3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BAC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BAC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DF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DDE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FDDE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DDE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DDE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6F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405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4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4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C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808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D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D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D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2F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6B8C3" w:themeColor="accent1" w:themeTint="BF"/>
        <w:left w:val="single" w:sz="8" w:space="0" w:color="66B8C3" w:themeColor="accent1" w:themeTint="BF"/>
        <w:bottom w:val="single" w:sz="8" w:space="0" w:color="66B8C3" w:themeColor="accent1" w:themeTint="BF"/>
        <w:right w:val="single" w:sz="8" w:space="0" w:color="66B8C3" w:themeColor="accent1" w:themeTint="BF"/>
        <w:insideH w:val="single" w:sz="8" w:space="0" w:color="66B8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B8C3" w:themeColor="accent1" w:themeTint="BF"/>
          <w:left w:val="single" w:sz="8" w:space="0" w:color="66B8C3" w:themeColor="accent1" w:themeTint="BF"/>
          <w:bottom w:val="single" w:sz="8" w:space="0" w:color="66B8C3" w:themeColor="accent1" w:themeTint="BF"/>
          <w:right w:val="single" w:sz="8" w:space="0" w:color="66B8C3" w:themeColor="accent1" w:themeTint="BF"/>
          <w:insideH w:val="nil"/>
          <w:insideV w:val="nil"/>
        </w:tcBorders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B8C3" w:themeColor="accent1" w:themeTint="BF"/>
          <w:left w:val="single" w:sz="8" w:space="0" w:color="66B8C3" w:themeColor="accent1" w:themeTint="BF"/>
          <w:bottom w:val="single" w:sz="8" w:space="0" w:color="66B8C3" w:themeColor="accent1" w:themeTint="BF"/>
          <w:right w:val="single" w:sz="8" w:space="0" w:color="66B8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7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E7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CBD2" w:themeColor="accent2" w:themeTint="BF"/>
        <w:left w:val="single" w:sz="8" w:space="0" w:color="9FCBD2" w:themeColor="accent2" w:themeTint="BF"/>
        <w:bottom w:val="single" w:sz="8" w:space="0" w:color="9FCBD2" w:themeColor="accent2" w:themeTint="BF"/>
        <w:right w:val="single" w:sz="8" w:space="0" w:color="9FCBD2" w:themeColor="accent2" w:themeTint="BF"/>
        <w:insideH w:val="single" w:sz="8" w:space="0" w:color="9FCBD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CBD2" w:themeColor="accent2" w:themeTint="BF"/>
          <w:left w:val="single" w:sz="8" w:space="0" w:color="9FCBD2" w:themeColor="accent2" w:themeTint="BF"/>
          <w:bottom w:val="single" w:sz="8" w:space="0" w:color="9FCBD2" w:themeColor="accent2" w:themeTint="BF"/>
          <w:right w:val="single" w:sz="8" w:space="0" w:color="9FCBD2" w:themeColor="accent2" w:themeTint="BF"/>
          <w:insideH w:val="nil"/>
          <w:insideV w:val="nil"/>
        </w:tcBorders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BD2" w:themeColor="accent2" w:themeTint="BF"/>
          <w:left w:val="single" w:sz="8" w:space="0" w:color="9FCBD2" w:themeColor="accent2" w:themeTint="BF"/>
          <w:bottom w:val="single" w:sz="8" w:space="0" w:color="9FCBD2" w:themeColor="accent2" w:themeTint="BF"/>
          <w:right w:val="single" w:sz="8" w:space="0" w:color="9FCBD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DF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DF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EE5E8" w:themeColor="accent3" w:themeTint="BF"/>
        <w:left w:val="single" w:sz="8" w:space="0" w:color="CEE5E8" w:themeColor="accent3" w:themeTint="BF"/>
        <w:bottom w:val="single" w:sz="8" w:space="0" w:color="CEE5E8" w:themeColor="accent3" w:themeTint="BF"/>
        <w:right w:val="single" w:sz="8" w:space="0" w:color="CEE5E8" w:themeColor="accent3" w:themeTint="BF"/>
        <w:insideH w:val="single" w:sz="8" w:space="0" w:color="CEE5E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5E8" w:themeColor="accent3" w:themeTint="BF"/>
          <w:left w:val="single" w:sz="8" w:space="0" w:color="CEE5E8" w:themeColor="accent3" w:themeTint="BF"/>
          <w:bottom w:val="single" w:sz="8" w:space="0" w:color="CEE5E8" w:themeColor="accent3" w:themeTint="BF"/>
          <w:right w:val="single" w:sz="8" w:space="0" w:color="CEE5E8" w:themeColor="accent3" w:themeTint="BF"/>
          <w:insideH w:val="nil"/>
          <w:insideV w:val="nil"/>
        </w:tcBorders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5E8" w:themeColor="accent3" w:themeTint="BF"/>
          <w:left w:val="single" w:sz="8" w:space="0" w:color="CEE5E8" w:themeColor="accent3" w:themeTint="BF"/>
          <w:bottom w:val="single" w:sz="8" w:space="0" w:color="CEE5E8" w:themeColor="accent3" w:themeTint="BF"/>
          <w:right w:val="single" w:sz="8" w:space="0" w:color="CEE5E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6F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6F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2F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98A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98A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AC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BAC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DE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DDE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PlainTable11">
    <w:name w:val="Plain Table 11"/>
    <w:basedOn w:val="TableNormal"/>
    <w:uiPriority w:val="41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GridLight1">
    <w:name w:val="Table Grid Light1"/>
    <w:basedOn w:val="TableNormal"/>
    <w:uiPriority w:val="40"/>
    <w:semiHidden/>
    <w:rsid w:val="00294A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ulloutText">
    <w:name w:val="Pullout Text"/>
    <w:basedOn w:val="Normal"/>
    <w:uiPriority w:val="1"/>
    <w:qFormat/>
    <w:rsid w:val="007E098F"/>
    <w:pPr>
      <w:spacing w:before="100" w:after="100"/>
    </w:pPr>
    <w:rPr>
      <w:color w:val="007586" w:themeColor="text2"/>
    </w:rPr>
  </w:style>
  <w:style w:type="paragraph" w:customStyle="1" w:styleId="PulloutHeading">
    <w:name w:val="Pullout Heading"/>
    <w:basedOn w:val="PulloutText"/>
    <w:next w:val="PulloutText"/>
    <w:uiPriority w:val="1"/>
    <w:qFormat/>
    <w:rsid w:val="007E098F"/>
    <w:pPr>
      <w:spacing w:before="0" w:line="216" w:lineRule="auto"/>
    </w:pPr>
    <w:rPr>
      <w:b/>
      <w:sz w:val="24"/>
    </w:rPr>
  </w:style>
  <w:style w:type="table" w:customStyle="1" w:styleId="SCVInformationTable">
    <w:name w:val="SCV Information Table"/>
    <w:basedOn w:val="TableNormal"/>
    <w:uiPriority w:val="99"/>
    <w:rsid w:val="0086277A"/>
    <w:pPr>
      <w:spacing w:before="0" w:after="80" w:line="240" w:lineRule="auto"/>
      <w:ind w:left="170"/>
    </w:pPr>
    <w:rPr>
      <w:sz w:val="15"/>
    </w:rPr>
    <w:tblPr>
      <w:tblCellMar>
        <w:top w:w="323" w:type="dxa"/>
        <w:left w:w="0" w:type="dxa"/>
        <w:right w:w="0" w:type="dxa"/>
      </w:tblCellMar>
    </w:tblPr>
    <w:tcPr>
      <w:shd w:val="clear" w:color="auto" w:fill="F2F2F3"/>
    </w:tcPr>
  </w:style>
  <w:style w:type="paragraph" w:customStyle="1" w:styleId="Body">
    <w:name w:val="Body"/>
    <w:basedOn w:val="Normal"/>
    <w:uiPriority w:val="99"/>
    <w:rsid w:val="002A797F"/>
    <w:pPr>
      <w:suppressAutoHyphens/>
      <w:autoSpaceDE w:val="0"/>
      <w:autoSpaceDN w:val="0"/>
      <w:adjustRightInd w:val="0"/>
      <w:spacing w:before="0" w:after="170" w:line="260" w:lineRule="atLeast"/>
      <w:textAlignment w:val="center"/>
    </w:pPr>
    <w:rPr>
      <w:rFonts w:ascii="Raleway" w:eastAsiaTheme="minorHAnsi" w:hAnsi="Raleway" w:cs="Raleway"/>
      <w:color w:val="000000"/>
      <w:lang w:val="en-GB" w:eastAsia="en-US"/>
    </w:rPr>
  </w:style>
  <w:style w:type="character" w:styleId="BookTitle">
    <w:name w:val="Book Title"/>
    <w:aliases w:val="Dot points"/>
    <w:uiPriority w:val="33"/>
    <w:qFormat/>
    <w:rsid w:val="002A797F"/>
  </w:style>
  <w:style w:type="paragraph" w:customStyle="1" w:styleId="Tablecolhead">
    <w:name w:val="Table col head"/>
    <w:basedOn w:val="Body"/>
    <w:qFormat/>
    <w:rsid w:val="00593129"/>
    <w:pPr>
      <w:snapToGrid w:val="0"/>
      <w:spacing w:before="60" w:after="60" w:line="240" w:lineRule="auto"/>
    </w:pPr>
    <w:rPr>
      <w:rFonts w:eastAsia="MS Mincho"/>
      <w:b/>
      <w:color w:val="007F92"/>
      <w:lang w:eastAsia="en-GB"/>
    </w:rPr>
  </w:style>
  <w:style w:type="paragraph" w:customStyle="1" w:styleId="References">
    <w:name w:val="References"/>
    <w:basedOn w:val="Normal"/>
    <w:qFormat/>
    <w:rsid w:val="00D1323F"/>
    <w:pPr>
      <w:numPr>
        <w:numId w:val="18"/>
      </w:numPr>
      <w:shd w:val="clear" w:color="auto" w:fill="FFFFFF"/>
      <w:spacing w:before="60" w:after="60" w:line="240" w:lineRule="auto"/>
      <w:ind w:left="357" w:hanging="357"/>
      <w:contextualSpacing/>
    </w:pPr>
    <w:rPr>
      <w:rFonts w:asciiTheme="majorHAnsi" w:eastAsiaTheme="minorHAnsi" w:hAnsiTheme="majorHAnsi"/>
      <w:iCs/>
      <w:color w:val="000000"/>
      <w:sz w:val="18"/>
      <w:szCs w:val="18"/>
      <w:lang w:val="en-GB" w:eastAsia="en-US"/>
    </w:rPr>
  </w:style>
  <w:style w:type="character" w:customStyle="1" w:styleId="apple-converted-space">
    <w:name w:val="apple-converted-space"/>
    <w:basedOn w:val="DefaultParagraphFont"/>
    <w:rsid w:val="00627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health.vic.gov.au/clinicianshealthchanne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safercare.vic.gov.a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afer%20Care%20Victoria\Common%20folder%20(for%20all%20SCV)\Branding%20toolkit\1.%20Templates\1.%20Safer%20Care%20Victoria\Fact%20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19698BD7414459DB3B8DE948CE8A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BCB44-5041-43F5-9D84-730CB2379BF7}"/>
      </w:docPartPr>
      <w:docPartBody>
        <w:p w:rsidR="00973ECD" w:rsidRDefault="00973ECD">
          <w:pPr>
            <w:pStyle w:val="119698BD7414459DB3B8DE948CE8A2E9"/>
          </w:pPr>
          <w:r w:rsidRPr="0080378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altName w:val="Trebuchet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ECD"/>
    <w:rsid w:val="005F063D"/>
    <w:rsid w:val="0097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1"/>
    <w:semiHidden/>
    <w:rPr>
      <w:color w:val="808080"/>
    </w:rPr>
  </w:style>
  <w:style w:type="paragraph" w:customStyle="1" w:styleId="119698BD7414459DB3B8DE948CE8A2E9">
    <w:name w:val="119698BD7414459DB3B8DE948CE8A2E9"/>
  </w:style>
  <w:style w:type="paragraph" w:customStyle="1" w:styleId="ED64744474CD4692B141CF39C5384E32">
    <w:name w:val="ED64744474CD4692B141CF39C5384E32"/>
  </w:style>
  <w:style w:type="paragraph" w:customStyle="1" w:styleId="A1571EFD677E498783B20E42C2AC57A5">
    <w:name w:val="A1571EFD677E498783B20E42C2AC57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CV">
      <a:dk1>
        <a:srgbClr val="000000"/>
      </a:dk1>
      <a:lt1>
        <a:srgbClr val="FFFFFF"/>
      </a:lt1>
      <a:dk2>
        <a:srgbClr val="007586"/>
      </a:dk2>
      <a:lt2>
        <a:srgbClr val="EDF5F7"/>
      </a:lt2>
      <a:accent1>
        <a:srgbClr val="4098A4"/>
      </a:accent1>
      <a:accent2>
        <a:srgbClr val="80BAC3"/>
      </a:accent2>
      <a:accent3>
        <a:srgbClr val="BFDDE1"/>
      </a:accent3>
      <a:accent4>
        <a:srgbClr val="404050"/>
      </a:accent4>
      <a:accent5>
        <a:srgbClr val="80808B"/>
      </a:accent5>
      <a:accent6>
        <a:srgbClr val="CCCCD0"/>
      </a:accent6>
      <a:hlink>
        <a:srgbClr val="000000"/>
      </a:hlink>
      <a:folHlink>
        <a:srgbClr val="007586"/>
      </a:folHlink>
    </a:clrScheme>
    <a:fontScheme name="Arial">
      <a:majorFont>
        <a:latin typeface="Arial" panose="020F03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F05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8D507-F001-4EEA-9700-9F52A7FD8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 sheet.dotx</Template>
  <TotalTime>0</TotalTime>
  <Pages>4</Pages>
  <Words>1118</Words>
  <Characters>6375</Characters>
  <Application>Microsoft Office Word</Application>
  <DocSecurity>4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Vasopressin (Argipressin)</vt:lpstr>
    </vt:vector>
  </TitlesOfParts>
  <Company>Department of Treasury and Finance</Company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Vasopressin (Argipressin)</dc:title>
  <dc:subject/>
  <dc:creator>Emma D Gumbleton (DHHS)</dc:creator>
  <cp:keywords/>
  <dc:description/>
  <cp:lastModifiedBy>Freya L Jones (DHHS)</cp:lastModifiedBy>
  <cp:revision>2</cp:revision>
  <cp:lastPrinted>2018-05-20T09:23:00Z</cp:lastPrinted>
  <dcterms:created xsi:type="dcterms:W3CDTF">2018-12-04T23:22:00Z</dcterms:created>
  <dcterms:modified xsi:type="dcterms:W3CDTF">2018-12-04T23:22:00Z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346754aa-f64f-4676-8998-5678c96f0a97</vt:lpwstr>
  </property>
  <property fmtid="{D5CDD505-2E9C-101B-9397-08002B2CF9AE}" pid="3" name="PSPFClassification">
    <vt:lpwstr>Do Not Mark</vt:lpwstr>
  </property>
</Properties>
</file>