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6EB6" w14:textId="77777777" w:rsidR="00521CA5" w:rsidRPr="00876171" w:rsidRDefault="00521CA5" w:rsidP="00521CA5">
      <w:pPr>
        <w:pStyle w:val="SCVborderabovetitle"/>
        <w:pBdr>
          <w:top w:val="single" w:sz="24" w:space="1" w:color="CCCCD0"/>
        </w:pBdr>
      </w:pPr>
    </w:p>
    <w:p w14:paraId="72AAF104" w14:textId="77777777" w:rsidR="00521CA5" w:rsidRPr="00876171" w:rsidRDefault="00521CA5" w:rsidP="00521CA5">
      <w:pPr>
        <w:pStyle w:val="SCVborderabovetitle"/>
        <w:sectPr w:rsidR="00521CA5" w:rsidRPr="00876171" w:rsidSect="00A2092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22ED096F" w14:textId="093F5637" w:rsidR="00C50A2B" w:rsidRPr="007C5F9E" w:rsidRDefault="00805105" w:rsidP="007C5F9E">
      <w:pPr>
        <w:pStyle w:val="SCVfactsheettitle"/>
      </w:pPr>
      <w:r>
        <w:t>A guide to consumer remuneration</w:t>
      </w:r>
    </w:p>
    <w:p w14:paraId="547C1892" w14:textId="08B0BFD8" w:rsidR="00805105" w:rsidRPr="00414546" w:rsidRDefault="00805105" w:rsidP="00805105">
      <w:pPr>
        <w:pStyle w:val="Heading1"/>
        <w:rPr>
          <w:rFonts w:ascii="Arial" w:hAnsi="Arial" w:cs="Arial"/>
        </w:rPr>
      </w:pPr>
      <w:bookmarkStart w:id="0" w:name="_Toc52978537"/>
      <w:bookmarkStart w:id="1" w:name="_Toc43470670"/>
      <w:bookmarkEnd w:id="0"/>
      <w:r>
        <w:t>REMUNERATION GUIDELINES</w:t>
      </w:r>
    </w:p>
    <w:p w14:paraId="0F352D80" w14:textId="48D96809" w:rsidR="00805105" w:rsidRPr="006F2824" w:rsidRDefault="00805105" w:rsidP="4469B8FD">
      <w:pPr>
        <w:pStyle w:val="BodyText"/>
        <w:spacing w:before="218" w:line="295" w:lineRule="auto"/>
        <w:ind w:left="0" w:right="271"/>
        <w:rPr>
          <w:rFonts w:asciiTheme="minorHAnsi" w:eastAsiaTheme="minorEastAsia" w:hAnsiTheme="minorHAnsi" w:cstheme="minorBidi"/>
          <w:sz w:val="19"/>
          <w:szCs w:val="19"/>
        </w:rPr>
      </w:pPr>
      <w:r w:rsidRPr="4469B8FD">
        <w:rPr>
          <w:rFonts w:asciiTheme="minorHAnsi" w:eastAsiaTheme="minorEastAsia" w:hAnsiTheme="minorHAnsi" w:cstheme="minorBidi"/>
          <w:sz w:val="19"/>
          <w:szCs w:val="19"/>
        </w:rPr>
        <w:t xml:space="preserve">There are standard processes and principles for appointing consumer members sitting on </w:t>
      </w:r>
      <w:r w:rsidR="00255D9F" w:rsidRPr="4469B8FD">
        <w:rPr>
          <w:rFonts w:asciiTheme="minorHAnsi" w:eastAsiaTheme="minorEastAsia" w:hAnsiTheme="minorHAnsi" w:cstheme="minorBidi"/>
          <w:sz w:val="19"/>
          <w:szCs w:val="19"/>
        </w:rPr>
        <w:t>advisory committees</w:t>
      </w:r>
      <w:r w:rsidRPr="4469B8FD">
        <w:rPr>
          <w:rFonts w:asciiTheme="minorHAnsi" w:eastAsiaTheme="minorEastAsia" w:hAnsiTheme="minorHAnsi" w:cstheme="minorBidi"/>
          <w:sz w:val="19"/>
          <w:szCs w:val="19"/>
        </w:rPr>
        <w:t xml:space="preserve">, boards, councils and project groups. These are outlined in the Department of Premier and Cabinet’s </w:t>
      </w:r>
      <w:hyperlink r:id="rId17" w:anchor="guidelines-effective-from-1-july-2020">
        <w:r w:rsidRPr="4469B8FD">
          <w:rPr>
            <w:rStyle w:val="Hyperlink"/>
            <w:rFonts w:asciiTheme="minorHAnsi" w:eastAsiaTheme="minorEastAsia" w:hAnsiTheme="minorHAnsi" w:cstheme="minorBidi"/>
            <w:b/>
            <w:bCs/>
            <w:sz w:val="19"/>
            <w:szCs w:val="19"/>
          </w:rPr>
          <w:t>Appointment and remuneration guidelines (</w:t>
        </w:r>
        <w:r w:rsidR="24873B2A" w:rsidRPr="4469B8FD">
          <w:rPr>
            <w:rStyle w:val="Hyperlink"/>
            <w:rFonts w:asciiTheme="minorHAnsi" w:eastAsiaTheme="minorEastAsia" w:hAnsiTheme="minorHAnsi" w:cstheme="minorBidi"/>
            <w:b/>
            <w:bCs/>
            <w:sz w:val="19"/>
            <w:szCs w:val="19"/>
          </w:rPr>
          <w:t>0</w:t>
        </w:r>
        <w:r w:rsidR="00255D9F" w:rsidRPr="4469B8FD">
          <w:rPr>
            <w:rStyle w:val="Hyperlink"/>
            <w:rFonts w:asciiTheme="minorHAnsi" w:eastAsiaTheme="minorEastAsia" w:hAnsiTheme="minorHAnsi" w:cstheme="minorBidi"/>
            <w:b/>
            <w:bCs/>
            <w:sz w:val="19"/>
            <w:szCs w:val="19"/>
          </w:rPr>
          <w:t xml:space="preserve">1 </w:t>
        </w:r>
        <w:r w:rsidRPr="4469B8FD">
          <w:rPr>
            <w:rStyle w:val="Hyperlink"/>
            <w:rFonts w:asciiTheme="minorHAnsi" w:eastAsiaTheme="minorEastAsia" w:hAnsiTheme="minorHAnsi" w:cstheme="minorBidi"/>
            <w:b/>
            <w:bCs/>
            <w:sz w:val="19"/>
            <w:szCs w:val="19"/>
          </w:rPr>
          <w:t>July 202</w:t>
        </w:r>
        <w:r w:rsidR="67BCBDDB" w:rsidRPr="4469B8FD">
          <w:rPr>
            <w:rStyle w:val="Hyperlink"/>
            <w:rFonts w:asciiTheme="minorHAnsi" w:eastAsiaTheme="minorEastAsia" w:hAnsiTheme="minorHAnsi" w:cstheme="minorBidi"/>
            <w:b/>
            <w:bCs/>
            <w:sz w:val="19"/>
            <w:szCs w:val="19"/>
          </w:rPr>
          <w:t>2</w:t>
        </w:r>
        <w:r w:rsidRPr="4469B8FD">
          <w:rPr>
            <w:rStyle w:val="Hyperlink"/>
            <w:rFonts w:asciiTheme="minorHAnsi" w:eastAsiaTheme="minorEastAsia" w:hAnsiTheme="minorHAnsi" w:cstheme="minorBidi"/>
            <w:b/>
            <w:bCs/>
            <w:sz w:val="19"/>
            <w:szCs w:val="19"/>
          </w:rPr>
          <w:t>).</w:t>
        </w:r>
      </w:hyperlink>
    </w:p>
    <w:p w14:paraId="061F30DD" w14:textId="136BBEB9" w:rsidR="00805105" w:rsidRPr="00805105" w:rsidRDefault="00805105" w:rsidP="00805105">
      <w:pPr>
        <w:pStyle w:val="BodyText"/>
        <w:spacing w:before="161" w:line="295" w:lineRule="auto"/>
        <w:ind w:left="0" w:right="271"/>
        <w:rPr>
          <w:rFonts w:asciiTheme="minorHAnsi" w:eastAsiaTheme="minorEastAsia" w:hAnsiTheme="minorHAnsi" w:cstheme="minorBidi"/>
          <w:sz w:val="19"/>
          <w:szCs w:val="19"/>
        </w:rPr>
      </w:pPr>
      <w:r w:rsidRPr="006F2824">
        <w:rPr>
          <w:rFonts w:asciiTheme="minorHAnsi" w:eastAsiaTheme="minorEastAsia" w:hAnsiTheme="minorHAnsi" w:cstheme="minorBidi"/>
          <w:sz w:val="19"/>
          <w:szCs w:val="19"/>
        </w:rPr>
        <w:t>The guidelines classify committees</w:t>
      </w:r>
      <w:r w:rsidRPr="00805105">
        <w:rPr>
          <w:rFonts w:asciiTheme="minorHAnsi" w:eastAsiaTheme="minorEastAsia" w:hAnsiTheme="minorHAnsi" w:cstheme="minorBidi"/>
          <w:sz w:val="19"/>
          <w:szCs w:val="19"/>
        </w:rPr>
        <w:t xml:space="preserve"> or groups into one of four groups, which determines the remuneration level. These levels recognise the workload, regularity of meetings and other activities of participants. The sessional or annual rates paid to participants are set in accordance with the remuneration level of the group.</w:t>
      </w:r>
    </w:p>
    <w:p w14:paraId="75A24BF3" w14:textId="7D468990" w:rsidR="00805105" w:rsidRPr="00805105" w:rsidRDefault="00805105" w:rsidP="381F1257">
      <w:pPr>
        <w:pStyle w:val="BodyText"/>
        <w:spacing w:before="164"/>
        <w:ind w:left="0"/>
        <w:rPr>
          <w:rFonts w:asciiTheme="minorHAnsi" w:eastAsiaTheme="minorEastAsia" w:hAnsiTheme="minorHAnsi" w:cstheme="minorBidi"/>
          <w:sz w:val="19"/>
          <w:szCs w:val="19"/>
        </w:rPr>
      </w:pPr>
      <w:r w:rsidRPr="381F1257">
        <w:rPr>
          <w:rFonts w:asciiTheme="minorHAnsi" w:eastAsiaTheme="minorEastAsia" w:hAnsiTheme="minorHAnsi" w:cstheme="minorBidi"/>
          <w:sz w:val="19"/>
          <w:szCs w:val="19"/>
        </w:rPr>
        <w:t xml:space="preserve">These guidelines are updated regularly, so please ensure you check for the most up-to-date version. </w:t>
      </w:r>
      <w:r w:rsidR="006F2824" w:rsidRPr="381F1257">
        <w:rPr>
          <w:rFonts w:asciiTheme="minorHAnsi" w:eastAsiaTheme="minorEastAsia" w:hAnsiTheme="minorHAnsi" w:cstheme="minorBidi"/>
          <w:sz w:val="19"/>
          <w:szCs w:val="19"/>
        </w:rPr>
        <w:t>The</w:t>
      </w:r>
      <w:r w:rsidRPr="381F1257">
        <w:rPr>
          <w:rFonts w:asciiTheme="minorHAnsi" w:eastAsiaTheme="minorEastAsia" w:hAnsiTheme="minorHAnsi" w:cstheme="minorBidi"/>
          <w:sz w:val="19"/>
          <w:szCs w:val="19"/>
        </w:rPr>
        <w:t xml:space="preserve"> </w:t>
      </w:r>
      <w:r w:rsidR="006F2824" w:rsidRPr="381F1257">
        <w:rPr>
          <w:rFonts w:asciiTheme="minorHAnsi" w:eastAsiaTheme="minorEastAsia" w:hAnsiTheme="minorHAnsi" w:cstheme="minorBidi"/>
          <w:sz w:val="19"/>
          <w:szCs w:val="19"/>
        </w:rPr>
        <w:t>current version is</w:t>
      </w:r>
      <w:r w:rsidRPr="381F1257">
        <w:rPr>
          <w:rFonts w:asciiTheme="minorHAnsi" w:eastAsiaTheme="minorEastAsia" w:hAnsiTheme="minorHAnsi" w:cstheme="minorBidi"/>
          <w:sz w:val="19"/>
          <w:szCs w:val="19"/>
        </w:rPr>
        <w:t xml:space="preserve"> dated </w:t>
      </w:r>
      <w:r w:rsidR="1F589EFF" w:rsidRPr="381F1257">
        <w:rPr>
          <w:rFonts w:asciiTheme="minorHAnsi" w:eastAsiaTheme="minorEastAsia" w:hAnsiTheme="minorHAnsi" w:cstheme="minorBidi"/>
          <w:sz w:val="19"/>
          <w:szCs w:val="19"/>
        </w:rPr>
        <w:t xml:space="preserve">01 </w:t>
      </w:r>
      <w:r w:rsidRPr="381F1257">
        <w:rPr>
          <w:rFonts w:asciiTheme="minorHAnsi" w:eastAsiaTheme="minorEastAsia" w:hAnsiTheme="minorHAnsi" w:cstheme="minorBidi"/>
          <w:sz w:val="19"/>
          <w:szCs w:val="19"/>
        </w:rPr>
        <w:t>July 202</w:t>
      </w:r>
      <w:r w:rsidR="1DF44A19" w:rsidRPr="381F1257">
        <w:rPr>
          <w:rFonts w:asciiTheme="minorHAnsi" w:eastAsiaTheme="minorEastAsia" w:hAnsiTheme="minorHAnsi" w:cstheme="minorBidi"/>
          <w:sz w:val="19"/>
          <w:szCs w:val="19"/>
        </w:rPr>
        <w:t>2</w:t>
      </w:r>
      <w:r w:rsidRPr="381F1257">
        <w:rPr>
          <w:rFonts w:asciiTheme="minorHAnsi" w:eastAsiaTheme="minorEastAsia" w:hAnsiTheme="minorHAnsi" w:cstheme="minorBidi"/>
          <w:sz w:val="19"/>
          <w:szCs w:val="19"/>
        </w:rPr>
        <w:t>.</w:t>
      </w:r>
    </w:p>
    <w:p w14:paraId="6E4895EC" w14:textId="77777777" w:rsidR="00805105" w:rsidRPr="00805105" w:rsidRDefault="00805105" w:rsidP="381F1257">
      <w:pPr>
        <w:pStyle w:val="BodyText"/>
        <w:spacing w:before="215" w:line="278" w:lineRule="auto"/>
        <w:ind w:left="0" w:right="206"/>
        <w:rPr>
          <w:rFonts w:asciiTheme="minorHAnsi" w:eastAsiaTheme="minorEastAsia" w:hAnsiTheme="minorHAnsi" w:cstheme="minorBidi"/>
          <w:sz w:val="19"/>
          <w:szCs w:val="19"/>
        </w:rPr>
      </w:pPr>
      <w:r w:rsidRPr="381F1257">
        <w:rPr>
          <w:rFonts w:asciiTheme="minorHAnsi" w:eastAsiaTheme="minorEastAsia" w:hAnsiTheme="minorHAnsi" w:cstheme="minorBidi"/>
          <w:sz w:val="19"/>
          <w:szCs w:val="19"/>
        </w:rPr>
        <w:t xml:space="preserve">Most advisory-based committees fall into the Group C category. In this group, consumers are paid at a half-day sessional rate (for all meetings less than four hours) or a full-day rate (four hours or more). A half-day sessional rate is calculated at 50% of the full-day rate. </w:t>
      </w:r>
    </w:p>
    <w:p w14:paraId="325E6C93" w14:textId="77777777" w:rsidR="00805105" w:rsidRDefault="00805105" w:rsidP="00805105">
      <w:pPr>
        <w:pStyle w:val="BodyText"/>
        <w:spacing w:before="174"/>
        <w:ind w:left="0"/>
        <w:rPr>
          <w:rFonts w:asciiTheme="minorHAnsi" w:eastAsiaTheme="minorEastAsia" w:hAnsiTheme="minorHAnsi" w:cstheme="minorBidi"/>
          <w:sz w:val="19"/>
          <w:szCs w:val="19"/>
        </w:rPr>
      </w:pPr>
      <w:r w:rsidRPr="00805105">
        <w:rPr>
          <w:rFonts w:asciiTheme="minorHAnsi" w:eastAsiaTheme="minorEastAsia" w:hAnsiTheme="minorHAnsi" w:cstheme="minorBidi"/>
          <w:sz w:val="19"/>
          <w:szCs w:val="19"/>
        </w:rPr>
        <w:t>Sessional sitting fees should also be paid for consumers attending training courses.</w:t>
      </w:r>
    </w:p>
    <w:tbl>
      <w:tblPr>
        <w:tblW w:w="0" w:type="auto"/>
        <w:tblLayout w:type="fixed"/>
        <w:tblCellMar>
          <w:left w:w="0" w:type="dxa"/>
          <w:right w:w="0" w:type="dxa"/>
        </w:tblCellMar>
        <w:tblLook w:val="01E0" w:firstRow="1" w:lastRow="1" w:firstColumn="1" w:lastColumn="1" w:noHBand="0" w:noVBand="0"/>
      </w:tblPr>
      <w:tblGrid>
        <w:gridCol w:w="7735"/>
        <w:gridCol w:w="1202"/>
        <w:gridCol w:w="1234"/>
      </w:tblGrid>
      <w:tr w:rsidR="00805105" w:rsidRPr="00414546" w14:paraId="5D503F54" w14:textId="77777777" w:rsidTr="381F1257">
        <w:trPr>
          <w:trHeight w:val="945"/>
        </w:trPr>
        <w:tc>
          <w:tcPr>
            <w:tcW w:w="7735" w:type="dxa"/>
            <w:tcBorders>
              <w:bottom w:val="single" w:sz="24" w:space="0" w:color="CCCCD0"/>
            </w:tcBorders>
            <w:shd w:val="clear" w:color="auto" w:fill="ECF5F7"/>
          </w:tcPr>
          <w:p w14:paraId="7ED1C548" w14:textId="236DB2C3" w:rsidR="00805105" w:rsidRPr="00414546" w:rsidRDefault="6E2534E6" w:rsidP="381F1257">
            <w:pPr>
              <w:pStyle w:val="TableParagraph"/>
              <w:spacing w:before="112"/>
              <w:rPr>
                <w:rFonts w:ascii="Arial" w:hAnsi="Arial" w:cs="Arial"/>
                <w:b/>
                <w:bCs/>
                <w:color w:val="007585"/>
                <w:sz w:val="18"/>
                <w:szCs w:val="18"/>
              </w:rPr>
            </w:pPr>
            <w:r w:rsidRPr="381F1257">
              <w:rPr>
                <w:rFonts w:ascii="Arial" w:hAnsi="Arial" w:cs="Arial"/>
                <w:b/>
                <w:bCs/>
                <w:color w:val="007585"/>
                <w:spacing w:val="-1"/>
                <w:w w:val="106"/>
                <w:sz w:val="18"/>
                <w:szCs w:val="18"/>
              </w:rPr>
              <w:t>Effective from</w:t>
            </w:r>
            <w:r w:rsidR="00805105" w:rsidRPr="381F1257">
              <w:rPr>
                <w:rFonts w:ascii="Arial" w:hAnsi="Arial" w:cs="Arial"/>
                <w:b/>
                <w:bCs/>
                <w:color w:val="007585"/>
                <w:spacing w:val="-1"/>
                <w:w w:val="106"/>
                <w:sz w:val="18"/>
                <w:szCs w:val="18"/>
              </w:rPr>
              <w:t xml:space="preserve">: </w:t>
            </w:r>
            <w:r w:rsidRPr="381F1257">
              <w:rPr>
                <w:rFonts w:ascii="Arial" w:hAnsi="Arial" w:cs="Arial"/>
                <w:b/>
                <w:bCs/>
                <w:color w:val="007585"/>
                <w:spacing w:val="-1"/>
                <w:w w:val="106"/>
                <w:sz w:val="18"/>
                <w:szCs w:val="18"/>
              </w:rPr>
              <w:t xml:space="preserve">1 </w:t>
            </w:r>
            <w:r w:rsidR="00805105" w:rsidRPr="381F1257">
              <w:rPr>
                <w:rFonts w:ascii="Arial" w:hAnsi="Arial" w:cs="Arial"/>
                <w:b/>
                <w:bCs/>
                <w:color w:val="007585"/>
                <w:spacing w:val="-1"/>
                <w:w w:val="106"/>
                <w:sz w:val="18"/>
                <w:szCs w:val="18"/>
              </w:rPr>
              <w:t>July 202</w:t>
            </w:r>
            <w:r w:rsidR="7FEF6A07" w:rsidRPr="381F1257">
              <w:rPr>
                <w:rFonts w:ascii="Arial" w:hAnsi="Arial" w:cs="Arial"/>
                <w:b/>
                <w:bCs/>
                <w:color w:val="007585"/>
                <w:spacing w:val="-1"/>
                <w:w w:val="106"/>
                <w:sz w:val="18"/>
                <w:szCs w:val="18"/>
              </w:rPr>
              <w:t>2</w:t>
            </w:r>
          </w:p>
          <w:p w14:paraId="508A5345" w14:textId="77777777" w:rsidR="00805105" w:rsidRPr="00414546" w:rsidRDefault="00805105" w:rsidP="00383E37">
            <w:pPr>
              <w:pStyle w:val="TableParagraph"/>
              <w:spacing w:before="54" w:line="300" w:lineRule="auto"/>
              <w:rPr>
                <w:rFonts w:ascii="Arial" w:hAnsi="Arial" w:cs="Arial"/>
                <w:b/>
                <w:sz w:val="18"/>
              </w:rPr>
            </w:pPr>
            <w:r w:rsidRPr="00414546">
              <w:rPr>
                <w:rFonts w:ascii="Arial" w:hAnsi="Arial" w:cs="Arial"/>
                <w:b/>
                <w:color w:val="007585"/>
                <w:spacing w:val="-1"/>
                <w:w w:val="105"/>
                <w:sz w:val="18"/>
              </w:rPr>
              <w:t>Group</w:t>
            </w:r>
            <w:r w:rsidRPr="00414546">
              <w:rPr>
                <w:rFonts w:ascii="Arial" w:hAnsi="Arial" w:cs="Arial"/>
                <w:b/>
                <w:color w:val="007585"/>
                <w:spacing w:val="-12"/>
                <w:w w:val="105"/>
                <w:sz w:val="18"/>
              </w:rPr>
              <w:t xml:space="preserve"> </w:t>
            </w:r>
            <w:r w:rsidRPr="00414546">
              <w:rPr>
                <w:rFonts w:ascii="Arial" w:hAnsi="Arial" w:cs="Arial"/>
                <w:b/>
                <w:color w:val="007585"/>
                <w:spacing w:val="-1"/>
                <w:w w:val="105"/>
                <w:sz w:val="18"/>
              </w:rPr>
              <w:t>C:</w:t>
            </w:r>
            <w:r w:rsidRPr="00414546">
              <w:rPr>
                <w:rFonts w:ascii="Arial" w:hAnsi="Arial" w:cs="Arial"/>
                <w:b/>
                <w:color w:val="007585"/>
                <w:spacing w:val="-10"/>
                <w:w w:val="105"/>
                <w:sz w:val="18"/>
              </w:rPr>
              <w:t xml:space="preserve"> </w:t>
            </w:r>
            <w:r w:rsidRPr="00414546">
              <w:rPr>
                <w:rFonts w:ascii="Arial" w:hAnsi="Arial" w:cs="Arial"/>
                <w:b/>
                <w:color w:val="007585"/>
                <w:spacing w:val="-1"/>
                <w:w w:val="105"/>
                <w:sz w:val="18"/>
              </w:rPr>
              <w:t>advisory</w:t>
            </w:r>
            <w:r w:rsidRPr="00414546">
              <w:rPr>
                <w:rFonts w:ascii="Arial" w:hAnsi="Arial" w:cs="Arial"/>
                <w:b/>
                <w:color w:val="007585"/>
                <w:spacing w:val="-10"/>
                <w:w w:val="105"/>
                <w:sz w:val="18"/>
              </w:rPr>
              <w:t xml:space="preserve"> </w:t>
            </w:r>
            <w:r w:rsidRPr="00414546">
              <w:rPr>
                <w:rFonts w:ascii="Arial" w:hAnsi="Arial" w:cs="Arial"/>
                <w:b/>
                <w:color w:val="007585"/>
                <w:spacing w:val="-1"/>
                <w:w w:val="105"/>
                <w:sz w:val="18"/>
              </w:rPr>
              <w:t>committees,</w:t>
            </w:r>
            <w:r w:rsidRPr="00414546">
              <w:rPr>
                <w:rFonts w:ascii="Arial" w:hAnsi="Arial" w:cs="Arial"/>
                <w:b/>
                <w:color w:val="007585"/>
                <w:spacing w:val="-10"/>
                <w:w w:val="105"/>
                <w:sz w:val="18"/>
              </w:rPr>
              <w:t xml:space="preserve"> </w:t>
            </w:r>
            <w:r w:rsidRPr="00414546">
              <w:rPr>
                <w:rFonts w:ascii="Arial" w:hAnsi="Arial" w:cs="Arial"/>
                <w:b/>
                <w:color w:val="007585"/>
                <w:spacing w:val="-1"/>
                <w:w w:val="105"/>
                <w:sz w:val="18"/>
              </w:rPr>
              <w:t>registration</w:t>
            </w:r>
            <w:r w:rsidRPr="00414546">
              <w:rPr>
                <w:rFonts w:ascii="Arial" w:hAnsi="Arial" w:cs="Arial"/>
                <w:b/>
                <w:color w:val="007585"/>
                <w:spacing w:val="-11"/>
                <w:w w:val="105"/>
                <w:sz w:val="18"/>
              </w:rPr>
              <w:t xml:space="preserve"> </w:t>
            </w:r>
            <w:r w:rsidRPr="00414546">
              <w:rPr>
                <w:rFonts w:ascii="Arial" w:hAnsi="Arial" w:cs="Arial"/>
                <w:b/>
                <w:color w:val="007585"/>
                <w:w w:val="105"/>
                <w:sz w:val="18"/>
              </w:rPr>
              <w:t>board</w:t>
            </w:r>
            <w:r w:rsidRPr="00414546">
              <w:rPr>
                <w:rFonts w:ascii="Arial" w:hAnsi="Arial" w:cs="Arial"/>
                <w:b/>
                <w:color w:val="007585"/>
                <w:spacing w:val="-11"/>
                <w:w w:val="105"/>
                <w:sz w:val="18"/>
              </w:rPr>
              <w:t xml:space="preserve"> </w:t>
            </w:r>
            <w:r w:rsidRPr="00414546">
              <w:rPr>
                <w:rFonts w:ascii="Arial" w:hAnsi="Arial" w:cs="Arial"/>
                <w:b/>
                <w:color w:val="007585"/>
                <w:w w:val="105"/>
                <w:sz w:val="18"/>
              </w:rPr>
              <w:t>and</w:t>
            </w:r>
            <w:r w:rsidRPr="00414546">
              <w:rPr>
                <w:rFonts w:ascii="Arial" w:hAnsi="Arial" w:cs="Arial"/>
                <w:b/>
                <w:color w:val="007585"/>
                <w:spacing w:val="-8"/>
                <w:w w:val="105"/>
                <w:sz w:val="18"/>
              </w:rPr>
              <w:t xml:space="preserve"> </w:t>
            </w:r>
            <w:r w:rsidRPr="00414546">
              <w:rPr>
                <w:rFonts w:ascii="Arial" w:hAnsi="Arial" w:cs="Arial"/>
                <w:b/>
                <w:color w:val="007585"/>
                <w:w w:val="105"/>
                <w:sz w:val="18"/>
              </w:rPr>
              <w:t>management</w:t>
            </w:r>
            <w:r w:rsidRPr="00414546">
              <w:rPr>
                <w:rFonts w:ascii="Arial" w:hAnsi="Arial" w:cs="Arial"/>
                <w:b/>
                <w:color w:val="007585"/>
                <w:spacing w:val="-9"/>
                <w:w w:val="105"/>
                <w:sz w:val="18"/>
              </w:rPr>
              <w:t xml:space="preserve"> </w:t>
            </w:r>
            <w:r w:rsidRPr="00414546">
              <w:rPr>
                <w:rFonts w:ascii="Arial" w:hAnsi="Arial" w:cs="Arial"/>
                <w:b/>
                <w:color w:val="007585"/>
                <w:w w:val="105"/>
                <w:sz w:val="18"/>
              </w:rPr>
              <w:t>of</w:t>
            </w:r>
            <w:r w:rsidRPr="00414546">
              <w:rPr>
                <w:rFonts w:ascii="Arial" w:hAnsi="Arial" w:cs="Arial"/>
                <w:b/>
                <w:color w:val="007585"/>
                <w:spacing w:val="-10"/>
                <w:w w:val="105"/>
                <w:sz w:val="18"/>
              </w:rPr>
              <w:t xml:space="preserve"> </w:t>
            </w:r>
            <w:r w:rsidRPr="00414546">
              <w:rPr>
                <w:rFonts w:ascii="Arial" w:hAnsi="Arial" w:cs="Arial"/>
                <w:b/>
                <w:color w:val="007585"/>
                <w:w w:val="105"/>
                <w:sz w:val="18"/>
              </w:rPr>
              <w:t>small</w:t>
            </w:r>
            <w:r w:rsidRPr="00414546">
              <w:rPr>
                <w:rFonts w:ascii="Arial" w:hAnsi="Arial" w:cs="Arial"/>
                <w:b/>
                <w:color w:val="007585"/>
                <w:spacing w:val="-50"/>
                <w:w w:val="105"/>
                <w:sz w:val="18"/>
              </w:rPr>
              <w:t xml:space="preserve"> </w:t>
            </w:r>
            <w:r w:rsidRPr="00414546">
              <w:rPr>
                <w:rFonts w:ascii="Arial" w:hAnsi="Arial" w:cs="Arial"/>
                <w:b/>
                <w:color w:val="007585"/>
                <w:w w:val="105"/>
                <w:sz w:val="18"/>
              </w:rPr>
              <w:t>organisations</w:t>
            </w:r>
          </w:p>
        </w:tc>
        <w:tc>
          <w:tcPr>
            <w:tcW w:w="1202" w:type="dxa"/>
            <w:tcBorders>
              <w:bottom w:val="single" w:sz="24" w:space="0" w:color="CCCCD0"/>
            </w:tcBorders>
            <w:shd w:val="clear" w:color="auto" w:fill="ECF5F7"/>
          </w:tcPr>
          <w:p w14:paraId="65A94F10" w14:textId="77777777" w:rsidR="00805105" w:rsidRPr="00414546" w:rsidRDefault="00805105" w:rsidP="00383E37">
            <w:pPr>
              <w:pStyle w:val="TableParagraph"/>
              <w:ind w:left="0"/>
              <w:rPr>
                <w:rFonts w:ascii="Arial" w:hAnsi="Arial" w:cs="Arial"/>
                <w:sz w:val="24"/>
              </w:rPr>
            </w:pPr>
          </w:p>
          <w:p w14:paraId="2B4B0037" w14:textId="77777777" w:rsidR="00805105" w:rsidRPr="00414546" w:rsidRDefault="00805105" w:rsidP="00383E37">
            <w:pPr>
              <w:pStyle w:val="TableParagraph"/>
              <w:spacing w:before="10"/>
              <w:ind w:left="0"/>
              <w:rPr>
                <w:rFonts w:ascii="Arial" w:hAnsi="Arial" w:cs="Arial"/>
                <w:sz w:val="31"/>
              </w:rPr>
            </w:pPr>
          </w:p>
          <w:p w14:paraId="77540AEE" w14:textId="77777777" w:rsidR="00805105" w:rsidRPr="00414546" w:rsidRDefault="00805105" w:rsidP="00383E37">
            <w:pPr>
              <w:pStyle w:val="TableParagraph"/>
              <w:ind w:left="139"/>
              <w:rPr>
                <w:rFonts w:ascii="Arial" w:hAnsi="Arial" w:cs="Arial"/>
                <w:b/>
                <w:sz w:val="18"/>
              </w:rPr>
            </w:pPr>
            <w:r w:rsidRPr="00414546">
              <w:rPr>
                <w:rFonts w:ascii="Arial" w:hAnsi="Arial" w:cs="Arial"/>
                <w:b/>
                <w:color w:val="007585"/>
                <w:w w:val="105"/>
                <w:sz w:val="18"/>
              </w:rPr>
              <w:t>Chair</w:t>
            </w:r>
          </w:p>
        </w:tc>
        <w:tc>
          <w:tcPr>
            <w:tcW w:w="1234" w:type="dxa"/>
            <w:tcBorders>
              <w:bottom w:val="single" w:sz="24" w:space="0" w:color="CCCCD0"/>
            </w:tcBorders>
            <w:shd w:val="clear" w:color="auto" w:fill="ECF5F7"/>
          </w:tcPr>
          <w:p w14:paraId="6E343B34" w14:textId="77777777" w:rsidR="00805105" w:rsidRPr="00414546" w:rsidRDefault="00805105" w:rsidP="00383E37">
            <w:pPr>
              <w:pStyle w:val="TableParagraph"/>
              <w:ind w:left="0"/>
              <w:rPr>
                <w:rFonts w:ascii="Arial" w:hAnsi="Arial" w:cs="Arial"/>
                <w:sz w:val="24"/>
              </w:rPr>
            </w:pPr>
          </w:p>
          <w:p w14:paraId="64D025B6" w14:textId="77777777" w:rsidR="00805105" w:rsidRPr="00414546" w:rsidRDefault="00805105" w:rsidP="00383E37">
            <w:pPr>
              <w:pStyle w:val="TableParagraph"/>
              <w:spacing w:before="10"/>
              <w:ind w:left="0"/>
              <w:rPr>
                <w:rFonts w:ascii="Arial" w:hAnsi="Arial" w:cs="Arial"/>
                <w:sz w:val="31"/>
              </w:rPr>
            </w:pPr>
          </w:p>
          <w:p w14:paraId="20439FA5" w14:textId="77777777" w:rsidR="00805105" w:rsidRPr="00414546" w:rsidRDefault="00805105" w:rsidP="00383E37">
            <w:pPr>
              <w:pStyle w:val="TableParagraph"/>
              <w:ind w:left="141"/>
              <w:rPr>
                <w:rFonts w:ascii="Arial" w:hAnsi="Arial" w:cs="Arial"/>
                <w:b/>
                <w:sz w:val="18"/>
              </w:rPr>
            </w:pPr>
            <w:r w:rsidRPr="00414546">
              <w:rPr>
                <w:rFonts w:ascii="Arial" w:hAnsi="Arial" w:cs="Arial"/>
                <w:b/>
                <w:color w:val="007585"/>
                <w:w w:val="105"/>
                <w:sz w:val="18"/>
              </w:rPr>
              <w:t>Member</w:t>
            </w:r>
          </w:p>
        </w:tc>
      </w:tr>
      <w:tr w:rsidR="00805105" w:rsidRPr="00414546" w14:paraId="08B7116F" w14:textId="77777777" w:rsidTr="381F1257">
        <w:trPr>
          <w:trHeight w:val="2679"/>
        </w:trPr>
        <w:tc>
          <w:tcPr>
            <w:tcW w:w="7735" w:type="dxa"/>
            <w:tcBorders>
              <w:top w:val="single" w:sz="24" w:space="0" w:color="CCCCD0"/>
              <w:bottom w:val="single" w:sz="2" w:space="0" w:color="80808A"/>
            </w:tcBorders>
          </w:tcPr>
          <w:p w14:paraId="65990A05" w14:textId="77777777" w:rsidR="002A4D9F" w:rsidRPr="002A4D9F" w:rsidRDefault="002A4D9F" w:rsidP="002A4D9F">
            <w:pPr>
              <w:pStyle w:val="DPCtabletext"/>
              <w:rPr>
                <w:rFonts w:eastAsiaTheme="minorEastAsia" w:cstheme="minorBidi"/>
                <w:color w:val="auto"/>
                <w:sz w:val="19"/>
                <w:szCs w:val="19"/>
                <w:lang w:eastAsia="en-AU"/>
              </w:rPr>
            </w:pPr>
            <w:r w:rsidRPr="002A4D9F">
              <w:rPr>
                <w:rFonts w:eastAsiaTheme="minorEastAsia" w:cstheme="minorBidi"/>
                <w:color w:val="auto"/>
                <w:sz w:val="19"/>
                <w:szCs w:val="19"/>
                <w:lang w:eastAsia="en-AU"/>
              </w:rPr>
              <w:t xml:space="preserve">(a) Advisory bodies to departments. These bodies could be established under legislation or at the instigation of a Minister or department Head. The role of such bodies would be to hold internal inquiries/investigations in relation to an operation (or some aspect of an operation) of a particular department. The body would report within the department and at the department Head level or below. </w:t>
            </w:r>
          </w:p>
          <w:p w14:paraId="3B224911" w14:textId="77777777" w:rsidR="002A4D9F" w:rsidRPr="002A4D9F" w:rsidRDefault="002A4D9F" w:rsidP="002A4D9F">
            <w:pPr>
              <w:pStyle w:val="DPCtabletext"/>
              <w:rPr>
                <w:rFonts w:eastAsiaTheme="minorEastAsia" w:cstheme="minorBidi"/>
                <w:color w:val="auto"/>
                <w:sz w:val="19"/>
                <w:szCs w:val="19"/>
                <w:lang w:eastAsia="en-AU"/>
              </w:rPr>
            </w:pPr>
            <w:r w:rsidRPr="002A4D9F">
              <w:rPr>
                <w:rFonts w:eastAsiaTheme="minorEastAsia" w:cstheme="minorBidi"/>
                <w:color w:val="auto"/>
                <w:sz w:val="19"/>
                <w:szCs w:val="19"/>
                <w:lang w:eastAsia="en-AU"/>
              </w:rPr>
              <w:t xml:space="preserve">(b) Advisory committees required to consider issues/matters that are local or affect confined areas including local land and water advisory committees. </w:t>
            </w:r>
          </w:p>
          <w:p w14:paraId="4B151E0A" w14:textId="2D59F68E" w:rsidR="00805105" w:rsidRPr="00FE682B" w:rsidRDefault="002A4D9F" w:rsidP="002A4D9F">
            <w:pPr>
              <w:pStyle w:val="DPCtabletext"/>
              <w:spacing w:before="120"/>
              <w:rPr>
                <w:rFonts w:eastAsiaTheme="minorEastAsia" w:cstheme="minorBidi"/>
                <w:color w:val="auto"/>
                <w:sz w:val="19"/>
                <w:szCs w:val="19"/>
                <w:lang w:eastAsia="en-AU"/>
              </w:rPr>
            </w:pPr>
            <w:r w:rsidRPr="002A4D9F">
              <w:rPr>
                <w:rFonts w:eastAsiaTheme="minorEastAsia" w:cstheme="minorBidi"/>
                <w:color w:val="auto"/>
                <w:sz w:val="19"/>
                <w:szCs w:val="19"/>
                <w:lang w:eastAsia="en-AU"/>
              </w:rPr>
              <w:t>(c) Trade and para-professional registration and licensing committees where legislation defines qualifications and regulates operating requirements of practising individuals.</w:t>
            </w:r>
          </w:p>
        </w:tc>
        <w:tc>
          <w:tcPr>
            <w:tcW w:w="1202" w:type="dxa"/>
            <w:tcBorders>
              <w:top w:val="single" w:sz="24" w:space="0" w:color="CCCCD0"/>
              <w:bottom w:val="single" w:sz="2" w:space="0" w:color="80808A"/>
            </w:tcBorders>
          </w:tcPr>
          <w:p w14:paraId="042E4D7D" w14:textId="343D1AFF" w:rsidR="00805105" w:rsidRPr="006F2824" w:rsidRDefault="00805105" w:rsidP="381F1257">
            <w:pPr>
              <w:pStyle w:val="TableParagraph"/>
              <w:spacing w:before="134" w:line="285" w:lineRule="auto"/>
              <w:ind w:left="138" w:right="123"/>
              <w:rPr>
                <w:rFonts w:asciiTheme="minorHAnsi" w:eastAsiaTheme="minorEastAsia" w:hAnsiTheme="minorHAnsi" w:cstheme="minorBidi"/>
                <w:sz w:val="19"/>
                <w:szCs w:val="19"/>
                <w:highlight w:val="green"/>
                <w:lang w:val="en-AU" w:eastAsia="en-AU"/>
              </w:rPr>
            </w:pPr>
            <w:r w:rsidRPr="381F1257">
              <w:rPr>
                <w:rFonts w:asciiTheme="minorHAnsi" w:eastAsiaTheme="minorEastAsia" w:hAnsiTheme="minorHAnsi" w:cstheme="minorBidi"/>
                <w:sz w:val="19"/>
                <w:szCs w:val="19"/>
                <w:lang w:val="en-AU" w:eastAsia="en-AU"/>
              </w:rPr>
              <w:t>Up to $</w:t>
            </w:r>
            <w:r w:rsidR="1F29CDBB" w:rsidRPr="381F1257">
              <w:rPr>
                <w:rFonts w:asciiTheme="minorHAnsi" w:eastAsiaTheme="minorEastAsia" w:hAnsiTheme="minorHAnsi" w:cstheme="minorBidi"/>
                <w:sz w:val="19"/>
                <w:szCs w:val="19"/>
                <w:lang w:val="en-AU" w:eastAsia="en-AU"/>
              </w:rPr>
              <w:t>27</w:t>
            </w:r>
            <w:r w:rsidR="61BCC024" w:rsidRPr="381F1257">
              <w:rPr>
                <w:rFonts w:asciiTheme="minorHAnsi" w:eastAsiaTheme="minorEastAsia" w:hAnsiTheme="minorHAnsi" w:cstheme="minorBidi"/>
                <w:sz w:val="19"/>
                <w:szCs w:val="19"/>
                <w:lang w:val="en-AU" w:eastAsia="en-AU"/>
              </w:rPr>
              <w:t>6</w:t>
            </w:r>
            <w:r w:rsidRPr="381F1257">
              <w:rPr>
                <w:rFonts w:asciiTheme="minorHAnsi" w:eastAsiaTheme="minorEastAsia" w:hAnsiTheme="minorHAnsi" w:cstheme="minorBidi"/>
                <w:sz w:val="19"/>
                <w:szCs w:val="19"/>
                <w:lang w:val="en-AU" w:eastAsia="en-AU"/>
              </w:rPr>
              <w:t xml:space="preserve"> per day</w:t>
            </w:r>
          </w:p>
        </w:tc>
        <w:tc>
          <w:tcPr>
            <w:tcW w:w="1234" w:type="dxa"/>
            <w:tcBorders>
              <w:top w:val="single" w:sz="24" w:space="0" w:color="CCCCD0"/>
              <w:bottom w:val="single" w:sz="2" w:space="0" w:color="80808A"/>
            </w:tcBorders>
          </w:tcPr>
          <w:p w14:paraId="7F5F5E71" w14:textId="3AD614AD" w:rsidR="00805105" w:rsidRPr="006F2824" w:rsidRDefault="00805105" w:rsidP="381F1257">
            <w:pPr>
              <w:pStyle w:val="TableParagraph"/>
              <w:spacing w:before="134" w:line="285" w:lineRule="auto"/>
              <w:ind w:left="141" w:right="174"/>
              <w:rPr>
                <w:rFonts w:asciiTheme="minorHAnsi" w:eastAsiaTheme="minorEastAsia" w:hAnsiTheme="minorHAnsi" w:cstheme="minorBidi"/>
                <w:sz w:val="19"/>
                <w:szCs w:val="19"/>
                <w:highlight w:val="green"/>
                <w:lang w:val="en-AU" w:eastAsia="en-AU"/>
              </w:rPr>
            </w:pPr>
            <w:r w:rsidRPr="381F1257">
              <w:rPr>
                <w:rFonts w:asciiTheme="minorHAnsi" w:eastAsiaTheme="minorEastAsia" w:hAnsiTheme="minorHAnsi" w:cstheme="minorBidi"/>
                <w:sz w:val="19"/>
                <w:szCs w:val="19"/>
                <w:lang w:val="en-AU" w:eastAsia="en-AU"/>
              </w:rPr>
              <w:t>Up to $23</w:t>
            </w:r>
            <w:r w:rsidR="36229437" w:rsidRPr="381F1257">
              <w:rPr>
                <w:rFonts w:asciiTheme="minorHAnsi" w:eastAsiaTheme="minorEastAsia" w:hAnsiTheme="minorHAnsi" w:cstheme="minorBidi"/>
                <w:sz w:val="19"/>
                <w:szCs w:val="19"/>
                <w:lang w:val="en-AU" w:eastAsia="en-AU"/>
              </w:rPr>
              <w:t xml:space="preserve">7 </w:t>
            </w:r>
            <w:r w:rsidRPr="381F1257">
              <w:rPr>
                <w:rFonts w:asciiTheme="minorHAnsi" w:eastAsiaTheme="minorEastAsia" w:hAnsiTheme="minorHAnsi" w:cstheme="minorBidi"/>
                <w:sz w:val="19"/>
                <w:szCs w:val="19"/>
                <w:lang w:val="en-AU" w:eastAsia="en-AU"/>
              </w:rPr>
              <w:t>per day</w:t>
            </w:r>
          </w:p>
        </w:tc>
      </w:tr>
    </w:tbl>
    <w:p w14:paraId="0703637E" w14:textId="77777777" w:rsidR="00805105" w:rsidRDefault="00805105" w:rsidP="00805105">
      <w:pPr>
        <w:pStyle w:val="BodyText"/>
        <w:spacing w:before="174"/>
        <w:ind w:left="0"/>
        <w:rPr>
          <w:rFonts w:asciiTheme="minorHAnsi" w:eastAsiaTheme="minorEastAsia" w:hAnsiTheme="minorHAnsi" w:cstheme="minorBidi"/>
          <w:sz w:val="19"/>
          <w:szCs w:val="19"/>
        </w:rPr>
      </w:pPr>
      <w:r w:rsidRPr="00805105">
        <w:rPr>
          <w:rFonts w:asciiTheme="minorHAnsi" w:eastAsiaTheme="minorEastAsia" w:hAnsiTheme="minorHAnsi" w:cstheme="minorBidi"/>
          <w:sz w:val="19"/>
          <w:szCs w:val="19"/>
        </w:rPr>
        <w:t>Under departmental guidelines, remuneration of participants does not include:</w:t>
      </w:r>
    </w:p>
    <w:p w14:paraId="20AB70C1" w14:textId="77777777" w:rsidR="00805105" w:rsidRDefault="00805105" w:rsidP="00383E37">
      <w:pPr>
        <w:pStyle w:val="BodyText"/>
        <w:numPr>
          <w:ilvl w:val="0"/>
          <w:numId w:val="16"/>
        </w:numPr>
        <w:spacing w:before="174"/>
        <w:rPr>
          <w:rFonts w:asciiTheme="minorHAnsi" w:eastAsiaTheme="minorEastAsia" w:hAnsiTheme="minorHAnsi" w:cstheme="minorBidi"/>
          <w:sz w:val="19"/>
          <w:szCs w:val="19"/>
        </w:rPr>
      </w:pPr>
      <w:r w:rsidRPr="00805105">
        <w:rPr>
          <w:rFonts w:asciiTheme="minorHAnsi" w:eastAsiaTheme="minorEastAsia" w:hAnsiTheme="minorHAnsi" w:cstheme="minorBidi"/>
          <w:sz w:val="19"/>
          <w:szCs w:val="19"/>
        </w:rPr>
        <w:t>hourly payment rates</w:t>
      </w:r>
    </w:p>
    <w:p w14:paraId="3D358382" w14:textId="77777777" w:rsidR="00805105" w:rsidRDefault="00805105" w:rsidP="00383E37">
      <w:pPr>
        <w:pStyle w:val="BodyText"/>
        <w:numPr>
          <w:ilvl w:val="0"/>
          <w:numId w:val="16"/>
        </w:numPr>
        <w:spacing w:before="174"/>
        <w:rPr>
          <w:rFonts w:asciiTheme="minorHAnsi" w:eastAsiaTheme="minorEastAsia" w:hAnsiTheme="minorHAnsi" w:cstheme="minorBidi"/>
          <w:sz w:val="19"/>
          <w:szCs w:val="19"/>
        </w:rPr>
      </w:pPr>
      <w:r w:rsidRPr="00805105">
        <w:rPr>
          <w:rFonts w:asciiTheme="minorHAnsi" w:eastAsiaTheme="minorEastAsia" w:hAnsiTheme="minorHAnsi" w:cstheme="minorBidi"/>
          <w:sz w:val="19"/>
          <w:szCs w:val="19"/>
        </w:rPr>
        <w:t>additional payments for deputy chairs</w:t>
      </w:r>
    </w:p>
    <w:p w14:paraId="472788EA" w14:textId="77777777" w:rsidR="00805105" w:rsidRDefault="00805105" w:rsidP="00383E37">
      <w:pPr>
        <w:pStyle w:val="BodyText"/>
        <w:numPr>
          <w:ilvl w:val="0"/>
          <w:numId w:val="16"/>
        </w:numPr>
        <w:spacing w:before="174"/>
        <w:rPr>
          <w:rFonts w:asciiTheme="minorHAnsi" w:eastAsiaTheme="minorEastAsia" w:hAnsiTheme="minorHAnsi" w:cstheme="minorBidi"/>
          <w:sz w:val="19"/>
          <w:szCs w:val="19"/>
        </w:rPr>
      </w:pPr>
      <w:r w:rsidRPr="00805105">
        <w:rPr>
          <w:rFonts w:asciiTheme="minorHAnsi" w:eastAsiaTheme="minorEastAsia" w:hAnsiTheme="minorHAnsi" w:cstheme="minorBidi"/>
          <w:sz w:val="19"/>
          <w:szCs w:val="19"/>
        </w:rPr>
        <w:t>preparation time for meetings, such as reading</w:t>
      </w:r>
    </w:p>
    <w:p w14:paraId="56FDB983" w14:textId="77777777" w:rsidR="00805105" w:rsidRPr="00805105" w:rsidRDefault="00805105" w:rsidP="00805105">
      <w:pPr>
        <w:pStyle w:val="BodyText"/>
        <w:numPr>
          <w:ilvl w:val="0"/>
          <w:numId w:val="16"/>
        </w:numPr>
        <w:spacing w:before="174"/>
      </w:pPr>
      <w:r w:rsidRPr="00805105">
        <w:rPr>
          <w:rFonts w:asciiTheme="minorHAnsi" w:eastAsiaTheme="minorEastAsia" w:hAnsiTheme="minorHAnsi" w:cstheme="minorBidi"/>
          <w:sz w:val="19"/>
          <w:szCs w:val="19"/>
        </w:rPr>
        <w:t>Preparation time is permissible for bodies classed under Group A or B</w:t>
      </w:r>
    </w:p>
    <w:p w14:paraId="05A3B61A" w14:textId="5E9C0B5B" w:rsidR="00805105" w:rsidRDefault="00805105" w:rsidP="00FE682B">
      <w:pPr>
        <w:pStyle w:val="Heading1"/>
      </w:pPr>
      <w:r>
        <w:lastRenderedPageBreak/>
        <w:t>REIMBURSEMENT GUIDELINE</w:t>
      </w:r>
      <w:r w:rsidR="41510214">
        <w:t>S</w:t>
      </w:r>
    </w:p>
    <w:p w14:paraId="148C24A3" w14:textId="0F3B365B" w:rsidR="00805105" w:rsidRDefault="00805105" w:rsidP="00805105">
      <w:pPr>
        <w:pStyle w:val="BodyText"/>
        <w:spacing w:before="174"/>
        <w:ind w:left="0"/>
        <w:rPr>
          <w:rFonts w:asciiTheme="minorHAnsi" w:eastAsiaTheme="minorEastAsia" w:hAnsiTheme="minorHAnsi" w:cstheme="minorBidi"/>
          <w:sz w:val="19"/>
          <w:szCs w:val="19"/>
        </w:rPr>
      </w:pPr>
      <w:r w:rsidRPr="00805105">
        <w:rPr>
          <w:rFonts w:asciiTheme="minorHAnsi" w:eastAsiaTheme="minorEastAsia" w:hAnsiTheme="minorHAnsi" w:cstheme="minorBidi"/>
          <w:sz w:val="19"/>
          <w:szCs w:val="19"/>
        </w:rPr>
        <w:t>Participants on committees are also eligible for reimbursement of out</w:t>
      </w:r>
      <w:r w:rsidR="006F2824">
        <w:rPr>
          <w:rFonts w:asciiTheme="minorHAnsi" w:eastAsiaTheme="minorEastAsia" w:hAnsiTheme="minorHAnsi" w:cstheme="minorBidi"/>
          <w:sz w:val="19"/>
          <w:szCs w:val="19"/>
        </w:rPr>
        <w:t>-</w:t>
      </w:r>
      <w:r w:rsidRPr="00805105">
        <w:rPr>
          <w:rFonts w:asciiTheme="minorHAnsi" w:eastAsiaTheme="minorEastAsia" w:hAnsiTheme="minorHAnsi" w:cstheme="minorBidi"/>
          <w:sz w:val="19"/>
          <w:szCs w:val="19"/>
        </w:rPr>
        <w:t>of</w:t>
      </w:r>
      <w:r w:rsidR="006F2824">
        <w:rPr>
          <w:rFonts w:asciiTheme="minorHAnsi" w:eastAsiaTheme="minorEastAsia" w:hAnsiTheme="minorHAnsi" w:cstheme="minorBidi"/>
          <w:sz w:val="19"/>
          <w:szCs w:val="19"/>
        </w:rPr>
        <w:t>-</w:t>
      </w:r>
      <w:r w:rsidRPr="00805105">
        <w:rPr>
          <w:rFonts w:asciiTheme="minorHAnsi" w:eastAsiaTheme="minorEastAsia" w:hAnsiTheme="minorHAnsi" w:cstheme="minorBidi"/>
          <w:sz w:val="19"/>
          <w:szCs w:val="19"/>
        </w:rPr>
        <w:t>pocket expenses. Such expenses may include:</w:t>
      </w:r>
    </w:p>
    <w:p w14:paraId="3750C0D8" w14:textId="77777777" w:rsidR="00FE682B" w:rsidRPr="00805105" w:rsidRDefault="00FE682B" w:rsidP="006F2824">
      <w:pPr>
        <w:pStyle w:val="Heading1"/>
        <w:numPr>
          <w:ilvl w:val="0"/>
          <w:numId w:val="14"/>
        </w:numPr>
        <w:spacing w:before="160"/>
        <w:ind w:left="714" w:hanging="357"/>
        <w:rPr>
          <w:rFonts w:asciiTheme="minorHAnsi" w:eastAsiaTheme="minorEastAsia" w:hAnsiTheme="minorHAnsi" w:cstheme="minorBidi"/>
          <w:color w:val="auto"/>
          <w:sz w:val="19"/>
          <w:szCs w:val="19"/>
        </w:rPr>
      </w:pPr>
      <w:r w:rsidRPr="00805105">
        <w:rPr>
          <w:rFonts w:asciiTheme="minorHAnsi" w:eastAsiaTheme="minorEastAsia" w:hAnsiTheme="minorHAnsi" w:cstheme="minorBidi"/>
          <w:color w:val="auto"/>
          <w:sz w:val="19"/>
          <w:szCs w:val="19"/>
        </w:rPr>
        <w:t>public transport costs</w:t>
      </w:r>
    </w:p>
    <w:p w14:paraId="3002F7A2" w14:textId="77777777" w:rsidR="00FE682B" w:rsidRDefault="00FE682B" w:rsidP="006F2824">
      <w:pPr>
        <w:pStyle w:val="Heading1"/>
        <w:numPr>
          <w:ilvl w:val="0"/>
          <w:numId w:val="14"/>
        </w:numPr>
        <w:spacing w:before="160"/>
        <w:ind w:left="714" w:hanging="357"/>
        <w:rPr>
          <w:rFonts w:asciiTheme="minorHAnsi" w:eastAsiaTheme="minorEastAsia" w:hAnsiTheme="minorHAnsi" w:cstheme="minorBidi"/>
          <w:color w:val="auto"/>
          <w:sz w:val="19"/>
          <w:szCs w:val="19"/>
        </w:rPr>
      </w:pPr>
      <w:r w:rsidRPr="00805105">
        <w:rPr>
          <w:rFonts w:asciiTheme="minorHAnsi" w:eastAsiaTheme="minorEastAsia" w:hAnsiTheme="minorHAnsi" w:cstheme="minorBidi"/>
          <w:color w:val="auto"/>
          <w:sz w:val="19"/>
          <w:szCs w:val="19"/>
        </w:rPr>
        <w:t>private transport and parking expenses</w:t>
      </w:r>
    </w:p>
    <w:p w14:paraId="7CE2E188" w14:textId="4EC84EF4" w:rsidR="00FE682B" w:rsidRPr="00805105" w:rsidRDefault="00FE682B" w:rsidP="381F1257">
      <w:pPr>
        <w:pStyle w:val="Heading1"/>
        <w:numPr>
          <w:ilvl w:val="0"/>
          <w:numId w:val="15"/>
        </w:numPr>
        <w:spacing w:before="160"/>
        <w:ind w:left="714" w:hanging="357"/>
        <w:rPr>
          <w:rFonts w:asciiTheme="minorHAnsi" w:eastAsiaTheme="minorEastAsia" w:hAnsiTheme="minorHAnsi" w:cstheme="minorBidi"/>
          <w:color w:val="auto"/>
          <w:sz w:val="19"/>
          <w:szCs w:val="19"/>
        </w:rPr>
      </w:pPr>
      <w:r w:rsidRPr="381F1257">
        <w:rPr>
          <w:rFonts w:asciiTheme="minorHAnsi" w:eastAsiaTheme="minorEastAsia" w:hAnsiTheme="minorHAnsi" w:cstheme="minorBidi"/>
          <w:color w:val="auto"/>
          <w:sz w:val="19"/>
          <w:szCs w:val="19"/>
        </w:rPr>
        <w:t xml:space="preserve">claims for the use of private cars should be calculated in accordance with the </w:t>
      </w:r>
      <w:hyperlink r:id="rId18">
        <w:r w:rsidRPr="381F1257">
          <w:rPr>
            <w:rStyle w:val="Hyperlink"/>
            <w:rFonts w:asciiTheme="minorHAnsi" w:eastAsiaTheme="minorEastAsia" w:hAnsiTheme="minorHAnsi" w:cstheme="minorBidi"/>
            <w:b/>
            <w:bCs/>
            <w:color w:val="007586" w:themeColor="accent2"/>
            <w:sz w:val="19"/>
            <w:szCs w:val="19"/>
          </w:rPr>
          <w:t>Australian Taxation Office’s Claiming motor vehicle expenses as a sole trader – Cents per kilometre policy</w:t>
        </w:r>
      </w:hyperlink>
      <w:r w:rsidRPr="381F1257">
        <w:rPr>
          <w:rFonts w:asciiTheme="minorHAnsi" w:eastAsiaTheme="minorEastAsia" w:hAnsiTheme="minorHAnsi" w:cstheme="minorBidi"/>
          <w:color w:val="auto"/>
          <w:sz w:val="19"/>
          <w:szCs w:val="19"/>
        </w:rPr>
        <w:t>.  This rate is set at 7</w:t>
      </w:r>
      <w:r w:rsidR="6842D0A4" w:rsidRPr="381F1257">
        <w:rPr>
          <w:rFonts w:asciiTheme="minorHAnsi" w:eastAsiaTheme="minorEastAsia" w:hAnsiTheme="minorHAnsi" w:cstheme="minorBidi"/>
          <w:color w:val="auto"/>
          <w:sz w:val="19"/>
          <w:szCs w:val="19"/>
        </w:rPr>
        <w:t>8</w:t>
      </w:r>
      <w:r w:rsidRPr="381F1257">
        <w:rPr>
          <w:rFonts w:asciiTheme="minorHAnsi" w:eastAsiaTheme="minorEastAsia" w:hAnsiTheme="minorHAnsi" w:cstheme="minorBidi"/>
          <w:color w:val="auto"/>
          <w:sz w:val="19"/>
          <w:szCs w:val="19"/>
        </w:rPr>
        <w:t xml:space="preserve"> cents per kilometre for 202</w:t>
      </w:r>
      <w:r w:rsidR="5555AF53" w:rsidRPr="381F1257">
        <w:rPr>
          <w:rFonts w:asciiTheme="minorHAnsi" w:eastAsiaTheme="minorEastAsia" w:hAnsiTheme="minorHAnsi" w:cstheme="minorBidi"/>
          <w:color w:val="auto"/>
          <w:sz w:val="19"/>
          <w:szCs w:val="19"/>
        </w:rPr>
        <w:t>2</w:t>
      </w:r>
      <w:r w:rsidRPr="381F1257">
        <w:rPr>
          <w:rFonts w:asciiTheme="minorHAnsi" w:eastAsiaTheme="minorEastAsia" w:hAnsiTheme="minorHAnsi" w:cstheme="minorBidi"/>
          <w:color w:val="auto"/>
          <w:sz w:val="19"/>
          <w:szCs w:val="19"/>
        </w:rPr>
        <w:t xml:space="preserve"> – 202</w:t>
      </w:r>
      <w:r w:rsidR="76E52D4D" w:rsidRPr="381F1257">
        <w:rPr>
          <w:rFonts w:asciiTheme="minorHAnsi" w:eastAsiaTheme="minorEastAsia" w:hAnsiTheme="minorHAnsi" w:cstheme="minorBidi"/>
          <w:color w:val="auto"/>
          <w:sz w:val="19"/>
          <w:szCs w:val="19"/>
        </w:rPr>
        <w:t>3</w:t>
      </w:r>
      <w:r w:rsidRPr="381F1257">
        <w:rPr>
          <w:rFonts w:asciiTheme="minorHAnsi" w:eastAsiaTheme="minorEastAsia" w:hAnsiTheme="minorHAnsi" w:cstheme="minorBidi"/>
          <w:color w:val="auto"/>
          <w:sz w:val="19"/>
          <w:szCs w:val="19"/>
        </w:rPr>
        <w:t xml:space="preserve"> and is reviewed regularly.</w:t>
      </w:r>
    </w:p>
    <w:p w14:paraId="26F31CE3" w14:textId="77777777" w:rsidR="00FE682B" w:rsidRPr="00805105" w:rsidRDefault="00FE682B" w:rsidP="006F2824">
      <w:pPr>
        <w:pStyle w:val="Heading1"/>
        <w:numPr>
          <w:ilvl w:val="0"/>
          <w:numId w:val="15"/>
        </w:numPr>
        <w:spacing w:before="160"/>
        <w:ind w:left="714" w:hanging="357"/>
        <w:rPr>
          <w:rFonts w:asciiTheme="minorHAnsi" w:eastAsiaTheme="minorEastAsia" w:hAnsiTheme="minorHAnsi" w:cstheme="minorBidi"/>
          <w:color w:val="auto"/>
          <w:sz w:val="19"/>
          <w:szCs w:val="19"/>
        </w:rPr>
      </w:pPr>
      <w:r w:rsidRPr="00805105">
        <w:rPr>
          <w:rFonts w:asciiTheme="minorHAnsi" w:eastAsiaTheme="minorEastAsia" w:hAnsiTheme="minorHAnsi" w:cstheme="minorBidi"/>
          <w:color w:val="auto"/>
          <w:sz w:val="19"/>
          <w:szCs w:val="19"/>
        </w:rPr>
        <w:t>claims should be made using a Business expense claim form</w:t>
      </w:r>
    </w:p>
    <w:p w14:paraId="57A7FB51" w14:textId="77777777" w:rsidR="00FE682B" w:rsidRPr="00805105" w:rsidRDefault="00FE682B" w:rsidP="006F2824">
      <w:pPr>
        <w:pStyle w:val="Heading1"/>
        <w:numPr>
          <w:ilvl w:val="0"/>
          <w:numId w:val="14"/>
        </w:numPr>
        <w:spacing w:before="160"/>
        <w:ind w:left="714" w:hanging="357"/>
        <w:rPr>
          <w:rFonts w:asciiTheme="minorHAnsi" w:eastAsiaTheme="minorEastAsia" w:hAnsiTheme="minorHAnsi" w:cstheme="minorBidi"/>
          <w:color w:val="auto"/>
          <w:sz w:val="19"/>
          <w:szCs w:val="19"/>
        </w:rPr>
      </w:pPr>
      <w:r w:rsidRPr="00805105">
        <w:rPr>
          <w:rFonts w:asciiTheme="minorHAnsi" w:eastAsiaTheme="minorEastAsia" w:hAnsiTheme="minorHAnsi" w:cstheme="minorBidi"/>
          <w:color w:val="auto"/>
          <w:sz w:val="19"/>
          <w:szCs w:val="19"/>
        </w:rPr>
        <w:t>meals (if not provided)</w:t>
      </w:r>
    </w:p>
    <w:p w14:paraId="62613DDF" w14:textId="77777777" w:rsidR="00FE682B" w:rsidRPr="00805105" w:rsidRDefault="00FE682B" w:rsidP="006F2824">
      <w:pPr>
        <w:pStyle w:val="Heading1"/>
        <w:numPr>
          <w:ilvl w:val="0"/>
          <w:numId w:val="14"/>
        </w:numPr>
        <w:spacing w:before="160"/>
        <w:ind w:left="714" w:hanging="357"/>
        <w:rPr>
          <w:rFonts w:asciiTheme="minorHAnsi" w:eastAsiaTheme="minorEastAsia" w:hAnsiTheme="minorHAnsi" w:cstheme="minorBidi"/>
          <w:color w:val="auto"/>
          <w:sz w:val="19"/>
          <w:szCs w:val="19"/>
        </w:rPr>
      </w:pPr>
      <w:r w:rsidRPr="00805105">
        <w:rPr>
          <w:rFonts w:asciiTheme="minorHAnsi" w:eastAsiaTheme="minorEastAsia" w:hAnsiTheme="minorHAnsi" w:cstheme="minorBidi"/>
          <w:color w:val="auto"/>
          <w:sz w:val="19"/>
          <w:szCs w:val="19"/>
        </w:rPr>
        <w:t>accommodation</w:t>
      </w:r>
    </w:p>
    <w:p w14:paraId="478F7FFC" w14:textId="77777777" w:rsidR="00FE682B" w:rsidRPr="00805105" w:rsidRDefault="00FE682B" w:rsidP="006F2824">
      <w:pPr>
        <w:pStyle w:val="Heading1"/>
        <w:numPr>
          <w:ilvl w:val="0"/>
          <w:numId w:val="14"/>
        </w:numPr>
        <w:spacing w:before="160"/>
        <w:ind w:left="714" w:hanging="357"/>
        <w:rPr>
          <w:rFonts w:asciiTheme="minorHAnsi" w:eastAsiaTheme="minorEastAsia" w:hAnsiTheme="minorHAnsi" w:cstheme="minorBidi"/>
          <w:color w:val="auto"/>
          <w:sz w:val="19"/>
          <w:szCs w:val="19"/>
        </w:rPr>
      </w:pPr>
      <w:r w:rsidRPr="00805105">
        <w:rPr>
          <w:rFonts w:asciiTheme="minorHAnsi" w:eastAsiaTheme="minorEastAsia" w:hAnsiTheme="minorHAnsi" w:cstheme="minorBidi"/>
          <w:color w:val="auto"/>
          <w:sz w:val="19"/>
          <w:szCs w:val="19"/>
        </w:rPr>
        <w:t>training costs (including out of pocket expenses)</w:t>
      </w:r>
    </w:p>
    <w:p w14:paraId="672DB691" w14:textId="77777777" w:rsidR="00FE682B" w:rsidRPr="00805105" w:rsidRDefault="00FE682B" w:rsidP="006F2824">
      <w:pPr>
        <w:pStyle w:val="Heading1"/>
        <w:numPr>
          <w:ilvl w:val="0"/>
          <w:numId w:val="14"/>
        </w:numPr>
        <w:spacing w:before="160"/>
        <w:ind w:left="714" w:hanging="357"/>
        <w:rPr>
          <w:rFonts w:asciiTheme="minorHAnsi" w:eastAsiaTheme="minorEastAsia" w:hAnsiTheme="minorHAnsi" w:cstheme="minorBidi"/>
          <w:color w:val="auto"/>
          <w:sz w:val="19"/>
          <w:szCs w:val="19"/>
        </w:rPr>
      </w:pPr>
      <w:r w:rsidRPr="00805105">
        <w:rPr>
          <w:rFonts w:asciiTheme="minorHAnsi" w:eastAsiaTheme="minorEastAsia" w:hAnsiTheme="minorHAnsi" w:cstheme="minorBidi"/>
          <w:color w:val="auto"/>
          <w:sz w:val="19"/>
          <w:szCs w:val="19"/>
        </w:rPr>
        <w:t>printing expenses</w:t>
      </w:r>
    </w:p>
    <w:p w14:paraId="5FC1D894" w14:textId="77777777" w:rsidR="00FE682B" w:rsidRPr="00805105" w:rsidRDefault="00FE682B" w:rsidP="006F2824">
      <w:pPr>
        <w:pStyle w:val="Heading1"/>
        <w:numPr>
          <w:ilvl w:val="0"/>
          <w:numId w:val="14"/>
        </w:numPr>
        <w:spacing w:before="160"/>
        <w:ind w:left="714" w:hanging="357"/>
        <w:rPr>
          <w:rFonts w:asciiTheme="minorHAnsi" w:eastAsiaTheme="minorEastAsia" w:hAnsiTheme="minorHAnsi" w:cstheme="minorBidi"/>
          <w:color w:val="auto"/>
          <w:sz w:val="19"/>
          <w:szCs w:val="19"/>
        </w:rPr>
      </w:pPr>
      <w:r w:rsidRPr="00805105">
        <w:rPr>
          <w:rFonts w:asciiTheme="minorHAnsi" w:eastAsiaTheme="minorEastAsia" w:hAnsiTheme="minorHAnsi" w:cstheme="minorBidi"/>
          <w:color w:val="auto"/>
          <w:sz w:val="19"/>
          <w:szCs w:val="19"/>
        </w:rPr>
        <w:t>incidental costs.</w:t>
      </w:r>
    </w:p>
    <w:p w14:paraId="157A0031" w14:textId="5D31F492" w:rsidR="00805105" w:rsidRPr="006F2824" w:rsidRDefault="00FE682B" w:rsidP="52A571F8">
      <w:pPr>
        <w:spacing w:before="174"/>
      </w:pPr>
      <w:r w:rsidRPr="52A571F8">
        <w:rPr>
          <w:sz w:val="19"/>
          <w:szCs w:val="19"/>
        </w:rPr>
        <w:t>It is recommended that a discussion about eligible out of pocket expenses is had with consumers prior to starting the agreed task or role. For example, this might include a discussion about the extent of at home printing that may be required or whether hardcopy documents will be mailed to the consumer prior to meetings.</w:t>
      </w:r>
      <w:r w:rsidR="00805105" w:rsidRPr="52A571F8">
        <w:rPr>
          <w:sz w:val="19"/>
          <w:szCs w:val="19"/>
        </w:rPr>
        <w:t xml:space="preserve"> </w:t>
      </w:r>
      <w:bookmarkEnd w:id="1"/>
      <w:r>
        <w:br/>
      </w:r>
    </w:p>
    <w:p w14:paraId="66152BDB" w14:textId="6A408E3A" w:rsidR="00805105" w:rsidRPr="006F2824" w:rsidRDefault="00FE682B" w:rsidP="4C12BD81">
      <w:pPr>
        <w:pStyle w:val="BodyText"/>
        <w:spacing w:before="174"/>
        <w:ind w:left="0"/>
      </w:pPr>
      <w:r>
        <w:br/>
      </w:r>
    </w:p>
    <w:sectPr w:rsidR="00805105" w:rsidRPr="006F2824" w:rsidSect="00864E7E">
      <w:headerReference w:type="even" r:id="rId19"/>
      <w:headerReference w:type="default" r:id="rId20"/>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768E" w14:textId="77777777" w:rsidR="005F38A2" w:rsidRDefault="005F38A2" w:rsidP="002D711A">
      <w:pPr>
        <w:spacing w:after="0" w:line="240" w:lineRule="auto"/>
      </w:pPr>
      <w:r>
        <w:separator/>
      </w:r>
    </w:p>
  </w:endnote>
  <w:endnote w:type="continuationSeparator" w:id="0">
    <w:p w14:paraId="35A113E6" w14:textId="77777777" w:rsidR="005F38A2" w:rsidRDefault="005F38A2"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1E95" w14:textId="77777777" w:rsidR="00385D03" w:rsidRDefault="00385D03">
    <w:pPr>
      <w:pStyle w:val="Footer"/>
    </w:pPr>
    <w:r>
      <mc:AlternateContent>
        <mc:Choice Requires="wps">
          <w:drawing>
            <wp:anchor distT="0" distB="0" distL="114300" distR="114300" simplePos="0" relativeHeight="251656192" behindDoc="0" locked="0" layoutInCell="0" allowOverlap="1" wp14:anchorId="4D77D350" wp14:editId="08F27D61">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538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77D350"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7986538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0A40" w14:textId="0EB4FBD2" w:rsidR="00385D03" w:rsidRPr="006B337A" w:rsidRDefault="00477FED" w:rsidP="00C15DBE">
    <w:pPr>
      <w:pStyle w:val="SCVfooter"/>
      <w:jc w:val="right"/>
    </w:pPr>
    <w:r>
      <mc:AlternateContent>
        <mc:Choice Requires="wps">
          <w:drawing>
            <wp:anchor distT="0" distB="0" distL="114300" distR="114300" simplePos="0" relativeHeight="251660288" behindDoc="0" locked="0" layoutInCell="0" allowOverlap="1" wp14:anchorId="15B668B2" wp14:editId="54153916">
              <wp:simplePos x="0" y="0"/>
              <wp:positionH relativeFrom="page">
                <wp:posOffset>0</wp:posOffset>
              </wp:positionH>
              <wp:positionV relativeFrom="page">
                <wp:posOffset>10189210</wp:posOffset>
              </wp:positionV>
              <wp:extent cx="7560310" cy="311785"/>
              <wp:effectExtent l="0" t="0" r="0" b="12065"/>
              <wp:wrapNone/>
              <wp:docPr id="1" name="MSIPCMaf07411d929aa7404ba9839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238AC" w14:textId="28011691" w:rsidR="00477FED" w:rsidRPr="00477FED" w:rsidRDefault="00477FED" w:rsidP="00477FED">
                          <w:pPr>
                            <w:spacing w:before="0" w:after="0"/>
                            <w:jc w:val="center"/>
                            <w:rPr>
                              <w:rFonts w:ascii="Arial Black" w:hAnsi="Arial Black"/>
                              <w:color w:val="000000"/>
                            </w:rPr>
                          </w:pPr>
                          <w:r w:rsidRPr="00477F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B668B2" id="_x0000_t202" coordsize="21600,21600" o:spt="202" path="m,l,21600r21600,l21600,xe">
              <v:stroke joinstyle="miter"/>
              <v:path gradientshapeok="t" o:connecttype="rect"/>
            </v:shapetype>
            <v:shape id="MSIPCMaf07411d929aa7404ba9839d"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B7238AC" w14:textId="28011691" w:rsidR="00477FED" w:rsidRPr="00477FED" w:rsidRDefault="00477FED" w:rsidP="00477FED">
                    <w:pPr>
                      <w:spacing w:before="0" w:after="0"/>
                      <w:jc w:val="center"/>
                      <w:rPr>
                        <w:rFonts w:ascii="Arial Black" w:hAnsi="Arial Black"/>
                        <w:color w:val="000000"/>
                      </w:rPr>
                    </w:pPr>
                    <w:r w:rsidRPr="00477FED">
                      <w:rPr>
                        <w:rFonts w:ascii="Arial Black" w:hAnsi="Arial Black"/>
                        <w:color w:val="000000"/>
                      </w:rPr>
                      <w:t>OFFICIAL</w:t>
                    </w:r>
                  </w:p>
                </w:txbxContent>
              </v:textbox>
              <w10:wrap anchorx="page" anchory="page"/>
            </v:shape>
          </w:pict>
        </mc:Fallback>
      </mc:AlternateContent>
    </w:r>
    <w:fldSimple w:instr="STYLEREF  &quot;SCV factsheet title&quot;  \* MERGEFORMAT">
      <w:r w:rsidR="00511CC8">
        <w:t>A guide to consumer remuneration</w:t>
      </w:r>
    </w:fldSimple>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39B5" w14:textId="77777777" w:rsidR="00511CC8" w:rsidRDefault="00511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3DB0" w14:textId="77777777" w:rsidR="005F38A2" w:rsidRDefault="005F38A2" w:rsidP="00E33E08">
      <w:pPr>
        <w:spacing w:before="0" w:after="0" w:line="240" w:lineRule="auto"/>
      </w:pPr>
    </w:p>
  </w:footnote>
  <w:footnote w:type="continuationSeparator" w:id="0">
    <w:p w14:paraId="04731ABC" w14:textId="77777777" w:rsidR="005F38A2" w:rsidRDefault="005F38A2"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6804" w14:textId="77777777" w:rsidR="00511CC8" w:rsidRDefault="00511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DBF8" w14:textId="5CDF9ADD" w:rsidR="00385D03" w:rsidRDefault="00385D03">
    <w:pPr>
      <w:pStyle w:val="Header"/>
    </w:pPr>
    <w:r>
      <w:rPr>
        <w:noProof/>
      </w:rPr>
      <w:drawing>
        <wp:anchor distT="0" distB="0" distL="114300" distR="114300" simplePos="0" relativeHeight="251658240" behindDoc="1" locked="1" layoutInCell="1" allowOverlap="1" wp14:anchorId="6209534A" wp14:editId="1ACD3505">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FF78" w14:textId="77777777" w:rsidR="00511CC8" w:rsidRDefault="00511C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27EC" w14:textId="7777777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17FE"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EB4"/>
    <w:multiLevelType w:val="hybridMultilevel"/>
    <w:tmpl w:val="6592018C"/>
    <w:lvl w:ilvl="0" w:tplc="BA664E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F9F4C1A"/>
    <w:multiLevelType w:val="hybridMultilevel"/>
    <w:tmpl w:val="147E6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5" w15:restartNumberingAfterBreak="0">
    <w:nsid w:val="45E52FAE"/>
    <w:multiLevelType w:val="hybridMultilevel"/>
    <w:tmpl w:val="E4BEC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8"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172684E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0"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4"/>
  </w:num>
  <w:num w:numId="9">
    <w:abstractNumId w:val="1"/>
  </w:num>
  <w:num w:numId="10">
    <w:abstractNumId w:val="9"/>
  </w:num>
  <w:num w:numId="11">
    <w:abstractNumId w:val="7"/>
  </w:num>
  <w:num w:numId="12">
    <w:abstractNumId w:val="6"/>
  </w:num>
  <w:num w:numId="1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05"/>
    <w:rsid w:val="00012F6F"/>
    <w:rsid w:val="00014213"/>
    <w:rsid w:val="00014B55"/>
    <w:rsid w:val="00020E3E"/>
    <w:rsid w:val="0002328B"/>
    <w:rsid w:val="00023BF3"/>
    <w:rsid w:val="00026811"/>
    <w:rsid w:val="0004185E"/>
    <w:rsid w:val="0004698F"/>
    <w:rsid w:val="000477DC"/>
    <w:rsid w:val="00047E65"/>
    <w:rsid w:val="00056988"/>
    <w:rsid w:val="00072279"/>
    <w:rsid w:val="00075895"/>
    <w:rsid w:val="00075E6C"/>
    <w:rsid w:val="00081C12"/>
    <w:rsid w:val="00087D42"/>
    <w:rsid w:val="000A2620"/>
    <w:rsid w:val="000B29AD"/>
    <w:rsid w:val="000C6372"/>
    <w:rsid w:val="000D1042"/>
    <w:rsid w:val="000D7841"/>
    <w:rsid w:val="000E392D"/>
    <w:rsid w:val="000E39B6"/>
    <w:rsid w:val="000E3D05"/>
    <w:rsid w:val="000F4288"/>
    <w:rsid w:val="000F7165"/>
    <w:rsid w:val="00100361"/>
    <w:rsid w:val="00102379"/>
    <w:rsid w:val="00103722"/>
    <w:rsid w:val="00105EB8"/>
    <w:rsid w:val="001065D6"/>
    <w:rsid w:val="001068D5"/>
    <w:rsid w:val="00116790"/>
    <w:rsid w:val="00121252"/>
    <w:rsid w:val="00124609"/>
    <w:rsid w:val="001254CE"/>
    <w:rsid w:val="001422CC"/>
    <w:rsid w:val="00142CC3"/>
    <w:rsid w:val="00145346"/>
    <w:rsid w:val="00150333"/>
    <w:rsid w:val="001617B6"/>
    <w:rsid w:val="00165E66"/>
    <w:rsid w:val="00174F38"/>
    <w:rsid w:val="001849FD"/>
    <w:rsid w:val="0019351B"/>
    <w:rsid w:val="00194B79"/>
    <w:rsid w:val="00196143"/>
    <w:rsid w:val="001A24FC"/>
    <w:rsid w:val="001C7BAE"/>
    <w:rsid w:val="001E31FA"/>
    <w:rsid w:val="001E48F9"/>
    <w:rsid w:val="001E64F6"/>
    <w:rsid w:val="001E7AEB"/>
    <w:rsid w:val="00204B82"/>
    <w:rsid w:val="00205C68"/>
    <w:rsid w:val="002070F6"/>
    <w:rsid w:val="00222BEB"/>
    <w:rsid w:val="00223217"/>
    <w:rsid w:val="00225E60"/>
    <w:rsid w:val="00230BBB"/>
    <w:rsid w:val="0023202C"/>
    <w:rsid w:val="00234253"/>
    <w:rsid w:val="00234619"/>
    <w:rsid w:val="00245043"/>
    <w:rsid w:val="0025578B"/>
    <w:rsid w:val="00255D9F"/>
    <w:rsid w:val="002570BD"/>
    <w:rsid w:val="0026028E"/>
    <w:rsid w:val="00267D39"/>
    <w:rsid w:val="00272EC4"/>
    <w:rsid w:val="00276717"/>
    <w:rsid w:val="00282118"/>
    <w:rsid w:val="00284FA2"/>
    <w:rsid w:val="00286657"/>
    <w:rsid w:val="00292D36"/>
    <w:rsid w:val="00294A5A"/>
    <w:rsid w:val="00297281"/>
    <w:rsid w:val="00297A47"/>
    <w:rsid w:val="002A4AD5"/>
    <w:rsid w:val="002A4D9F"/>
    <w:rsid w:val="002A5891"/>
    <w:rsid w:val="002A746F"/>
    <w:rsid w:val="002B03F1"/>
    <w:rsid w:val="002B5E2B"/>
    <w:rsid w:val="002B6DAA"/>
    <w:rsid w:val="002C462C"/>
    <w:rsid w:val="002D6F3C"/>
    <w:rsid w:val="002D70F7"/>
    <w:rsid w:val="002D711A"/>
    <w:rsid w:val="002D7336"/>
    <w:rsid w:val="002E3396"/>
    <w:rsid w:val="002F2953"/>
    <w:rsid w:val="002F4173"/>
    <w:rsid w:val="00303E66"/>
    <w:rsid w:val="0031149C"/>
    <w:rsid w:val="00315B8F"/>
    <w:rsid w:val="00316FC9"/>
    <w:rsid w:val="00320FB0"/>
    <w:rsid w:val="00325E21"/>
    <w:rsid w:val="0033290F"/>
    <w:rsid w:val="0033301B"/>
    <w:rsid w:val="00333447"/>
    <w:rsid w:val="00345B45"/>
    <w:rsid w:val="00345F0B"/>
    <w:rsid w:val="00350441"/>
    <w:rsid w:val="00354D98"/>
    <w:rsid w:val="0036778F"/>
    <w:rsid w:val="00383E37"/>
    <w:rsid w:val="00385D03"/>
    <w:rsid w:val="0038771C"/>
    <w:rsid w:val="003A430B"/>
    <w:rsid w:val="003A541A"/>
    <w:rsid w:val="003A6923"/>
    <w:rsid w:val="003C2062"/>
    <w:rsid w:val="003C2C67"/>
    <w:rsid w:val="003C2D4C"/>
    <w:rsid w:val="003C3B3A"/>
    <w:rsid w:val="003C5BA4"/>
    <w:rsid w:val="003C76BD"/>
    <w:rsid w:val="003E3E26"/>
    <w:rsid w:val="003F1295"/>
    <w:rsid w:val="003F5102"/>
    <w:rsid w:val="003F76FC"/>
    <w:rsid w:val="004002EB"/>
    <w:rsid w:val="00407A79"/>
    <w:rsid w:val="004108A6"/>
    <w:rsid w:val="00416901"/>
    <w:rsid w:val="00422DDC"/>
    <w:rsid w:val="004231B5"/>
    <w:rsid w:val="004236C8"/>
    <w:rsid w:val="00425322"/>
    <w:rsid w:val="00427681"/>
    <w:rsid w:val="00433DB7"/>
    <w:rsid w:val="0043696B"/>
    <w:rsid w:val="00453750"/>
    <w:rsid w:val="00456941"/>
    <w:rsid w:val="00463C5A"/>
    <w:rsid w:val="004702EA"/>
    <w:rsid w:val="004777DB"/>
    <w:rsid w:val="00477FED"/>
    <w:rsid w:val="0048259C"/>
    <w:rsid w:val="00482D02"/>
    <w:rsid w:val="00484326"/>
    <w:rsid w:val="00490369"/>
    <w:rsid w:val="00497EB0"/>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CC8"/>
    <w:rsid w:val="00511E12"/>
    <w:rsid w:val="00513E86"/>
    <w:rsid w:val="00515958"/>
    <w:rsid w:val="00521CA5"/>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3A04"/>
    <w:rsid w:val="005953EA"/>
    <w:rsid w:val="005A3416"/>
    <w:rsid w:val="005B27FE"/>
    <w:rsid w:val="005B76DF"/>
    <w:rsid w:val="005B79CB"/>
    <w:rsid w:val="005C04F0"/>
    <w:rsid w:val="005C12A8"/>
    <w:rsid w:val="005D64A1"/>
    <w:rsid w:val="005E08D7"/>
    <w:rsid w:val="005E4C16"/>
    <w:rsid w:val="005E57E1"/>
    <w:rsid w:val="005E5947"/>
    <w:rsid w:val="005F38A2"/>
    <w:rsid w:val="005F61DF"/>
    <w:rsid w:val="0060163A"/>
    <w:rsid w:val="006023F9"/>
    <w:rsid w:val="00610559"/>
    <w:rsid w:val="00614076"/>
    <w:rsid w:val="00616087"/>
    <w:rsid w:val="00617BB5"/>
    <w:rsid w:val="006208C4"/>
    <w:rsid w:val="00632F2E"/>
    <w:rsid w:val="006332F6"/>
    <w:rsid w:val="00633C69"/>
    <w:rsid w:val="006413F2"/>
    <w:rsid w:val="00645E9B"/>
    <w:rsid w:val="006534B2"/>
    <w:rsid w:val="0065615D"/>
    <w:rsid w:val="00657011"/>
    <w:rsid w:val="006650B5"/>
    <w:rsid w:val="006651B1"/>
    <w:rsid w:val="00665778"/>
    <w:rsid w:val="00676E5F"/>
    <w:rsid w:val="006945CA"/>
    <w:rsid w:val="006A3309"/>
    <w:rsid w:val="006A3A5A"/>
    <w:rsid w:val="006A5B34"/>
    <w:rsid w:val="006B337A"/>
    <w:rsid w:val="006C77A9"/>
    <w:rsid w:val="006D4720"/>
    <w:rsid w:val="006D5B85"/>
    <w:rsid w:val="006E6CDF"/>
    <w:rsid w:val="006E7C80"/>
    <w:rsid w:val="006F2824"/>
    <w:rsid w:val="006F37F2"/>
    <w:rsid w:val="006F6693"/>
    <w:rsid w:val="00704EAC"/>
    <w:rsid w:val="00707FE8"/>
    <w:rsid w:val="00714AAE"/>
    <w:rsid w:val="00724962"/>
    <w:rsid w:val="00724A0F"/>
    <w:rsid w:val="00726D2F"/>
    <w:rsid w:val="00736732"/>
    <w:rsid w:val="00740019"/>
    <w:rsid w:val="007432F9"/>
    <w:rsid w:val="00746426"/>
    <w:rsid w:val="00747C87"/>
    <w:rsid w:val="00750BF9"/>
    <w:rsid w:val="00750CBE"/>
    <w:rsid w:val="007650D2"/>
    <w:rsid w:val="00766B5A"/>
    <w:rsid w:val="00767B8C"/>
    <w:rsid w:val="00772209"/>
    <w:rsid w:val="007770A5"/>
    <w:rsid w:val="00777ABD"/>
    <w:rsid w:val="007834F2"/>
    <w:rsid w:val="0078432C"/>
    <w:rsid w:val="00791020"/>
    <w:rsid w:val="00796484"/>
    <w:rsid w:val="007A04D2"/>
    <w:rsid w:val="007A5F82"/>
    <w:rsid w:val="007B19B7"/>
    <w:rsid w:val="007B55C7"/>
    <w:rsid w:val="007C5F9E"/>
    <w:rsid w:val="007D5F9E"/>
    <w:rsid w:val="007D6713"/>
    <w:rsid w:val="007E098F"/>
    <w:rsid w:val="007E3BA2"/>
    <w:rsid w:val="007F1A4C"/>
    <w:rsid w:val="007F723F"/>
    <w:rsid w:val="008022C3"/>
    <w:rsid w:val="008041E6"/>
    <w:rsid w:val="00805105"/>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4E7E"/>
    <w:rsid w:val="00865A5B"/>
    <w:rsid w:val="008668A8"/>
    <w:rsid w:val="008719DF"/>
    <w:rsid w:val="00876171"/>
    <w:rsid w:val="008768AD"/>
    <w:rsid w:val="00880AC4"/>
    <w:rsid w:val="00897447"/>
    <w:rsid w:val="008A4900"/>
    <w:rsid w:val="008A55FE"/>
    <w:rsid w:val="008B146D"/>
    <w:rsid w:val="008B42AD"/>
    <w:rsid w:val="008B5666"/>
    <w:rsid w:val="008D0281"/>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3BD9"/>
    <w:rsid w:val="00A1562B"/>
    <w:rsid w:val="00A170F4"/>
    <w:rsid w:val="00A20925"/>
    <w:rsid w:val="00A21408"/>
    <w:rsid w:val="00A21CFD"/>
    <w:rsid w:val="00A23BA4"/>
    <w:rsid w:val="00A25B78"/>
    <w:rsid w:val="00A27B01"/>
    <w:rsid w:val="00A400CC"/>
    <w:rsid w:val="00A40495"/>
    <w:rsid w:val="00A45CB0"/>
    <w:rsid w:val="00A46288"/>
    <w:rsid w:val="00A46BA8"/>
    <w:rsid w:val="00A47634"/>
    <w:rsid w:val="00A612FE"/>
    <w:rsid w:val="00A66F4D"/>
    <w:rsid w:val="00A703B3"/>
    <w:rsid w:val="00A70B49"/>
    <w:rsid w:val="00A740D4"/>
    <w:rsid w:val="00A8084F"/>
    <w:rsid w:val="00A92D94"/>
    <w:rsid w:val="00AA26B8"/>
    <w:rsid w:val="00AA4288"/>
    <w:rsid w:val="00AA4907"/>
    <w:rsid w:val="00AB1B76"/>
    <w:rsid w:val="00AB24E4"/>
    <w:rsid w:val="00AC0B87"/>
    <w:rsid w:val="00AC2624"/>
    <w:rsid w:val="00AC32A8"/>
    <w:rsid w:val="00AD1351"/>
    <w:rsid w:val="00AD4528"/>
    <w:rsid w:val="00AD7E4E"/>
    <w:rsid w:val="00AE271D"/>
    <w:rsid w:val="00AE5E04"/>
    <w:rsid w:val="00AF4D58"/>
    <w:rsid w:val="00AF6666"/>
    <w:rsid w:val="00AF7BC5"/>
    <w:rsid w:val="00B1051C"/>
    <w:rsid w:val="00B116E3"/>
    <w:rsid w:val="00B15592"/>
    <w:rsid w:val="00B16D2B"/>
    <w:rsid w:val="00B23AE9"/>
    <w:rsid w:val="00B37FF8"/>
    <w:rsid w:val="00B41DEC"/>
    <w:rsid w:val="00B515DB"/>
    <w:rsid w:val="00B556E1"/>
    <w:rsid w:val="00B673BB"/>
    <w:rsid w:val="00B73B9C"/>
    <w:rsid w:val="00B81B44"/>
    <w:rsid w:val="00B9053B"/>
    <w:rsid w:val="00B9777C"/>
    <w:rsid w:val="00BA000E"/>
    <w:rsid w:val="00BA0A1E"/>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F4F96"/>
    <w:rsid w:val="00C015B9"/>
    <w:rsid w:val="00C022F9"/>
    <w:rsid w:val="00C032EA"/>
    <w:rsid w:val="00C06EB5"/>
    <w:rsid w:val="00C1145F"/>
    <w:rsid w:val="00C11CD1"/>
    <w:rsid w:val="00C15701"/>
    <w:rsid w:val="00C15DBE"/>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441A"/>
    <w:rsid w:val="00CC6087"/>
    <w:rsid w:val="00CD0307"/>
    <w:rsid w:val="00CD3D1B"/>
    <w:rsid w:val="00CE083F"/>
    <w:rsid w:val="00CF2474"/>
    <w:rsid w:val="00CF6EC4"/>
    <w:rsid w:val="00D02663"/>
    <w:rsid w:val="00D0633E"/>
    <w:rsid w:val="00D12E74"/>
    <w:rsid w:val="00D15955"/>
    <w:rsid w:val="00D208E8"/>
    <w:rsid w:val="00D2312F"/>
    <w:rsid w:val="00D23B04"/>
    <w:rsid w:val="00D269C1"/>
    <w:rsid w:val="00D27944"/>
    <w:rsid w:val="00D361BA"/>
    <w:rsid w:val="00D40D8B"/>
    <w:rsid w:val="00D41B2F"/>
    <w:rsid w:val="00D44953"/>
    <w:rsid w:val="00D542F3"/>
    <w:rsid w:val="00D54513"/>
    <w:rsid w:val="00D54AAE"/>
    <w:rsid w:val="00D5644B"/>
    <w:rsid w:val="00D56E25"/>
    <w:rsid w:val="00D57E89"/>
    <w:rsid w:val="00D60E1A"/>
    <w:rsid w:val="00D6560D"/>
    <w:rsid w:val="00D65D77"/>
    <w:rsid w:val="00D662E0"/>
    <w:rsid w:val="00D67910"/>
    <w:rsid w:val="00D718D7"/>
    <w:rsid w:val="00D814B7"/>
    <w:rsid w:val="00D863EB"/>
    <w:rsid w:val="00D90688"/>
    <w:rsid w:val="00DA3AAD"/>
    <w:rsid w:val="00DB0804"/>
    <w:rsid w:val="00DB312B"/>
    <w:rsid w:val="00DC5654"/>
    <w:rsid w:val="00DC658F"/>
    <w:rsid w:val="00DC674A"/>
    <w:rsid w:val="00DD34D3"/>
    <w:rsid w:val="00DD6383"/>
    <w:rsid w:val="00DD7FAE"/>
    <w:rsid w:val="00DE0E4E"/>
    <w:rsid w:val="00DE60CC"/>
    <w:rsid w:val="00DF52CC"/>
    <w:rsid w:val="00E06416"/>
    <w:rsid w:val="00E22A20"/>
    <w:rsid w:val="00E26B32"/>
    <w:rsid w:val="00E31CD4"/>
    <w:rsid w:val="00E31E60"/>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87E"/>
    <w:rsid w:val="00ED64F1"/>
    <w:rsid w:val="00ED656C"/>
    <w:rsid w:val="00EE33A1"/>
    <w:rsid w:val="00EE7A0D"/>
    <w:rsid w:val="00EF295D"/>
    <w:rsid w:val="00EF4286"/>
    <w:rsid w:val="00F0222C"/>
    <w:rsid w:val="00F024AD"/>
    <w:rsid w:val="00F101A8"/>
    <w:rsid w:val="00F12312"/>
    <w:rsid w:val="00F177C7"/>
    <w:rsid w:val="00F17CE1"/>
    <w:rsid w:val="00F2115C"/>
    <w:rsid w:val="00F22ABA"/>
    <w:rsid w:val="00F349C9"/>
    <w:rsid w:val="00F36B12"/>
    <w:rsid w:val="00F410E1"/>
    <w:rsid w:val="00F47C64"/>
    <w:rsid w:val="00F504CA"/>
    <w:rsid w:val="00F60F9F"/>
    <w:rsid w:val="00F635D9"/>
    <w:rsid w:val="00F64F08"/>
    <w:rsid w:val="00F70055"/>
    <w:rsid w:val="00F71150"/>
    <w:rsid w:val="00F71D46"/>
    <w:rsid w:val="00F734F5"/>
    <w:rsid w:val="00F73B5B"/>
    <w:rsid w:val="00F90EA5"/>
    <w:rsid w:val="00F91F5A"/>
    <w:rsid w:val="00F966B1"/>
    <w:rsid w:val="00F97D48"/>
    <w:rsid w:val="00FA0311"/>
    <w:rsid w:val="00FA1489"/>
    <w:rsid w:val="00FA39E1"/>
    <w:rsid w:val="00FB396D"/>
    <w:rsid w:val="00FD50F0"/>
    <w:rsid w:val="00FD640F"/>
    <w:rsid w:val="00FD6B4C"/>
    <w:rsid w:val="00FD7069"/>
    <w:rsid w:val="00FE0553"/>
    <w:rsid w:val="00FE25D0"/>
    <w:rsid w:val="00FE2DE0"/>
    <w:rsid w:val="00FE682B"/>
    <w:rsid w:val="00FE6CB3"/>
    <w:rsid w:val="00FF411C"/>
    <w:rsid w:val="00FF4E99"/>
    <w:rsid w:val="05CBE7DC"/>
    <w:rsid w:val="0A8C521B"/>
    <w:rsid w:val="18947F3D"/>
    <w:rsid w:val="1DF44A19"/>
    <w:rsid w:val="1E0A1B89"/>
    <w:rsid w:val="1F29CDBB"/>
    <w:rsid w:val="1F589EFF"/>
    <w:rsid w:val="24873B2A"/>
    <w:rsid w:val="3116979C"/>
    <w:rsid w:val="3258DCDA"/>
    <w:rsid w:val="332C1FE3"/>
    <w:rsid w:val="36229437"/>
    <w:rsid w:val="381F1257"/>
    <w:rsid w:val="41510214"/>
    <w:rsid w:val="4469B8FD"/>
    <w:rsid w:val="49EFFE68"/>
    <w:rsid w:val="4C12BD81"/>
    <w:rsid w:val="4E835484"/>
    <w:rsid w:val="4FD9A4B7"/>
    <w:rsid w:val="52A571F8"/>
    <w:rsid w:val="5555AF53"/>
    <w:rsid w:val="61BCC024"/>
    <w:rsid w:val="62A622A2"/>
    <w:rsid w:val="67BCBDDB"/>
    <w:rsid w:val="6842D0A4"/>
    <w:rsid w:val="6E2534E6"/>
    <w:rsid w:val="76E52D4D"/>
    <w:rsid w:val="7FEF6A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D17041"/>
  <w15:docId w15:val="{6A0FCD21-DDCF-41A7-A036-BB1D4E51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BA0A1E"/>
    <w:pPr>
      <w:spacing w:line="280" w:lineRule="auto"/>
    </w:pPr>
  </w:style>
  <w:style w:type="paragraph" w:styleId="Heading1">
    <w:name w:val="heading 1"/>
    <w:basedOn w:val="Normal"/>
    <w:next w:val="SCVbody"/>
    <w:link w:val="Heading1Char"/>
    <w:qFormat/>
    <w:rsid w:val="007C5F9E"/>
    <w:pPr>
      <w:keepNext/>
      <w:keepLines/>
      <w:suppressAutoHyphens/>
      <w:spacing w:before="320" w:line="240" w:lineRule="auto"/>
      <w:outlineLvl w:val="0"/>
    </w:pPr>
    <w:rPr>
      <w:rFonts w:asciiTheme="majorHAnsi" w:eastAsiaTheme="majorEastAsia" w:hAnsiTheme="majorHAnsi" w:cstheme="majorBidi"/>
      <w:color w:val="007586" w:themeColor="text2"/>
      <w:sz w:val="32"/>
      <w:szCs w:val="44"/>
    </w:rPr>
  </w:style>
  <w:style w:type="paragraph" w:styleId="Heading2">
    <w:name w:val="heading 2"/>
    <w:basedOn w:val="Normal"/>
    <w:next w:val="SCVbody"/>
    <w:link w:val="Heading2Char"/>
    <w:qFormat/>
    <w:rsid w:val="00BA0A1E"/>
    <w:pPr>
      <w:keepNext/>
      <w:keepLines/>
      <w:spacing w:before="280" w:after="80" w:line="240" w:lineRule="auto"/>
      <w:outlineLvl w:val="1"/>
    </w:pPr>
    <w:rPr>
      <w:rFonts w:asciiTheme="majorHAnsi" w:eastAsiaTheme="majorEastAsia" w:hAnsiTheme="majorHAnsi" w:cstheme="majorBidi"/>
      <w:sz w:val="24"/>
      <w:szCs w:val="24"/>
    </w:rPr>
  </w:style>
  <w:style w:type="paragraph" w:styleId="Heading3">
    <w:name w:val="heading 3"/>
    <w:basedOn w:val="Normal"/>
    <w:next w:val="SCVbody"/>
    <w:link w:val="Heading3Char"/>
    <w:qFormat/>
    <w:rsid w:val="00BA0A1E"/>
    <w:pPr>
      <w:keepNext/>
      <w:keepLines/>
      <w:spacing w:before="240" w:after="80" w:line="240" w:lineRule="auto"/>
      <w:outlineLvl w:val="2"/>
    </w:pPr>
    <w:rPr>
      <w:rFonts w:asciiTheme="majorHAnsi" w:eastAsiaTheme="majorEastAsia" w:hAnsiTheme="majorHAnsi" w:cstheme="majorBidi"/>
      <w:color w:val="007586" w:themeColor="text2"/>
      <w:sz w:val="23"/>
      <w:szCs w:val="23"/>
    </w:rPr>
  </w:style>
  <w:style w:type="paragraph" w:styleId="Heading4">
    <w:name w:val="heading 4"/>
    <w:basedOn w:val="Normal"/>
    <w:next w:val="SCVbody"/>
    <w:link w:val="Heading4Char"/>
    <w:qFormat/>
    <w:rsid w:val="00BA0A1E"/>
    <w:pPr>
      <w:keepNext/>
      <w:keepLines/>
      <w:spacing w:before="320" w:after="70" w:line="240" w:lineRule="auto"/>
      <w:outlineLvl w:val="3"/>
    </w:pPr>
    <w:rPr>
      <w:rFonts w:asciiTheme="majorHAnsi" w:eastAsiaTheme="majorEastAsia" w:hAnsiTheme="majorHAnsi" w:cstheme="majorBidi"/>
      <w:iCs/>
      <w:color w:val="000000" w:themeColor="text1"/>
    </w:rPr>
  </w:style>
  <w:style w:type="paragraph" w:styleId="Heading5">
    <w:name w:val="heading 5"/>
    <w:basedOn w:val="Normal"/>
    <w:next w:val="SCVbody"/>
    <w:link w:val="Heading5Char"/>
    <w:uiPriority w:val="1"/>
    <w:semiHidden/>
    <w:qFormat/>
    <w:rsid w:val="00BA0A1E"/>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BA0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BA0A1E"/>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BA0A1E"/>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BA0A1E"/>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BA0A1E"/>
    <w:pPr>
      <w:keepNext/>
      <w:keepLines/>
      <w:pBdr>
        <w:bottom w:val="single" w:sz="2" w:space="1" w:color="000016"/>
        <w:between w:val="single" w:sz="2" w:space="1" w:color="000000" w:themeColor="text1"/>
      </w:pBdr>
      <w:tabs>
        <w:tab w:val="right" w:pos="10206"/>
      </w:tabs>
      <w:spacing w:before="120" w:after="0" w:line="280" w:lineRule="atLeast"/>
      <w:ind w:right="57"/>
    </w:pPr>
    <w:rPr>
      <w:rFonts w:asciiTheme="majorHAnsi" w:hAnsiTheme="majorHAnsi"/>
      <w:bCs/>
      <w:noProof/>
      <w:lang w:eastAsia="en-US"/>
    </w:rPr>
  </w:style>
  <w:style w:type="paragraph" w:styleId="TOC2">
    <w:name w:val="toc 2"/>
    <w:basedOn w:val="Normal"/>
    <w:next w:val="Normal"/>
    <w:uiPriority w:val="39"/>
    <w:rsid w:val="00BA0A1E"/>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rFonts w:asciiTheme="majorHAnsi" w:hAnsiTheme="majorHAnsi"/>
      <w:bCs/>
      <w:noProof/>
      <w:color w:val="007586" w:themeColor="text2"/>
    </w:rPr>
  </w:style>
  <w:style w:type="paragraph" w:styleId="TOC3">
    <w:name w:val="toc 3"/>
    <w:basedOn w:val="TOC2"/>
    <w:next w:val="Normal"/>
    <w:uiPriority w:val="39"/>
    <w:rsid w:val="00BA0A1E"/>
    <w:pPr>
      <w:spacing w:before="0" w:line="280" w:lineRule="atLeast"/>
    </w:pPr>
    <w:rPr>
      <w:b/>
      <w:bCs w:val="0"/>
      <w:color w:val="000000" w:themeColor="text1"/>
    </w:rPr>
  </w:style>
  <w:style w:type="paragraph" w:styleId="Index1">
    <w:name w:val="index 1"/>
    <w:basedOn w:val="Normal"/>
    <w:next w:val="Normal"/>
    <w:uiPriority w:val="1"/>
    <w:semiHidden/>
    <w:rsid w:val="00BA0A1E"/>
    <w:pPr>
      <w:spacing w:after="60" w:line="240" w:lineRule="auto"/>
    </w:pPr>
    <w:rPr>
      <w:sz w:val="16"/>
    </w:rPr>
  </w:style>
  <w:style w:type="paragraph" w:styleId="Index2">
    <w:name w:val="index 2"/>
    <w:basedOn w:val="Normal"/>
    <w:next w:val="Normal"/>
    <w:uiPriority w:val="1"/>
    <w:semiHidden/>
    <w:rsid w:val="00BA0A1E"/>
    <w:pPr>
      <w:spacing w:after="0" w:line="240" w:lineRule="auto"/>
      <w:ind w:left="216"/>
    </w:pPr>
    <w:rPr>
      <w:sz w:val="16"/>
      <w:szCs w:val="16"/>
    </w:rPr>
  </w:style>
  <w:style w:type="character" w:styleId="Hyperlink">
    <w:name w:val="Hyperlink"/>
    <w:basedOn w:val="DefaultParagraphFont"/>
    <w:uiPriority w:val="99"/>
    <w:rsid w:val="00BA0A1E"/>
    <w:rPr>
      <w:color w:val="004C97"/>
      <w:u w:val="single"/>
    </w:rPr>
  </w:style>
  <w:style w:type="character" w:customStyle="1" w:styleId="Heading1Char">
    <w:name w:val="Heading 1 Char"/>
    <w:basedOn w:val="DefaultParagraphFont"/>
    <w:link w:val="Heading1"/>
    <w:rsid w:val="007C5F9E"/>
    <w:rPr>
      <w:rFonts w:asciiTheme="majorHAnsi" w:eastAsiaTheme="majorEastAsia" w:hAnsiTheme="majorHAnsi" w:cstheme="majorBidi"/>
      <w:color w:val="007586" w:themeColor="text2"/>
      <w:sz w:val="32"/>
      <w:szCs w:val="44"/>
    </w:rPr>
  </w:style>
  <w:style w:type="character" w:customStyle="1" w:styleId="Heading2Char">
    <w:name w:val="Heading 2 Char"/>
    <w:basedOn w:val="DefaultParagraphFont"/>
    <w:link w:val="Heading2"/>
    <w:rsid w:val="00BA0A1E"/>
    <w:rPr>
      <w:rFonts w:asciiTheme="majorHAnsi" w:eastAsiaTheme="majorEastAsia" w:hAnsiTheme="majorHAnsi" w:cstheme="majorBidi"/>
      <w:sz w:val="24"/>
      <w:szCs w:val="24"/>
    </w:rPr>
  </w:style>
  <w:style w:type="paragraph" w:customStyle="1" w:styleId="SCVbullet1">
    <w:name w:val="SCV bullet 1"/>
    <w:basedOn w:val="SCVbody"/>
    <w:uiPriority w:val="9"/>
    <w:qFormat/>
    <w:rsid w:val="00BA0A1E"/>
    <w:pPr>
      <w:numPr>
        <w:numId w:val="6"/>
      </w:numPr>
      <w:spacing w:before="60" w:after="60"/>
    </w:pPr>
  </w:style>
  <w:style w:type="paragraph" w:customStyle="1" w:styleId="SCVbullet2">
    <w:name w:val="SCV bullet 2"/>
    <w:basedOn w:val="SCVbullet1"/>
    <w:uiPriority w:val="9"/>
    <w:qFormat/>
    <w:rsid w:val="00BA0A1E"/>
    <w:pPr>
      <w:numPr>
        <w:ilvl w:val="1"/>
      </w:numPr>
    </w:pPr>
  </w:style>
  <w:style w:type="paragraph" w:styleId="Quote">
    <w:name w:val="Quote"/>
    <w:basedOn w:val="Normal"/>
    <w:next w:val="Normal"/>
    <w:link w:val="QuoteChar"/>
    <w:uiPriority w:val="1"/>
    <w:semiHidden/>
    <w:qFormat/>
    <w:rsid w:val="00BA0A1E"/>
    <w:pPr>
      <w:ind w:left="567" w:right="567"/>
      <w:jc w:val="center"/>
    </w:pPr>
    <w:rPr>
      <w:i/>
      <w:iCs/>
      <w:color w:val="000000" w:themeColor="text1"/>
    </w:rPr>
  </w:style>
  <w:style w:type="paragraph" w:customStyle="1" w:styleId="SCVbody">
    <w:name w:val="SCV body"/>
    <w:basedOn w:val="Normal"/>
    <w:link w:val="SCVbodyChar"/>
    <w:qFormat/>
    <w:rsid w:val="00BA0A1E"/>
    <w:pPr>
      <w:spacing w:line="280" w:lineRule="atLeast"/>
    </w:pPr>
    <w:rPr>
      <w:sz w:val="19"/>
      <w:szCs w:val="19"/>
    </w:rPr>
  </w:style>
  <w:style w:type="paragraph" w:customStyle="1" w:styleId="SCVfigurecaption">
    <w:name w:val="SCV figure caption"/>
    <w:basedOn w:val="SCVtablecaption"/>
    <w:uiPriority w:val="14"/>
    <w:qFormat/>
    <w:rsid w:val="00BA0A1E"/>
    <w:pPr>
      <w:spacing w:before="300"/>
    </w:pPr>
  </w:style>
  <w:style w:type="paragraph" w:customStyle="1" w:styleId="SCVbodyafterheading">
    <w:name w:val="SCV body after heading"/>
    <w:basedOn w:val="SCVbody"/>
    <w:qFormat/>
    <w:rsid w:val="00BA0A1E"/>
    <w:pPr>
      <w:spacing w:before="0"/>
    </w:pPr>
  </w:style>
  <w:style w:type="character" w:customStyle="1" w:styleId="Heading3Char">
    <w:name w:val="Heading 3 Char"/>
    <w:basedOn w:val="DefaultParagraphFont"/>
    <w:link w:val="Heading3"/>
    <w:rsid w:val="00BA0A1E"/>
    <w:rPr>
      <w:rFonts w:asciiTheme="majorHAnsi" w:eastAsiaTheme="majorEastAsia" w:hAnsiTheme="majorHAnsi" w:cstheme="majorBidi"/>
      <w:color w:val="007586" w:themeColor="text2"/>
      <w:sz w:val="23"/>
      <w:szCs w:val="23"/>
    </w:rPr>
  </w:style>
  <w:style w:type="numbering" w:customStyle="1" w:styleId="ZZBullets">
    <w:name w:val="ZZ Bullets"/>
    <w:basedOn w:val="NoList"/>
    <w:uiPriority w:val="99"/>
    <w:rsid w:val="00BA0A1E"/>
    <w:pPr>
      <w:numPr>
        <w:numId w:val="6"/>
      </w:numPr>
    </w:pPr>
  </w:style>
  <w:style w:type="character" w:customStyle="1" w:styleId="Heading4Char">
    <w:name w:val="Heading 4 Char"/>
    <w:basedOn w:val="DefaultParagraphFont"/>
    <w:link w:val="Heading4"/>
    <w:rsid w:val="00BA0A1E"/>
    <w:rPr>
      <w:rFonts w:asciiTheme="majorHAnsi" w:eastAsiaTheme="majorEastAsia" w:hAnsiTheme="majorHAnsi" w:cstheme="majorBidi"/>
      <w:iCs/>
      <w:color w:val="000000" w:themeColor="text1"/>
    </w:rPr>
  </w:style>
  <w:style w:type="paragraph" w:customStyle="1" w:styleId="SCVfactsheettitle">
    <w:name w:val="SCV factsheet title"/>
    <w:uiPriority w:val="29"/>
    <w:rsid w:val="007C5F9E"/>
    <w:pPr>
      <w:keepLines/>
      <w:suppressAutoHyphens/>
      <w:spacing w:before="0" w:line="216" w:lineRule="auto"/>
    </w:pPr>
    <w:rPr>
      <w:rFonts w:asciiTheme="majorHAnsi" w:eastAsia="Times New Roman" w:hAnsiTheme="majorHAnsi" w:cstheme="majorHAnsi"/>
      <w:bCs/>
      <w:color w:val="007586" w:themeColor="text2"/>
      <w:spacing w:val="-2"/>
      <w:sz w:val="44"/>
      <w:szCs w:val="48"/>
    </w:rPr>
  </w:style>
  <w:style w:type="paragraph" w:customStyle="1" w:styleId="SCVtablefigurenote">
    <w:name w:val="SCV table/figure note"/>
    <w:basedOn w:val="Normal"/>
    <w:uiPriority w:val="29"/>
    <w:rsid w:val="00BA0A1E"/>
    <w:pPr>
      <w:spacing w:before="80" w:after="80" w:line="264" w:lineRule="auto"/>
    </w:pPr>
    <w:rPr>
      <w:sz w:val="17"/>
      <w:szCs w:val="17"/>
    </w:rPr>
  </w:style>
  <w:style w:type="paragraph" w:customStyle="1" w:styleId="Spacer">
    <w:name w:val="Spacer"/>
    <w:basedOn w:val="Normal"/>
    <w:uiPriority w:val="1"/>
    <w:semiHidden/>
    <w:qFormat/>
    <w:rsid w:val="00BA0A1E"/>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BA0A1E"/>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BA0A1E"/>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BA0A1E"/>
    <w:pPr>
      <w:spacing w:after="100"/>
      <w:ind w:left="600"/>
    </w:pPr>
  </w:style>
  <w:style w:type="paragraph" w:styleId="Title">
    <w:name w:val="Title"/>
    <w:next w:val="Subtitle"/>
    <w:link w:val="TitleChar"/>
    <w:uiPriority w:val="10"/>
    <w:qFormat/>
    <w:rsid w:val="00BA0A1E"/>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BA0A1E"/>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BA0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BA0A1E"/>
    <w:rPr>
      <w:rFonts w:ascii="Tahoma" w:hAnsi="Tahoma" w:cs="Tahoma"/>
      <w:sz w:val="16"/>
      <w:szCs w:val="16"/>
    </w:rPr>
  </w:style>
  <w:style w:type="character" w:customStyle="1" w:styleId="QuoteChar">
    <w:name w:val="Quote Char"/>
    <w:basedOn w:val="DefaultParagraphFont"/>
    <w:link w:val="Quote"/>
    <w:uiPriority w:val="1"/>
    <w:semiHidden/>
    <w:rsid w:val="00BA0A1E"/>
    <w:rPr>
      <w:i/>
      <w:iCs/>
      <w:color w:val="000000" w:themeColor="text1"/>
    </w:rPr>
  </w:style>
  <w:style w:type="paragraph" w:styleId="IndexHeading">
    <w:name w:val="index heading"/>
    <w:basedOn w:val="Normal"/>
    <w:next w:val="Index1"/>
    <w:uiPriority w:val="1"/>
    <w:semiHidden/>
    <w:rsid w:val="00BA0A1E"/>
    <w:rPr>
      <w:rFonts w:asciiTheme="majorHAnsi" w:eastAsiaTheme="majorEastAsia" w:hAnsiTheme="majorHAnsi" w:cstheme="majorBidi"/>
      <w:b/>
      <w:bCs/>
    </w:rPr>
  </w:style>
  <w:style w:type="paragraph" w:styleId="Header">
    <w:name w:val="header"/>
    <w:basedOn w:val="Normal"/>
    <w:link w:val="HeaderChar"/>
    <w:uiPriority w:val="99"/>
    <w:rsid w:val="00BA0A1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A0A1E"/>
  </w:style>
  <w:style w:type="paragraph" w:styleId="Footer">
    <w:name w:val="footer"/>
    <w:basedOn w:val="Normal"/>
    <w:link w:val="FooterChar"/>
    <w:uiPriority w:val="99"/>
    <w:rsid w:val="00BA0A1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BA0A1E"/>
    <w:rPr>
      <w:noProof/>
      <w:sz w:val="13"/>
      <w:szCs w:val="18"/>
    </w:rPr>
  </w:style>
  <w:style w:type="character" w:styleId="PageNumber">
    <w:name w:val="page number"/>
    <w:uiPriority w:val="1"/>
    <w:semiHidden/>
    <w:rsid w:val="00BA0A1E"/>
    <w:rPr>
      <w:rFonts w:asciiTheme="minorHAnsi" w:hAnsiTheme="minorHAnsi"/>
      <w:b w:val="0"/>
      <w:color w:val="000000" w:themeColor="text1"/>
    </w:rPr>
  </w:style>
  <w:style w:type="paragraph" w:styleId="TOCHeading">
    <w:name w:val="TOC Heading"/>
    <w:basedOn w:val="Heading1"/>
    <w:next w:val="Normal"/>
    <w:uiPriority w:val="99"/>
    <w:semiHidden/>
    <w:rsid w:val="00BA0A1E"/>
    <w:pPr>
      <w:outlineLvl w:val="9"/>
    </w:pPr>
    <w:rPr>
      <w:spacing w:val="2"/>
    </w:rPr>
  </w:style>
  <w:style w:type="paragraph" w:customStyle="1" w:styleId="NormalTight">
    <w:name w:val="Normal Tight"/>
    <w:uiPriority w:val="1"/>
    <w:semiHidden/>
    <w:rsid w:val="00BA0A1E"/>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BA0A1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BA0A1E"/>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BA0A1E"/>
    <w:pPr>
      <w:spacing w:before="5800"/>
      <w:ind w:right="1382"/>
    </w:pPr>
  </w:style>
  <w:style w:type="table" w:styleId="ColorfulGrid">
    <w:name w:val="Colorful Grid"/>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7C5F9E"/>
    <w:pPr>
      <w:keepLines/>
      <w:spacing w:before="0" w:line="240" w:lineRule="auto"/>
    </w:pPr>
    <w:rPr>
      <w:rFonts w:eastAsia="Times New Roman" w:cstheme="majorHAnsi"/>
      <w:color w:val="000000" w:themeColor="text1"/>
      <w:sz w:val="32"/>
      <w:szCs w:val="36"/>
    </w:rPr>
  </w:style>
  <w:style w:type="paragraph" w:customStyle="1" w:styleId="SCVfooterempty">
    <w:name w:val="SCV footer empty"/>
    <w:basedOn w:val="SCVfooter"/>
    <w:uiPriority w:val="98"/>
    <w:rsid w:val="00BA0A1E"/>
    <w:pPr>
      <w:pBdr>
        <w:top w:val="none" w:sz="0" w:space="0" w:color="auto"/>
      </w:pBdr>
    </w:pPr>
    <w:rPr>
      <w:noProof w:val="0"/>
    </w:rPr>
  </w:style>
  <w:style w:type="paragraph" w:styleId="ListParagraph">
    <w:name w:val="List Paragraph"/>
    <w:basedOn w:val="Normal"/>
    <w:uiPriority w:val="34"/>
    <w:semiHidden/>
    <w:qFormat/>
    <w:rsid w:val="00BA0A1E"/>
    <w:pPr>
      <w:ind w:left="720"/>
      <w:contextualSpacing/>
    </w:pPr>
  </w:style>
  <w:style w:type="paragraph" w:styleId="FootnoteText">
    <w:name w:val="footnote text"/>
    <w:basedOn w:val="Normal"/>
    <w:link w:val="FootnoteTextChar"/>
    <w:uiPriority w:val="8"/>
    <w:rsid w:val="00BA0A1E"/>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A0A1E"/>
    <w:rPr>
      <w:sz w:val="17"/>
      <w:szCs w:val="17"/>
    </w:rPr>
  </w:style>
  <w:style w:type="character" w:styleId="FootnoteReference">
    <w:name w:val="footnote reference"/>
    <w:basedOn w:val="DefaultParagraphFont"/>
    <w:uiPriority w:val="8"/>
    <w:rsid w:val="00BA0A1E"/>
    <w:rPr>
      <w:vertAlign w:val="superscript"/>
    </w:rPr>
  </w:style>
  <w:style w:type="table" w:styleId="ColorfulGrid-Accent2">
    <w:name w:val="Colorful Grid Accent 2"/>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BA0A1E"/>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BA0A1E"/>
    <w:pPr>
      <w:keepNext/>
      <w:tabs>
        <w:tab w:val="left" w:pos="1080"/>
      </w:tabs>
      <w:spacing w:before="280" w:after="120" w:line="264" w:lineRule="auto"/>
    </w:pPr>
    <w:rPr>
      <w:rFonts w:asciiTheme="majorHAnsi" w:hAnsiTheme="majorHAnsi"/>
      <w:color w:val="007586" w:themeColor="text2"/>
      <w:spacing w:val="2"/>
      <w:szCs w:val="18"/>
    </w:rPr>
  </w:style>
  <w:style w:type="character" w:styleId="PlaceholderText">
    <w:name w:val="Placeholder Text"/>
    <w:basedOn w:val="DefaultParagraphFont"/>
    <w:uiPriority w:val="1"/>
    <w:semiHidden/>
    <w:rsid w:val="00BA0A1E"/>
    <w:rPr>
      <w:color w:val="808080"/>
    </w:rPr>
  </w:style>
  <w:style w:type="paragraph" w:customStyle="1" w:styleId="SCVfooter">
    <w:name w:val="SCV footer"/>
    <w:basedOn w:val="Footer"/>
    <w:uiPriority w:val="99"/>
    <w:rsid w:val="00BA0A1E"/>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BA0A1E"/>
    <w:pPr>
      <w:spacing w:before="400" w:after="240" w:line="280" w:lineRule="atLeast"/>
    </w:pPr>
    <w:rPr>
      <w:rFonts w:asciiTheme="majorHAnsi" w:hAnsiTheme="majorHAnsi"/>
      <w:bCs/>
      <w:color w:val="007586" w:themeColor="text2"/>
    </w:rPr>
  </w:style>
  <w:style w:type="paragraph" w:styleId="NoSpacing">
    <w:name w:val="No Spacing"/>
    <w:uiPriority w:val="1"/>
    <w:semiHidden/>
    <w:qFormat/>
    <w:rsid w:val="00BA0A1E"/>
    <w:pPr>
      <w:spacing w:before="0" w:after="0" w:line="240" w:lineRule="auto"/>
    </w:pPr>
  </w:style>
  <w:style w:type="table" w:styleId="ColorfulGrid-Accent4">
    <w:name w:val="Colorful Grid Accent 4"/>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BA0A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A0A1E"/>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A0A1E"/>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A0A1E"/>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A0A1E"/>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A0A1E"/>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A0A1E"/>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A0A1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A0A1E"/>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BA0A1E"/>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BA0A1E"/>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BA0A1E"/>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BA0A1E"/>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BA0A1E"/>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BA0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A0A1E"/>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BA0A1E"/>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BA0A1E"/>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BA0A1E"/>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BA0A1E"/>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BA0A1E"/>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BA0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A0A1E"/>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BA0A1E"/>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BA0A1E"/>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BA0A1E"/>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BA0A1E"/>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BA0A1E"/>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BA0A1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A0A1E"/>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BA0A1E"/>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BA0A1E"/>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BA0A1E"/>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BA0A1E"/>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BA0A1E"/>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BA0A1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BA0A1E"/>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BA0A1E"/>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BA0A1E"/>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BA0A1E"/>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BA0A1E"/>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BA0A1E"/>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BA0A1E"/>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BA0A1E"/>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BA0A1E"/>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BA0A1E"/>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BA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A0A1E"/>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BA0A1E"/>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BA0A1E"/>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BA0A1E"/>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BA0A1E"/>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BA0A1E"/>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BA0A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A0A1E"/>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BA0A1E"/>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BA0A1E"/>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BA0A1E"/>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BA0A1E"/>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BA0A1E"/>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A0A1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A0A1E"/>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BA0A1E"/>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BA0A1E"/>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BA0A1E"/>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BA0A1E"/>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BA0A1E"/>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BA0A1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A0A1E"/>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A0A1E"/>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A0A1E"/>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A0A1E"/>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A0A1E"/>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A0A1E"/>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BA0A1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A0A1E"/>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BA0A1E"/>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BA0A1E"/>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BA0A1E"/>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BA0A1E"/>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BA0A1E"/>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A0A1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A0A1E"/>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A0A1E"/>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A0A1E"/>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A0A1E"/>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A0A1E"/>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A0A1E"/>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BA0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A0A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A0A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A0A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A0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BA0A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BA0A1E"/>
    <w:pPr>
      <w:spacing w:after="120"/>
    </w:pPr>
    <w:rPr>
      <w:color w:val="007586" w:themeColor="text2"/>
    </w:rPr>
  </w:style>
  <w:style w:type="paragraph" w:customStyle="1" w:styleId="SCVpulloutheading">
    <w:name w:val="SCV pullout heading"/>
    <w:basedOn w:val="SCVpullouttext"/>
    <w:next w:val="SCVpullouttext"/>
    <w:uiPriority w:val="13"/>
    <w:qFormat/>
    <w:rsid w:val="00BA0A1E"/>
    <w:pPr>
      <w:keepNext/>
      <w:keepLines/>
      <w:spacing w:before="0" w:line="240" w:lineRule="auto"/>
    </w:pPr>
    <w:rPr>
      <w:rFonts w:asciiTheme="majorHAnsi" w:hAnsiTheme="majorHAnsi"/>
      <w:bCs/>
      <w:sz w:val="24"/>
    </w:rPr>
  </w:style>
  <w:style w:type="table" w:customStyle="1" w:styleId="SCVInformationTable">
    <w:name w:val="SCV Information Table"/>
    <w:basedOn w:val="TableNormal"/>
    <w:uiPriority w:val="99"/>
    <w:rsid w:val="00BA0A1E"/>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BA0A1E"/>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A0A1E"/>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BA0A1E"/>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BA0A1E"/>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BA0A1E"/>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BA0A1E"/>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BA0A1E"/>
    <w:pPr>
      <w:spacing w:before="240"/>
    </w:pPr>
    <w:rPr>
      <w:rFonts w:eastAsia="Times New Roman" w:cstheme="minorHAnsi"/>
      <w:lang w:eastAsia="en-US"/>
    </w:rPr>
  </w:style>
  <w:style w:type="paragraph" w:customStyle="1" w:styleId="SCVquote">
    <w:name w:val="SCV quote"/>
    <w:basedOn w:val="SCVbody"/>
    <w:uiPriority w:val="29"/>
    <w:rsid w:val="00BA0A1E"/>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BA0A1E"/>
    <w:pPr>
      <w:numPr>
        <w:numId w:val="7"/>
      </w:numPr>
    </w:pPr>
  </w:style>
  <w:style w:type="paragraph" w:customStyle="1" w:styleId="SCVbulletafternumbers">
    <w:name w:val="SCV bullet after numbers"/>
    <w:basedOn w:val="SCVbody"/>
    <w:uiPriority w:val="24"/>
    <w:rsid w:val="00BA0A1E"/>
    <w:pPr>
      <w:numPr>
        <w:ilvl w:val="1"/>
        <w:numId w:val="7"/>
      </w:numPr>
      <w:spacing w:before="60" w:after="60"/>
    </w:pPr>
  </w:style>
  <w:style w:type="paragraph" w:customStyle="1" w:styleId="SCVquotebullet1">
    <w:name w:val="SCV quote bullet 1"/>
    <w:basedOn w:val="SCVquote"/>
    <w:uiPriority w:val="29"/>
    <w:rsid w:val="00BA0A1E"/>
    <w:pPr>
      <w:numPr>
        <w:numId w:val="10"/>
      </w:numPr>
      <w:spacing w:before="60" w:after="60"/>
    </w:pPr>
  </w:style>
  <w:style w:type="paragraph" w:customStyle="1" w:styleId="SCVquotebullet2">
    <w:name w:val="SCV quote bullet 2"/>
    <w:basedOn w:val="SCVquote"/>
    <w:uiPriority w:val="29"/>
    <w:rsid w:val="00BA0A1E"/>
    <w:pPr>
      <w:numPr>
        <w:ilvl w:val="1"/>
        <w:numId w:val="10"/>
      </w:numPr>
      <w:spacing w:before="60" w:after="60"/>
    </w:pPr>
  </w:style>
  <w:style w:type="paragraph" w:customStyle="1" w:styleId="SCVtablebullet1">
    <w:name w:val="SCV table bullet 1"/>
    <w:basedOn w:val="SCVtablebody"/>
    <w:uiPriority w:val="23"/>
    <w:qFormat/>
    <w:rsid w:val="00BA0A1E"/>
    <w:pPr>
      <w:numPr>
        <w:numId w:val="11"/>
      </w:numPr>
    </w:pPr>
    <w:rPr>
      <w:szCs w:val="18"/>
    </w:rPr>
  </w:style>
  <w:style w:type="paragraph" w:customStyle="1" w:styleId="SCVtablebullet2">
    <w:name w:val="SCV table bullet 2"/>
    <w:basedOn w:val="SCVtablebody"/>
    <w:uiPriority w:val="23"/>
    <w:rsid w:val="00BA0A1E"/>
    <w:pPr>
      <w:numPr>
        <w:ilvl w:val="1"/>
        <w:numId w:val="11"/>
      </w:numPr>
    </w:pPr>
    <w:rPr>
      <w:szCs w:val="18"/>
    </w:rPr>
  </w:style>
  <w:style w:type="character" w:customStyle="1" w:styleId="SCVbodyChar">
    <w:name w:val="SCV body Char"/>
    <w:basedOn w:val="DefaultParagraphFont"/>
    <w:link w:val="SCVbody"/>
    <w:locked/>
    <w:rsid w:val="00BA0A1E"/>
    <w:rPr>
      <w:sz w:val="19"/>
      <w:szCs w:val="19"/>
    </w:rPr>
  </w:style>
  <w:style w:type="numbering" w:customStyle="1" w:styleId="ZZNumbersdigit">
    <w:name w:val="ZZ Numbers digit"/>
    <w:rsid w:val="00BA0A1E"/>
    <w:pPr>
      <w:numPr>
        <w:numId w:val="8"/>
      </w:numPr>
    </w:pPr>
  </w:style>
  <w:style w:type="numbering" w:customStyle="1" w:styleId="ZZTablebullets">
    <w:name w:val="ZZ Table bullets"/>
    <w:rsid w:val="00BA0A1E"/>
    <w:pPr>
      <w:numPr>
        <w:numId w:val="11"/>
      </w:numPr>
    </w:pPr>
  </w:style>
  <w:style w:type="numbering" w:customStyle="1" w:styleId="ZZQuotebullets">
    <w:name w:val="ZZ Quote bullets"/>
    <w:rsid w:val="00BA0A1E"/>
    <w:pPr>
      <w:numPr>
        <w:numId w:val="10"/>
      </w:numPr>
    </w:pPr>
  </w:style>
  <w:style w:type="paragraph" w:customStyle="1" w:styleId="SCVheader">
    <w:name w:val="SCV header"/>
    <w:basedOn w:val="Header"/>
    <w:uiPriority w:val="1"/>
    <w:rsid w:val="00BA0A1E"/>
    <w:pPr>
      <w:pBdr>
        <w:bottom w:val="single" w:sz="24" w:space="1" w:color="CCCCD0"/>
      </w:pBdr>
    </w:pPr>
  </w:style>
  <w:style w:type="paragraph" w:customStyle="1" w:styleId="SCVtablerowhead">
    <w:name w:val="SCV table row head"/>
    <w:basedOn w:val="SCVtablecolhead"/>
    <w:uiPriority w:val="21"/>
    <w:qFormat/>
    <w:rsid w:val="00BA0A1E"/>
    <w:rPr>
      <w:rFonts w:cs="Times New Roman"/>
    </w:rPr>
  </w:style>
  <w:style w:type="paragraph" w:customStyle="1" w:styleId="SCVaccessibilitypara">
    <w:name w:val="SCV accessibility para"/>
    <w:basedOn w:val="SCVbody"/>
    <w:uiPriority w:val="29"/>
    <w:rsid w:val="00BA0A1E"/>
    <w:rPr>
      <w:sz w:val="24"/>
    </w:rPr>
  </w:style>
  <w:style w:type="character" w:styleId="UnresolvedMention">
    <w:name w:val="Unresolved Mention"/>
    <w:basedOn w:val="DefaultParagraphFont"/>
    <w:uiPriority w:val="99"/>
    <w:semiHidden/>
    <w:unhideWhenUsed/>
    <w:rsid w:val="00BA0A1E"/>
    <w:rPr>
      <w:color w:val="605E5C"/>
      <w:shd w:val="clear" w:color="auto" w:fill="E1DFDD"/>
    </w:rPr>
  </w:style>
  <w:style w:type="character" w:styleId="FollowedHyperlink">
    <w:name w:val="FollowedHyperlink"/>
    <w:basedOn w:val="DefaultParagraphFont"/>
    <w:uiPriority w:val="1"/>
    <w:rsid w:val="00BA0A1E"/>
    <w:rPr>
      <w:color w:val="007586" w:themeColor="text2"/>
      <w:u w:val="single"/>
    </w:rPr>
  </w:style>
  <w:style w:type="table" w:customStyle="1" w:styleId="SCVpulloutbox">
    <w:name w:val="SCV pullout box"/>
    <w:basedOn w:val="PlainTable1"/>
    <w:uiPriority w:val="99"/>
    <w:rsid w:val="00BA0A1E"/>
    <w:pPr>
      <w:spacing w:before="0" w:after="120" w:line="280" w:lineRule="atLeast"/>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0A1E"/>
    <w:pPr>
      <w:numPr>
        <w:numId w:val="12"/>
      </w:numPr>
    </w:pPr>
  </w:style>
  <w:style w:type="paragraph" w:customStyle="1" w:styleId="SCVtablenumber1">
    <w:name w:val="SCV table number 1"/>
    <w:basedOn w:val="SCVtablebody"/>
    <w:uiPriority w:val="29"/>
    <w:rsid w:val="00BA0A1E"/>
    <w:pPr>
      <w:numPr>
        <w:numId w:val="12"/>
      </w:numPr>
    </w:pPr>
  </w:style>
  <w:style w:type="paragraph" w:customStyle="1" w:styleId="SCVtablenumber2">
    <w:name w:val="SCV table number 2"/>
    <w:basedOn w:val="SCVtablebody"/>
    <w:uiPriority w:val="29"/>
    <w:rsid w:val="00BA0A1E"/>
    <w:pPr>
      <w:numPr>
        <w:ilvl w:val="1"/>
        <w:numId w:val="12"/>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BA0A1E"/>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BA0A1E"/>
    <w:rPr>
      <w:sz w:val="16"/>
      <w:szCs w:val="16"/>
    </w:rPr>
  </w:style>
  <w:style w:type="paragraph" w:styleId="CommentText">
    <w:name w:val="annotation text"/>
    <w:basedOn w:val="Normal"/>
    <w:link w:val="CommentTextChar"/>
    <w:uiPriority w:val="1"/>
    <w:semiHidden/>
    <w:unhideWhenUsed/>
    <w:rsid w:val="00BA0A1E"/>
    <w:pPr>
      <w:spacing w:line="240" w:lineRule="auto"/>
    </w:pPr>
  </w:style>
  <w:style w:type="character" w:customStyle="1" w:styleId="CommentTextChar">
    <w:name w:val="Comment Text Char"/>
    <w:basedOn w:val="DefaultParagraphFont"/>
    <w:link w:val="CommentText"/>
    <w:uiPriority w:val="1"/>
    <w:semiHidden/>
    <w:rsid w:val="00BA0A1E"/>
  </w:style>
  <w:style w:type="paragraph" w:styleId="CommentSubject">
    <w:name w:val="annotation subject"/>
    <w:basedOn w:val="CommentText"/>
    <w:next w:val="CommentText"/>
    <w:link w:val="CommentSubjectChar"/>
    <w:uiPriority w:val="1"/>
    <w:semiHidden/>
    <w:unhideWhenUsed/>
    <w:rsid w:val="00BA0A1E"/>
    <w:rPr>
      <w:b/>
      <w:bCs/>
    </w:rPr>
  </w:style>
  <w:style w:type="character" w:customStyle="1" w:styleId="CommentSubjectChar">
    <w:name w:val="Comment Subject Char"/>
    <w:basedOn w:val="CommentTextChar"/>
    <w:link w:val="CommentSubject"/>
    <w:uiPriority w:val="1"/>
    <w:semiHidden/>
    <w:rsid w:val="00BA0A1E"/>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A0A1E"/>
    <w:pPr>
      <w:spacing w:before="0" w:after="120"/>
    </w:pPr>
    <w:rPr>
      <w:sz w:val="18"/>
      <w:szCs w:val="18"/>
    </w:rPr>
  </w:style>
  <w:style w:type="paragraph" w:customStyle="1" w:styleId="SCVpulloutbullet">
    <w:name w:val="SCV pullout bullet"/>
    <w:basedOn w:val="SCVpullouttext"/>
    <w:uiPriority w:val="1"/>
    <w:rsid w:val="00BA0A1E"/>
    <w:pPr>
      <w:numPr>
        <w:numId w:val="9"/>
      </w:numPr>
      <w:spacing w:before="0"/>
    </w:pPr>
  </w:style>
  <w:style w:type="numbering" w:customStyle="1" w:styleId="ZZPulloutbullets">
    <w:name w:val="ZZ Pullout bullets"/>
    <w:basedOn w:val="NoList"/>
    <w:uiPriority w:val="99"/>
    <w:rsid w:val="00BA0A1E"/>
    <w:pPr>
      <w:numPr>
        <w:numId w:val="9"/>
      </w:numPr>
    </w:pPr>
  </w:style>
  <w:style w:type="paragraph" w:customStyle="1" w:styleId="SCVdate">
    <w:name w:val="SCV date"/>
    <w:basedOn w:val="SCVbody"/>
    <w:uiPriority w:val="1"/>
    <w:rsid w:val="00BA0A1E"/>
    <w:pPr>
      <w:spacing w:before="0" w:after="0"/>
    </w:pPr>
    <w:rPr>
      <w:b/>
      <w:bCs/>
      <w:sz w:val="28"/>
      <w:szCs w:val="28"/>
    </w:rPr>
  </w:style>
  <w:style w:type="paragraph" w:customStyle="1" w:styleId="SCVborderabovetitle">
    <w:name w:val="SCV border above title"/>
    <w:basedOn w:val="SCVbody"/>
    <w:uiPriority w:val="1"/>
    <w:rsid w:val="00BA0A1E"/>
    <w:pPr>
      <w:pBdr>
        <w:top w:val="single" w:sz="24" w:space="1" w:color="D9D9D9" w:themeColor="background1" w:themeShade="D9"/>
      </w:pBdr>
      <w:spacing w:before="0" w:after="0"/>
    </w:pPr>
    <w:rPr>
      <w:sz w:val="12"/>
    </w:rPr>
  </w:style>
  <w:style w:type="paragraph" w:customStyle="1" w:styleId="SCVfootereven">
    <w:name w:val="SCV footer even"/>
    <w:basedOn w:val="Footer"/>
    <w:uiPriority w:val="99"/>
    <w:rsid w:val="00BA0A1E"/>
    <w:pPr>
      <w:pBdr>
        <w:top w:val="single" w:sz="8" w:space="6" w:color="CCCCD0"/>
      </w:pBdr>
      <w:spacing w:line="240" w:lineRule="auto"/>
    </w:pPr>
    <w:rPr>
      <w:sz w:val="18"/>
    </w:rPr>
  </w:style>
  <w:style w:type="paragraph" w:customStyle="1" w:styleId="SCVfooterodd">
    <w:name w:val="SCV footer odd"/>
    <w:basedOn w:val="SCVfootereven"/>
    <w:uiPriority w:val="99"/>
    <w:rsid w:val="00BA0A1E"/>
    <w:pPr>
      <w:jc w:val="right"/>
    </w:pPr>
  </w:style>
  <w:style w:type="paragraph" w:customStyle="1" w:styleId="SCVheaderempty">
    <w:name w:val="SCV header empty"/>
    <w:basedOn w:val="SCVfooterempty"/>
    <w:uiPriority w:val="1"/>
    <w:rsid w:val="00BA0A1E"/>
  </w:style>
  <w:style w:type="paragraph" w:customStyle="1" w:styleId="SCVTOCheading">
    <w:name w:val="SCV TOC heading"/>
    <w:basedOn w:val="Heading1"/>
    <w:uiPriority w:val="29"/>
    <w:rsid w:val="00BA0A1E"/>
  </w:style>
  <w:style w:type="paragraph" w:customStyle="1" w:styleId="TableParagraph">
    <w:name w:val="Table Paragraph"/>
    <w:basedOn w:val="Normal"/>
    <w:uiPriority w:val="1"/>
    <w:qFormat/>
    <w:rsid w:val="00805105"/>
    <w:pPr>
      <w:widowControl w:val="0"/>
      <w:autoSpaceDE w:val="0"/>
      <w:autoSpaceDN w:val="0"/>
      <w:spacing w:before="0" w:after="0" w:line="240" w:lineRule="auto"/>
      <w:ind w:left="121"/>
    </w:pPr>
    <w:rPr>
      <w:rFonts w:ascii="Microsoft Sans Serif" w:eastAsia="Microsoft Sans Serif" w:hAnsi="Microsoft Sans Serif" w:cs="Microsoft Sans Serif"/>
      <w:sz w:val="22"/>
      <w:szCs w:val="22"/>
      <w:lang w:val="en-US" w:eastAsia="en-US"/>
    </w:rPr>
  </w:style>
  <w:style w:type="paragraph" w:customStyle="1" w:styleId="DPCtabletext">
    <w:name w:val="DPC table text"/>
    <w:uiPriority w:val="3"/>
    <w:qFormat/>
    <w:rsid w:val="00805105"/>
    <w:pPr>
      <w:spacing w:before="60" w:after="40" w:line="240" w:lineRule="auto"/>
    </w:pPr>
    <w:rPr>
      <w:rFonts w:eastAsia="Times New Roman" w:cs="Times New Roman"/>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367676905">
      <w:bodyDiv w:val="1"/>
      <w:marLeft w:val="0"/>
      <w:marRight w:val="0"/>
      <w:marTop w:val="0"/>
      <w:marBottom w:val="0"/>
      <w:divBdr>
        <w:top w:val="none" w:sz="0" w:space="0" w:color="auto"/>
        <w:left w:val="none" w:sz="0" w:space="0" w:color="auto"/>
        <w:bottom w:val="none" w:sz="0" w:space="0" w:color="auto"/>
        <w:right w:val="none" w:sz="0" w:space="0" w:color="auto"/>
      </w:divBdr>
    </w:div>
    <w:div w:id="19951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to.gov.au/Business/Income-and-deductions-for-business/Deductions/Deductions-for-motor-vehicle-expenses/Cents-per-kilometre-metho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ic.gov.au/guidelines-appointment-remunera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2xr\Downloads\SCV%20factsheet%20VIC.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VIC Semibold + VIC">
      <a:majorFont>
        <a:latin typeface="VIC SemiBold"/>
        <a:ea typeface="Arial"/>
        <a:cs typeface="Arial"/>
      </a:majorFont>
      <a:minorFont>
        <a:latin typeface="ViC"/>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231BB740E214DBD5F5CDAD5A53F64" ma:contentTypeVersion="16" ma:contentTypeDescription="Create a new document." ma:contentTypeScope="" ma:versionID="d6c295d8517772821a13e135ed257cbc">
  <xsd:schema xmlns:xsd="http://www.w3.org/2001/XMLSchema" xmlns:xs="http://www.w3.org/2001/XMLSchema" xmlns:p="http://schemas.microsoft.com/office/2006/metadata/properties" xmlns:ns2="437f487d-0f91-486f-ae93-4f2185dbe85f" xmlns:ns3="97887a5f-c278-4b75-b9bf-19a428447426" xmlns:ns4="5ce0f2b5-5be5-4508-bce9-d7011ece0659" targetNamespace="http://schemas.microsoft.com/office/2006/metadata/properties" ma:root="true" ma:fieldsID="fcc0a5e874abb7111ddb5cf05147e085" ns2:_="" ns3:_="" ns4:_="">
    <xsd:import namespace="437f487d-0f91-486f-ae93-4f2185dbe85f"/>
    <xsd:import namespace="97887a5f-c278-4b75-b9bf-19a42844742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f487d-0f91-486f-ae93-4f2185dbe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87a5f-c278-4b75-b9bf-19a4284474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2fbca21-1333-475a-b0fb-ac2ee05c5fd8}" ma:internalName="TaxCatchAll" ma:showField="CatchAllData" ma:web="97887a5f-c278-4b75-b9bf-19a4284474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437f487d-0f91-486f-ae93-4f2185dbe8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A4C5-E803-4E64-ADD3-3A75B4B8E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f487d-0f91-486f-ae93-4f2185dbe85f"/>
    <ds:schemaRef ds:uri="97887a5f-c278-4b75-b9bf-19a42844742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77C65-CF12-4A5C-AAE5-C52D8ADF328D}">
  <ds:schemaRefs>
    <ds:schemaRef ds:uri="437f487d-0f91-486f-ae93-4f2185dbe85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97887a5f-c278-4b75-b9bf-19a428447426"/>
    <ds:schemaRef ds:uri="http://www.w3.org/XML/1998/namespace"/>
    <ds:schemaRef ds:uri="http://purl.org/dc/dcmitype/"/>
  </ds:schemaRefs>
</ds:datastoreItem>
</file>

<file path=customXml/itemProps3.xml><?xml version="1.0" encoding="utf-8"?>
<ds:datastoreItem xmlns:ds="http://schemas.openxmlformats.org/officeDocument/2006/customXml" ds:itemID="{D445302D-852D-4074-9484-65A76F64B69D}">
  <ds:schemaRefs>
    <ds:schemaRef ds:uri="http://schemas.microsoft.com/sharepoint/v3/contenttype/forms"/>
  </ds:schemaRefs>
</ds:datastoreItem>
</file>

<file path=customXml/itemProps4.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factsheet VIC.dotx</Template>
  <TotalTime>1</TotalTime>
  <Pages>2</Pages>
  <Words>532</Words>
  <Characters>3039</Characters>
  <Application>Microsoft Office Word</Application>
  <DocSecurity>4</DocSecurity>
  <Lines>25</Lines>
  <Paragraphs>7</Paragraphs>
  <ScaleCrop>false</ScaleCrop>
  <Manager/>
  <Company>Safer Care Victoria</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Nami Nelson (DHHS)</dc:creator>
  <cp:keywords/>
  <cp:lastModifiedBy>Kate De Clercq (DHHS)</cp:lastModifiedBy>
  <cp:revision>2</cp:revision>
  <cp:lastPrinted>2020-08-13T04:56:00Z</cp:lastPrinted>
  <dcterms:created xsi:type="dcterms:W3CDTF">2022-09-02T05:53:00Z</dcterms:created>
  <dcterms:modified xsi:type="dcterms:W3CDTF">2022-09-02T05:53:00Z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0x010100916231BB740E214DBD5F5CDAD5A53F64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2022-09-02T05:52:44Z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578d26fd-c517-40a9-be07-33effa91efbd</vt:lpwstr>
  </property>
  <property fmtid="{D5CDD505-2E9C-101B-9397-08002B2CF9AE}" pid="11" name="MSIP_Label_43e64453-338c-4f93-8a4d-0039a0a41f2a_ContentBits">
    <vt:lpwstr>2</vt:lpwstr>
  </property>
</Properties>
</file>