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vertAnchor="page" w:horzAnchor="page" w:tblpX="852" w:tblpY="4310"/>
        <w:tblOverlap w:val="never"/>
        <w:tblW w:w="7655" w:type="dxa"/>
        <w:tblBorders>
          <w:insideH w:val="single" w:sz="24" w:space="0" w:color="CCCCD0" w:themeColor="accent6"/>
        </w:tblBorders>
        <w:tblCellMar>
          <w:left w:w="0" w:type="dxa"/>
          <w:right w:w="0" w:type="dxa"/>
        </w:tblCellMar>
        <w:tblLook w:val="0620" w:firstRow="1" w:lastRow="0" w:firstColumn="0" w:lastColumn="0" w:noHBand="1" w:noVBand="1"/>
      </w:tblPr>
      <w:tblGrid>
        <w:gridCol w:w="7655"/>
      </w:tblGrid>
      <w:tr w:rsidR="0050356B" w14:paraId="4B0C5E8E" w14:textId="77777777" w:rsidTr="00F703D8">
        <w:trPr>
          <w:trHeight w:val="57"/>
        </w:trPr>
        <w:tc>
          <w:tcPr>
            <w:tcW w:w="7655" w:type="dxa"/>
            <w:shd w:val="clear" w:color="auto" w:fill="auto"/>
            <w:tcMar>
              <w:top w:w="312" w:type="dxa"/>
            </w:tcMar>
          </w:tcPr>
          <w:p w14:paraId="39CB65C7" w14:textId="7370EEEE" w:rsidR="0050356B" w:rsidRPr="00055F43" w:rsidRDefault="0014135C" w:rsidP="000A1E41">
            <w:pPr>
              <w:pStyle w:val="Heading4"/>
              <w:rPr>
                <w:b/>
              </w:rPr>
            </w:pPr>
            <w:r>
              <w:t>January</w:t>
            </w:r>
            <w:r w:rsidR="00740BC0">
              <w:t xml:space="preserve"> 2019</w:t>
            </w:r>
          </w:p>
        </w:tc>
      </w:tr>
      <w:tr w:rsidR="00A46288" w14:paraId="0FDD911F" w14:textId="77777777" w:rsidTr="00F703D8">
        <w:trPr>
          <w:trHeight w:val="2948"/>
        </w:trPr>
        <w:tc>
          <w:tcPr>
            <w:tcW w:w="7655" w:type="dxa"/>
            <w:shd w:val="clear" w:color="auto" w:fill="auto"/>
            <w:tcMar>
              <w:top w:w="312" w:type="dxa"/>
            </w:tcMar>
          </w:tcPr>
          <w:sdt>
            <w:sdtPr>
              <w:rPr>
                <w:rFonts w:ascii="VIC SemiBold" w:hAnsi="VIC SemiBold"/>
                <w:b w:val="0"/>
              </w:rPr>
              <w:alias w:val="Title"/>
              <w:tag w:val=""/>
              <w:id w:val="-1484688983"/>
              <w:placeholder>
                <w:docPart w:val="C4A13241BB96484DB305B8508F598FE0"/>
              </w:placeholder>
              <w:dataBinding w:prefixMappings="xmlns:ns0='http://purl.org/dc/elements/1.1/' xmlns:ns1='http://schemas.openxmlformats.org/package/2006/metadata/core-properties' " w:xpath="/ns1:coreProperties[1]/ns0:title[1]" w:storeItemID="{6C3C8BC8-F283-45AE-878A-BAB7291924A1}"/>
              <w:text/>
            </w:sdtPr>
            <w:sdtEndPr/>
            <w:sdtContent>
              <w:p w14:paraId="34945091" w14:textId="77777777" w:rsidR="00A46288" w:rsidRPr="00055F43" w:rsidRDefault="00816C6D" w:rsidP="0050356B">
                <w:pPr>
                  <w:pStyle w:val="Title"/>
                  <w:framePr w:hSpace="0" w:wrap="auto" w:vAnchor="margin" w:hAnchor="text" w:xAlign="left" w:yAlign="inline"/>
                  <w:suppressOverlap w:val="0"/>
                  <w:rPr>
                    <w:rFonts w:ascii="VIC SemiBold" w:hAnsi="VIC SemiBold"/>
                    <w:b w:val="0"/>
                  </w:rPr>
                </w:pPr>
                <w:r>
                  <w:rPr>
                    <w:rFonts w:ascii="VIC SemiBold" w:hAnsi="VIC SemiBold"/>
                    <w:b w:val="0"/>
                  </w:rPr>
                  <w:t>Supporting patient safety</w:t>
                </w:r>
              </w:p>
            </w:sdtContent>
          </w:sdt>
          <w:p w14:paraId="38E3A27E" w14:textId="77777777" w:rsidR="00A46288" w:rsidRPr="00055F43" w:rsidRDefault="0060775D" w:rsidP="0050356B">
            <w:pPr>
              <w:pStyle w:val="Subtitle"/>
              <w:framePr w:hSpace="0" w:wrap="auto" w:vAnchor="margin" w:hAnchor="text" w:xAlign="left" w:yAlign="inline"/>
              <w:suppressOverlap w:val="0"/>
              <w:rPr>
                <w:rFonts w:ascii="VIC Medium" w:hAnsi="VIC Medium"/>
              </w:rPr>
            </w:pPr>
            <w:r w:rsidRPr="00055F43">
              <w:rPr>
                <w:rFonts w:ascii="VIC Medium" w:hAnsi="VIC Medium"/>
              </w:rPr>
              <w:t>2017–18</w:t>
            </w:r>
            <w:r w:rsidR="00877D74">
              <w:rPr>
                <w:rFonts w:ascii="VIC Medium" w:hAnsi="VIC Medium"/>
              </w:rPr>
              <w:t xml:space="preserve"> Sentinel events annual report </w:t>
            </w:r>
          </w:p>
        </w:tc>
      </w:tr>
    </w:tbl>
    <w:p w14:paraId="42150177" w14:textId="77777777" w:rsidR="00A46288" w:rsidRDefault="00A46288" w:rsidP="00A46288">
      <w:pPr>
        <w:pStyle w:val="NoSpacing"/>
      </w:pPr>
    </w:p>
    <w:p w14:paraId="06BC5051" w14:textId="77777777" w:rsidR="00A46288" w:rsidRDefault="00A46288" w:rsidP="0060775D"/>
    <w:p w14:paraId="3AE61CB4" w14:textId="069E6CB0" w:rsidR="00250105" w:rsidRDefault="00250105" w:rsidP="0060775D">
      <w:pPr>
        <w:sectPr w:rsidR="00250105" w:rsidSect="00257461">
          <w:headerReference w:type="default" r:id="rId8"/>
          <w:footerReference w:type="even" r:id="rId9"/>
          <w:footerReference w:type="default" r:id="rId10"/>
          <w:headerReference w:type="first" r:id="rId11"/>
          <w:pgSz w:w="11906" w:h="16838" w:code="9"/>
          <w:pgMar w:top="3402" w:right="851" w:bottom="1361" w:left="851" w:header="539" w:footer="624" w:gutter="0"/>
          <w:pgNumType w:start="1"/>
          <w:cols w:space="284"/>
          <w:titlePg/>
          <w:docGrid w:linePitch="360"/>
        </w:sectPr>
      </w:pPr>
    </w:p>
    <w:tbl>
      <w:tblPr>
        <w:tblStyle w:val="SCVInformationTable"/>
        <w:tblpPr w:leftFromText="181" w:rightFromText="181" w:horzAnchor="page" w:tblpX="852" w:tblpYSpec="bottom"/>
        <w:tblW w:w="10216" w:type="dxa"/>
        <w:tblLook w:val="0600" w:firstRow="0" w:lastRow="0" w:firstColumn="0" w:lastColumn="0" w:noHBand="1" w:noVBand="1"/>
      </w:tblPr>
      <w:tblGrid>
        <w:gridCol w:w="4678"/>
        <w:gridCol w:w="3054"/>
        <w:gridCol w:w="2484"/>
      </w:tblGrid>
      <w:tr w:rsidR="008116D8" w:rsidRPr="00736C0C" w14:paraId="2F20ADD0" w14:textId="77777777" w:rsidTr="00FF7F68">
        <w:trPr>
          <w:trHeight w:val="2041"/>
        </w:trPr>
        <w:tc>
          <w:tcPr>
            <w:tcW w:w="4678" w:type="dxa"/>
            <w:tcMar>
              <w:left w:w="113" w:type="dxa"/>
            </w:tcMar>
          </w:tcPr>
          <w:p w14:paraId="28E80381" w14:textId="77777777" w:rsidR="008116D8" w:rsidRPr="008116D8" w:rsidRDefault="008116D8" w:rsidP="0060775D">
            <w:r w:rsidRPr="00FF7F68">
              <w:rPr>
                <w:sz w:val="24"/>
              </w:rPr>
              <w:lastRenderedPageBreak/>
              <w:t xml:space="preserve">To receive this publication in an accessible format phone </w:t>
            </w:r>
            <w:r w:rsidRPr="00FF7F68">
              <w:rPr>
                <w:sz w:val="24"/>
              </w:rPr>
              <w:br/>
              <w:t xml:space="preserve">03 9096 1384, using the National Relay Service 13 36 </w:t>
            </w:r>
            <w:r w:rsidRPr="00FF7F68">
              <w:rPr>
                <w:spacing w:val="-2"/>
                <w:sz w:val="24"/>
              </w:rPr>
              <w:t xml:space="preserve">77 if required, or email </w:t>
            </w:r>
            <w:hyperlink r:id="rId12" w:history="1">
              <w:r w:rsidR="00FF7F68" w:rsidRPr="00FF7F68">
                <w:rPr>
                  <w:color w:val="4D92C0"/>
                  <w:spacing w:val="-4"/>
                  <w:sz w:val="24"/>
                  <w:szCs w:val="24"/>
                </w:rPr>
                <w:t>info@safercare.vic</w:t>
              </w:r>
            </w:hyperlink>
            <w:r w:rsidRPr="00FF7F68">
              <w:rPr>
                <w:color w:val="4D92C0"/>
                <w:spacing w:val="-4"/>
                <w:sz w:val="24"/>
                <w:szCs w:val="24"/>
              </w:rPr>
              <w:t>.</w:t>
            </w:r>
            <w:r w:rsidRPr="00FF7F68">
              <w:rPr>
                <w:color w:val="4D92C0"/>
                <w:spacing w:val="-4"/>
                <w:sz w:val="24"/>
              </w:rPr>
              <w:t>gov.au</w:t>
            </w:r>
          </w:p>
        </w:tc>
        <w:tc>
          <w:tcPr>
            <w:tcW w:w="3054" w:type="dxa"/>
          </w:tcPr>
          <w:p w14:paraId="67DB24BB" w14:textId="77777777" w:rsidR="008116D8" w:rsidRDefault="008116D8" w:rsidP="0060775D">
            <w:r w:rsidRPr="00736C0C">
              <w:t xml:space="preserve">Authorised and </w:t>
            </w:r>
            <w:r w:rsidRPr="00736C0C">
              <w:rPr>
                <w:spacing w:val="-2"/>
              </w:rPr>
              <w:t>published by the Victorian</w:t>
            </w:r>
            <w:r w:rsidRPr="00736C0C">
              <w:t xml:space="preserve"> Government, 1</w:t>
            </w:r>
            <w:r>
              <w:t xml:space="preserve"> </w:t>
            </w:r>
            <w:r w:rsidRPr="00736C0C">
              <w:t>Treasury Place, Melbourne.</w:t>
            </w:r>
          </w:p>
          <w:p w14:paraId="5D1D14F7" w14:textId="193F1A23" w:rsidR="0060775D" w:rsidRDefault="008116D8" w:rsidP="0060775D">
            <w:r w:rsidRPr="00736C0C">
              <w:t>© State of Victoria, Australia,</w:t>
            </w:r>
            <w:r>
              <w:t xml:space="preserve"> </w:t>
            </w:r>
            <w:r w:rsidRPr="00736C0C">
              <w:t>Safer Care Victoria,</w:t>
            </w:r>
            <w:r>
              <w:t xml:space="preserve"> </w:t>
            </w:r>
            <w:r w:rsidR="00740BC0">
              <w:t>January 2019</w:t>
            </w:r>
          </w:p>
          <w:p w14:paraId="3FBA2B4F" w14:textId="73AB86CF" w:rsidR="008116D8" w:rsidRPr="00736C0C" w:rsidRDefault="00816C6D" w:rsidP="0060775D">
            <w:r>
              <w:t>ISS</w:t>
            </w:r>
            <w:r w:rsidR="008116D8" w:rsidRPr="00736C0C">
              <w:t xml:space="preserve">N </w:t>
            </w:r>
            <w:r>
              <w:t xml:space="preserve">2206-3625 </w:t>
            </w:r>
            <w:r w:rsidR="008116D8" w:rsidRPr="00736C0C">
              <w:t>(online)</w:t>
            </w:r>
          </w:p>
          <w:p w14:paraId="641C5EE6" w14:textId="77777777" w:rsidR="008116D8" w:rsidRPr="00736C0C" w:rsidRDefault="008116D8" w:rsidP="0060775D">
            <w:r w:rsidRPr="00736C0C">
              <w:t xml:space="preserve">Available at </w:t>
            </w:r>
            <w:hyperlink r:id="rId13" w:history="1">
              <w:r w:rsidRPr="00EE4C3F">
                <w:rPr>
                  <w:color w:val="4D92C0"/>
                </w:rPr>
                <w:t>www.</w:t>
              </w:r>
              <w:r w:rsidRPr="004A4FB7">
                <w:rPr>
                  <w:color w:val="4D92C0"/>
                </w:rPr>
                <w:t>safercare</w:t>
              </w:r>
              <w:r w:rsidRPr="00EE4C3F">
                <w:rPr>
                  <w:color w:val="4D92C0"/>
                </w:rPr>
                <w:t>.vic</w:t>
              </w:r>
            </w:hyperlink>
            <w:r>
              <w:rPr>
                <w:color w:val="4D92C0"/>
              </w:rPr>
              <w:t>.</w:t>
            </w:r>
            <w:r w:rsidRPr="00EE4C3F">
              <w:rPr>
                <w:color w:val="4D92C0"/>
              </w:rPr>
              <w:t>gov.au</w:t>
            </w:r>
            <w:r w:rsidRPr="000D01D2">
              <w:rPr>
                <w:color w:val="4382B9"/>
              </w:rPr>
              <w:t xml:space="preserve"> </w:t>
            </w:r>
          </w:p>
        </w:tc>
        <w:tc>
          <w:tcPr>
            <w:tcW w:w="2484" w:type="dxa"/>
          </w:tcPr>
          <w:p w14:paraId="2F71784B" w14:textId="77777777" w:rsidR="008116D8" w:rsidRPr="00736C0C" w:rsidRDefault="008116D8" w:rsidP="0060775D">
            <w:r w:rsidRPr="00736C0C">
              <w:rPr>
                <w:noProof/>
              </w:rPr>
              <w:drawing>
                <wp:inline distT="0" distB="0" distL="0" distR="0" wp14:anchorId="1917AF21" wp14:editId="3CA63FE2">
                  <wp:extent cx="795600" cy="453600"/>
                  <wp:effectExtent l="0" t="0" r="508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ic State Governmen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95600" cy="453600"/>
                          </a:xfrm>
                          <a:prstGeom prst="rect">
                            <a:avLst/>
                          </a:prstGeom>
                        </pic:spPr>
                      </pic:pic>
                    </a:graphicData>
                  </a:graphic>
                </wp:inline>
              </w:drawing>
            </w:r>
          </w:p>
        </w:tc>
      </w:tr>
    </w:tbl>
    <w:p w14:paraId="373F2F12" w14:textId="6F54D6C2" w:rsidR="0000704D" w:rsidRDefault="007C4073" w:rsidP="0060775D">
      <w:r>
        <w:fldChar w:fldCharType="begin"/>
      </w:r>
      <w:r>
        <w:instrText xml:space="preserve"> Macrobutton NoMacro  </w:instrText>
      </w:r>
      <w:r>
        <w:fldChar w:fldCharType="end"/>
      </w:r>
      <w:r w:rsidR="00B81C65" w:rsidRPr="00B81C65">
        <w:rPr>
          <w:noProof/>
        </w:rPr>
        <w:t xml:space="preserve"> </w:t>
      </w:r>
      <w:r w:rsidR="00B81C65">
        <w:rPr>
          <w:noProof/>
        </w:rPr>
        <w:drawing>
          <wp:anchor distT="0" distB="0" distL="114300" distR="114300" simplePos="0" relativeHeight="251665408" behindDoc="1" locked="1" layoutInCell="1" allowOverlap="1" wp14:anchorId="0287E983" wp14:editId="2B0B5A9D">
            <wp:simplePos x="0" y="0"/>
            <wp:positionH relativeFrom="page">
              <wp:align>left</wp:align>
            </wp:positionH>
            <wp:positionV relativeFrom="page">
              <wp:align>top</wp:align>
            </wp:positionV>
            <wp:extent cx="7548880" cy="106762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side artwor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51801" cy="10680432"/>
                    </a:xfrm>
                    <a:prstGeom prst="rect">
                      <a:avLst/>
                    </a:prstGeom>
                  </pic:spPr>
                </pic:pic>
              </a:graphicData>
            </a:graphic>
            <wp14:sizeRelH relativeFrom="margin">
              <wp14:pctWidth>0</wp14:pctWidth>
            </wp14:sizeRelH>
            <wp14:sizeRelV relativeFrom="margin">
              <wp14:pctHeight>0</wp14:pctHeight>
            </wp14:sizeRelV>
          </wp:anchor>
        </w:drawing>
      </w:r>
    </w:p>
    <w:p w14:paraId="56119B53" w14:textId="77777777" w:rsidR="0000704D" w:rsidRDefault="0000704D">
      <w:r>
        <w:br w:type="page"/>
      </w:r>
    </w:p>
    <w:p w14:paraId="07445715" w14:textId="7735BFD6" w:rsidR="00F04A32" w:rsidRDefault="00816C6D" w:rsidP="00ED6E87">
      <w:pPr>
        <w:pStyle w:val="IntroductoryText"/>
        <w:spacing w:after="120" w:line="240" w:lineRule="atLeast"/>
      </w:pPr>
      <w:r w:rsidRPr="00DD47FB">
        <w:lastRenderedPageBreak/>
        <w:t xml:space="preserve">When </w:t>
      </w:r>
      <w:r>
        <w:t>things go wrong</w:t>
      </w:r>
      <w:r w:rsidRPr="00DD47FB">
        <w:t xml:space="preserve">, Victorian health services look to learn </w:t>
      </w:r>
      <w:r>
        <w:t xml:space="preserve">and improve </w:t>
      </w:r>
      <w:r w:rsidRPr="00DD47FB">
        <w:t xml:space="preserve">from them, and do their best to prevent them from happening again. In the midst of this, sometimes we lose </w:t>
      </w:r>
      <w:r>
        <w:t>sight of the real impact</w:t>
      </w:r>
      <w:r w:rsidRPr="00DD47FB">
        <w:t xml:space="preserve"> these events </w:t>
      </w:r>
      <w:r>
        <w:t xml:space="preserve">have </w:t>
      </w:r>
      <w:r w:rsidRPr="00DD47FB">
        <w:t>on patients, their families and carers. That’s why we</w:t>
      </w:r>
      <w:r>
        <w:t>’re</w:t>
      </w:r>
      <w:r w:rsidRPr="00DD47FB">
        <w:t xml:space="preserve"> start</w:t>
      </w:r>
      <w:r>
        <w:t>ing</w:t>
      </w:r>
      <w:r w:rsidRPr="00DD47FB">
        <w:t xml:space="preserve"> this report with </w:t>
      </w:r>
      <w:r>
        <w:t xml:space="preserve">a </w:t>
      </w:r>
      <w:r w:rsidR="004178C6">
        <w:t xml:space="preserve">personal </w:t>
      </w:r>
      <w:r>
        <w:t>story</w:t>
      </w:r>
      <w:r w:rsidR="009A4F42">
        <w:t>.</w:t>
      </w:r>
    </w:p>
    <w:p w14:paraId="69AA8395" w14:textId="44A2CE7A" w:rsidR="00401116" w:rsidRDefault="00ED6E87" w:rsidP="00ED6E87">
      <w:pPr>
        <w:pStyle w:val="IntroductoryText"/>
      </w:pPr>
      <w:r>
        <w:rPr>
          <w:noProof/>
        </w:rPr>
        <mc:AlternateContent>
          <mc:Choice Requires="wps">
            <w:drawing>
              <wp:inline distT="0" distB="0" distL="0" distR="0" wp14:anchorId="1DC3F8D6" wp14:editId="1C0EED16">
                <wp:extent cx="6448508" cy="6772275"/>
                <wp:effectExtent l="0" t="0" r="28575" b="28575"/>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508" cy="6772275"/>
                        </a:xfrm>
                        <a:prstGeom prst="rect">
                          <a:avLst/>
                        </a:prstGeom>
                        <a:solidFill>
                          <a:schemeClr val="bg2"/>
                        </a:solidFill>
                        <a:ln w="6350">
                          <a:solidFill>
                            <a:schemeClr val="bg2"/>
                          </a:solidFill>
                          <a:miter lim="800000"/>
                          <a:headEnd/>
                          <a:tailEnd/>
                        </a:ln>
                      </wps:spPr>
                      <wps:txbx>
                        <w:txbxContent>
                          <w:p w14:paraId="721007E2" w14:textId="77777777" w:rsidR="00CD7A43" w:rsidRPr="00B81C65" w:rsidRDefault="00CD7A43" w:rsidP="00ED6E87">
                            <w:pPr>
                              <w:pStyle w:val="PulloutHeading"/>
                            </w:pPr>
                            <w:r w:rsidRPr="00B81C65">
                              <w:t>D</w:t>
                            </w:r>
                            <w:r>
                              <w:t>o</w:t>
                            </w:r>
                            <w:r w:rsidRPr="00B81C65">
                              <w:t>lores’ story</w:t>
                            </w:r>
                          </w:p>
                          <w:p w14:paraId="6C0B68C7" w14:textId="77777777" w:rsidR="00CD7A43" w:rsidRDefault="00CD7A43" w:rsidP="00ED6E87">
                            <w:pPr>
                              <w:pStyle w:val="PulloutText"/>
                              <w:spacing w:line="260" w:lineRule="atLeast"/>
                            </w:pPr>
                            <w:r>
                              <w:t>In December 2016, Dolores died in a hospital in Victoria. She was 67 years old; physically disabled, a wife, a mother of three, a grandmother, a great grandmother, a sister, a daughter and a friend. She lived at home with her beloved little dog. Failures in our health system contributed to her death.</w:t>
                            </w:r>
                          </w:p>
                          <w:p w14:paraId="0CBF87EB" w14:textId="5D9DCD9D" w:rsidR="00CD7A43" w:rsidRDefault="00CD7A43" w:rsidP="00ED6E87">
                            <w:pPr>
                              <w:pStyle w:val="PulloutText"/>
                              <w:spacing w:line="260" w:lineRule="atLeast"/>
                            </w:pPr>
                            <w:r>
                              <w:t xml:space="preserve">In October 2016 Dolores had a fall. Investigations in hospital showed that her hip bone had crumpled and caused her to fall. Cancer was queried but no further investigations were done to find out why the hip bone had degenerated. Dolores had surgery and while recovering at home suffered terrible pain in her hip. The pain became so bad she couldn’t walk more than five steps. </w:t>
                            </w:r>
                          </w:p>
                          <w:p w14:paraId="2ACDEBF5" w14:textId="246DACAD" w:rsidR="00CD7A43" w:rsidRDefault="00CD7A43" w:rsidP="00ED6E87">
                            <w:pPr>
                              <w:pStyle w:val="PulloutText"/>
                              <w:spacing w:line="260" w:lineRule="atLeast"/>
                            </w:pPr>
                            <w:r>
                              <w:t>“My mother was readmitted to hospital for pain management and investigations. The hospital called me to inform me they were going to undertake a biopsy of her liver as scan results showed abnormalities in the liver. Quite confused, I answered, 'Okay. This was not why she was in hospital, but okay'.”</w:t>
                            </w:r>
                          </w:p>
                          <w:p w14:paraId="38E1E893" w14:textId="41BA79B5" w:rsidR="00CD7A43" w:rsidRDefault="00CD7A43" w:rsidP="00ED6E87">
                            <w:pPr>
                              <w:pStyle w:val="PulloutText"/>
                              <w:spacing w:line="260" w:lineRule="atLeast"/>
                            </w:pPr>
                            <w:r>
                              <w:t>Just hours later, Dolores’ daughter was contacted and asked to go to the hospital immediately. Something had gone wrong during the biopsy procedure and Dolores hadn't stopped bleeding.</w:t>
                            </w:r>
                          </w:p>
                          <w:p w14:paraId="4DA42FAF" w14:textId="77777777" w:rsidR="00CD7A43" w:rsidRDefault="00CD7A43" w:rsidP="00ED6E87">
                            <w:pPr>
                              <w:pStyle w:val="PulloutText"/>
                              <w:spacing w:line="260" w:lineRule="atLeast"/>
                            </w:pPr>
                            <w:r>
                              <w:t xml:space="preserve">“Mum refused to go back to surgery to have it repaired. Not knowing the situation, I supported her choice and decision. On arrival, I found mum in the intensive care unit, with the curtains open for all to see. </w:t>
                            </w:r>
                            <w:r w:rsidRPr="00CB0FC5">
                              <w:t>There was no patient-centred care a</w:t>
                            </w:r>
                            <w:r>
                              <w:t>t all. She was refused any compassion or comfort, just left by herself.”</w:t>
                            </w:r>
                          </w:p>
                          <w:p w14:paraId="2EC63613" w14:textId="7DD8E3C6" w:rsidR="00CD7A43" w:rsidRPr="00AE3267" w:rsidRDefault="00CD7A43" w:rsidP="00ED6E87">
                            <w:pPr>
                              <w:pStyle w:val="PulloutText"/>
                              <w:spacing w:line="260" w:lineRule="atLeast"/>
                            </w:pPr>
                            <w:r>
                              <w:t>Do</w:t>
                            </w:r>
                            <w:r w:rsidRPr="00AE3267">
                              <w:t>lores</w:t>
                            </w:r>
                            <w:r>
                              <w:t>’</w:t>
                            </w:r>
                            <w:r w:rsidRPr="00AE3267">
                              <w:t xml:space="preserve"> daughter stayed by her bedside and talked to her until she passed. </w:t>
                            </w:r>
                            <w:r>
                              <w:t>She</w:t>
                            </w:r>
                            <w:r w:rsidRPr="00AE3267">
                              <w:t xml:space="preserve"> was </w:t>
                            </w:r>
                            <w:r>
                              <w:t>told Do</w:t>
                            </w:r>
                            <w:r w:rsidRPr="00AE3267">
                              <w:t>lores</w:t>
                            </w:r>
                            <w:r>
                              <w:t>’</w:t>
                            </w:r>
                            <w:r w:rsidRPr="00AE3267">
                              <w:t xml:space="preserve"> body would be taken to the Coroner as she died as a result of </w:t>
                            </w:r>
                            <w:r>
                              <w:t xml:space="preserve">a </w:t>
                            </w:r>
                            <w:r w:rsidRPr="00AE3267">
                              <w:t>medical procedure. The coming days and weeks</w:t>
                            </w:r>
                            <w:r>
                              <w:t xml:space="preserve"> were very sad and challenging.</w:t>
                            </w:r>
                          </w:p>
                          <w:p w14:paraId="05154728" w14:textId="77777777" w:rsidR="00CD7A43" w:rsidRDefault="00CD7A43" w:rsidP="00ED6E87">
                            <w:pPr>
                              <w:pStyle w:val="PulloutText"/>
                              <w:spacing w:line="260" w:lineRule="atLeast"/>
                            </w:pPr>
                            <w:r>
                              <w:t xml:space="preserve">“I started to relive the events of that day and I needed answers. On reading my mother’s medical record, I was alarmed at what I read. The documents contradicted everything I had been told. There was nothing to explain why the biopsy </w:t>
                            </w:r>
                            <w:r w:rsidRPr="00630E93">
                              <w:t>was done in such haste after mum was told less than half an hour prior of the possibility of liver cancer</w:t>
                            </w:r>
                            <w:r>
                              <w:t xml:space="preserve">.” </w:t>
                            </w:r>
                          </w:p>
                          <w:p w14:paraId="1C576B40" w14:textId="77777777" w:rsidR="00CD7A43" w:rsidRDefault="00CD7A43" w:rsidP="00ED6E87">
                            <w:pPr>
                              <w:pStyle w:val="PulloutText"/>
                              <w:spacing w:line="260" w:lineRule="atLeast"/>
                            </w:pPr>
                            <w:r>
                              <w:t xml:space="preserve">“I couldn’t find any information to show my mother was properly informed of the risks or was in a fit state to understand. </w:t>
                            </w:r>
                            <w:r w:rsidRPr="00AE3267">
                              <w:t xml:space="preserve">From what I could see, </w:t>
                            </w:r>
                            <w:r w:rsidRPr="00CB0FC5">
                              <w:t xml:space="preserve">the procedure could </w:t>
                            </w:r>
                            <w:r>
                              <w:t xml:space="preserve">have waited until the next day to </w:t>
                            </w:r>
                            <w:r w:rsidRPr="00630E93">
                              <w:t>allow her time to grasp the fact she may have cancer</w:t>
                            </w:r>
                            <w:r>
                              <w:t>.”</w:t>
                            </w:r>
                          </w:p>
                          <w:p w14:paraId="60BA460C" w14:textId="23987875" w:rsidR="00CD7A43" w:rsidRPr="00873A11" w:rsidRDefault="00CD7A43" w:rsidP="00ED6E87">
                            <w:pPr>
                              <w:pStyle w:val="PulloutText"/>
                              <w:spacing w:line="260" w:lineRule="atLeast"/>
                            </w:pPr>
                            <w:r>
                              <w:t>Since Dolores’ death, her daughter and grandson have relocated to a new town wanting to avoid the constant reminder. A year after Do</w:t>
                            </w:r>
                            <w:r w:rsidRPr="00873A11">
                              <w:t>lores</w:t>
                            </w:r>
                            <w:r>
                              <w:t>’</w:t>
                            </w:r>
                            <w:r w:rsidRPr="00873A11">
                              <w:t xml:space="preserve"> death her </w:t>
                            </w:r>
                            <w:r>
                              <w:t>daughter</w:t>
                            </w:r>
                            <w:r w:rsidRPr="00873A11">
                              <w:t xml:space="preserve"> met with the </w:t>
                            </w:r>
                            <w:r>
                              <w:t>hospital to discuss the events.</w:t>
                            </w:r>
                          </w:p>
                          <w:p w14:paraId="651E255B" w14:textId="2BE22022" w:rsidR="00CD7A43" w:rsidRDefault="00CD7A43" w:rsidP="00ED6E87">
                            <w:pPr>
                              <w:pStyle w:val="PulloutText"/>
                              <w:spacing w:line="260" w:lineRule="atLeast"/>
                            </w:pPr>
                            <w:r>
                              <w:t>“</w:t>
                            </w:r>
                            <w:r w:rsidRPr="00873A11">
                              <w:t>They were very sympathetic and agreed the hasty decision for the biopsy was not necessary</w:t>
                            </w:r>
                            <w:r>
                              <w:t xml:space="preserve">. </w:t>
                            </w:r>
                            <w:r w:rsidRPr="00873A11">
                              <w:t>I was told they would use my mother's situation as a learning tool for all junior doctors.</w:t>
                            </w:r>
                          </w:p>
                          <w:p w14:paraId="508BFC95" w14:textId="77777777" w:rsidR="00CD7A43" w:rsidRPr="00873A11" w:rsidRDefault="00CD7A43" w:rsidP="00ED6E87">
                            <w:pPr>
                              <w:pStyle w:val="PulloutText"/>
                              <w:spacing w:line="260" w:lineRule="atLeast"/>
                            </w:pPr>
                            <w:r>
                              <w:t>“</w:t>
                            </w:r>
                            <w:r w:rsidRPr="00873A11">
                              <w:t>I requested they use my mother’s name, not a case number</w:t>
                            </w:r>
                            <w:r>
                              <w:t>.”</w:t>
                            </w:r>
                          </w:p>
                        </w:txbxContent>
                      </wps:txbx>
                      <wps:bodyPr rot="0" vert="horz" wrap="square" lIns="180000" tIns="180000" rIns="144000" bIns="36000" anchor="t" anchorCtr="0">
                        <a:noAutofit/>
                      </wps:bodyPr>
                    </wps:wsp>
                  </a:graphicData>
                </a:graphic>
              </wp:inline>
            </w:drawing>
          </mc:Choice>
          <mc:Fallback>
            <w:pict>
              <v:shapetype w14:anchorId="1DC3F8D6" id="_x0000_t202" coordsize="21600,21600" o:spt="202" path="m,l,21600r21600,l21600,xe">
                <v:stroke joinstyle="miter"/>
                <v:path gradientshapeok="t" o:connecttype="rect"/>
              </v:shapetype>
              <v:shape id="Text Box 2" o:spid="_x0000_s1026" type="#_x0000_t202" style="width:507.75pt;height:53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" fillcolor="#edf5f7 [3214]" strokecolor="#edf5f7 [3214]" strokeweight=".5pt">
                <v:textbox inset="5mm,5mm,4mm,1mm">
                  <w:txbxContent>
                    <w:p w14:paraId="721007E2" w14:textId="77777777" w:rsidR="00CD7A43" w:rsidRPr="00B81C65" w:rsidRDefault="00CD7A43" w:rsidP="00ED6E87">
                      <w:pPr>
                        <w:pStyle w:val="PulloutHeading"/>
                      </w:pPr>
                      <w:r w:rsidRPr="00B81C65">
                        <w:t>D</w:t>
                      </w:r>
                      <w:r>
                        <w:t>o</w:t>
                      </w:r>
                      <w:r w:rsidRPr="00B81C65">
                        <w:t>lores’ story</w:t>
                      </w:r>
                    </w:p>
                    <w:p w14:paraId="6C0B68C7" w14:textId="77777777" w:rsidR="00CD7A43" w:rsidRDefault="00CD7A43" w:rsidP="00ED6E87">
                      <w:pPr>
                        <w:pStyle w:val="PulloutText"/>
                        <w:spacing w:line="260" w:lineRule="atLeast"/>
                      </w:pPr>
                      <w:r>
                        <w:t>In December 2016, Dolores died in a hospital in Victoria. She was 67 years old; physically disabled, a wife, a mother of three, a grandmother, a great grandmother, a sister, a daughter and a friend. She lived at home with her beloved little dog. Failures in our health system contributed to her death.</w:t>
                      </w:r>
                    </w:p>
                    <w:p w14:paraId="0CBF87EB" w14:textId="5D9DCD9D" w:rsidR="00CD7A43" w:rsidRDefault="00CD7A43" w:rsidP="00ED6E87">
                      <w:pPr>
                        <w:pStyle w:val="PulloutText"/>
                        <w:spacing w:line="260" w:lineRule="atLeast"/>
                      </w:pPr>
                      <w:r>
                        <w:t xml:space="preserve">In October 2016 Dolores had a fall. Investigations in hospital showed that her hip bone had crumpled and caused her to fall. Cancer was queried but no further investigations were done to find out why the hip bone had degenerated. Dolores had surgery and while recovering at home suffered terrible pain in her hip. The pain became so bad she couldn’t walk more than five steps. </w:t>
                      </w:r>
                    </w:p>
                    <w:p w14:paraId="2ACDEBF5" w14:textId="246DACAD" w:rsidR="00CD7A43" w:rsidRDefault="00CD7A43" w:rsidP="00ED6E87">
                      <w:pPr>
                        <w:pStyle w:val="PulloutText"/>
                        <w:spacing w:line="260" w:lineRule="atLeast"/>
                      </w:pPr>
                      <w:r>
                        <w:t>“My mother was readmitted to hospital for pain management and investigations. The hospital called me to inform me they were going to undertake a biopsy of her liver as scan results showed abnormalities in the liver. Quite confused, I answered, 'Okay. This was not why she was in hospital, but okay'.”</w:t>
                      </w:r>
                    </w:p>
                    <w:p w14:paraId="38E1E893" w14:textId="41BA79B5" w:rsidR="00CD7A43" w:rsidRDefault="00CD7A43" w:rsidP="00ED6E87">
                      <w:pPr>
                        <w:pStyle w:val="PulloutText"/>
                        <w:spacing w:line="260" w:lineRule="atLeast"/>
                      </w:pPr>
                      <w:r>
                        <w:t>Just hours later, Dolores’ daughter was contacted and asked to go to the hospital immediately. Something had gone wrong during the biopsy procedure and Dolores hadn't stopped bleeding.</w:t>
                      </w:r>
                    </w:p>
                    <w:p w14:paraId="4DA42FAF" w14:textId="77777777" w:rsidR="00CD7A43" w:rsidRDefault="00CD7A43" w:rsidP="00ED6E87">
                      <w:pPr>
                        <w:pStyle w:val="PulloutText"/>
                        <w:spacing w:line="260" w:lineRule="atLeast"/>
                      </w:pPr>
                      <w:r>
                        <w:t xml:space="preserve">“Mum refused to go back to surgery to have it repaired. Not knowing the situation, I supported her choice and decision. On arrival, I found mum in the intensive care unit, with the curtains open for all to see. </w:t>
                      </w:r>
                      <w:r w:rsidRPr="00CB0FC5">
                        <w:t>There was no patient-centred care a</w:t>
                      </w:r>
                      <w:r>
                        <w:t>t all. She was refused any compassion or comfort, just left by herself.”</w:t>
                      </w:r>
                    </w:p>
                    <w:p w14:paraId="2EC63613" w14:textId="7DD8E3C6" w:rsidR="00CD7A43" w:rsidRPr="00AE3267" w:rsidRDefault="00CD7A43" w:rsidP="00ED6E87">
                      <w:pPr>
                        <w:pStyle w:val="PulloutText"/>
                        <w:spacing w:line="260" w:lineRule="atLeast"/>
                      </w:pPr>
                      <w:r>
                        <w:t>Do</w:t>
                      </w:r>
                      <w:r w:rsidRPr="00AE3267">
                        <w:t>lores</w:t>
                      </w:r>
                      <w:r>
                        <w:t>’</w:t>
                      </w:r>
                      <w:r w:rsidRPr="00AE3267">
                        <w:t xml:space="preserve"> daughter stayed by her bedside and talked to her until she passed. </w:t>
                      </w:r>
                      <w:r>
                        <w:t>She</w:t>
                      </w:r>
                      <w:r w:rsidRPr="00AE3267">
                        <w:t xml:space="preserve"> was </w:t>
                      </w:r>
                      <w:r>
                        <w:t>told Do</w:t>
                      </w:r>
                      <w:r w:rsidRPr="00AE3267">
                        <w:t>lores</w:t>
                      </w:r>
                      <w:r>
                        <w:t>’</w:t>
                      </w:r>
                      <w:r w:rsidRPr="00AE3267">
                        <w:t xml:space="preserve"> body would be taken to the Coroner as she died as a result of </w:t>
                      </w:r>
                      <w:r>
                        <w:t xml:space="preserve">a </w:t>
                      </w:r>
                      <w:r w:rsidRPr="00AE3267">
                        <w:t>medical procedure. The coming days and weeks</w:t>
                      </w:r>
                      <w:r>
                        <w:t xml:space="preserve"> were very sad and challenging.</w:t>
                      </w:r>
                    </w:p>
                    <w:p w14:paraId="05154728" w14:textId="77777777" w:rsidR="00CD7A43" w:rsidRDefault="00CD7A43" w:rsidP="00ED6E87">
                      <w:pPr>
                        <w:pStyle w:val="PulloutText"/>
                        <w:spacing w:line="260" w:lineRule="atLeast"/>
                      </w:pPr>
                      <w:r>
                        <w:t xml:space="preserve">“I started to relive the events of that day and I needed answers. On reading my mother’s medical record, I was alarmed at what I read. The documents contradicted everything I had been told. There was nothing to explain why the biopsy </w:t>
                      </w:r>
                      <w:r w:rsidRPr="00630E93">
                        <w:t>was done in such haste after mum was told less than half an hour prior of the possibility of liver cancer</w:t>
                      </w:r>
                      <w:r>
                        <w:t xml:space="preserve">.” </w:t>
                      </w:r>
                    </w:p>
                    <w:p w14:paraId="1C576B40" w14:textId="77777777" w:rsidR="00CD7A43" w:rsidRDefault="00CD7A43" w:rsidP="00ED6E87">
                      <w:pPr>
                        <w:pStyle w:val="PulloutText"/>
                        <w:spacing w:line="260" w:lineRule="atLeast"/>
                      </w:pPr>
                      <w:r>
                        <w:t xml:space="preserve">“I couldn’t find any information to show my mother was properly informed of the risks or was in a fit state to understand. </w:t>
                      </w:r>
                      <w:r w:rsidRPr="00AE3267">
                        <w:t xml:space="preserve">From what I could see, </w:t>
                      </w:r>
                      <w:r w:rsidRPr="00CB0FC5">
                        <w:t xml:space="preserve">the procedure could </w:t>
                      </w:r>
                      <w:r>
                        <w:t xml:space="preserve">have waited until the next day to </w:t>
                      </w:r>
                      <w:r w:rsidRPr="00630E93">
                        <w:t>allow her time to grasp the fact she may have cancer</w:t>
                      </w:r>
                      <w:r>
                        <w:t>.”</w:t>
                      </w:r>
                    </w:p>
                    <w:p w14:paraId="60BA460C" w14:textId="23987875" w:rsidR="00CD7A43" w:rsidRPr="00873A11" w:rsidRDefault="00CD7A43" w:rsidP="00ED6E87">
                      <w:pPr>
                        <w:pStyle w:val="PulloutText"/>
                        <w:spacing w:line="260" w:lineRule="atLeast"/>
                      </w:pPr>
                      <w:r>
                        <w:t>Since Dolores’ death, her daughter and grandson have relocated to a new town wanting to avoid the constant reminder. A year after Do</w:t>
                      </w:r>
                      <w:r w:rsidRPr="00873A11">
                        <w:t>lores</w:t>
                      </w:r>
                      <w:r>
                        <w:t>’</w:t>
                      </w:r>
                      <w:r w:rsidRPr="00873A11">
                        <w:t xml:space="preserve"> death her </w:t>
                      </w:r>
                      <w:r>
                        <w:t>daughter</w:t>
                      </w:r>
                      <w:r w:rsidRPr="00873A11">
                        <w:t xml:space="preserve"> met with the </w:t>
                      </w:r>
                      <w:r>
                        <w:t>hospital to discuss the events.</w:t>
                      </w:r>
                    </w:p>
                    <w:p w14:paraId="651E255B" w14:textId="2BE22022" w:rsidR="00CD7A43" w:rsidRDefault="00CD7A43" w:rsidP="00ED6E87">
                      <w:pPr>
                        <w:pStyle w:val="PulloutText"/>
                        <w:spacing w:line="260" w:lineRule="atLeast"/>
                      </w:pPr>
                      <w:r>
                        <w:t>“</w:t>
                      </w:r>
                      <w:r w:rsidRPr="00873A11">
                        <w:t>They were very sympathetic and agreed the hasty decision for the biopsy was not necessary</w:t>
                      </w:r>
                      <w:r>
                        <w:t xml:space="preserve">. </w:t>
                      </w:r>
                      <w:r w:rsidRPr="00873A11">
                        <w:t>I was told they would use my mother's situation as a learning tool for all junior doctors.</w:t>
                      </w:r>
                    </w:p>
                    <w:p w14:paraId="508BFC95" w14:textId="77777777" w:rsidR="00CD7A43" w:rsidRPr="00873A11" w:rsidRDefault="00CD7A43" w:rsidP="00ED6E87">
                      <w:pPr>
                        <w:pStyle w:val="PulloutText"/>
                        <w:spacing w:line="260" w:lineRule="atLeast"/>
                      </w:pPr>
                      <w:r>
                        <w:t>“</w:t>
                      </w:r>
                      <w:r w:rsidRPr="00873A11">
                        <w:t>I requested they use my mother’s name, not a case number</w:t>
                      </w:r>
                      <w:r>
                        <w:t>.”</w:t>
                      </w:r>
                    </w:p>
                  </w:txbxContent>
                </v:textbox>
                <w10:anchorlock/>
              </v:shape>
            </w:pict>
          </mc:Fallback>
        </mc:AlternateContent>
      </w:r>
      <w:r w:rsidR="00401116">
        <w:br w:type="page"/>
      </w:r>
    </w:p>
    <w:p w14:paraId="4D86CC63" w14:textId="77777777" w:rsidR="00401116" w:rsidRDefault="00401116" w:rsidP="00401116">
      <w:pPr>
        <w:pStyle w:val="Heading1"/>
        <w:framePr w:wrap="around"/>
      </w:pPr>
      <w:bookmarkStart w:id="0" w:name="_Toc532460185"/>
      <w:bookmarkStart w:id="1" w:name="_Toc532460407"/>
      <w:r>
        <w:lastRenderedPageBreak/>
        <w:t>About this report</w:t>
      </w:r>
      <w:bookmarkEnd w:id="0"/>
      <w:bookmarkEnd w:id="1"/>
    </w:p>
    <w:p w14:paraId="475BC2F6" w14:textId="06BD4631" w:rsidR="00401116" w:rsidRPr="00AE3267" w:rsidRDefault="00401116" w:rsidP="00401116">
      <w:pPr>
        <w:pStyle w:val="IntroductoryText"/>
      </w:pPr>
      <w:r>
        <w:t>This report provides the Victorian community and the health sector with information on the most serious adverse events reported in Victorian public</w:t>
      </w:r>
      <w:r w:rsidR="00D140DD">
        <w:t>/</w:t>
      </w:r>
      <w:r w:rsidR="00F923DD">
        <w:t>private</w:t>
      </w:r>
      <w:r>
        <w:t xml:space="preserve"> hospitals</w:t>
      </w:r>
      <w:r w:rsidR="009A4F42">
        <w:t>,</w:t>
      </w:r>
      <w:r>
        <w:t xml:space="preserve"> and ambulance servic</w:t>
      </w:r>
      <w:r w:rsidR="00BB7035">
        <w:t>es</w:t>
      </w:r>
      <w:r>
        <w:t xml:space="preserve"> between 1 July 2017 and 30 June 2018.</w:t>
      </w:r>
      <w:r w:rsidR="00F7504F" w:rsidRPr="00F7504F">
        <w:t xml:space="preserve"> </w:t>
      </w:r>
      <w:r w:rsidR="003848F7">
        <w:t>Safer Care Victoria (SCV)</w:t>
      </w:r>
      <w:r w:rsidR="00F7504F" w:rsidRPr="002F1AB9">
        <w:t xml:space="preserve"> publish</w:t>
      </w:r>
      <w:r w:rsidR="003848F7">
        <w:t>es</w:t>
      </w:r>
      <w:r w:rsidR="00F7504F" w:rsidRPr="002F1AB9">
        <w:t xml:space="preserve"> this information every year to help </w:t>
      </w:r>
      <w:r w:rsidR="00BB7035" w:rsidRPr="002F1AB9">
        <w:t>Victorians</w:t>
      </w:r>
      <w:r w:rsidR="00F7504F" w:rsidRPr="002F1AB9">
        <w:t xml:space="preserve"> </w:t>
      </w:r>
      <w:r w:rsidR="00F923DD" w:rsidRPr="002F1AB9">
        <w:t xml:space="preserve">understand </w:t>
      </w:r>
      <w:r w:rsidR="00AA101D">
        <w:t xml:space="preserve">what </w:t>
      </w:r>
      <w:r w:rsidR="00AA101D" w:rsidRPr="00AE3267">
        <w:t xml:space="preserve">sentinel events have occurred, what has been learned and how we have improved as </w:t>
      </w:r>
      <w:r w:rsidR="009A4F42">
        <w:t>a result.</w:t>
      </w:r>
    </w:p>
    <w:p w14:paraId="5263E62B" w14:textId="098C85EB" w:rsidR="003A7983" w:rsidRDefault="003A7983" w:rsidP="00401116">
      <w:pPr>
        <w:pStyle w:val="IntroductoryText"/>
      </w:pPr>
      <w:r>
        <w:rPr>
          <w:noProof/>
        </w:rPr>
        <mc:AlternateContent>
          <mc:Choice Requires="wps">
            <w:drawing>
              <wp:inline distT="0" distB="0" distL="0" distR="0" wp14:anchorId="6EFA47FC" wp14:editId="762D0FBD">
                <wp:extent cx="6479540" cy="1526081"/>
                <wp:effectExtent l="0" t="0" r="16510" b="1778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1526081"/>
                        </a:xfrm>
                        <a:prstGeom prst="rect">
                          <a:avLst/>
                        </a:prstGeom>
                        <a:solidFill>
                          <a:schemeClr val="bg2"/>
                        </a:solidFill>
                        <a:ln w="6350">
                          <a:solidFill>
                            <a:schemeClr val="bg2"/>
                          </a:solidFill>
                          <a:miter lim="800000"/>
                          <a:headEnd/>
                          <a:tailEnd/>
                        </a:ln>
                      </wps:spPr>
                      <wps:txbx>
                        <w:txbxContent>
                          <w:p w14:paraId="5D81EA8B" w14:textId="681D057F" w:rsidR="00CD7A43" w:rsidRPr="00F0168D" w:rsidRDefault="00CD7A43" w:rsidP="003A7983">
                            <w:pPr>
                              <w:pStyle w:val="PulloutText"/>
                            </w:pPr>
                            <w:r w:rsidRPr="00F0168D">
                              <w:t xml:space="preserve">An </w:t>
                            </w:r>
                            <w:r w:rsidRPr="00F0168D">
                              <w:rPr>
                                <w:b/>
                              </w:rPr>
                              <w:t>adverse event</w:t>
                            </w:r>
                            <w:r w:rsidRPr="00F0168D">
                              <w:t xml:space="preserve"> is an incident in </w:t>
                            </w:r>
                            <w:r>
                              <w:t>which a person receiving health</w:t>
                            </w:r>
                            <w:r w:rsidRPr="00F0168D">
                              <w:t>care was harmed.</w:t>
                            </w:r>
                          </w:p>
                          <w:p w14:paraId="18378E1E" w14:textId="6AC8EC96" w:rsidR="00CD7A43" w:rsidRPr="00F0168D" w:rsidRDefault="00CD7A43" w:rsidP="003A7983">
                            <w:pPr>
                              <w:pStyle w:val="PulloutText"/>
                            </w:pPr>
                            <w:r w:rsidRPr="00F0168D">
                              <w:rPr>
                                <w:b/>
                              </w:rPr>
                              <w:t>Sentinel events</w:t>
                            </w:r>
                            <w:r w:rsidRPr="00F0168D">
                              <w:t xml:space="preserve"> are </w:t>
                            </w:r>
                            <w:r>
                              <w:t>the most serious adverse events that result in a patient dying or being seriously harmed.</w:t>
                            </w:r>
                          </w:p>
                        </w:txbxContent>
                      </wps:txbx>
                      <wps:bodyPr rot="0" vert="horz" wrap="square" lIns="180000" tIns="180000" rIns="144000" bIns="36000" anchor="t" anchorCtr="0">
                        <a:spAutoFit/>
                      </wps:bodyPr>
                    </wps:wsp>
                  </a:graphicData>
                </a:graphic>
              </wp:inline>
            </w:drawing>
          </mc:Choice>
          <mc:Fallback>
            <w:pict>
              <v:shape w14:anchorId="6EFA47FC" id="_x0000_s1027" type="#_x0000_t202" style="width:510.2pt;height:12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" fillcolor="#edf5f7 [3214]" strokecolor="#edf5f7 [3214]" strokeweight=".5pt">
                <v:textbox style="mso-fit-shape-to-text:t" inset="5mm,5mm,4mm,1mm">
                  <w:txbxContent>
                    <w:p w14:paraId="5D81EA8B" w14:textId="681D057F" w:rsidR="00CD7A43" w:rsidRPr="00F0168D" w:rsidRDefault="00CD7A43" w:rsidP="003A7983">
                      <w:pPr>
                        <w:pStyle w:val="PulloutText"/>
                      </w:pPr>
                      <w:r w:rsidRPr="00F0168D">
                        <w:t xml:space="preserve">An </w:t>
                      </w:r>
                      <w:r w:rsidRPr="00F0168D">
                        <w:rPr>
                          <w:b/>
                        </w:rPr>
                        <w:t>adverse event</w:t>
                      </w:r>
                      <w:r w:rsidRPr="00F0168D">
                        <w:t xml:space="preserve"> is an incident in </w:t>
                      </w:r>
                      <w:r>
                        <w:t>which a person receiving health</w:t>
                      </w:r>
                      <w:r w:rsidRPr="00F0168D">
                        <w:t>care was harmed.</w:t>
                      </w:r>
                    </w:p>
                    <w:p w14:paraId="18378E1E" w14:textId="6AC8EC96" w:rsidR="00CD7A43" w:rsidRPr="00F0168D" w:rsidRDefault="00CD7A43" w:rsidP="003A7983">
                      <w:pPr>
                        <w:pStyle w:val="PulloutText"/>
                      </w:pPr>
                      <w:r w:rsidRPr="00F0168D">
                        <w:rPr>
                          <w:b/>
                        </w:rPr>
                        <w:t>Sentinel events</w:t>
                      </w:r>
                      <w:r w:rsidRPr="00F0168D">
                        <w:t xml:space="preserve"> are </w:t>
                      </w:r>
                      <w:r>
                        <w:t>the most serious adverse events that result in a patient dying or being seriously harmed.</w:t>
                      </w:r>
                    </w:p>
                  </w:txbxContent>
                </v:textbox>
                <w10:anchorlock/>
              </v:shape>
            </w:pict>
          </mc:Fallback>
        </mc:AlternateContent>
      </w:r>
    </w:p>
    <w:p w14:paraId="6E4A388A" w14:textId="77777777" w:rsidR="00FF7D88" w:rsidRDefault="00FF7D88" w:rsidP="00FF7D88">
      <w:pPr>
        <w:pStyle w:val="Heading3"/>
      </w:pPr>
      <w:bookmarkStart w:id="2" w:name="_Toc530666081"/>
      <w:bookmarkStart w:id="3" w:name="_Toc532460186"/>
      <w:bookmarkStart w:id="4" w:name="_Toc532460408"/>
      <w:r>
        <w:t>How to read this report</w:t>
      </w:r>
      <w:bookmarkEnd w:id="2"/>
      <w:bookmarkEnd w:id="3"/>
      <w:bookmarkEnd w:id="4"/>
    </w:p>
    <w:p w14:paraId="73E24E55" w14:textId="58F7A828" w:rsidR="00401116" w:rsidRPr="00401116" w:rsidRDefault="00F7504F" w:rsidP="00FF7D88">
      <w:r>
        <w:t>This report</w:t>
      </w:r>
      <w:r w:rsidR="00FF7D88">
        <w:t xml:space="preserve"> includes </w:t>
      </w:r>
      <w:r w:rsidR="00401116" w:rsidRPr="00401116">
        <w:t>an overvi</w:t>
      </w:r>
      <w:r w:rsidR="0047647D">
        <w:t>ew of the sentinel events notifi</w:t>
      </w:r>
      <w:r w:rsidR="00401116" w:rsidRPr="00401116">
        <w:t>ed</w:t>
      </w:r>
      <w:r w:rsidR="00FF7D88">
        <w:t xml:space="preserve">, </w:t>
      </w:r>
      <w:r w:rsidR="00401116" w:rsidRPr="00401116">
        <w:t xml:space="preserve">recommendations for improvement arising from </w:t>
      </w:r>
      <w:r w:rsidR="001E5015">
        <w:t>root cause analysis (</w:t>
      </w:r>
      <w:r w:rsidR="00401116" w:rsidRPr="00401116">
        <w:t>RCA</w:t>
      </w:r>
      <w:r w:rsidR="001E5015">
        <w:t>)</w:t>
      </w:r>
      <w:r w:rsidR="00401116" w:rsidRPr="00401116">
        <w:t xml:space="preserve"> reviews</w:t>
      </w:r>
      <w:r w:rsidR="00FF7D88">
        <w:t xml:space="preserve"> and </w:t>
      </w:r>
      <w:r>
        <w:t>case studies</w:t>
      </w:r>
      <w:r w:rsidR="00C17487">
        <w:t xml:space="preserve"> from Victorian health services</w:t>
      </w:r>
      <w:r w:rsidR="009A4F42">
        <w:t>.</w:t>
      </w:r>
    </w:p>
    <w:p w14:paraId="07D6BD24" w14:textId="4E0A04F1" w:rsidR="004C49E7" w:rsidRDefault="00FF7D88" w:rsidP="00401116">
      <w:r>
        <w:t>It</w:t>
      </w:r>
      <w:r w:rsidR="00401116">
        <w:t xml:space="preserve"> is structured around three main ch</w:t>
      </w:r>
      <w:r w:rsidR="004C49E7">
        <w:t xml:space="preserve">apters that reflect the </w:t>
      </w:r>
      <w:r w:rsidR="004F3067">
        <w:t xml:space="preserve">way we investigate </w:t>
      </w:r>
      <w:r w:rsidR="004C49E7">
        <w:t>sentinel events</w:t>
      </w:r>
      <w:r w:rsidR="00401116">
        <w:t>:</w:t>
      </w:r>
    </w:p>
    <w:p w14:paraId="14F7E14C" w14:textId="2A65DBD3" w:rsidR="00FF7D88" w:rsidRDefault="009A4F42" w:rsidP="00401116">
      <w:r>
        <w:rPr>
          <w:noProof/>
        </w:rPr>
        <mc:AlternateContent>
          <mc:Choice Requires="wps">
            <w:drawing>
              <wp:inline distT="0" distB="0" distL="0" distR="0" wp14:anchorId="4F321DF2" wp14:editId="08CC98CC">
                <wp:extent cx="2088000" cy="2376000"/>
                <wp:effectExtent l="0" t="0" r="26670" b="2476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000" cy="2376000"/>
                        </a:xfrm>
                        <a:prstGeom prst="rect">
                          <a:avLst/>
                        </a:prstGeom>
                        <a:solidFill>
                          <a:schemeClr val="accent6">
                            <a:lumMod val="50000"/>
                          </a:schemeClr>
                        </a:solidFill>
                        <a:ln w="6350">
                          <a:solidFill>
                            <a:schemeClr val="bg2"/>
                          </a:solidFill>
                          <a:miter lim="800000"/>
                          <a:headEnd/>
                          <a:tailEnd/>
                        </a:ln>
                      </wps:spPr>
                      <wps:txbx>
                        <w:txbxContent>
                          <w:p w14:paraId="6E4A35E0" w14:textId="01505FDE" w:rsidR="00CD7A43" w:rsidRPr="00FF7D88" w:rsidRDefault="00CD7A43" w:rsidP="00FF7D88">
                            <w:pPr>
                              <w:pStyle w:val="PulloutHeading"/>
                              <w:rPr>
                                <w:color w:val="FFFFFF" w:themeColor="background1"/>
                              </w:rPr>
                            </w:pPr>
                            <w:r w:rsidRPr="00FF7D88">
                              <w:rPr>
                                <w:color w:val="FFFFFF" w:themeColor="background1"/>
                              </w:rPr>
                              <w:t>1. Notify</w:t>
                            </w:r>
                          </w:p>
                          <w:p w14:paraId="3C0DDB77" w14:textId="09274937" w:rsidR="00CD7A43" w:rsidRPr="00FF7D88" w:rsidRDefault="00CD7A43" w:rsidP="009A4F42">
                            <w:pPr>
                              <w:pStyle w:val="PulloutText"/>
                              <w:rPr>
                                <w:color w:val="FFFFFF" w:themeColor="background1"/>
                              </w:rPr>
                            </w:pPr>
                            <w:r w:rsidRPr="00FF7D88">
                              <w:rPr>
                                <w:color w:val="FFFFFF" w:themeColor="background1"/>
                              </w:rPr>
                              <w:t>Public and private health services are required to notify sentinel events.</w:t>
                            </w:r>
                          </w:p>
                          <w:p w14:paraId="536C7DC6" w14:textId="62628182" w:rsidR="00CD7A43" w:rsidRPr="00FF7D88" w:rsidRDefault="00CD7A43" w:rsidP="00FF7D88">
                            <w:pPr>
                              <w:pStyle w:val="PulloutText"/>
                              <w:rPr>
                                <w:color w:val="FFFFFF" w:themeColor="background1"/>
                              </w:rPr>
                            </w:pPr>
                            <w:r w:rsidRPr="00FF7D88">
                              <w:rPr>
                                <w:color w:val="FFFFFF" w:themeColor="background1"/>
                              </w:rPr>
                              <w:t xml:space="preserve">Health services must report all sentinel events within </w:t>
                            </w:r>
                            <w:r w:rsidRPr="00FF7D88">
                              <w:rPr>
                                <w:b/>
                                <w:bCs/>
                                <w:color w:val="FFFFFF" w:themeColor="background1"/>
                              </w:rPr>
                              <w:t xml:space="preserve">three working days </w:t>
                            </w:r>
                            <w:r w:rsidRPr="00FF7D88">
                              <w:rPr>
                                <w:color w:val="FFFFFF" w:themeColor="background1"/>
                              </w:rPr>
                              <w:t>of being aware the incident has occurred.</w:t>
                            </w:r>
                          </w:p>
                        </w:txbxContent>
                      </wps:txbx>
                      <wps:bodyPr rot="0" vert="horz" wrap="square" lIns="180000" tIns="180000" rIns="144000" bIns="36000" anchor="t" anchorCtr="0">
                        <a:noAutofit/>
                      </wps:bodyPr>
                    </wps:wsp>
                  </a:graphicData>
                </a:graphic>
              </wp:inline>
            </w:drawing>
          </mc:Choice>
          <mc:Fallback>
            <w:pict>
              <v:shape w14:anchorId="4F321DF2" id="_x0000_s1028" type="#_x0000_t202" style="width:164.4pt;height:18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" fillcolor="#62626a [1609]" strokecolor="#edf5f7 [3214]" strokeweight=".5pt">
                <v:textbox inset="5mm,5mm,4mm,1mm">
                  <w:txbxContent>
                    <w:p w14:paraId="6E4A35E0" w14:textId="01505FDE" w:rsidR="00CD7A43" w:rsidRPr="00FF7D88" w:rsidRDefault="00CD7A43" w:rsidP="00FF7D88">
                      <w:pPr>
                        <w:pStyle w:val="PulloutHeading"/>
                        <w:rPr>
                          <w:color w:val="FFFFFF" w:themeColor="background1"/>
                        </w:rPr>
                      </w:pPr>
                      <w:r w:rsidRPr="00FF7D88">
                        <w:rPr>
                          <w:color w:val="FFFFFF" w:themeColor="background1"/>
                        </w:rPr>
                        <w:t>1. Notify</w:t>
                      </w:r>
                    </w:p>
                    <w:p w14:paraId="3C0DDB77" w14:textId="09274937" w:rsidR="00CD7A43" w:rsidRPr="00FF7D88" w:rsidRDefault="00CD7A43" w:rsidP="009A4F42">
                      <w:pPr>
                        <w:pStyle w:val="PulloutText"/>
                        <w:rPr>
                          <w:color w:val="FFFFFF" w:themeColor="background1"/>
                        </w:rPr>
                      </w:pPr>
                      <w:r w:rsidRPr="00FF7D88">
                        <w:rPr>
                          <w:color w:val="FFFFFF" w:themeColor="background1"/>
                        </w:rPr>
                        <w:t>Public and private health services are required to notify sentinel events.</w:t>
                      </w:r>
                    </w:p>
                    <w:p w14:paraId="536C7DC6" w14:textId="62628182" w:rsidR="00CD7A43" w:rsidRPr="00FF7D88" w:rsidRDefault="00CD7A43" w:rsidP="00FF7D88">
                      <w:pPr>
                        <w:pStyle w:val="PulloutText"/>
                        <w:rPr>
                          <w:color w:val="FFFFFF" w:themeColor="background1"/>
                        </w:rPr>
                      </w:pPr>
                      <w:r w:rsidRPr="00FF7D88">
                        <w:rPr>
                          <w:color w:val="FFFFFF" w:themeColor="background1"/>
                        </w:rPr>
                        <w:t xml:space="preserve">Health services must report all sentinel events within </w:t>
                      </w:r>
                      <w:r w:rsidRPr="00FF7D88">
                        <w:rPr>
                          <w:b/>
                          <w:bCs/>
                          <w:color w:val="FFFFFF" w:themeColor="background1"/>
                        </w:rPr>
                        <w:t xml:space="preserve">three working days </w:t>
                      </w:r>
                      <w:r w:rsidRPr="00FF7D88">
                        <w:rPr>
                          <w:color w:val="FFFFFF" w:themeColor="background1"/>
                        </w:rPr>
                        <w:t>of being aware the incident has occurred.</w:t>
                      </w:r>
                    </w:p>
                  </w:txbxContent>
                </v:textbox>
                <w10:anchorlock/>
              </v:shape>
            </w:pict>
          </mc:Fallback>
        </mc:AlternateContent>
      </w:r>
      <w:r w:rsidR="00FF7D88">
        <w:t xml:space="preserve">  </w:t>
      </w:r>
      <w:r w:rsidR="00FF7D88">
        <w:rPr>
          <w:noProof/>
        </w:rPr>
        <mc:AlternateContent>
          <mc:Choice Requires="wps">
            <w:drawing>
              <wp:inline distT="0" distB="0" distL="0" distR="0" wp14:anchorId="60D126D7" wp14:editId="3D7F9679">
                <wp:extent cx="2088000" cy="2388870"/>
                <wp:effectExtent l="0" t="0" r="26670" b="1143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000" cy="2388870"/>
                        </a:xfrm>
                        <a:prstGeom prst="rect">
                          <a:avLst/>
                        </a:prstGeom>
                        <a:solidFill>
                          <a:schemeClr val="accent6">
                            <a:lumMod val="50000"/>
                          </a:schemeClr>
                        </a:solidFill>
                        <a:ln w="6350">
                          <a:solidFill>
                            <a:schemeClr val="bg2"/>
                          </a:solidFill>
                          <a:miter lim="800000"/>
                          <a:headEnd/>
                          <a:tailEnd/>
                        </a:ln>
                      </wps:spPr>
                      <wps:txbx>
                        <w:txbxContent>
                          <w:p w14:paraId="4A02C24F" w14:textId="6223C81E" w:rsidR="00CD7A43" w:rsidRPr="00FF7D88" w:rsidRDefault="00CD7A43" w:rsidP="00FF7D88">
                            <w:pPr>
                              <w:pStyle w:val="PulloutHeading"/>
                              <w:rPr>
                                <w:color w:val="FFFFFF" w:themeColor="background1"/>
                              </w:rPr>
                            </w:pPr>
                            <w:r w:rsidRPr="00FF7D88">
                              <w:rPr>
                                <w:color w:val="FFFFFF" w:themeColor="background1"/>
                              </w:rPr>
                              <w:t>2. Review</w:t>
                            </w:r>
                          </w:p>
                          <w:p w14:paraId="18B020DC" w14:textId="0B63A50C" w:rsidR="00CD7A43" w:rsidRPr="00FF7D88" w:rsidRDefault="00CD7A43" w:rsidP="00FF7D88">
                            <w:pPr>
                              <w:pStyle w:val="PulloutText"/>
                              <w:rPr>
                                <w:color w:val="FFFFFF" w:themeColor="background1"/>
                              </w:rPr>
                            </w:pPr>
                            <w:r w:rsidRPr="00FF7D88">
                              <w:rPr>
                                <w:color w:val="FFFFFF" w:themeColor="background1"/>
                              </w:rPr>
                              <w:t xml:space="preserve">Health services must conduct a formal and thorough review </w:t>
                            </w:r>
                            <w:r>
                              <w:rPr>
                                <w:color w:val="FFFFFF" w:themeColor="background1"/>
                              </w:rPr>
                              <w:t>using</w:t>
                            </w:r>
                            <w:r w:rsidRPr="00FF7D88">
                              <w:rPr>
                                <w:color w:val="FFFFFF" w:themeColor="background1"/>
                              </w:rPr>
                              <w:t xml:space="preserve"> </w:t>
                            </w:r>
                            <w:r>
                              <w:rPr>
                                <w:color w:val="FFFFFF" w:themeColor="background1"/>
                              </w:rPr>
                              <w:t xml:space="preserve">RCA </w:t>
                            </w:r>
                            <w:r w:rsidRPr="00FF7D88">
                              <w:rPr>
                                <w:color w:val="FFFFFF" w:themeColor="background1"/>
                              </w:rPr>
                              <w:t>methodology.</w:t>
                            </w:r>
                          </w:p>
                          <w:p w14:paraId="03A2FF05" w14:textId="5771BA5A" w:rsidR="00CD7A43" w:rsidRPr="00FF7D88" w:rsidRDefault="00CD7A43" w:rsidP="00FF7D88">
                            <w:pPr>
                              <w:pStyle w:val="PulloutText"/>
                              <w:rPr>
                                <w:color w:val="FFFFFF" w:themeColor="background1"/>
                              </w:rPr>
                            </w:pPr>
                            <w:r w:rsidRPr="00FF7D88">
                              <w:rPr>
                                <w:color w:val="FFFFFF" w:themeColor="background1"/>
                              </w:rPr>
                              <w:t xml:space="preserve">Following the review, services must submit a RCA report to SCV within </w:t>
                            </w:r>
                            <w:r w:rsidRPr="00FF7D88">
                              <w:rPr>
                                <w:b/>
                                <w:bCs/>
                                <w:color w:val="FFFFFF" w:themeColor="background1"/>
                              </w:rPr>
                              <w:t>30 working days</w:t>
                            </w:r>
                            <w:r w:rsidRPr="00FF7D88">
                              <w:rPr>
                                <w:color w:val="FFFFFF" w:themeColor="background1"/>
                              </w:rPr>
                              <w:t xml:space="preserve"> of the initial notification.</w:t>
                            </w:r>
                          </w:p>
                        </w:txbxContent>
                      </wps:txbx>
                      <wps:bodyPr rot="0" vert="horz" wrap="square" lIns="180000" tIns="180000" rIns="144000" bIns="36000" anchor="t" anchorCtr="0">
                        <a:noAutofit/>
                      </wps:bodyPr>
                    </wps:wsp>
                  </a:graphicData>
                </a:graphic>
              </wp:inline>
            </w:drawing>
          </mc:Choice>
          <mc:Fallback>
            <w:pict>
              <v:shape w14:anchorId="60D126D7" id="_x0000_s1029" type="#_x0000_t202" style="width:164.4pt;height:18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" fillcolor="#62626a [1609]" strokecolor="#edf5f7 [3214]" strokeweight=".5pt">
                <v:textbox inset="5mm,5mm,4mm,1mm">
                  <w:txbxContent>
                    <w:p w14:paraId="4A02C24F" w14:textId="6223C81E" w:rsidR="00CD7A43" w:rsidRPr="00FF7D88" w:rsidRDefault="00CD7A43" w:rsidP="00FF7D88">
                      <w:pPr>
                        <w:pStyle w:val="PulloutHeading"/>
                        <w:rPr>
                          <w:color w:val="FFFFFF" w:themeColor="background1"/>
                        </w:rPr>
                      </w:pPr>
                      <w:r w:rsidRPr="00FF7D88">
                        <w:rPr>
                          <w:color w:val="FFFFFF" w:themeColor="background1"/>
                        </w:rPr>
                        <w:t>2. Review</w:t>
                      </w:r>
                    </w:p>
                    <w:p w14:paraId="18B020DC" w14:textId="0B63A50C" w:rsidR="00CD7A43" w:rsidRPr="00FF7D88" w:rsidRDefault="00CD7A43" w:rsidP="00FF7D88">
                      <w:pPr>
                        <w:pStyle w:val="PulloutText"/>
                        <w:rPr>
                          <w:color w:val="FFFFFF" w:themeColor="background1"/>
                        </w:rPr>
                      </w:pPr>
                      <w:r w:rsidRPr="00FF7D88">
                        <w:rPr>
                          <w:color w:val="FFFFFF" w:themeColor="background1"/>
                        </w:rPr>
                        <w:t xml:space="preserve">Health services must conduct a formal and thorough review </w:t>
                      </w:r>
                      <w:r>
                        <w:rPr>
                          <w:color w:val="FFFFFF" w:themeColor="background1"/>
                        </w:rPr>
                        <w:t>using</w:t>
                      </w:r>
                      <w:r w:rsidRPr="00FF7D88">
                        <w:rPr>
                          <w:color w:val="FFFFFF" w:themeColor="background1"/>
                        </w:rPr>
                        <w:t xml:space="preserve"> </w:t>
                      </w:r>
                      <w:r>
                        <w:rPr>
                          <w:color w:val="FFFFFF" w:themeColor="background1"/>
                        </w:rPr>
                        <w:t xml:space="preserve">RCA </w:t>
                      </w:r>
                      <w:r w:rsidRPr="00FF7D88">
                        <w:rPr>
                          <w:color w:val="FFFFFF" w:themeColor="background1"/>
                        </w:rPr>
                        <w:t>methodology.</w:t>
                      </w:r>
                    </w:p>
                    <w:p w14:paraId="03A2FF05" w14:textId="5771BA5A" w:rsidR="00CD7A43" w:rsidRPr="00FF7D88" w:rsidRDefault="00CD7A43" w:rsidP="00FF7D88">
                      <w:pPr>
                        <w:pStyle w:val="PulloutText"/>
                        <w:rPr>
                          <w:color w:val="FFFFFF" w:themeColor="background1"/>
                        </w:rPr>
                      </w:pPr>
                      <w:r w:rsidRPr="00FF7D88">
                        <w:rPr>
                          <w:color w:val="FFFFFF" w:themeColor="background1"/>
                        </w:rPr>
                        <w:t xml:space="preserve">Following the review, services must submit a RCA report to SCV within </w:t>
                      </w:r>
                      <w:r w:rsidRPr="00FF7D88">
                        <w:rPr>
                          <w:b/>
                          <w:bCs/>
                          <w:color w:val="FFFFFF" w:themeColor="background1"/>
                        </w:rPr>
                        <w:t>30 working days</w:t>
                      </w:r>
                      <w:r w:rsidRPr="00FF7D88">
                        <w:rPr>
                          <w:color w:val="FFFFFF" w:themeColor="background1"/>
                        </w:rPr>
                        <w:t xml:space="preserve"> of the initial notification.</w:t>
                      </w:r>
                    </w:p>
                  </w:txbxContent>
                </v:textbox>
                <w10:anchorlock/>
              </v:shape>
            </w:pict>
          </mc:Fallback>
        </mc:AlternateContent>
      </w:r>
      <w:r w:rsidR="00FF7D88">
        <w:t xml:space="preserve">  </w:t>
      </w:r>
      <w:r w:rsidR="00FF7D88">
        <w:rPr>
          <w:noProof/>
        </w:rPr>
        <mc:AlternateContent>
          <mc:Choice Requires="wps">
            <w:drawing>
              <wp:inline distT="0" distB="0" distL="0" distR="0" wp14:anchorId="382C916A" wp14:editId="592A18EF">
                <wp:extent cx="2088000" cy="2376000"/>
                <wp:effectExtent l="0" t="0" r="26670" b="24765"/>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000" cy="2376000"/>
                        </a:xfrm>
                        <a:prstGeom prst="rect">
                          <a:avLst/>
                        </a:prstGeom>
                        <a:solidFill>
                          <a:schemeClr val="accent6">
                            <a:lumMod val="50000"/>
                          </a:schemeClr>
                        </a:solidFill>
                        <a:ln w="6350">
                          <a:solidFill>
                            <a:schemeClr val="bg2"/>
                          </a:solidFill>
                          <a:miter lim="800000"/>
                          <a:headEnd/>
                          <a:tailEnd/>
                        </a:ln>
                      </wps:spPr>
                      <wps:txbx>
                        <w:txbxContent>
                          <w:p w14:paraId="63B51CA6" w14:textId="6CDF3BA6" w:rsidR="00CD7A43" w:rsidRPr="00FF7D88" w:rsidRDefault="00CD7A43" w:rsidP="00FF7D88">
                            <w:pPr>
                              <w:pStyle w:val="PulloutHeading"/>
                              <w:rPr>
                                <w:color w:val="FFFFFF" w:themeColor="background1"/>
                              </w:rPr>
                            </w:pPr>
                            <w:r w:rsidRPr="00FF7D88">
                              <w:rPr>
                                <w:color w:val="FFFFFF" w:themeColor="background1"/>
                              </w:rPr>
                              <w:t>3. Improve</w:t>
                            </w:r>
                          </w:p>
                          <w:p w14:paraId="3618F4E8" w14:textId="77777777" w:rsidR="00CD7A43" w:rsidRPr="00FF7D88" w:rsidRDefault="00CD7A43" w:rsidP="00FF7D88">
                            <w:pPr>
                              <w:pStyle w:val="PulloutText"/>
                              <w:rPr>
                                <w:color w:val="FFFFFF" w:themeColor="background1"/>
                              </w:rPr>
                            </w:pPr>
                            <w:r w:rsidRPr="00FF7D88">
                              <w:rPr>
                                <w:color w:val="FFFFFF" w:themeColor="background1"/>
                              </w:rPr>
                              <w:t xml:space="preserve">Health services must submit a risk reduction action plan (RRAP) feedback report </w:t>
                            </w:r>
                            <w:r w:rsidRPr="00FF7D88">
                              <w:rPr>
                                <w:b/>
                                <w:bCs/>
                                <w:color w:val="FFFFFF" w:themeColor="background1"/>
                              </w:rPr>
                              <w:t>three months</w:t>
                            </w:r>
                            <w:r w:rsidRPr="00FF7D88">
                              <w:rPr>
                                <w:color w:val="FFFFFF" w:themeColor="background1"/>
                              </w:rPr>
                              <w:t xml:space="preserve"> after the RCA report was submitted. </w:t>
                            </w:r>
                          </w:p>
                          <w:p w14:paraId="767831A2" w14:textId="77777777" w:rsidR="00CD7A43" w:rsidRPr="00FF7D88" w:rsidRDefault="00CD7A43" w:rsidP="00FF7D88">
                            <w:pPr>
                              <w:pStyle w:val="PulloutText"/>
                              <w:rPr>
                                <w:color w:val="FFFFFF" w:themeColor="background1"/>
                              </w:rPr>
                            </w:pPr>
                            <w:r w:rsidRPr="00FF7D88">
                              <w:rPr>
                                <w:color w:val="FFFFFF" w:themeColor="background1"/>
                              </w:rPr>
                              <w:t>This shows the progress made in implementing the recommendations from the RCA report.</w:t>
                            </w:r>
                          </w:p>
                        </w:txbxContent>
                      </wps:txbx>
                      <wps:bodyPr rot="0" vert="horz" wrap="square" lIns="180000" tIns="180000" rIns="144000" bIns="36000" anchor="t" anchorCtr="0">
                        <a:noAutofit/>
                      </wps:bodyPr>
                    </wps:wsp>
                  </a:graphicData>
                </a:graphic>
              </wp:inline>
            </w:drawing>
          </mc:Choice>
          <mc:Fallback>
            <w:pict>
              <v:shape w14:anchorId="382C916A" id="_x0000_s1030" type="#_x0000_t202" style="width:164.4pt;height:18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" fillcolor="#62626a [1609]" strokecolor="#edf5f7 [3214]" strokeweight=".5pt">
                <v:textbox inset="5mm,5mm,4mm,1mm">
                  <w:txbxContent>
                    <w:p w14:paraId="63B51CA6" w14:textId="6CDF3BA6" w:rsidR="00CD7A43" w:rsidRPr="00FF7D88" w:rsidRDefault="00CD7A43" w:rsidP="00FF7D88">
                      <w:pPr>
                        <w:pStyle w:val="PulloutHeading"/>
                        <w:rPr>
                          <w:color w:val="FFFFFF" w:themeColor="background1"/>
                        </w:rPr>
                      </w:pPr>
                      <w:r w:rsidRPr="00FF7D88">
                        <w:rPr>
                          <w:color w:val="FFFFFF" w:themeColor="background1"/>
                        </w:rPr>
                        <w:t>3. Improve</w:t>
                      </w:r>
                    </w:p>
                    <w:p w14:paraId="3618F4E8" w14:textId="77777777" w:rsidR="00CD7A43" w:rsidRPr="00FF7D88" w:rsidRDefault="00CD7A43" w:rsidP="00FF7D88">
                      <w:pPr>
                        <w:pStyle w:val="PulloutText"/>
                        <w:rPr>
                          <w:color w:val="FFFFFF" w:themeColor="background1"/>
                        </w:rPr>
                      </w:pPr>
                      <w:r w:rsidRPr="00FF7D88">
                        <w:rPr>
                          <w:color w:val="FFFFFF" w:themeColor="background1"/>
                        </w:rPr>
                        <w:t xml:space="preserve">Health services must submit a risk reduction action plan (RRAP) feedback report </w:t>
                      </w:r>
                      <w:r w:rsidRPr="00FF7D88">
                        <w:rPr>
                          <w:b/>
                          <w:bCs/>
                          <w:color w:val="FFFFFF" w:themeColor="background1"/>
                        </w:rPr>
                        <w:t>three months</w:t>
                      </w:r>
                      <w:r w:rsidRPr="00FF7D88">
                        <w:rPr>
                          <w:color w:val="FFFFFF" w:themeColor="background1"/>
                        </w:rPr>
                        <w:t xml:space="preserve"> after the RCA report was submitted. </w:t>
                      </w:r>
                    </w:p>
                    <w:p w14:paraId="767831A2" w14:textId="77777777" w:rsidR="00CD7A43" w:rsidRPr="00FF7D88" w:rsidRDefault="00CD7A43" w:rsidP="00FF7D88">
                      <w:pPr>
                        <w:pStyle w:val="PulloutText"/>
                        <w:rPr>
                          <w:color w:val="FFFFFF" w:themeColor="background1"/>
                        </w:rPr>
                      </w:pPr>
                      <w:r w:rsidRPr="00FF7D88">
                        <w:rPr>
                          <w:color w:val="FFFFFF" w:themeColor="background1"/>
                        </w:rPr>
                        <w:t>This shows the progress made in implementing the recommendations from the RCA report.</w:t>
                      </w:r>
                    </w:p>
                  </w:txbxContent>
                </v:textbox>
                <w10:anchorlock/>
              </v:shape>
            </w:pict>
          </mc:Fallback>
        </mc:AlternateContent>
      </w:r>
    </w:p>
    <w:p w14:paraId="5487D4D6" w14:textId="77777777" w:rsidR="00F7504F" w:rsidRDefault="00F7504F" w:rsidP="00F7504F">
      <w:pPr>
        <w:pStyle w:val="Heading3"/>
      </w:pPr>
      <w:bookmarkStart w:id="5" w:name="_Toc530666082"/>
      <w:bookmarkStart w:id="6" w:name="_Toc532460187"/>
      <w:bookmarkStart w:id="7" w:name="_Toc532460409"/>
      <w:r>
        <w:t>What’s new in this report?</w:t>
      </w:r>
      <w:bookmarkEnd w:id="5"/>
      <w:bookmarkEnd w:id="6"/>
      <w:bookmarkEnd w:id="7"/>
    </w:p>
    <w:p w14:paraId="7663659A" w14:textId="7720D8B5" w:rsidR="00F7504F" w:rsidRPr="00AE3267" w:rsidRDefault="00F7504F" w:rsidP="00F7504F">
      <w:pPr>
        <w:pStyle w:val="Bullet1"/>
      </w:pPr>
      <w:r w:rsidRPr="00AE3267">
        <w:rPr>
          <w:b/>
        </w:rPr>
        <w:t xml:space="preserve">Additional </w:t>
      </w:r>
      <w:r w:rsidR="00AA101D" w:rsidRPr="00AE3267">
        <w:rPr>
          <w:b/>
        </w:rPr>
        <w:t>notification</w:t>
      </w:r>
      <w:r w:rsidRPr="00AE3267">
        <w:rPr>
          <w:b/>
        </w:rPr>
        <w:t xml:space="preserve"> detail</w:t>
      </w:r>
      <w:r w:rsidR="0047647D" w:rsidRPr="00AE3267">
        <w:t xml:space="preserve"> Due to improved </w:t>
      </w:r>
      <w:r w:rsidR="00AA101D" w:rsidRPr="00AE3267">
        <w:t>notification</w:t>
      </w:r>
      <w:r w:rsidRPr="00AE3267">
        <w:t xml:space="preserve"> r</w:t>
      </w:r>
      <w:r w:rsidR="00776870">
        <w:t xml:space="preserve">equirements, we can now </w:t>
      </w:r>
      <w:r w:rsidR="00D140DD">
        <w:t xml:space="preserve">share </w:t>
      </w:r>
      <w:r w:rsidRPr="00AE3267">
        <w:t xml:space="preserve">age, </w:t>
      </w:r>
      <w:r w:rsidR="00A82147" w:rsidRPr="00AE3267">
        <w:t xml:space="preserve">location of </w:t>
      </w:r>
      <w:r w:rsidR="00AA101D" w:rsidRPr="00AE3267">
        <w:t>the sentinel event</w:t>
      </w:r>
      <w:r w:rsidR="00A82147" w:rsidRPr="00AE3267">
        <w:t xml:space="preserve"> and </w:t>
      </w:r>
      <w:r w:rsidR="00D140DD">
        <w:t xml:space="preserve">the </w:t>
      </w:r>
      <w:r w:rsidR="00A82147" w:rsidRPr="00AE3267">
        <w:t xml:space="preserve">time </w:t>
      </w:r>
      <w:r w:rsidR="00D140DD">
        <w:t>it took health services to notify</w:t>
      </w:r>
      <w:r w:rsidR="00A82147" w:rsidRPr="00AE3267">
        <w:t xml:space="preserve"> SCV.</w:t>
      </w:r>
    </w:p>
    <w:p w14:paraId="5E3DB6C3" w14:textId="3E5F55BE" w:rsidR="00F7504F" w:rsidRPr="00AE3267" w:rsidRDefault="0061538A" w:rsidP="00F7504F">
      <w:pPr>
        <w:pStyle w:val="Bullet1"/>
      </w:pPr>
      <w:r w:rsidRPr="00AE3267">
        <w:rPr>
          <w:b/>
        </w:rPr>
        <w:t xml:space="preserve">Timeliness of learning and </w:t>
      </w:r>
      <w:r w:rsidR="00AE3267" w:rsidRPr="00AE3267">
        <w:rPr>
          <w:b/>
        </w:rPr>
        <w:t xml:space="preserve">improving </w:t>
      </w:r>
      <w:r w:rsidR="00AE3267" w:rsidRPr="00AE3267">
        <w:t>The</w:t>
      </w:r>
      <w:r w:rsidR="00336C89" w:rsidRPr="00AE3267">
        <w:t xml:space="preserve"> timeframe for RCA report submission</w:t>
      </w:r>
      <w:r w:rsidR="00A82147" w:rsidRPr="00AE3267">
        <w:t xml:space="preserve"> was reduced </w:t>
      </w:r>
      <w:r w:rsidRPr="00AE3267">
        <w:t xml:space="preserve">to </w:t>
      </w:r>
      <w:r w:rsidR="00FB5E58">
        <w:t xml:space="preserve">30 </w:t>
      </w:r>
      <w:r w:rsidRPr="00AE3267">
        <w:t xml:space="preserve">calendar days </w:t>
      </w:r>
      <w:r w:rsidR="00D140DD">
        <w:t>in 2017–</w:t>
      </w:r>
      <w:r w:rsidR="00336C89" w:rsidRPr="00AE3267">
        <w:t>18</w:t>
      </w:r>
      <w:r w:rsidRPr="00AE3267">
        <w:t>.</w:t>
      </w:r>
      <w:r w:rsidR="00F7504F" w:rsidRPr="00AE3267">
        <w:t xml:space="preserve"> </w:t>
      </w:r>
      <w:r w:rsidRPr="00AE3267">
        <w:t>W</w:t>
      </w:r>
      <w:r w:rsidR="00F7504F" w:rsidRPr="00AE3267">
        <w:t xml:space="preserve">e now report on </w:t>
      </w:r>
      <w:r w:rsidRPr="00AE3267">
        <w:t>how many health service</w:t>
      </w:r>
      <w:r w:rsidR="00FB5E58">
        <w:t>s</w:t>
      </w:r>
      <w:r w:rsidRPr="00AE3267">
        <w:t xml:space="preserve"> meet </w:t>
      </w:r>
      <w:r w:rsidR="00F7504F" w:rsidRPr="00AE3267">
        <w:t>this</w:t>
      </w:r>
      <w:r w:rsidRPr="00AE3267">
        <w:t xml:space="preserve"> </w:t>
      </w:r>
      <w:r w:rsidR="00F7504F" w:rsidRPr="00AE3267">
        <w:t>timeframe.</w:t>
      </w:r>
    </w:p>
    <w:p w14:paraId="00992D63" w14:textId="51781DF6" w:rsidR="00F7504F" w:rsidRPr="00AE3267" w:rsidRDefault="00F7504F" w:rsidP="00F7504F">
      <w:pPr>
        <w:pStyle w:val="Bullet1"/>
      </w:pPr>
      <w:r w:rsidRPr="00AE3267">
        <w:rPr>
          <w:b/>
        </w:rPr>
        <w:t>RCA team membership</w:t>
      </w:r>
      <w:r w:rsidRPr="00AE3267">
        <w:t xml:space="preserve"> We are now able to report on whether external </w:t>
      </w:r>
      <w:r w:rsidR="0061538A" w:rsidRPr="00AE3267">
        <w:t xml:space="preserve">experts </w:t>
      </w:r>
      <w:r w:rsidRPr="00AE3267">
        <w:t>or consumer</w:t>
      </w:r>
      <w:r w:rsidR="0061538A" w:rsidRPr="00AE3267">
        <w:t>s</w:t>
      </w:r>
      <w:r w:rsidRPr="00AE3267">
        <w:t xml:space="preserve"> are </w:t>
      </w:r>
      <w:r w:rsidR="0061538A" w:rsidRPr="00AE3267">
        <w:t>included</w:t>
      </w:r>
      <w:r w:rsidRPr="00AE3267">
        <w:t xml:space="preserve"> in sentinel event review</w:t>
      </w:r>
      <w:r w:rsidR="0061538A" w:rsidRPr="00AE3267">
        <w:t xml:space="preserve"> teams</w:t>
      </w:r>
      <w:r w:rsidRPr="00AE3267">
        <w:t>.</w:t>
      </w:r>
    </w:p>
    <w:p w14:paraId="0F6EDA94" w14:textId="45B9967C" w:rsidR="0060775D" w:rsidRDefault="0061538A" w:rsidP="00A25568">
      <w:pPr>
        <w:pStyle w:val="Bullet1"/>
      </w:pPr>
      <w:r w:rsidRPr="00AE3267">
        <w:rPr>
          <w:b/>
        </w:rPr>
        <w:t>Feedback on</w:t>
      </w:r>
      <w:r w:rsidR="00A82147" w:rsidRPr="00AE3267">
        <w:rPr>
          <w:b/>
        </w:rPr>
        <w:t xml:space="preserve"> RCA </w:t>
      </w:r>
      <w:r w:rsidRPr="00AE3267">
        <w:rPr>
          <w:b/>
        </w:rPr>
        <w:t xml:space="preserve">reports </w:t>
      </w:r>
      <w:r w:rsidR="00FB5E58" w:rsidRPr="00FB5E58">
        <w:t>We can now share how many RCA reports we reviewed through our n</w:t>
      </w:r>
      <w:r w:rsidR="00A82147" w:rsidRPr="00FB5E58">
        <w:t>ew</w:t>
      </w:r>
      <w:r w:rsidR="00A82147" w:rsidRPr="00AE3267">
        <w:t xml:space="preserve"> quality assurance processes.</w:t>
      </w:r>
      <w:r w:rsidR="0060775D">
        <w:br w:type="page"/>
      </w:r>
    </w:p>
    <w:sdt>
      <w:sdtPr>
        <w:rPr>
          <w:rFonts w:asciiTheme="minorHAnsi" w:eastAsiaTheme="minorEastAsia" w:hAnsiTheme="minorHAnsi" w:cstheme="minorBidi"/>
          <w:bCs w:val="0"/>
          <w:color w:val="auto"/>
          <w:spacing w:val="0"/>
          <w:sz w:val="20"/>
          <w:szCs w:val="20"/>
        </w:rPr>
        <w:id w:val="931940449"/>
        <w:docPartObj>
          <w:docPartGallery w:val="Table of Contents"/>
          <w:docPartUnique/>
        </w:docPartObj>
      </w:sdtPr>
      <w:sdtEndPr>
        <w:rPr>
          <w:rFonts w:ascii="VIC" w:hAnsi="VIC"/>
          <w:noProof/>
        </w:rPr>
      </w:sdtEndPr>
      <w:sdtContent>
        <w:p w14:paraId="2AC4084E" w14:textId="77777777" w:rsidR="0060775D" w:rsidRPr="0060775D" w:rsidRDefault="0060775D" w:rsidP="0060775D">
          <w:pPr>
            <w:pStyle w:val="TOCHeading"/>
            <w:framePr w:wrap="around"/>
          </w:pPr>
          <w:r w:rsidRPr="0060775D">
            <w:t>Contents</w:t>
          </w:r>
        </w:p>
        <w:p w14:paraId="3C9C349F" w14:textId="1FEE48CA" w:rsidR="00FB5E58" w:rsidRDefault="0060775D" w:rsidP="00FB5E58">
          <w:pPr>
            <w:pStyle w:val="TOC1"/>
            <w:spacing w:before="120" w:after="120" w:line="240" w:lineRule="auto"/>
            <w:rPr>
              <w:rFonts w:asciiTheme="minorHAnsi" w:hAnsiTheme="minorHAnsi"/>
              <w:b w:val="0"/>
              <w:sz w:val="22"/>
              <w:szCs w:val="22"/>
              <w:lang w:eastAsia="en-AU"/>
            </w:rPr>
          </w:pPr>
          <w:r>
            <w:fldChar w:fldCharType="begin"/>
          </w:r>
          <w:r>
            <w:instrText xml:space="preserve"> TOC \o "1-3" \h \z \u </w:instrText>
          </w:r>
          <w:r>
            <w:fldChar w:fldCharType="separate"/>
          </w:r>
        </w:p>
        <w:p w14:paraId="76AC9EBA" w14:textId="413908F0" w:rsidR="00FB5E58" w:rsidRDefault="002F2BE0" w:rsidP="00FB5E58">
          <w:pPr>
            <w:pStyle w:val="TOC1"/>
            <w:spacing w:before="120" w:after="120" w:line="240" w:lineRule="auto"/>
            <w:rPr>
              <w:rFonts w:asciiTheme="minorHAnsi" w:hAnsiTheme="minorHAnsi"/>
              <w:b w:val="0"/>
              <w:sz w:val="22"/>
              <w:szCs w:val="22"/>
              <w:lang w:eastAsia="en-AU"/>
            </w:rPr>
          </w:pPr>
          <w:hyperlink w:anchor="_Toc532460410" w:history="1">
            <w:r w:rsidR="00FB5E58" w:rsidRPr="00DB3CDD">
              <w:rPr>
                <w:rStyle w:val="Hyperlink"/>
              </w:rPr>
              <w:t>At a glance 2017–18</w:t>
            </w:r>
            <w:r w:rsidR="00FB5E58">
              <w:rPr>
                <w:webHidden/>
              </w:rPr>
              <w:tab/>
            </w:r>
            <w:r w:rsidR="00FB5E58">
              <w:rPr>
                <w:webHidden/>
              </w:rPr>
              <w:fldChar w:fldCharType="begin"/>
            </w:r>
            <w:r w:rsidR="00FB5E58">
              <w:rPr>
                <w:webHidden/>
              </w:rPr>
              <w:instrText xml:space="preserve"> PAGEREF _Toc532460410 \h </w:instrText>
            </w:r>
            <w:r w:rsidR="00FB5E58">
              <w:rPr>
                <w:webHidden/>
              </w:rPr>
            </w:r>
            <w:r w:rsidR="00FB5E58">
              <w:rPr>
                <w:webHidden/>
              </w:rPr>
              <w:fldChar w:fldCharType="separate"/>
            </w:r>
            <w:r>
              <w:rPr>
                <w:webHidden/>
              </w:rPr>
              <w:t>4</w:t>
            </w:r>
            <w:r w:rsidR="00FB5E58">
              <w:rPr>
                <w:webHidden/>
              </w:rPr>
              <w:fldChar w:fldCharType="end"/>
            </w:r>
          </w:hyperlink>
        </w:p>
        <w:p w14:paraId="57523643" w14:textId="5562BA23" w:rsidR="00FB5E58" w:rsidRDefault="002F2BE0" w:rsidP="00FB5E58">
          <w:pPr>
            <w:pStyle w:val="TOC1"/>
            <w:spacing w:before="120" w:after="120" w:line="240" w:lineRule="auto"/>
            <w:rPr>
              <w:rFonts w:asciiTheme="minorHAnsi" w:hAnsiTheme="minorHAnsi"/>
              <w:b w:val="0"/>
              <w:sz w:val="22"/>
              <w:szCs w:val="22"/>
              <w:lang w:eastAsia="en-AU"/>
            </w:rPr>
          </w:pPr>
          <w:hyperlink w:anchor="_Toc532460411" w:history="1">
            <w:r w:rsidR="00FB5E58" w:rsidRPr="00DB3CDD">
              <w:rPr>
                <w:rStyle w:val="Hyperlink"/>
              </w:rPr>
              <w:t>CEO foreword</w:t>
            </w:r>
            <w:r w:rsidR="00FB5E58">
              <w:rPr>
                <w:webHidden/>
              </w:rPr>
              <w:tab/>
            </w:r>
            <w:r w:rsidR="00FB5E58">
              <w:rPr>
                <w:webHidden/>
              </w:rPr>
              <w:fldChar w:fldCharType="begin"/>
            </w:r>
            <w:r w:rsidR="00FB5E58">
              <w:rPr>
                <w:webHidden/>
              </w:rPr>
              <w:instrText xml:space="preserve"> PAGEREF _Toc532460411 \h </w:instrText>
            </w:r>
            <w:r w:rsidR="00FB5E58">
              <w:rPr>
                <w:webHidden/>
              </w:rPr>
            </w:r>
            <w:r w:rsidR="00FB5E58">
              <w:rPr>
                <w:webHidden/>
              </w:rPr>
              <w:fldChar w:fldCharType="separate"/>
            </w:r>
            <w:r>
              <w:rPr>
                <w:webHidden/>
              </w:rPr>
              <w:t>5</w:t>
            </w:r>
            <w:r w:rsidR="00FB5E58">
              <w:rPr>
                <w:webHidden/>
              </w:rPr>
              <w:fldChar w:fldCharType="end"/>
            </w:r>
          </w:hyperlink>
        </w:p>
        <w:p w14:paraId="07F88960" w14:textId="55F525EB" w:rsidR="00FB5E58" w:rsidRDefault="00FB5E58" w:rsidP="00FB5E58">
          <w:pPr>
            <w:pStyle w:val="TOC1"/>
            <w:spacing w:before="120" w:after="120" w:line="240" w:lineRule="auto"/>
            <w:rPr>
              <w:rFonts w:asciiTheme="minorHAnsi" w:hAnsiTheme="minorHAnsi"/>
              <w:b w:val="0"/>
              <w:sz w:val="22"/>
              <w:szCs w:val="22"/>
              <w:lang w:eastAsia="en-AU"/>
            </w:rPr>
          </w:pPr>
          <w:r>
            <w:rPr>
              <w:rStyle w:val="Hyperlink"/>
            </w:rPr>
            <w:t xml:space="preserve">1. </w:t>
          </w:r>
          <w:hyperlink w:anchor="_Toc532460412" w:history="1">
            <w:r w:rsidRPr="00DB3CDD">
              <w:rPr>
                <w:rStyle w:val="Hyperlink"/>
              </w:rPr>
              <w:t>Notifying</w:t>
            </w:r>
            <w:r>
              <w:rPr>
                <w:webHidden/>
              </w:rPr>
              <w:tab/>
            </w:r>
            <w:r>
              <w:rPr>
                <w:webHidden/>
              </w:rPr>
              <w:fldChar w:fldCharType="begin"/>
            </w:r>
            <w:r>
              <w:rPr>
                <w:webHidden/>
              </w:rPr>
              <w:instrText xml:space="preserve"> PAGEREF _Toc532460412 \h </w:instrText>
            </w:r>
            <w:r>
              <w:rPr>
                <w:webHidden/>
              </w:rPr>
            </w:r>
            <w:r>
              <w:rPr>
                <w:webHidden/>
              </w:rPr>
              <w:fldChar w:fldCharType="separate"/>
            </w:r>
            <w:r w:rsidR="002F2BE0">
              <w:rPr>
                <w:webHidden/>
              </w:rPr>
              <w:t>6</w:t>
            </w:r>
            <w:r>
              <w:rPr>
                <w:webHidden/>
              </w:rPr>
              <w:fldChar w:fldCharType="end"/>
            </w:r>
          </w:hyperlink>
        </w:p>
        <w:p w14:paraId="64BAE3F7" w14:textId="346031D5" w:rsidR="00FB5E58" w:rsidRDefault="002F2BE0" w:rsidP="00FB5E58">
          <w:pPr>
            <w:pStyle w:val="TOC2"/>
            <w:spacing w:before="120" w:after="120"/>
            <w:rPr>
              <w:rFonts w:asciiTheme="minorHAnsi" w:hAnsiTheme="minorHAnsi"/>
              <w:b w:val="0"/>
              <w:color w:val="auto"/>
              <w:sz w:val="22"/>
              <w:szCs w:val="22"/>
            </w:rPr>
          </w:pPr>
          <w:hyperlink w:anchor="_Toc532460413" w:history="1">
            <w:r w:rsidR="00FB5E58" w:rsidRPr="00DB3CDD">
              <w:rPr>
                <w:rStyle w:val="Hyperlink"/>
              </w:rPr>
              <w:t>What health services reported</w:t>
            </w:r>
            <w:r w:rsidR="00FB5E58">
              <w:rPr>
                <w:webHidden/>
              </w:rPr>
              <w:tab/>
            </w:r>
            <w:r w:rsidR="00FB5E58">
              <w:rPr>
                <w:webHidden/>
              </w:rPr>
              <w:fldChar w:fldCharType="begin"/>
            </w:r>
            <w:r w:rsidR="00FB5E58">
              <w:rPr>
                <w:webHidden/>
              </w:rPr>
              <w:instrText xml:space="preserve"> PAGEREF _Toc532460413 \h </w:instrText>
            </w:r>
            <w:r w:rsidR="00FB5E58">
              <w:rPr>
                <w:webHidden/>
              </w:rPr>
            </w:r>
            <w:r w:rsidR="00FB5E58">
              <w:rPr>
                <w:webHidden/>
              </w:rPr>
              <w:fldChar w:fldCharType="separate"/>
            </w:r>
            <w:r>
              <w:rPr>
                <w:webHidden/>
              </w:rPr>
              <w:t>6</w:t>
            </w:r>
            <w:r w:rsidR="00FB5E58">
              <w:rPr>
                <w:webHidden/>
              </w:rPr>
              <w:fldChar w:fldCharType="end"/>
            </w:r>
          </w:hyperlink>
        </w:p>
        <w:p w14:paraId="5443C9F7" w14:textId="4F564207" w:rsidR="00FB5E58" w:rsidRDefault="002F2BE0" w:rsidP="00FB5E58">
          <w:pPr>
            <w:pStyle w:val="TOC2"/>
            <w:spacing w:before="120" w:after="120"/>
            <w:rPr>
              <w:rFonts w:asciiTheme="minorHAnsi" w:hAnsiTheme="minorHAnsi"/>
              <w:b w:val="0"/>
              <w:color w:val="auto"/>
              <w:sz w:val="22"/>
              <w:szCs w:val="22"/>
            </w:rPr>
          </w:pPr>
          <w:hyperlink w:anchor="_Toc532460415" w:history="1">
            <w:r w:rsidR="00FB5E58" w:rsidRPr="00DB3CDD">
              <w:rPr>
                <w:rStyle w:val="Hyperlink"/>
              </w:rPr>
              <w:t>The notification rate</w:t>
            </w:r>
            <w:r w:rsidR="00FB5E58">
              <w:rPr>
                <w:webHidden/>
              </w:rPr>
              <w:tab/>
            </w:r>
            <w:r w:rsidR="00FB5E58">
              <w:rPr>
                <w:webHidden/>
              </w:rPr>
              <w:fldChar w:fldCharType="begin"/>
            </w:r>
            <w:r w:rsidR="00FB5E58">
              <w:rPr>
                <w:webHidden/>
              </w:rPr>
              <w:instrText xml:space="preserve"> PAGEREF _Toc532460415 \h </w:instrText>
            </w:r>
            <w:r w:rsidR="00FB5E58">
              <w:rPr>
                <w:webHidden/>
              </w:rPr>
            </w:r>
            <w:r w:rsidR="00FB5E58">
              <w:rPr>
                <w:webHidden/>
              </w:rPr>
              <w:fldChar w:fldCharType="separate"/>
            </w:r>
            <w:r>
              <w:rPr>
                <w:webHidden/>
              </w:rPr>
              <w:t>7</w:t>
            </w:r>
            <w:r w:rsidR="00FB5E58">
              <w:rPr>
                <w:webHidden/>
              </w:rPr>
              <w:fldChar w:fldCharType="end"/>
            </w:r>
          </w:hyperlink>
        </w:p>
        <w:p w14:paraId="47A7DBAD" w14:textId="3821715E" w:rsidR="00FB5E58" w:rsidRDefault="002F2BE0" w:rsidP="00FB5E58">
          <w:pPr>
            <w:pStyle w:val="TOC2"/>
            <w:spacing w:before="120" w:after="120"/>
            <w:rPr>
              <w:rFonts w:asciiTheme="minorHAnsi" w:hAnsiTheme="minorHAnsi"/>
              <w:b w:val="0"/>
              <w:color w:val="auto"/>
              <w:sz w:val="22"/>
              <w:szCs w:val="22"/>
            </w:rPr>
          </w:pPr>
          <w:hyperlink w:anchor="_Toc532460416" w:history="1">
            <w:r w:rsidR="00FB5E58" w:rsidRPr="00DB3CDD">
              <w:rPr>
                <w:rStyle w:val="Hyperlink"/>
              </w:rPr>
              <w:t>Outcome of sentinel events</w:t>
            </w:r>
            <w:r w:rsidR="00FB5E58">
              <w:rPr>
                <w:webHidden/>
              </w:rPr>
              <w:tab/>
            </w:r>
            <w:r w:rsidR="00FB5E58">
              <w:rPr>
                <w:webHidden/>
              </w:rPr>
              <w:fldChar w:fldCharType="begin"/>
            </w:r>
            <w:r w:rsidR="00FB5E58">
              <w:rPr>
                <w:webHidden/>
              </w:rPr>
              <w:instrText xml:space="preserve"> PAGEREF _Toc532460416 \h </w:instrText>
            </w:r>
            <w:r w:rsidR="00FB5E58">
              <w:rPr>
                <w:webHidden/>
              </w:rPr>
            </w:r>
            <w:r w:rsidR="00FB5E58">
              <w:rPr>
                <w:webHidden/>
              </w:rPr>
              <w:fldChar w:fldCharType="separate"/>
            </w:r>
            <w:r>
              <w:rPr>
                <w:webHidden/>
              </w:rPr>
              <w:t>9</w:t>
            </w:r>
            <w:r w:rsidR="00FB5E58">
              <w:rPr>
                <w:webHidden/>
              </w:rPr>
              <w:fldChar w:fldCharType="end"/>
            </w:r>
          </w:hyperlink>
        </w:p>
        <w:p w14:paraId="0DA3589D" w14:textId="03D9B675" w:rsidR="00FB5E58" w:rsidRDefault="002F2BE0" w:rsidP="00FB5E58">
          <w:pPr>
            <w:pStyle w:val="TOC2"/>
            <w:spacing w:before="120" w:after="120"/>
            <w:rPr>
              <w:rFonts w:asciiTheme="minorHAnsi" w:hAnsiTheme="minorHAnsi"/>
              <w:b w:val="0"/>
              <w:color w:val="auto"/>
              <w:sz w:val="22"/>
              <w:szCs w:val="22"/>
            </w:rPr>
          </w:pPr>
          <w:hyperlink w:anchor="_Toc532460417" w:history="1">
            <w:r w:rsidR="00FB5E58" w:rsidRPr="00DB3CDD">
              <w:rPr>
                <w:rStyle w:val="Hyperlink"/>
              </w:rPr>
              <w:t>Category distribution</w:t>
            </w:r>
            <w:r w:rsidR="00FB5E58">
              <w:rPr>
                <w:webHidden/>
              </w:rPr>
              <w:tab/>
            </w:r>
            <w:r w:rsidR="00FB5E58">
              <w:rPr>
                <w:webHidden/>
              </w:rPr>
              <w:fldChar w:fldCharType="begin"/>
            </w:r>
            <w:r w:rsidR="00FB5E58">
              <w:rPr>
                <w:webHidden/>
              </w:rPr>
              <w:instrText xml:space="preserve"> PAGEREF _Toc532460417 \h </w:instrText>
            </w:r>
            <w:r w:rsidR="00FB5E58">
              <w:rPr>
                <w:webHidden/>
              </w:rPr>
            </w:r>
            <w:r w:rsidR="00FB5E58">
              <w:rPr>
                <w:webHidden/>
              </w:rPr>
              <w:fldChar w:fldCharType="separate"/>
            </w:r>
            <w:r>
              <w:rPr>
                <w:webHidden/>
              </w:rPr>
              <w:t>10</w:t>
            </w:r>
            <w:r w:rsidR="00FB5E58">
              <w:rPr>
                <w:webHidden/>
              </w:rPr>
              <w:fldChar w:fldCharType="end"/>
            </w:r>
          </w:hyperlink>
        </w:p>
        <w:p w14:paraId="4E8B2D91" w14:textId="7F37AD17" w:rsidR="00FB5E58" w:rsidRDefault="002F2BE0" w:rsidP="00FB5E58">
          <w:pPr>
            <w:pStyle w:val="TOC2"/>
            <w:spacing w:before="120" w:after="120"/>
            <w:rPr>
              <w:rFonts w:asciiTheme="minorHAnsi" w:hAnsiTheme="minorHAnsi"/>
              <w:b w:val="0"/>
              <w:color w:val="auto"/>
              <w:sz w:val="22"/>
              <w:szCs w:val="22"/>
            </w:rPr>
          </w:pPr>
          <w:hyperlink w:anchor="_Toc532460418" w:history="1">
            <w:r w:rsidR="00FB5E58" w:rsidRPr="00DB3CDD">
              <w:rPr>
                <w:rStyle w:val="Hyperlink"/>
              </w:rPr>
              <w:t>Category 9: Other catastrophic: ISR 1</w:t>
            </w:r>
            <w:r w:rsidR="00FB5E58">
              <w:rPr>
                <w:webHidden/>
              </w:rPr>
              <w:tab/>
            </w:r>
            <w:r w:rsidR="00FB5E58">
              <w:rPr>
                <w:webHidden/>
              </w:rPr>
              <w:fldChar w:fldCharType="begin"/>
            </w:r>
            <w:r w:rsidR="00FB5E58">
              <w:rPr>
                <w:webHidden/>
              </w:rPr>
              <w:instrText xml:space="preserve"> PAGEREF _Toc532460418 \h </w:instrText>
            </w:r>
            <w:r w:rsidR="00FB5E58">
              <w:rPr>
                <w:webHidden/>
              </w:rPr>
            </w:r>
            <w:r w:rsidR="00FB5E58">
              <w:rPr>
                <w:webHidden/>
              </w:rPr>
              <w:fldChar w:fldCharType="separate"/>
            </w:r>
            <w:r>
              <w:rPr>
                <w:webHidden/>
              </w:rPr>
              <w:t>11</w:t>
            </w:r>
            <w:r w:rsidR="00FB5E58">
              <w:rPr>
                <w:webHidden/>
              </w:rPr>
              <w:fldChar w:fldCharType="end"/>
            </w:r>
          </w:hyperlink>
        </w:p>
        <w:p w14:paraId="4C5FE5CC" w14:textId="71F03943" w:rsidR="00FB5E58" w:rsidRDefault="002F2BE0" w:rsidP="00FB5E58">
          <w:pPr>
            <w:pStyle w:val="TOC2"/>
            <w:spacing w:before="120" w:after="120"/>
            <w:rPr>
              <w:rFonts w:asciiTheme="minorHAnsi" w:hAnsiTheme="minorHAnsi"/>
              <w:b w:val="0"/>
              <w:color w:val="auto"/>
              <w:sz w:val="22"/>
              <w:szCs w:val="22"/>
            </w:rPr>
          </w:pPr>
          <w:hyperlink w:anchor="_Toc532460419" w:history="1">
            <w:r w:rsidR="00FB5E58" w:rsidRPr="00DB3CDD">
              <w:rPr>
                <w:rStyle w:val="Hyperlink"/>
              </w:rPr>
              <w:t>The year ahead</w:t>
            </w:r>
            <w:r w:rsidR="00FB5E58">
              <w:rPr>
                <w:webHidden/>
              </w:rPr>
              <w:tab/>
            </w:r>
            <w:r w:rsidR="00FB5E58">
              <w:rPr>
                <w:webHidden/>
              </w:rPr>
              <w:fldChar w:fldCharType="begin"/>
            </w:r>
            <w:r w:rsidR="00FB5E58">
              <w:rPr>
                <w:webHidden/>
              </w:rPr>
              <w:instrText xml:space="preserve"> PAGEREF _Toc532460419 \h </w:instrText>
            </w:r>
            <w:r w:rsidR="00FB5E58">
              <w:rPr>
                <w:webHidden/>
              </w:rPr>
            </w:r>
            <w:r w:rsidR="00FB5E58">
              <w:rPr>
                <w:webHidden/>
              </w:rPr>
              <w:fldChar w:fldCharType="separate"/>
            </w:r>
            <w:r>
              <w:rPr>
                <w:webHidden/>
              </w:rPr>
              <w:t>13</w:t>
            </w:r>
            <w:r w:rsidR="00FB5E58">
              <w:rPr>
                <w:webHidden/>
              </w:rPr>
              <w:fldChar w:fldCharType="end"/>
            </w:r>
          </w:hyperlink>
        </w:p>
        <w:p w14:paraId="65B3BA4B" w14:textId="32B6FFCD" w:rsidR="00FB5E58" w:rsidRDefault="002F2BE0" w:rsidP="00FB5E58">
          <w:pPr>
            <w:pStyle w:val="TOC1"/>
            <w:spacing w:before="120" w:after="120" w:line="240" w:lineRule="auto"/>
            <w:rPr>
              <w:rFonts w:asciiTheme="minorHAnsi" w:hAnsiTheme="minorHAnsi"/>
              <w:b w:val="0"/>
              <w:sz w:val="22"/>
              <w:szCs w:val="22"/>
              <w:lang w:eastAsia="en-AU"/>
            </w:rPr>
          </w:pPr>
          <w:hyperlink w:anchor="_Toc532460422" w:history="1">
            <w:r w:rsidR="00FB5E58" w:rsidRPr="00DB3CDD">
              <w:rPr>
                <w:rStyle w:val="Hyperlink"/>
              </w:rPr>
              <w:t>2. Reviewing</w:t>
            </w:r>
            <w:r w:rsidR="00FB5E58">
              <w:rPr>
                <w:webHidden/>
              </w:rPr>
              <w:tab/>
            </w:r>
            <w:r w:rsidR="00FB5E58">
              <w:rPr>
                <w:webHidden/>
              </w:rPr>
              <w:fldChar w:fldCharType="begin"/>
            </w:r>
            <w:r w:rsidR="00FB5E58">
              <w:rPr>
                <w:webHidden/>
              </w:rPr>
              <w:instrText xml:space="preserve"> PAGEREF _Toc532460422 \h </w:instrText>
            </w:r>
            <w:r w:rsidR="00FB5E58">
              <w:rPr>
                <w:webHidden/>
              </w:rPr>
            </w:r>
            <w:r w:rsidR="00FB5E58">
              <w:rPr>
                <w:webHidden/>
              </w:rPr>
              <w:fldChar w:fldCharType="separate"/>
            </w:r>
            <w:r>
              <w:rPr>
                <w:webHidden/>
              </w:rPr>
              <w:t>15</w:t>
            </w:r>
            <w:r w:rsidR="00FB5E58">
              <w:rPr>
                <w:webHidden/>
              </w:rPr>
              <w:fldChar w:fldCharType="end"/>
            </w:r>
          </w:hyperlink>
        </w:p>
        <w:p w14:paraId="3AFEAC75" w14:textId="1D50BDD5" w:rsidR="00FB5E58" w:rsidRDefault="002F2BE0" w:rsidP="00FB5E58">
          <w:pPr>
            <w:pStyle w:val="TOC2"/>
            <w:spacing w:before="120" w:after="120"/>
            <w:rPr>
              <w:rFonts w:asciiTheme="minorHAnsi" w:hAnsiTheme="minorHAnsi"/>
              <w:b w:val="0"/>
              <w:color w:val="auto"/>
              <w:sz w:val="22"/>
              <w:szCs w:val="22"/>
            </w:rPr>
          </w:pPr>
          <w:hyperlink w:anchor="_Toc532460423" w:history="1">
            <w:r w:rsidR="00FB5E58" w:rsidRPr="00DB3CDD">
              <w:rPr>
                <w:rStyle w:val="Hyperlink"/>
              </w:rPr>
              <w:t>Timeliness of report submission</w:t>
            </w:r>
            <w:r w:rsidR="00FB5E58">
              <w:rPr>
                <w:webHidden/>
              </w:rPr>
              <w:tab/>
            </w:r>
            <w:r w:rsidR="00FB5E58">
              <w:rPr>
                <w:webHidden/>
              </w:rPr>
              <w:fldChar w:fldCharType="begin"/>
            </w:r>
            <w:r w:rsidR="00FB5E58">
              <w:rPr>
                <w:webHidden/>
              </w:rPr>
              <w:instrText xml:space="preserve"> PAGEREF _Toc532460423 \h </w:instrText>
            </w:r>
            <w:r w:rsidR="00FB5E58">
              <w:rPr>
                <w:webHidden/>
              </w:rPr>
            </w:r>
            <w:r w:rsidR="00FB5E58">
              <w:rPr>
                <w:webHidden/>
              </w:rPr>
              <w:fldChar w:fldCharType="separate"/>
            </w:r>
            <w:r>
              <w:rPr>
                <w:webHidden/>
              </w:rPr>
              <w:t>15</w:t>
            </w:r>
            <w:r w:rsidR="00FB5E58">
              <w:rPr>
                <w:webHidden/>
              </w:rPr>
              <w:fldChar w:fldCharType="end"/>
            </w:r>
          </w:hyperlink>
        </w:p>
        <w:p w14:paraId="572ADCD8" w14:textId="40C6A010" w:rsidR="00FB5E58" w:rsidRDefault="002F2BE0" w:rsidP="00FB5E58">
          <w:pPr>
            <w:pStyle w:val="TOC2"/>
            <w:spacing w:before="120" w:after="120"/>
            <w:rPr>
              <w:rFonts w:asciiTheme="minorHAnsi" w:hAnsiTheme="minorHAnsi"/>
              <w:b w:val="0"/>
              <w:color w:val="auto"/>
              <w:sz w:val="22"/>
              <w:szCs w:val="22"/>
            </w:rPr>
          </w:pPr>
          <w:hyperlink w:anchor="_Toc532460424" w:history="1">
            <w:r w:rsidR="00FB5E58" w:rsidRPr="00DB3CDD">
              <w:rPr>
                <w:rStyle w:val="Hyperlink"/>
              </w:rPr>
              <w:t>Review team membership</w:t>
            </w:r>
            <w:r w:rsidR="00FB5E58">
              <w:rPr>
                <w:webHidden/>
              </w:rPr>
              <w:tab/>
            </w:r>
            <w:r w:rsidR="00FB5E58">
              <w:rPr>
                <w:webHidden/>
              </w:rPr>
              <w:fldChar w:fldCharType="begin"/>
            </w:r>
            <w:r w:rsidR="00FB5E58">
              <w:rPr>
                <w:webHidden/>
              </w:rPr>
              <w:instrText xml:space="preserve"> PAGEREF _Toc532460424 \h </w:instrText>
            </w:r>
            <w:r w:rsidR="00FB5E58">
              <w:rPr>
                <w:webHidden/>
              </w:rPr>
            </w:r>
            <w:r w:rsidR="00FB5E58">
              <w:rPr>
                <w:webHidden/>
              </w:rPr>
              <w:fldChar w:fldCharType="separate"/>
            </w:r>
            <w:r>
              <w:rPr>
                <w:webHidden/>
              </w:rPr>
              <w:t>16</w:t>
            </w:r>
            <w:r w:rsidR="00FB5E58">
              <w:rPr>
                <w:webHidden/>
              </w:rPr>
              <w:fldChar w:fldCharType="end"/>
            </w:r>
          </w:hyperlink>
        </w:p>
        <w:p w14:paraId="22672A3B" w14:textId="11099345" w:rsidR="00FB5E58" w:rsidRDefault="002F2BE0" w:rsidP="00FB5E58">
          <w:pPr>
            <w:pStyle w:val="TOC2"/>
            <w:spacing w:before="120" w:after="120"/>
            <w:rPr>
              <w:rFonts w:asciiTheme="minorHAnsi" w:hAnsiTheme="minorHAnsi"/>
              <w:b w:val="0"/>
              <w:color w:val="auto"/>
              <w:sz w:val="22"/>
              <w:szCs w:val="22"/>
            </w:rPr>
          </w:pPr>
          <w:hyperlink w:anchor="_Toc532460425" w:history="1">
            <w:r w:rsidR="00FB5E58" w:rsidRPr="00DB3CDD">
              <w:rPr>
                <w:rStyle w:val="Hyperlink"/>
              </w:rPr>
              <w:t>Recommendations</w:t>
            </w:r>
            <w:r w:rsidR="00FB5E58">
              <w:rPr>
                <w:webHidden/>
              </w:rPr>
              <w:tab/>
            </w:r>
            <w:r w:rsidR="00FB5E58">
              <w:rPr>
                <w:webHidden/>
              </w:rPr>
              <w:fldChar w:fldCharType="begin"/>
            </w:r>
            <w:r w:rsidR="00FB5E58">
              <w:rPr>
                <w:webHidden/>
              </w:rPr>
              <w:instrText xml:space="preserve"> PAGEREF _Toc532460425 \h </w:instrText>
            </w:r>
            <w:r w:rsidR="00FB5E58">
              <w:rPr>
                <w:webHidden/>
              </w:rPr>
            </w:r>
            <w:r w:rsidR="00FB5E58">
              <w:rPr>
                <w:webHidden/>
              </w:rPr>
              <w:fldChar w:fldCharType="separate"/>
            </w:r>
            <w:r>
              <w:rPr>
                <w:webHidden/>
              </w:rPr>
              <w:t>16</w:t>
            </w:r>
            <w:r w:rsidR="00FB5E58">
              <w:rPr>
                <w:webHidden/>
              </w:rPr>
              <w:fldChar w:fldCharType="end"/>
            </w:r>
          </w:hyperlink>
        </w:p>
        <w:p w14:paraId="6ACBD227" w14:textId="7C3B9C59" w:rsidR="00FB5E58" w:rsidRDefault="002F2BE0" w:rsidP="00FB5E58">
          <w:pPr>
            <w:pStyle w:val="TOC2"/>
            <w:spacing w:before="120" w:after="120"/>
            <w:rPr>
              <w:rFonts w:asciiTheme="minorHAnsi" w:hAnsiTheme="minorHAnsi"/>
              <w:b w:val="0"/>
              <w:color w:val="auto"/>
              <w:sz w:val="22"/>
              <w:szCs w:val="22"/>
            </w:rPr>
          </w:pPr>
          <w:hyperlink w:anchor="_Toc532460426" w:history="1">
            <w:r w:rsidR="00FB5E58" w:rsidRPr="00DB3CDD">
              <w:rPr>
                <w:rStyle w:val="Hyperlink"/>
              </w:rPr>
              <w:t>The year ahead</w:t>
            </w:r>
            <w:r w:rsidR="00FB5E58">
              <w:rPr>
                <w:webHidden/>
              </w:rPr>
              <w:tab/>
            </w:r>
            <w:r w:rsidR="00FB5E58">
              <w:rPr>
                <w:webHidden/>
              </w:rPr>
              <w:fldChar w:fldCharType="begin"/>
            </w:r>
            <w:r w:rsidR="00FB5E58">
              <w:rPr>
                <w:webHidden/>
              </w:rPr>
              <w:instrText xml:space="preserve"> PAGEREF _Toc532460426 \h </w:instrText>
            </w:r>
            <w:r w:rsidR="00FB5E58">
              <w:rPr>
                <w:webHidden/>
              </w:rPr>
            </w:r>
            <w:r w:rsidR="00FB5E58">
              <w:rPr>
                <w:webHidden/>
              </w:rPr>
              <w:fldChar w:fldCharType="separate"/>
            </w:r>
            <w:r>
              <w:rPr>
                <w:webHidden/>
              </w:rPr>
              <w:t>17</w:t>
            </w:r>
            <w:r w:rsidR="00FB5E58">
              <w:rPr>
                <w:webHidden/>
              </w:rPr>
              <w:fldChar w:fldCharType="end"/>
            </w:r>
          </w:hyperlink>
        </w:p>
        <w:p w14:paraId="09C33BC1" w14:textId="4B39CD11" w:rsidR="00FB5E58" w:rsidRDefault="002F2BE0" w:rsidP="00FB5E58">
          <w:pPr>
            <w:pStyle w:val="TOC1"/>
            <w:spacing w:before="120" w:after="120" w:line="240" w:lineRule="auto"/>
            <w:rPr>
              <w:rFonts w:asciiTheme="minorHAnsi" w:hAnsiTheme="minorHAnsi"/>
              <w:b w:val="0"/>
              <w:sz w:val="22"/>
              <w:szCs w:val="22"/>
              <w:lang w:eastAsia="en-AU"/>
            </w:rPr>
          </w:pPr>
          <w:hyperlink w:anchor="_Toc532460430" w:history="1">
            <w:r w:rsidR="00FB5E58" w:rsidRPr="00DB3CDD">
              <w:rPr>
                <w:rStyle w:val="Hyperlink"/>
              </w:rPr>
              <w:t>3. Improving</w:t>
            </w:r>
            <w:r w:rsidR="00FB5E58">
              <w:rPr>
                <w:webHidden/>
              </w:rPr>
              <w:tab/>
            </w:r>
            <w:r w:rsidR="00FB5E58">
              <w:rPr>
                <w:webHidden/>
              </w:rPr>
              <w:fldChar w:fldCharType="begin"/>
            </w:r>
            <w:r w:rsidR="00FB5E58">
              <w:rPr>
                <w:webHidden/>
              </w:rPr>
              <w:instrText xml:space="preserve"> PAGEREF _Toc532460430 \h </w:instrText>
            </w:r>
            <w:r w:rsidR="00FB5E58">
              <w:rPr>
                <w:webHidden/>
              </w:rPr>
            </w:r>
            <w:r w:rsidR="00FB5E58">
              <w:rPr>
                <w:webHidden/>
              </w:rPr>
              <w:fldChar w:fldCharType="separate"/>
            </w:r>
            <w:r>
              <w:rPr>
                <w:webHidden/>
              </w:rPr>
              <w:t>19</w:t>
            </w:r>
            <w:r w:rsidR="00FB5E58">
              <w:rPr>
                <w:webHidden/>
              </w:rPr>
              <w:fldChar w:fldCharType="end"/>
            </w:r>
          </w:hyperlink>
        </w:p>
        <w:p w14:paraId="21D8102A" w14:textId="6B786C1C" w:rsidR="00FB5E58" w:rsidRDefault="002F2BE0" w:rsidP="00FB5E58">
          <w:pPr>
            <w:pStyle w:val="TOC2"/>
            <w:spacing w:before="120" w:after="120"/>
            <w:rPr>
              <w:rFonts w:asciiTheme="minorHAnsi" w:hAnsiTheme="minorHAnsi"/>
              <w:b w:val="0"/>
              <w:color w:val="auto"/>
              <w:sz w:val="22"/>
              <w:szCs w:val="22"/>
            </w:rPr>
          </w:pPr>
          <w:hyperlink w:anchor="_Toc532460431" w:history="1">
            <w:r w:rsidR="00FB5E58" w:rsidRPr="00DB3CDD">
              <w:rPr>
                <w:rStyle w:val="Hyperlink"/>
              </w:rPr>
              <w:t>How health services improved</w:t>
            </w:r>
            <w:r w:rsidR="00FB5E58">
              <w:rPr>
                <w:webHidden/>
              </w:rPr>
              <w:tab/>
            </w:r>
            <w:r w:rsidR="00FB5E58">
              <w:rPr>
                <w:webHidden/>
              </w:rPr>
              <w:fldChar w:fldCharType="begin"/>
            </w:r>
            <w:r w:rsidR="00FB5E58">
              <w:rPr>
                <w:webHidden/>
              </w:rPr>
              <w:instrText xml:space="preserve"> PAGEREF _Toc532460431 \h </w:instrText>
            </w:r>
            <w:r w:rsidR="00FB5E58">
              <w:rPr>
                <w:webHidden/>
              </w:rPr>
            </w:r>
            <w:r w:rsidR="00FB5E58">
              <w:rPr>
                <w:webHidden/>
              </w:rPr>
              <w:fldChar w:fldCharType="separate"/>
            </w:r>
            <w:r>
              <w:rPr>
                <w:webHidden/>
              </w:rPr>
              <w:t>19</w:t>
            </w:r>
            <w:r w:rsidR="00FB5E58">
              <w:rPr>
                <w:webHidden/>
              </w:rPr>
              <w:fldChar w:fldCharType="end"/>
            </w:r>
          </w:hyperlink>
        </w:p>
        <w:p w14:paraId="012E6378" w14:textId="598B1C01" w:rsidR="00FB5E58" w:rsidRDefault="002F2BE0" w:rsidP="00FB5E58">
          <w:pPr>
            <w:pStyle w:val="TOC2"/>
            <w:spacing w:before="120" w:after="120"/>
            <w:rPr>
              <w:rFonts w:asciiTheme="minorHAnsi" w:hAnsiTheme="minorHAnsi"/>
              <w:b w:val="0"/>
              <w:color w:val="auto"/>
              <w:sz w:val="22"/>
              <w:szCs w:val="22"/>
            </w:rPr>
          </w:pPr>
          <w:hyperlink w:anchor="_Toc532460435" w:history="1">
            <w:r w:rsidR="00FB5E58" w:rsidRPr="00DB3CDD">
              <w:rPr>
                <w:rStyle w:val="Hyperlink"/>
              </w:rPr>
              <w:t>The year ahead</w:t>
            </w:r>
            <w:r w:rsidR="00FB5E58">
              <w:rPr>
                <w:webHidden/>
              </w:rPr>
              <w:tab/>
            </w:r>
            <w:r w:rsidR="00FB5E58">
              <w:rPr>
                <w:webHidden/>
              </w:rPr>
              <w:fldChar w:fldCharType="begin"/>
            </w:r>
            <w:r w:rsidR="00FB5E58">
              <w:rPr>
                <w:webHidden/>
              </w:rPr>
              <w:instrText xml:space="preserve"> PAGEREF _Toc532460435 \h </w:instrText>
            </w:r>
            <w:r w:rsidR="00FB5E58">
              <w:rPr>
                <w:webHidden/>
              </w:rPr>
            </w:r>
            <w:r w:rsidR="00FB5E58">
              <w:rPr>
                <w:webHidden/>
              </w:rPr>
              <w:fldChar w:fldCharType="separate"/>
            </w:r>
            <w:r>
              <w:rPr>
                <w:webHidden/>
              </w:rPr>
              <w:t>21</w:t>
            </w:r>
            <w:r w:rsidR="00FB5E58">
              <w:rPr>
                <w:webHidden/>
              </w:rPr>
              <w:fldChar w:fldCharType="end"/>
            </w:r>
          </w:hyperlink>
        </w:p>
        <w:p w14:paraId="6B9115DC" w14:textId="4584181A" w:rsidR="00FB5E58" w:rsidRDefault="002F2BE0" w:rsidP="00FB5E58">
          <w:pPr>
            <w:pStyle w:val="TOC1"/>
            <w:spacing w:before="120" w:after="120" w:line="240" w:lineRule="auto"/>
            <w:rPr>
              <w:rFonts w:asciiTheme="minorHAnsi" w:hAnsiTheme="minorHAnsi"/>
              <w:b w:val="0"/>
              <w:sz w:val="22"/>
              <w:szCs w:val="22"/>
              <w:lang w:eastAsia="en-AU"/>
            </w:rPr>
          </w:pPr>
          <w:hyperlink w:anchor="_Toc532460440" w:history="1">
            <w:r w:rsidR="00FB5E58" w:rsidRPr="00DB3CDD">
              <w:rPr>
                <w:rStyle w:val="Hyperlink"/>
              </w:rPr>
              <w:t>Appendix 1 International Classification for Patient Safety (ICPS) incident types</w:t>
            </w:r>
            <w:r w:rsidR="00FB5E58">
              <w:rPr>
                <w:webHidden/>
              </w:rPr>
              <w:tab/>
            </w:r>
            <w:r w:rsidR="00FB5E58">
              <w:rPr>
                <w:webHidden/>
              </w:rPr>
              <w:fldChar w:fldCharType="begin"/>
            </w:r>
            <w:r w:rsidR="00FB5E58">
              <w:rPr>
                <w:webHidden/>
              </w:rPr>
              <w:instrText xml:space="preserve"> PAGEREF _Toc532460440 \h </w:instrText>
            </w:r>
            <w:r w:rsidR="00FB5E58">
              <w:rPr>
                <w:webHidden/>
              </w:rPr>
            </w:r>
            <w:r w:rsidR="00FB5E58">
              <w:rPr>
                <w:webHidden/>
              </w:rPr>
              <w:fldChar w:fldCharType="separate"/>
            </w:r>
            <w:r>
              <w:rPr>
                <w:webHidden/>
              </w:rPr>
              <w:t>23</w:t>
            </w:r>
            <w:r w:rsidR="00FB5E58">
              <w:rPr>
                <w:webHidden/>
              </w:rPr>
              <w:fldChar w:fldCharType="end"/>
            </w:r>
          </w:hyperlink>
        </w:p>
        <w:p w14:paraId="3800820C" w14:textId="6F1B5B82" w:rsidR="00FB5E58" w:rsidRDefault="002F2BE0" w:rsidP="00FB5E58">
          <w:pPr>
            <w:pStyle w:val="TOC1"/>
            <w:spacing w:before="120" w:after="120" w:line="240" w:lineRule="auto"/>
            <w:rPr>
              <w:rFonts w:asciiTheme="minorHAnsi" w:hAnsiTheme="minorHAnsi"/>
              <w:b w:val="0"/>
              <w:sz w:val="22"/>
              <w:szCs w:val="22"/>
              <w:lang w:eastAsia="en-AU"/>
            </w:rPr>
          </w:pPr>
          <w:hyperlink w:anchor="_Toc532460441" w:history="1">
            <w:r w:rsidR="00FB5E58" w:rsidRPr="00DB3CDD">
              <w:rPr>
                <w:rStyle w:val="Hyperlink"/>
              </w:rPr>
              <w:t>Appendix 2 Recommendation hierarchy</w:t>
            </w:r>
            <w:r w:rsidR="00FB5E58">
              <w:rPr>
                <w:webHidden/>
              </w:rPr>
              <w:tab/>
            </w:r>
            <w:r w:rsidR="00FB5E58">
              <w:rPr>
                <w:webHidden/>
              </w:rPr>
              <w:fldChar w:fldCharType="begin"/>
            </w:r>
            <w:r w:rsidR="00FB5E58">
              <w:rPr>
                <w:webHidden/>
              </w:rPr>
              <w:instrText xml:space="preserve"> PAGEREF _Toc532460441 \h </w:instrText>
            </w:r>
            <w:r w:rsidR="00FB5E58">
              <w:rPr>
                <w:webHidden/>
              </w:rPr>
            </w:r>
            <w:r w:rsidR="00FB5E58">
              <w:rPr>
                <w:webHidden/>
              </w:rPr>
              <w:fldChar w:fldCharType="separate"/>
            </w:r>
            <w:r>
              <w:rPr>
                <w:webHidden/>
              </w:rPr>
              <w:t>24</w:t>
            </w:r>
            <w:r w:rsidR="00FB5E58">
              <w:rPr>
                <w:webHidden/>
              </w:rPr>
              <w:fldChar w:fldCharType="end"/>
            </w:r>
          </w:hyperlink>
        </w:p>
        <w:p w14:paraId="0689DA35" w14:textId="197F8A9C" w:rsidR="00FB5E58" w:rsidRDefault="002F2BE0" w:rsidP="00FB5E58">
          <w:pPr>
            <w:pStyle w:val="TOC1"/>
            <w:spacing w:before="120" w:after="120" w:line="240" w:lineRule="auto"/>
            <w:rPr>
              <w:rFonts w:asciiTheme="minorHAnsi" w:hAnsiTheme="minorHAnsi"/>
              <w:b w:val="0"/>
              <w:sz w:val="22"/>
              <w:szCs w:val="22"/>
              <w:lang w:eastAsia="en-AU"/>
            </w:rPr>
          </w:pPr>
          <w:hyperlink w:anchor="_Toc532460442" w:history="1">
            <w:r w:rsidR="00FB5E58" w:rsidRPr="00DB3CDD">
              <w:rPr>
                <w:rStyle w:val="Hyperlink"/>
              </w:rPr>
              <w:t>Terminology used</w:t>
            </w:r>
            <w:r w:rsidR="00FB5E58">
              <w:rPr>
                <w:webHidden/>
              </w:rPr>
              <w:tab/>
            </w:r>
            <w:r w:rsidR="00FB5E58">
              <w:rPr>
                <w:webHidden/>
              </w:rPr>
              <w:fldChar w:fldCharType="begin"/>
            </w:r>
            <w:r w:rsidR="00FB5E58">
              <w:rPr>
                <w:webHidden/>
              </w:rPr>
              <w:instrText xml:space="preserve"> PAGEREF _Toc532460442 \h </w:instrText>
            </w:r>
            <w:r w:rsidR="00FB5E58">
              <w:rPr>
                <w:webHidden/>
              </w:rPr>
            </w:r>
            <w:r w:rsidR="00FB5E58">
              <w:rPr>
                <w:webHidden/>
              </w:rPr>
              <w:fldChar w:fldCharType="separate"/>
            </w:r>
            <w:r>
              <w:rPr>
                <w:webHidden/>
              </w:rPr>
              <w:t>25</w:t>
            </w:r>
            <w:r w:rsidR="00FB5E58">
              <w:rPr>
                <w:webHidden/>
              </w:rPr>
              <w:fldChar w:fldCharType="end"/>
            </w:r>
          </w:hyperlink>
        </w:p>
        <w:p w14:paraId="396E8DAA" w14:textId="10FAC38F" w:rsidR="005B1384" w:rsidRDefault="0060775D" w:rsidP="00FB5E58">
          <w:pPr>
            <w:spacing w:before="120" w:after="120" w:line="240" w:lineRule="auto"/>
            <w:rPr>
              <w:noProof/>
            </w:rPr>
          </w:pPr>
          <w:r>
            <w:rPr>
              <w:b/>
              <w:bCs/>
              <w:noProof/>
            </w:rPr>
            <w:fldChar w:fldCharType="end"/>
          </w:r>
        </w:p>
      </w:sdtContent>
    </w:sdt>
    <w:p w14:paraId="613D882D" w14:textId="23BA4CBE" w:rsidR="0060775D" w:rsidRDefault="0060775D" w:rsidP="005B1384">
      <w:pPr>
        <w:rPr>
          <w:noProof/>
        </w:rPr>
      </w:pPr>
      <w:r>
        <w:br w:type="page"/>
      </w:r>
    </w:p>
    <w:p w14:paraId="109E02E3" w14:textId="77777777" w:rsidR="00DF2CB3" w:rsidRPr="00DF2CB3" w:rsidRDefault="00DF2CB3" w:rsidP="00DF2CB3">
      <w:pPr>
        <w:pStyle w:val="Heading1"/>
        <w:framePr w:wrap="around"/>
      </w:pPr>
      <w:bookmarkStart w:id="8" w:name="_Toc532460410"/>
      <w:r w:rsidRPr="00DF2CB3">
        <w:lastRenderedPageBreak/>
        <w:t>At a glance</w:t>
      </w:r>
      <w:r>
        <w:t xml:space="preserve"> 2017–18</w:t>
      </w:r>
      <w:bookmarkEnd w:id="8"/>
    </w:p>
    <w:p w14:paraId="3D6FBC77" w14:textId="4193380F" w:rsidR="00DF2CB3" w:rsidRDefault="00F04A32" w:rsidP="003125B7">
      <w:pPr>
        <w:jc w:val="center"/>
      </w:pPr>
      <w:r>
        <w:rPr>
          <w:noProof/>
        </w:rPr>
        <w:drawing>
          <wp:anchor distT="0" distB="0" distL="114300" distR="114300" simplePos="0" relativeHeight="251666432" behindDoc="1" locked="0" layoutInCell="1" allowOverlap="1" wp14:anchorId="47DA666C" wp14:editId="401D0176">
            <wp:simplePos x="0" y="0"/>
            <wp:positionH relativeFrom="column">
              <wp:posOffset>348135</wp:posOffset>
            </wp:positionH>
            <wp:positionV relativeFrom="paragraph">
              <wp:posOffset>-3666</wp:posOffset>
            </wp:positionV>
            <wp:extent cx="5991507" cy="7815532"/>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V1169_C_Infographic01-01.jpg"/>
                    <pic:cNvPicPr/>
                  </pic:nvPicPr>
                  <pic:blipFill rotWithShape="1">
                    <a:blip r:embed="rId16" cstate="print">
                      <a:extLst>
                        <a:ext uri="{28A0092B-C50C-407E-A947-70E740481C1C}">
                          <a14:useLocalDpi xmlns:a14="http://schemas.microsoft.com/office/drawing/2010/main" val="0"/>
                        </a:ext>
                      </a:extLst>
                    </a:blip>
                    <a:srcRect l="6710" t="4207" r="6632" b="5211"/>
                    <a:stretch/>
                  </pic:blipFill>
                  <pic:spPr bwMode="auto">
                    <a:xfrm>
                      <a:off x="0" y="0"/>
                      <a:ext cx="5996086" cy="78215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2CB3">
        <w:br w:type="page"/>
      </w:r>
    </w:p>
    <w:p w14:paraId="029E038A" w14:textId="77777777" w:rsidR="0060775D" w:rsidRPr="0060775D" w:rsidRDefault="0060775D" w:rsidP="0060775D">
      <w:pPr>
        <w:pStyle w:val="Heading1"/>
        <w:framePr w:wrap="around"/>
      </w:pPr>
      <w:bookmarkStart w:id="9" w:name="_Toc532460411"/>
      <w:r w:rsidRPr="0060775D">
        <w:lastRenderedPageBreak/>
        <w:t>CEO foreword</w:t>
      </w:r>
      <w:bookmarkEnd w:id="9"/>
    </w:p>
    <w:p w14:paraId="5FBDB5A7" w14:textId="5F3AB32C" w:rsidR="00EE762E" w:rsidRDefault="00EE762E" w:rsidP="003125B7">
      <w:pPr>
        <w:pStyle w:val="IntroductoryText"/>
      </w:pPr>
      <w:r>
        <w:t xml:space="preserve">Every week our health services improve the lives of patients and their families. </w:t>
      </w:r>
      <w:r w:rsidR="00666459" w:rsidRPr="00AE3267">
        <w:t xml:space="preserve">Despite our best </w:t>
      </w:r>
      <w:r w:rsidR="000F7615" w:rsidRPr="00AE3267">
        <w:t xml:space="preserve">efforts, systems can </w:t>
      </w:r>
      <w:r w:rsidRPr="00AE3267">
        <w:t xml:space="preserve">fail </w:t>
      </w:r>
      <w:r w:rsidR="000F7615" w:rsidRPr="00AE3267">
        <w:t xml:space="preserve">and </w:t>
      </w:r>
      <w:r w:rsidRPr="00AE3267">
        <w:t xml:space="preserve">result in a small number of patients being harmed – </w:t>
      </w:r>
      <w:r w:rsidR="003125B7">
        <w:t>or worse die. The 2017–</w:t>
      </w:r>
      <w:r>
        <w:t>18 sentinel event annual report shares how this small percentage of patients were harmed.</w:t>
      </w:r>
    </w:p>
    <w:p w14:paraId="10AB5DF7" w14:textId="77777777" w:rsidR="00183D59" w:rsidRDefault="00183D59" w:rsidP="003125B7">
      <w:pPr>
        <w:sectPr w:rsidR="00183D59" w:rsidSect="00B81C65">
          <w:headerReference w:type="first" r:id="rId17"/>
          <w:footerReference w:type="first" r:id="rId18"/>
          <w:pgSz w:w="11906" w:h="16838" w:code="9"/>
          <w:pgMar w:top="3402" w:right="851" w:bottom="1361" w:left="851" w:header="539" w:footer="624" w:gutter="0"/>
          <w:pgNumType w:start="0"/>
          <w:cols w:space="284"/>
          <w:docGrid w:linePitch="360"/>
        </w:sectPr>
      </w:pPr>
    </w:p>
    <w:p w14:paraId="0BEEB0DE" w14:textId="06B9602D" w:rsidR="00EE762E" w:rsidRPr="00EE762E" w:rsidRDefault="00EE762E" w:rsidP="003125B7">
      <w:pPr>
        <w:rPr>
          <w:b/>
        </w:rPr>
      </w:pPr>
      <w:r>
        <w:t xml:space="preserve">We have </w:t>
      </w:r>
      <w:r w:rsidR="003125B7">
        <w:t xml:space="preserve">deliberately </w:t>
      </w:r>
      <w:r>
        <w:t>opened this year</w:t>
      </w:r>
      <w:r w:rsidR="0040089E">
        <w:t>’</w:t>
      </w:r>
      <w:r>
        <w:t xml:space="preserve">s report </w:t>
      </w:r>
      <w:r w:rsidRPr="007434A5">
        <w:t xml:space="preserve">with </w:t>
      </w:r>
      <w:r w:rsidR="003125B7">
        <w:t>a personal story</w:t>
      </w:r>
      <w:r w:rsidRPr="007434A5">
        <w:t xml:space="preserve"> of a patient who </w:t>
      </w:r>
      <w:r>
        <w:t xml:space="preserve">was harmed </w:t>
      </w:r>
      <w:r w:rsidR="000F7615" w:rsidRPr="00AE3267">
        <w:t xml:space="preserve">and later died </w:t>
      </w:r>
      <w:r>
        <w:t>in our health system. It is an important reminder</w:t>
      </w:r>
      <w:r w:rsidRPr="007434A5">
        <w:t xml:space="preserve"> that we do not lose sight of what is central to patient safety – the patient voice.</w:t>
      </w:r>
      <w:r w:rsidR="00102729">
        <w:t xml:space="preserve"> Several of our health services included this voice in their review of sentinel events by including a consumer representative </w:t>
      </w:r>
      <w:r w:rsidR="003125B7">
        <w:t>on their panel</w:t>
      </w:r>
      <w:r w:rsidR="00102729">
        <w:t>.</w:t>
      </w:r>
      <w:r w:rsidR="0040089E">
        <w:t xml:space="preserve"> This is</w:t>
      </w:r>
      <w:r w:rsidR="003125B7">
        <w:t xml:space="preserve"> best practice. We are hopeful </w:t>
      </w:r>
      <w:r w:rsidR="0040089E">
        <w:t>more service</w:t>
      </w:r>
      <w:r w:rsidR="003125B7">
        <w:t>s do this.</w:t>
      </w:r>
    </w:p>
    <w:p w14:paraId="5F03E161" w14:textId="096D87E2" w:rsidR="00EE762E" w:rsidRDefault="00102729" w:rsidP="003125B7">
      <w:r>
        <w:t xml:space="preserve">In </w:t>
      </w:r>
      <w:r w:rsidR="003125B7">
        <w:t>2017–</w:t>
      </w:r>
      <w:r w:rsidR="00EE762E">
        <w:t xml:space="preserve">18 </w:t>
      </w:r>
      <w:r>
        <w:t>we</w:t>
      </w:r>
      <w:r w:rsidR="00EE762E">
        <w:t xml:space="preserve"> have challenged health services to further improve their commitment </w:t>
      </w:r>
      <w:r w:rsidR="0040089E">
        <w:t xml:space="preserve">to </w:t>
      </w:r>
      <w:r w:rsidR="00EE762E">
        <w:t xml:space="preserve">and practices in </w:t>
      </w:r>
      <w:r w:rsidR="003125B7">
        <w:t>managing s</w:t>
      </w:r>
      <w:r w:rsidR="00776870">
        <w:t>erious adverse events. We shortened</w:t>
      </w:r>
      <w:r w:rsidR="003125B7">
        <w:t xml:space="preserve"> t</w:t>
      </w:r>
      <w:r w:rsidR="00EE762E">
        <w:t xml:space="preserve">he RCA report submission </w:t>
      </w:r>
      <w:r w:rsidR="001E03DD">
        <w:t>time and</w:t>
      </w:r>
      <w:r w:rsidR="00564B9E">
        <w:t xml:space="preserve"> </w:t>
      </w:r>
      <w:r w:rsidR="00EE762E">
        <w:t>request</w:t>
      </w:r>
      <w:r w:rsidR="003125B7">
        <w:t xml:space="preserve">ed </w:t>
      </w:r>
      <w:r w:rsidR="00EE762E">
        <w:t xml:space="preserve">all review teams include an external </w:t>
      </w:r>
      <w:r w:rsidR="003125B7">
        <w:t>member</w:t>
      </w:r>
      <w:r w:rsidR="00EE762E">
        <w:t xml:space="preserve">. These are </w:t>
      </w:r>
      <w:r w:rsidR="00564B9E">
        <w:t xml:space="preserve">big asks, and we’re glad to see </w:t>
      </w:r>
      <w:r w:rsidR="00EE762E">
        <w:t>Victoria’s health services have responded</w:t>
      </w:r>
      <w:r w:rsidR="00564B9E">
        <w:t xml:space="preserve"> well. We are now seeing health service</w:t>
      </w:r>
      <w:r w:rsidR="00776870">
        <w:t>s</w:t>
      </w:r>
      <w:r w:rsidR="00564B9E">
        <w:t xml:space="preserve"> review and submit their </w:t>
      </w:r>
      <w:r w:rsidR="00EE762E" w:rsidRPr="00AE3267">
        <w:t xml:space="preserve">RCA reports </w:t>
      </w:r>
      <w:r w:rsidR="00564B9E">
        <w:t>much more quickly, and this</w:t>
      </w:r>
      <w:r w:rsidR="00FB3596" w:rsidRPr="00AE3267">
        <w:t xml:space="preserve"> translates to swifter improvements and safer systems of care.</w:t>
      </w:r>
    </w:p>
    <w:p w14:paraId="32EA30F0" w14:textId="4B508DB2" w:rsidR="00EE762E" w:rsidRPr="00AE3267" w:rsidRDefault="00FB3596" w:rsidP="003125B7">
      <w:pPr>
        <w:rPr>
          <w:b/>
        </w:rPr>
      </w:pPr>
      <w:r w:rsidRPr="00AE3267">
        <w:t xml:space="preserve">Sometimes sentinel events happen during care provided by more than one health service. </w:t>
      </w:r>
      <w:r w:rsidR="00EE762E" w:rsidRPr="00AE3267">
        <w:t xml:space="preserve">There are great benefits when health services review </w:t>
      </w:r>
      <w:r w:rsidRPr="00AE3267">
        <w:t xml:space="preserve">these </w:t>
      </w:r>
      <w:r w:rsidR="00EE762E" w:rsidRPr="00AE3267">
        <w:t xml:space="preserve">events together, sharing information and placing the patient at the centre of the review. Included in the report is an account of two health services reviewing a </w:t>
      </w:r>
      <w:r w:rsidRPr="00AE3267">
        <w:t>sentinel</w:t>
      </w:r>
      <w:r w:rsidR="00EE762E" w:rsidRPr="00AE3267">
        <w:t xml:space="preserve"> event together. They overcame the perceived barriers and from their accounts have develop</w:t>
      </w:r>
      <w:r w:rsidRPr="00AE3267">
        <w:t>ed</w:t>
      </w:r>
      <w:r w:rsidR="00EE762E" w:rsidRPr="00AE3267">
        <w:t xml:space="preserve"> not only a safer system, but a </w:t>
      </w:r>
      <w:r w:rsidRPr="00AE3267">
        <w:t xml:space="preserve">stronger </w:t>
      </w:r>
      <w:r w:rsidR="00EE762E" w:rsidRPr="00AE3267">
        <w:t xml:space="preserve">relationship and </w:t>
      </w:r>
      <w:r w:rsidRPr="00AE3267">
        <w:t xml:space="preserve">better </w:t>
      </w:r>
      <w:r w:rsidR="00D140DD">
        <w:t xml:space="preserve">understanding of how they </w:t>
      </w:r>
      <w:r w:rsidR="00EE762E" w:rsidRPr="00AE3267">
        <w:t xml:space="preserve">can </w:t>
      </w:r>
      <w:r w:rsidR="00D140DD">
        <w:t xml:space="preserve">closely </w:t>
      </w:r>
      <w:r w:rsidR="00EE762E" w:rsidRPr="00AE3267">
        <w:t>work together to provide outstanding care to their patients.</w:t>
      </w:r>
    </w:p>
    <w:p w14:paraId="5D6433D6" w14:textId="6443FD93" w:rsidR="00EE762E" w:rsidRPr="00AE3267" w:rsidRDefault="00183D59" w:rsidP="003125B7">
      <w:r>
        <w:br w:type="column"/>
      </w:r>
      <w:r w:rsidR="00EE762E" w:rsidRPr="00AE3267">
        <w:t>I am pleased to see signs our Victorian health system</w:t>
      </w:r>
      <w:r w:rsidR="00AE3267" w:rsidRPr="00AE3267">
        <w:t xml:space="preserve"> is</w:t>
      </w:r>
      <w:r w:rsidR="00EE762E" w:rsidRPr="00AE3267">
        <w:t xml:space="preserve"> </w:t>
      </w:r>
      <w:r w:rsidR="00FB3596" w:rsidRPr="00AE3267">
        <w:t>becoming even more open and transparent,</w:t>
      </w:r>
      <w:r w:rsidR="00EE762E" w:rsidRPr="00AE3267">
        <w:t xml:space="preserve"> with many health services including sentinel events in their annual reports. This reflects a state that is </w:t>
      </w:r>
      <w:r w:rsidR="0066237D" w:rsidRPr="00AE3267">
        <w:t xml:space="preserve">fostering a culture </w:t>
      </w:r>
      <w:r w:rsidR="00AE3267" w:rsidRPr="00AE3267">
        <w:t xml:space="preserve">of </w:t>
      </w:r>
      <w:r w:rsidR="0066237D" w:rsidRPr="00AE3267">
        <w:t>patient safety and responding to</w:t>
      </w:r>
      <w:r w:rsidR="00EE762E" w:rsidRPr="00AE3267">
        <w:t xml:space="preserve"> adverse event</w:t>
      </w:r>
      <w:r w:rsidR="0066237D" w:rsidRPr="00AE3267">
        <w:t>s more effectively</w:t>
      </w:r>
      <w:r w:rsidR="00FB3596" w:rsidRPr="00AE3267">
        <w:t>.</w:t>
      </w:r>
    </w:p>
    <w:p w14:paraId="1F6B75F6" w14:textId="285AF931" w:rsidR="00564B9E" w:rsidRDefault="00EE762E" w:rsidP="003125B7">
      <w:r w:rsidRPr="00AE3267">
        <w:t xml:space="preserve">That said we are still on a path of learning. We have made great steps forward in recognising and </w:t>
      </w:r>
      <w:r w:rsidR="0066237D" w:rsidRPr="00AE3267">
        <w:t>notifying</w:t>
      </w:r>
      <w:r w:rsidRPr="00AE3267">
        <w:t xml:space="preserve"> sentinel events,</w:t>
      </w:r>
      <w:r w:rsidR="00D667A0">
        <w:t xml:space="preserve"> although I feel hospital associate</w:t>
      </w:r>
      <w:r w:rsidRPr="00AE3267">
        <w:t xml:space="preserve">d infections is an area in which we have some </w:t>
      </w:r>
      <w:r w:rsidRPr="00552254">
        <w:t xml:space="preserve">progress to make. </w:t>
      </w:r>
      <w:r w:rsidR="00D140DD">
        <w:t>In 2017–</w:t>
      </w:r>
      <w:r w:rsidR="0066237D" w:rsidRPr="00552254">
        <w:t>18</w:t>
      </w:r>
      <w:r w:rsidRPr="00552254">
        <w:t xml:space="preserve"> we had only one sentinel event notified t</w:t>
      </w:r>
      <w:r w:rsidR="00D667A0">
        <w:t>o us relating to hospital associat</w:t>
      </w:r>
      <w:r w:rsidRPr="00552254">
        <w:t xml:space="preserve">ed infections. </w:t>
      </w:r>
      <w:r w:rsidR="00552254">
        <w:t>In the six-</w:t>
      </w:r>
      <w:r w:rsidRPr="00552254">
        <w:t>month period to 30 June 2018</w:t>
      </w:r>
      <w:r w:rsidR="00552254">
        <w:t>,</w:t>
      </w:r>
      <w:r w:rsidRPr="00552254">
        <w:t xml:space="preserve"> more than</w:t>
      </w:r>
      <w:r w:rsidRPr="00977983">
        <w:t xml:space="preserve"> 150 </w:t>
      </w:r>
      <w:r w:rsidRPr="00552254">
        <w:t xml:space="preserve">infections were reported to the </w:t>
      </w:r>
      <w:r w:rsidR="00D140DD">
        <w:t>Department of Health and Human Services</w:t>
      </w:r>
      <w:r w:rsidR="0066237D" w:rsidRPr="00552254">
        <w:t xml:space="preserve">. </w:t>
      </w:r>
      <w:r w:rsidRPr="00552254">
        <w:t xml:space="preserve">I am </w:t>
      </w:r>
      <w:r w:rsidR="00421935" w:rsidRPr="00552254">
        <w:t>su</w:t>
      </w:r>
      <w:r w:rsidR="005E6AAF" w:rsidRPr="00552254">
        <w:t xml:space="preserve">re </w:t>
      </w:r>
      <w:r w:rsidR="0066237D" w:rsidRPr="00552254">
        <w:t>a number</w:t>
      </w:r>
      <w:r w:rsidRPr="00552254">
        <w:t xml:space="preserve"> of these would fit the criteria for sentinel event notification</w:t>
      </w:r>
      <w:r w:rsidR="0066237D" w:rsidRPr="00552254">
        <w:t xml:space="preserve"> and are missed opportunities</w:t>
      </w:r>
      <w:r w:rsidR="0066237D" w:rsidRPr="00AE3267">
        <w:t xml:space="preserve"> to learn</w:t>
      </w:r>
      <w:r w:rsidRPr="00AE3267">
        <w:t>.</w:t>
      </w:r>
      <w:r w:rsidR="0066237D" w:rsidRPr="00AE3267">
        <w:t xml:space="preserve"> Just as importantly, I wonder what the experience of the patients who </w:t>
      </w:r>
      <w:r w:rsidR="0066237D" w:rsidRPr="00564B9E">
        <w:t xml:space="preserve">suffered these infections was like? And that of their families and carers? </w:t>
      </w:r>
    </w:p>
    <w:p w14:paraId="682591F9" w14:textId="232EBE91" w:rsidR="00EE762E" w:rsidRPr="00564B9E" w:rsidRDefault="0066237D" w:rsidP="003125B7">
      <w:r w:rsidRPr="00564B9E">
        <w:t>With this at the forefront of our minds, let’s be relentless in our pursuit of learning, providing even safer care for our patients and pr</w:t>
      </w:r>
      <w:r w:rsidR="00564B9E">
        <w:t>ovide them with a better health</w:t>
      </w:r>
      <w:r w:rsidRPr="00564B9E">
        <w:t>care experience.</w:t>
      </w:r>
    </w:p>
    <w:p w14:paraId="7DD8D0CA" w14:textId="3B9E1EBF" w:rsidR="00480AB9" w:rsidRDefault="00480AB9" w:rsidP="003125B7">
      <w:pPr>
        <w:spacing w:before="0" w:after="0"/>
        <w:rPr>
          <w:noProof/>
        </w:rPr>
      </w:pPr>
      <w:r>
        <w:rPr>
          <w:noProof/>
        </w:rPr>
        <w:drawing>
          <wp:inline distT="0" distB="0" distL="0" distR="0" wp14:anchorId="52D72433" wp14:editId="22949E22">
            <wp:extent cx="1714500" cy="857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29683" cy="864842"/>
                    </a:xfrm>
                    <a:prstGeom prst="rect">
                      <a:avLst/>
                    </a:prstGeom>
                  </pic:spPr>
                </pic:pic>
              </a:graphicData>
            </a:graphic>
          </wp:inline>
        </w:drawing>
      </w:r>
    </w:p>
    <w:p w14:paraId="7F8E8683" w14:textId="50B6549C" w:rsidR="00183D59" w:rsidRDefault="00EE762E" w:rsidP="003125B7">
      <w:pPr>
        <w:spacing w:before="0" w:after="0"/>
        <w:rPr>
          <w:b/>
        </w:rPr>
      </w:pPr>
      <w:r w:rsidRPr="00EE762E">
        <w:rPr>
          <w:b/>
        </w:rPr>
        <w:t>Professor Euan Wall</w:t>
      </w:r>
      <w:r w:rsidR="00AB473D">
        <w:rPr>
          <w:b/>
        </w:rPr>
        <w:t>a</w:t>
      </w:r>
      <w:r w:rsidRPr="00EE762E">
        <w:rPr>
          <w:b/>
        </w:rPr>
        <w:t>ce AM</w:t>
      </w:r>
      <w:r w:rsidR="003125B7">
        <w:rPr>
          <w:b/>
        </w:rPr>
        <w:t xml:space="preserve"> </w:t>
      </w:r>
      <w:r w:rsidR="003125B7">
        <w:rPr>
          <w:b/>
        </w:rPr>
        <w:br/>
        <w:t>Chief Executive Officer</w:t>
      </w:r>
    </w:p>
    <w:p w14:paraId="5BBC94D4" w14:textId="59502DC0" w:rsidR="00183D59" w:rsidRDefault="00183D59" w:rsidP="003125B7">
      <w:pPr>
        <w:spacing w:before="0" w:after="0"/>
        <w:rPr>
          <w:b/>
        </w:rPr>
        <w:sectPr w:rsidR="00183D59" w:rsidSect="00183D59">
          <w:type w:val="continuous"/>
          <w:pgSz w:w="11906" w:h="16838" w:code="9"/>
          <w:pgMar w:top="3402" w:right="851" w:bottom="1361" w:left="851" w:header="539" w:footer="624" w:gutter="0"/>
          <w:pgNumType w:start="0"/>
          <w:cols w:num="2" w:space="284"/>
          <w:docGrid w:linePitch="360"/>
        </w:sectPr>
      </w:pPr>
    </w:p>
    <w:p w14:paraId="7AF98941" w14:textId="19408860" w:rsidR="00EE762E" w:rsidRPr="003125B7" w:rsidRDefault="00EE762E" w:rsidP="003125B7">
      <w:pPr>
        <w:spacing w:before="0" w:after="0"/>
        <w:rPr>
          <w:b/>
        </w:rPr>
      </w:pPr>
    </w:p>
    <w:p w14:paraId="1BFC2F26" w14:textId="77777777" w:rsidR="003D08CC" w:rsidRDefault="003D08CC" w:rsidP="003125B7">
      <w:pPr>
        <w:sectPr w:rsidR="003D08CC" w:rsidSect="00183D59">
          <w:type w:val="continuous"/>
          <w:pgSz w:w="11906" w:h="16838" w:code="9"/>
          <w:pgMar w:top="3402" w:right="851" w:bottom="1361" w:left="851" w:header="539" w:footer="624" w:gutter="0"/>
          <w:pgNumType w:start="0"/>
          <w:cols w:space="284"/>
          <w:docGrid w:linePitch="360"/>
        </w:sectPr>
      </w:pPr>
    </w:p>
    <w:p w14:paraId="377B6AF5" w14:textId="20E61C1E" w:rsidR="003D08CC" w:rsidRPr="00AE3267" w:rsidRDefault="00FB5E58" w:rsidP="003D08CC">
      <w:pPr>
        <w:pStyle w:val="Heading1"/>
        <w:framePr w:wrap="around"/>
      </w:pPr>
      <w:bookmarkStart w:id="10" w:name="_Toc532460412"/>
      <w:r>
        <w:lastRenderedPageBreak/>
        <w:t xml:space="preserve">1. </w:t>
      </w:r>
      <w:r w:rsidR="005E6AAF" w:rsidRPr="00AE3267">
        <w:t>Notify</w:t>
      </w:r>
      <w:r w:rsidR="003D08CC" w:rsidRPr="00AE3267">
        <w:t>ing</w:t>
      </w:r>
      <w:bookmarkEnd w:id="10"/>
    </w:p>
    <w:p w14:paraId="0C327913" w14:textId="7BD5D9C2" w:rsidR="005D6111" w:rsidRPr="00AE3267" w:rsidRDefault="003B6103" w:rsidP="0060775D">
      <w:pPr>
        <w:pStyle w:val="IntroductoryText"/>
      </w:pPr>
      <w:r w:rsidRPr="00AE3267">
        <w:t xml:space="preserve">For the third year in a row, we’ve seen an </w:t>
      </w:r>
      <w:r w:rsidR="0047647D" w:rsidRPr="00AE3267">
        <w:t xml:space="preserve">increase in the number of </w:t>
      </w:r>
      <w:r w:rsidRPr="00AE3267">
        <w:t>sentinel events</w:t>
      </w:r>
      <w:r w:rsidR="0047647D" w:rsidRPr="00AE3267">
        <w:t xml:space="preserve"> notified</w:t>
      </w:r>
      <w:r w:rsidRPr="00AE3267">
        <w:t>.</w:t>
      </w:r>
      <w:r w:rsidR="00D921F0" w:rsidRPr="00AE3267">
        <w:t xml:space="preserve"> This is not a sign that our healthcare is any less safe. </w:t>
      </w:r>
      <w:r w:rsidR="001E5015" w:rsidRPr="00AE3267">
        <w:t>In</w:t>
      </w:r>
      <w:r w:rsidR="005E6AAF" w:rsidRPr="00AE3267">
        <w:t xml:space="preserve"> </w:t>
      </w:r>
      <w:r w:rsidRPr="00AE3267">
        <w:t xml:space="preserve">fact, </w:t>
      </w:r>
      <w:r w:rsidR="00D921F0" w:rsidRPr="00AE3267">
        <w:t>it shows our health services are effectively turning around a</w:t>
      </w:r>
      <w:r w:rsidR="005E6AAF" w:rsidRPr="00AE3267">
        <w:t xml:space="preserve"> history</w:t>
      </w:r>
      <w:r w:rsidR="00D921F0" w:rsidRPr="00AE3267">
        <w:t xml:space="preserve"> of under-</w:t>
      </w:r>
      <w:r w:rsidR="00564B9E">
        <w:t>reporting</w:t>
      </w:r>
      <w:r w:rsidR="00D921F0" w:rsidRPr="00AE3267">
        <w:t xml:space="preserve">. Thanks to improved </w:t>
      </w:r>
      <w:r w:rsidR="005E6AAF" w:rsidRPr="00AE3267">
        <w:t>notification</w:t>
      </w:r>
      <w:r w:rsidR="00D921F0" w:rsidRPr="00AE3267">
        <w:t>, we know a lot more about these sentinel events, which can help you identify areas of greatest risk.</w:t>
      </w:r>
      <w:r w:rsidR="00AC01FC" w:rsidRPr="00AE3267">
        <w:t xml:space="preserve"> </w:t>
      </w:r>
    </w:p>
    <w:p w14:paraId="075B87AD" w14:textId="77777777" w:rsidR="005D6111" w:rsidRDefault="005D6111" w:rsidP="0060775D">
      <w:pPr>
        <w:pStyle w:val="IntroductoryText"/>
      </w:pPr>
      <w:r>
        <w:rPr>
          <w:noProof/>
        </w:rPr>
        <mc:AlternateContent>
          <mc:Choice Requires="wps">
            <w:drawing>
              <wp:inline distT="0" distB="0" distL="0" distR="0" wp14:anchorId="09B07DB0" wp14:editId="6D2C5B1C">
                <wp:extent cx="6480000" cy="1764000"/>
                <wp:effectExtent l="0" t="0" r="16510" b="21590"/>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000" cy="1764000"/>
                        </a:xfrm>
                        <a:prstGeom prst="rect">
                          <a:avLst/>
                        </a:prstGeom>
                        <a:solidFill>
                          <a:schemeClr val="bg2"/>
                        </a:solidFill>
                        <a:ln w="6350">
                          <a:solidFill>
                            <a:schemeClr val="bg2"/>
                          </a:solidFill>
                          <a:miter lim="800000"/>
                          <a:headEnd/>
                          <a:tailEnd/>
                        </a:ln>
                      </wps:spPr>
                      <wps:txbx>
                        <w:txbxContent>
                          <w:p w14:paraId="23D1E0BE" w14:textId="6C64F867" w:rsidR="00CD7A43" w:rsidRPr="00CD33F8" w:rsidRDefault="00CD7A43" w:rsidP="005D6111">
                            <w:pPr>
                              <w:pStyle w:val="PulloutText"/>
                            </w:pPr>
                            <w:r w:rsidRPr="00CD33F8">
                              <w:t xml:space="preserve">Public and private health services, including services under their governance, must notify sentinel events to SCV within </w:t>
                            </w:r>
                            <w:r w:rsidRPr="00CD33F8">
                              <w:rPr>
                                <w:b/>
                              </w:rPr>
                              <w:t>three days</w:t>
                            </w:r>
                            <w:r w:rsidRPr="00CD33F8">
                              <w:t xml:space="preserve"> of becoming aware of them.</w:t>
                            </w:r>
                          </w:p>
                          <w:p w14:paraId="45A7A826" w14:textId="36882777" w:rsidR="00CD7A43" w:rsidRPr="00CD33F8" w:rsidRDefault="00CD7A43" w:rsidP="005D6111">
                            <w:pPr>
                              <w:pStyle w:val="PulloutText"/>
                            </w:pPr>
                            <w:r w:rsidRPr="00CD33F8">
                              <w:t xml:space="preserve">The eight nationally agreed sentinel events are detailed in the table below. Victorian health services are also required to notify an additional category </w:t>
                            </w:r>
                            <w:r>
                              <w:t>–</w:t>
                            </w:r>
                            <w:r w:rsidRPr="00CD33F8">
                              <w:t xml:space="preserve"> </w:t>
                            </w:r>
                            <w:r w:rsidRPr="00F703D8">
                              <w:rPr>
                                <w:rFonts w:ascii="VIC Medium" w:hAnsi="VIC Medium"/>
                              </w:rPr>
                              <w:t xml:space="preserve">Category </w:t>
                            </w:r>
                            <w:r w:rsidRPr="00CD33F8">
                              <w:rPr>
                                <w:rFonts w:ascii="VIC Medium" w:hAnsi="VIC Medium"/>
                              </w:rPr>
                              <w:t>9. Other catastrophic: Incident Severity Rating (ISR) 1.</w:t>
                            </w:r>
                          </w:p>
                          <w:p w14:paraId="001AFF08" w14:textId="7884FF31" w:rsidR="00CD7A43" w:rsidRPr="00CD33F8" w:rsidRDefault="00CD7A43" w:rsidP="00747803">
                            <w:pPr>
                              <w:pStyle w:val="PulloutHeading"/>
                              <w:rPr>
                                <w:b w:val="0"/>
                                <w:sz w:val="20"/>
                              </w:rPr>
                            </w:pPr>
                            <w:r w:rsidRPr="00CD33F8">
                              <w:rPr>
                                <w:sz w:val="20"/>
                              </w:rPr>
                              <w:t>If you are unsure</w:t>
                            </w:r>
                            <w:r w:rsidRPr="00CD33F8">
                              <w:t xml:space="preserve"> </w:t>
                            </w:r>
                            <w:r w:rsidRPr="00D140DD">
                              <w:rPr>
                                <w:b w:val="0"/>
                                <w:sz w:val="20"/>
                              </w:rPr>
                              <w:t xml:space="preserve">if you </w:t>
                            </w:r>
                            <w:r>
                              <w:rPr>
                                <w:b w:val="0"/>
                                <w:sz w:val="20"/>
                              </w:rPr>
                              <w:t>need to report an event, please contact our incident response t</w:t>
                            </w:r>
                            <w:r w:rsidRPr="00CD33F8">
                              <w:rPr>
                                <w:b w:val="0"/>
                                <w:sz w:val="20"/>
                              </w:rPr>
                              <w:t>eam at sentinel.events@safercare.vic.gov.au or 03 9096 1546</w:t>
                            </w:r>
                            <w:r>
                              <w:rPr>
                                <w:b w:val="0"/>
                                <w:sz w:val="20"/>
                              </w:rPr>
                              <w:t>.</w:t>
                            </w:r>
                          </w:p>
                        </w:txbxContent>
                      </wps:txbx>
                      <wps:bodyPr rot="0" vert="horz" wrap="square" lIns="180000" tIns="180000" rIns="144000" bIns="36000" anchor="t" anchorCtr="0">
                        <a:spAutoFit/>
                      </wps:bodyPr>
                    </wps:wsp>
                  </a:graphicData>
                </a:graphic>
              </wp:inline>
            </w:drawing>
          </mc:Choice>
          <mc:Fallback>
            <w:pict>
              <v:shape w14:anchorId="09B07DB0" id="_x0000_s1031" type="#_x0000_t202" style="width:510.25pt;height:13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" fillcolor="#edf5f7 [3214]" strokecolor="#edf5f7 [3214]" strokeweight=".5pt">
                <v:textbox style="mso-fit-shape-to-text:t" inset="5mm,5mm,4mm,1mm">
                  <w:txbxContent>
                    <w:p w14:paraId="23D1E0BE" w14:textId="6C64F867" w:rsidR="00CD7A43" w:rsidRPr="00CD33F8" w:rsidRDefault="00CD7A43" w:rsidP="005D6111">
                      <w:pPr>
                        <w:pStyle w:val="PulloutText"/>
                      </w:pPr>
                      <w:r w:rsidRPr="00CD33F8">
                        <w:t xml:space="preserve">Public and private health services, including services under their governance, must notify sentinel events to SCV within </w:t>
                      </w:r>
                      <w:r w:rsidRPr="00CD33F8">
                        <w:rPr>
                          <w:b/>
                        </w:rPr>
                        <w:t>three days</w:t>
                      </w:r>
                      <w:r w:rsidRPr="00CD33F8">
                        <w:t xml:space="preserve"> of becoming aware of them.</w:t>
                      </w:r>
                    </w:p>
                    <w:p w14:paraId="45A7A826" w14:textId="36882777" w:rsidR="00CD7A43" w:rsidRPr="00CD33F8" w:rsidRDefault="00CD7A43" w:rsidP="005D6111">
                      <w:pPr>
                        <w:pStyle w:val="PulloutText"/>
                      </w:pPr>
                      <w:r w:rsidRPr="00CD33F8">
                        <w:t xml:space="preserve">The eight nationally agreed sentinel events are detailed in the table below. Victorian health services are also required to notify an additional category </w:t>
                      </w:r>
                      <w:r>
                        <w:t>–</w:t>
                      </w:r>
                      <w:r w:rsidRPr="00CD33F8">
                        <w:t xml:space="preserve"> </w:t>
                      </w:r>
                      <w:r w:rsidRPr="00F703D8">
                        <w:rPr>
                          <w:rFonts w:ascii="VIC Medium" w:hAnsi="VIC Medium"/>
                        </w:rPr>
                        <w:t xml:space="preserve">Category </w:t>
                      </w:r>
                      <w:r w:rsidRPr="00CD33F8">
                        <w:rPr>
                          <w:rFonts w:ascii="VIC Medium" w:hAnsi="VIC Medium"/>
                        </w:rPr>
                        <w:t>9. Other catastrophic: Incident Severity Rating (ISR) 1.</w:t>
                      </w:r>
                    </w:p>
                    <w:p w14:paraId="001AFF08" w14:textId="7884FF31" w:rsidR="00CD7A43" w:rsidRPr="00CD33F8" w:rsidRDefault="00CD7A43" w:rsidP="00747803">
                      <w:pPr>
                        <w:pStyle w:val="PulloutHeading"/>
                        <w:rPr>
                          <w:b w:val="0"/>
                          <w:sz w:val="20"/>
                        </w:rPr>
                      </w:pPr>
                      <w:r w:rsidRPr="00CD33F8">
                        <w:rPr>
                          <w:sz w:val="20"/>
                        </w:rPr>
                        <w:t>If you are unsure</w:t>
                      </w:r>
                      <w:r w:rsidRPr="00CD33F8">
                        <w:t xml:space="preserve"> </w:t>
                      </w:r>
                      <w:r w:rsidRPr="00D140DD">
                        <w:rPr>
                          <w:b w:val="0"/>
                          <w:sz w:val="20"/>
                        </w:rPr>
                        <w:t xml:space="preserve">if you </w:t>
                      </w:r>
                      <w:r>
                        <w:rPr>
                          <w:b w:val="0"/>
                          <w:sz w:val="20"/>
                        </w:rPr>
                        <w:t>need to report an event, please contact our incident response t</w:t>
                      </w:r>
                      <w:r w:rsidRPr="00CD33F8">
                        <w:rPr>
                          <w:b w:val="0"/>
                          <w:sz w:val="20"/>
                        </w:rPr>
                        <w:t>eam at sentinel.events@safercare.vic.gov.au or 03 9096 1546</w:t>
                      </w:r>
                      <w:r>
                        <w:rPr>
                          <w:b w:val="0"/>
                          <w:sz w:val="20"/>
                        </w:rPr>
                        <w:t>.</w:t>
                      </w:r>
                    </w:p>
                  </w:txbxContent>
                </v:textbox>
                <w10:anchorlock/>
              </v:shape>
            </w:pict>
          </mc:Fallback>
        </mc:AlternateContent>
      </w:r>
    </w:p>
    <w:p w14:paraId="5D70AD0C" w14:textId="77777777" w:rsidR="005D6111" w:rsidRPr="0060775D" w:rsidRDefault="005D6111" w:rsidP="005D6111">
      <w:pPr>
        <w:pStyle w:val="Heading2"/>
      </w:pPr>
      <w:bookmarkStart w:id="11" w:name="_Toc532460413"/>
      <w:r w:rsidRPr="0060775D">
        <w:t>What health services reported</w:t>
      </w:r>
      <w:bookmarkEnd w:id="11"/>
    </w:p>
    <w:p w14:paraId="46AB7DD9" w14:textId="1BB61AA9" w:rsidR="00742C2A" w:rsidRDefault="005D6111" w:rsidP="005D6111">
      <w:pPr>
        <w:pStyle w:val="Normalfollowingheading"/>
      </w:pPr>
      <w:r>
        <w:t xml:space="preserve">Between 1 July 2017 and 30 June 2018, </w:t>
      </w:r>
      <w:r w:rsidR="00336C89">
        <w:t xml:space="preserve">48 </w:t>
      </w:r>
      <w:r>
        <w:t>health service</w:t>
      </w:r>
      <w:r w:rsidR="00336C89">
        <w:t xml:space="preserve">s </w:t>
      </w:r>
      <w:r w:rsidR="005E6AAF" w:rsidRPr="00CD33F8">
        <w:t>notified</w:t>
      </w:r>
      <w:r w:rsidR="00336C89" w:rsidRPr="00CD33F8">
        <w:t xml:space="preserve"> </w:t>
      </w:r>
      <w:r w:rsidR="00564B9E">
        <w:t>122 sentinel events.</w:t>
      </w:r>
    </w:p>
    <w:p w14:paraId="3C07DB87" w14:textId="585B20FC" w:rsidR="005D6111" w:rsidRPr="00CD33F8" w:rsidRDefault="005D6111" w:rsidP="005D6111">
      <w:pPr>
        <w:pStyle w:val="Normalfollowingheading"/>
      </w:pPr>
      <w:r>
        <w:t xml:space="preserve">This is a 56 per cent increase on </w:t>
      </w:r>
      <w:r w:rsidRPr="00CD33F8">
        <w:t>the</w:t>
      </w:r>
      <w:r w:rsidR="00D921F0" w:rsidRPr="00CD33F8">
        <w:t xml:space="preserve"> 72 </w:t>
      </w:r>
      <w:r w:rsidR="005E6AAF" w:rsidRPr="00CD33F8">
        <w:t xml:space="preserve">sentinel </w:t>
      </w:r>
      <w:r w:rsidR="00D921F0" w:rsidRPr="00CD33F8">
        <w:t xml:space="preserve">events </w:t>
      </w:r>
      <w:r w:rsidR="005E6AAF" w:rsidRPr="00CD33F8">
        <w:t>notified</w:t>
      </w:r>
      <w:r w:rsidR="00D140DD">
        <w:t xml:space="preserve"> in 2016–</w:t>
      </w:r>
      <w:r w:rsidR="00D921F0" w:rsidRPr="00CD33F8">
        <w:t>17</w:t>
      </w:r>
      <w:r w:rsidRPr="00CD33F8">
        <w:t xml:space="preserve">. An additional six </w:t>
      </w:r>
      <w:r w:rsidR="007A3870" w:rsidRPr="00CD33F8">
        <w:t>notifications</w:t>
      </w:r>
      <w:r w:rsidRPr="00CD33F8">
        <w:t xml:space="preserve"> were made, but later withdrawn</w:t>
      </w:r>
      <w:r w:rsidR="00747803" w:rsidRPr="00CD33F8">
        <w:t xml:space="preserve"> as they did not meet </w:t>
      </w:r>
      <w:r w:rsidR="007A3870" w:rsidRPr="00CD33F8">
        <w:t xml:space="preserve">sentinel event </w:t>
      </w:r>
      <w:r w:rsidR="00747803" w:rsidRPr="00CD33F8">
        <w:t>criteria</w:t>
      </w:r>
      <w:r w:rsidRPr="00CD33F8">
        <w:t>.</w:t>
      </w:r>
    </w:p>
    <w:p w14:paraId="147DA0E3" w14:textId="10690CAA" w:rsidR="0060775D" w:rsidRPr="0060775D" w:rsidRDefault="0060775D" w:rsidP="0060775D">
      <w:pPr>
        <w:pStyle w:val="Tablechartdiagramheading"/>
      </w:pPr>
      <w:r w:rsidRPr="00564B9E">
        <w:t xml:space="preserve">Table 1: Category of sentinel events </w:t>
      </w:r>
      <w:r w:rsidR="005E6AAF" w:rsidRPr="00564B9E">
        <w:t>notified</w:t>
      </w:r>
      <w:r w:rsidR="00943332">
        <w:t xml:space="preserve"> </w:t>
      </w:r>
    </w:p>
    <w:tbl>
      <w:tblPr>
        <w:tblStyle w:val="TableGrid"/>
        <w:tblW w:w="10451" w:type="dxa"/>
        <w:tblLook w:val="04A0" w:firstRow="1" w:lastRow="0" w:firstColumn="1" w:lastColumn="0" w:noHBand="0" w:noVBand="1"/>
      </w:tblPr>
      <w:tblGrid>
        <w:gridCol w:w="392"/>
        <w:gridCol w:w="4394"/>
        <w:gridCol w:w="705"/>
        <w:gridCol w:w="715"/>
        <w:gridCol w:w="709"/>
        <w:gridCol w:w="708"/>
        <w:gridCol w:w="709"/>
        <w:gridCol w:w="711"/>
        <w:gridCol w:w="714"/>
        <w:gridCol w:w="694"/>
      </w:tblGrid>
      <w:tr w:rsidR="00CD7A43" w:rsidRPr="000662A2" w14:paraId="5026CF06" w14:textId="77777777" w:rsidTr="000D649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6" w:type="dxa"/>
            <w:gridSpan w:val="2"/>
          </w:tcPr>
          <w:p w14:paraId="3291EBF3" w14:textId="77777777" w:rsidR="00F27CE9" w:rsidRPr="000662A2" w:rsidRDefault="00F27CE9" w:rsidP="0060775D">
            <w:r>
              <w:t>Category</w:t>
            </w:r>
          </w:p>
        </w:tc>
        <w:tc>
          <w:tcPr>
            <w:tcW w:w="705" w:type="dxa"/>
            <w:noWrap/>
            <w:hideMark/>
          </w:tcPr>
          <w:p w14:paraId="231587B2" w14:textId="77777777" w:rsidR="00F27CE9" w:rsidRPr="000662A2" w:rsidRDefault="00F27CE9" w:rsidP="0060775D">
            <w:pPr>
              <w:cnfStyle w:val="100000000000" w:firstRow="1" w:lastRow="0" w:firstColumn="0" w:lastColumn="0" w:oddVBand="0" w:evenVBand="0" w:oddHBand="0" w:evenHBand="0" w:firstRowFirstColumn="0" w:firstRowLastColumn="0" w:lastRowFirstColumn="0" w:lastRowLastColumn="0"/>
              <w:rPr>
                <w:bCs/>
              </w:rPr>
            </w:pPr>
            <w:r w:rsidRPr="000662A2">
              <w:rPr>
                <w:bCs/>
              </w:rPr>
              <w:t>2010–11</w:t>
            </w:r>
          </w:p>
        </w:tc>
        <w:tc>
          <w:tcPr>
            <w:tcW w:w="715" w:type="dxa"/>
            <w:noWrap/>
            <w:hideMark/>
          </w:tcPr>
          <w:p w14:paraId="0C0376E8" w14:textId="77777777" w:rsidR="00F27CE9" w:rsidRPr="000662A2" w:rsidRDefault="00F27CE9" w:rsidP="0060775D">
            <w:pPr>
              <w:cnfStyle w:val="100000000000" w:firstRow="1" w:lastRow="0" w:firstColumn="0" w:lastColumn="0" w:oddVBand="0" w:evenVBand="0" w:oddHBand="0" w:evenHBand="0" w:firstRowFirstColumn="0" w:firstRowLastColumn="0" w:lastRowFirstColumn="0" w:lastRowLastColumn="0"/>
              <w:rPr>
                <w:bCs/>
              </w:rPr>
            </w:pPr>
            <w:r w:rsidRPr="000662A2">
              <w:rPr>
                <w:bCs/>
              </w:rPr>
              <w:t>2011–12</w:t>
            </w:r>
          </w:p>
        </w:tc>
        <w:tc>
          <w:tcPr>
            <w:tcW w:w="709" w:type="dxa"/>
            <w:noWrap/>
            <w:hideMark/>
          </w:tcPr>
          <w:p w14:paraId="7BF56171" w14:textId="77777777" w:rsidR="00F27CE9" w:rsidRPr="000662A2" w:rsidRDefault="00F27CE9" w:rsidP="0060775D">
            <w:pPr>
              <w:cnfStyle w:val="100000000000" w:firstRow="1" w:lastRow="0" w:firstColumn="0" w:lastColumn="0" w:oddVBand="0" w:evenVBand="0" w:oddHBand="0" w:evenHBand="0" w:firstRowFirstColumn="0" w:firstRowLastColumn="0" w:lastRowFirstColumn="0" w:lastRowLastColumn="0"/>
              <w:rPr>
                <w:bCs/>
              </w:rPr>
            </w:pPr>
            <w:r w:rsidRPr="000662A2">
              <w:rPr>
                <w:bCs/>
              </w:rPr>
              <w:t>2012–13</w:t>
            </w:r>
          </w:p>
        </w:tc>
        <w:tc>
          <w:tcPr>
            <w:tcW w:w="708" w:type="dxa"/>
            <w:noWrap/>
            <w:hideMark/>
          </w:tcPr>
          <w:p w14:paraId="0FA830FA" w14:textId="77777777" w:rsidR="00F27CE9" w:rsidRPr="000662A2" w:rsidRDefault="00F27CE9" w:rsidP="0060775D">
            <w:pPr>
              <w:cnfStyle w:val="100000000000" w:firstRow="1" w:lastRow="0" w:firstColumn="0" w:lastColumn="0" w:oddVBand="0" w:evenVBand="0" w:oddHBand="0" w:evenHBand="0" w:firstRowFirstColumn="0" w:firstRowLastColumn="0" w:lastRowFirstColumn="0" w:lastRowLastColumn="0"/>
              <w:rPr>
                <w:bCs/>
              </w:rPr>
            </w:pPr>
            <w:r w:rsidRPr="000662A2">
              <w:rPr>
                <w:bCs/>
              </w:rPr>
              <w:t>2013–14</w:t>
            </w:r>
          </w:p>
        </w:tc>
        <w:tc>
          <w:tcPr>
            <w:tcW w:w="709" w:type="dxa"/>
            <w:noWrap/>
            <w:hideMark/>
          </w:tcPr>
          <w:p w14:paraId="426BA34A" w14:textId="77777777" w:rsidR="00F27CE9" w:rsidRPr="000662A2" w:rsidRDefault="00F27CE9" w:rsidP="0060775D">
            <w:pPr>
              <w:cnfStyle w:val="100000000000" w:firstRow="1" w:lastRow="0" w:firstColumn="0" w:lastColumn="0" w:oddVBand="0" w:evenVBand="0" w:oddHBand="0" w:evenHBand="0" w:firstRowFirstColumn="0" w:firstRowLastColumn="0" w:lastRowFirstColumn="0" w:lastRowLastColumn="0"/>
              <w:rPr>
                <w:bCs/>
              </w:rPr>
            </w:pPr>
            <w:r w:rsidRPr="000662A2">
              <w:rPr>
                <w:bCs/>
              </w:rPr>
              <w:t>2014–15</w:t>
            </w:r>
          </w:p>
        </w:tc>
        <w:tc>
          <w:tcPr>
            <w:tcW w:w="711" w:type="dxa"/>
            <w:noWrap/>
            <w:hideMark/>
          </w:tcPr>
          <w:p w14:paraId="366417C3" w14:textId="77777777" w:rsidR="00F27CE9" w:rsidRPr="000662A2" w:rsidRDefault="00F27CE9" w:rsidP="0060775D">
            <w:pPr>
              <w:cnfStyle w:val="100000000000" w:firstRow="1" w:lastRow="0" w:firstColumn="0" w:lastColumn="0" w:oddVBand="0" w:evenVBand="0" w:oddHBand="0" w:evenHBand="0" w:firstRowFirstColumn="0" w:firstRowLastColumn="0" w:lastRowFirstColumn="0" w:lastRowLastColumn="0"/>
              <w:rPr>
                <w:bCs/>
              </w:rPr>
            </w:pPr>
            <w:r w:rsidRPr="000662A2">
              <w:rPr>
                <w:bCs/>
              </w:rPr>
              <w:t>2015–16</w:t>
            </w:r>
          </w:p>
        </w:tc>
        <w:tc>
          <w:tcPr>
            <w:tcW w:w="714" w:type="dxa"/>
            <w:noWrap/>
            <w:hideMark/>
          </w:tcPr>
          <w:p w14:paraId="38F0716D" w14:textId="0BA56CAA" w:rsidR="00F27CE9" w:rsidRPr="000662A2" w:rsidRDefault="00D140DD" w:rsidP="0060775D">
            <w:pPr>
              <w:cnfStyle w:val="100000000000" w:firstRow="1" w:lastRow="0" w:firstColumn="0" w:lastColumn="0" w:oddVBand="0" w:evenVBand="0" w:oddHBand="0" w:evenHBand="0" w:firstRowFirstColumn="0" w:firstRowLastColumn="0" w:lastRowFirstColumn="0" w:lastRowLastColumn="0"/>
              <w:rPr>
                <w:bCs/>
              </w:rPr>
            </w:pPr>
            <w:r>
              <w:rPr>
                <w:bCs/>
              </w:rPr>
              <w:t>2016–</w:t>
            </w:r>
            <w:r w:rsidR="00F27CE9" w:rsidRPr="000662A2">
              <w:rPr>
                <w:bCs/>
              </w:rPr>
              <w:t>17</w:t>
            </w:r>
          </w:p>
        </w:tc>
        <w:tc>
          <w:tcPr>
            <w:tcW w:w="694" w:type="dxa"/>
            <w:noWrap/>
            <w:hideMark/>
          </w:tcPr>
          <w:p w14:paraId="7B3C376A" w14:textId="0D77BA2C" w:rsidR="00F27CE9" w:rsidRPr="000662A2" w:rsidRDefault="00D140DD" w:rsidP="0060775D">
            <w:pPr>
              <w:cnfStyle w:val="100000000000" w:firstRow="1" w:lastRow="0" w:firstColumn="0" w:lastColumn="0" w:oddVBand="0" w:evenVBand="0" w:oddHBand="0" w:evenHBand="0" w:firstRowFirstColumn="0" w:firstRowLastColumn="0" w:lastRowFirstColumn="0" w:lastRowLastColumn="0"/>
              <w:rPr>
                <w:bCs/>
              </w:rPr>
            </w:pPr>
            <w:r>
              <w:rPr>
                <w:bCs/>
              </w:rPr>
              <w:t>2017–</w:t>
            </w:r>
            <w:r w:rsidR="00F27CE9" w:rsidRPr="00336C89">
              <w:rPr>
                <w:bCs/>
              </w:rPr>
              <w:t>18</w:t>
            </w:r>
          </w:p>
        </w:tc>
      </w:tr>
      <w:tr w:rsidR="00CD7A43" w:rsidRPr="000662A2" w14:paraId="0C480979" w14:textId="77777777" w:rsidTr="000D649C">
        <w:trPr>
          <w:trHeight w:val="300"/>
        </w:trPr>
        <w:tc>
          <w:tcPr>
            <w:cnfStyle w:val="001000000000" w:firstRow="0" w:lastRow="0" w:firstColumn="1" w:lastColumn="0" w:oddVBand="0" w:evenVBand="0" w:oddHBand="0" w:evenHBand="0" w:firstRowFirstColumn="0" w:firstRowLastColumn="0" w:lastRowFirstColumn="0" w:lastRowLastColumn="0"/>
            <w:tcW w:w="392" w:type="dxa"/>
          </w:tcPr>
          <w:p w14:paraId="7BE0FA35" w14:textId="77777777" w:rsidR="00F27CE9" w:rsidRPr="000662A2" w:rsidRDefault="00F27CE9" w:rsidP="00B76485">
            <w:pPr>
              <w:spacing w:before="0" w:after="0"/>
            </w:pPr>
            <w:r>
              <w:t>1</w:t>
            </w:r>
          </w:p>
        </w:tc>
        <w:tc>
          <w:tcPr>
            <w:tcW w:w="4394" w:type="dxa"/>
            <w:noWrap/>
            <w:hideMark/>
          </w:tcPr>
          <w:p w14:paraId="00EBCC14" w14:textId="579597F8" w:rsidR="00F27CE9" w:rsidRPr="00B76485" w:rsidRDefault="00CD7A43" w:rsidP="00B76485">
            <w:pPr>
              <w:shd w:val="clear" w:color="auto" w:fill="FFFFFF"/>
              <w:spacing w:before="0" w:after="0" w:line="240" w:lineRule="auto"/>
              <w:ind w:left="97"/>
              <w:cnfStyle w:val="000000000000" w:firstRow="0" w:lastRow="0" w:firstColumn="0" w:lastColumn="0" w:oddVBand="0" w:evenVBand="0" w:oddHBand="0" w:evenHBand="0" w:firstRowFirstColumn="0" w:firstRowLastColumn="0" w:lastRowFirstColumn="0" w:lastRowLastColumn="0"/>
              <w:rPr>
                <w:rFonts w:eastAsia="Times New Roman" w:cs="Arial"/>
                <w:szCs w:val="16"/>
              </w:rPr>
            </w:pPr>
            <w:r w:rsidRPr="00B76485">
              <w:rPr>
                <w:rFonts w:eastAsia="Times New Roman" w:cs="Arial"/>
                <w:szCs w:val="16"/>
              </w:rPr>
              <w:t>Procedures involving the wrong patient or body part resulting in death or major permanent loss of function</w:t>
            </w:r>
          </w:p>
        </w:tc>
        <w:tc>
          <w:tcPr>
            <w:tcW w:w="705" w:type="dxa"/>
            <w:noWrap/>
            <w:hideMark/>
          </w:tcPr>
          <w:p w14:paraId="7100C273"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1</w:t>
            </w:r>
          </w:p>
        </w:tc>
        <w:tc>
          <w:tcPr>
            <w:tcW w:w="715" w:type="dxa"/>
            <w:noWrap/>
            <w:hideMark/>
          </w:tcPr>
          <w:p w14:paraId="4530B5E8"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1</w:t>
            </w:r>
          </w:p>
        </w:tc>
        <w:tc>
          <w:tcPr>
            <w:tcW w:w="709" w:type="dxa"/>
            <w:noWrap/>
            <w:hideMark/>
          </w:tcPr>
          <w:p w14:paraId="78BF5B85"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0</w:t>
            </w:r>
          </w:p>
        </w:tc>
        <w:tc>
          <w:tcPr>
            <w:tcW w:w="708" w:type="dxa"/>
            <w:noWrap/>
            <w:hideMark/>
          </w:tcPr>
          <w:p w14:paraId="60270024"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0</w:t>
            </w:r>
          </w:p>
        </w:tc>
        <w:tc>
          <w:tcPr>
            <w:tcW w:w="709" w:type="dxa"/>
            <w:noWrap/>
            <w:hideMark/>
          </w:tcPr>
          <w:p w14:paraId="533D449C"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0</w:t>
            </w:r>
          </w:p>
        </w:tc>
        <w:tc>
          <w:tcPr>
            <w:tcW w:w="711" w:type="dxa"/>
            <w:noWrap/>
            <w:hideMark/>
          </w:tcPr>
          <w:p w14:paraId="707E0536"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0</w:t>
            </w:r>
          </w:p>
        </w:tc>
        <w:tc>
          <w:tcPr>
            <w:tcW w:w="714" w:type="dxa"/>
            <w:noWrap/>
            <w:hideMark/>
          </w:tcPr>
          <w:p w14:paraId="2D9AE214"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1</w:t>
            </w:r>
          </w:p>
        </w:tc>
        <w:tc>
          <w:tcPr>
            <w:tcW w:w="694" w:type="dxa"/>
            <w:noWrap/>
            <w:hideMark/>
          </w:tcPr>
          <w:p w14:paraId="29DFDDAD"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1</w:t>
            </w:r>
          </w:p>
        </w:tc>
      </w:tr>
      <w:tr w:rsidR="00CD7A43" w:rsidRPr="000662A2" w14:paraId="0A9E0A9C" w14:textId="77777777" w:rsidTr="000D649C">
        <w:trPr>
          <w:trHeight w:val="300"/>
        </w:trPr>
        <w:tc>
          <w:tcPr>
            <w:cnfStyle w:val="001000000000" w:firstRow="0" w:lastRow="0" w:firstColumn="1" w:lastColumn="0" w:oddVBand="0" w:evenVBand="0" w:oddHBand="0" w:evenHBand="0" w:firstRowFirstColumn="0" w:firstRowLastColumn="0" w:lastRowFirstColumn="0" w:lastRowLastColumn="0"/>
            <w:tcW w:w="392" w:type="dxa"/>
          </w:tcPr>
          <w:p w14:paraId="42A00F58" w14:textId="77777777" w:rsidR="00F27CE9" w:rsidRPr="000662A2" w:rsidRDefault="00F27CE9" w:rsidP="00B76485">
            <w:pPr>
              <w:spacing w:before="0" w:after="0"/>
            </w:pPr>
            <w:r>
              <w:t>2</w:t>
            </w:r>
          </w:p>
        </w:tc>
        <w:tc>
          <w:tcPr>
            <w:tcW w:w="4394" w:type="dxa"/>
            <w:noWrap/>
            <w:hideMark/>
          </w:tcPr>
          <w:p w14:paraId="11797924" w14:textId="2DF596FE" w:rsidR="00F27CE9" w:rsidRPr="00B76485" w:rsidRDefault="00CD7A43" w:rsidP="00B76485">
            <w:pPr>
              <w:shd w:val="clear" w:color="auto" w:fill="FFFFFF"/>
              <w:spacing w:before="0" w:after="0" w:line="240" w:lineRule="auto"/>
              <w:ind w:left="97"/>
              <w:cnfStyle w:val="000000000000" w:firstRow="0" w:lastRow="0" w:firstColumn="0" w:lastColumn="0" w:oddVBand="0" w:evenVBand="0" w:oddHBand="0" w:evenHBand="0" w:firstRowFirstColumn="0" w:firstRowLastColumn="0" w:lastRowFirstColumn="0" w:lastRowLastColumn="0"/>
              <w:rPr>
                <w:rFonts w:eastAsia="Times New Roman" w:cs="Arial"/>
                <w:szCs w:val="16"/>
              </w:rPr>
            </w:pPr>
            <w:r w:rsidRPr="00B76485">
              <w:rPr>
                <w:rFonts w:eastAsia="Times New Roman" w:cs="Arial"/>
                <w:szCs w:val="16"/>
              </w:rPr>
              <w:t>Suicide of a patient in an inpatient unit</w:t>
            </w:r>
          </w:p>
        </w:tc>
        <w:tc>
          <w:tcPr>
            <w:tcW w:w="705" w:type="dxa"/>
            <w:noWrap/>
            <w:hideMark/>
          </w:tcPr>
          <w:p w14:paraId="7C290934"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9</w:t>
            </w:r>
          </w:p>
        </w:tc>
        <w:tc>
          <w:tcPr>
            <w:tcW w:w="715" w:type="dxa"/>
            <w:noWrap/>
            <w:hideMark/>
          </w:tcPr>
          <w:p w14:paraId="4D5319C2"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8</w:t>
            </w:r>
          </w:p>
        </w:tc>
        <w:tc>
          <w:tcPr>
            <w:tcW w:w="709" w:type="dxa"/>
            <w:noWrap/>
            <w:hideMark/>
          </w:tcPr>
          <w:p w14:paraId="081009B6"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9</w:t>
            </w:r>
          </w:p>
        </w:tc>
        <w:tc>
          <w:tcPr>
            <w:tcW w:w="708" w:type="dxa"/>
            <w:noWrap/>
            <w:hideMark/>
          </w:tcPr>
          <w:p w14:paraId="6A51439C"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8</w:t>
            </w:r>
          </w:p>
        </w:tc>
        <w:tc>
          <w:tcPr>
            <w:tcW w:w="709" w:type="dxa"/>
            <w:noWrap/>
            <w:hideMark/>
          </w:tcPr>
          <w:p w14:paraId="4A9BB63A"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4</w:t>
            </w:r>
          </w:p>
        </w:tc>
        <w:tc>
          <w:tcPr>
            <w:tcW w:w="711" w:type="dxa"/>
            <w:noWrap/>
            <w:hideMark/>
          </w:tcPr>
          <w:p w14:paraId="52AAA0E4"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7</w:t>
            </w:r>
          </w:p>
        </w:tc>
        <w:tc>
          <w:tcPr>
            <w:tcW w:w="714" w:type="dxa"/>
            <w:noWrap/>
            <w:hideMark/>
          </w:tcPr>
          <w:p w14:paraId="76EB3227"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7</w:t>
            </w:r>
          </w:p>
        </w:tc>
        <w:tc>
          <w:tcPr>
            <w:tcW w:w="694" w:type="dxa"/>
            <w:noWrap/>
            <w:hideMark/>
          </w:tcPr>
          <w:p w14:paraId="37EFEE84"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7</w:t>
            </w:r>
          </w:p>
        </w:tc>
      </w:tr>
      <w:tr w:rsidR="00CD7A43" w:rsidRPr="000662A2" w14:paraId="0FCAA2A7" w14:textId="77777777" w:rsidTr="000D649C">
        <w:trPr>
          <w:trHeight w:val="300"/>
        </w:trPr>
        <w:tc>
          <w:tcPr>
            <w:cnfStyle w:val="001000000000" w:firstRow="0" w:lastRow="0" w:firstColumn="1" w:lastColumn="0" w:oddVBand="0" w:evenVBand="0" w:oddHBand="0" w:evenHBand="0" w:firstRowFirstColumn="0" w:firstRowLastColumn="0" w:lastRowFirstColumn="0" w:lastRowLastColumn="0"/>
            <w:tcW w:w="392" w:type="dxa"/>
          </w:tcPr>
          <w:p w14:paraId="6C09AF2D" w14:textId="77777777" w:rsidR="00F27CE9" w:rsidRPr="000662A2" w:rsidRDefault="00F27CE9" w:rsidP="00B76485">
            <w:pPr>
              <w:spacing w:before="0" w:after="0"/>
            </w:pPr>
            <w:r>
              <w:t>3</w:t>
            </w:r>
          </w:p>
        </w:tc>
        <w:tc>
          <w:tcPr>
            <w:tcW w:w="4394" w:type="dxa"/>
            <w:noWrap/>
            <w:hideMark/>
          </w:tcPr>
          <w:p w14:paraId="4A924D81" w14:textId="2C1D71EF" w:rsidR="00CD7A43" w:rsidRPr="00B76485" w:rsidRDefault="00CD7A43" w:rsidP="00B76485">
            <w:pPr>
              <w:shd w:val="clear" w:color="auto" w:fill="FFFFFF"/>
              <w:spacing w:before="0" w:after="0" w:line="240" w:lineRule="auto"/>
              <w:ind w:left="97"/>
              <w:cnfStyle w:val="000000000000" w:firstRow="0" w:lastRow="0" w:firstColumn="0" w:lastColumn="0" w:oddVBand="0" w:evenVBand="0" w:oddHBand="0" w:evenHBand="0" w:firstRowFirstColumn="0" w:firstRowLastColumn="0" w:lastRowFirstColumn="0" w:lastRowLastColumn="0"/>
              <w:rPr>
                <w:rFonts w:eastAsia="Times New Roman" w:cs="Arial"/>
                <w:szCs w:val="16"/>
              </w:rPr>
            </w:pPr>
            <w:r w:rsidRPr="00B76485">
              <w:rPr>
                <w:rFonts w:eastAsia="Times New Roman" w:cs="Arial"/>
                <w:szCs w:val="16"/>
              </w:rPr>
              <w:t xml:space="preserve">Retained </w:t>
            </w:r>
            <w:r w:rsidRPr="00B76485">
              <w:rPr>
                <w:szCs w:val="16"/>
              </w:rPr>
              <w:t xml:space="preserve">(un-retrieved) </w:t>
            </w:r>
            <w:r w:rsidRPr="00B76485">
              <w:rPr>
                <w:rFonts w:eastAsia="Times New Roman" w:cs="Arial"/>
                <w:szCs w:val="16"/>
              </w:rPr>
              <w:t>instruments or other material after surgery requiring re-operation or further surgical procedure</w:t>
            </w:r>
          </w:p>
        </w:tc>
        <w:tc>
          <w:tcPr>
            <w:tcW w:w="705" w:type="dxa"/>
            <w:noWrap/>
            <w:hideMark/>
          </w:tcPr>
          <w:p w14:paraId="69B426F3"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5</w:t>
            </w:r>
          </w:p>
        </w:tc>
        <w:tc>
          <w:tcPr>
            <w:tcW w:w="715" w:type="dxa"/>
            <w:noWrap/>
            <w:hideMark/>
          </w:tcPr>
          <w:p w14:paraId="3F47375B"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7</w:t>
            </w:r>
          </w:p>
        </w:tc>
        <w:tc>
          <w:tcPr>
            <w:tcW w:w="709" w:type="dxa"/>
            <w:noWrap/>
            <w:hideMark/>
          </w:tcPr>
          <w:p w14:paraId="2A237A4C"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6</w:t>
            </w:r>
          </w:p>
        </w:tc>
        <w:tc>
          <w:tcPr>
            <w:tcW w:w="708" w:type="dxa"/>
            <w:noWrap/>
            <w:hideMark/>
          </w:tcPr>
          <w:p w14:paraId="2E178017"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6</w:t>
            </w:r>
          </w:p>
        </w:tc>
        <w:tc>
          <w:tcPr>
            <w:tcW w:w="709" w:type="dxa"/>
            <w:noWrap/>
            <w:hideMark/>
          </w:tcPr>
          <w:p w14:paraId="5699BAF6"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6</w:t>
            </w:r>
          </w:p>
        </w:tc>
        <w:tc>
          <w:tcPr>
            <w:tcW w:w="711" w:type="dxa"/>
            <w:noWrap/>
            <w:hideMark/>
          </w:tcPr>
          <w:p w14:paraId="62A64994"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7</w:t>
            </w:r>
          </w:p>
        </w:tc>
        <w:tc>
          <w:tcPr>
            <w:tcW w:w="714" w:type="dxa"/>
            <w:noWrap/>
            <w:hideMark/>
          </w:tcPr>
          <w:p w14:paraId="2061A748"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7</w:t>
            </w:r>
          </w:p>
        </w:tc>
        <w:tc>
          <w:tcPr>
            <w:tcW w:w="694" w:type="dxa"/>
            <w:noWrap/>
            <w:hideMark/>
          </w:tcPr>
          <w:p w14:paraId="5D5B39F0"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12</w:t>
            </w:r>
          </w:p>
        </w:tc>
      </w:tr>
      <w:tr w:rsidR="00CD7A43" w:rsidRPr="000662A2" w14:paraId="183BB148" w14:textId="77777777" w:rsidTr="000D649C">
        <w:trPr>
          <w:trHeight w:val="300"/>
        </w:trPr>
        <w:tc>
          <w:tcPr>
            <w:cnfStyle w:val="001000000000" w:firstRow="0" w:lastRow="0" w:firstColumn="1" w:lastColumn="0" w:oddVBand="0" w:evenVBand="0" w:oddHBand="0" w:evenHBand="0" w:firstRowFirstColumn="0" w:firstRowLastColumn="0" w:lastRowFirstColumn="0" w:lastRowLastColumn="0"/>
            <w:tcW w:w="392" w:type="dxa"/>
          </w:tcPr>
          <w:p w14:paraId="6BCE9ACF" w14:textId="77777777" w:rsidR="00F27CE9" w:rsidRPr="000662A2" w:rsidRDefault="00F27CE9" w:rsidP="00B76485">
            <w:pPr>
              <w:spacing w:before="0" w:after="0"/>
            </w:pPr>
            <w:r>
              <w:t>4</w:t>
            </w:r>
          </w:p>
        </w:tc>
        <w:tc>
          <w:tcPr>
            <w:tcW w:w="4394" w:type="dxa"/>
            <w:noWrap/>
            <w:hideMark/>
          </w:tcPr>
          <w:p w14:paraId="7015F59A" w14:textId="37EFA0FB" w:rsidR="00F27CE9" w:rsidRPr="00B76485" w:rsidRDefault="00CD7A43" w:rsidP="00B76485">
            <w:pPr>
              <w:shd w:val="clear" w:color="auto" w:fill="FFFFFF"/>
              <w:spacing w:before="0" w:after="0" w:line="240" w:lineRule="auto"/>
              <w:ind w:left="97"/>
              <w:cnfStyle w:val="000000000000" w:firstRow="0" w:lastRow="0" w:firstColumn="0" w:lastColumn="0" w:oddVBand="0" w:evenVBand="0" w:oddHBand="0" w:evenHBand="0" w:firstRowFirstColumn="0" w:firstRowLastColumn="0" w:lastRowFirstColumn="0" w:lastRowLastColumn="0"/>
              <w:rPr>
                <w:rFonts w:eastAsia="Times New Roman" w:cs="Arial"/>
                <w:szCs w:val="16"/>
              </w:rPr>
            </w:pPr>
            <w:r w:rsidRPr="00B76485">
              <w:rPr>
                <w:rFonts w:eastAsia="Times New Roman" w:cs="Arial"/>
                <w:szCs w:val="16"/>
              </w:rPr>
              <w:t>Intravascular gas embolism resulting in death or neurological damage</w:t>
            </w:r>
          </w:p>
        </w:tc>
        <w:tc>
          <w:tcPr>
            <w:tcW w:w="705" w:type="dxa"/>
            <w:noWrap/>
            <w:hideMark/>
          </w:tcPr>
          <w:p w14:paraId="157BFF46"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1</w:t>
            </w:r>
          </w:p>
        </w:tc>
        <w:tc>
          <w:tcPr>
            <w:tcW w:w="715" w:type="dxa"/>
            <w:noWrap/>
            <w:hideMark/>
          </w:tcPr>
          <w:p w14:paraId="50FCCA50"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0</w:t>
            </w:r>
          </w:p>
        </w:tc>
        <w:tc>
          <w:tcPr>
            <w:tcW w:w="709" w:type="dxa"/>
            <w:noWrap/>
            <w:hideMark/>
          </w:tcPr>
          <w:p w14:paraId="0CEA4D83"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0</w:t>
            </w:r>
          </w:p>
        </w:tc>
        <w:tc>
          <w:tcPr>
            <w:tcW w:w="708" w:type="dxa"/>
            <w:noWrap/>
            <w:hideMark/>
          </w:tcPr>
          <w:p w14:paraId="13AC4407"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1</w:t>
            </w:r>
          </w:p>
        </w:tc>
        <w:tc>
          <w:tcPr>
            <w:tcW w:w="709" w:type="dxa"/>
            <w:noWrap/>
            <w:hideMark/>
          </w:tcPr>
          <w:p w14:paraId="52BA852D"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0</w:t>
            </w:r>
          </w:p>
        </w:tc>
        <w:tc>
          <w:tcPr>
            <w:tcW w:w="711" w:type="dxa"/>
            <w:noWrap/>
            <w:hideMark/>
          </w:tcPr>
          <w:p w14:paraId="5893F7DF"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1</w:t>
            </w:r>
          </w:p>
        </w:tc>
        <w:tc>
          <w:tcPr>
            <w:tcW w:w="714" w:type="dxa"/>
            <w:noWrap/>
            <w:hideMark/>
          </w:tcPr>
          <w:p w14:paraId="3F990EC3"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2</w:t>
            </w:r>
          </w:p>
        </w:tc>
        <w:tc>
          <w:tcPr>
            <w:tcW w:w="694" w:type="dxa"/>
            <w:noWrap/>
            <w:hideMark/>
          </w:tcPr>
          <w:p w14:paraId="6DD82621"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0</w:t>
            </w:r>
          </w:p>
        </w:tc>
      </w:tr>
      <w:tr w:rsidR="00CD7A43" w:rsidRPr="000662A2" w14:paraId="24B754F3" w14:textId="77777777" w:rsidTr="000D649C">
        <w:trPr>
          <w:trHeight w:val="300"/>
        </w:trPr>
        <w:tc>
          <w:tcPr>
            <w:cnfStyle w:val="001000000000" w:firstRow="0" w:lastRow="0" w:firstColumn="1" w:lastColumn="0" w:oddVBand="0" w:evenVBand="0" w:oddHBand="0" w:evenHBand="0" w:firstRowFirstColumn="0" w:firstRowLastColumn="0" w:lastRowFirstColumn="0" w:lastRowLastColumn="0"/>
            <w:tcW w:w="392" w:type="dxa"/>
          </w:tcPr>
          <w:p w14:paraId="450CE335" w14:textId="77777777" w:rsidR="00F27CE9" w:rsidRPr="000662A2" w:rsidRDefault="00F27CE9" w:rsidP="00B76485">
            <w:pPr>
              <w:spacing w:before="0" w:after="0"/>
            </w:pPr>
            <w:r>
              <w:t>5</w:t>
            </w:r>
          </w:p>
        </w:tc>
        <w:tc>
          <w:tcPr>
            <w:tcW w:w="4394" w:type="dxa"/>
            <w:noWrap/>
            <w:hideMark/>
          </w:tcPr>
          <w:p w14:paraId="1A75501B" w14:textId="48C770F5" w:rsidR="00F27CE9" w:rsidRPr="00B76485" w:rsidRDefault="00CD7A43" w:rsidP="00B76485">
            <w:pPr>
              <w:shd w:val="clear" w:color="auto" w:fill="FFFFFF"/>
              <w:spacing w:before="0" w:after="0" w:line="240" w:lineRule="auto"/>
              <w:ind w:left="97"/>
              <w:cnfStyle w:val="000000000000" w:firstRow="0" w:lastRow="0" w:firstColumn="0" w:lastColumn="0" w:oddVBand="0" w:evenVBand="0" w:oddHBand="0" w:evenHBand="0" w:firstRowFirstColumn="0" w:firstRowLastColumn="0" w:lastRowFirstColumn="0" w:lastRowLastColumn="0"/>
              <w:rPr>
                <w:rFonts w:eastAsia="Times New Roman" w:cs="Arial"/>
                <w:szCs w:val="16"/>
              </w:rPr>
            </w:pPr>
            <w:r w:rsidRPr="00B76485">
              <w:rPr>
                <w:rFonts w:eastAsia="Times New Roman" w:cs="Arial"/>
                <w:szCs w:val="16"/>
              </w:rPr>
              <w:t>Haemolytic blood transfusion reaction resulting from ABO incompatibility</w:t>
            </w:r>
          </w:p>
        </w:tc>
        <w:tc>
          <w:tcPr>
            <w:tcW w:w="705" w:type="dxa"/>
            <w:noWrap/>
            <w:hideMark/>
          </w:tcPr>
          <w:p w14:paraId="218EEC35"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1</w:t>
            </w:r>
          </w:p>
        </w:tc>
        <w:tc>
          <w:tcPr>
            <w:tcW w:w="715" w:type="dxa"/>
            <w:noWrap/>
            <w:hideMark/>
          </w:tcPr>
          <w:p w14:paraId="03088347"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0</w:t>
            </w:r>
          </w:p>
        </w:tc>
        <w:tc>
          <w:tcPr>
            <w:tcW w:w="709" w:type="dxa"/>
            <w:noWrap/>
            <w:hideMark/>
          </w:tcPr>
          <w:p w14:paraId="78A0DBFC"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0</w:t>
            </w:r>
          </w:p>
        </w:tc>
        <w:tc>
          <w:tcPr>
            <w:tcW w:w="708" w:type="dxa"/>
            <w:noWrap/>
            <w:hideMark/>
          </w:tcPr>
          <w:p w14:paraId="4E243E4C"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0</w:t>
            </w:r>
          </w:p>
        </w:tc>
        <w:tc>
          <w:tcPr>
            <w:tcW w:w="709" w:type="dxa"/>
            <w:noWrap/>
            <w:hideMark/>
          </w:tcPr>
          <w:p w14:paraId="5F76BBCE"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0</w:t>
            </w:r>
          </w:p>
        </w:tc>
        <w:tc>
          <w:tcPr>
            <w:tcW w:w="711" w:type="dxa"/>
            <w:noWrap/>
            <w:hideMark/>
          </w:tcPr>
          <w:p w14:paraId="690FB1A3"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0</w:t>
            </w:r>
          </w:p>
        </w:tc>
        <w:tc>
          <w:tcPr>
            <w:tcW w:w="714" w:type="dxa"/>
            <w:noWrap/>
            <w:hideMark/>
          </w:tcPr>
          <w:p w14:paraId="1A1EB852"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0</w:t>
            </w:r>
          </w:p>
        </w:tc>
        <w:tc>
          <w:tcPr>
            <w:tcW w:w="694" w:type="dxa"/>
            <w:noWrap/>
            <w:hideMark/>
          </w:tcPr>
          <w:p w14:paraId="2791F02A"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2</w:t>
            </w:r>
          </w:p>
        </w:tc>
      </w:tr>
      <w:tr w:rsidR="00CD7A43" w:rsidRPr="000662A2" w14:paraId="5BA04854" w14:textId="77777777" w:rsidTr="000D649C">
        <w:trPr>
          <w:trHeight w:val="300"/>
        </w:trPr>
        <w:tc>
          <w:tcPr>
            <w:cnfStyle w:val="001000000000" w:firstRow="0" w:lastRow="0" w:firstColumn="1" w:lastColumn="0" w:oddVBand="0" w:evenVBand="0" w:oddHBand="0" w:evenHBand="0" w:firstRowFirstColumn="0" w:firstRowLastColumn="0" w:lastRowFirstColumn="0" w:lastRowLastColumn="0"/>
            <w:tcW w:w="392" w:type="dxa"/>
          </w:tcPr>
          <w:p w14:paraId="2842B204" w14:textId="77777777" w:rsidR="00F27CE9" w:rsidRPr="000662A2" w:rsidRDefault="00F27CE9" w:rsidP="00B76485">
            <w:pPr>
              <w:spacing w:before="0" w:after="0"/>
            </w:pPr>
            <w:r>
              <w:t>6</w:t>
            </w:r>
          </w:p>
        </w:tc>
        <w:tc>
          <w:tcPr>
            <w:tcW w:w="4394" w:type="dxa"/>
            <w:noWrap/>
            <w:hideMark/>
          </w:tcPr>
          <w:p w14:paraId="21B3FEB9" w14:textId="7BCA00AA" w:rsidR="00F27CE9" w:rsidRPr="00B76485" w:rsidRDefault="00CD7A43" w:rsidP="00B76485">
            <w:pPr>
              <w:shd w:val="clear" w:color="auto" w:fill="FFFFFF"/>
              <w:spacing w:before="0" w:after="0" w:line="240" w:lineRule="auto"/>
              <w:ind w:left="97"/>
              <w:cnfStyle w:val="000000000000" w:firstRow="0" w:lastRow="0" w:firstColumn="0" w:lastColumn="0" w:oddVBand="0" w:evenVBand="0" w:oddHBand="0" w:evenHBand="0" w:firstRowFirstColumn="0" w:firstRowLastColumn="0" w:lastRowFirstColumn="0" w:lastRowLastColumn="0"/>
              <w:rPr>
                <w:rFonts w:eastAsia="Times New Roman" w:cs="Arial"/>
                <w:szCs w:val="16"/>
              </w:rPr>
            </w:pPr>
            <w:r w:rsidRPr="00B76485">
              <w:rPr>
                <w:rFonts w:eastAsia="Times New Roman" w:cs="Arial"/>
                <w:szCs w:val="16"/>
              </w:rPr>
              <w:t>Medication error leading to the death of a patient reasonably believed to be due to incorrect administration of drugs</w:t>
            </w:r>
          </w:p>
        </w:tc>
        <w:tc>
          <w:tcPr>
            <w:tcW w:w="705" w:type="dxa"/>
            <w:noWrap/>
            <w:hideMark/>
          </w:tcPr>
          <w:p w14:paraId="113FCCB0"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2</w:t>
            </w:r>
          </w:p>
        </w:tc>
        <w:tc>
          <w:tcPr>
            <w:tcW w:w="715" w:type="dxa"/>
            <w:noWrap/>
            <w:hideMark/>
          </w:tcPr>
          <w:p w14:paraId="579C285E"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4</w:t>
            </w:r>
          </w:p>
        </w:tc>
        <w:tc>
          <w:tcPr>
            <w:tcW w:w="709" w:type="dxa"/>
            <w:noWrap/>
            <w:hideMark/>
          </w:tcPr>
          <w:p w14:paraId="1CC59357"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1</w:t>
            </w:r>
          </w:p>
        </w:tc>
        <w:tc>
          <w:tcPr>
            <w:tcW w:w="708" w:type="dxa"/>
            <w:noWrap/>
            <w:hideMark/>
          </w:tcPr>
          <w:p w14:paraId="62B22760"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3</w:t>
            </w:r>
          </w:p>
        </w:tc>
        <w:tc>
          <w:tcPr>
            <w:tcW w:w="709" w:type="dxa"/>
            <w:noWrap/>
            <w:hideMark/>
          </w:tcPr>
          <w:p w14:paraId="679D859C"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7</w:t>
            </w:r>
          </w:p>
        </w:tc>
        <w:tc>
          <w:tcPr>
            <w:tcW w:w="711" w:type="dxa"/>
            <w:noWrap/>
            <w:hideMark/>
          </w:tcPr>
          <w:p w14:paraId="211B958E"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1</w:t>
            </w:r>
          </w:p>
        </w:tc>
        <w:tc>
          <w:tcPr>
            <w:tcW w:w="714" w:type="dxa"/>
            <w:noWrap/>
            <w:hideMark/>
          </w:tcPr>
          <w:p w14:paraId="3A4520EF"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3</w:t>
            </w:r>
          </w:p>
        </w:tc>
        <w:tc>
          <w:tcPr>
            <w:tcW w:w="694" w:type="dxa"/>
            <w:noWrap/>
            <w:hideMark/>
          </w:tcPr>
          <w:p w14:paraId="090D3B15"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2</w:t>
            </w:r>
          </w:p>
        </w:tc>
      </w:tr>
      <w:tr w:rsidR="00CD7A43" w:rsidRPr="000662A2" w14:paraId="19DC4435" w14:textId="77777777" w:rsidTr="000D649C">
        <w:trPr>
          <w:trHeight w:val="300"/>
        </w:trPr>
        <w:tc>
          <w:tcPr>
            <w:cnfStyle w:val="001000000000" w:firstRow="0" w:lastRow="0" w:firstColumn="1" w:lastColumn="0" w:oddVBand="0" w:evenVBand="0" w:oddHBand="0" w:evenHBand="0" w:firstRowFirstColumn="0" w:firstRowLastColumn="0" w:lastRowFirstColumn="0" w:lastRowLastColumn="0"/>
            <w:tcW w:w="392" w:type="dxa"/>
          </w:tcPr>
          <w:p w14:paraId="2F03A518" w14:textId="77777777" w:rsidR="00F27CE9" w:rsidRPr="000662A2" w:rsidRDefault="00F27CE9" w:rsidP="00B76485">
            <w:pPr>
              <w:spacing w:before="0" w:after="0"/>
            </w:pPr>
            <w:r>
              <w:t>7</w:t>
            </w:r>
          </w:p>
        </w:tc>
        <w:tc>
          <w:tcPr>
            <w:tcW w:w="4394" w:type="dxa"/>
            <w:noWrap/>
            <w:hideMark/>
          </w:tcPr>
          <w:p w14:paraId="39E156BF" w14:textId="020660C1" w:rsidR="00F27CE9" w:rsidRPr="00B76485" w:rsidRDefault="00CD7A43" w:rsidP="00B76485">
            <w:pPr>
              <w:shd w:val="clear" w:color="auto" w:fill="FFFFFF"/>
              <w:spacing w:before="0" w:after="0" w:line="240" w:lineRule="auto"/>
              <w:ind w:left="97"/>
              <w:cnfStyle w:val="000000000000" w:firstRow="0" w:lastRow="0" w:firstColumn="0" w:lastColumn="0" w:oddVBand="0" w:evenVBand="0" w:oddHBand="0" w:evenHBand="0" w:firstRowFirstColumn="0" w:firstRowLastColumn="0" w:lastRowFirstColumn="0" w:lastRowLastColumn="0"/>
              <w:rPr>
                <w:rFonts w:eastAsia="Times New Roman" w:cs="Arial"/>
                <w:szCs w:val="16"/>
              </w:rPr>
            </w:pPr>
            <w:r w:rsidRPr="00B76485">
              <w:rPr>
                <w:rFonts w:eastAsia="Times New Roman" w:cs="Arial"/>
                <w:szCs w:val="16"/>
              </w:rPr>
              <w:t>Maternal death associated with pregnancy, birth and the puerperium</w:t>
            </w:r>
          </w:p>
        </w:tc>
        <w:tc>
          <w:tcPr>
            <w:tcW w:w="705" w:type="dxa"/>
            <w:noWrap/>
            <w:hideMark/>
          </w:tcPr>
          <w:p w14:paraId="14C9ACBD"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2</w:t>
            </w:r>
          </w:p>
        </w:tc>
        <w:tc>
          <w:tcPr>
            <w:tcW w:w="715" w:type="dxa"/>
            <w:noWrap/>
            <w:hideMark/>
          </w:tcPr>
          <w:p w14:paraId="17F48FDA"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0</w:t>
            </w:r>
          </w:p>
        </w:tc>
        <w:tc>
          <w:tcPr>
            <w:tcW w:w="709" w:type="dxa"/>
            <w:noWrap/>
            <w:hideMark/>
          </w:tcPr>
          <w:p w14:paraId="1C3F52B9"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1</w:t>
            </w:r>
          </w:p>
        </w:tc>
        <w:tc>
          <w:tcPr>
            <w:tcW w:w="708" w:type="dxa"/>
            <w:noWrap/>
            <w:hideMark/>
          </w:tcPr>
          <w:p w14:paraId="44554359"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3</w:t>
            </w:r>
          </w:p>
        </w:tc>
        <w:tc>
          <w:tcPr>
            <w:tcW w:w="709" w:type="dxa"/>
            <w:noWrap/>
            <w:hideMark/>
          </w:tcPr>
          <w:p w14:paraId="16057365"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2</w:t>
            </w:r>
          </w:p>
        </w:tc>
        <w:tc>
          <w:tcPr>
            <w:tcW w:w="711" w:type="dxa"/>
            <w:noWrap/>
            <w:hideMark/>
          </w:tcPr>
          <w:p w14:paraId="6A2896CC"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0</w:t>
            </w:r>
          </w:p>
        </w:tc>
        <w:tc>
          <w:tcPr>
            <w:tcW w:w="714" w:type="dxa"/>
            <w:noWrap/>
            <w:hideMark/>
          </w:tcPr>
          <w:p w14:paraId="322DF749"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3</w:t>
            </w:r>
          </w:p>
        </w:tc>
        <w:tc>
          <w:tcPr>
            <w:tcW w:w="694" w:type="dxa"/>
            <w:noWrap/>
            <w:hideMark/>
          </w:tcPr>
          <w:p w14:paraId="287489EE"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0</w:t>
            </w:r>
          </w:p>
        </w:tc>
      </w:tr>
      <w:tr w:rsidR="00CD7A43" w:rsidRPr="000662A2" w14:paraId="3A2322CC" w14:textId="77777777" w:rsidTr="000D649C">
        <w:trPr>
          <w:trHeight w:val="300"/>
        </w:trPr>
        <w:tc>
          <w:tcPr>
            <w:cnfStyle w:val="001000000000" w:firstRow="0" w:lastRow="0" w:firstColumn="1" w:lastColumn="0" w:oddVBand="0" w:evenVBand="0" w:oddHBand="0" w:evenHBand="0" w:firstRowFirstColumn="0" w:firstRowLastColumn="0" w:lastRowFirstColumn="0" w:lastRowLastColumn="0"/>
            <w:tcW w:w="392" w:type="dxa"/>
          </w:tcPr>
          <w:p w14:paraId="32316971" w14:textId="77777777" w:rsidR="00F27CE9" w:rsidRPr="000662A2" w:rsidRDefault="00F27CE9" w:rsidP="00B76485">
            <w:pPr>
              <w:spacing w:before="0" w:after="0"/>
            </w:pPr>
            <w:r>
              <w:t>8</w:t>
            </w:r>
          </w:p>
        </w:tc>
        <w:tc>
          <w:tcPr>
            <w:tcW w:w="4394" w:type="dxa"/>
            <w:noWrap/>
            <w:hideMark/>
          </w:tcPr>
          <w:p w14:paraId="2CA6D2C4" w14:textId="01E6047D" w:rsidR="00F27CE9" w:rsidRPr="00B76485" w:rsidRDefault="00CD7A43" w:rsidP="00B76485">
            <w:pPr>
              <w:spacing w:before="0" w:after="0" w:line="240" w:lineRule="auto"/>
              <w:ind w:left="97"/>
              <w:cnfStyle w:val="000000000000" w:firstRow="0" w:lastRow="0" w:firstColumn="0" w:lastColumn="0" w:oddVBand="0" w:evenVBand="0" w:oddHBand="0" w:evenHBand="0" w:firstRowFirstColumn="0" w:firstRowLastColumn="0" w:lastRowFirstColumn="0" w:lastRowLastColumn="0"/>
              <w:rPr>
                <w:szCs w:val="16"/>
              </w:rPr>
            </w:pPr>
            <w:r w:rsidRPr="00B76485">
              <w:rPr>
                <w:rFonts w:cs="Arial"/>
                <w:szCs w:val="16"/>
                <w:shd w:val="clear" w:color="auto" w:fill="FFFFFF"/>
              </w:rPr>
              <w:t>Infant discharged to the wrong family</w:t>
            </w:r>
          </w:p>
        </w:tc>
        <w:tc>
          <w:tcPr>
            <w:tcW w:w="705" w:type="dxa"/>
            <w:noWrap/>
            <w:hideMark/>
          </w:tcPr>
          <w:p w14:paraId="16F08452"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0</w:t>
            </w:r>
          </w:p>
        </w:tc>
        <w:tc>
          <w:tcPr>
            <w:tcW w:w="715" w:type="dxa"/>
            <w:noWrap/>
            <w:hideMark/>
          </w:tcPr>
          <w:p w14:paraId="2410EC79"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0</w:t>
            </w:r>
          </w:p>
        </w:tc>
        <w:tc>
          <w:tcPr>
            <w:tcW w:w="709" w:type="dxa"/>
            <w:noWrap/>
            <w:hideMark/>
          </w:tcPr>
          <w:p w14:paraId="384C97A7"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0</w:t>
            </w:r>
          </w:p>
        </w:tc>
        <w:tc>
          <w:tcPr>
            <w:tcW w:w="708" w:type="dxa"/>
            <w:noWrap/>
            <w:hideMark/>
          </w:tcPr>
          <w:p w14:paraId="6D62B642"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0</w:t>
            </w:r>
          </w:p>
        </w:tc>
        <w:tc>
          <w:tcPr>
            <w:tcW w:w="709" w:type="dxa"/>
            <w:noWrap/>
            <w:hideMark/>
          </w:tcPr>
          <w:p w14:paraId="7EF704F3"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0</w:t>
            </w:r>
          </w:p>
        </w:tc>
        <w:tc>
          <w:tcPr>
            <w:tcW w:w="711" w:type="dxa"/>
            <w:noWrap/>
            <w:hideMark/>
          </w:tcPr>
          <w:p w14:paraId="6585CB99"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0</w:t>
            </w:r>
          </w:p>
        </w:tc>
        <w:tc>
          <w:tcPr>
            <w:tcW w:w="714" w:type="dxa"/>
            <w:noWrap/>
            <w:hideMark/>
          </w:tcPr>
          <w:p w14:paraId="58E08705"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0</w:t>
            </w:r>
          </w:p>
        </w:tc>
        <w:tc>
          <w:tcPr>
            <w:tcW w:w="694" w:type="dxa"/>
            <w:noWrap/>
            <w:hideMark/>
          </w:tcPr>
          <w:p w14:paraId="38A8ADDF"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0</w:t>
            </w:r>
          </w:p>
        </w:tc>
      </w:tr>
      <w:tr w:rsidR="00CD7A43" w:rsidRPr="000662A2" w14:paraId="76FAEE77" w14:textId="77777777" w:rsidTr="000D649C">
        <w:trPr>
          <w:trHeight w:val="300"/>
        </w:trPr>
        <w:tc>
          <w:tcPr>
            <w:cnfStyle w:val="001000000000" w:firstRow="0" w:lastRow="0" w:firstColumn="1" w:lastColumn="0" w:oddVBand="0" w:evenVBand="0" w:oddHBand="0" w:evenHBand="0" w:firstRowFirstColumn="0" w:firstRowLastColumn="0" w:lastRowFirstColumn="0" w:lastRowLastColumn="0"/>
            <w:tcW w:w="392" w:type="dxa"/>
          </w:tcPr>
          <w:p w14:paraId="70FABD54" w14:textId="77777777" w:rsidR="00F27CE9" w:rsidRPr="000662A2" w:rsidRDefault="00F27CE9" w:rsidP="00B76485">
            <w:pPr>
              <w:spacing w:before="0" w:after="0"/>
            </w:pPr>
            <w:r>
              <w:t>9</w:t>
            </w:r>
          </w:p>
        </w:tc>
        <w:tc>
          <w:tcPr>
            <w:tcW w:w="4394" w:type="dxa"/>
            <w:noWrap/>
            <w:hideMark/>
          </w:tcPr>
          <w:p w14:paraId="5E3E3BD2" w14:textId="76EAA8BE" w:rsidR="00F27CE9" w:rsidRPr="00B76485" w:rsidRDefault="00CD7A43" w:rsidP="00B76485">
            <w:pPr>
              <w:spacing w:before="0" w:after="0" w:line="240" w:lineRule="auto"/>
              <w:ind w:left="97"/>
              <w:cnfStyle w:val="000000000000" w:firstRow="0" w:lastRow="0" w:firstColumn="0" w:lastColumn="0" w:oddVBand="0" w:evenVBand="0" w:oddHBand="0" w:evenHBand="0" w:firstRowFirstColumn="0" w:firstRowLastColumn="0" w:lastRowFirstColumn="0" w:lastRowLastColumn="0"/>
              <w:rPr>
                <w:rFonts w:eastAsia="Times New Roman" w:cs="Times New Roman"/>
                <w:szCs w:val="16"/>
              </w:rPr>
            </w:pPr>
            <w:r w:rsidRPr="00B76485">
              <w:rPr>
                <w:rFonts w:eastAsia="Times New Roman" w:cs="Times New Roman"/>
                <w:szCs w:val="16"/>
              </w:rPr>
              <w:t>Other catastrophic: incident severity rating 1 (ISR 1)</w:t>
            </w:r>
          </w:p>
        </w:tc>
        <w:tc>
          <w:tcPr>
            <w:tcW w:w="705" w:type="dxa"/>
            <w:noWrap/>
            <w:hideMark/>
          </w:tcPr>
          <w:p w14:paraId="1489CE52"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37</w:t>
            </w:r>
          </w:p>
        </w:tc>
        <w:tc>
          <w:tcPr>
            <w:tcW w:w="715" w:type="dxa"/>
            <w:noWrap/>
            <w:hideMark/>
          </w:tcPr>
          <w:p w14:paraId="05BCC9E7"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21</w:t>
            </w:r>
          </w:p>
        </w:tc>
        <w:tc>
          <w:tcPr>
            <w:tcW w:w="709" w:type="dxa"/>
            <w:noWrap/>
            <w:hideMark/>
          </w:tcPr>
          <w:p w14:paraId="369A598B"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17</w:t>
            </w:r>
          </w:p>
        </w:tc>
        <w:tc>
          <w:tcPr>
            <w:tcW w:w="708" w:type="dxa"/>
            <w:noWrap/>
            <w:hideMark/>
          </w:tcPr>
          <w:p w14:paraId="5A69ECEE"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33</w:t>
            </w:r>
          </w:p>
        </w:tc>
        <w:tc>
          <w:tcPr>
            <w:tcW w:w="709" w:type="dxa"/>
            <w:noWrap/>
            <w:hideMark/>
          </w:tcPr>
          <w:p w14:paraId="2CB35295"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23</w:t>
            </w:r>
          </w:p>
        </w:tc>
        <w:tc>
          <w:tcPr>
            <w:tcW w:w="711" w:type="dxa"/>
            <w:noWrap/>
            <w:hideMark/>
          </w:tcPr>
          <w:p w14:paraId="7673FC16"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31</w:t>
            </w:r>
          </w:p>
        </w:tc>
        <w:tc>
          <w:tcPr>
            <w:tcW w:w="714" w:type="dxa"/>
            <w:noWrap/>
            <w:hideMark/>
          </w:tcPr>
          <w:p w14:paraId="5A9ACFA7"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49</w:t>
            </w:r>
          </w:p>
        </w:tc>
        <w:tc>
          <w:tcPr>
            <w:tcW w:w="694" w:type="dxa"/>
            <w:noWrap/>
            <w:hideMark/>
          </w:tcPr>
          <w:p w14:paraId="001D16A9" w14:textId="77777777" w:rsidR="00F27CE9" w:rsidRPr="00CD7A43" w:rsidRDefault="00F27CE9" w:rsidP="00B76485">
            <w:pPr>
              <w:pStyle w:val="Tabletextright"/>
              <w:spacing w:before="0" w:after="0"/>
              <w:cnfStyle w:val="000000000000" w:firstRow="0" w:lastRow="0" w:firstColumn="0" w:lastColumn="0" w:oddVBand="0" w:evenVBand="0" w:oddHBand="0" w:evenHBand="0" w:firstRowFirstColumn="0" w:firstRowLastColumn="0" w:lastRowFirstColumn="0" w:lastRowLastColumn="0"/>
              <w:rPr>
                <w:szCs w:val="16"/>
              </w:rPr>
            </w:pPr>
            <w:r w:rsidRPr="00CD7A43">
              <w:rPr>
                <w:szCs w:val="16"/>
              </w:rPr>
              <w:t>98</w:t>
            </w:r>
          </w:p>
        </w:tc>
      </w:tr>
      <w:tr w:rsidR="00CD7A43" w:rsidRPr="000662A2" w14:paraId="71CB9278" w14:textId="77777777" w:rsidTr="000D649C">
        <w:trPr>
          <w:trHeight w:val="300"/>
        </w:trPr>
        <w:tc>
          <w:tcPr>
            <w:cnfStyle w:val="001000000000" w:firstRow="0" w:lastRow="0" w:firstColumn="1" w:lastColumn="0" w:oddVBand="0" w:evenVBand="0" w:oddHBand="0" w:evenHBand="0" w:firstRowFirstColumn="0" w:firstRowLastColumn="0" w:lastRowFirstColumn="0" w:lastRowLastColumn="0"/>
            <w:tcW w:w="392" w:type="dxa"/>
          </w:tcPr>
          <w:p w14:paraId="139B375B" w14:textId="77777777" w:rsidR="00F27CE9" w:rsidRPr="000662A2" w:rsidRDefault="00F27CE9" w:rsidP="0060775D"/>
        </w:tc>
        <w:tc>
          <w:tcPr>
            <w:tcW w:w="4394" w:type="dxa"/>
            <w:noWrap/>
            <w:hideMark/>
          </w:tcPr>
          <w:p w14:paraId="44A7641E" w14:textId="77777777" w:rsidR="00F27CE9" w:rsidRPr="00F27CE9" w:rsidRDefault="00F27CE9" w:rsidP="0060775D">
            <w:pPr>
              <w:cnfStyle w:val="000000000000" w:firstRow="0" w:lastRow="0" w:firstColumn="0" w:lastColumn="0" w:oddVBand="0" w:evenVBand="0" w:oddHBand="0" w:evenHBand="0" w:firstRowFirstColumn="0" w:firstRowLastColumn="0" w:lastRowFirstColumn="0" w:lastRowLastColumn="0"/>
              <w:rPr>
                <w:b/>
              </w:rPr>
            </w:pPr>
            <w:r w:rsidRPr="00F27CE9">
              <w:rPr>
                <w:b/>
              </w:rPr>
              <w:t>Total</w:t>
            </w:r>
          </w:p>
        </w:tc>
        <w:tc>
          <w:tcPr>
            <w:tcW w:w="705" w:type="dxa"/>
            <w:noWrap/>
            <w:hideMark/>
          </w:tcPr>
          <w:p w14:paraId="64B8A65E" w14:textId="77777777" w:rsidR="00F27CE9" w:rsidRPr="00F27CE9" w:rsidRDefault="00F27CE9" w:rsidP="00F27CE9">
            <w:pPr>
              <w:pStyle w:val="Tabletextright"/>
              <w:cnfStyle w:val="000000000000" w:firstRow="0" w:lastRow="0" w:firstColumn="0" w:lastColumn="0" w:oddVBand="0" w:evenVBand="0" w:oddHBand="0" w:evenHBand="0" w:firstRowFirstColumn="0" w:firstRowLastColumn="0" w:lastRowFirstColumn="0" w:lastRowLastColumn="0"/>
              <w:rPr>
                <w:b/>
              </w:rPr>
            </w:pPr>
            <w:r w:rsidRPr="00F27CE9">
              <w:rPr>
                <w:b/>
              </w:rPr>
              <w:t>58</w:t>
            </w:r>
          </w:p>
        </w:tc>
        <w:tc>
          <w:tcPr>
            <w:tcW w:w="715" w:type="dxa"/>
            <w:noWrap/>
            <w:hideMark/>
          </w:tcPr>
          <w:p w14:paraId="1AD34B54" w14:textId="77777777" w:rsidR="00F27CE9" w:rsidRPr="00F27CE9" w:rsidRDefault="00F27CE9" w:rsidP="00F27CE9">
            <w:pPr>
              <w:pStyle w:val="Tabletextright"/>
              <w:cnfStyle w:val="000000000000" w:firstRow="0" w:lastRow="0" w:firstColumn="0" w:lastColumn="0" w:oddVBand="0" w:evenVBand="0" w:oddHBand="0" w:evenHBand="0" w:firstRowFirstColumn="0" w:firstRowLastColumn="0" w:lastRowFirstColumn="0" w:lastRowLastColumn="0"/>
              <w:rPr>
                <w:b/>
              </w:rPr>
            </w:pPr>
            <w:r w:rsidRPr="00F27CE9">
              <w:rPr>
                <w:b/>
              </w:rPr>
              <w:t>41</w:t>
            </w:r>
          </w:p>
        </w:tc>
        <w:tc>
          <w:tcPr>
            <w:tcW w:w="709" w:type="dxa"/>
            <w:noWrap/>
            <w:hideMark/>
          </w:tcPr>
          <w:p w14:paraId="36FD8D90" w14:textId="77777777" w:rsidR="00F27CE9" w:rsidRPr="00F27CE9" w:rsidRDefault="00F27CE9" w:rsidP="00F27CE9">
            <w:pPr>
              <w:pStyle w:val="Tabletextright"/>
              <w:cnfStyle w:val="000000000000" w:firstRow="0" w:lastRow="0" w:firstColumn="0" w:lastColumn="0" w:oddVBand="0" w:evenVBand="0" w:oddHBand="0" w:evenHBand="0" w:firstRowFirstColumn="0" w:firstRowLastColumn="0" w:lastRowFirstColumn="0" w:lastRowLastColumn="0"/>
              <w:rPr>
                <w:b/>
              </w:rPr>
            </w:pPr>
            <w:r w:rsidRPr="00F27CE9">
              <w:rPr>
                <w:b/>
              </w:rPr>
              <w:t>34</w:t>
            </w:r>
          </w:p>
        </w:tc>
        <w:tc>
          <w:tcPr>
            <w:tcW w:w="708" w:type="dxa"/>
            <w:noWrap/>
            <w:hideMark/>
          </w:tcPr>
          <w:p w14:paraId="382CA20F" w14:textId="77777777" w:rsidR="00F27CE9" w:rsidRPr="00F27CE9" w:rsidRDefault="00F27CE9" w:rsidP="00F27CE9">
            <w:pPr>
              <w:pStyle w:val="Tabletextright"/>
              <w:cnfStyle w:val="000000000000" w:firstRow="0" w:lastRow="0" w:firstColumn="0" w:lastColumn="0" w:oddVBand="0" w:evenVBand="0" w:oddHBand="0" w:evenHBand="0" w:firstRowFirstColumn="0" w:firstRowLastColumn="0" w:lastRowFirstColumn="0" w:lastRowLastColumn="0"/>
              <w:rPr>
                <w:b/>
              </w:rPr>
            </w:pPr>
            <w:r w:rsidRPr="00F27CE9">
              <w:rPr>
                <w:b/>
              </w:rPr>
              <w:t>54</w:t>
            </w:r>
          </w:p>
        </w:tc>
        <w:tc>
          <w:tcPr>
            <w:tcW w:w="709" w:type="dxa"/>
            <w:noWrap/>
            <w:hideMark/>
          </w:tcPr>
          <w:p w14:paraId="2351DDA3" w14:textId="77777777" w:rsidR="00F27CE9" w:rsidRPr="00F27CE9" w:rsidRDefault="00F27CE9" w:rsidP="00F27CE9">
            <w:pPr>
              <w:pStyle w:val="Tabletextright"/>
              <w:cnfStyle w:val="000000000000" w:firstRow="0" w:lastRow="0" w:firstColumn="0" w:lastColumn="0" w:oddVBand="0" w:evenVBand="0" w:oddHBand="0" w:evenHBand="0" w:firstRowFirstColumn="0" w:firstRowLastColumn="0" w:lastRowFirstColumn="0" w:lastRowLastColumn="0"/>
              <w:rPr>
                <w:b/>
              </w:rPr>
            </w:pPr>
            <w:r w:rsidRPr="00F27CE9">
              <w:rPr>
                <w:b/>
              </w:rPr>
              <w:t>42</w:t>
            </w:r>
          </w:p>
        </w:tc>
        <w:tc>
          <w:tcPr>
            <w:tcW w:w="711" w:type="dxa"/>
            <w:noWrap/>
            <w:hideMark/>
          </w:tcPr>
          <w:p w14:paraId="16B074EF" w14:textId="77777777" w:rsidR="00F27CE9" w:rsidRPr="00F27CE9" w:rsidRDefault="00F27CE9" w:rsidP="00F27CE9">
            <w:pPr>
              <w:pStyle w:val="Tabletextright"/>
              <w:cnfStyle w:val="000000000000" w:firstRow="0" w:lastRow="0" w:firstColumn="0" w:lastColumn="0" w:oddVBand="0" w:evenVBand="0" w:oddHBand="0" w:evenHBand="0" w:firstRowFirstColumn="0" w:firstRowLastColumn="0" w:lastRowFirstColumn="0" w:lastRowLastColumn="0"/>
              <w:rPr>
                <w:b/>
              </w:rPr>
            </w:pPr>
            <w:r w:rsidRPr="00F27CE9">
              <w:rPr>
                <w:b/>
              </w:rPr>
              <w:t>47</w:t>
            </w:r>
          </w:p>
        </w:tc>
        <w:tc>
          <w:tcPr>
            <w:tcW w:w="714" w:type="dxa"/>
            <w:noWrap/>
            <w:hideMark/>
          </w:tcPr>
          <w:p w14:paraId="0A82A994" w14:textId="77777777" w:rsidR="00F27CE9" w:rsidRPr="00F27CE9" w:rsidRDefault="00F27CE9" w:rsidP="00F27CE9">
            <w:pPr>
              <w:pStyle w:val="Tabletextright"/>
              <w:cnfStyle w:val="000000000000" w:firstRow="0" w:lastRow="0" w:firstColumn="0" w:lastColumn="0" w:oddVBand="0" w:evenVBand="0" w:oddHBand="0" w:evenHBand="0" w:firstRowFirstColumn="0" w:firstRowLastColumn="0" w:lastRowFirstColumn="0" w:lastRowLastColumn="0"/>
              <w:rPr>
                <w:b/>
              </w:rPr>
            </w:pPr>
            <w:r w:rsidRPr="00F27CE9">
              <w:rPr>
                <w:b/>
              </w:rPr>
              <w:t>72</w:t>
            </w:r>
          </w:p>
        </w:tc>
        <w:tc>
          <w:tcPr>
            <w:tcW w:w="694" w:type="dxa"/>
            <w:noWrap/>
            <w:hideMark/>
          </w:tcPr>
          <w:p w14:paraId="51B04172" w14:textId="77777777" w:rsidR="00F27CE9" w:rsidRPr="00F27CE9" w:rsidRDefault="00F27CE9" w:rsidP="00F27CE9">
            <w:pPr>
              <w:pStyle w:val="Tabletextright"/>
              <w:cnfStyle w:val="000000000000" w:firstRow="0" w:lastRow="0" w:firstColumn="0" w:lastColumn="0" w:oddVBand="0" w:evenVBand="0" w:oddHBand="0" w:evenHBand="0" w:firstRowFirstColumn="0" w:firstRowLastColumn="0" w:lastRowFirstColumn="0" w:lastRowLastColumn="0"/>
              <w:rPr>
                <w:b/>
              </w:rPr>
            </w:pPr>
            <w:r w:rsidRPr="00F27CE9">
              <w:rPr>
                <w:b/>
              </w:rPr>
              <w:t>122</w:t>
            </w:r>
          </w:p>
        </w:tc>
      </w:tr>
    </w:tbl>
    <w:p w14:paraId="29BF008E" w14:textId="3F55024C" w:rsidR="00D36AB3" w:rsidRPr="00AA6F2E" w:rsidRDefault="00D36AB3" w:rsidP="00AA6F2E">
      <w:pPr>
        <w:rPr>
          <w:rFonts w:ascii="VIC SemiBold" w:eastAsiaTheme="majorEastAsia" w:hAnsi="VIC SemiBold" w:cstheme="majorBidi"/>
        </w:rPr>
      </w:pPr>
      <w:r>
        <w:br w:type="page"/>
      </w:r>
    </w:p>
    <w:p w14:paraId="1F84FDE9" w14:textId="18FBEAD1" w:rsidR="00D36AB3" w:rsidRDefault="00D36AB3" w:rsidP="00D36AB3">
      <w:pPr>
        <w:pStyle w:val="Tablechartdiagramheading"/>
      </w:pPr>
      <w:r w:rsidRPr="00564B9E">
        <w:lastRenderedPageBreak/>
        <w:t xml:space="preserve">Figure 1: Category of sentinel events </w:t>
      </w:r>
      <w:r w:rsidR="005E6AAF" w:rsidRPr="00564B9E">
        <w:t>notified</w:t>
      </w:r>
      <w:r w:rsidRPr="00564B9E">
        <w:t xml:space="preserve"> </w:t>
      </w:r>
      <w:r w:rsidR="00643FC5">
        <w:t>2017–</w:t>
      </w:r>
      <w:r w:rsidRPr="00564B9E">
        <w:t>18</w:t>
      </w:r>
    </w:p>
    <w:p w14:paraId="4C0DA192" w14:textId="77777777" w:rsidR="00D36AB3" w:rsidRDefault="00D36AB3" w:rsidP="00D36AB3">
      <w:pPr>
        <w:pStyle w:val="IntroductoryText"/>
      </w:pPr>
      <w:r>
        <w:rPr>
          <w:noProof/>
        </w:rPr>
        <w:drawing>
          <wp:inline distT="0" distB="0" distL="0" distR="0" wp14:anchorId="6F048B4D" wp14:editId="4AB65237">
            <wp:extent cx="5400000" cy="2880000"/>
            <wp:effectExtent l="0" t="0" r="0" b="0"/>
            <wp:docPr id="11" name="Chart 11">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52035EF" w14:textId="3B10A63C" w:rsidR="00856CC3" w:rsidRDefault="00F27CE9" w:rsidP="00856CC3">
      <w:pPr>
        <w:pStyle w:val="Heading3"/>
      </w:pPr>
      <w:bookmarkStart w:id="12" w:name="_Toc532460414"/>
      <w:r w:rsidRPr="00F27CE9">
        <w:t>What the numbers show</w:t>
      </w:r>
      <w:bookmarkEnd w:id="12"/>
    </w:p>
    <w:p w14:paraId="036E8A9F" w14:textId="5D10943F" w:rsidR="00F27CE9" w:rsidRDefault="0060775D" w:rsidP="00F27CE9">
      <w:pPr>
        <w:pStyle w:val="Bullet1"/>
      </w:pPr>
      <w:r w:rsidRPr="002E06B6">
        <w:t>The number of notifications involving a</w:t>
      </w:r>
      <w:r w:rsidR="008E119B">
        <w:t xml:space="preserve"> </w:t>
      </w:r>
      <w:r w:rsidR="00856CC3" w:rsidRPr="00856CC3">
        <w:rPr>
          <w:rFonts w:ascii="VIC Medium" w:hAnsi="VIC Medium"/>
        </w:rPr>
        <w:t>Category 3:</w:t>
      </w:r>
      <w:r w:rsidR="00856CC3">
        <w:t xml:space="preserve"> </w:t>
      </w:r>
      <w:r w:rsidR="00856CC3" w:rsidRPr="00856CC3">
        <w:rPr>
          <w:rFonts w:ascii="VIC Medium" w:hAnsi="VIC Medium"/>
        </w:rPr>
        <w:t>Retained (un-retrieved</w:t>
      </w:r>
      <w:r w:rsidR="008E119B" w:rsidRPr="00856CC3">
        <w:rPr>
          <w:rFonts w:ascii="VIC Medium" w:hAnsi="VIC Medium"/>
        </w:rPr>
        <w:t>)</w:t>
      </w:r>
      <w:r w:rsidRPr="00856CC3">
        <w:rPr>
          <w:rFonts w:ascii="VIC Medium" w:hAnsi="VIC Medium"/>
        </w:rPr>
        <w:t xml:space="preserve"> instrument or oth</w:t>
      </w:r>
      <w:r w:rsidR="00F27CE9" w:rsidRPr="00856CC3">
        <w:rPr>
          <w:rFonts w:ascii="VIC Medium" w:hAnsi="VIC Medium"/>
        </w:rPr>
        <w:t xml:space="preserve">er </w:t>
      </w:r>
      <w:r w:rsidR="00484A85">
        <w:rPr>
          <w:rFonts w:ascii="VIC Medium" w:hAnsi="VIC Medium"/>
        </w:rPr>
        <w:t xml:space="preserve">material </w:t>
      </w:r>
      <w:bookmarkStart w:id="13" w:name="_GoBack"/>
      <w:bookmarkEnd w:id="13"/>
      <w:r w:rsidR="00D667A0" w:rsidRPr="00D667A0">
        <w:rPr>
          <w:rFonts w:ascii="VIC Medium" w:hAnsi="VIC Medium"/>
        </w:rPr>
        <w:t>after surgery requiring re-operation or further surgical procedure</w:t>
      </w:r>
      <w:r w:rsidR="00F27CE9">
        <w:t xml:space="preserve"> increased, from </w:t>
      </w:r>
      <w:r w:rsidR="005D6111">
        <w:t>seven</w:t>
      </w:r>
      <w:r w:rsidR="00F27CE9">
        <w:t xml:space="preserve"> to 12.</w:t>
      </w:r>
    </w:p>
    <w:p w14:paraId="42C8AEC8" w14:textId="2B60DEF8" w:rsidR="00F27CE9" w:rsidRDefault="00F27CE9" w:rsidP="0060775D">
      <w:pPr>
        <w:pStyle w:val="Bullet1"/>
      </w:pPr>
      <w:r>
        <w:t>For the first time since 201</w:t>
      </w:r>
      <w:r w:rsidR="005D6111">
        <w:t>0</w:t>
      </w:r>
      <w:r>
        <w:t xml:space="preserve">–11, a notification of </w:t>
      </w:r>
      <w:r w:rsidR="0060775D" w:rsidRPr="002E06B6">
        <w:t xml:space="preserve">a death </w:t>
      </w:r>
      <w:r w:rsidR="00856CC3">
        <w:t>under a</w:t>
      </w:r>
      <w:r w:rsidR="0060775D" w:rsidRPr="002E06B6">
        <w:t xml:space="preserve"> </w:t>
      </w:r>
      <w:r w:rsidR="00856CC3" w:rsidRPr="00856CC3">
        <w:rPr>
          <w:rFonts w:ascii="VIC Medium" w:hAnsi="VIC Medium"/>
        </w:rPr>
        <w:t xml:space="preserve">Category 5: </w:t>
      </w:r>
      <w:r w:rsidR="0060775D" w:rsidRPr="00DF4B5F">
        <w:rPr>
          <w:rFonts w:ascii="VIC Medium" w:hAnsi="VIC Medium"/>
        </w:rPr>
        <w:t>Haemolytic blood transfusion reaction</w:t>
      </w:r>
      <w:r w:rsidR="0060775D" w:rsidRPr="002E06B6">
        <w:t xml:space="preserve"> </w:t>
      </w:r>
      <w:r w:rsidR="00D667A0" w:rsidRPr="00D667A0">
        <w:rPr>
          <w:rFonts w:ascii="VIC Medium" w:hAnsi="VIC Medium"/>
        </w:rPr>
        <w:t>resulting from ABO incompatibility</w:t>
      </w:r>
      <w:r w:rsidR="00D667A0">
        <w:t xml:space="preserve"> </w:t>
      </w:r>
      <w:r>
        <w:t>was made.</w:t>
      </w:r>
    </w:p>
    <w:p w14:paraId="27E61144" w14:textId="1348902F" w:rsidR="0060775D" w:rsidRDefault="005D6111" w:rsidP="0060775D">
      <w:pPr>
        <w:pStyle w:val="Bullet1"/>
      </w:pPr>
      <w:r>
        <w:t>There were n</w:t>
      </w:r>
      <w:r w:rsidR="00ED1DBB">
        <w:t>o notification</w:t>
      </w:r>
      <w:r w:rsidR="0060775D" w:rsidRPr="002E06B6">
        <w:t xml:space="preserve">s </w:t>
      </w:r>
      <w:r w:rsidR="00856CC3">
        <w:t xml:space="preserve">under </w:t>
      </w:r>
      <w:r w:rsidR="00856CC3" w:rsidRPr="00856CC3">
        <w:rPr>
          <w:rFonts w:ascii="VIC Medium" w:hAnsi="VIC Medium"/>
        </w:rPr>
        <w:t>Category 4:</w:t>
      </w:r>
      <w:r w:rsidR="00856CC3">
        <w:t xml:space="preserve"> </w:t>
      </w:r>
      <w:r w:rsidR="00F27CE9">
        <w:rPr>
          <w:rFonts w:ascii="VIC Medium" w:hAnsi="VIC Medium"/>
        </w:rPr>
        <w:t xml:space="preserve">Intravascular gas </w:t>
      </w:r>
      <w:r w:rsidR="00D667A0" w:rsidRPr="00D667A0">
        <w:rPr>
          <w:rFonts w:ascii="VIC Medium" w:hAnsi="VIC Medium"/>
        </w:rPr>
        <w:t>resulting in death or neurological damage</w:t>
      </w:r>
      <w:r w:rsidR="00F27CE9">
        <w:rPr>
          <w:rFonts w:ascii="VIC Medium" w:hAnsi="VIC Medium"/>
        </w:rPr>
        <w:t xml:space="preserve"> </w:t>
      </w:r>
      <w:r w:rsidR="00F27CE9">
        <w:t xml:space="preserve">or </w:t>
      </w:r>
      <w:r w:rsidR="00856CC3" w:rsidRPr="00856CC3">
        <w:rPr>
          <w:rFonts w:ascii="VIC Medium" w:hAnsi="VIC Medium"/>
        </w:rPr>
        <w:t>Category 7:</w:t>
      </w:r>
      <w:r w:rsidR="00856CC3">
        <w:t xml:space="preserve"> </w:t>
      </w:r>
      <w:r w:rsidR="00F27CE9">
        <w:rPr>
          <w:rFonts w:ascii="VIC Medium" w:hAnsi="VIC Medium"/>
        </w:rPr>
        <w:t>M</w:t>
      </w:r>
      <w:r w:rsidR="0060775D" w:rsidRPr="00F27CE9">
        <w:rPr>
          <w:rFonts w:ascii="VIC Medium" w:hAnsi="VIC Medium"/>
        </w:rPr>
        <w:t>aternal death</w:t>
      </w:r>
      <w:r w:rsidR="0060775D" w:rsidRPr="002E06B6">
        <w:t xml:space="preserve"> </w:t>
      </w:r>
      <w:r w:rsidR="00D667A0" w:rsidRPr="00D667A0">
        <w:rPr>
          <w:rFonts w:ascii="VIC Medium" w:hAnsi="VIC Medium"/>
        </w:rPr>
        <w:t>associated with pregnancy, birth and the puerperium</w:t>
      </w:r>
      <w:r w:rsidR="00D667A0">
        <w:t xml:space="preserve"> </w:t>
      </w:r>
      <w:r>
        <w:t xml:space="preserve">compared to a </w:t>
      </w:r>
      <w:r w:rsidR="00F27CE9">
        <w:t xml:space="preserve">combined </w:t>
      </w:r>
      <w:r w:rsidR="0060775D" w:rsidRPr="002E06B6">
        <w:t xml:space="preserve">five notifications </w:t>
      </w:r>
      <w:r>
        <w:t>in 2016–</w:t>
      </w:r>
      <w:r w:rsidR="0060775D" w:rsidRPr="002E06B6">
        <w:t>17</w:t>
      </w:r>
      <w:r w:rsidR="0060775D">
        <w:t>.</w:t>
      </w:r>
    </w:p>
    <w:p w14:paraId="403112AE" w14:textId="7EA2A146" w:rsidR="0060775D" w:rsidRPr="00CD33F8" w:rsidRDefault="0060775D" w:rsidP="0060775D">
      <w:pPr>
        <w:pStyle w:val="Heading2"/>
      </w:pPr>
      <w:bookmarkStart w:id="14" w:name="_Toc532460415"/>
      <w:r w:rsidRPr="00CD33F8">
        <w:t xml:space="preserve">The </w:t>
      </w:r>
      <w:r w:rsidR="00FB5E58">
        <w:t>notification</w:t>
      </w:r>
      <w:r w:rsidRPr="00CD33F8">
        <w:t xml:space="preserve"> rate</w:t>
      </w:r>
      <w:bookmarkEnd w:id="14"/>
    </w:p>
    <w:p w14:paraId="24220D5B" w14:textId="0FF1EB41" w:rsidR="00643FC5" w:rsidRDefault="0060775D" w:rsidP="005D6111">
      <w:pPr>
        <w:pStyle w:val="Normalfollowingheading"/>
      </w:pPr>
      <w:r w:rsidRPr="000E0CF0">
        <w:t xml:space="preserve">The 122 notifications </w:t>
      </w:r>
      <w:r w:rsidR="005D6111">
        <w:t xml:space="preserve">in 2017–18 is </w:t>
      </w:r>
      <w:r w:rsidRPr="000E0CF0">
        <w:t>the highest in the history of the progra</w:t>
      </w:r>
      <w:r w:rsidR="005D6111">
        <w:t>m, equal to the 122</w:t>
      </w:r>
      <w:r w:rsidR="00D36AB3">
        <w:t xml:space="preserve"> </w:t>
      </w:r>
      <w:r w:rsidR="00D36AB3" w:rsidRPr="00AA6F2E">
        <w:t xml:space="preserve">in </w:t>
      </w:r>
      <w:r w:rsidR="00AA6F2E" w:rsidRPr="00AA6F2E">
        <w:t>200</w:t>
      </w:r>
      <w:r w:rsidR="00D140DD">
        <w:t>4–</w:t>
      </w:r>
      <w:r w:rsidR="00D36AB3" w:rsidRPr="00AA6F2E">
        <w:t>05.</w:t>
      </w:r>
      <w:r w:rsidR="00643FC5">
        <w:t xml:space="preserve"> </w:t>
      </w:r>
    </w:p>
    <w:p w14:paraId="7286AD33" w14:textId="77777777" w:rsidR="00643FC5" w:rsidRDefault="0060775D" w:rsidP="005D6111">
      <w:pPr>
        <w:pStyle w:val="Normalfollowingheading"/>
      </w:pPr>
      <w:r w:rsidRPr="00D11F40">
        <w:t xml:space="preserve">During </w:t>
      </w:r>
      <w:r w:rsidR="00643FC5">
        <w:t>2017–</w:t>
      </w:r>
      <w:r>
        <w:t>18,</w:t>
      </w:r>
      <w:r w:rsidRPr="00D11F40">
        <w:t xml:space="preserve"> </w:t>
      </w:r>
      <w:r>
        <w:t>private</w:t>
      </w:r>
      <w:r w:rsidRPr="00D11F40">
        <w:t xml:space="preserve"> hospitals were </w:t>
      </w:r>
      <w:r>
        <w:t xml:space="preserve">invited, </w:t>
      </w:r>
      <w:r w:rsidRPr="00DD4222">
        <w:t xml:space="preserve">but not </w:t>
      </w:r>
      <w:r w:rsidR="009B1C7B" w:rsidRPr="00DD4222">
        <w:t>required</w:t>
      </w:r>
      <w:r w:rsidRPr="00DD4222">
        <w:t>,</w:t>
      </w:r>
      <w:r w:rsidRPr="00D11F40">
        <w:t xml:space="preserve"> to report senti</w:t>
      </w:r>
      <w:r>
        <w:t xml:space="preserve">nel events to SCV. </w:t>
      </w:r>
      <w:r w:rsidR="005D6111">
        <w:t xml:space="preserve">We received </w:t>
      </w:r>
      <w:r w:rsidR="005D6111" w:rsidRPr="00336C89">
        <w:t>e</w:t>
      </w:r>
      <w:r w:rsidRPr="00336C89">
        <w:t>ight</w:t>
      </w:r>
      <w:r>
        <w:t xml:space="preserve"> notifications </w:t>
      </w:r>
      <w:r w:rsidR="005D6111">
        <w:t xml:space="preserve">from five </w:t>
      </w:r>
      <w:r w:rsidR="00721145">
        <w:t xml:space="preserve">private </w:t>
      </w:r>
      <w:r w:rsidR="005D6111">
        <w:t>health services, representing seven per cent of all notifications.</w:t>
      </w:r>
      <w:r w:rsidR="008E119B">
        <w:t xml:space="preserve"> </w:t>
      </w:r>
    </w:p>
    <w:p w14:paraId="35A660CC" w14:textId="2FB29EE6" w:rsidR="0060775D" w:rsidRPr="00D36AB3" w:rsidRDefault="007A3870" w:rsidP="005D6111">
      <w:pPr>
        <w:pStyle w:val="Normalfollowingheading"/>
      </w:pPr>
      <w:r w:rsidRPr="00CD33F8">
        <w:t xml:space="preserve">We commend </w:t>
      </w:r>
      <w:r>
        <w:t>t</w:t>
      </w:r>
      <w:r w:rsidR="008E119B">
        <w:t>hose services on their commitment to improving patient safety.</w:t>
      </w:r>
      <w:r w:rsidR="00AC01FC">
        <w:t xml:space="preserve"> </w:t>
      </w:r>
      <w:r w:rsidR="00AC01FC" w:rsidRPr="00AA6F2E">
        <w:t xml:space="preserve">We acknowledge that there is further progress to be made in terms of a transparent reporting culture in health services and are actively working with the sector to encourage </w:t>
      </w:r>
      <w:r>
        <w:t>notification</w:t>
      </w:r>
      <w:r w:rsidR="00AC01FC" w:rsidRPr="00AA6F2E">
        <w:t xml:space="preserve"> of all sentinel events to improve patient safety.</w:t>
      </w:r>
    </w:p>
    <w:p w14:paraId="5A0582D3" w14:textId="77777777" w:rsidR="00643FC5" w:rsidRDefault="00643FC5">
      <w:pPr>
        <w:rPr>
          <w:rFonts w:ascii="VIC SemiBold" w:hAnsi="VIC SemiBold"/>
          <w:bCs/>
          <w:color w:val="007586" w:themeColor="text2"/>
          <w:spacing w:val="2"/>
          <w:szCs w:val="18"/>
          <w:highlight w:val="yellow"/>
        </w:rPr>
      </w:pPr>
      <w:r>
        <w:rPr>
          <w:highlight w:val="yellow"/>
        </w:rPr>
        <w:br w:type="page"/>
      </w:r>
    </w:p>
    <w:p w14:paraId="4ADC45CE" w14:textId="33AF80F4" w:rsidR="0060775D" w:rsidRDefault="0060775D" w:rsidP="0060775D">
      <w:pPr>
        <w:pStyle w:val="Tablechartdiagramheading"/>
      </w:pPr>
      <w:r w:rsidRPr="00643FC5">
        <w:lastRenderedPageBreak/>
        <w:t xml:space="preserve">Figure 2: Trend in sentinel event </w:t>
      </w:r>
      <w:r w:rsidR="007A3870" w:rsidRPr="00643FC5">
        <w:t>notifications</w:t>
      </w:r>
      <w:r w:rsidRPr="00643FC5">
        <w:t xml:space="preserve"> in Victoria</w:t>
      </w:r>
    </w:p>
    <w:p w14:paraId="7F6EC58D" w14:textId="4D95C9EB" w:rsidR="0060775D" w:rsidRDefault="00977983" w:rsidP="0060775D">
      <w:pPr>
        <w:pStyle w:val="IntroductoryText"/>
      </w:pPr>
      <w:r>
        <w:rPr>
          <w:noProof/>
        </w:rPr>
        <w:drawing>
          <wp:inline distT="0" distB="0" distL="0" distR="0" wp14:anchorId="0670214E" wp14:editId="670FB40C">
            <wp:extent cx="6271404" cy="3319924"/>
            <wp:effectExtent l="0" t="0" r="0" b="0"/>
            <wp:docPr id="1" name="Chart 1">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79DAAA2" w14:textId="77777777" w:rsidR="00742C2A" w:rsidRDefault="00742C2A" w:rsidP="0069469A">
      <w:pPr>
        <w:pStyle w:val="Tablechartdiagramheading"/>
        <w:rPr>
          <w:highlight w:val="yellow"/>
        </w:rPr>
        <w:sectPr w:rsidR="00742C2A" w:rsidSect="00183D59">
          <w:pgSz w:w="11906" w:h="16838" w:code="9"/>
          <w:pgMar w:top="3402" w:right="851" w:bottom="1361" w:left="851" w:header="539" w:footer="624" w:gutter="0"/>
          <w:cols w:space="284"/>
          <w:docGrid w:linePitch="360"/>
        </w:sectPr>
      </w:pPr>
    </w:p>
    <w:p w14:paraId="56A7DECB" w14:textId="6FE08A1C" w:rsidR="0060775D" w:rsidRDefault="0060775D" w:rsidP="00643FC5">
      <w:pPr>
        <w:pStyle w:val="Tablechartdiagramheading"/>
        <w:spacing w:before="0"/>
      </w:pPr>
      <w:r w:rsidRPr="00643FC5">
        <w:t>Figure</w:t>
      </w:r>
      <w:r w:rsidR="0051790D" w:rsidRPr="00643FC5">
        <w:t xml:space="preserve"> </w:t>
      </w:r>
      <w:r w:rsidR="00643FC5" w:rsidRPr="00643FC5">
        <w:t>3</w:t>
      </w:r>
      <w:r w:rsidRPr="00643FC5">
        <w:t>: Timeliness of re</w:t>
      </w:r>
      <w:r w:rsidR="005D6111" w:rsidRPr="00643FC5">
        <w:t>porting of sentinel events 2017–</w:t>
      </w:r>
      <w:r w:rsidRPr="00643FC5">
        <w:t>18</w:t>
      </w:r>
    </w:p>
    <w:p w14:paraId="011AF8B4" w14:textId="77777777" w:rsidR="0060775D" w:rsidRDefault="0060775D" w:rsidP="00643FC5">
      <w:pPr>
        <w:spacing w:after="260"/>
      </w:pPr>
      <w:r>
        <w:rPr>
          <w:noProof/>
        </w:rPr>
        <w:drawing>
          <wp:inline distT="0" distB="0" distL="0" distR="0" wp14:anchorId="338EEB13" wp14:editId="353C0638">
            <wp:extent cx="3168000" cy="22320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2C3B489" w14:textId="77777777" w:rsidR="005D6111" w:rsidRPr="005D6111" w:rsidRDefault="005D6111" w:rsidP="00643FC5">
      <w:pPr>
        <w:rPr>
          <w:b/>
        </w:rPr>
      </w:pPr>
      <w:r w:rsidRPr="000E0CF0">
        <w:t>O</w:t>
      </w:r>
      <w:r>
        <w:t>nly o</w:t>
      </w:r>
      <w:r w:rsidRPr="000E0CF0">
        <w:t xml:space="preserve">ne quarter </w:t>
      </w:r>
      <w:r>
        <w:t xml:space="preserve">(26%) </w:t>
      </w:r>
      <w:r w:rsidRPr="000E0CF0">
        <w:t>of notification</w:t>
      </w:r>
      <w:r>
        <w:t>s</w:t>
      </w:r>
      <w:r w:rsidRPr="000E0CF0">
        <w:t xml:space="preserve"> were submitted within </w:t>
      </w:r>
      <w:r>
        <w:t>the required three working days. The longest delay to notification was 594 days.</w:t>
      </w:r>
    </w:p>
    <w:p w14:paraId="28F1A684" w14:textId="1980AA66" w:rsidR="0060775D" w:rsidRDefault="0060775D" w:rsidP="00643FC5">
      <w:pPr>
        <w:pStyle w:val="Tablechartdiagramheading"/>
        <w:spacing w:before="0" w:after="120"/>
      </w:pPr>
      <w:r w:rsidRPr="00643FC5">
        <w:t xml:space="preserve">Figure </w:t>
      </w:r>
      <w:r w:rsidR="00643FC5" w:rsidRPr="00643FC5">
        <w:t>4</w:t>
      </w:r>
      <w:r w:rsidRPr="00643FC5">
        <w:t>: Age of patient a</w:t>
      </w:r>
      <w:r w:rsidR="005D6111" w:rsidRPr="00643FC5">
        <w:t>ffected by sentinel events 2017–</w:t>
      </w:r>
      <w:r w:rsidRPr="00643FC5">
        <w:t>18</w:t>
      </w:r>
    </w:p>
    <w:p w14:paraId="598DE483" w14:textId="77777777" w:rsidR="0069469A" w:rsidRDefault="0069469A" w:rsidP="0069469A">
      <w:pPr>
        <w:pStyle w:val="IntroductoryText"/>
      </w:pPr>
      <w:r>
        <w:rPr>
          <w:noProof/>
        </w:rPr>
        <w:drawing>
          <wp:inline distT="0" distB="0" distL="0" distR="0" wp14:anchorId="17F5D816" wp14:editId="4C42FADE">
            <wp:extent cx="3168000" cy="2277374"/>
            <wp:effectExtent l="0" t="0" r="0" b="8890"/>
            <wp:docPr id="24" name="Chart 24">
              <a:extLst xmlns:a="http://schemas.openxmlformats.org/drawingml/2006/main">
                <a:ext uri="{FF2B5EF4-FFF2-40B4-BE49-F238E27FC236}">
                  <a16:creationId xmlns:a16="http://schemas.microsoft.com/office/drawing/2014/main" id="{00000000-0008-0000-0C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3845CE1" w14:textId="4B3905DB" w:rsidR="005D6111" w:rsidRPr="0060775D" w:rsidRDefault="00293364" w:rsidP="00643FC5">
      <w:pPr>
        <w:spacing w:before="120"/>
        <w:rPr>
          <w:b/>
        </w:rPr>
      </w:pPr>
      <w:r>
        <w:t xml:space="preserve">Sentinel events were </w:t>
      </w:r>
      <w:r w:rsidR="000E1C93">
        <w:t>reported for all age categories.</w:t>
      </w:r>
      <w:r w:rsidR="005D6111">
        <w:t xml:space="preserve"> The highest percentages were in the 81 to 90 years group (19%) and 51 to 60 (12%).</w:t>
      </w:r>
    </w:p>
    <w:p w14:paraId="77EBF974" w14:textId="77777777" w:rsidR="00742C2A" w:rsidRDefault="00742C2A" w:rsidP="0069469A">
      <w:pPr>
        <w:pStyle w:val="Heading2"/>
        <w:sectPr w:rsidR="00742C2A" w:rsidSect="00742C2A">
          <w:type w:val="continuous"/>
          <w:pgSz w:w="11906" w:h="16838" w:code="9"/>
          <w:pgMar w:top="3402" w:right="851" w:bottom="1361" w:left="851" w:header="539" w:footer="624" w:gutter="0"/>
          <w:cols w:num="2" w:space="284"/>
          <w:docGrid w:linePitch="360"/>
        </w:sectPr>
      </w:pPr>
    </w:p>
    <w:p w14:paraId="7A3B4D19" w14:textId="77777777" w:rsidR="00643FC5" w:rsidRDefault="00643FC5">
      <w:pPr>
        <w:rPr>
          <w:rFonts w:ascii="VIC SemiBold" w:eastAsiaTheme="majorEastAsia" w:hAnsi="VIC SemiBold" w:cstheme="majorBidi"/>
          <w:bCs/>
          <w:caps/>
          <w:color w:val="007586" w:themeColor="text2"/>
          <w:sz w:val="24"/>
          <w:szCs w:val="26"/>
        </w:rPr>
      </w:pPr>
      <w:bookmarkStart w:id="15" w:name="_Toc532460416"/>
      <w:r>
        <w:br w:type="page"/>
      </w:r>
    </w:p>
    <w:p w14:paraId="32CDCF8D" w14:textId="2E2C72C2" w:rsidR="0069469A" w:rsidRDefault="0069469A" w:rsidP="0069469A">
      <w:pPr>
        <w:pStyle w:val="Heading2"/>
      </w:pPr>
      <w:r>
        <w:lastRenderedPageBreak/>
        <w:t>Outcome of sentinel events</w:t>
      </w:r>
      <w:bookmarkEnd w:id="15"/>
    </w:p>
    <w:p w14:paraId="1CA02A2B" w14:textId="5753E74D" w:rsidR="0069469A" w:rsidRPr="0069469A" w:rsidRDefault="0069469A" w:rsidP="0069469A">
      <w:pPr>
        <w:pStyle w:val="Normalfollowingheading"/>
      </w:pPr>
      <w:r w:rsidRPr="00FC403E">
        <w:t xml:space="preserve">Of the </w:t>
      </w:r>
      <w:r w:rsidRPr="00336C89">
        <w:t>122</w:t>
      </w:r>
      <w:r w:rsidR="00721145">
        <w:t xml:space="preserve"> sentinel events notifi</w:t>
      </w:r>
      <w:r w:rsidR="00D140DD">
        <w:t>ed in Victoria during 2017–</w:t>
      </w:r>
      <w:r w:rsidRPr="00FC403E">
        <w:t>18</w:t>
      </w:r>
      <w:r w:rsidR="00742C2A">
        <w:t>,</w:t>
      </w:r>
      <w:r w:rsidRPr="00FC403E">
        <w:t xml:space="preserve"> </w:t>
      </w:r>
      <w:r w:rsidRPr="00336C89">
        <w:t>92 (7</w:t>
      </w:r>
      <w:r w:rsidR="00336C89" w:rsidRPr="00336C89">
        <w:t>6</w:t>
      </w:r>
      <w:r w:rsidRPr="00336C89">
        <w:t>%)</w:t>
      </w:r>
      <w:r w:rsidRPr="00FC403E">
        <w:t xml:space="preserve"> re</w:t>
      </w:r>
      <w:r>
        <w:t>sulted in death of the patient.</w:t>
      </w:r>
    </w:p>
    <w:p w14:paraId="477E7436" w14:textId="0AE46F0D" w:rsidR="0069469A" w:rsidRPr="00FC403E" w:rsidRDefault="0069469A" w:rsidP="0069469A">
      <w:pPr>
        <w:pStyle w:val="Tablechartdiagramheading"/>
      </w:pPr>
      <w:r w:rsidRPr="00643FC5">
        <w:t xml:space="preserve">Figure </w:t>
      </w:r>
      <w:r w:rsidR="00643FC5" w:rsidRPr="00643FC5">
        <w:t>5</w:t>
      </w:r>
      <w:r w:rsidR="00D140DD">
        <w:t>: Degree of impact 2017–</w:t>
      </w:r>
      <w:r w:rsidRPr="00643FC5">
        <w:t>18</w:t>
      </w:r>
    </w:p>
    <w:p w14:paraId="593D051F" w14:textId="77777777" w:rsidR="0069469A" w:rsidRPr="00FC403E" w:rsidRDefault="0069469A" w:rsidP="0069469A">
      <w:pPr>
        <w:pStyle w:val="SCVbody"/>
        <w:rPr>
          <w:rFonts w:asciiTheme="minorHAnsi" w:hAnsiTheme="minorHAnsi"/>
        </w:rPr>
      </w:pPr>
      <w:r>
        <w:rPr>
          <w:noProof/>
          <w:lang w:eastAsia="en-AU"/>
        </w:rPr>
        <w:drawing>
          <wp:inline distT="0" distB="0" distL="0" distR="0" wp14:anchorId="4A1013B4" wp14:editId="5E1A2365">
            <wp:extent cx="5400000" cy="28800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4FA575F" w14:textId="77777777" w:rsidR="00B2510D" w:rsidRDefault="00B2510D">
      <w:pPr>
        <w:rPr>
          <w:rFonts w:ascii="VIC SemiBold" w:eastAsiaTheme="majorEastAsia" w:hAnsi="VIC SemiBold" w:cstheme="majorBidi"/>
          <w:bCs/>
          <w:caps/>
          <w:color w:val="007586" w:themeColor="text2"/>
          <w:sz w:val="24"/>
          <w:szCs w:val="26"/>
        </w:rPr>
      </w:pPr>
      <w:r>
        <w:br w:type="page"/>
      </w:r>
    </w:p>
    <w:p w14:paraId="62F69A92" w14:textId="309B4FF8" w:rsidR="0069469A" w:rsidRDefault="00FB5E58" w:rsidP="0069469A">
      <w:pPr>
        <w:pStyle w:val="Heading2"/>
      </w:pPr>
      <w:bookmarkStart w:id="16" w:name="_Toc532460417"/>
      <w:r>
        <w:lastRenderedPageBreak/>
        <w:t>C</w:t>
      </w:r>
      <w:r w:rsidR="0069469A">
        <w:t>ategor</w:t>
      </w:r>
      <w:r w:rsidR="00747803">
        <w:t>y distribution</w:t>
      </w:r>
      <w:bookmarkEnd w:id="16"/>
    </w:p>
    <w:p w14:paraId="2994C2AF" w14:textId="77777777" w:rsidR="00B2510D" w:rsidRDefault="00B2510D" w:rsidP="0069469A">
      <w:pPr>
        <w:pStyle w:val="Normalfollowingheading"/>
        <w:sectPr w:rsidR="00B2510D" w:rsidSect="00742C2A">
          <w:type w:val="continuous"/>
          <w:pgSz w:w="11906" w:h="16838" w:code="9"/>
          <w:pgMar w:top="3402" w:right="851" w:bottom="1361" w:left="851" w:header="539" w:footer="624" w:gutter="0"/>
          <w:cols w:space="284"/>
          <w:docGrid w:linePitch="360"/>
        </w:sectPr>
      </w:pPr>
    </w:p>
    <w:p w14:paraId="4AFD7FC7" w14:textId="3FC67513" w:rsidR="0069469A" w:rsidRPr="00CC78EC" w:rsidRDefault="0069469A" w:rsidP="0069469A">
      <w:pPr>
        <w:pStyle w:val="Normalfollowingheading"/>
      </w:pPr>
      <w:r w:rsidRPr="00CC78EC">
        <w:t>The distribution of sentinel event notifications across the nine categories remains</w:t>
      </w:r>
      <w:r w:rsidR="00C76EE0">
        <w:t xml:space="preserve"> largely </w:t>
      </w:r>
      <w:r w:rsidRPr="00CC78EC">
        <w:t xml:space="preserve">consistent </w:t>
      </w:r>
      <w:r w:rsidR="00CE32FA">
        <w:t>with previous years</w:t>
      </w:r>
      <w:r w:rsidR="00C76EE0">
        <w:t>. There has been</w:t>
      </w:r>
      <w:r w:rsidR="00742C2A">
        <w:t xml:space="preserve"> </w:t>
      </w:r>
      <w:r w:rsidR="00C76EE0">
        <w:t>an increase in the number</w:t>
      </w:r>
      <w:r w:rsidR="00742C2A">
        <w:t xml:space="preserve"> </w:t>
      </w:r>
      <w:r w:rsidR="00C76EE0">
        <w:t xml:space="preserve">of events reported in </w:t>
      </w:r>
      <w:r w:rsidR="00F703D8">
        <w:rPr>
          <w:rFonts w:ascii="VIC Medium" w:hAnsi="VIC Medium"/>
        </w:rPr>
        <w:t>C</w:t>
      </w:r>
      <w:r w:rsidR="00856CC3">
        <w:rPr>
          <w:rFonts w:ascii="VIC Medium" w:hAnsi="VIC Medium"/>
        </w:rPr>
        <w:t xml:space="preserve">ategory 3: </w:t>
      </w:r>
      <w:r w:rsidR="00B76485" w:rsidRPr="00B76485">
        <w:rPr>
          <w:rFonts w:ascii="VIC Medium" w:eastAsia="Times New Roman" w:hAnsi="VIC Medium" w:cs="Arial"/>
          <w:szCs w:val="16"/>
        </w:rPr>
        <w:t xml:space="preserve">Retained </w:t>
      </w:r>
      <w:r w:rsidR="00B76485" w:rsidRPr="00B76485">
        <w:rPr>
          <w:rFonts w:ascii="VIC Medium" w:hAnsi="VIC Medium"/>
          <w:szCs w:val="16"/>
        </w:rPr>
        <w:t xml:space="preserve">(un-retrieved) </w:t>
      </w:r>
      <w:r w:rsidR="00B76485" w:rsidRPr="00B76485">
        <w:rPr>
          <w:rFonts w:ascii="VIC Medium" w:eastAsia="Times New Roman" w:hAnsi="VIC Medium" w:cs="Arial"/>
          <w:szCs w:val="16"/>
        </w:rPr>
        <w:t>instruments or other material after surgery requiring re-operation or further surgical procedure</w:t>
      </w:r>
      <w:r w:rsidR="00742C2A" w:rsidRPr="00B76485">
        <w:rPr>
          <w:rFonts w:ascii="VIC Medium" w:hAnsi="VIC Medium"/>
        </w:rPr>
        <w:t>.</w:t>
      </w:r>
    </w:p>
    <w:p w14:paraId="7A1BC4B7" w14:textId="18C137E3" w:rsidR="0069469A" w:rsidRDefault="0069469A" w:rsidP="0069469A">
      <w:r>
        <w:t>Examples of notifications from each of the eight national sentinel even</w:t>
      </w:r>
      <w:r w:rsidR="00552254">
        <w:t>t categories are detailed below.</w:t>
      </w:r>
    </w:p>
    <w:p w14:paraId="4789ABAC" w14:textId="115241C2" w:rsidR="00552254" w:rsidRPr="00552254" w:rsidRDefault="00552254" w:rsidP="0069469A">
      <w:pPr>
        <w:rPr>
          <w:rFonts w:ascii="VIC Medium" w:hAnsi="VIC Medium"/>
        </w:rPr>
      </w:pPr>
      <w:r w:rsidRPr="006525B9">
        <w:t xml:space="preserve">There were no notifications </w:t>
      </w:r>
      <w:r>
        <w:t xml:space="preserve">for </w:t>
      </w:r>
      <w:r w:rsidRPr="00552254">
        <w:rPr>
          <w:rFonts w:ascii="VIC Medium" w:hAnsi="VIC Medium"/>
        </w:rPr>
        <w:t>Category 4: Intravascular gas embolism resulting in death or neurological damage</w:t>
      </w:r>
      <w:r w:rsidRPr="006525B9">
        <w:t xml:space="preserve">, </w:t>
      </w:r>
      <w:r w:rsidRPr="00552254">
        <w:rPr>
          <w:rFonts w:ascii="VIC Medium" w:hAnsi="VIC Medium"/>
        </w:rPr>
        <w:t xml:space="preserve">Category 7: Maternal death associated with pregnancy, birth and the puerperium </w:t>
      </w:r>
      <w:r w:rsidRPr="006525B9">
        <w:t xml:space="preserve">or </w:t>
      </w:r>
      <w:r w:rsidRPr="00552254">
        <w:rPr>
          <w:rFonts w:ascii="VIC Medium" w:hAnsi="VIC Medium"/>
        </w:rPr>
        <w:t>Category 8: Infant discharged to the wrong family.</w:t>
      </w:r>
    </w:p>
    <w:p w14:paraId="16568F01" w14:textId="15D65EE2" w:rsidR="0069469A" w:rsidRPr="0069469A" w:rsidRDefault="00EA314C" w:rsidP="002657E6">
      <w:pPr>
        <w:pStyle w:val="Heading4"/>
      </w:pPr>
      <w:bookmarkStart w:id="17" w:name="_Toc530644613"/>
      <w:r>
        <w:t xml:space="preserve">Category 1: </w:t>
      </w:r>
      <w:r w:rsidR="0069469A" w:rsidRPr="0069469A">
        <w:t>Procedures involving the wrong patient or body part resulting in death or major permanent loss of function</w:t>
      </w:r>
      <w:bookmarkEnd w:id="17"/>
    </w:p>
    <w:p w14:paraId="79242AF2" w14:textId="006D0DF6" w:rsidR="0069469A" w:rsidRDefault="00DD4222" w:rsidP="00742C2A">
      <w:pPr>
        <w:pStyle w:val="Normalfollowingheading"/>
      </w:pPr>
      <w:r>
        <w:t xml:space="preserve">One event was notified </w:t>
      </w:r>
      <w:r w:rsidR="0069469A" w:rsidRPr="0069469A">
        <w:t xml:space="preserve">where </w:t>
      </w:r>
      <w:r w:rsidR="007A3870" w:rsidRPr="00CD33F8">
        <w:t>a surgical procedure was performed on</w:t>
      </w:r>
      <w:r w:rsidR="0069469A" w:rsidRPr="00CD33F8">
        <w:t xml:space="preserve"> the wrong side</w:t>
      </w:r>
      <w:r w:rsidR="0069469A" w:rsidRPr="0069469A">
        <w:t xml:space="preserve"> of the p</w:t>
      </w:r>
      <w:r w:rsidR="00552254">
        <w:t xml:space="preserve">atient’s body. </w:t>
      </w:r>
      <w:r w:rsidR="0000647A">
        <w:t xml:space="preserve">Please note: </w:t>
      </w:r>
      <w:r w:rsidR="00742C2A">
        <w:t>No</w:t>
      </w:r>
      <w:r w:rsidR="0069469A" w:rsidRPr="00201107">
        <w:t xml:space="preserve"> </w:t>
      </w:r>
      <w:r w:rsidR="0000647A" w:rsidRPr="0000647A">
        <w:t>RCA</w:t>
      </w:r>
      <w:r w:rsidR="00742C2A" w:rsidRPr="0000647A">
        <w:t xml:space="preserve"> </w:t>
      </w:r>
      <w:r w:rsidR="0069469A" w:rsidRPr="0000647A">
        <w:t xml:space="preserve">report </w:t>
      </w:r>
      <w:r w:rsidR="00552254">
        <w:t>had</w:t>
      </w:r>
      <w:r w:rsidR="0069469A" w:rsidRPr="00201107">
        <w:t xml:space="preserve"> been submitted</w:t>
      </w:r>
      <w:r w:rsidR="0069469A">
        <w:t xml:space="preserve"> for this event at the time of </w:t>
      </w:r>
      <w:r w:rsidR="00552254">
        <w:t xml:space="preserve">this </w:t>
      </w:r>
      <w:r w:rsidR="0069469A">
        <w:t>report.</w:t>
      </w:r>
    </w:p>
    <w:p w14:paraId="7B90910D" w14:textId="506ADD27" w:rsidR="0069469A" w:rsidRDefault="002657E6" w:rsidP="002657E6">
      <w:pPr>
        <w:pStyle w:val="Heading4"/>
      </w:pPr>
      <w:bookmarkStart w:id="18" w:name="_Toc530644614"/>
      <w:r>
        <w:t xml:space="preserve">Category 2: </w:t>
      </w:r>
      <w:r w:rsidR="0069469A" w:rsidRPr="00BF6581">
        <w:t>Suicide of a patient in an inpatient unit</w:t>
      </w:r>
      <w:bookmarkEnd w:id="18"/>
    </w:p>
    <w:p w14:paraId="7419ABC3" w14:textId="073D4498" w:rsidR="00742C2A" w:rsidRDefault="009B1C7B" w:rsidP="0069469A">
      <w:pPr>
        <w:pStyle w:val="Normalfollowingheading"/>
      </w:pPr>
      <w:r>
        <w:t>There were</w:t>
      </w:r>
      <w:r w:rsidR="00742C2A">
        <w:t xml:space="preserve"> </w:t>
      </w:r>
      <w:r w:rsidR="00DD4222">
        <w:t>seven</w:t>
      </w:r>
      <w:r w:rsidR="00742C2A">
        <w:t xml:space="preserve"> events</w:t>
      </w:r>
      <w:r w:rsidR="00721145">
        <w:t xml:space="preserve"> </w:t>
      </w:r>
      <w:r w:rsidR="0069469A">
        <w:t>reported by mental health facilities</w:t>
      </w:r>
      <w:r w:rsidR="00742C2A">
        <w:t xml:space="preserve"> (</w:t>
      </w:r>
      <w:r w:rsidR="00B2510D">
        <w:t>6</w:t>
      </w:r>
      <w:r w:rsidR="00742C2A">
        <w:t>)</w:t>
      </w:r>
      <w:r w:rsidR="0069469A">
        <w:t xml:space="preserve"> and </w:t>
      </w:r>
      <w:r w:rsidR="00742C2A">
        <w:t>a</w:t>
      </w:r>
      <w:r w:rsidR="0069469A">
        <w:t xml:space="preserve"> rehabilitation facility</w:t>
      </w:r>
      <w:r w:rsidR="00742C2A">
        <w:t xml:space="preserve"> (</w:t>
      </w:r>
      <w:r w:rsidR="00B2510D">
        <w:t>1</w:t>
      </w:r>
      <w:r w:rsidR="00742C2A">
        <w:t>)</w:t>
      </w:r>
      <w:r w:rsidR="0069469A">
        <w:t xml:space="preserve">. </w:t>
      </w:r>
      <w:r w:rsidR="00742C2A">
        <w:t>Locations included:</w:t>
      </w:r>
    </w:p>
    <w:p w14:paraId="3C428A75" w14:textId="77777777" w:rsidR="00D140DD" w:rsidRDefault="0069469A" w:rsidP="002657E6">
      <w:pPr>
        <w:pStyle w:val="Bullet1"/>
      </w:pPr>
      <w:r w:rsidRPr="006525B9">
        <w:t>a patient’s roo</w:t>
      </w:r>
      <w:r w:rsidR="00742C2A" w:rsidRPr="006525B9">
        <w:t>m (mental health facility) –</w:t>
      </w:r>
      <w:r w:rsidR="002657E6" w:rsidRPr="006525B9">
        <w:t xml:space="preserve"> </w:t>
      </w:r>
      <w:r w:rsidR="00742C2A" w:rsidRPr="006525B9">
        <w:t>4</w:t>
      </w:r>
    </w:p>
    <w:p w14:paraId="6B5051A0" w14:textId="42F0D560" w:rsidR="00742C2A" w:rsidRPr="006525B9" w:rsidRDefault="00D140DD" w:rsidP="002657E6">
      <w:pPr>
        <w:pStyle w:val="Bullet1"/>
      </w:pPr>
      <w:r w:rsidRPr="006525B9">
        <w:t>a patient’s room</w:t>
      </w:r>
      <w:r w:rsidR="002657E6" w:rsidRPr="006525B9">
        <w:t xml:space="preserve"> (rehabilitation facility) – 1</w:t>
      </w:r>
    </w:p>
    <w:p w14:paraId="03584D08" w14:textId="77777777" w:rsidR="00742C2A" w:rsidRDefault="0069469A" w:rsidP="00742C2A">
      <w:pPr>
        <w:pStyle w:val="Bullet1"/>
      </w:pPr>
      <w:r>
        <w:t>a patient’s bathroom</w:t>
      </w:r>
      <w:r w:rsidR="00742C2A">
        <w:t xml:space="preserve"> – 1</w:t>
      </w:r>
    </w:p>
    <w:p w14:paraId="6D8FE094" w14:textId="77777777" w:rsidR="00742C2A" w:rsidRDefault="0069469A" w:rsidP="00742C2A">
      <w:pPr>
        <w:pStyle w:val="Bullet1"/>
      </w:pPr>
      <w:r>
        <w:t>in the community after a patient absconded from the mental health facility</w:t>
      </w:r>
      <w:r w:rsidR="00742C2A">
        <w:t xml:space="preserve"> – 1.</w:t>
      </w:r>
    </w:p>
    <w:p w14:paraId="43A78234" w14:textId="511477EE" w:rsidR="0069469A" w:rsidRDefault="002657E6" w:rsidP="0069469A">
      <w:r w:rsidRPr="00CD33F8">
        <w:t>P</w:t>
      </w:r>
      <w:r w:rsidR="0069469A" w:rsidRPr="00CD33F8">
        <w:t xml:space="preserve">atient suicides in other healthcare settings are also reported as </w:t>
      </w:r>
      <w:r w:rsidRPr="002657E6">
        <w:rPr>
          <w:rFonts w:ascii="VIC Medium" w:hAnsi="VIC Medium"/>
        </w:rPr>
        <w:t>Category 9:</w:t>
      </w:r>
      <w:r>
        <w:t xml:space="preserve"> </w:t>
      </w:r>
      <w:r w:rsidR="0069469A" w:rsidRPr="0051790D">
        <w:rPr>
          <w:rFonts w:ascii="VIC Medium" w:hAnsi="VIC Medium"/>
        </w:rPr>
        <w:t xml:space="preserve">Other catastrophic: </w:t>
      </w:r>
      <w:r w:rsidR="0069469A" w:rsidRPr="00375AA6">
        <w:rPr>
          <w:rFonts w:ascii="VIC Medium" w:hAnsi="VIC Medium"/>
        </w:rPr>
        <w:t>ISR</w:t>
      </w:r>
      <w:r w:rsidR="00596E9A">
        <w:rPr>
          <w:rFonts w:ascii="VIC Medium" w:hAnsi="VIC Medium"/>
        </w:rPr>
        <w:t xml:space="preserve"> </w:t>
      </w:r>
      <w:r w:rsidR="0069469A" w:rsidRPr="00375AA6">
        <w:rPr>
          <w:rFonts w:ascii="VIC Medium" w:hAnsi="VIC Medium"/>
        </w:rPr>
        <w:t>1</w:t>
      </w:r>
      <w:r w:rsidR="0069469A" w:rsidRPr="00375AA6">
        <w:t xml:space="preserve"> (</w:t>
      </w:r>
      <w:r w:rsidR="00F703D8" w:rsidRPr="00596E9A">
        <w:t xml:space="preserve">see </w:t>
      </w:r>
      <w:r w:rsidR="0069469A" w:rsidRPr="00596E9A">
        <w:t xml:space="preserve">page </w:t>
      </w:r>
      <w:r w:rsidR="00D140DD">
        <w:t>12</w:t>
      </w:r>
      <w:r w:rsidR="0069469A" w:rsidRPr="00375AA6">
        <w:t>)</w:t>
      </w:r>
      <w:r w:rsidR="00742C2A" w:rsidRPr="00375AA6">
        <w:t>.</w:t>
      </w:r>
    </w:p>
    <w:p w14:paraId="0C3AE939" w14:textId="2FA0EABB" w:rsidR="0069469A" w:rsidRDefault="002657E6" w:rsidP="00B2510D">
      <w:pPr>
        <w:pStyle w:val="Heading4"/>
        <w:spacing w:before="120"/>
      </w:pPr>
      <w:bookmarkStart w:id="19" w:name="_Toc530644615"/>
      <w:r>
        <w:t xml:space="preserve">Category 3: </w:t>
      </w:r>
      <w:bookmarkEnd w:id="19"/>
      <w:r w:rsidR="00B76485" w:rsidRPr="00B76485">
        <w:t>Retained (un-retrieved) instruments or other material after surgery requiring re-operation or further surgical procedure</w:t>
      </w:r>
    </w:p>
    <w:p w14:paraId="4B11EB80" w14:textId="5D85FD1B" w:rsidR="00742C2A" w:rsidRDefault="00742C2A" w:rsidP="0069469A">
      <w:pPr>
        <w:pStyle w:val="Normalfollowingheading"/>
      </w:pPr>
      <w:r>
        <w:t xml:space="preserve">Of the 12 events, </w:t>
      </w:r>
      <w:r w:rsidR="009B5828">
        <w:t xml:space="preserve">un-retrieved </w:t>
      </w:r>
      <w:r w:rsidR="0069469A">
        <w:t>instruments or other material included guidewires, dressings, drains,</w:t>
      </w:r>
      <w:r>
        <w:t xml:space="preserve"> operation packs </w:t>
      </w:r>
      <w:r w:rsidR="002657E6">
        <w:t>and</w:t>
      </w:r>
      <w:r>
        <w:t xml:space="preserve"> catheters.</w:t>
      </w:r>
    </w:p>
    <w:p w14:paraId="5CFA2909" w14:textId="45BA293F" w:rsidR="00C76EE0" w:rsidRPr="00CD33F8" w:rsidRDefault="0069469A" w:rsidP="00B2510D">
      <w:pPr>
        <w:pStyle w:val="Normalfollowingheading"/>
      </w:pPr>
      <w:r w:rsidRPr="00CD33F8">
        <w:t xml:space="preserve">The length of time to </w:t>
      </w:r>
      <w:r w:rsidR="00742C2A" w:rsidRPr="00CD33F8">
        <w:t xml:space="preserve">detect the </w:t>
      </w:r>
      <w:r w:rsidR="007A3870" w:rsidRPr="00CD33F8">
        <w:t>un-retrieved</w:t>
      </w:r>
      <w:r w:rsidR="00742C2A" w:rsidRPr="00CD33F8">
        <w:t xml:space="preserve"> </w:t>
      </w:r>
      <w:r w:rsidR="005A485E" w:rsidRPr="00CD33F8">
        <w:t xml:space="preserve">instruments or other material </w:t>
      </w:r>
      <w:r w:rsidRPr="00CD33F8">
        <w:t>varied</w:t>
      </w:r>
      <w:r w:rsidR="00C76EE0" w:rsidRPr="00CD33F8">
        <w:t xml:space="preserve">. </w:t>
      </w:r>
    </w:p>
    <w:p w14:paraId="3859D894" w14:textId="649575AC" w:rsidR="00856CC3" w:rsidRDefault="00856CC3" w:rsidP="00B2510D">
      <w:pPr>
        <w:pStyle w:val="Normalfollowingheading"/>
      </w:pPr>
      <w:r>
        <w:t>In most cases (</w:t>
      </w:r>
      <w:r w:rsidR="00C76EE0">
        <w:t xml:space="preserve">8), the </w:t>
      </w:r>
      <w:r w:rsidR="005A485E">
        <w:t>problem</w:t>
      </w:r>
      <w:r w:rsidR="00C76EE0">
        <w:t xml:space="preserve"> was recognised while still in surgery, however the product was unable to be retrieved immediately. For example, a patient’s wound being sutured closed when the </w:t>
      </w:r>
      <w:r w:rsidR="005A485E" w:rsidRPr="00CD33F8">
        <w:t xml:space="preserve">surgical </w:t>
      </w:r>
      <w:r w:rsidR="00C76EE0" w:rsidRPr="00CD33F8">
        <w:t xml:space="preserve">team realised the ‘count’ was wrong and that they had left gauze </w:t>
      </w:r>
      <w:r w:rsidR="005A485E" w:rsidRPr="00CD33F8">
        <w:t>inside</w:t>
      </w:r>
      <w:r w:rsidR="00C76EE0" w:rsidRPr="00CD33F8">
        <w:t xml:space="preserve"> the patient</w:t>
      </w:r>
      <w:r w:rsidR="00C76EE0">
        <w:t>. The patient had to have their wound reopened and closed again. This error resulted in longer operation time and the patient receiving more sutures than they should have.</w:t>
      </w:r>
      <w:r w:rsidR="00AA6F2E">
        <w:t xml:space="preserve"> </w:t>
      </w:r>
    </w:p>
    <w:p w14:paraId="09846565" w14:textId="49E44473" w:rsidR="0069469A" w:rsidRDefault="00B2510D" w:rsidP="00B2510D">
      <w:pPr>
        <w:pStyle w:val="Normalfollowingheading"/>
      </w:pPr>
      <w:r>
        <w:t xml:space="preserve">In </w:t>
      </w:r>
      <w:r w:rsidR="00856CC3">
        <w:t>another</w:t>
      </w:r>
      <w:r>
        <w:t xml:space="preserve"> case, a retained product was identified </w:t>
      </w:r>
      <w:r w:rsidR="00742C2A">
        <w:t xml:space="preserve">more than </w:t>
      </w:r>
      <w:r w:rsidR="0051790D">
        <w:t>two</w:t>
      </w:r>
      <w:r w:rsidR="0069469A">
        <w:t xml:space="preserve"> years</w:t>
      </w:r>
      <w:r>
        <w:t xml:space="preserve"> after</w:t>
      </w:r>
      <w:r w:rsidR="0069469A">
        <w:t xml:space="preserve"> initial surgery.</w:t>
      </w:r>
    </w:p>
    <w:p w14:paraId="373289A4" w14:textId="31A517C9" w:rsidR="0069469A" w:rsidRPr="00B01DAB" w:rsidRDefault="002657E6" w:rsidP="00B2510D">
      <w:pPr>
        <w:pStyle w:val="Heading4"/>
      </w:pPr>
      <w:bookmarkStart w:id="20" w:name="_Toc530644616"/>
      <w:r>
        <w:t xml:space="preserve">Category </w:t>
      </w:r>
      <w:r w:rsidR="000E1C93">
        <w:t>5</w:t>
      </w:r>
      <w:r>
        <w:t xml:space="preserve">: </w:t>
      </w:r>
      <w:r w:rsidR="0069469A" w:rsidRPr="00B01DAB">
        <w:t>Haemolytic blood transfusion reaction resulting from ABO incompatibility</w:t>
      </w:r>
      <w:bookmarkEnd w:id="20"/>
    </w:p>
    <w:p w14:paraId="28D72A07" w14:textId="0AEBEB69" w:rsidR="0069469A" w:rsidRPr="0025570A" w:rsidRDefault="0069469A" w:rsidP="0069469A">
      <w:pPr>
        <w:pStyle w:val="Normalfollowingheading"/>
        <w:rPr>
          <w:color w:val="FF0000"/>
        </w:rPr>
      </w:pPr>
      <w:r>
        <w:t xml:space="preserve">Two events occurred where the incorrect blood product was given to a patient. One event occurred in an </w:t>
      </w:r>
      <w:r w:rsidR="00B2510D">
        <w:t>e</w:t>
      </w:r>
      <w:r>
        <w:t xml:space="preserve">mergency </w:t>
      </w:r>
      <w:r w:rsidR="00B2510D">
        <w:t>d</w:t>
      </w:r>
      <w:r>
        <w:t>epartment</w:t>
      </w:r>
      <w:r w:rsidR="00747803">
        <w:t xml:space="preserve"> where the patient died as a result</w:t>
      </w:r>
      <w:r>
        <w:t xml:space="preserve"> and the other on the ward of a hospital</w:t>
      </w:r>
      <w:r w:rsidR="00747803">
        <w:t xml:space="preserve"> and the patient suffered permanent harm</w:t>
      </w:r>
      <w:r>
        <w:t>.</w:t>
      </w:r>
    </w:p>
    <w:p w14:paraId="61741307" w14:textId="47671692" w:rsidR="0069469A" w:rsidRDefault="000E1C93" w:rsidP="00B2510D">
      <w:pPr>
        <w:pStyle w:val="Heading4"/>
      </w:pPr>
      <w:bookmarkStart w:id="21" w:name="_Toc530644617"/>
      <w:r>
        <w:t>Category 6</w:t>
      </w:r>
      <w:r w:rsidR="002657E6">
        <w:t xml:space="preserve">: </w:t>
      </w:r>
      <w:r w:rsidR="0069469A" w:rsidRPr="00BF6581">
        <w:t>Medication error leading to the death of a patient reasonably believed to be due to incorrect administration of drugs</w:t>
      </w:r>
      <w:bookmarkEnd w:id="21"/>
    </w:p>
    <w:p w14:paraId="3D0ACE22" w14:textId="1949B317" w:rsidR="0069469A" w:rsidRDefault="009B1C7B" w:rsidP="0069469A">
      <w:pPr>
        <w:pStyle w:val="Normalfollowingheading"/>
      </w:pPr>
      <w:r>
        <w:t>There were t</w:t>
      </w:r>
      <w:r w:rsidR="0069469A">
        <w:t xml:space="preserve">wo events </w:t>
      </w:r>
      <w:r>
        <w:t xml:space="preserve">that </w:t>
      </w:r>
      <w:r w:rsidR="0069469A">
        <w:t>occurred where a medication error resulted in the death of a patient. One involved the incorrect prescription</w:t>
      </w:r>
      <w:r w:rsidR="000E1C93">
        <w:t xml:space="preserve"> of a benzodiazepine</w:t>
      </w:r>
      <w:r w:rsidR="0069469A">
        <w:t xml:space="preserve"> (</w:t>
      </w:r>
      <w:r w:rsidR="0051790D">
        <w:t>10</w:t>
      </w:r>
      <w:r w:rsidR="0069469A">
        <w:t xml:space="preserve"> times the required dose) which was then administered</w:t>
      </w:r>
      <w:r w:rsidR="00D140DD">
        <w:t>,</w:t>
      </w:r>
      <w:r w:rsidR="0069469A">
        <w:t xml:space="preserve"> and the second involved insufficient monitoring of therapeutic drug levels.</w:t>
      </w:r>
    </w:p>
    <w:p w14:paraId="31CF4BBA" w14:textId="77777777" w:rsidR="00B2510D" w:rsidRDefault="00B2510D" w:rsidP="0060775D">
      <w:pPr>
        <w:pStyle w:val="Heading2"/>
        <w:sectPr w:rsidR="00B2510D" w:rsidSect="00B2510D">
          <w:type w:val="continuous"/>
          <w:pgSz w:w="11906" w:h="16838" w:code="9"/>
          <w:pgMar w:top="3402" w:right="851" w:bottom="1361" w:left="851" w:header="539" w:footer="624" w:gutter="0"/>
          <w:cols w:num="2" w:space="284"/>
          <w:docGrid w:linePitch="360"/>
        </w:sectPr>
      </w:pPr>
    </w:p>
    <w:p w14:paraId="1E50D366" w14:textId="600C295D" w:rsidR="0060775D" w:rsidRDefault="00FB5E58" w:rsidP="0060775D">
      <w:pPr>
        <w:pStyle w:val="Heading2"/>
      </w:pPr>
      <w:bookmarkStart w:id="22" w:name="_Toc532460418"/>
      <w:r>
        <w:lastRenderedPageBreak/>
        <w:t>Category</w:t>
      </w:r>
      <w:r w:rsidR="00DB407A">
        <w:t xml:space="preserve"> 9: </w:t>
      </w:r>
      <w:r w:rsidR="0060775D" w:rsidRPr="00D34481">
        <w:t>Other catastrophic: ISR 1</w:t>
      </w:r>
      <w:bookmarkEnd w:id="22"/>
    </w:p>
    <w:p w14:paraId="1DCAADDF" w14:textId="343670E7" w:rsidR="00B2510D" w:rsidRDefault="00D36AB3" w:rsidP="00D36AB3">
      <w:pPr>
        <w:pStyle w:val="Bullet1"/>
        <w:numPr>
          <w:ilvl w:val="0"/>
          <w:numId w:val="0"/>
        </w:numPr>
      </w:pPr>
      <w:r>
        <w:t>The proportion of notifications made under</w:t>
      </w:r>
      <w:r w:rsidRPr="0016774C">
        <w:t xml:space="preserve"> </w:t>
      </w:r>
      <w:r w:rsidR="00552254">
        <w:rPr>
          <w:rFonts w:ascii="VIC Medium" w:hAnsi="VIC Medium"/>
        </w:rPr>
        <w:t>C</w:t>
      </w:r>
      <w:r w:rsidR="00CD33F8" w:rsidRPr="00552254">
        <w:rPr>
          <w:rFonts w:ascii="VIC Medium" w:hAnsi="VIC Medium"/>
        </w:rPr>
        <w:t>ategory</w:t>
      </w:r>
      <w:r w:rsidR="00747803" w:rsidRPr="00552254">
        <w:rPr>
          <w:rFonts w:ascii="VIC Medium" w:hAnsi="VIC Medium"/>
        </w:rPr>
        <w:t xml:space="preserve"> </w:t>
      </w:r>
      <w:r w:rsidR="00C76EE0" w:rsidRPr="00552254">
        <w:rPr>
          <w:rFonts w:ascii="VIC Medium" w:hAnsi="VIC Medium"/>
        </w:rPr>
        <w:t>9</w:t>
      </w:r>
      <w:r w:rsidR="00552254">
        <w:rPr>
          <w:rFonts w:ascii="VIC Medium" w:hAnsi="VIC Medium"/>
        </w:rPr>
        <w:t>:</w:t>
      </w:r>
      <w:r w:rsidR="00C76EE0">
        <w:rPr>
          <w:rFonts w:ascii="VIC Medium" w:hAnsi="VIC Medium"/>
        </w:rPr>
        <w:t xml:space="preserve"> </w:t>
      </w:r>
      <w:r w:rsidRPr="0060775D">
        <w:rPr>
          <w:rFonts w:ascii="VIC Medium" w:hAnsi="VIC Medium"/>
        </w:rPr>
        <w:t>Other catastrophic: ISR 1</w:t>
      </w:r>
      <w:r>
        <w:rPr>
          <w:rFonts w:ascii="VIC Medium" w:hAnsi="VIC Medium"/>
        </w:rPr>
        <w:t xml:space="preserve"> </w:t>
      </w:r>
      <w:r>
        <w:t xml:space="preserve">has increased – up 47 per cent in the past year to </w:t>
      </w:r>
      <w:r w:rsidR="00C76EE0">
        <w:t xml:space="preserve">a total of </w:t>
      </w:r>
      <w:r w:rsidR="0060775D">
        <w:t>98</w:t>
      </w:r>
      <w:r w:rsidR="0060775D" w:rsidRPr="0016774C">
        <w:t xml:space="preserve"> events</w:t>
      </w:r>
      <w:r w:rsidR="0060775D">
        <w:t xml:space="preserve">. </w:t>
      </w:r>
      <w:r w:rsidR="0060775D" w:rsidRPr="0016774C">
        <w:t>These events resulted in death or permanent harm to patients and could not be classified in</w:t>
      </w:r>
      <w:r w:rsidR="0060775D">
        <w:t xml:space="preserve"> one of</w:t>
      </w:r>
      <w:r w:rsidR="0060775D" w:rsidRPr="0016774C">
        <w:t xml:space="preserve"> the eight nati</w:t>
      </w:r>
      <w:r>
        <w:t>onal sentinel event categories.</w:t>
      </w:r>
    </w:p>
    <w:p w14:paraId="037D183C" w14:textId="77777777" w:rsidR="00B2510D" w:rsidRPr="00B2510D" w:rsidRDefault="00B2510D" w:rsidP="00B2510D">
      <w:pPr>
        <w:pStyle w:val="Normalfollowingheading"/>
        <w:rPr>
          <w:highlight w:val="yellow"/>
        </w:rPr>
      </w:pPr>
      <w:r>
        <w:t>These events are</w:t>
      </w:r>
      <w:r w:rsidRPr="0016774C">
        <w:t xml:space="preserve"> further categorised using the International Classification for Patient Safety</w:t>
      </w:r>
      <w:r w:rsidRPr="0016774C">
        <w:rPr>
          <w:rStyle w:val="FootnoteReference"/>
          <w:rFonts w:asciiTheme="minorHAnsi" w:hAnsiTheme="minorHAnsi"/>
        </w:rPr>
        <w:footnoteReference w:id="1"/>
      </w:r>
      <w:r>
        <w:t xml:space="preserve"> (ICPS) incident types. </w:t>
      </w:r>
      <w:r w:rsidRPr="00250FFF">
        <w:t>These include:</w:t>
      </w:r>
    </w:p>
    <w:p w14:paraId="2B1FE93D" w14:textId="77777777" w:rsidR="00B2510D" w:rsidRPr="0069469A" w:rsidRDefault="00B2510D" w:rsidP="00B2510D">
      <w:pPr>
        <w:pStyle w:val="Bullet1"/>
      </w:pPr>
      <w:r>
        <w:t>c</w:t>
      </w:r>
      <w:r w:rsidRPr="0069469A">
        <w:t>linical process or procedure</w:t>
      </w:r>
    </w:p>
    <w:p w14:paraId="4FA9FBDC" w14:textId="77777777" w:rsidR="00856CC3" w:rsidRPr="0069469A" w:rsidRDefault="00856CC3" w:rsidP="00856CC3">
      <w:pPr>
        <w:pStyle w:val="Bullet1"/>
      </w:pPr>
      <w:r>
        <w:t>f</w:t>
      </w:r>
      <w:r w:rsidRPr="0069469A">
        <w:t xml:space="preserve">alls </w:t>
      </w:r>
    </w:p>
    <w:p w14:paraId="0243A1CE" w14:textId="77777777" w:rsidR="00B2510D" w:rsidRPr="0069469A" w:rsidRDefault="00B2510D" w:rsidP="00B2510D">
      <w:pPr>
        <w:pStyle w:val="Bullet1"/>
      </w:pPr>
      <w:r>
        <w:t>d</w:t>
      </w:r>
      <w:r w:rsidRPr="0069469A">
        <w:t xml:space="preserve">elay recognition or response to patient deterioration </w:t>
      </w:r>
    </w:p>
    <w:p w14:paraId="77A30ABD" w14:textId="77777777" w:rsidR="00B2510D" w:rsidRPr="0069469A" w:rsidRDefault="00B2510D" w:rsidP="00B2510D">
      <w:pPr>
        <w:pStyle w:val="Bullet1"/>
      </w:pPr>
      <w:r>
        <w:t>b</w:t>
      </w:r>
      <w:r w:rsidRPr="0069469A">
        <w:t>ehaviour</w:t>
      </w:r>
    </w:p>
    <w:p w14:paraId="44DFE9A0" w14:textId="77777777" w:rsidR="00B2510D" w:rsidRPr="0069469A" w:rsidRDefault="00B2510D" w:rsidP="00B2510D">
      <w:pPr>
        <w:pStyle w:val="Bullet1"/>
      </w:pPr>
      <w:r>
        <w:t>c</w:t>
      </w:r>
      <w:r w:rsidRPr="0069469A">
        <w:t>linical administration</w:t>
      </w:r>
    </w:p>
    <w:p w14:paraId="2FD115F6" w14:textId="2FA7F235" w:rsidR="00856CC3" w:rsidRPr="0069469A" w:rsidRDefault="00856CC3" w:rsidP="00856CC3">
      <w:pPr>
        <w:pStyle w:val="Bullet1"/>
      </w:pPr>
      <w:r>
        <w:t>m</w:t>
      </w:r>
      <w:r w:rsidRPr="0069469A">
        <w:t>edical device</w:t>
      </w:r>
      <w:r w:rsidR="00AF5721">
        <w:t>/equipment</w:t>
      </w:r>
    </w:p>
    <w:p w14:paraId="5D127E5B" w14:textId="6AE82368" w:rsidR="00B2510D" w:rsidRPr="0069469A" w:rsidRDefault="00B2510D" w:rsidP="00B2510D">
      <w:pPr>
        <w:pStyle w:val="Bullet1"/>
      </w:pPr>
      <w:r>
        <w:t>m</w:t>
      </w:r>
      <w:r w:rsidRPr="0069469A">
        <w:t>edication</w:t>
      </w:r>
      <w:r w:rsidR="00B76485">
        <w:t>/Intravenous fluids</w:t>
      </w:r>
    </w:p>
    <w:p w14:paraId="23BAA9F0" w14:textId="77777777" w:rsidR="00B2510D" w:rsidRPr="0069469A" w:rsidRDefault="00B2510D" w:rsidP="00B2510D">
      <w:pPr>
        <w:pStyle w:val="Bullet1"/>
      </w:pPr>
      <w:r>
        <w:t>n</w:t>
      </w:r>
      <w:r w:rsidRPr="0069469A">
        <w:t>utrition</w:t>
      </w:r>
    </w:p>
    <w:p w14:paraId="4B161F06" w14:textId="606757B2" w:rsidR="00B2510D" w:rsidRPr="0069469A" w:rsidRDefault="00B2510D" w:rsidP="00B2510D">
      <w:pPr>
        <w:pStyle w:val="Bullet1"/>
      </w:pPr>
      <w:r>
        <w:t>h</w:t>
      </w:r>
      <w:r w:rsidRPr="0069469A">
        <w:t xml:space="preserve">ealthcare </w:t>
      </w:r>
      <w:r w:rsidR="00AF5721" w:rsidRPr="00AF5721">
        <w:t>associated</w:t>
      </w:r>
      <w:r w:rsidRPr="0069469A">
        <w:t xml:space="preserve"> infection</w:t>
      </w:r>
      <w:r w:rsidR="00AF5803">
        <w:t>.</w:t>
      </w:r>
    </w:p>
    <w:p w14:paraId="63F026EF" w14:textId="77777777" w:rsidR="00B2510D" w:rsidRPr="00B2510D" w:rsidRDefault="00B2510D" w:rsidP="00B2510D">
      <w:r w:rsidRPr="00B2510D">
        <w:t xml:space="preserve">See </w:t>
      </w:r>
      <w:r w:rsidRPr="00B2510D">
        <w:rPr>
          <w:b/>
        </w:rPr>
        <w:t>Appendix 1</w:t>
      </w:r>
      <w:r w:rsidRPr="00B2510D">
        <w:t xml:space="preserve"> for a detailed description of the ICPS incident types. </w:t>
      </w:r>
    </w:p>
    <w:p w14:paraId="14B46CDF" w14:textId="77777777" w:rsidR="007C5F60" w:rsidRDefault="0060775D" w:rsidP="007C5F60">
      <w:pPr>
        <w:pStyle w:val="Tablechartdiagramheading"/>
      </w:pPr>
      <w:r w:rsidRPr="00552254">
        <w:t xml:space="preserve">Figure </w:t>
      </w:r>
      <w:r w:rsidR="007C5F60">
        <w:t>6</w:t>
      </w:r>
      <w:r w:rsidRPr="00552254">
        <w:t xml:space="preserve">: Other catastrophic: ISR </w:t>
      </w:r>
      <w:r w:rsidR="00B2510D" w:rsidRPr="00552254">
        <w:t>1 sentinel events reported 2017–</w:t>
      </w:r>
      <w:r w:rsidRPr="00552254">
        <w:t>18</w:t>
      </w:r>
      <w:r w:rsidR="007C5F60">
        <w:t xml:space="preserve"> </w:t>
      </w:r>
    </w:p>
    <w:p w14:paraId="56B0F521" w14:textId="57DF938F" w:rsidR="0060775D" w:rsidRDefault="00B328D9" w:rsidP="007C5F60">
      <w:pPr>
        <w:spacing w:before="0" w:after="0" w:line="240" w:lineRule="auto"/>
      </w:pPr>
      <w:r>
        <w:rPr>
          <w:noProof/>
        </w:rPr>
        <w:drawing>
          <wp:inline distT="0" distB="0" distL="0" distR="0" wp14:anchorId="6307246C" wp14:editId="5271192C">
            <wp:extent cx="5400000" cy="2808000"/>
            <wp:effectExtent l="0" t="0" r="10795" b="11430"/>
            <wp:docPr id="15" name="Chart 15">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noProof/>
        </w:rPr>
        <w:t xml:space="preserve"> </w:t>
      </w:r>
    </w:p>
    <w:p w14:paraId="5DB8E135" w14:textId="280F21E4" w:rsidR="0060775D" w:rsidRDefault="0060775D" w:rsidP="007C5F60">
      <w:pPr>
        <w:spacing w:before="0" w:after="0" w:line="240" w:lineRule="atLeast"/>
      </w:pPr>
      <w:r>
        <w:t>There were no notifications relating</w:t>
      </w:r>
      <w:r w:rsidR="005A485E" w:rsidRPr="005A485E">
        <w:rPr>
          <w:color w:val="FF0000"/>
        </w:rPr>
        <w:t xml:space="preserve"> </w:t>
      </w:r>
      <w:r w:rsidR="00747803">
        <w:t xml:space="preserve">to </w:t>
      </w:r>
      <w:r>
        <w:t>resources</w:t>
      </w:r>
      <w:r w:rsidR="00D140DD">
        <w:t>/</w:t>
      </w:r>
      <w:r>
        <w:t>organisational mana</w:t>
      </w:r>
      <w:r w:rsidR="00B2510D">
        <w:t>gement</w:t>
      </w:r>
      <w:r w:rsidR="00D140DD">
        <w:t>,</w:t>
      </w:r>
      <w:r w:rsidR="00B2510D">
        <w:t xml:space="preserve"> documentation </w:t>
      </w:r>
      <w:r w:rsidR="00D140DD">
        <w:t xml:space="preserve">or patient accidents </w:t>
      </w:r>
      <w:r w:rsidR="00B2510D">
        <w:t>in 2017–</w:t>
      </w:r>
      <w:r>
        <w:t>18.</w:t>
      </w:r>
    </w:p>
    <w:p w14:paraId="18A48F83" w14:textId="77777777" w:rsidR="00B2510D" w:rsidRDefault="00B2510D" w:rsidP="007C5F60">
      <w:pPr>
        <w:pStyle w:val="Heading4"/>
        <w:spacing w:before="0" w:after="0" w:line="240" w:lineRule="atLeast"/>
        <w:sectPr w:rsidR="00B2510D" w:rsidSect="00742C2A">
          <w:type w:val="continuous"/>
          <w:pgSz w:w="11906" w:h="16838" w:code="9"/>
          <w:pgMar w:top="3402" w:right="851" w:bottom="1361" w:left="851" w:header="539" w:footer="624" w:gutter="0"/>
          <w:cols w:space="284"/>
          <w:docGrid w:linePitch="360"/>
        </w:sectPr>
      </w:pPr>
      <w:bookmarkStart w:id="23" w:name="_Toc530644619"/>
    </w:p>
    <w:p w14:paraId="7C226595" w14:textId="77777777" w:rsidR="0060775D" w:rsidRDefault="0060775D" w:rsidP="007C5F60">
      <w:pPr>
        <w:pStyle w:val="Heading4"/>
        <w:spacing w:before="0"/>
      </w:pPr>
      <w:r w:rsidRPr="00B44D8C">
        <w:lastRenderedPageBreak/>
        <w:t>Falls</w:t>
      </w:r>
      <w:bookmarkEnd w:id="23"/>
    </w:p>
    <w:p w14:paraId="4EA012E5" w14:textId="702F5979" w:rsidR="00B2510D" w:rsidRDefault="00BC7754" w:rsidP="007C5F60">
      <w:pPr>
        <w:pStyle w:val="Normalfollowingheading"/>
        <w:spacing w:after="120"/>
      </w:pPr>
      <w:r>
        <w:t>Tw</w:t>
      </w:r>
      <w:r w:rsidR="007C5F60">
        <w:t>enty-</w:t>
      </w:r>
      <w:r>
        <w:t>five</w:t>
      </w:r>
      <w:r w:rsidR="00747803" w:rsidRPr="0069469A">
        <w:t xml:space="preserve"> patients</w:t>
      </w:r>
      <w:r w:rsidR="00747803">
        <w:t xml:space="preserve"> </w:t>
      </w:r>
      <w:r>
        <w:t>were harmed</w:t>
      </w:r>
      <w:r w:rsidR="00747803">
        <w:t xml:space="preserve"> as a result of a fall </w:t>
      </w:r>
      <w:r w:rsidR="005A485E" w:rsidRPr="00CD33F8">
        <w:t>while under the care of a health service</w:t>
      </w:r>
      <w:r w:rsidR="007C5F60">
        <w:t xml:space="preserve"> – </w:t>
      </w:r>
      <w:r>
        <w:t xml:space="preserve">23 patents </w:t>
      </w:r>
      <w:r w:rsidR="001E03DD">
        <w:t>died,</w:t>
      </w:r>
      <w:r>
        <w:t xml:space="preserve"> </w:t>
      </w:r>
      <w:r w:rsidR="00B2510D">
        <w:t xml:space="preserve">and </w:t>
      </w:r>
      <w:r w:rsidR="0060775D" w:rsidRPr="0069469A">
        <w:t>two patients suf</w:t>
      </w:r>
      <w:r w:rsidR="007C5F60">
        <w:t>fered permanent harm.</w:t>
      </w:r>
    </w:p>
    <w:p w14:paraId="6E01A824" w14:textId="77777777" w:rsidR="00B2510D" w:rsidRPr="00B2510D" w:rsidRDefault="00B2510D" w:rsidP="007C5F60">
      <w:pPr>
        <w:spacing w:before="0" w:after="120" w:line="260" w:lineRule="atLeast"/>
      </w:pPr>
      <w:r>
        <w:t>Of those who fell:</w:t>
      </w:r>
    </w:p>
    <w:p w14:paraId="509C5BD2" w14:textId="1C057ED5" w:rsidR="00B2510D" w:rsidRDefault="00B2510D" w:rsidP="00B2510D">
      <w:pPr>
        <w:pStyle w:val="Bullet1"/>
      </w:pPr>
      <w:r>
        <w:t>64 per cent (</w:t>
      </w:r>
      <w:r w:rsidR="0060775D" w:rsidRPr="0069469A">
        <w:t xml:space="preserve">16) </w:t>
      </w:r>
      <w:r w:rsidR="0051790D">
        <w:t xml:space="preserve">were 81 to </w:t>
      </w:r>
      <w:r>
        <w:t>90 years of age</w:t>
      </w:r>
    </w:p>
    <w:p w14:paraId="197B731D" w14:textId="726A1F24" w:rsidR="00B2510D" w:rsidRDefault="0060775D" w:rsidP="00B2510D">
      <w:pPr>
        <w:pStyle w:val="Bullet1"/>
      </w:pPr>
      <w:r w:rsidRPr="0069469A">
        <w:t>20 per</w:t>
      </w:r>
      <w:r w:rsidR="0051790D">
        <w:t xml:space="preserve"> </w:t>
      </w:r>
      <w:r w:rsidR="00B2510D">
        <w:t>cent (5) were 91 to 1</w:t>
      </w:r>
      <w:r w:rsidRPr="0069469A">
        <w:t>00 years</w:t>
      </w:r>
      <w:r w:rsidR="00776870">
        <w:t xml:space="preserve"> of age</w:t>
      </w:r>
    </w:p>
    <w:p w14:paraId="2FFBE1A0" w14:textId="12BC817B" w:rsidR="00B2510D" w:rsidRDefault="00B2510D" w:rsidP="00B2510D">
      <w:pPr>
        <w:pStyle w:val="Bullet1"/>
      </w:pPr>
      <w:r>
        <w:t>12 per cent (</w:t>
      </w:r>
      <w:r w:rsidR="0051790D">
        <w:t xml:space="preserve">3) were 71 to </w:t>
      </w:r>
      <w:r w:rsidR="0060775D" w:rsidRPr="0069469A">
        <w:t xml:space="preserve">80 </w:t>
      </w:r>
      <w:r w:rsidR="00776870">
        <w:t>years of age</w:t>
      </w:r>
    </w:p>
    <w:p w14:paraId="6D0B728A" w14:textId="02A0C808" w:rsidR="00B2510D" w:rsidRDefault="00B2510D" w:rsidP="00B2510D">
      <w:pPr>
        <w:pStyle w:val="Bullet1"/>
      </w:pPr>
      <w:r>
        <w:t xml:space="preserve">one patient was aged 51 to </w:t>
      </w:r>
      <w:r w:rsidR="007C5F60">
        <w:t>60 years</w:t>
      </w:r>
      <w:r w:rsidR="00776870">
        <w:t xml:space="preserve"> of age</w:t>
      </w:r>
      <w:r w:rsidR="007C5F60">
        <w:t>.</w:t>
      </w:r>
    </w:p>
    <w:p w14:paraId="6C731070" w14:textId="77777777" w:rsidR="007C5F60" w:rsidRDefault="0060775D" w:rsidP="007C5F60">
      <w:pPr>
        <w:pStyle w:val="Normalfollowingheading"/>
        <w:spacing w:after="100" w:line="240" w:lineRule="atLeast"/>
      </w:pPr>
      <w:r w:rsidRPr="0069469A">
        <w:t>Fourteen (56%) of the falls occurred in the patient’s room, with three (12%) occurring in their bathroom, two (8%) occurred while the patient was on the ward but not in their room, and three (12%) were categorised as occurring in an ‘other’ location.</w:t>
      </w:r>
      <w:r w:rsidR="00343F75">
        <w:t xml:space="preserve"> </w:t>
      </w:r>
    </w:p>
    <w:p w14:paraId="6B3619E8" w14:textId="4788F6DB" w:rsidR="0060775D" w:rsidRPr="00A92F78" w:rsidRDefault="00355571" w:rsidP="007C5F60">
      <w:pPr>
        <w:pStyle w:val="Normalfollowingheading"/>
        <w:spacing w:after="100" w:line="240" w:lineRule="atLeast"/>
      </w:pPr>
      <w:r>
        <w:t xml:space="preserve">Eighteen patients had a documented </w:t>
      </w:r>
      <w:r w:rsidR="00971A22" w:rsidRPr="00A92F78">
        <w:t>acute confusion (</w:t>
      </w:r>
      <w:r w:rsidRPr="00A92F78">
        <w:t>delirium</w:t>
      </w:r>
      <w:r w:rsidR="00971A22" w:rsidRPr="00A92F78">
        <w:t>)</w:t>
      </w:r>
      <w:r w:rsidRPr="00A92F78">
        <w:t xml:space="preserve"> before their fall.</w:t>
      </w:r>
    </w:p>
    <w:p w14:paraId="158CCA33" w14:textId="77777777" w:rsidR="0060775D" w:rsidRPr="00683529" w:rsidRDefault="0060775D" w:rsidP="007C5F60">
      <w:pPr>
        <w:pStyle w:val="Heading4"/>
        <w:spacing w:before="120"/>
      </w:pPr>
      <w:bookmarkStart w:id="24" w:name="_Toc530644620"/>
      <w:r w:rsidRPr="00683529">
        <w:t>Clinical process/procedure</w:t>
      </w:r>
      <w:bookmarkEnd w:id="24"/>
    </w:p>
    <w:p w14:paraId="3D21F80A" w14:textId="4473E22F" w:rsidR="00BC7754" w:rsidRDefault="007C5F60" w:rsidP="007C5F60">
      <w:pPr>
        <w:pStyle w:val="Normalfollowingheading"/>
        <w:spacing w:after="100" w:line="240" w:lineRule="atLeast"/>
      </w:pPr>
      <w:r>
        <w:t>Twenty-</w:t>
      </w:r>
      <w:r w:rsidR="00BC7754">
        <w:t>five patients were harmed as a result of failures in clinical processes.</w:t>
      </w:r>
    </w:p>
    <w:p w14:paraId="5535D62D" w14:textId="36366113" w:rsidR="001D4D88" w:rsidRPr="00CD33F8" w:rsidRDefault="00BC7754" w:rsidP="007C5F60">
      <w:pPr>
        <w:pStyle w:val="Normalfollowingheading"/>
        <w:spacing w:after="100" w:line="240" w:lineRule="atLeast"/>
      </w:pPr>
      <w:r>
        <w:t>Twelve</w:t>
      </w:r>
      <w:r w:rsidR="00F4178F">
        <w:t xml:space="preserve"> patients were harmed due to p</w:t>
      </w:r>
      <w:r w:rsidR="0060775D" w:rsidRPr="00683529">
        <w:t xml:space="preserve">rocedures, treatments or interventions not </w:t>
      </w:r>
      <w:r w:rsidR="00F4178F">
        <w:t xml:space="preserve">being </w:t>
      </w:r>
      <w:r w:rsidR="0060775D" w:rsidRPr="00683529">
        <w:t xml:space="preserve">performed </w:t>
      </w:r>
      <w:r w:rsidR="0060775D" w:rsidRPr="00CD33F8">
        <w:t xml:space="preserve">when </w:t>
      </w:r>
      <w:r w:rsidR="005A485E" w:rsidRPr="00CD33F8">
        <w:t>they were needed</w:t>
      </w:r>
      <w:r w:rsidR="0060775D" w:rsidRPr="00CD33F8">
        <w:t xml:space="preserve"> or were incomple</w:t>
      </w:r>
      <w:r w:rsidR="00F4178F" w:rsidRPr="00CD33F8">
        <w:t>tely or inadequately performed.</w:t>
      </w:r>
      <w:r w:rsidR="00B2510D" w:rsidRPr="00CD33F8">
        <w:t xml:space="preserve"> </w:t>
      </w:r>
      <w:r w:rsidR="00355571" w:rsidRPr="00CD33F8">
        <w:t xml:space="preserve">Events included </w:t>
      </w:r>
      <w:r w:rsidR="0060775D" w:rsidRPr="00CD33F8">
        <w:t>the management of labour</w:t>
      </w:r>
      <w:r w:rsidR="00856CC3">
        <w:t xml:space="preserve"> (</w:t>
      </w:r>
      <w:r w:rsidR="00355571" w:rsidRPr="00CD33F8">
        <w:t>4)</w:t>
      </w:r>
      <w:r w:rsidR="0060775D" w:rsidRPr="00CD33F8">
        <w:t>, complications post-surgery</w:t>
      </w:r>
      <w:r w:rsidR="00856CC3">
        <w:t xml:space="preserve"> (</w:t>
      </w:r>
      <w:r w:rsidR="00355571" w:rsidRPr="00CD33F8">
        <w:t>4)</w:t>
      </w:r>
      <w:r w:rsidR="0060775D" w:rsidRPr="00CD33F8">
        <w:t xml:space="preserve">, failure to </w:t>
      </w:r>
      <w:r w:rsidR="005A485E" w:rsidRPr="00CD33F8">
        <w:t xml:space="preserve">insert an artificial breathing tube (intubate) </w:t>
      </w:r>
      <w:r w:rsidR="00856CC3">
        <w:t>(</w:t>
      </w:r>
      <w:r w:rsidR="00355571" w:rsidRPr="00CD33F8">
        <w:t>2)</w:t>
      </w:r>
      <w:r w:rsidR="0060775D" w:rsidRPr="00CD33F8">
        <w:t xml:space="preserve"> and an </w:t>
      </w:r>
      <w:r w:rsidR="005A485E" w:rsidRPr="00A92F78">
        <w:t>in</w:t>
      </w:r>
      <w:r w:rsidR="0060775D" w:rsidRPr="00A92F78">
        <w:t>appropriate intervention</w:t>
      </w:r>
      <w:r w:rsidR="00856CC3">
        <w:t xml:space="preserve"> (</w:t>
      </w:r>
      <w:r w:rsidR="00355571" w:rsidRPr="00A92F78">
        <w:t>1)</w:t>
      </w:r>
      <w:r w:rsidR="0060775D" w:rsidRPr="00A92F78">
        <w:t>.</w:t>
      </w:r>
    </w:p>
    <w:p w14:paraId="0D665969" w14:textId="1DA321A4" w:rsidR="0060775D" w:rsidRPr="00BC7754" w:rsidRDefault="0060775D" w:rsidP="007C5F60">
      <w:pPr>
        <w:pStyle w:val="Normalfollowingheading"/>
        <w:spacing w:after="100" w:line="240" w:lineRule="atLeast"/>
      </w:pPr>
      <w:r w:rsidRPr="00BC7754">
        <w:t xml:space="preserve">One </w:t>
      </w:r>
      <w:r w:rsidR="00F4178F" w:rsidRPr="00BC7754">
        <w:t>patient suffered</w:t>
      </w:r>
      <w:r w:rsidRPr="00BC7754">
        <w:t xml:space="preserve"> </w:t>
      </w:r>
      <w:r w:rsidR="00F4178F" w:rsidRPr="00BC7754">
        <w:t xml:space="preserve">permanent harm when </w:t>
      </w:r>
      <w:r w:rsidRPr="00BC7754">
        <w:t xml:space="preserve">a </w:t>
      </w:r>
      <w:r w:rsidR="00212E8D" w:rsidRPr="00BC7754">
        <w:t>skin bi</w:t>
      </w:r>
      <w:r w:rsidR="007C5F60">
        <w:t>ops</w:t>
      </w:r>
      <w:r w:rsidR="00212E8D" w:rsidRPr="00BC7754">
        <w:t>y</w:t>
      </w:r>
      <w:r w:rsidR="00F4178F" w:rsidRPr="00BC7754">
        <w:t xml:space="preserve"> was</w:t>
      </w:r>
      <w:r w:rsidRPr="00BC7754">
        <w:t xml:space="preserve"> no</w:t>
      </w:r>
      <w:r w:rsidR="00F4178F" w:rsidRPr="00BC7754">
        <w:t xml:space="preserve">t performed when </w:t>
      </w:r>
      <w:r w:rsidR="00307F05" w:rsidRPr="00BC7754">
        <w:t>it was needed</w:t>
      </w:r>
      <w:r w:rsidR="00F4178F" w:rsidRPr="00BC7754">
        <w:t>.</w:t>
      </w:r>
    </w:p>
    <w:p w14:paraId="2A80DB8D" w14:textId="6C768763" w:rsidR="0060775D" w:rsidRPr="00BC7754" w:rsidRDefault="00355571" w:rsidP="007C5F60">
      <w:pPr>
        <w:spacing w:after="100" w:line="240" w:lineRule="atLeast"/>
      </w:pPr>
      <w:r w:rsidRPr="00BC7754">
        <w:t>Errors</w:t>
      </w:r>
      <w:r w:rsidR="0060775D" w:rsidRPr="00BC7754">
        <w:t xml:space="preserve"> involving </w:t>
      </w:r>
      <w:r w:rsidR="00CD33F8" w:rsidRPr="00BC7754">
        <w:t xml:space="preserve">specimens or results </w:t>
      </w:r>
      <w:r w:rsidRPr="00BC7754">
        <w:t xml:space="preserve">occurred twice. </w:t>
      </w:r>
      <w:r w:rsidR="00CD33F8" w:rsidRPr="00BC7754">
        <w:t>One involved the</w:t>
      </w:r>
      <w:r w:rsidR="00F4178F" w:rsidRPr="00BC7754">
        <w:t xml:space="preserve"> d</w:t>
      </w:r>
      <w:r w:rsidR="0060775D" w:rsidRPr="00BC7754">
        <w:t xml:space="preserve">estruction of </w:t>
      </w:r>
      <w:r w:rsidR="00307F05" w:rsidRPr="00BC7754">
        <w:t>a</w:t>
      </w:r>
      <w:r w:rsidR="00CD33F8" w:rsidRPr="00BC7754">
        <w:t xml:space="preserve"> specimen</w:t>
      </w:r>
      <w:r w:rsidR="00307F05" w:rsidRPr="00BC7754">
        <w:t xml:space="preserve"> </w:t>
      </w:r>
      <w:r w:rsidR="0060775D" w:rsidRPr="00BC7754">
        <w:t>prior to testing</w:t>
      </w:r>
      <w:r w:rsidR="00856CC3">
        <w:t xml:space="preserve"> (</w:t>
      </w:r>
      <w:r w:rsidRPr="00BC7754">
        <w:t>1)</w:t>
      </w:r>
      <w:r w:rsidR="0060775D" w:rsidRPr="00BC7754">
        <w:t xml:space="preserve"> and</w:t>
      </w:r>
      <w:r w:rsidR="00F4178F" w:rsidRPr="00BC7754">
        <w:t xml:space="preserve"> one</w:t>
      </w:r>
      <w:r w:rsidR="0060775D" w:rsidRPr="00BC7754">
        <w:t xml:space="preserve"> incorrect </w:t>
      </w:r>
      <w:r w:rsidR="00307F05" w:rsidRPr="00BC7754">
        <w:t>diagnosis</w:t>
      </w:r>
      <w:r w:rsidRPr="00BC7754">
        <w:t xml:space="preserve"> of a patient’s </w:t>
      </w:r>
      <w:r w:rsidR="00CD33F8" w:rsidRPr="00BC7754">
        <w:t>specimen</w:t>
      </w:r>
      <w:r w:rsidR="00307F05" w:rsidRPr="00BC7754">
        <w:t xml:space="preserve"> </w:t>
      </w:r>
      <w:r w:rsidR="00856CC3">
        <w:t>sample (</w:t>
      </w:r>
      <w:r w:rsidRPr="00BC7754">
        <w:t>1).</w:t>
      </w:r>
    </w:p>
    <w:p w14:paraId="2C7371DD" w14:textId="70DD3479" w:rsidR="0060775D" w:rsidRPr="00683529" w:rsidRDefault="00F4178F" w:rsidP="007C5F60">
      <w:pPr>
        <w:spacing w:before="120" w:after="100" w:line="240" w:lineRule="atLeast"/>
      </w:pPr>
      <w:r w:rsidRPr="007C5F60">
        <w:t xml:space="preserve">Ten patients experienced </w:t>
      </w:r>
      <w:r w:rsidR="00212E8D" w:rsidRPr="007C5F60">
        <w:t xml:space="preserve">inadequate </w:t>
      </w:r>
      <w:r w:rsidR="00BC7754" w:rsidRPr="007C5F60">
        <w:t xml:space="preserve">assessments that were not performed when they were needed </w:t>
      </w:r>
      <w:r w:rsidR="00212E8D" w:rsidRPr="007C5F60">
        <w:t xml:space="preserve">leading to a missed </w:t>
      </w:r>
      <w:r w:rsidRPr="007C5F60">
        <w:t>d</w:t>
      </w:r>
      <w:r w:rsidR="00212E8D" w:rsidRPr="007C5F60">
        <w:t xml:space="preserve">iagnosis. </w:t>
      </w:r>
    </w:p>
    <w:p w14:paraId="63E3E341" w14:textId="1DD0376B" w:rsidR="0060775D" w:rsidRPr="00B44D8C" w:rsidRDefault="0060775D" w:rsidP="00B2510D">
      <w:pPr>
        <w:pStyle w:val="Heading4"/>
        <w:spacing w:before="0"/>
      </w:pPr>
      <w:bookmarkStart w:id="25" w:name="_Toc530644621"/>
      <w:r w:rsidRPr="00B44D8C">
        <w:t>Delay</w:t>
      </w:r>
      <w:r w:rsidR="00971A22">
        <w:t>s</w:t>
      </w:r>
      <w:r w:rsidRPr="00B44D8C">
        <w:t xml:space="preserve"> </w:t>
      </w:r>
      <w:r w:rsidR="00971A22">
        <w:t>in recognising</w:t>
      </w:r>
      <w:r w:rsidRPr="00B44D8C">
        <w:t xml:space="preserve"> or respon</w:t>
      </w:r>
      <w:r w:rsidR="00971A22">
        <w:t>ding</w:t>
      </w:r>
      <w:r w:rsidRPr="00B44D8C">
        <w:t xml:space="preserve"> to</w:t>
      </w:r>
      <w:r w:rsidR="00971A22">
        <w:t xml:space="preserve"> </w:t>
      </w:r>
      <w:r w:rsidRPr="00B44D8C">
        <w:t>patient deterioration</w:t>
      </w:r>
      <w:bookmarkEnd w:id="25"/>
      <w:r w:rsidRPr="00B44D8C">
        <w:t xml:space="preserve"> </w:t>
      </w:r>
    </w:p>
    <w:p w14:paraId="389228C1" w14:textId="55AE8DD4" w:rsidR="001D4D88" w:rsidRPr="00CD33F8" w:rsidRDefault="00971A22" w:rsidP="0069469A">
      <w:pPr>
        <w:pStyle w:val="Normalfollowingheading"/>
      </w:pPr>
      <w:r w:rsidRPr="00CD33F8">
        <w:t xml:space="preserve">There were </w:t>
      </w:r>
      <w:r w:rsidR="007C5F60">
        <w:t>24</w:t>
      </w:r>
      <w:r w:rsidR="00F4178F" w:rsidRPr="00CD33F8">
        <w:t xml:space="preserve"> </w:t>
      </w:r>
      <w:r w:rsidRPr="00CD33F8">
        <w:t xml:space="preserve">sentinel events </w:t>
      </w:r>
      <w:r w:rsidR="00CD33F8" w:rsidRPr="00CD33F8">
        <w:t>where</w:t>
      </w:r>
      <w:r w:rsidRPr="00CD33F8">
        <w:t xml:space="preserve"> the </w:t>
      </w:r>
      <w:r w:rsidR="00F4178F" w:rsidRPr="00CD33F8">
        <w:t>patient</w:t>
      </w:r>
      <w:r w:rsidRPr="00CD33F8">
        <w:t>’</w:t>
      </w:r>
      <w:r w:rsidR="00F4178F" w:rsidRPr="00CD33F8">
        <w:t xml:space="preserve">s </w:t>
      </w:r>
      <w:r w:rsidRPr="00CD33F8">
        <w:t xml:space="preserve">condition had become life threatening but </w:t>
      </w:r>
      <w:r w:rsidR="00CD33F8" w:rsidRPr="00CD33F8">
        <w:t>was not</w:t>
      </w:r>
      <w:r w:rsidRPr="00CD33F8">
        <w:t xml:space="preserve"> recognised early enough or treated quickly enough</w:t>
      </w:r>
      <w:r w:rsidR="007C5F60">
        <w:t>. Twenty-</w:t>
      </w:r>
      <w:r w:rsidR="00F4178F" w:rsidRPr="00CD33F8">
        <w:t xml:space="preserve">two patients </w:t>
      </w:r>
      <w:r w:rsidR="001E03DD" w:rsidRPr="00CD33F8">
        <w:t>died,</w:t>
      </w:r>
      <w:r w:rsidR="00F4178F" w:rsidRPr="00CD33F8">
        <w:t xml:space="preserve"> and two patients suffered permanent </w:t>
      </w:r>
      <w:r w:rsidRPr="00CD33F8">
        <w:t>harm</w:t>
      </w:r>
      <w:r w:rsidR="00F4178F" w:rsidRPr="00CD33F8">
        <w:t>.</w:t>
      </w:r>
    </w:p>
    <w:p w14:paraId="5A323C6B" w14:textId="1DD03A23" w:rsidR="0000647A" w:rsidRPr="00CD33F8" w:rsidRDefault="00A01B53" w:rsidP="0000647A">
      <w:pPr>
        <w:pStyle w:val="Normalfollowingheading"/>
      </w:pPr>
      <w:r w:rsidRPr="00CD33F8">
        <w:t xml:space="preserve">For </w:t>
      </w:r>
      <w:r w:rsidR="00D140DD">
        <w:t xml:space="preserve">16 </w:t>
      </w:r>
      <w:r w:rsidRPr="00CD33F8">
        <w:t>patients, the worsening of</w:t>
      </w:r>
      <w:r w:rsidR="0060775D" w:rsidRPr="00CD33F8">
        <w:t xml:space="preserve"> </w:t>
      </w:r>
      <w:r w:rsidRPr="00CD33F8">
        <w:t xml:space="preserve">their </w:t>
      </w:r>
      <w:r w:rsidR="00971A22" w:rsidRPr="00CD33F8">
        <w:t xml:space="preserve">condition </w:t>
      </w:r>
      <w:r w:rsidRPr="00CD33F8">
        <w:t>was not recognised quickly enough</w:t>
      </w:r>
      <w:r w:rsidR="00971A22" w:rsidRPr="00CD33F8">
        <w:t xml:space="preserve">. </w:t>
      </w:r>
      <w:r w:rsidRPr="00CD33F8">
        <w:t>For another</w:t>
      </w:r>
      <w:r w:rsidR="00971A22" w:rsidRPr="00CD33F8">
        <w:t xml:space="preserve"> </w:t>
      </w:r>
      <w:r w:rsidR="0060775D" w:rsidRPr="00CD33F8">
        <w:t xml:space="preserve">four </w:t>
      </w:r>
      <w:r w:rsidRPr="00CD33F8">
        <w:t>patients, even though the worsening of their condition was recognised, there were significant delays in communicating the problem to the right people.</w:t>
      </w:r>
      <w:r w:rsidR="0060775D" w:rsidRPr="00CD33F8">
        <w:t xml:space="preserve"> </w:t>
      </w:r>
      <w:r w:rsidRPr="00CD33F8">
        <w:t>And four patients did not get the treatment they needed quickly enough, even though their needs we</w:t>
      </w:r>
      <w:r w:rsidR="007C5F60">
        <w:t>re recognised and communicated.</w:t>
      </w:r>
    </w:p>
    <w:p w14:paraId="5444B993" w14:textId="62A186E9" w:rsidR="0060775D" w:rsidRPr="00B44D8C" w:rsidRDefault="0000647A" w:rsidP="0000647A">
      <w:pPr>
        <w:pStyle w:val="Normalfollowingheading"/>
      </w:pPr>
      <w:r>
        <w:t>Please note: One</w:t>
      </w:r>
      <w:r w:rsidRPr="00201107">
        <w:t xml:space="preserve"> </w:t>
      </w:r>
      <w:r w:rsidRPr="0000647A">
        <w:t xml:space="preserve">RCA report </w:t>
      </w:r>
      <w:r w:rsidRPr="00201107">
        <w:t>has</w:t>
      </w:r>
      <w:r>
        <w:t xml:space="preserve"> not</w:t>
      </w:r>
      <w:r w:rsidRPr="00201107">
        <w:t xml:space="preserve"> been submitted</w:t>
      </w:r>
      <w:r>
        <w:t xml:space="preserve"> for </w:t>
      </w:r>
      <w:r w:rsidR="00CD33F8">
        <w:t>one of these</w:t>
      </w:r>
      <w:r>
        <w:t xml:space="preserve"> event</w:t>
      </w:r>
      <w:r w:rsidR="00CD33F8">
        <w:t>s</w:t>
      </w:r>
      <w:r>
        <w:t xml:space="preserve"> at the time of </w:t>
      </w:r>
      <w:r w:rsidR="007C5F60">
        <w:t xml:space="preserve">this </w:t>
      </w:r>
      <w:r>
        <w:t>report.</w:t>
      </w:r>
    </w:p>
    <w:p w14:paraId="6B901B09" w14:textId="77777777" w:rsidR="0060775D" w:rsidRPr="00683529" w:rsidRDefault="0060775D" w:rsidP="00B2510D">
      <w:pPr>
        <w:pStyle w:val="Heading4"/>
      </w:pPr>
      <w:bookmarkStart w:id="26" w:name="_Toc530644622"/>
      <w:r w:rsidRPr="00683529">
        <w:t>Behaviour</w:t>
      </w:r>
      <w:bookmarkEnd w:id="26"/>
    </w:p>
    <w:p w14:paraId="126A11EC" w14:textId="43311431" w:rsidR="0060775D" w:rsidRPr="00CD33F8" w:rsidRDefault="00A01B53" w:rsidP="0069469A">
      <w:pPr>
        <w:pStyle w:val="Normalfollowingheading"/>
      </w:pPr>
      <w:r w:rsidRPr="00CD33F8">
        <w:t>Thirteen sentinel events involved</w:t>
      </w:r>
      <w:r w:rsidR="0060775D" w:rsidRPr="00CD33F8">
        <w:t xml:space="preserve"> patients who died </w:t>
      </w:r>
      <w:r w:rsidR="001D4D88" w:rsidRPr="00CD33F8">
        <w:t>from</w:t>
      </w:r>
      <w:r w:rsidR="00D140DD">
        <w:t xml:space="preserve"> self </w:t>
      </w:r>
      <w:r w:rsidR="0060775D" w:rsidRPr="00CD33F8">
        <w:t>harm</w:t>
      </w:r>
      <w:r w:rsidR="00735F08" w:rsidRPr="00CD33F8">
        <w:t xml:space="preserve"> while in the care of health services</w:t>
      </w:r>
      <w:r w:rsidR="0060775D" w:rsidRPr="00CD33F8">
        <w:t xml:space="preserve">. </w:t>
      </w:r>
      <w:r w:rsidR="00735F08" w:rsidRPr="00CD33F8">
        <w:t>Of these, t</w:t>
      </w:r>
      <w:r w:rsidR="0060775D" w:rsidRPr="00CD33F8">
        <w:t xml:space="preserve">hree patients </w:t>
      </w:r>
      <w:r w:rsidR="00735F08" w:rsidRPr="00CD33F8">
        <w:t>left a health service before they were well enough to go home and without the staff knowing about it at the time. T</w:t>
      </w:r>
      <w:r w:rsidR="0060775D" w:rsidRPr="00CD33F8">
        <w:t xml:space="preserve">hree </w:t>
      </w:r>
      <w:r w:rsidR="00735F08" w:rsidRPr="00CD33F8">
        <w:t xml:space="preserve">patients </w:t>
      </w:r>
      <w:r w:rsidR="0060775D" w:rsidRPr="00CD33F8">
        <w:t>were on</w:t>
      </w:r>
      <w:r w:rsidR="00735F08" w:rsidRPr="00CD33F8">
        <w:t xml:space="preserve"> approved</w:t>
      </w:r>
      <w:r w:rsidR="0060775D" w:rsidRPr="00CD33F8">
        <w:t xml:space="preserve"> leave from a health servi</w:t>
      </w:r>
      <w:r w:rsidR="001D4D88" w:rsidRPr="00CD33F8">
        <w:t>ce</w:t>
      </w:r>
      <w:r w:rsidR="007C4A2C" w:rsidRPr="00CD33F8">
        <w:t>. Another</w:t>
      </w:r>
      <w:r w:rsidR="001D4D88" w:rsidRPr="00CD33F8">
        <w:t xml:space="preserve"> three </w:t>
      </w:r>
      <w:r w:rsidR="007C4A2C" w:rsidRPr="00CD33F8">
        <w:t xml:space="preserve">died from </w:t>
      </w:r>
      <w:r w:rsidR="00D140DD">
        <w:t xml:space="preserve">self </w:t>
      </w:r>
      <w:r w:rsidR="001E03DD" w:rsidRPr="00CD33F8">
        <w:t>harm</w:t>
      </w:r>
      <w:r w:rsidR="001D4D88" w:rsidRPr="00CD33F8">
        <w:t xml:space="preserve"> within 24 to </w:t>
      </w:r>
      <w:r w:rsidR="0060775D" w:rsidRPr="00CD33F8">
        <w:t xml:space="preserve">48 hours of </w:t>
      </w:r>
      <w:r w:rsidR="007C4A2C" w:rsidRPr="00CD33F8">
        <w:t xml:space="preserve">being assessed by a </w:t>
      </w:r>
      <w:r w:rsidR="0060775D" w:rsidRPr="00CD33F8">
        <w:t xml:space="preserve">health service and four patients died </w:t>
      </w:r>
      <w:r w:rsidR="007C5F60">
        <w:t xml:space="preserve">from </w:t>
      </w:r>
      <w:r w:rsidR="00D140DD">
        <w:t xml:space="preserve">self </w:t>
      </w:r>
      <w:r w:rsidR="001E03DD" w:rsidRPr="00CD33F8">
        <w:t>harm</w:t>
      </w:r>
      <w:r w:rsidR="007C4A2C" w:rsidRPr="00CD33F8">
        <w:t xml:space="preserve"> while they were receiving treatment in hospital for medical problems</w:t>
      </w:r>
      <w:r w:rsidR="007C5F60">
        <w:t xml:space="preserve"> other than mental health.</w:t>
      </w:r>
    </w:p>
    <w:p w14:paraId="0A3E42B6" w14:textId="00A5BB80" w:rsidR="0060775D" w:rsidRPr="00683529" w:rsidRDefault="0060775D" w:rsidP="0069469A">
      <w:r>
        <w:t>Please n</w:t>
      </w:r>
      <w:r w:rsidRPr="00683529">
        <w:t xml:space="preserve">ote: Sentinel events may also be reported as </w:t>
      </w:r>
      <w:r w:rsidRPr="001D4D88">
        <w:rPr>
          <w:rFonts w:ascii="VIC Medium" w:hAnsi="VIC Medium"/>
        </w:rPr>
        <w:t>Suicide in an inpatient unit</w:t>
      </w:r>
      <w:r w:rsidRPr="00683529">
        <w:t xml:space="preserve"> </w:t>
      </w:r>
      <w:r w:rsidRPr="00596E9A">
        <w:t xml:space="preserve">(see page </w:t>
      </w:r>
      <w:r w:rsidR="00D140DD">
        <w:t>10</w:t>
      </w:r>
      <w:r w:rsidRPr="00375AA6">
        <w:t>).</w:t>
      </w:r>
    </w:p>
    <w:p w14:paraId="0494096B" w14:textId="77777777" w:rsidR="007C5F60" w:rsidRDefault="007C5F60">
      <w:pPr>
        <w:rPr>
          <w:rFonts w:ascii="VIC SemiBold" w:eastAsiaTheme="majorEastAsia" w:hAnsi="VIC SemiBold" w:cstheme="majorBidi"/>
          <w:bCs/>
          <w:iCs/>
          <w:color w:val="000000" w:themeColor="text1"/>
        </w:rPr>
      </w:pPr>
      <w:bookmarkStart w:id="27" w:name="_Toc530644623"/>
      <w:r>
        <w:br w:type="page"/>
      </w:r>
    </w:p>
    <w:p w14:paraId="1191E788" w14:textId="2E4412DA" w:rsidR="0060775D" w:rsidRPr="00B44D8C" w:rsidRDefault="0060775D" w:rsidP="00B2510D">
      <w:pPr>
        <w:pStyle w:val="Heading4"/>
      </w:pPr>
      <w:r w:rsidRPr="00B44D8C">
        <w:lastRenderedPageBreak/>
        <w:t>Clinical administration</w:t>
      </w:r>
      <w:bookmarkEnd w:id="27"/>
    </w:p>
    <w:p w14:paraId="256C14B7" w14:textId="4BB55FAC" w:rsidR="001D4D88" w:rsidRPr="00141A9A" w:rsidRDefault="001627E6" w:rsidP="0060775D">
      <w:pPr>
        <w:pStyle w:val="Normalfollowingheading"/>
      </w:pPr>
      <w:r>
        <w:t xml:space="preserve">Two patients were harmed </w:t>
      </w:r>
      <w:r w:rsidR="00F4178F" w:rsidRPr="00141A9A">
        <w:t>from ev</w:t>
      </w:r>
      <w:r w:rsidR="0060775D" w:rsidRPr="00141A9A">
        <w:t xml:space="preserve">ents involving </w:t>
      </w:r>
      <w:r w:rsidR="007C4A2C" w:rsidRPr="00141A9A">
        <w:t xml:space="preserve">significant administrative </w:t>
      </w:r>
      <w:r w:rsidR="0060775D" w:rsidRPr="00141A9A">
        <w:t>er</w:t>
      </w:r>
      <w:r w:rsidR="00F4178F" w:rsidRPr="00141A9A">
        <w:t>rors.</w:t>
      </w:r>
    </w:p>
    <w:p w14:paraId="3E636ED2" w14:textId="5AD2CEF4" w:rsidR="001D4D88" w:rsidRPr="001627E6" w:rsidRDefault="0060775D" w:rsidP="0060775D">
      <w:pPr>
        <w:pStyle w:val="Normalfollowingheading"/>
      </w:pPr>
      <w:r w:rsidRPr="001627E6">
        <w:t>F</w:t>
      </w:r>
      <w:r w:rsidR="001D4D88" w:rsidRPr="001627E6">
        <w:t>ollow-u</w:t>
      </w:r>
      <w:r w:rsidRPr="001627E6">
        <w:t xml:space="preserve">p </w:t>
      </w:r>
      <w:r w:rsidR="00E06925" w:rsidRPr="001627E6">
        <w:t>tests</w:t>
      </w:r>
      <w:r w:rsidRPr="001627E6">
        <w:t xml:space="preserve"> for </w:t>
      </w:r>
      <w:r w:rsidR="00E06925" w:rsidRPr="001627E6">
        <w:t xml:space="preserve">one of these </w:t>
      </w:r>
      <w:r w:rsidRPr="001627E6">
        <w:t>patient</w:t>
      </w:r>
      <w:r w:rsidR="00E06925" w:rsidRPr="001627E6">
        <w:t>s</w:t>
      </w:r>
      <w:r w:rsidRPr="001627E6">
        <w:t xml:space="preserve"> did not occur as planned</w:t>
      </w:r>
      <w:r w:rsidR="00E06925" w:rsidRPr="001627E6">
        <w:t>,</w:t>
      </w:r>
      <w:r w:rsidRPr="001627E6">
        <w:t xml:space="preserve"> leading to a </w:t>
      </w:r>
      <w:r w:rsidR="00E06925" w:rsidRPr="001627E6">
        <w:t xml:space="preserve">substantial </w:t>
      </w:r>
      <w:r w:rsidRPr="001627E6">
        <w:t xml:space="preserve">delay in </w:t>
      </w:r>
      <w:r w:rsidR="00E06925" w:rsidRPr="001627E6">
        <w:t xml:space="preserve">a crucial </w:t>
      </w:r>
      <w:r w:rsidR="007C5F60">
        <w:t>diagnosis.</w:t>
      </w:r>
    </w:p>
    <w:p w14:paraId="079F4CED" w14:textId="7591432D" w:rsidR="0060775D" w:rsidRPr="00CD33F8" w:rsidRDefault="0060775D" w:rsidP="0060775D">
      <w:pPr>
        <w:pStyle w:val="Normalfollowingheading"/>
      </w:pPr>
      <w:r w:rsidRPr="001627E6">
        <w:t>For the</w:t>
      </w:r>
      <w:r w:rsidR="001D4D88" w:rsidRPr="001627E6">
        <w:t xml:space="preserve"> second patient, </w:t>
      </w:r>
      <w:r w:rsidR="00E06925" w:rsidRPr="001627E6">
        <w:t>abnormal test results weren’t communicated to the right specialist medical staff, which meant that</w:t>
      </w:r>
      <w:r w:rsidRPr="001627E6">
        <w:t xml:space="preserve"> the patient </w:t>
      </w:r>
      <w:r w:rsidR="00E06925" w:rsidRPr="001627E6">
        <w:t>didn’t get the</w:t>
      </w:r>
      <w:r w:rsidRPr="001627E6">
        <w:t xml:space="preserve"> </w:t>
      </w:r>
      <w:r w:rsidR="00E06925" w:rsidRPr="001627E6">
        <w:t xml:space="preserve">urgent </w:t>
      </w:r>
      <w:r w:rsidRPr="001627E6">
        <w:t xml:space="preserve">care they </w:t>
      </w:r>
      <w:r w:rsidR="00E06925" w:rsidRPr="001627E6">
        <w:t>needed soon enough</w:t>
      </w:r>
      <w:r w:rsidRPr="001627E6">
        <w:t>.</w:t>
      </w:r>
    </w:p>
    <w:p w14:paraId="715E04C9" w14:textId="77777777" w:rsidR="0060775D" w:rsidRPr="00683529" w:rsidRDefault="0060775D" w:rsidP="001D4D88">
      <w:pPr>
        <w:pStyle w:val="Heading4"/>
      </w:pPr>
      <w:bookmarkStart w:id="28" w:name="_Toc530644624"/>
      <w:r w:rsidRPr="00683529">
        <w:t>Medication</w:t>
      </w:r>
      <w:bookmarkEnd w:id="28"/>
      <w:r w:rsidRPr="00683529">
        <w:t xml:space="preserve"> </w:t>
      </w:r>
    </w:p>
    <w:p w14:paraId="3EEA7939" w14:textId="518D7CF9" w:rsidR="001D4D88" w:rsidRDefault="00BC7754" w:rsidP="0069469A">
      <w:pPr>
        <w:pStyle w:val="Normalfollowingheading"/>
      </w:pPr>
      <w:r>
        <w:t>Six medication errors</w:t>
      </w:r>
      <w:r w:rsidR="0060775D" w:rsidRPr="00683529">
        <w:t xml:space="preserve"> result</w:t>
      </w:r>
      <w:r>
        <w:t xml:space="preserve">ed in permanent or serious harm, these </w:t>
      </w:r>
      <w:r w:rsidR="0060775D" w:rsidRPr="00683529">
        <w:t>included</w:t>
      </w:r>
      <w:r w:rsidR="001D4D88">
        <w:t>:</w:t>
      </w:r>
    </w:p>
    <w:p w14:paraId="44395041" w14:textId="06A8423A" w:rsidR="001D4D88" w:rsidRDefault="0060775D" w:rsidP="001D4D88">
      <w:pPr>
        <w:pStyle w:val="Bullet1"/>
      </w:pPr>
      <w:r w:rsidRPr="00683529">
        <w:t>three cases</w:t>
      </w:r>
      <w:r w:rsidR="00D140DD">
        <w:t xml:space="preserve"> that</w:t>
      </w:r>
      <w:r w:rsidRPr="00683529">
        <w:t xml:space="preserve"> </w:t>
      </w:r>
      <w:r w:rsidR="007B488C">
        <w:t>involved the</w:t>
      </w:r>
      <w:r w:rsidR="001D4D88">
        <w:t xml:space="preserve"> </w:t>
      </w:r>
      <w:r w:rsidRPr="00683529">
        <w:t>administration of an anaesthetic</w:t>
      </w:r>
      <w:r>
        <w:t xml:space="preserve"> medication</w:t>
      </w:r>
      <w:r w:rsidR="001D4D88">
        <w:t xml:space="preserve"> in the operating theatre</w:t>
      </w:r>
    </w:p>
    <w:p w14:paraId="65C8B191" w14:textId="40D54C06" w:rsidR="001D4D88" w:rsidRPr="00141A9A" w:rsidRDefault="0060775D" w:rsidP="001D4D88">
      <w:pPr>
        <w:pStyle w:val="Bullet1"/>
      </w:pPr>
      <w:r w:rsidRPr="00141A9A">
        <w:t xml:space="preserve">a delay in the administration of </w:t>
      </w:r>
      <w:r w:rsidR="00E06925" w:rsidRPr="00141A9A">
        <w:t>asthma medication</w:t>
      </w:r>
    </w:p>
    <w:p w14:paraId="5F50ED5A" w14:textId="0C0CB247" w:rsidR="001D4D88" w:rsidRPr="00141A9A" w:rsidRDefault="0060775D" w:rsidP="001D4D88">
      <w:pPr>
        <w:pStyle w:val="Bullet1"/>
      </w:pPr>
      <w:r w:rsidRPr="00141A9A">
        <w:t xml:space="preserve">a prescription error involving </w:t>
      </w:r>
      <w:r w:rsidR="00E06925" w:rsidRPr="00141A9A">
        <w:t>blood pressure medication</w:t>
      </w:r>
      <w:r w:rsidRPr="00141A9A">
        <w:t xml:space="preserve"> </w:t>
      </w:r>
    </w:p>
    <w:p w14:paraId="3EAE8231" w14:textId="52D1FC57" w:rsidR="0060775D" w:rsidRPr="00141A9A" w:rsidRDefault="0060775D" w:rsidP="001D4D88">
      <w:pPr>
        <w:pStyle w:val="Bullet1"/>
      </w:pPr>
      <w:r w:rsidRPr="00141A9A">
        <w:t xml:space="preserve">mis-labelling of </w:t>
      </w:r>
      <w:r w:rsidR="004309ED" w:rsidRPr="00141A9A">
        <w:t xml:space="preserve">medication </w:t>
      </w:r>
      <w:r w:rsidRPr="00141A9A">
        <w:t xml:space="preserve">used </w:t>
      </w:r>
      <w:r w:rsidR="004309ED" w:rsidRPr="00141A9A">
        <w:t>during childbirth</w:t>
      </w:r>
      <w:r w:rsidRPr="00141A9A">
        <w:t>.</w:t>
      </w:r>
    </w:p>
    <w:p w14:paraId="47C56C3D" w14:textId="6A7FEE0A" w:rsidR="0060775D" w:rsidRPr="00683529" w:rsidRDefault="0060775D" w:rsidP="0069469A">
      <w:r>
        <w:t>Please n</w:t>
      </w:r>
      <w:r w:rsidRPr="00683529">
        <w:t>ote: T</w:t>
      </w:r>
      <w:r w:rsidR="001D4D88">
        <w:t xml:space="preserve">hese sentinel events differ to </w:t>
      </w:r>
      <w:r w:rsidR="001D4D88" w:rsidRPr="001D4D88">
        <w:rPr>
          <w:rFonts w:ascii="VIC Medium" w:hAnsi="VIC Medium"/>
        </w:rPr>
        <w:t>M</w:t>
      </w:r>
      <w:r w:rsidRPr="001D4D88">
        <w:rPr>
          <w:rFonts w:ascii="VIC Medium" w:hAnsi="VIC Medium"/>
        </w:rPr>
        <w:t>edication error leading to the death of a patient</w:t>
      </w:r>
      <w:r w:rsidRPr="00683529">
        <w:t xml:space="preserve"> </w:t>
      </w:r>
      <w:r w:rsidRPr="00F703D8">
        <w:t>(</w:t>
      </w:r>
      <w:r w:rsidRPr="00596E9A">
        <w:t xml:space="preserve">see page </w:t>
      </w:r>
      <w:r w:rsidR="00D140DD">
        <w:t>10</w:t>
      </w:r>
      <w:r w:rsidR="0069469A" w:rsidRPr="00375AA6">
        <w:t>).</w:t>
      </w:r>
    </w:p>
    <w:p w14:paraId="7BD64336" w14:textId="517C54DC" w:rsidR="0060775D" w:rsidRPr="00B44D8C" w:rsidRDefault="007C5F60" w:rsidP="001D4D88">
      <w:pPr>
        <w:pStyle w:val="Heading4"/>
      </w:pPr>
      <w:bookmarkStart w:id="29" w:name="_Toc530644625"/>
      <w:r>
        <w:br w:type="column"/>
      </w:r>
      <w:r w:rsidR="0060775D" w:rsidRPr="00B44D8C">
        <w:t>Medical device</w:t>
      </w:r>
      <w:bookmarkEnd w:id="29"/>
      <w:r w:rsidR="009133AD">
        <w:t>/equipment</w:t>
      </w:r>
    </w:p>
    <w:p w14:paraId="65DD73C3" w14:textId="188BBB57" w:rsidR="0060775D" w:rsidRPr="00141A9A" w:rsidRDefault="001476BB" w:rsidP="0069469A">
      <w:pPr>
        <w:pStyle w:val="Normalfollowingheading"/>
      </w:pPr>
      <w:r w:rsidRPr="00141A9A">
        <w:t>During a procedure to re-open the blood supply to the heart, a</w:t>
      </w:r>
      <w:r w:rsidR="004309ED" w:rsidRPr="00141A9A">
        <w:t xml:space="preserve"> miniature wire frame (cardiac stent) </w:t>
      </w:r>
      <w:r w:rsidRPr="00141A9A">
        <w:t xml:space="preserve">that is routinely used </w:t>
      </w:r>
      <w:r w:rsidR="004309ED" w:rsidRPr="00141A9A">
        <w:t xml:space="preserve">opened unexpectedly </w:t>
      </w:r>
      <w:r w:rsidRPr="00141A9A">
        <w:t xml:space="preserve">and at the wrong time during the procedure. It couldn’t be re-positioned or retrieved and is thought to have </w:t>
      </w:r>
      <w:r w:rsidR="000B1398" w:rsidRPr="00141A9A">
        <w:t xml:space="preserve">contributed to the </w:t>
      </w:r>
      <w:r w:rsidRPr="00141A9A">
        <w:t xml:space="preserve">patient’s </w:t>
      </w:r>
      <w:r w:rsidR="000B1398" w:rsidRPr="00141A9A">
        <w:t xml:space="preserve">death </w:t>
      </w:r>
      <w:r w:rsidRPr="00141A9A">
        <w:t>a short time later</w:t>
      </w:r>
      <w:r w:rsidR="002C1477" w:rsidRPr="00141A9A">
        <w:t>.</w:t>
      </w:r>
    </w:p>
    <w:p w14:paraId="7BAEF77F" w14:textId="77777777" w:rsidR="0060775D" w:rsidRPr="00683529" w:rsidRDefault="0060775D" w:rsidP="001D4D88">
      <w:pPr>
        <w:pStyle w:val="Heading4"/>
      </w:pPr>
      <w:bookmarkStart w:id="30" w:name="_Toc530644626"/>
      <w:r w:rsidRPr="00683529">
        <w:t>Nutrition</w:t>
      </w:r>
      <w:bookmarkEnd w:id="30"/>
    </w:p>
    <w:p w14:paraId="0259C66A" w14:textId="2024AB31" w:rsidR="0060775D" w:rsidRPr="00141A9A" w:rsidRDefault="0060775D" w:rsidP="0069469A">
      <w:pPr>
        <w:pStyle w:val="Normalfollowingheading"/>
      </w:pPr>
      <w:r w:rsidRPr="00141A9A">
        <w:t xml:space="preserve">One </w:t>
      </w:r>
      <w:r w:rsidR="001D4D88" w:rsidRPr="00141A9A">
        <w:t xml:space="preserve">residential aged care </w:t>
      </w:r>
      <w:r w:rsidRPr="00141A9A">
        <w:t xml:space="preserve">patient who had known swallowing difficulties </w:t>
      </w:r>
      <w:r w:rsidR="001476BB" w:rsidRPr="00141A9A">
        <w:t xml:space="preserve">and needed specially prepared food </w:t>
      </w:r>
      <w:r w:rsidR="001D4D88" w:rsidRPr="00141A9A">
        <w:t xml:space="preserve">was </w:t>
      </w:r>
      <w:r w:rsidR="001476BB" w:rsidRPr="00141A9A">
        <w:t>given the wrong</w:t>
      </w:r>
      <w:r w:rsidR="001D4D88" w:rsidRPr="00141A9A">
        <w:t xml:space="preserve"> meal and died as a result of choking.</w:t>
      </w:r>
    </w:p>
    <w:p w14:paraId="491D8CFA" w14:textId="5E1811CA" w:rsidR="0060775D" w:rsidRDefault="009133AD" w:rsidP="001D4D88">
      <w:pPr>
        <w:pStyle w:val="Heading4"/>
      </w:pPr>
      <w:bookmarkStart w:id="31" w:name="_Toc530644627"/>
      <w:r>
        <w:t>Healthcare associated</w:t>
      </w:r>
      <w:r w:rsidR="0060775D">
        <w:t xml:space="preserve"> infection</w:t>
      </w:r>
      <w:bookmarkEnd w:id="31"/>
    </w:p>
    <w:p w14:paraId="0DB61CB5" w14:textId="2A934F90" w:rsidR="0060775D" w:rsidRPr="00141A9A" w:rsidRDefault="002C1477" w:rsidP="0069469A">
      <w:pPr>
        <w:pStyle w:val="Normalfollowingheading"/>
      </w:pPr>
      <w:r w:rsidRPr="00141A9A">
        <w:t>O</w:t>
      </w:r>
      <w:r w:rsidR="0060775D" w:rsidRPr="00141A9A">
        <w:t xml:space="preserve">ne </w:t>
      </w:r>
      <w:r w:rsidRPr="00141A9A">
        <w:t xml:space="preserve">patient </w:t>
      </w:r>
      <w:r w:rsidR="001476BB" w:rsidRPr="00141A9A">
        <w:t xml:space="preserve">died from an overwhelming bacterial infection that was contracted from a </w:t>
      </w:r>
      <w:r w:rsidR="0060775D" w:rsidRPr="00141A9A">
        <w:t xml:space="preserve">central venous </w:t>
      </w:r>
      <w:r w:rsidR="00141A9A" w:rsidRPr="00141A9A">
        <w:t>catheter; a</w:t>
      </w:r>
      <w:r w:rsidR="0060775D" w:rsidRPr="00141A9A">
        <w:t xml:space="preserve"> device used to administer medications and monitor unwell patients.</w:t>
      </w:r>
    </w:p>
    <w:p w14:paraId="1E77F39E" w14:textId="77777777" w:rsidR="00B2510D" w:rsidRDefault="00B2510D">
      <w:pPr>
        <w:sectPr w:rsidR="00B2510D" w:rsidSect="00B2510D">
          <w:type w:val="continuous"/>
          <w:pgSz w:w="11906" w:h="16838" w:code="9"/>
          <w:pgMar w:top="3402" w:right="851" w:bottom="1361" w:left="851" w:header="539" w:footer="624" w:gutter="0"/>
          <w:cols w:num="2" w:space="284"/>
          <w:docGrid w:linePitch="360"/>
        </w:sectPr>
      </w:pPr>
    </w:p>
    <w:p w14:paraId="7AC9C026" w14:textId="59E8119B" w:rsidR="00263A66" w:rsidRDefault="009B5828" w:rsidP="00263A66">
      <w:pPr>
        <w:pStyle w:val="Heading2"/>
      </w:pPr>
      <w:bookmarkStart w:id="32" w:name="_Toc532460419"/>
      <w:r>
        <w:t>T</w:t>
      </w:r>
      <w:r w:rsidR="00FB5E58">
        <w:t>he y</w:t>
      </w:r>
      <w:r w:rsidR="00263A66">
        <w:t>ear ahead</w:t>
      </w:r>
      <w:bookmarkEnd w:id="32"/>
    </w:p>
    <w:p w14:paraId="28DD6426" w14:textId="69FA534A" w:rsidR="00BD43AC" w:rsidRPr="00BD43AC" w:rsidRDefault="007C5F60" w:rsidP="00BD43AC">
      <w:pPr>
        <w:pStyle w:val="Heading3"/>
      </w:pPr>
      <w:bookmarkStart w:id="33" w:name="_Toc532460420"/>
      <w:r>
        <w:t>New s</w:t>
      </w:r>
      <w:r w:rsidR="00BD43AC" w:rsidRPr="0047647D">
        <w:t>entinel event categories</w:t>
      </w:r>
      <w:bookmarkEnd w:id="33"/>
    </w:p>
    <w:p w14:paraId="439A2D79" w14:textId="2B02D27E" w:rsidR="0069469A" w:rsidRPr="007C5F60" w:rsidRDefault="007C5F60" w:rsidP="007C5F60">
      <w:pPr>
        <w:pStyle w:val="Normalfollowingheading"/>
      </w:pPr>
      <w:r>
        <w:t>During 2018–</w:t>
      </w:r>
      <w:r w:rsidR="00BD43AC" w:rsidRPr="00BD43AC">
        <w:t>19</w:t>
      </w:r>
      <w:r>
        <w:t>,</w:t>
      </w:r>
      <w:r w:rsidR="00BD43AC" w:rsidRPr="00BD43AC">
        <w:t xml:space="preserve"> the Australian Commission on Safety and Quality</w:t>
      </w:r>
      <w:r w:rsidR="00C76EE0">
        <w:t xml:space="preserve"> in H</w:t>
      </w:r>
      <w:r w:rsidR="002C1477">
        <w:t>ealthcare will release</w:t>
      </w:r>
      <w:r w:rsidR="00BD43AC" w:rsidRPr="00BD43AC">
        <w:t xml:space="preserve"> the revised national sentinel event categories. It is expected these categories will come into effect from 1 July 2019.</w:t>
      </w:r>
      <w:r w:rsidR="0069469A">
        <w:br w:type="page"/>
      </w:r>
    </w:p>
    <w:p w14:paraId="0CCF4DE8" w14:textId="77777777" w:rsidR="0069469A" w:rsidRPr="00615AAC" w:rsidRDefault="0069469A" w:rsidP="00BA0C37">
      <w:r>
        <w:rPr>
          <w:noProof/>
        </w:rPr>
        <w:lastRenderedPageBreak/>
        <mc:AlternateContent>
          <mc:Choice Requires="wps">
            <w:drawing>
              <wp:inline distT="0" distB="0" distL="0" distR="0" wp14:anchorId="0C5D3D3A" wp14:editId="1DC582CC">
                <wp:extent cx="6480000" cy="7082287"/>
                <wp:effectExtent l="0" t="0" r="16510" b="23495"/>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000" cy="7082287"/>
                        </a:xfrm>
                        <a:prstGeom prst="rect">
                          <a:avLst/>
                        </a:prstGeom>
                        <a:solidFill>
                          <a:schemeClr val="accent6">
                            <a:lumMod val="50000"/>
                          </a:schemeClr>
                        </a:solidFill>
                        <a:ln w="6350">
                          <a:solidFill>
                            <a:schemeClr val="bg2"/>
                          </a:solidFill>
                          <a:miter lim="800000"/>
                          <a:headEnd/>
                          <a:tailEnd/>
                        </a:ln>
                      </wps:spPr>
                      <wps:txbx>
                        <w:txbxContent>
                          <w:p w14:paraId="457BF25C" w14:textId="1B1387BF" w:rsidR="00CD7A43" w:rsidRPr="00A37FCA" w:rsidRDefault="00CD7A43" w:rsidP="0069469A">
                            <w:pPr>
                              <w:pStyle w:val="PulloutHeading"/>
                              <w:rPr>
                                <w:color w:val="FFFFFF" w:themeColor="background1"/>
                              </w:rPr>
                            </w:pPr>
                            <w:r w:rsidRPr="00A37FCA">
                              <w:rPr>
                                <w:color w:val="FFFFFF" w:themeColor="background1"/>
                              </w:rPr>
                              <w:t xml:space="preserve">Focusing on sentinel events involving mothers and babies </w:t>
                            </w:r>
                          </w:p>
                          <w:p w14:paraId="3F0D865E" w14:textId="240036D1" w:rsidR="00CD7A43" w:rsidRPr="00A37FCA" w:rsidRDefault="00CD7A43" w:rsidP="0069469A">
                            <w:pPr>
                              <w:pStyle w:val="PulloutText"/>
                              <w:rPr>
                                <w:color w:val="FFFFFF" w:themeColor="background1"/>
                              </w:rPr>
                            </w:pPr>
                            <w:r w:rsidRPr="00A37FCA">
                              <w:rPr>
                                <w:color w:val="FFFFFF" w:themeColor="background1"/>
                              </w:rPr>
                              <w:t>The 12 sentinel events that resulted in the deaths of unborn or newborn babies related to:</w:t>
                            </w:r>
                          </w:p>
                          <w:p w14:paraId="04E8A0EA" w14:textId="6D3C40AC" w:rsidR="00CD7A43" w:rsidRPr="00A37FCA" w:rsidRDefault="00CD7A43" w:rsidP="00AF5721">
                            <w:pPr>
                              <w:pStyle w:val="PulloutText"/>
                              <w:numPr>
                                <w:ilvl w:val="0"/>
                                <w:numId w:val="6"/>
                              </w:numPr>
                              <w:rPr>
                                <w:color w:val="FFFFFF" w:themeColor="background1"/>
                              </w:rPr>
                            </w:pPr>
                            <w:r w:rsidRPr="00A37FCA">
                              <w:rPr>
                                <w:color w:val="FFFFFF" w:themeColor="background1"/>
                              </w:rPr>
                              <w:t>unsuccessful medical assistance during childbirth using forceps or other similar methods. This led to significant delays in starting the procedure that was needed, an emergency operation to deliver the baby (caesarean)</w:t>
                            </w:r>
                          </w:p>
                          <w:p w14:paraId="6B71DF89" w14:textId="3B89EE56" w:rsidR="00CD7A43" w:rsidRPr="00A37FCA" w:rsidRDefault="00CD7A43" w:rsidP="00AF5721">
                            <w:pPr>
                              <w:pStyle w:val="PulloutText"/>
                              <w:numPr>
                                <w:ilvl w:val="0"/>
                                <w:numId w:val="6"/>
                              </w:numPr>
                              <w:rPr>
                                <w:color w:val="FFFFFF" w:themeColor="background1"/>
                              </w:rPr>
                            </w:pPr>
                            <w:r w:rsidRPr="00A37FCA">
                              <w:rPr>
                                <w:color w:val="FFFFFF" w:themeColor="background1"/>
                              </w:rPr>
                              <w:t>misinterpretation of a cardiotocograph (CTG) including failure to recognise that an unborn baby was in distress during labour and failure to let the right people know when this occurs</w:t>
                            </w:r>
                          </w:p>
                          <w:p w14:paraId="0A998342" w14:textId="0A199D04" w:rsidR="00CD7A43" w:rsidRPr="00A37FCA" w:rsidRDefault="00CD7A43" w:rsidP="00AF5721">
                            <w:pPr>
                              <w:pStyle w:val="PulloutText"/>
                              <w:numPr>
                                <w:ilvl w:val="0"/>
                                <w:numId w:val="6"/>
                              </w:numPr>
                              <w:rPr>
                                <w:color w:val="FFFFFF" w:themeColor="background1"/>
                              </w:rPr>
                            </w:pPr>
                            <w:r w:rsidRPr="00A37FCA">
                              <w:rPr>
                                <w:color w:val="FFFFFF" w:themeColor="background1"/>
                              </w:rPr>
                              <w:t>mothers reporting their unborn babies weren’t moving as much as they should be. After being examined and reassured that everything was okay, they were discharged home from hospital</w:t>
                            </w:r>
                          </w:p>
                          <w:p w14:paraId="3E4D3173" w14:textId="3476BCF6" w:rsidR="00CD7A43" w:rsidRPr="00A37FCA" w:rsidRDefault="00CD7A43" w:rsidP="00AF5721">
                            <w:pPr>
                              <w:pStyle w:val="PulloutText"/>
                              <w:numPr>
                                <w:ilvl w:val="0"/>
                                <w:numId w:val="6"/>
                              </w:numPr>
                              <w:rPr>
                                <w:color w:val="FFFFFF" w:themeColor="background1"/>
                              </w:rPr>
                            </w:pPr>
                            <w:r w:rsidRPr="00A37FCA">
                              <w:rPr>
                                <w:color w:val="FFFFFF" w:themeColor="background1"/>
                              </w:rPr>
                              <w:t>a medication error</w:t>
                            </w:r>
                          </w:p>
                          <w:p w14:paraId="326EE4A4" w14:textId="1C294827" w:rsidR="00CD7A43" w:rsidRPr="00A37FCA" w:rsidRDefault="00CD7A43" w:rsidP="00AF5721">
                            <w:pPr>
                              <w:pStyle w:val="PulloutText"/>
                              <w:numPr>
                                <w:ilvl w:val="0"/>
                                <w:numId w:val="6"/>
                              </w:numPr>
                              <w:rPr>
                                <w:color w:val="FFFFFF" w:themeColor="background1"/>
                              </w:rPr>
                            </w:pPr>
                            <w:r w:rsidRPr="00A37FCA">
                              <w:rPr>
                                <w:color w:val="FFFFFF" w:themeColor="background1"/>
                              </w:rPr>
                              <w:t>delayed recognition in an unexpectedly unwell baby</w:t>
                            </w:r>
                          </w:p>
                          <w:p w14:paraId="17824BFB" w14:textId="7FDC1532" w:rsidR="00CD7A43" w:rsidRPr="00A37FCA" w:rsidRDefault="00CD7A43" w:rsidP="00AF5721">
                            <w:pPr>
                              <w:pStyle w:val="PulloutText"/>
                              <w:numPr>
                                <w:ilvl w:val="0"/>
                                <w:numId w:val="6"/>
                              </w:numPr>
                              <w:rPr>
                                <w:color w:val="FFFFFF" w:themeColor="background1"/>
                              </w:rPr>
                            </w:pPr>
                            <w:r w:rsidRPr="00A37FCA">
                              <w:rPr>
                                <w:color w:val="FFFFFF" w:themeColor="background1"/>
                              </w:rPr>
                              <w:t>delay in escalating a pregnant woman’s abnormal blood test to the right specialist in a timely manner.</w:t>
                            </w:r>
                          </w:p>
                          <w:p w14:paraId="7CA98E28" w14:textId="77777777" w:rsidR="00CD7A43" w:rsidRPr="00A37FCA" w:rsidRDefault="00CD7A43" w:rsidP="0069469A">
                            <w:pPr>
                              <w:pStyle w:val="PulloutText"/>
                              <w:rPr>
                                <w:b/>
                                <w:color w:val="FFFFFF" w:themeColor="background1"/>
                                <w:sz w:val="24"/>
                              </w:rPr>
                            </w:pPr>
                            <w:r w:rsidRPr="00A37FCA">
                              <w:rPr>
                                <w:b/>
                                <w:color w:val="FFFFFF" w:themeColor="background1"/>
                                <w:sz w:val="24"/>
                              </w:rPr>
                              <w:t>Improving maternity services</w:t>
                            </w:r>
                          </w:p>
                          <w:p w14:paraId="0FBF9AA8" w14:textId="0466179B" w:rsidR="00CD7A43" w:rsidRPr="00A37FCA" w:rsidRDefault="00CD7A43" w:rsidP="001D4D88">
                            <w:pPr>
                              <w:pStyle w:val="PulloutText"/>
                              <w:rPr>
                                <w:rFonts w:asciiTheme="minorHAnsi" w:hAnsiTheme="minorHAnsi"/>
                                <w:color w:val="FFFFFF" w:themeColor="background1"/>
                              </w:rPr>
                            </w:pPr>
                            <w:r w:rsidRPr="00A37FCA">
                              <w:rPr>
                                <w:color w:val="FFFFFF" w:themeColor="background1"/>
                              </w:rPr>
                              <w:t>SCV is leading several projects to improve the quality and safety of Victorian maternity services. In particular, we are involved in national partnerships to reduce the number of stillborn babies by 20 per cent, and the number of babies who are born too early by 10 per cent. To achieve this, we will:</w:t>
                            </w:r>
                          </w:p>
                          <w:p w14:paraId="56D506EF" w14:textId="25943688" w:rsidR="00CD7A43" w:rsidRPr="00A37FCA" w:rsidRDefault="00CD7A43" w:rsidP="00AF5721">
                            <w:pPr>
                              <w:pStyle w:val="PulloutText"/>
                              <w:numPr>
                                <w:ilvl w:val="0"/>
                                <w:numId w:val="6"/>
                              </w:numPr>
                              <w:rPr>
                                <w:color w:val="FFFFFF" w:themeColor="background1"/>
                              </w:rPr>
                            </w:pPr>
                            <w:r w:rsidRPr="00A37FCA">
                              <w:rPr>
                                <w:color w:val="FFFFFF" w:themeColor="background1"/>
                              </w:rPr>
                              <w:t>support the #MovementsMatter public and clinical education campaign to improve awareness, assessment and management of decreased movements of unborn babies, a risk factor for stillbirth</w:t>
                            </w:r>
                          </w:p>
                          <w:p w14:paraId="5D1CB668" w14:textId="2AA51E57" w:rsidR="00CD7A43" w:rsidRPr="00A37FCA" w:rsidRDefault="00CD7A43" w:rsidP="00AF5721">
                            <w:pPr>
                              <w:pStyle w:val="PulloutText"/>
                              <w:numPr>
                                <w:ilvl w:val="0"/>
                                <w:numId w:val="6"/>
                              </w:numPr>
                              <w:rPr>
                                <w:color w:val="FFFFFF" w:themeColor="background1"/>
                              </w:rPr>
                            </w:pPr>
                            <w:r w:rsidRPr="00A37FCA">
                              <w:rPr>
                                <w:color w:val="FFFFFF" w:themeColor="background1"/>
                              </w:rPr>
                              <w:t>coordinate clinical workshops to improve identification of fetal growth restriction (when an unborn baby is smaller than it should be because it is not growing at a normal rate)</w:t>
                            </w:r>
                          </w:p>
                          <w:p w14:paraId="192B9713" w14:textId="766E17F0" w:rsidR="00CD7A43" w:rsidRPr="00A37FCA" w:rsidRDefault="00CD7A43" w:rsidP="00AF5721">
                            <w:pPr>
                              <w:pStyle w:val="PulloutText"/>
                              <w:numPr>
                                <w:ilvl w:val="0"/>
                                <w:numId w:val="6"/>
                              </w:numPr>
                              <w:rPr>
                                <w:color w:val="FFFFFF" w:themeColor="background1"/>
                              </w:rPr>
                            </w:pPr>
                            <w:r w:rsidRPr="00A37FCA">
                              <w:rPr>
                                <w:color w:val="FFFFFF" w:themeColor="background1"/>
                              </w:rPr>
                              <w:t>publish 20 new maternity and newborn clinical practice guidelines</w:t>
                            </w:r>
                          </w:p>
                          <w:p w14:paraId="384F76BD" w14:textId="6D66FA31" w:rsidR="00CD7A43" w:rsidRPr="00A37FCA" w:rsidRDefault="00CD7A43" w:rsidP="00AF5721">
                            <w:pPr>
                              <w:pStyle w:val="PulloutText"/>
                              <w:numPr>
                                <w:ilvl w:val="0"/>
                                <w:numId w:val="6"/>
                              </w:numPr>
                              <w:rPr>
                                <w:color w:val="FFFFFF" w:themeColor="background1"/>
                              </w:rPr>
                            </w:pPr>
                            <w:r w:rsidRPr="00A37FCA">
                              <w:rPr>
                                <w:color w:val="FFFFFF" w:themeColor="background1"/>
                              </w:rPr>
                              <w:t xml:space="preserve">introduce a maternity services user guide to provide maternity services with service specific tools and resources </w:t>
                            </w:r>
                          </w:p>
                          <w:p w14:paraId="5B8B0B66" w14:textId="43F4651D" w:rsidR="00CD7A43" w:rsidRPr="00A37FCA" w:rsidRDefault="00CD7A43" w:rsidP="00AF5721">
                            <w:pPr>
                              <w:pStyle w:val="PulloutText"/>
                              <w:numPr>
                                <w:ilvl w:val="0"/>
                                <w:numId w:val="6"/>
                              </w:numPr>
                              <w:rPr>
                                <w:color w:val="FFFFFF" w:themeColor="background1"/>
                              </w:rPr>
                            </w:pPr>
                            <w:r w:rsidRPr="00A37FCA">
                              <w:rPr>
                                <w:color w:val="FFFFFF" w:themeColor="background1"/>
                              </w:rPr>
                              <w:t>assist maternity services to monitor their own real-time performance data and clinical performance through a statewide maternity dashboard</w:t>
                            </w:r>
                          </w:p>
                          <w:p w14:paraId="004120A0" w14:textId="2EC442CD" w:rsidR="00CD7A43" w:rsidRPr="00A37FCA" w:rsidRDefault="00CD7A43" w:rsidP="00AF5721">
                            <w:pPr>
                              <w:pStyle w:val="PulloutText"/>
                              <w:numPr>
                                <w:ilvl w:val="0"/>
                                <w:numId w:val="6"/>
                              </w:numPr>
                              <w:rPr>
                                <w:color w:val="FFFFFF" w:themeColor="background1"/>
                              </w:rPr>
                            </w:pPr>
                            <w:r w:rsidRPr="00A37FCA">
                              <w:rPr>
                                <w:color w:val="FFFFFF" w:themeColor="background1"/>
                              </w:rPr>
                              <w:t>work with 10 Victorian health services and with interstate colleagues to reduce third and fourth degree perineal tears (torn muscles of the anus, or close to it, occurring during childbirth and usually needing an operation to repair them) by 20 per cent</w:t>
                            </w:r>
                          </w:p>
                          <w:p w14:paraId="5D8D420F" w14:textId="21FBAA82" w:rsidR="00CD7A43" w:rsidRPr="00A37FCA" w:rsidRDefault="00CD7A43" w:rsidP="00AF5721">
                            <w:pPr>
                              <w:pStyle w:val="PulloutText"/>
                              <w:numPr>
                                <w:ilvl w:val="0"/>
                                <w:numId w:val="6"/>
                              </w:numPr>
                              <w:rPr>
                                <w:color w:val="FFFFFF" w:themeColor="background1"/>
                              </w:rPr>
                            </w:pPr>
                            <w:r w:rsidRPr="00A37FCA">
                              <w:rPr>
                                <w:color w:val="FFFFFF" w:themeColor="background1"/>
                              </w:rPr>
                              <w:t>partner with a national alliance to reduce smoking in pregnant women, with a view to reducing the number of babies who are born too early.</w:t>
                            </w:r>
                          </w:p>
                        </w:txbxContent>
                      </wps:txbx>
                      <wps:bodyPr rot="0" vert="horz" wrap="square" lIns="180000" tIns="180000" rIns="144000" bIns="36000" anchor="t" anchorCtr="0">
                        <a:noAutofit/>
                      </wps:bodyPr>
                    </wps:wsp>
                  </a:graphicData>
                </a:graphic>
              </wp:inline>
            </w:drawing>
          </mc:Choice>
          <mc:Fallback>
            <w:pict>
              <v:shape w14:anchorId="0C5D3D3A" id="_x0000_s1032" type="#_x0000_t202" style="width:510.25pt;height:55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" fillcolor="#62626a [1609]" strokecolor="#edf5f7 [3214]" strokeweight=".5pt">
                <v:textbox inset="5mm,5mm,4mm,1mm">
                  <w:txbxContent>
                    <w:p w14:paraId="457BF25C" w14:textId="1B1387BF" w:rsidR="00CD7A43" w:rsidRPr="00A37FCA" w:rsidRDefault="00CD7A43" w:rsidP="0069469A">
                      <w:pPr>
                        <w:pStyle w:val="PulloutHeading"/>
                        <w:rPr>
                          <w:color w:val="FFFFFF" w:themeColor="background1"/>
                        </w:rPr>
                      </w:pPr>
                      <w:r w:rsidRPr="00A37FCA">
                        <w:rPr>
                          <w:color w:val="FFFFFF" w:themeColor="background1"/>
                        </w:rPr>
                        <w:t xml:space="preserve">Focusing on sentinel events involving mothers and babies </w:t>
                      </w:r>
                    </w:p>
                    <w:p w14:paraId="3F0D865E" w14:textId="240036D1" w:rsidR="00CD7A43" w:rsidRPr="00A37FCA" w:rsidRDefault="00CD7A43" w:rsidP="0069469A">
                      <w:pPr>
                        <w:pStyle w:val="PulloutText"/>
                        <w:rPr>
                          <w:color w:val="FFFFFF" w:themeColor="background1"/>
                        </w:rPr>
                      </w:pPr>
                      <w:r w:rsidRPr="00A37FCA">
                        <w:rPr>
                          <w:color w:val="FFFFFF" w:themeColor="background1"/>
                        </w:rPr>
                        <w:t>The 12 sentinel events that resulted in the deaths of unborn or newborn babies related to:</w:t>
                      </w:r>
                    </w:p>
                    <w:p w14:paraId="04E8A0EA" w14:textId="6D3C40AC" w:rsidR="00CD7A43" w:rsidRPr="00A37FCA" w:rsidRDefault="00CD7A43" w:rsidP="00AF5721">
                      <w:pPr>
                        <w:pStyle w:val="PulloutText"/>
                        <w:numPr>
                          <w:ilvl w:val="0"/>
                          <w:numId w:val="6"/>
                        </w:numPr>
                        <w:rPr>
                          <w:color w:val="FFFFFF" w:themeColor="background1"/>
                        </w:rPr>
                      </w:pPr>
                      <w:r w:rsidRPr="00A37FCA">
                        <w:rPr>
                          <w:color w:val="FFFFFF" w:themeColor="background1"/>
                        </w:rPr>
                        <w:t>unsuccessful medical assistance during childbirth using forceps or other similar methods. This led to significant delays in starting the procedure that was needed, an emergency operation to deliver the baby (caesarean)</w:t>
                      </w:r>
                    </w:p>
                    <w:p w14:paraId="6B71DF89" w14:textId="3B89EE56" w:rsidR="00CD7A43" w:rsidRPr="00A37FCA" w:rsidRDefault="00CD7A43" w:rsidP="00AF5721">
                      <w:pPr>
                        <w:pStyle w:val="PulloutText"/>
                        <w:numPr>
                          <w:ilvl w:val="0"/>
                          <w:numId w:val="6"/>
                        </w:numPr>
                        <w:rPr>
                          <w:color w:val="FFFFFF" w:themeColor="background1"/>
                        </w:rPr>
                      </w:pPr>
                      <w:r w:rsidRPr="00A37FCA">
                        <w:rPr>
                          <w:color w:val="FFFFFF" w:themeColor="background1"/>
                        </w:rPr>
                        <w:t>misinterpretation of a cardiotocograph (CTG) including failure to recognise that an unborn baby was in distress during labour and failure to let the right people know when this occurs</w:t>
                      </w:r>
                    </w:p>
                    <w:p w14:paraId="0A998342" w14:textId="0A199D04" w:rsidR="00CD7A43" w:rsidRPr="00A37FCA" w:rsidRDefault="00CD7A43" w:rsidP="00AF5721">
                      <w:pPr>
                        <w:pStyle w:val="PulloutText"/>
                        <w:numPr>
                          <w:ilvl w:val="0"/>
                          <w:numId w:val="6"/>
                        </w:numPr>
                        <w:rPr>
                          <w:color w:val="FFFFFF" w:themeColor="background1"/>
                        </w:rPr>
                      </w:pPr>
                      <w:r w:rsidRPr="00A37FCA">
                        <w:rPr>
                          <w:color w:val="FFFFFF" w:themeColor="background1"/>
                        </w:rPr>
                        <w:t>mothers reporting their unborn babies weren’t moving as much as they should be. After being examined and reassured that everything was okay, they were discharged home from hospital</w:t>
                      </w:r>
                    </w:p>
                    <w:p w14:paraId="3E4D3173" w14:textId="3476BCF6" w:rsidR="00CD7A43" w:rsidRPr="00A37FCA" w:rsidRDefault="00CD7A43" w:rsidP="00AF5721">
                      <w:pPr>
                        <w:pStyle w:val="PulloutText"/>
                        <w:numPr>
                          <w:ilvl w:val="0"/>
                          <w:numId w:val="6"/>
                        </w:numPr>
                        <w:rPr>
                          <w:color w:val="FFFFFF" w:themeColor="background1"/>
                        </w:rPr>
                      </w:pPr>
                      <w:r w:rsidRPr="00A37FCA">
                        <w:rPr>
                          <w:color w:val="FFFFFF" w:themeColor="background1"/>
                        </w:rPr>
                        <w:t>a medication error</w:t>
                      </w:r>
                    </w:p>
                    <w:p w14:paraId="326EE4A4" w14:textId="1C294827" w:rsidR="00CD7A43" w:rsidRPr="00A37FCA" w:rsidRDefault="00CD7A43" w:rsidP="00AF5721">
                      <w:pPr>
                        <w:pStyle w:val="PulloutText"/>
                        <w:numPr>
                          <w:ilvl w:val="0"/>
                          <w:numId w:val="6"/>
                        </w:numPr>
                        <w:rPr>
                          <w:color w:val="FFFFFF" w:themeColor="background1"/>
                        </w:rPr>
                      </w:pPr>
                      <w:r w:rsidRPr="00A37FCA">
                        <w:rPr>
                          <w:color w:val="FFFFFF" w:themeColor="background1"/>
                        </w:rPr>
                        <w:t>delayed recognition in an unexpectedly unwell baby</w:t>
                      </w:r>
                    </w:p>
                    <w:p w14:paraId="17824BFB" w14:textId="7FDC1532" w:rsidR="00CD7A43" w:rsidRPr="00A37FCA" w:rsidRDefault="00CD7A43" w:rsidP="00AF5721">
                      <w:pPr>
                        <w:pStyle w:val="PulloutText"/>
                        <w:numPr>
                          <w:ilvl w:val="0"/>
                          <w:numId w:val="6"/>
                        </w:numPr>
                        <w:rPr>
                          <w:color w:val="FFFFFF" w:themeColor="background1"/>
                        </w:rPr>
                      </w:pPr>
                      <w:r w:rsidRPr="00A37FCA">
                        <w:rPr>
                          <w:color w:val="FFFFFF" w:themeColor="background1"/>
                        </w:rPr>
                        <w:t>delay in escalating a pregnant woman’s abnormal blood test to the right specialist in a timely manner.</w:t>
                      </w:r>
                    </w:p>
                    <w:p w14:paraId="7CA98E28" w14:textId="77777777" w:rsidR="00CD7A43" w:rsidRPr="00A37FCA" w:rsidRDefault="00CD7A43" w:rsidP="0069469A">
                      <w:pPr>
                        <w:pStyle w:val="PulloutText"/>
                        <w:rPr>
                          <w:b/>
                          <w:color w:val="FFFFFF" w:themeColor="background1"/>
                          <w:sz w:val="24"/>
                        </w:rPr>
                      </w:pPr>
                      <w:r w:rsidRPr="00A37FCA">
                        <w:rPr>
                          <w:b/>
                          <w:color w:val="FFFFFF" w:themeColor="background1"/>
                          <w:sz w:val="24"/>
                        </w:rPr>
                        <w:t>Improving maternity services</w:t>
                      </w:r>
                    </w:p>
                    <w:p w14:paraId="0FBF9AA8" w14:textId="0466179B" w:rsidR="00CD7A43" w:rsidRPr="00A37FCA" w:rsidRDefault="00CD7A43" w:rsidP="001D4D88">
                      <w:pPr>
                        <w:pStyle w:val="PulloutText"/>
                        <w:rPr>
                          <w:rFonts w:asciiTheme="minorHAnsi" w:hAnsiTheme="minorHAnsi"/>
                          <w:color w:val="FFFFFF" w:themeColor="background1"/>
                        </w:rPr>
                      </w:pPr>
                      <w:r w:rsidRPr="00A37FCA">
                        <w:rPr>
                          <w:color w:val="FFFFFF" w:themeColor="background1"/>
                        </w:rPr>
                        <w:t>SCV is leading several projects to improve the quality and safety of Victorian maternity services. In particular, we are involved in national partnerships to reduce the number of stillborn babies by 20 per cent, and the number of babies who are born too early by 10 per cent. To achieve this, we will:</w:t>
                      </w:r>
                    </w:p>
                    <w:p w14:paraId="56D506EF" w14:textId="25943688" w:rsidR="00CD7A43" w:rsidRPr="00A37FCA" w:rsidRDefault="00CD7A43" w:rsidP="00AF5721">
                      <w:pPr>
                        <w:pStyle w:val="PulloutText"/>
                        <w:numPr>
                          <w:ilvl w:val="0"/>
                          <w:numId w:val="6"/>
                        </w:numPr>
                        <w:rPr>
                          <w:color w:val="FFFFFF" w:themeColor="background1"/>
                        </w:rPr>
                      </w:pPr>
                      <w:r w:rsidRPr="00A37FCA">
                        <w:rPr>
                          <w:color w:val="FFFFFF" w:themeColor="background1"/>
                        </w:rPr>
                        <w:t>support the #MovementsMatter public and clinical education campaign to improve awareness, assessment and management of decreased movements of unborn babies, a risk factor for stillbirth</w:t>
                      </w:r>
                    </w:p>
                    <w:p w14:paraId="5D1CB668" w14:textId="2AA51E57" w:rsidR="00CD7A43" w:rsidRPr="00A37FCA" w:rsidRDefault="00CD7A43" w:rsidP="00AF5721">
                      <w:pPr>
                        <w:pStyle w:val="PulloutText"/>
                        <w:numPr>
                          <w:ilvl w:val="0"/>
                          <w:numId w:val="6"/>
                        </w:numPr>
                        <w:rPr>
                          <w:color w:val="FFFFFF" w:themeColor="background1"/>
                        </w:rPr>
                      </w:pPr>
                      <w:r w:rsidRPr="00A37FCA">
                        <w:rPr>
                          <w:color w:val="FFFFFF" w:themeColor="background1"/>
                        </w:rPr>
                        <w:t>coordinate clinical workshops to improve identification of fetal growth restriction (when an unborn baby is smaller than it should be because it is not growing at a normal rate)</w:t>
                      </w:r>
                    </w:p>
                    <w:p w14:paraId="192B9713" w14:textId="766E17F0" w:rsidR="00CD7A43" w:rsidRPr="00A37FCA" w:rsidRDefault="00CD7A43" w:rsidP="00AF5721">
                      <w:pPr>
                        <w:pStyle w:val="PulloutText"/>
                        <w:numPr>
                          <w:ilvl w:val="0"/>
                          <w:numId w:val="6"/>
                        </w:numPr>
                        <w:rPr>
                          <w:color w:val="FFFFFF" w:themeColor="background1"/>
                        </w:rPr>
                      </w:pPr>
                      <w:r w:rsidRPr="00A37FCA">
                        <w:rPr>
                          <w:color w:val="FFFFFF" w:themeColor="background1"/>
                        </w:rPr>
                        <w:t>publish 20 new maternity and newborn clinical practice guidelines</w:t>
                      </w:r>
                    </w:p>
                    <w:p w14:paraId="384F76BD" w14:textId="6D66FA31" w:rsidR="00CD7A43" w:rsidRPr="00A37FCA" w:rsidRDefault="00CD7A43" w:rsidP="00AF5721">
                      <w:pPr>
                        <w:pStyle w:val="PulloutText"/>
                        <w:numPr>
                          <w:ilvl w:val="0"/>
                          <w:numId w:val="6"/>
                        </w:numPr>
                        <w:rPr>
                          <w:color w:val="FFFFFF" w:themeColor="background1"/>
                        </w:rPr>
                      </w:pPr>
                      <w:r w:rsidRPr="00A37FCA">
                        <w:rPr>
                          <w:color w:val="FFFFFF" w:themeColor="background1"/>
                        </w:rPr>
                        <w:t xml:space="preserve">introduce a maternity services user guide to provide maternity services with service specific tools and resources </w:t>
                      </w:r>
                    </w:p>
                    <w:p w14:paraId="5B8B0B66" w14:textId="43F4651D" w:rsidR="00CD7A43" w:rsidRPr="00A37FCA" w:rsidRDefault="00CD7A43" w:rsidP="00AF5721">
                      <w:pPr>
                        <w:pStyle w:val="PulloutText"/>
                        <w:numPr>
                          <w:ilvl w:val="0"/>
                          <w:numId w:val="6"/>
                        </w:numPr>
                        <w:rPr>
                          <w:color w:val="FFFFFF" w:themeColor="background1"/>
                        </w:rPr>
                      </w:pPr>
                      <w:r w:rsidRPr="00A37FCA">
                        <w:rPr>
                          <w:color w:val="FFFFFF" w:themeColor="background1"/>
                        </w:rPr>
                        <w:t>assist maternity services to monitor their own real-time performance data and clinical performance through a statewide maternity dashboard</w:t>
                      </w:r>
                    </w:p>
                    <w:p w14:paraId="004120A0" w14:textId="2EC442CD" w:rsidR="00CD7A43" w:rsidRPr="00A37FCA" w:rsidRDefault="00CD7A43" w:rsidP="00AF5721">
                      <w:pPr>
                        <w:pStyle w:val="PulloutText"/>
                        <w:numPr>
                          <w:ilvl w:val="0"/>
                          <w:numId w:val="6"/>
                        </w:numPr>
                        <w:rPr>
                          <w:color w:val="FFFFFF" w:themeColor="background1"/>
                        </w:rPr>
                      </w:pPr>
                      <w:r w:rsidRPr="00A37FCA">
                        <w:rPr>
                          <w:color w:val="FFFFFF" w:themeColor="background1"/>
                        </w:rPr>
                        <w:t>work with 10 Victorian health services and with interstate colleagues to reduce third and fourth degree perineal tears (torn muscles of the anus, or close to it, occurring during childbirth and usually needing an operation to repair them) by 20 per cent</w:t>
                      </w:r>
                    </w:p>
                    <w:p w14:paraId="5D8D420F" w14:textId="21FBAA82" w:rsidR="00CD7A43" w:rsidRPr="00A37FCA" w:rsidRDefault="00CD7A43" w:rsidP="00AF5721">
                      <w:pPr>
                        <w:pStyle w:val="PulloutText"/>
                        <w:numPr>
                          <w:ilvl w:val="0"/>
                          <w:numId w:val="6"/>
                        </w:numPr>
                        <w:rPr>
                          <w:color w:val="FFFFFF" w:themeColor="background1"/>
                        </w:rPr>
                      </w:pPr>
                      <w:r w:rsidRPr="00A37FCA">
                        <w:rPr>
                          <w:color w:val="FFFFFF" w:themeColor="background1"/>
                        </w:rPr>
                        <w:t>partner with a national alliance to reduce smoking in pregnant women, with a view to reducing the number of babies who are born too early.</w:t>
                      </w:r>
                    </w:p>
                  </w:txbxContent>
                </v:textbox>
                <w10:anchorlock/>
              </v:shape>
            </w:pict>
          </mc:Fallback>
        </mc:AlternateContent>
      </w:r>
    </w:p>
    <w:p w14:paraId="498DABB6" w14:textId="77777777" w:rsidR="007F741B" w:rsidRDefault="007F741B">
      <w:pPr>
        <w:rPr>
          <w:rFonts w:ascii="VIC Medium" w:eastAsia="Times New Roman" w:hAnsi="VIC Medium" w:cs="Times New Roman"/>
          <w:color w:val="007586" w:themeColor="text2"/>
          <w:sz w:val="22"/>
          <w:szCs w:val="24"/>
        </w:rPr>
      </w:pPr>
      <w:r>
        <w:br w:type="page"/>
      </w:r>
    </w:p>
    <w:p w14:paraId="5C099575" w14:textId="77777777" w:rsidR="007F741B" w:rsidRPr="007F741B" w:rsidRDefault="007F741B" w:rsidP="007F741B">
      <w:pPr>
        <w:pStyle w:val="Heading1"/>
        <w:framePr w:wrap="around"/>
      </w:pPr>
      <w:bookmarkStart w:id="34" w:name="_Toc532460422"/>
      <w:r w:rsidRPr="007F741B">
        <w:lastRenderedPageBreak/>
        <w:t>2. Reviewing</w:t>
      </w:r>
      <w:bookmarkEnd w:id="34"/>
    </w:p>
    <w:p w14:paraId="553070EE" w14:textId="3A437935" w:rsidR="0069469A" w:rsidRPr="00146BB6" w:rsidRDefault="001B580F" w:rsidP="00D921F0">
      <w:pPr>
        <w:pStyle w:val="IntroductoryText"/>
        <w:rPr>
          <w:b/>
        </w:rPr>
      </w:pPr>
      <w:r>
        <w:t xml:space="preserve">Even </w:t>
      </w:r>
      <w:r w:rsidR="00422379">
        <w:t>w</w:t>
      </w:r>
      <w:r w:rsidR="00FF7F68">
        <w:t xml:space="preserve">ith a shorter timeframe of 30 </w:t>
      </w:r>
      <w:r w:rsidR="009A59BE" w:rsidRPr="00146BB6">
        <w:t>working</w:t>
      </w:r>
      <w:r w:rsidR="00EB7E9E" w:rsidRPr="00146BB6">
        <w:t xml:space="preserve"> </w:t>
      </w:r>
      <w:r w:rsidR="00FF7F68">
        <w:t xml:space="preserve">days to </w:t>
      </w:r>
      <w:r w:rsidR="00872B03">
        <w:t>conduct a review</w:t>
      </w:r>
      <w:r w:rsidR="00422379">
        <w:t xml:space="preserve"> and submit a </w:t>
      </w:r>
      <w:r w:rsidR="00FF7F68">
        <w:t xml:space="preserve">report, health service timeliness </w:t>
      </w:r>
      <w:r w:rsidR="00422379" w:rsidRPr="0047647D">
        <w:t xml:space="preserve">has </w:t>
      </w:r>
      <w:r w:rsidR="00F57481" w:rsidRPr="0047647D">
        <w:t>improved</w:t>
      </w:r>
      <w:r w:rsidR="00422379" w:rsidRPr="0047647D">
        <w:t xml:space="preserve"> over the past year</w:t>
      </w:r>
      <w:r w:rsidR="005E6C1B" w:rsidRPr="0047647D">
        <w:t>.</w:t>
      </w:r>
      <w:r w:rsidR="00FF7F68" w:rsidRPr="0047647D">
        <w:t xml:space="preserve"> </w:t>
      </w:r>
      <w:r w:rsidR="00F57481" w:rsidRPr="0047647D">
        <w:t>R</w:t>
      </w:r>
      <w:r w:rsidR="00D36AB3" w:rsidRPr="0047647D">
        <w:t>eview teams are</w:t>
      </w:r>
      <w:r w:rsidR="00F57481" w:rsidRPr="0047647D">
        <w:t xml:space="preserve"> also</w:t>
      </w:r>
      <w:r w:rsidR="00D36AB3" w:rsidRPr="0047647D">
        <w:t xml:space="preserve"> benefiting</w:t>
      </w:r>
      <w:r w:rsidR="00D36AB3" w:rsidRPr="00D36AB3">
        <w:t xml:space="preserve"> from involving external members and consumer representatives on their review teams</w:t>
      </w:r>
      <w:r w:rsidR="00D36AB3" w:rsidRPr="00AA6F2E">
        <w:t>.</w:t>
      </w:r>
      <w:r w:rsidR="00D921F0" w:rsidRPr="00AA6F2E">
        <w:t xml:space="preserve"> </w:t>
      </w:r>
      <w:r w:rsidR="005D261D" w:rsidRPr="00AA6F2E">
        <w:t>These</w:t>
      </w:r>
      <w:r w:rsidR="00D921F0" w:rsidRPr="00AA6F2E">
        <w:t xml:space="preserve"> reviews </w:t>
      </w:r>
      <w:r w:rsidR="009A59BE" w:rsidRPr="00146BB6">
        <w:t>result in</w:t>
      </w:r>
      <w:r w:rsidR="00D921F0" w:rsidRPr="00146BB6">
        <w:t xml:space="preserve"> recommendations that </w:t>
      </w:r>
      <w:r w:rsidR="005D261D" w:rsidRPr="00146BB6">
        <w:t xml:space="preserve">aim </w:t>
      </w:r>
      <w:r w:rsidR="00167BB4" w:rsidRPr="00146BB6">
        <w:t xml:space="preserve">to prevent </w:t>
      </w:r>
      <w:r w:rsidR="009A59BE" w:rsidRPr="00146BB6">
        <w:t>harm</w:t>
      </w:r>
      <w:r w:rsidR="00167BB4" w:rsidRPr="00146BB6">
        <w:t xml:space="preserve"> from </w:t>
      </w:r>
      <w:r w:rsidR="00146BB6" w:rsidRPr="00146BB6">
        <w:t>recurring</w:t>
      </w:r>
      <w:r w:rsidR="005D261D" w:rsidRPr="00146BB6">
        <w:t>, making our systems of care safer</w:t>
      </w:r>
      <w:r w:rsidR="00D921F0" w:rsidRPr="00146BB6">
        <w:t>.</w:t>
      </w:r>
    </w:p>
    <w:p w14:paraId="3E69374C" w14:textId="77777777" w:rsidR="00FF7F68" w:rsidRPr="00615AAC" w:rsidRDefault="00FF7F68" w:rsidP="00BA0C37">
      <w:r>
        <w:rPr>
          <w:noProof/>
        </w:rPr>
        <mc:AlternateContent>
          <mc:Choice Requires="wps">
            <w:drawing>
              <wp:inline distT="0" distB="0" distL="0" distR="0" wp14:anchorId="2CAF6906" wp14:editId="605CE0D2">
                <wp:extent cx="6381750" cy="1764000"/>
                <wp:effectExtent l="0" t="0" r="19050" b="17780"/>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764000"/>
                        </a:xfrm>
                        <a:prstGeom prst="rect">
                          <a:avLst/>
                        </a:prstGeom>
                        <a:solidFill>
                          <a:schemeClr val="bg2"/>
                        </a:solidFill>
                        <a:ln w="6350">
                          <a:solidFill>
                            <a:schemeClr val="bg2"/>
                          </a:solidFill>
                          <a:miter lim="800000"/>
                          <a:headEnd/>
                          <a:tailEnd/>
                        </a:ln>
                      </wps:spPr>
                      <wps:txbx>
                        <w:txbxContent>
                          <w:p w14:paraId="2D9B8803" w14:textId="77777777" w:rsidR="00CD7A43" w:rsidRDefault="00CD7A43" w:rsidP="007E098F">
                            <w:pPr>
                              <w:pStyle w:val="PulloutText"/>
                            </w:pPr>
                            <w:r>
                              <w:t>Health services must:</w:t>
                            </w:r>
                          </w:p>
                          <w:p w14:paraId="42BDB78D" w14:textId="7972F5EC" w:rsidR="00CD7A43" w:rsidRPr="009C6FC6" w:rsidRDefault="00CD7A43" w:rsidP="00AF5721">
                            <w:pPr>
                              <w:pStyle w:val="PulloutText"/>
                              <w:numPr>
                                <w:ilvl w:val="0"/>
                                <w:numId w:val="7"/>
                              </w:numPr>
                            </w:pPr>
                            <w:r w:rsidRPr="009C6FC6">
                              <w:t>use the RCA method</w:t>
                            </w:r>
                            <w:r>
                              <w:t>ology to review sentinel events</w:t>
                            </w:r>
                          </w:p>
                          <w:p w14:paraId="03377B9C" w14:textId="18522986" w:rsidR="00CD7A43" w:rsidRDefault="00CD7A43" w:rsidP="00AF5721">
                            <w:pPr>
                              <w:pStyle w:val="PulloutText"/>
                              <w:numPr>
                                <w:ilvl w:val="0"/>
                                <w:numId w:val="7"/>
                              </w:numPr>
                            </w:pPr>
                            <w:r w:rsidRPr="00FF7F68">
                              <w:t>submit</w:t>
                            </w:r>
                            <w:r>
                              <w:t xml:space="preserve"> RCA reports </w:t>
                            </w:r>
                            <w:r w:rsidRPr="00FF7F68">
                              <w:t>to SCV within 30 working days (six weeks)</w:t>
                            </w:r>
                            <w:r>
                              <w:t xml:space="preserve"> from the time of notification</w:t>
                            </w:r>
                          </w:p>
                          <w:p w14:paraId="028DCBEB" w14:textId="5F906CEE" w:rsidR="00CD7A43" w:rsidRDefault="00CD7A43" w:rsidP="00AF5721">
                            <w:pPr>
                              <w:pStyle w:val="PulloutText"/>
                              <w:numPr>
                                <w:ilvl w:val="0"/>
                                <w:numId w:val="7"/>
                              </w:numPr>
                            </w:pPr>
                            <w:r>
                              <w:t xml:space="preserve">include a member from outside of their health service on their review team </w:t>
                            </w:r>
                            <w:r w:rsidRPr="00F7515A">
                              <w:t>to provi</w:t>
                            </w:r>
                            <w:r>
                              <w:t>de a level of independence and diversity in thinking.</w:t>
                            </w:r>
                          </w:p>
                          <w:p w14:paraId="14D4AB5A" w14:textId="4A5154BF" w:rsidR="00CD7A43" w:rsidRDefault="00CD7A43" w:rsidP="00FF7F68">
                            <w:pPr>
                              <w:pStyle w:val="PulloutText"/>
                            </w:pPr>
                            <w:r>
                              <w:t xml:space="preserve">We encouraged health services to also include </w:t>
                            </w:r>
                            <w:r w:rsidRPr="00FF7F68">
                              <w:t>a consumer repres</w:t>
                            </w:r>
                            <w:r>
                              <w:t>entative on the review team</w:t>
                            </w:r>
                            <w:r w:rsidRPr="00FF7F68">
                              <w:t>.</w:t>
                            </w:r>
                            <w:r>
                              <w:t xml:space="preserve"> Consumer representation is an important step in health services gaining a patient and family perspective throughout the review process.</w:t>
                            </w:r>
                          </w:p>
                        </w:txbxContent>
                      </wps:txbx>
                      <wps:bodyPr rot="0" vert="horz" wrap="square" lIns="180000" tIns="180000" rIns="144000" bIns="36000" anchor="t" anchorCtr="0">
                        <a:spAutoFit/>
                      </wps:bodyPr>
                    </wps:wsp>
                  </a:graphicData>
                </a:graphic>
              </wp:inline>
            </w:drawing>
          </mc:Choice>
          <mc:Fallback>
            <w:pict>
              <v:shape w14:anchorId="2CAF6906" id="_x0000_s1033" type="#_x0000_t202" style="width:502.5pt;height:13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" fillcolor="#edf5f7 [3214]" strokecolor="#edf5f7 [3214]" strokeweight=".5pt">
                <v:textbox style="mso-fit-shape-to-text:t" inset="5mm,5mm,4mm,1mm">
                  <w:txbxContent>
                    <w:p w14:paraId="2D9B8803" w14:textId="77777777" w:rsidR="00CD7A43" w:rsidRDefault="00CD7A43" w:rsidP="007E098F">
                      <w:pPr>
                        <w:pStyle w:val="PulloutText"/>
                      </w:pPr>
                      <w:r>
                        <w:t>Health services must:</w:t>
                      </w:r>
                    </w:p>
                    <w:p w14:paraId="42BDB78D" w14:textId="7972F5EC" w:rsidR="00CD7A43" w:rsidRPr="009C6FC6" w:rsidRDefault="00CD7A43" w:rsidP="00AF5721">
                      <w:pPr>
                        <w:pStyle w:val="PulloutText"/>
                        <w:numPr>
                          <w:ilvl w:val="0"/>
                          <w:numId w:val="7"/>
                        </w:numPr>
                      </w:pPr>
                      <w:r w:rsidRPr="009C6FC6">
                        <w:t>use the RCA method</w:t>
                      </w:r>
                      <w:r>
                        <w:t>ology to review sentinel events</w:t>
                      </w:r>
                    </w:p>
                    <w:p w14:paraId="03377B9C" w14:textId="18522986" w:rsidR="00CD7A43" w:rsidRDefault="00CD7A43" w:rsidP="00AF5721">
                      <w:pPr>
                        <w:pStyle w:val="PulloutText"/>
                        <w:numPr>
                          <w:ilvl w:val="0"/>
                          <w:numId w:val="7"/>
                        </w:numPr>
                      </w:pPr>
                      <w:r w:rsidRPr="00FF7F68">
                        <w:t>submit</w:t>
                      </w:r>
                      <w:r>
                        <w:t xml:space="preserve"> RCA reports </w:t>
                      </w:r>
                      <w:r w:rsidRPr="00FF7F68">
                        <w:t>to SCV within 30 working days (six weeks)</w:t>
                      </w:r>
                      <w:r>
                        <w:t xml:space="preserve"> from the time of notification</w:t>
                      </w:r>
                    </w:p>
                    <w:p w14:paraId="028DCBEB" w14:textId="5F906CEE" w:rsidR="00CD7A43" w:rsidRDefault="00CD7A43" w:rsidP="00AF5721">
                      <w:pPr>
                        <w:pStyle w:val="PulloutText"/>
                        <w:numPr>
                          <w:ilvl w:val="0"/>
                          <w:numId w:val="7"/>
                        </w:numPr>
                      </w:pPr>
                      <w:r>
                        <w:t xml:space="preserve">include a member from outside of their health service on their review team </w:t>
                      </w:r>
                      <w:r w:rsidRPr="00F7515A">
                        <w:t>to provi</w:t>
                      </w:r>
                      <w:r>
                        <w:t>de a level of independence and diversity in thinking.</w:t>
                      </w:r>
                    </w:p>
                    <w:p w14:paraId="14D4AB5A" w14:textId="4A5154BF" w:rsidR="00CD7A43" w:rsidRDefault="00CD7A43" w:rsidP="00FF7F68">
                      <w:pPr>
                        <w:pStyle w:val="PulloutText"/>
                      </w:pPr>
                      <w:r>
                        <w:t xml:space="preserve">We encouraged health services to also include </w:t>
                      </w:r>
                      <w:r w:rsidRPr="00FF7F68">
                        <w:t>a consumer repres</w:t>
                      </w:r>
                      <w:r>
                        <w:t>entative on the review team</w:t>
                      </w:r>
                      <w:r w:rsidRPr="00FF7F68">
                        <w:t>.</w:t>
                      </w:r>
                      <w:r>
                        <w:t xml:space="preserve"> Consumer representation is an important step in health services gaining a patient and family perspective throughout the review process.</w:t>
                      </w:r>
                    </w:p>
                  </w:txbxContent>
                </v:textbox>
                <w10:anchorlock/>
              </v:shape>
            </w:pict>
          </mc:Fallback>
        </mc:AlternateContent>
      </w:r>
    </w:p>
    <w:p w14:paraId="657B3A78" w14:textId="77777777" w:rsidR="0069469A" w:rsidRDefault="0069469A" w:rsidP="0069469A">
      <w:pPr>
        <w:pStyle w:val="Heading2"/>
      </w:pPr>
      <w:bookmarkStart w:id="35" w:name="_Toc532460423"/>
      <w:r>
        <w:t>Timeliness of report submission</w:t>
      </w:r>
      <w:bookmarkEnd w:id="35"/>
    </w:p>
    <w:p w14:paraId="437F01F5" w14:textId="6E1AB5C6" w:rsidR="00422379" w:rsidRPr="0000647A" w:rsidRDefault="007F741B" w:rsidP="00422379">
      <w:pPr>
        <w:pStyle w:val="Normalfollowingheading"/>
      </w:pPr>
      <w:r>
        <w:t>In 2017–18</w:t>
      </w:r>
      <w:r w:rsidR="00F079B0">
        <w:t>, we received 120 RCA</w:t>
      </w:r>
      <w:r w:rsidR="00422379">
        <w:t xml:space="preserve"> reports from the 12</w:t>
      </w:r>
      <w:r>
        <w:t>2 sentinel event notifications.</w:t>
      </w:r>
    </w:p>
    <w:p w14:paraId="7A7AF136" w14:textId="22A45892" w:rsidR="0069469A" w:rsidRDefault="00B26F2E" w:rsidP="007F741B">
      <w:pPr>
        <w:pStyle w:val="Normalfollowingheading"/>
      </w:pPr>
      <w:r>
        <w:t>Of these, 22</w:t>
      </w:r>
      <w:r w:rsidR="0069469A">
        <w:t xml:space="preserve"> RCA reports were submitted within the required 30 working day</w:t>
      </w:r>
      <w:r w:rsidR="00422379">
        <w:t xml:space="preserve">s. Two reports remain outstanding (at </w:t>
      </w:r>
      <w:r w:rsidR="00422379" w:rsidRPr="00901193">
        <w:t>28 and 36</w:t>
      </w:r>
      <w:r w:rsidR="00422379">
        <w:t xml:space="preserve"> weeks</w:t>
      </w:r>
      <w:r w:rsidR="009A59BE">
        <w:t xml:space="preserve"> </w:t>
      </w:r>
      <w:r w:rsidR="009A59BE" w:rsidRPr="00146BB6">
        <w:t>after they were notified</w:t>
      </w:r>
      <w:r w:rsidR="00422379" w:rsidRPr="00146BB6">
        <w:t xml:space="preserve">). </w:t>
      </w:r>
    </w:p>
    <w:p w14:paraId="5984A352" w14:textId="77777777" w:rsidR="00422379" w:rsidRDefault="00422379" w:rsidP="007F741B">
      <w:pPr>
        <w:pStyle w:val="Tablechartdiagramheading"/>
        <w:spacing w:after="120"/>
        <w:sectPr w:rsidR="00422379" w:rsidSect="00742C2A">
          <w:type w:val="continuous"/>
          <w:pgSz w:w="11906" w:h="16838" w:code="9"/>
          <w:pgMar w:top="3402" w:right="851" w:bottom="1361" w:left="851" w:header="539" w:footer="624" w:gutter="0"/>
          <w:cols w:space="284"/>
          <w:docGrid w:linePitch="360"/>
        </w:sectPr>
      </w:pPr>
    </w:p>
    <w:p w14:paraId="507A609F" w14:textId="38B08B23" w:rsidR="0069469A" w:rsidRDefault="0069469A" w:rsidP="007F741B">
      <w:pPr>
        <w:pStyle w:val="Tablechartdiagramheading"/>
        <w:spacing w:before="0"/>
      </w:pPr>
      <w:r w:rsidRPr="007F741B">
        <w:t xml:space="preserve">Figure </w:t>
      </w:r>
      <w:r w:rsidR="007F741B" w:rsidRPr="007F741B">
        <w:t>7</w:t>
      </w:r>
      <w:r w:rsidRPr="007F741B">
        <w:t xml:space="preserve">: </w:t>
      </w:r>
      <w:r w:rsidR="00422379" w:rsidRPr="007F741B">
        <w:t>Timeframe of submitted RCA reports</w:t>
      </w:r>
    </w:p>
    <w:p w14:paraId="01D999D1" w14:textId="2B8E153E" w:rsidR="0069469A" w:rsidRPr="00B93B15" w:rsidRDefault="00B26F2E" w:rsidP="007F741B">
      <w:pPr>
        <w:spacing w:before="120" w:after="120" w:line="240" w:lineRule="atLeast"/>
      </w:pPr>
      <w:r>
        <w:rPr>
          <w:noProof/>
        </w:rPr>
        <w:drawing>
          <wp:inline distT="0" distB="0" distL="0" distR="0" wp14:anchorId="04D1C837" wp14:editId="13CF0EDB">
            <wp:extent cx="3168000" cy="2232000"/>
            <wp:effectExtent l="0" t="0" r="0" b="0"/>
            <wp:docPr id="20" name="Chart 20">
              <a:extLst xmlns:a="http://schemas.openxmlformats.org/drawingml/2006/main">
                <a:ext uri="{FF2B5EF4-FFF2-40B4-BE49-F238E27FC236}">
                  <a16:creationId xmlns:a16="http://schemas.microsoft.com/office/drawing/2014/main" id="{00000000-0008-0000-0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3EEA98A" w14:textId="50CE003C" w:rsidR="00422379" w:rsidRDefault="00B26F2E" w:rsidP="007F741B">
      <w:pPr>
        <w:spacing w:before="0"/>
      </w:pPr>
      <w:r>
        <w:t>SCV approved 78</w:t>
      </w:r>
      <w:r w:rsidR="00422379">
        <w:t xml:space="preserve"> extensions beyond the 30 working </w:t>
      </w:r>
      <w:r>
        <w:t>day due date. This represents 64</w:t>
      </w:r>
      <w:r w:rsidR="00422379">
        <w:t xml:space="preserve"> per cent of all sentinel events.</w:t>
      </w:r>
    </w:p>
    <w:p w14:paraId="45EAD8F8" w14:textId="7918A4E4" w:rsidR="0069469A" w:rsidRDefault="00422379" w:rsidP="007F741B">
      <w:pPr>
        <w:pStyle w:val="Tablechartdiagramheading"/>
        <w:spacing w:before="0"/>
      </w:pPr>
      <w:r>
        <w:br w:type="column"/>
      </w:r>
      <w:r w:rsidR="0069469A">
        <w:t>Fig</w:t>
      </w:r>
      <w:r w:rsidR="0069469A" w:rsidRPr="007F741B">
        <w:t xml:space="preserve">ure </w:t>
      </w:r>
      <w:r w:rsidR="007F741B" w:rsidRPr="007F741B">
        <w:t>8</w:t>
      </w:r>
      <w:r w:rsidR="0069469A" w:rsidRPr="007F741B">
        <w:t>: Reasons</w:t>
      </w:r>
      <w:r w:rsidR="0069469A">
        <w:t xml:space="preserve"> for extensions granted</w:t>
      </w:r>
    </w:p>
    <w:p w14:paraId="5D9277A9" w14:textId="3C55CF2A" w:rsidR="0069469A" w:rsidRPr="006A747A" w:rsidRDefault="00B26F2E" w:rsidP="007F741B">
      <w:pPr>
        <w:pStyle w:val="Normalfollowingheading"/>
        <w:spacing w:before="200" w:after="240"/>
      </w:pPr>
      <w:r>
        <w:rPr>
          <w:noProof/>
        </w:rPr>
        <w:drawing>
          <wp:inline distT="0" distB="0" distL="0" distR="0" wp14:anchorId="00F997DA" wp14:editId="71959DAE">
            <wp:extent cx="3168000" cy="2232000"/>
            <wp:effectExtent l="0" t="0" r="0" b="0"/>
            <wp:docPr id="21" name="Chart 21">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422379">
        <w:t>Health services requested extensions for a variety of reasons – mostly due to an inability to secure a team member internal to the health service (3</w:t>
      </w:r>
      <w:r w:rsidR="00242A7C">
        <w:t>5</w:t>
      </w:r>
      <w:r w:rsidR="00422379">
        <w:t xml:space="preserve">%) </w:t>
      </w:r>
      <w:r w:rsidR="00D36AB3">
        <w:t xml:space="preserve">and </w:t>
      </w:r>
      <w:r w:rsidR="00422379">
        <w:t>clinical governance processes (33%)</w:t>
      </w:r>
      <w:r w:rsidR="00D36AB3">
        <w:t>.</w:t>
      </w:r>
    </w:p>
    <w:p w14:paraId="570578DE" w14:textId="77777777" w:rsidR="00422379" w:rsidRDefault="00422379" w:rsidP="0069469A">
      <w:pPr>
        <w:pStyle w:val="Heading2"/>
        <w:sectPr w:rsidR="00422379" w:rsidSect="00422379">
          <w:type w:val="continuous"/>
          <w:pgSz w:w="11906" w:h="16838" w:code="9"/>
          <w:pgMar w:top="3402" w:right="851" w:bottom="1361" w:left="851" w:header="539" w:footer="624" w:gutter="0"/>
          <w:cols w:num="2" w:space="284"/>
          <w:docGrid w:linePitch="360"/>
        </w:sectPr>
      </w:pPr>
    </w:p>
    <w:p w14:paraId="07FABAC3" w14:textId="77777777" w:rsidR="0069469A" w:rsidRPr="0069469A" w:rsidRDefault="0069469A" w:rsidP="0069469A">
      <w:pPr>
        <w:pStyle w:val="Heading2"/>
      </w:pPr>
      <w:bookmarkStart w:id="36" w:name="_Toc532460424"/>
      <w:r w:rsidRPr="0069469A">
        <w:lastRenderedPageBreak/>
        <w:t>Review team membership</w:t>
      </w:r>
      <w:bookmarkEnd w:id="36"/>
    </w:p>
    <w:p w14:paraId="38DB83B6" w14:textId="741F5F34" w:rsidR="0069469A" w:rsidRDefault="00D36AB3" w:rsidP="0069469A">
      <w:pPr>
        <w:pStyle w:val="Normalfollowingheading"/>
      </w:pPr>
      <w:r>
        <w:t>Providing ‘fresh eyes’ to a sentinel event review, 96</w:t>
      </w:r>
      <w:r w:rsidR="0069469A" w:rsidRPr="00EF2211">
        <w:t xml:space="preserve"> review teams</w:t>
      </w:r>
      <w:r>
        <w:t xml:space="preserve"> </w:t>
      </w:r>
      <w:r w:rsidRPr="00EF2211">
        <w:t xml:space="preserve">(80%) </w:t>
      </w:r>
      <w:r>
        <w:t xml:space="preserve">included an independent external member </w:t>
      </w:r>
      <w:r w:rsidRPr="00F7515A">
        <w:t xml:space="preserve">who did not </w:t>
      </w:r>
      <w:r>
        <w:t xml:space="preserve">work </w:t>
      </w:r>
      <w:r w:rsidR="00146BB6">
        <w:t>with</w:t>
      </w:r>
      <w:r>
        <w:t xml:space="preserve"> the health service.</w:t>
      </w:r>
    </w:p>
    <w:p w14:paraId="5858B1C9" w14:textId="11BC6784" w:rsidR="0069469A" w:rsidRDefault="009A59BE" w:rsidP="0069469A">
      <w:r w:rsidRPr="00146BB6">
        <w:t>O</w:t>
      </w:r>
      <w:r w:rsidR="00D36AB3" w:rsidRPr="00146BB6">
        <w:t xml:space="preserve">ffering </w:t>
      </w:r>
      <w:r w:rsidR="00D36AB3">
        <w:t>a different perspective and an ability to challenge the norm, 17 per cent of RCA teams include</w:t>
      </w:r>
      <w:r w:rsidR="00167BB4">
        <w:t>d</w:t>
      </w:r>
      <w:r w:rsidR="0069469A">
        <w:t xml:space="preserve"> consumer representation.</w:t>
      </w:r>
    </w:p>
    <w:p w14:paraId="5DA94F99" w14:textId="729440D4" w:rsidR="0069469A" w:rsidRDefault="0069469A" w:rsidP="0069469A">
      <w:pPr>
        <w:pStyle w:val="Tablechartdiagramheading"/>
      </w:pPr>
      <w:r>
        <w:t xml:space="preserve">Figure </w:t>
      </w:r>
      <w:r w:rsidR="00A92F78">
        <w:t>9:</w:t>
      </w:r>
      <w:r>
        <w:t xml:space="preserve"> External independent and consumer representation o</w:t>
      </w:r>
      <w:r w:rsidR="009A59BE">
        <w:t>n</w:t>
      </w:r>
      <w:r>
        <w:t xml:space="preserve"> review teams</w:t>
      </w:r>
    </w:p>
    <w:p w14:paraId="435F89C8" w14:textId="5DEF0DCF" w:rsidR="0069469A" w:rsidRDefault="00977983" w:rsidP="0069469A">
      <w:pPr>
        <w:pStyle w:val="IntroductoryText"/>
      </w:pPr>
      <w:r>
        <w:rPr>
          <w:noProof/>
        </w:rPr>
        <w:drawing>
          <wp:inline distT="0" distB="0" distL="0" distR="0" wp14:anchorId="36F19EDC" wp14:editId="293C4354">
            <wp:extent cx="6480000" cy="2250000"/>
            <wp:effectExtent l="0" t="0" r="0" b="0"/>
            <wp:docPr id="9" name="Chart 9">
              <a:extLst xmlns:a="http://schemas.openxmlformats.org/drawingml/2006/main">
                <a:ext uri="{FF2B5EF4-FFF2-40B4-BE49-F238E27FC236}">
                  <a16:creationId xmlns:a16="http://schemas.microsoft.com/office/drawing/2014/main" id="{00000000-0008-0000-0F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3359865" w14:textId="77777777" w:rsidR="0069469A" w:rsidRDefault="0069469A" w:rsidP="0069469A">
      <w:pPr>
        <w:pStyle w:val="Heading2"/>
      </w:pPr>
      <w:bookmarkStart w:id="37" w:name="_Toc532460425"/>
      <w:r>
        <w:t>Recommendations</w:t>
      </w:r>
      <w:bookmarkEnd w:id="37"/>
    </w:p>
    <w:p w14:paraId="7A243341" w14:textId="731E3356" w:rsidR="00263A66" w:rsidRPr="00146BB6" w:rsidRDefault="009A59BE" w:rsidP="00A92F78">
      <w:pPr>
        <w:pStyle w:val="Normalfollowingheading"/>
      </w:pPr>
      <w:r w:rsidRPr="00146BB6">
        <w:t>Based on the findings of the reviews, h</w:t>
      </w:r>
      <w:r w:rsidR="00263A66" w:rsidRPr="00146BB6">
        <w:t xml:space="preserve">ealth services form recommendations for improvement as </w:t>
      </w:r>
      <w:r w:rsidR="00BA57F4" w:rsidRPr="00146BB6">
        <w:t xml:space="preserve">a key </w:t>
      </w:r>
      <w:r w:rsidR="00263A66" w:rsidRPr="00146BB6">
        <w:t xml:space="preserve">part of the RCA process. In total, health services developed 466 recommendations </w:t>
      </w:r>
      <w:r w:rsidR="00BA57F4" w:rsidRPr="00146BB6">
        <w:t>on how they can make their systems of care safer</w:t>
      </w:r>
      <w:r w:rsidR="00A92F78">
        <w:t>.</w:t>
      </w:r>
    </w:p>
    <w:p w14:paraId="0A9BB1FD" w14:textId="455DBC36" w:rsidR="00BA57F4" w:rsidRPr="00146BB6" w:rsidRDefault="00BA57F4" w:rsidP="00BA57F4">
      <w:pPr>
        <w:pStyle w:val="Normalfollowingheading"/>
      </w:pPr>
      <w:r w:rsidRPr="00146BB6">
        <w:t>Some improvements are considered to be more effecti</w:t>
      </w:r>
      <w:r w:rsidR="00552254">
        <w:t>ve than others in making health</w:t>
      </w:r>
      <w:r w:rsidRPr="00146BB6">
        <w:t xml:space="preserve">care safer. See </w:t>
      </w:r>
      <w:r w:rsidRPr="00A92F78">
        <w:rPr>
          <w:b/>
        </w:rPr>
        <w:t>Appendix 2</w:t>
      </w:r>
      <w:r w:rsidRPr="00146BB6">
        <w:t xml:space="preserve"> for the approach SCV uses to assess the effectiveness of recommendations. </w:t>
      </w:r>
    </w:p>
    <w:p w14:paraId="7DD52B96" w14:textId="71097978" w:rsidR="004D4F88" w:rsidRDefault="004D4F88" w:rsidP="00263A66">
      <w:r>
        <w:t>Of the 466 recommendations:</w:t>
      </w:r>
    </w:p>
    <w:p w14:paraId="75F60EAD" w14:textId="77777777" w:rsidR="004D4F88" w:rsidRDefault="004D4F88" w:rsidP="004D4F88">
      <w:pPr>
        <w:pStyle w:val="Bullet1"/>
      </w:pPr>
      <w:r>
        <w:t>203 were assessed as weak</w:t>
      </w:r>
    </w:p>
    <w:p w14:paraId="7B9E0658" w14:textId="77777777" w:rsidR="004D4F88" w:rsidRDefault="004D4F88" w:rsidP="004D4F88">
      <w:pPr>
        <w:pStyle w:val="Bullet1"/>
      </w:pPr>
      <w:r>
        <w:t>213 as moderate</w:t>
      </w:r>
    </w:p>
    <w:p w14:paraId="786655C7" w14:textId="77777777" w:rsidR="004D4F88" w:rsidRPr="00677EB6" w:rsidRDefault="004D4F88" w:rsidP="004D4F88">
      <w:pPr>
        <w:pStyle w:val="Bullet1"/>
      </w:pPr>
      <w:r>
        <w:t>50 as strong.</w:t>
      </w:r>
    </w:p>
    <w:p w14:paraId="51C3859C" w14:textId="3494A808" w:rsidR="004D4F88" w:rsidRDefault="004D4F88" w:rsidP="004D4F88">
      <w:r>
        <w:t xml:space="preserve">While the detail of recommendations varied greatly, common themes were found across sentinel event categories. </w:t>
      </w:r>
      <w:r w:rsidR="00BA57F4" w:rsidRPr="00146BB6">
        <w:t>Changing or developing new</w:t>
      </w:r>
      <w:r w:rsidRPr="00146BB6">
        <w:t xml:space="preserve"> polic</w:t>
      </w:r>
      <w:r w:rsidR="00BA57F4" w:rsidRPr="00146BB6">
        <w:t>ies</w:t>
      </w:r>
      <w:r w:rsidRPr="00146BB6">
        <w:t>, procedure</w:t>
      </w:r>
      <w:r w:rsidR="00BA57F4" w:rsidRPr="00146BB6">
        <w:t>s</w:t>
      </w:r>
      <w:r w:rsidRPr="00146BB6">
        <w:t xml:space="preserve"> and guidelines were the most common</w:t>
      </w:r>
      <w:r w:rsidRPr="00146BB6">
        <w:rPr>
          <w:strike/>
        </w:rPr>
        <w:t xml:space="preserve"> </w:t>
      </w:r>
      <w:r w:rsidRPr="00146BB6">
        <w:t>(22%), closely followed by education</w:t>
      </w:r>
      <w:r w:rsidR="00BA57F4" w:rsidRPr="00146BB6">
        <w:t xml:space="preserve"> and training</w:t>
      </w:r>
      <w:r w:rsidR="00A92F78">
        <w:t xml:space="preserve"> (16%).</w:t>
      </w:r>
    </w:p>
    <w:p w14:paraId="54E9A583" w14:textId="666F36E7" w:rsidR="00263A66" w:rsidRDefault="00BA57F4" w:rsidP="00263A66">
      <w:pPr>
        <w:rPr>
          <w:rFonts w:ascii="VIC SemiBold" w:hAnsi="VIC SemiBold"/>
          <w:color w:val="007586" w:themeColor="text2"/>
          <w:spacing w:val="2"/>
          <w:szCs w:val="18"/>
        </w:rPr>
      </w:pPr>
      <w:r w:rsidRPr="00146BB6">
        <w:t xml:space="preserve">Three RCA reports did not have any recommendations. This is an improvement on </w:t>
      </w:r>
      <w:r w:rsidR="00A92F78">
        <w:t>2016–</w:t>
      </w:r>
      <w:r w:rsidRPr="00146BB6">
        <w:t>17 when six RCA reports were submitted without recommendations.</w:t>
      </w:r>
      <w:r w:rsidR="00263A66">
        <w:br w:type="page"/>
      </w:r>
    </w:p>
    <w:p w14:paraId="227F6563" w14:textId="5E829079" w:rsidR="0069469A" w:rsidRDefault="00A25568" w:rsidP="00D83739">
      <w:pPr>
        <w:pStyle w:val="Tablechartdiagramheading"/>
        <w:spacing w:after="0"/>
      </w:pPr>
      <w:r>
        <w:lastRenderedPageBreak/>
        <w:t>Table</w:t>
      </w:r>
      <w:r w:rsidR="0069469A" w:rsidRPr="00ED292E">
        <w:t xml:space="preserve"> </w:t>
      </w:r>
      <w:r w:rsidR="00A92F78" w:rsidRPr="00A92F78">
        <w:t>2</w:t>
      </w:r>
      <w:r w:rsidR="0069469A" w:rsidRPr="00A92F78">
        <w:t>:</w:t>
      </w:r>
      <w:r w:rsidR="0069469A" w:rsidRPr="00ED292E">
        <w:t xml:space="preserve"> </w:t>
      </w:r>
      <w:r w:rsidR="0069469A">
        <w:t>Breakdown of recommendation categories</w:t>
      </w:r>
    </w:p>
    <w:tbl>
      <w:tblPr>
        <w:tblStyle w:val="TableGrid"/>
        <w:tblW w:w="0" w:type="auto"/>
        <w:tblLayout w:type="fixed"/>
        <w:tblLook w:val="04A0" w:firstRow="1" w:lastRow="0" w:firstColumn="1" w:lastColumn="0" w:noHBand="0" w:noVBand="1"/>
      </w:tblPr>
      <w:tblGrid>
        <w:gridCol w:w="3119"/>
        <w:gridCol w:w="1205"/>
        <w:gridCol w:w="1205"/>
      </w:tblGrid>
      <w:tr w:rsidR="00A25568" w14:paraId="34AD01D1" w14:textId="77777777" w:rsidTr="00D140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0C6155CB" w14:textId="77777777" w:rsidR="00A25568" w:rsidRDefault="00A25568" w:rsidP="00A25568">
            <w:r>
              <w:t>Recommendation category</w:t>
            </w:r>
          </w:p>
        </w:tc>
        <w:tc>
          <w:tcPr>
            <w:tcW w:w="1205" w:type="dxa"/>
          </w:tcPr>
          <w:p w14:paraId="0D250386" w14:textId="77777777" w:rsidR="00A25568" w:rsidRDefault="00A25568" w:rsidP="00A25568">
            <w:pPr>
              <w:cnfStyle w:val="100000000000" w:firstRow="1" w:lastRow="0" w:firstColumn="0" w:lastColumn="0" w:oddVBand="0" w:evenVBand="0" w:oddHBand="0" w:evenHBand="0" w:firstRowFirstColumn="0" w:firstRowLastColumn="0" w:lastRowFirstColumn="0" w:lastRowLastColumn="0"/>
            </w:pPr>
            <w:r>
              <w:t>Number</w:t>
            </w:r>
          </w:p>
        </w:tc>
        <w:tc>
          <w:tcPr>
            <w:tcW w:w="1205" w:type="dxa"/>
          </w:tcPr>
          <w:p w14:paraId="6004D6B0" w14:textId="77777777" w:rsidR="00A25568" w:rsidRDefault="00A25568" w:rsidP="00A25568">
            <w:pPr>
              <w:cnfStyle w:val="100000000000" w:firstRow="1" w:lastRow="0" w:firstColumn="0" w:lastColumn="0" w:oddVBand="0" w:evenVBand="0" w:oddHBand="0" w:evenHBand="0" w:firstRowFirstColumn="0" w:firstRowLastColumn="0" w:lastRowFirstColumn="0" w:lastRowLastColumn="0"/>
            </w:pPr>
            <w:r>
              <w:t>Percentage</w:t>
            </w:r>
          </w:p>
        </w:tc>
      </w:tr>
      <w:tr w:rsidR="00A25568" w14:paraId="35CF447B" w14:textId="77777777" w:rsidTr="00D140DD">
        <w:tc>
          <w:tcPr>
            <w:cnfStyle w:val="001000000000" w:firstRow="0" w:lastRow="0" w:firstColumn="1" w:lastColumn="0" w:oddVBand="0" w:evenVBand="0" w:oddHBand="0" w:evenHBand="0" w:firstRowFirstColumn="0" w:firstRowLastColumn="0" w:lastRowFirstColumn="0" w:lastRowLastColumn="0"/>
            <w:tcW w:w="3119" w:type="dxa"/>
          </w:tcPr>
          <w:p w14:paraId="6C2B8DA2" w14:textId="77777777" w:rsidR="00A25568" w:rsidRDefault="00A25568" w:rsidP="00A25568">
            <w:r>
              <w:t>Policy, procedure or guidelines</w:t>
            </w:r>
          </w:p>
        </w:tc>
        <w:tc>
          <w:tcPr>
            <w:tcW w:w="1205" w:type="dxa"/>
          </w:tcPr>
          <w:p w14:paraId="5DE57078" w14:textId="5E0D6837" w:rsidR="00A25568" w:rsidRDefault="005320C8" w:rsidP="00D140DD">
            <w:pPr>
              <w:jc w:val="right"/>
              <w:cnfStyle w:val="000000000000" w:firstRow="0" w:lastRow="0" w:firstColumn="0" w:lastColumn="0" w:oddVBand="0" w:evenVBand="0" w:oddHBand="0" w:evenHBand="0" w:firstRowFirstColumn="0" w:firstRowLastColumn="0" w:lastRowFirstColumn="0" w:lastRowLastColumn="0"/>
            </w:pPr>
            <w:r w:rsidRPr="005320C8">
              <w:t>101</w:t>
            </w:r>
          </w:p>
        </w:tc>
        <w:tc>
          <w:tcPr>
            <w:tcW w:w="1205" w:type="dxa"/>
          </w:tcPr>
          <w:p w14:paraId="461885BC" w14:textId="77777777" w:rsidR="00A25568" w:rsidRDefault="00A25568" w:rsidP="00D140DD">
            <w:pPr>
              <w:jc w:val="right"/>
              <w:cnfStyle w:val="000000000000" w:firstRow="0" w:lastRow="0" w:firstColumn="0" w:lastColumn="0" w:oddVBand="0" w:evenVBand="0" w:oddHBand="0" w:evenHBand="0" w:firstRowFirstColumn="0" w:firstRowLastColumn="0" w:lastRowFirstColumn="0" w:lastRowLastColumn="0"/>
            </w:pPr>
            <w:r>
              <w:t>22%</w:t>
            </w:r>
          </w:p>
        </w:tc>
      </w:tr>
      <w:tr w:rsidR="00A25568" w14:paraId="46180C64" w14:textId="77777777" w:rsidTr="00D140DD">
        <w:tc>
          <w:tcPr>
            <w:cnfStyle w:val="001000000000" w:firstRow="0" w:lastRow="0" w:firstColumn="1" w:lastColumn="0" w:oddVBand="0" w:evenVBand="0" w:oddHBand="0" w:evenHBand="0" w:firstRowFirstColumn="0" w:firstRowLastColumn="0" w:lastRowFirstColumn="0" w:lastRowLastColumn="0"/>
            <w:tcW w:w="3119" w:type="dxa"/>
          </w:tcPr>
          <w:p w14:paraId="6B82EB96" w14:textId="77777777" w:rsidR="00A25568" w:rsidRDefault="00A25568" w:rsidP="00A25568">
            <w:r>
              <w:t>Education and training</w:t>
            </w:r>
          </w:p>
        </w:tc>
        <w:tc>
          <w:tcPr>
            <w:tcW w:w="1205" w:type="dxa"/>
          </w:tcPr>
          <w:p w14:paraId="1894CF95" w14:textId="6B79D6D8" w:rsidR="00A25568" w:rsidRDefault="005320C8" w:rsidP="00D140DD">
            <w:pPr>
              <w:jc w:val="right"/>
              <w:cnfStyle w:val="000000000000" w:firstRow="0" w:lastRow="0" w:firstColumn="0" w:lastColumn="0" w:oddVBand="0" w:evenVBand="0" w:oddHBand="0" w:evenHBand="0" w:firstRowFirstColumn="0" w:firstRowLastColumn="0" w:lastRowFirstColumn="0" w:lastRowLastColumn="0"/>
            </w:pPr>
            <w:r>
              <w:t>73</w:t>
            </w:r>
          </w:p>
        </w:tc>
        <w:tc>
          <w:tcPr>
            <w:tcW w:w="1205" w:type="dxa"/>
          </w:tcPr>
          <w:p w14:paraId="1FEC44CC" w14:textId="77777777" w:rsidR="00A25568" w:rsidRDefault="00A25568" w:rsidP="00D140DD">
            <w:pPr>
              <w:jc w:val="right"/>
              <w:cnfStyle w:val="000000000000" w:firstRow="0" w:lastRow="0" w:firstColumn="0" w:lastColumn="0" w:oddVBand="0" w:evenVBand="0" w:oddHBand="0" w:evenHBand="0" w:firstRowFirstColumn="0" w:firstRowLastColumn="0" w:lastRowFirstColumn="0" w:lastRowLastColumn="0"/>
            </w:pPr>
            <w:r>
              <w:t>16%</w:t>
            </w:r>
          </w:p>
        </w:tc>
      </w:tr>
      <w:tr w:rsidR="00A25568" w14:paraId="0CC595C8" w14:textId="77777777" w:rsidTr="00D140DD">
        <w:tc>
          <w:tcPr>
            <w:cnfStyle w:val="001000000000" w:firstRow="0" w:lastRow="0" w:firstColumn="1" w:lastColumn="0" w:oddVBand="0" w:evenVBand="0" w:oddHBand="0" w:evenHBand="0" w:firstRowFirstColumn="0" w:firstRowLastColumn="0" w:lastRowFirstColumn="0" w:lastRowLastColumn="0"/>
            <w:tcW w:w="3119" w:type="dxa"/>
          </w:tcPr>
          <w:p w14:paraId="23A040B5" w14:textId="77777777" w:rsidR="00A25568" w:rsidRDefault="00A25568" w:rsidP="00A25568">
            <w:r>
              <w:t>Technology</w:t>
            </w:r>
          </w:p>
        </w:tc>
        <w:tc>
          <w:tcPr>
            <w:tcW w:w="1205" w:type="dxa"/>
          </w:tcPr>
          <w:p w14:paraId="55DF1434" w14:textId="340C3D60" w:rsidR="00A25568" w:rsidRDefault="005320C8" w:rsidP="00D140DD">
            <w:pPr>
              <w:jc w:val="right"/>
              <w:cnfStyle w:val="000000000000" w:firstRow="0" w:lastRow="0" w:firstColumn="0" w:lastColumn="0" w:oddVBand="0" w:evenVBand="0" w:oddHBand="0" w:evenHBand="0" w:firstRowFirstColumn="0" w:firstRowLastColumn="0" w:lastRowFirstColumn="0" w:lastRowLastColumn="0"/>
            </w:pPr>
            <w:r>
              <w:t>25</w:t>
            </w:r>
          </w:p>
        </w:tc>
        <w:tc>
          <w:tcPr>
            <w:tcW w:w="1205" w:type="dxa"/>
          </w:tcPr>
          <w:p w14:paraId="6A16EE6C" w14:textId="77777777" w:rsidR="00A25568" w:rsidRDefault="00A25568" w:rsidP="00D140DD">
            <w:pPr>
              <w:jc w:val="right"/>
              <w:cnfStyle w:val="000000000000" w:firstRow="0" w:lastRow="0" w:firstColumn="0" w:lastColumn="0" w:oddVBand="0" w:evenVBand="0" w:oddHBand="0" w:evenHBand="0" w:firstRowFirstColumn="0" w:firstRowLastColumn="0" w:lastRowFirstColumn="0" w:lastRowLastColumn="0"/>
            </w:pPr>
            <w:r>
              <w:t>5%</w:t>
            </w:r>
          </w:p>
        </w:tc>
      </w:tr>
      <w:tr w:rsidR="00A25568" w14:paraId="0FF09B05" w14:textId="77777777" w:rsidTr="00D140DD">
        <w:tc>
          <w:tcPr>
            <w:cnfStyle w:val="001000000000" w:firstRow="0" w:lastRow="0" w:firstColumn="1" w:lastColumn="0" w:oddVBand="0" w:evenVBand="0" w:oddHBand="0" w:evenHBand="0" w:firstRowFirstColumn="0" w:firstRowLastColumn="0" w:lastRowFirstColumn="0" w:lastRowLastColumn="0"/>
            <w:tcW w:w="3119" w:type="dxa"/>
          </w:tcPr>
          <w:p w14:paraId="130FC664" w14:textId="77777777" w:rsidR="00A25568" w:rsidRDefault="00A25568" w:rsidP="00A25568">
            <w:r>
              <w:t>Communication</w:t>
            </w:r>
          </w:p>
        </w:tc>
        <w:tc>
          <w:tcPr>
            <w:tcW w:w="1205" w:type="dxa"/>
          </w:tcPr>
          <w:p w14:paraId="5F3AAEA9" w14:textId="683B136B" w:rsidR="00A25568" w:rsidRDefault="005320C8" w:rsidP="00D140DD">
            <w:pPr>
              <w:jc w:val="right"/>
              <w:cnfStyle w:val="000000000000" w:firstRow="0" w:lastRow="0" w:firstColumn="0" w:lastColumn="0" w:oddVBand="0" w:evenVBand="0" w:oddHBand="0" w:evenHBand="0" w:firstRowFirstColumn="0" w:firstRowLastColumn="0" w:lastRowFirstColumn="0" w:lastRowLastColumn="0"/>
            </w:pPr>
            <w:r>
              <w:t>52</w:t>
            </w:r>
          </w:p>
        </w:tc>
        <w:tc>
          <w:tcPr>
            <w:tcW w:w="1205" w:type="dxa"/>
          </w:tcPr>
          <w:p w14:paraId="694B7C68" w14:textId="77777777" w:rsidR="00A25568" w:rsidRDefault="00A25568" w:rsidP="00D140DD">
            <w:pPr>
              <w:jc w:val="right"/>
              <w:cnfStyle w:val="000000000000" w:firstRow="0" w:lastRow="0" w:firstColumn="0" w:lastColumn="0" w:oddVBand="0" w:evenVBand="0" w:oddHBand="0" w:evenHBand="0" w:firstRowFirstColumn="0" w:firstRowLastColumn="0" w:lastRowFirstColumn="0" w:lastRowLastColumn="0"/>
            </w:pPr>
            <w:r>
              <w:t>11%</w:t>
            </w:r>
          </w:p>
        </w:tc>
      </w:tr>
      <w:tr w:rsidR="00A25568" w14:paraId="6A06B41D" w14:textId="77777777" w:rsidTr="00D140DD">
        <w:tc>
          <w:tcPr>
            <w:cnfStyle w:val="001000000000" w:firstRow="0" w:lastRow="0" w:firstColumn="1" w:lastColumn="0" w:oddVBand="0" w:evenVBand="0" w:oddHBand="0" w:evenHBand="0" w:firstRowFirstColumn="0" w:firstRowLastColumn="0" w:lastRowFirstColumn="0" w:lastRowLastColumn="0"/>
            <w:tcW w:w="3119" w:type="dxa"/>
          </w:tcPr>
          <w:p w14:paraId="1C77BE40" w14:textId="77777777" w:rsidR="00A25568" w:rsidRDefault="00A25568" w:rsidP="00A25568">
            <w:r>
              <w:t>Risk assessment</w:t>
            </w:r>
          </w:p>
        </w:tc>
        <w:tc>
          <w:tcPr>
            <w:tcW w:w="1205" w:type="dxa"/>
          </w:tcPr>
          <w:p w14:paraId="38CA4FE7" w14:textId="61ABD97B" w:rsidR="00A25568" w:rsidRDefault="005320C8" w:rsidP="00D140DD">
            <w:pPr>
              <w:jc w:val="right"/>
              <w:cnfStyle w:val="000000000000" w:firstRow="0" w:lastRow="0" w:firstColumn="0" w:lastColumn="0" w:oddVBand="0" w:evenVBand="0" w:oddHBand="0" w:evenHBand="0" w:firstRowFirstColumn="0" w:firstRowLastColumn="0" w:lastRowFirstColumn="0" w:lastRowLastColumn="0"/>
            </w:pPr>
            <w:r>
              <w:t>33</w:t>
            </w:r>
          </w:p>
        </w:tc>
        <w:tc>
          <w:tcPr>
            <w:tcW w:w="1205" w:type="dxa"/>
          </w:tcPr>
          <w:p w14:paraId="446822AA" w14:textId="77777777" w:rsidR="00A25568" w:rsidRDefault="00A25568" w:rsidP="00D140DD">
            <w:pPr>
              <w:jc w:val="right"/>
              <w:cnfStyle w:val="000000000000" w:firstRow="0" w:lastRow="0" w:firstColumn="0" w:lastColumn="0" w:oddVBand="0" w:evenVBand="0" w:oddHBand="0" w:evenHBand="0" w:firstRowFirstColumn="0" w:firstRowLastColumn="0" w:lastRowFirstColumn="0" w:lastRowLastColumn="0"/>
            </w:pPr>
            <w:r>
              <w:t>7%</w:t>
            </w:r>
          </w:p>
        </w:tc>
      </w:tr>
      <w:tr w:rsidR="00A25568" w14:paraId="77E9C8C8" w14:textId="77777777" w:rsidTr="00D140DD">
        <w:tc>
          <w:tcPr>
            <w:cnfStyle w:val="001000000000" w:firstRow="0" w:lastRow="0" w:firstColumn="1" w:lastColumn="0" w:oddVBand="0" w:evenVBand="0" w:oddHBand="0" w:evenHBand="0" w:firstRowFirstColumn="0" w:firstRowLastColumn="0" w:lastRowFirstColumn="0" w:lastRowLastColumn="0"/>
            <w:tcW w:w="3119" w:type="dxa"/>
          </w:tcPr>
          <w:p w14:paraId="1E38AD01" w14:textId="77777777" w:rsidR="00A25568" w:rsidRDefault="00A25568" w:rsidP="00A25568">
            <w:r>
              <w:t>Clinical process</w:t>
            </w:r>
          </w:p>
        </w:tc>
        <w:tc>
          <w:tcPr>
            <w:tcW w:w="1205" w:type="dxa"/>
          </w:tcPr>
          <w:p w14:paraId="7F51CB7D" w14:textId="141EE383" w:rsidR="00A25568" w:rsidRDefault="005320C8" w:rsidP="00D140DD">
            <w:pPr>
              <w:jc w:val="right"/>
              <w:cnfStyle w:val="000000000000" w:firstRow="0" w:lastRow="0" w:firstColumn="0" w:lastColumn="0" w:oddVBand="0" w:evenVBand="0" w:oddHBand="0" w:evenHBand="0" w:firstRowFirstColumn="0" w:firstRowLastColumn="0" w:lastRowFirstColumn="0" w:lastRowLastColumn="0"/>
            </w:pPr>
            <w:r>
              <w:t>29</w:t>
            </w:r>
          </w:p>
        </w:tc>
        <w:tc>
          <w:tcPr>
            <w:tcW w:w="1205" w:type="dxa"/>
          </w:tcPr>
          <w:p w14:paraId="7FF8693A" w14:textId="77777777" w:rsidR="00A25568" w:rsidRDefault="00A25568" w:rsidP="00D140DD">
            <w:pPr>
              <w:jc w:val="right"/>
              <w:cnfStyle w:val="000000000000" w:firstRow="0" w:lastRow="0" w:firstColumn="0" w:lastColumn="0" w:oddVBand="0" w:evenVBand="0" w:oddHBand="0" w:evenHBand="0" w:firstRowFirstColumn="0" w:firstRowLastColumn="0" w:lastRowFirstColumn="0" w:lastRowLastColumn="0"/>
            </w:pPr>
            <w:r>
              <w:t>6%</w:t>
            </w:r>
          </w:p>
        </w:tc>
      </w:tr>
      <w:tr w:rsidR="00A25568" w14:paraId="5FADB385" w14:textId="77777777" w:rsidTr="00D140DD">
        <w:tc>
          <w:tcPr>
            <w:cnfStyle w:val="001000000000" w:firstRow="0" w:lastRow="0" w:firstColumn="1" w:lastColumn="0" w:oddVBand="0" w:evenVBand="0" w:oddHBand="0" w:evenHBand="0" w:firstRowFirstColumn="0" w:firstRowLastColumn="0" w:lastRowFirstColumn="0" w:lastRowLastColumn="0"/>
            <w:tcW w:w="3119" w:type="dxa"/>
          </w:tcPr>
          <w:p w14:paraId="5EC8A474" w14:textId="77777777" w:rsidR="00A25568" w:rsidRDefault="00A25568" w:rsidP="00A25568">
            <w:r>
              <w:t>Staffing and workforce</w:t>
            </w:r>
          </w:p>
        </w:tc>
        <w:tc>
          <w:tcPr>
            <w:tcW w:w="1205" w:type="dxa"/>
          </w:tcPr>
          <w:p w14:paraId="5259E376" w14:textId="3C8DB3F5" w:rsidR="00A25568" w:rsidRDefault="005320C8" w:rsidP="00D140DD">
            <w:pPr>
              <w:jc w:val="right"/>
              <w:cnfStyle w:val="000000000000" w:firstRow="0" w:lastRow="0" w:firstColumn="0" w:lastColumn="0" w:oddVBand="0" w:evenVBand="0" w:oddHBand="0" w:evenHBand="0" w:firstRowFirstColumn="0" w:firstRowLastColumn="0" w:lastRowFirstColumn="0" w:lastRowLastColumn="0"/>
            </w:pPr>
            <w:r>
              <w:t>21</w:t>
            </w:r>
          </w:p>
        </w:tc>
        <w:tc>
          <w:tcPr>
            <w:tcW w:w="1205" w:type="dxa"/>
          </w:tcPr>
          <w:p w14:paraId="5D78003B" w14:textId="77777777" w:rsidR="00A25568" w:rsidRDefault="00A25568" w:rsidP="00D140DD">
            <w:pPr>
              <w:jc w:val="right"/>
              <w:cnfStyle w:val="000000000000" w:firstRow="0" w:lastRow="0" w:firstColumn="0" w:lastColumn="0" w:oddVBand="0" w:evenVBand="0" w:oddHBand="0" w:evenHBand="0" w:firstRowFirstColumn="0" w:firstRowLastColumn="0" w:lastRowFirstColumn="0" w:lastRowLastColumn="0"/>
            </w:pPr>
            <w:r>
              <w:t>5%</w:t>
            </w:r>
          </w:p>
        </w:tc>
      </w:tr>
      <w:tr w:rsidR="00ED380F" w14:paraId="7D9DDB30" w14:textId="77777777" w:rsidTr="00D140DD">
        <w:tc>
          <w:tcPr>
            <w:cnfStyle w:val="001000000000" w:firstRow="0" w:lastRow="0" w:firstColumn="1" w:lastColumn="0" w:oddVBand="0" w:evenVBand="0" w:oddHBand="0" w:evenHBand="0" w:firstRowFirstColumn="0" w:firstRowLastColumn="0" w:lastRowFirstColumn="0" w:lastRowLastColumn="0"/>
            <w:tcW w:w="3119" w:type="dxa"/>
          </w:tcPr>
          <w:p w14:paraId="17BA4C6A" w14:textId="21828C0F" w:rsidR="00ED380F" w:rsidRDefault="00ED380F" w:rsidP="00A25568">
            <w:r>
              <w:t>Decision making support</w:t>
            </w:r>
          </w:p>
        </w:tc>
        <w:tc>
          <w:tcPr>
            <w:tcW w:w="1205" w:type="dxa"/>
          </w:tcPr>
          <w:p w14:paraId="61123BF3" w14:textId="0A2B58FC" w:rsidR="00ED380F" w:rsidRDefault="005320C8" w:rsidP="00D140DD">
            <w:pPr>
              <w:jc w:val="right"/>
              <w:cnfStyle w:val="000000000000" w:firstRow="0" w:lastRow="0" w:firstColumn="0" w:lastColumn="0" w:oddVBand="0" w:evenVBand="0" w:oddHBand="0" w:evenHBand="0" w:firstRowFirstColumn="0" w:firstRowLastColumn="0" w:lastRowFirstColumn="0" w:lastRowLastColumn="0"/>
            </w:pPr>
            <w:r>
              <w:t>21</w:t>
            </w:r>
          </w:p>
        </w:tc>
        <w:tc>
          <w:tcPr>
            <w:tcW w:w="1205" w:type="dxa"/>
          </w:tcPr>
          <w:p w14:paraId="1392B105" w14:textId="09A3AA37" w:rsidR="00ED380F" w:rsidRDefault="00ED380F" w:rsidP="00D140DD">
            <w:pPr>
              <w:jc w:val="right"/>
              <w:cnfStyle w:val="000000000000" w:firstRow="0" w:lastRow="0" w:firstColumn="0" w:lastColumn="0" w:oddVBand="0" w:evenVBand="0" w:oddHBand="0" w:evenHBand="0" w:firstRowFirstColumn="0" w:firstRowLastColumn="0" w:lastRowFirstColumn="0" w:lastRowLastColumn="0"/>
            </w:pPr>
            <w:r>
              <w:t>5%</w:t>
            </w:r>
          </w:p>
        </w:tc>
      </w:tr>
      <w:tr w:rsidR="00A25568" w14:paraId="4B99EA76" w14:textId="77777777" w:rsidTr="00D140DD">
        <w:tc>
          <w:tcPr>
            <w:cnfStyle w:val="001000000000" w:firstRow="0" w:lastRow="0" w:firstColumn="1" w:lastColumn="0" w:oddVBand="0" w:evenVBand="0" w:oddHBand="0" w:evenHBand="0" w:firstRowFirstColumn="0" w:firstRowLastColumn="0" w:lastRowFirstColumn="0" w:lastRowLastColumn="0"/>
            <w:tcW w:w="3119" w:type="dxa"/>
          </w:tcPr>
          <w:p w14:paraId="637929EF" w14:textId="483F46DA" w:rsidR="00A25568" w:rsidRDefault="005320C8" w:rsidP="00A25568">
            <w:r>
              <w:t>Equipment</w:t>
            </w:r>
          </w:p>
        </w:tc>
        <w:tc>
          <w:tcPr>
            <w:tcW w:w="1205" w:type="dxa"/>
          </w:tcPr>
          <w:p w14:paraId="3A4A9462" w14:textId="690FF6A7" w:rsidR="00A25568" w:rsidRDefault="005320C8" w:rsidP="00D140DD">
            <w:pPr>
              <w:jc w:val="right"/>
              <w:cnfStyle w:val="000000000000" w:firstRow="0" w:lastRow="0" w:firstColumn="0" w:lastColumn="0" w:oddVBand="0" w:evenVBand="0" w:oddHBand="0" w:evenHBand="0" w:firstRowFirstColumn="0" w:firstRowLastColumn="0" w:lastRowFirstColumn="0" w:lastRowLastColumn="0"/>
            </w:pPr>
            <w:r>
              <w:t>20</w:t>
            </w:r>
          </w:p>
        </w:tc>
        <w:tc>
          <w:tcPr>
            <w:tcW w:w="1205" w:type="dxa"/>
          </w:tcPr>
          <w:p w14:paraId="5A2B5648" w14:textId="69231D8F" w:rsidR="00A25568" w:rsidRDefault="005320C8" w:rsidP="00D140DD">
            <w:pPr>
              <w:jc w:val="right"/>
              <w:cnfStyle w:val="000000000000" w:firstRow="0" w:lastRow="0" w:firstColumn="0" w:lastColumn="0" w:oddVBand="0" w:evenVBand="0" w:oddHBand="0" w:evenHBand="0" w:firstRowFirstColumn="0" w:firstRowLastColumn="0" w:lastRowFirstColumn="0" w:lastRowLastColumn="0"/>
            </w:pPr>
            <w:r>
              <w:t>4%</w:t>
            </w:r>
          </w:p>
        </w:tc>
      </w:tr>
      <w:tr w:rsidR="005320C8" w14:paraId="4F6B4231" w14:textId="77777777" w:rsidTr="00D140DD">
        <w:tc>
          <w:tcPr>
            <w:cnfStyle w:val="001000000000" w:firstRow="0" w:lastRow="0" w:firstColumn="1" w:lastColumn="0" w:oddVBand="0" w:evenVBand="0" w:oddHBand="0" w:evenHBand="0" w:firstRowFirstColumn="0" w:firstRowLastColumn="0" w:lastRowFirstColumn="0" w:lastRowLastColumn="0"/>
            <w:tcW w:w="3119" w:type="dxa"/>
          </w:tcPr>
          <w:p w14:paraId="79F2EE3B" w14:textId="77777777" w:rsidR="005320C8" w:rsidRDefault="005320C8" w:rsidP="00CC35E0">
            <w:r>
              <w:t>Documentation</w:t>
            </w:r>
          </w:p>
        </w:tc>
        <w:tc>
          <w:tcPr>
            <w:tcW w:w="1205" w:type="dxa"/>
          </w:tcPr>
          <w:p w14:paraId="77AA3402" w14:textId="77777777" w:rsidR="005320C8" w:rsidRDefault="005320C8" w:rsidP="00D140DD">
            <w:pPr>
              <w:jc w:val="right"/>
              <w:cnfStyle w:val="000000000000" w:firstRow="0" w:lastRow="0" w:firstColumn="0" w:lastColumn="0" w:oddVBand="0" w:evenVBand="0" w:oddHBand="0" w:evenHBand="0" w:firstRowFirstColumn="0" w:firstRowLastColumn="0" w:lastRowFirstColumn="0" w:lastRowLastColumn="0"/>
            </w:pPr>
            <w:r>
              <w:t>16</w:t>
            </w:r>
          </w:p>
        </w:tc>
        <w:tc>
          <w:tcPr>
            <w:tcW w:w="1205" w:type="dxa"/>
          </w:tcPr>
          <w:p w14:paraId="579A2431" w14:textId="77777777" w:rsidR="005320C8" w:rsidRDefault="005320C8" w:rsidP="00D140DD">
            <w:pPr>
              <w:jc w:val="right"/>
              <w:cnfStyle w:val="000000000000" w:firstRow="0" w:lastRow="0" w:firstColumn="0" w:lastColumn="0" w:oddVBand="0" w:evenVBand="0" w:oddHBand="0" w:evenHBand="0" w:firstRowFirstColumn="0" w:firstRowLastColumn="0" w:lastRowFirstColumn="0" w:lastRowLastColumn="0"/>
            </w:pPr>
            <w:r>
              <w:t>3%</w:t>
            </w:r>
          </w:p>
        </w:tc>
      </w:tr>
      <w:tr w:rsidR="005320C8" w14:paraId="57427994" w14:textId="77777777" w:rsidTr="00D140DD">
        <w:tc>
          <w:tcPr>
            <w:cnfStyle w:val="001000000000" w:firstRow="0" w:lastRow="0" w:firstColumn="1" w:lastColumn="0" w:oddVBand="0" w:evenVBand="0" w:oddHBand="0" w:evenHBand="0" w:firstRowFirstColumn="0" w:firstRowLastColumn="0" w:lastRowFirstColumn="0" w:lastRowLastColumn="0"/>
            <w:tcW w:w="3119" w:type="dxa"/>
          </w:tcPr>
          <w:p w14:paraId="6AC496B1" w14:textId="3C3F064F" w:rsidR="005320C8" w:rsidRDefault="005320C8" w:rsidP="005320C8">
            <w:r>
              <w:t>Environment</w:t>
            </w:r>
          </w:p>
        </w:tc>
        <w:tc>
          <w:tcPr>
            <w:tcW w:w="1205" w:type="dxa"/>
          </w:tcPr>
          <w:p w14:paraId="12D5FEBD" w14:textId="58E1DCAA" w:rsidR="005320C8" w:rsidRDefault="005320C8" w:rsidP="00D140DD">
            <w:pPr>
              <w:jc w:val="right"/>
              <w:cnfStyle w:val="000000000000" w:firstRow="0" w:lastRow="0" w:firstColumn="0" w:lastColumn="0" w:oddVBand="0" w:evenVBand="0" w:oddHBand="0" w:evenHBand="0" w:firstRowFirstColumn="0" w:firstRowLastColumn="0" w:lastRowFirstColumn="0" w:lastRowLastColumn="0"/>
            </w:pPr>
            <w:r>
              <w:t>14</w:t>
            </w:r>
          </w:p>
        </w:tc>
        <w:tc>
          <w:tcPr>
            <w:tcW w:w="1205" w:type="dxa"/>
          </w:tcPr>
          <w:p w14:paraId="369A447E" w14:textId="6BDB4909" w:rsidR="005320C8" w:rsidRDefault="005320C8" w:rsidP="00D140DD">
            <w:pPr>
              <w:jc w:val="right"/>
              <w:cnfStyle w:val="000000000000" w:firstRow="0" w:lastRow="0" w:firstColumn="0" w:lastColumn="0" w:oddVBand="0" w:evenVBand="0" w:oddHBand="0" w:evenHBand="0" w:firstRowFirstColumn="0" w:firstRowLastColumn="0" w:lastRowFirstColumn="0" w:lastRowLastColumn="0"/>
            </w:pPr>
            <w:r>
              <w:t>3%</w:t>
            </w:r>
          </w:p>
        </w:tc>
      </w:tr>
      <w:tr w:rsidR="005320C8" w14:paraId="04297CF4" w14:textId="77777777" w:rsidTr="00D140DD">
        <w:tc>
          <w:tcPr>
            <w:cnfStyle w:val="001000000000" w:firstRow="0" w:lastRow="0" w:firstColumn="1" w:lastColumn="0" w:oddVBand="0" w:evenVBand="0" w:oddHBand="0" w:evenHBand="0" w:firstRowFirstColumn="0" w:firstRowLastColumn="0" w:lastRowFirstColumn="0" w:lastRowLastColumn="0"/>
            <w:tcW w:w="3119" w:type="dxa"/>
          </w:tcPr>
          <w:p w14:paraId="2C3EFA82" w14:textId="568DD1F5" w:rsidR="005320C8" w:rsidRDefault="005320C8" w:rsidP="005320C8">
            <w:r>
              <w:t>Clinical governance</w:t>
            </w:r>
          </w:p>
        </w:tc>
        <w:tc>
          <w:tcPr>
            <w:tcW w:w="1205" w:type="dxa"/>
          </w:tcPr>
          <w:p w14:paraId="071D1B9B" w14:textId="19BC8F3B" w:rsidR="005320C8" w:rsidRDefault="005320C8" w:rsidP="00D140DD">
            <w:pPr>
              <w:jc w:val="right"/>
              <w:cnfStyle w:val="000000000000" w:firstRow="0" w:lastRow="0" w:firstColumn="0" w:lastColumn="0" w:oddVBand="0" w:evenVBand="0" w:oddHBand="0" w:evenHBand="0" w:firstRowFirstColumn="0" w:firstRowLastColumn="0" w:lastRowFirstColumn="0" w:lastRowLastColumn="0"/>
            </w:pPr>
            <w:r>
              <w:t>12</w:t>
            </w:r>
          </w:p>
        </w:tc>
        <w:tc>
          <w:tcPr>
            <w:tcW w:w="1205" w:type="dxa"/>
          </w:tcPr>
          <w:p w14:paraId="02B8BCA3" w14:textId="71CF7B22" w:rsidR="005320C8" w:rsidRDefault="005320C8" w:rsidP="00D140DD">
            <w:pPr>
              <w:jc w:val="right"/>
              <w:cnfStyle w:val="000000000000" w:firstRow="0" w:lastRow="0" w:firstColumn="0" w:lastColumn="0" w:oddVBand="0" w:evenVBand="0" w:oddHBand="0" w:evenHBand="0" w:firstRowFirstColumn="0" w:firstRowLastColumn="0" w:lastRowFirstColumn="0" w:lastRowLastColumn="0"/>
            </w:pPr>
            <w:r>
              <w:t>3%</w:t>
            </w:r>
          </w:p>
        </w:tc>
      </w:tr>
    </w:tbl>
    <w:p w14:paraId="46AB57E9" w14:textId="1D32315A" w:rsidR="00A25568" w:rsidRDefault="00A25568" w:rsidP="00D83739">
      <w:pPr>
        <w:pStyle w:val="Heading2"/>
        <w:spacing w:before="240"/>
      </w:pPr>
      <w:bookmarkStart w:id="38" w:name="_Toc532460426"/>
      <w:r>
        <w:t>The year ahead</w:t>
      </w:r>
      <w:bookmarkEnd w:id="38"/>
    </w:p>
    <w:p w14:paraId="36586A1D" w14:textId="77777777" w:rsidR="00A25568" w:rsidRDefault="00A25568" w:rsidP="00A92F78">
      <w:pPr>
        <w:pStyle w:val="Heading3"/>
        <w:spacing w:before="120"/>
      </w:pPr>
      <w:bookmarkStart w:id="39" w:name="_Toc530666097"/>
      <w:bookmarkStart w:id="40" w:name="_Toc532460427"/>
      <w:r>
        <w:t>Finding external review team members</w:t>
      </w:r>
      <w:bookmarkEnd w:id="39"/>
      <w:bookmarkEnd w:id="40"/>
    </w:p>
    <w:p w14:paraId="78EBBB57" w14:textId="27E287DA" w:rsidR="00A25568" w:rsidRPr="00146BB6" w:rsidRDefault="00F079B0" w:rsidP="00D83739">
      <w:pPr>
        <w:pStyle w:val="Normalfollowingheading"/>
        <w:spacing w:after="100" w:line="260" w:lineRule="atLeast"/>
      </w:pPr>
      <w:r>
        <w:t>SCV will be</w:t>
      </w:r>
      <w:r w:rsidR="004D4F88" w:rsidRPr="00146BB6">
        <w:t xml:space="preserve"> introducing a new online platform t</w:t>
      </w:r>
      <w:r w:rsidR="007A2088">
        <w:t>o help health services meet the</w:t>
      </w:r>
      <w:r w:rsidR="004D4F88" w:rsidRPr="00146BB6">
        <w:t xml:space="preserve"> requirement for an </w:t>
      </w:r>
      <w:r>
        <w:t xml:space="preserve">external </w:t>
      </w:r>
      <w:r w:rsidR="004D4F88" w:rsidRPr="00146BB6">
        <w:t xml:space="preserve">independent panel member on all sentinel event review panels. The PEER platform allows </w:t>
      </w:r>
      <w:r w:rsidR="00BA57F4" w:rsidRPr="00146BB6">
        <w:t>health services</w:t>
      </w:r>
      <w:r w:rsidR="004D4F88" w:rsidRPr="00146BB6">
        <w:t xml:space="preserve"> to search via location, discipline and </w:t>
      </w:r>
      <w:r w:rsidR="00BA57F4" w:rsidRPr="00146BB6">
        <w:t>clinical specialty</w:t>
      </w:r>
      <w:r w:rsidR="004D4F88" w:rsidRPr="00146BB6">
        <w:t xml:space="preserve"> to find an independent </w:t>
      </w:r>
      <w:r w:rsidR="00856CC3">
        <w:t>member</w:t>
      </w:r>
      <w:r w:rsidR="00BA57F4" w:rsidRPr="00146BB6">
        <w:t xml:space="preserve"> for their RCA review team</w:t>
      </w:r>
      <w:r w:rsidR="00A92F78">
        <w:t>.</w:t>
      </w:r>
    </w:p>
    <w:p w14:paraId="067EEC86" w14:textId="77777777" w:rsidR="00A25568" w:rsidRDefault="00A25568" w:rsidP="00A92F78">
      <w:pPr>
        <w:pStyle w:val="Heading3"/>
        <w:spacing w:before="120"/>
      </w:pPr>
      <w:bookmarkStart w:id="41" w:name="_Toc530666098"/>
      <w:bookmarkStart w:id="42" w:name="_Toc532460428"/>
      <w:bookmarkStart w:id="43" w:name="_Hlk530730427"/>
      <w:r w:rsidRPr="0047647D">
        <w:t>Supporting review documentation</w:t>
      </w:r>
      <w:bookmarkEnd w:id="41"/>
      <w:bookmarkEnd w:id="42"/>
    </w:p>
    <w:p w14:paraId="741185CA" w14:textId="1A27E7B6" w:rsidR="00BB3A65" w:rsidRDefault="00EE762E" w:rsidP="00D83739">
      <w:pPr>
        <w:pStyle w:val="Normalfollowingheading"/>
        <w:spacing w:after="100" w:line="260" w:lineRule="atLeast"/>
      </w:pPr>
      <w:r>
        <w:t>SCV supports the principles of an open and transparent approach to incident management review and records maintenance.</w:t>
      </w:r>
      <w:r w:rsidR="00BB3A65">
        <w:t xml:space="preserve"> </w:t>
      </w:r>
      <w:r w:rsidR="00A92F78">
        <w:t>We</w:t>
      </w:r>
      <w:r w:rsidR="00BB3A65">
        <w:t xml:space="preserve"> will be issuing guidance to help health services navigate what review documents must be retained and how they should b</w:t>
      </w:r>
      <w:r w:rsidR="00A92F78">
        <w:t>e maintained. This will include:</w:t>
      </w:r>
    </w:p>
    <w:p w14:paraId="358EC434" w14:textId="2A8A57F5" w:rsidR="00EE762E" w:rsidRPr="00146BB6" w:rsidRDefault="00E33B43" w:rsidP="00D83739">
      <w:pPr>
        <w:pStyle w:val="Bullet1"/>
        <w:spacing w:line="240" w:lineRule="atLeast"/>
      </w:pPr>
      <w:r w:rsidRPr="00146BB6">
        <w:t xml:space="preserve">an overview of the </w:t>
      </w:r>
      <w:r w:rsidR="00146BB6" w:rsidRPr="00146BB6">
        <w:t>type</w:t>
      </w:r>
      <w:r w:rsidRPr="00146BB6">
        <w:t xml:space="preserve"> of information that can be considered</w:t>
      </w:r>
      <w:r w:rsidR="00EE762E" w:rsidRPr="00146BB6">
        <w:t xml:space="preserve"> incident review </w:t>
      </w:r>
      <w:r w:rsidR="00BB3A65" w:rsidRPr="00146BB6">
        <w:t>documentation</w:t>
      </w:r>
    </w:p>
    <w:p w14:paraId="577BF4F6" w14:textId="1C628016" w:rsidR="00E33B43" w:rsidRPr="00146BB6" w:rsidRDefault="00E33B43" w:rsidP="00D83739">
      <w:pPr>
        <w:pStyle w:val="Bullet1"/>
        <w:spacing w:line="240" w:lineRule="atLeast"/>
      </w:pPr>
      <w:r w:rsidRPr="00146BB6">
        <w:t>best practice approaches to creating, sharing and storing review documents securely</w:t>
      </w:r>
    </w:p>
    <w:p w14:paraId="4109D848" w14:textId="15862D13" w:rsidR="00EE762E" w:rsidRPr="00EE762E" w:rsidRDefault="00EE762E" w:rsidP="00D83739">
      <w:pPr>
        <w:pStyle w:val="Bullet1"/>
        <w:spacing w:line="240" w:lineRule="atLeast"/>
      </w:pPr>
      <w:r w:rsidRPr="00EE762E">
        <w:t>tips for good document management when undertaking incident reviews.</w:t>
      </w:r>
    </w:p>
    <w:p w14:paraId="31BB1062" w14:textId="77777777" w:rsidR="00A25568" w:rsidRDefault="00A25568" w:rsidP="00A92F78">
      <w:pPr>
        <w:pStyle w:val="Heading3"/>
        <w:spacing w:before="120"/>
      </w:pPr>
      <w:bookmarkStart w:id="44" w:name="_Toc530666099"/>
      <w:bookmarkStart w:id="45" w:name="_Toc532460429"/>
      <w:bookmarkEnd w:id="43"/>
      <w:r>
        <w:t>Increasing consumer representation</w:t>
      </w:r>
      <w:bookmarkEnd w:id="44"/>
      <w:bookmarkEnd w:id="45"/>
    </w:p>
    <w:p w14:paraId="70704B5A" w14:textId="77777777" w:rsidR="004D4F88" w:rsidRDefault="004D4F88" w:rsidP="00D83739">
      <w:pPr>
        <w:pStyle w:val="Normalfollowingheading"/>
        <w:spacing w:after="100" w:line="260" w:lineRule="atLeast"/>
      </w:pPr>
      <w:r>
        <w:t>SCV is working to support increased consumer participation through:</w:t>
      </w:r>
    </w:p>
    <w:p w14:paraId="1F07AE0A" w14:textId="6D9AAD41" w:rsidR="004D4F88" w:rsidRDefault="00146BB6" w:rsidP="00D83739">
      <w:pPr>
        <w:pStyle w:val="Bullet1"/>
        <w:spacing w:line="240" w:lineRule="atLeast"/>
      </w:pPr>
      <w:r w:rsidRPr="00146BB6">
        <w:t xml:space="preserve">the </w:t>
      </w:r>
      <w:r w:rsidR="00E33B43" w:rsidRPr="00146BB6">
        <w:t xml:space="preserve">development of </w:t>
      </w:r>
      <w:r w:rsidR="004D4F88">
        <w:t>new guidelines</w:t>
      </w:r>
      <w:r>
        <w:t xml:space="preserve"> for health services</w:t>
      </w:r>
      <w:r w:rsidR="004D4F88">
        <w:t xml:space="preserve"> to inform consumer representative recruitment, training</w:t>
      </w:r>
      <w:r w:rsidR="007A2088">
        <w:t xml:space="preserve"> </w:t>
      </w:r>
      <w:r w:rsidR="004D4F88">
        <w:t>and support</w:t>
      </w:r>
    </w:p>
    <w:p w14:paraId="04AC704E" w14:textId="5E5B7BB1" w:rsidR="004D4F88" w:rsidRDefault="004D4F88" w:rsidP="00D83739">
      <w:pPr>
        <w:pStyle w:val="Bullet1"/>
        <w:spacing w:line="240" w:lineRule="atLeast"/>
      </w:pPr>
      <w:r>
        <w:t xml:space="preserve">the statewide Partnering in </w:t>
      </w:r>
      <w:r w:rsidR="00A92F78">
        <w:t>h</w:t>
      </w:r>
      <w:r w:rsidR="009A5D8E">
        <w:t xml:space="preserve">ealthcare </w:t>
      </w:r>
      <w:r w:rsidR="00A92F78">
        <w:t>f</w:t>
      </w:r>
      <w:r>
        <w:t xml:space="preserve">ramework, which will support </w:t>
      </w:r>
      <w:r w:rsidR="00D83739">
        <w:t>greater consumer participation</w:t>
      </w:r>
    </w:p>
    <w:p w14:paraId="1D18755D" w14:textId="4F68F67C" w:rsidR="00263A66" w:rsidRDefault="004D4F88" w:rsidP="00D83739">
      <w:pPr>
        <w:pStyle w:val="Bullet1"/>
        <w:spacing w:after="0" w:line="240" w:lineRule="atLeast"/>
      </w:pPr>
      <w:r>
        <w:t>establishing a statewide consumer senate to support consumer representatives in their functions.</w:t>
      </w:r>
      <w:r w:rsidR="00263A66">
        <w:br w:type="page"/>
      </w:r>
    </w:p>
    <w:p w14:paraId="1D3125FC" w14:textId="42E14506" w:rsidR="0069469A" w:rsidRDefault="0069469A" w:rsidP="002878CB">
      <w:pPr>
        <w:spacing w:before="0" w:after="0" w:line="240" w:lineRule="auto"/>
      </w:pPr>
      <w:r>
        <w:rPr>
          <w:noProof/>
        </w:rPr>
        <w:lastRenderedPageBreak/>
        <mc:AlternateContent>
          <mc:Choice Requires="wps">
            <w:drawing>
              <wp:inline distT="0" distB="0" distL="0" distR="0" wp14:anchorId="504DAE1F" wp14:editId="5352252F">
                <wp:extent cx="6480000" cy="1764000"/>
                <wp:effectExtent l="0" t="0" r="16510" b="20955"/>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000" cy="1764000"/>
                        </a:xfrm>
                        <a:prstGeom prst="rect">
                          <a:avLst/>
                        </a:prstGeom>
                        <a:solidFill>
                          <a:schemeClr val="bg2"/>
                        </a:solidFill>
                        <a:ln w="6350">
                          <a:solidFill>
                            <a:schemeClr val="bg2"/>
                          </a:solidFill>
                          <a:miter lim="800000"/>
                          <a:headEnd/>
                          <a:tailEnd/>
                        </a:ln>
                      </wps:spPr>
                      <wps:txbx>
                        <w:txbxContent>
                          <w:p w14:paraId="6412F7B5" w14:textId="59BF440C" w:rsidR="00CD7A43" w:rsidRPr="002550E0" w:rsidRDefault="00CD7A43" w:rsidP="00D83739">
                            <w:pPr>
                              <w:pStyle w:val="PulloutHeading"/>
                              <w:rPr>
                                <w:rFonts w:eastAsia="Times New Roman"/>
                              </w:rPr>
                            </w:pPr>
                            <w:r w:rsidRPr="00D83739">
                              <w:rPr>
                                <w:rFonts w:eastAsia="Times New Roman"/>
                              </w:rPr>
                              <w:t>Strengthening health pa</w:t>
                            </w:r>
                            <w:r>
                              <w:rPr>
                                <w:rFonts w:eastAsia="Times New Roman"/>
                              </w:rPr>
                              <w:t>rtnerships and patient pathways</w:t>
                            </w:r>
                          </w:p>
                          <w:p w14:paraId="05DBC725" w14:textId="77777777" w:rsidR="00CD7A43" w:rsidRPr="00452F8E" w:rsidRDefault="00CD7A43" w:rsidP="00452F8E">
                            <w:pPr>
                              <w:pStyle w:val="PulloutText"/>
                            </w:pPr>
                            <w:r w:rsidRPr="00452F8E">
                              <w:t>A patient with a complicated obstetric history underwent a surgical procedure at a private specialist health service. When complications arose the patient needed to be transferred to a public hospital. The complexities of the case combined with the subsequent complications meant that this was defined as a sentinel event.</w:t>
                            </w:r>
                          </w:p>
                          <w:p w14:paraId="5B738366" w14:textId="77777777" w:rsidR="00CD7A43" w:rsidRPr="00452F8E" w:rsidRDefault="00CD7A43" w:rsidP="00452F8E">
                            <w:pPr>
                              <w:pStyle w:val="PulloutText"/>
                            </w:pPr>
                            <w:r w:rsidRPr="00452F8E">
                              <w:t>Events that involve more than one agency can be complex to review. But the National Quality, Safety and Risk Manager at the private specialist health service says sharing the review built a stronger relationship and formed wider reaching learning opportunities with the public health service.</w:t>
                            </w:r>
                          </w:p>
                          <w:p w14:paraId="7984B94B" w14:textId="68DFE1C1" w:rsidR="00CD7A43" w:rsidRPr="00452F8E" w:rsidRDefault="00CD7A43" w:rsidP="00452F8E">
                            <w:pPr>
                              <w:pStyle w:val="PulloutText"/>
                            </w:pPr>
                            <w:r w:rsidRPr="00452F8E">
                              <w:t>“We already have a strong culture of learning which is supported by our internal processes around. clinical incidents. These are reviewed regularly in order for us to deliver appropriate care, which is in li</w:t>
                            </w:r>
                            <w:r>
                              <w:t>ne with best practice,” she said</w:t>
                            </w:r>
                            <w:r w:rsidRPr="00452F8E">
                              <w:t>.</w:t>
                            </w:r>
                          </w:p>
                          <w:p w14:paraId="73C558E5" w14:textId="77777777" w:rsidR="00CD7A43" w:rsidRPr="00452F8E" w:rsidRDefault="00CD7A43" w:rsidP="00452F8E">
                            <w:pPr>
                              <w:pStyle w:val="PulloutText"/>
                            </w:pPr>
                            <w:r w:rsidRPr="00452F8E">
                              <w:t>To better understand what happened to this patient and why, both services first did their own review, then met to share and discuss their findings and draft recommendations. The shared review involved several representatives from each service, along with an independent expert.</w:t>
                            </w:r>
                          </w:p>
                          <w:p w14:paraId="74F043B2" w14:textId="77777777" w:rsidR="00CD7A43" w:rsidRPr="00452F8E" w:rsidRDefault="00CD7A43" w:rsidP="00452F8E">
                            <w:pPr>
                              <w:pStyle w:val="PulloutText"/>
                            </w:pPr>
                            <w:r w:rsidRPr="00452F8E">
                              <w:t>“The multi-site review gave us an opportunity to share our best practice procedures and demonstrate a willingness to openly disclose our processes and the care provided for our patients. In the end I think both parties found the whole process quite rewarding.”</w:t>
                            </w:r>
                          </w:p>
                          <w:p w14:paraId="40620344" w14:textId="77777777" w:rsidR="00CD7A43" w:rsidRPr="00452F8E" w:rsidRDefault="00CD7A43" w:rsidP="00452F8E">
                            <w:pPr>
                              <w:pStyle w:val="PulloutText"/>
                            </w:pPr>
                            <w:r w:rsidRPr="00452F8E">
                              <w:t>The review resulted in five final recommendations, including a best practice pathway for high-risk patients to higher levels of care. This aims to provide better outcomes for women at risk of complications, safer patient journeys and a better healthcare experience.</w:t>
                            </w:r>
                          </w:p>
                          <w:p w14:paraId="0B242E6F" w14:textId="77777777" w:rsidR="00CD7A43" w:rsidRPr="00452F8E" w:rsidRDefault="00CD7A43" w:rsidP="00452F8E">
                            <w:pPr>
                              <w:pStyle w:val="PulloutText"/>
                            </w:pPr>
                            <w:r w:rsidRPr="00452F8E">
                              <w:t>The private specialist health service’s Medical Director believes there were several key factors to conducting an effective and positive multi-agency review.</w:t>
                            </w:r>
                          </w:p>
                          <w:p w14:paraId="06160CEE" w14:textId="0244FC19" w:rsidR="00CD7A43" w:rsidRPr="00452F8E" w:rsidRDefault="00CD7A43" w:rsidP="00452F8E">
                            <w:pPr>
                              <w:pStyle w:val="PulloutText"/>
                            </w:pPr>
                            <w:r w:rsidRPr="00452F8E">
                              <w:t>“Firstly, you need to be open to having your processes and procedures evaluated by external people. It’s also important to establish clear terms of re</w:t>
                            </w:r>
                            <w:r>
                              <w:t>ferences at the outset,” he said</w:t>
                            </w:r>
                            <w:r w:rsidRPr="00452F8E">
                              <w:t>.</w:t>
                            </w:r>
                          </w:p>
                          <w:p w14:paraId="16FAA735" w14:textId="77777777" w:rsidR="00CD7A43" w:rsidRPr="00452F8E" w:rsidRDefault="00CD7A43" w:rsidP="00452F8E">
                            <w:pPr>
                              <w:pStyle w:val="PulloutText"/>
                            </w:pPr>
                            <w:r w:rsidRPr="00452F8E">
                              <w:t>“The organisations undertaking the review must also see this as a shared partnership and ensure that there is an independent, external consultant involved.”</w:t>
                            </w:r>
                          </w:p>
                          <w:p w14:paraId="28ED5E31" w14:textId="19764342" w:rsidR="00CD7A43" w:rsidRPr="00452F8E" w:rsidRDefault="00CD7A43" w:rsidP="00452F8E">
                            <w:pPr>
                              <w:pStyle w:val="PulloutText"/>
                            </w:pPr>
                            <w:r w:rsidRPr="00452F8E">
                              <w:t xml:space="preserve">The private specialist health service’s National Quality, Safety and Risk Manager said </w:t>
                            </w:r>
                            <w:r>
                              <w:t>t</w:t>
                            </w:r>
                            <w:r w:rsidRPr="00452F8E">
                              <w:t xml:space="preserve">hose involved </w:t>
                            </w:r>
                            <w:r>
                              <w:t>found</w:t>
                            </w:r>
                            <w:r w:rsidRPr="00452F8E">
                              <w:t xml:space="preserve"> the support from SCV led to a positive experience and outcome.</w:t>
                            </w:r>
                          </w:p>
                          <w:p w14:paraId="354351A6" w14:textId="77777777" w:rsidR="00CD7A43" w:rsidRPr="00452F8E" w:rsidRDefault="00CD7A43" w:rsidP="00452F8E">
                            <w:pPr>
                              <w:pStyle w:val="PulloutText"/>
                            </w:pPr>
                            <w:r w:rsidRPr="00452F8E">
                              <w:t>“They have really been great to work with and have provided lots of good advice. The whole process has really helped break down barriers and improve the patient journey from the private specialist service into the public health system.”</w:t>
                            </w:r>
                          </w:p>
                          <w:p w14:paraId="06641CB0" w14:textId="682C483A" w:rsidR="00CD7A43" w:rsidRPr="00D63EE0" w:rsidRDefault="00CD7A43" w:rsidP="00452F8E">
                            <w:pPr>
                              <w:pStyle w:val="PulloutText"/>
                            </w:pPr>
                          </w:p>
                        </w:txbxContent>
                      </wps:txbx>
                      <wps:bodyPr rot="0" vert="horz" wrap="square" lIns="180000" tIns="180000" rIns="144000" bIns="36000" anchor="t" anchorCtr="0">
                        <a:spAutoFit/>
                      </wps:bodyPr>
                    </wps:wsp>
                  </a:graphicData>
                </a:graphic>
              </wp:inline>
            </w:drawing>
          </mc:Choice>
          <mc:Fallback>
            <w:pict>
              <v:shape w14:anchorId="504DAE1F" id="_x0000_s1034" type="#_x0000_t202" style="width:510.25pt;height:13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" fillcolor="#edf5f7 [3214]" strokecolor="#edf5f7 [3214]" strokeweight=".5pt">
                <v:textbox style="mso-fit-shape-to-text:t" inset="5mm,5mm,4mm,1mm">
                  <w:txbxContent>
                    <w:p w14:paraId="6412F7B5" w14:textId="59BF440C" w:rsidR="00CD7A43" w:rsidRPr="002550E0" w:rsidRDefault="00CD7A43" w:rsidP="00D83739">
                      <w:pPr>
                        <w:pStyle w:val="PulloutHeading"/>
                        <w:rPr>
                          <w:rFonts w:eastAsia="Times New Roman"/>
                        </w:rPr>
                      </w:pPr>
                      <w:r w:rsidRPr="00D83739">
                        <w:rPr>
                          <w:rFonts w:eastAsia="Times New Roman"/>
                        </w:rPr>
                        <w:t>Strengthening health pa</w:t>
                      </w:r>
                      <w:r>
                        <w:rPr>
                          <w:rFonts w:eastAsia="Times New Roman"/>
                        </w:rPr>
                        <w:t>rtnerships and patient pathways</w:t>
                      </w:r>
                    </w:p>
                    <w:p w14:paraId="05DBC725" w14:textId="77777777" w:rsidR="00CD7A43" w:rsidRPr="00452F8E" w:rsidRDefault="00CD7A43" w:rsidP="00452F8E">
                      <w:pPr>
                        <w:pStyle w:val="PulloutText"/>
                      </w:pPr>
                      <w:r w:rsidRPr="00452F8E">
                        <w:t>A patient with a complicated obstetric history underwent a surgical procedure at a private specialist health service. When complications arose the patient needed to be transferred to a public hospital. The complexities of the case combined with the subsequent complications meant that this was defined as a sentinel event.</w:t>
                      </w:r>
                    </w:p>
                    <w:p w14:paraId="5B738366" w14:textId="77777777" w:rsidR="00CD7A43" w:rsidRPr="00452F8E" w:rsidRDefault="00CD7A43" w:rsidP="00452F8E">
                      <w:pPr>
                        <w:pStyle w:val="PulloutText"/>
                      </w:pPr>
                      <w:r w:rsidRPr="00452F8E">
                        <w:t>Events that involve more than one agency can be complex to review. But the National Quality, Safety and Risk Manager at the private specialist health service says sharing the review built a stronger relationship and formed wider reaching learning opportunities with the public health service.</w:t>
                      </w:r>
                    </w:p>
                    <w:p w14:paraId="7984B94B" w14:textId="68DFE1C1" w:rsidR="00CD7A43" w:rsidRPr="00452F8E" w:rsidRDefault="00CD7A43" w:rsidP="00452F8E">
                      <w:pPr>
                        <w:pStyle w:val="PulloutText"/>
                      </w:pPr>
                      <w:r w:rsidRPr="00452F8E">
                        <w:t>“We already have a strong culture of learning which is supported by our internal processes around. clinical incidents. These are reviewed regularly in order for us to deliver appropriate care, which is in li</w:t>
                      </w:r>
                      <w:r>
                        <w:t>ne with best practice,” she said</w:t>
                      </w:r>
                      <w:r w:rsidRPr="00452F8E">
                        <w:t>.</w:t>
                      </w:r>
                    </w:p>
                    <w:p w14:paraId="73C558E5" w14:textId="77777777" w:rsidR="00CD7A43" w:rsidRPr="00452F8E" w:rsidRDefault="00CD7A43" w:rsidP="00452F8E">
                      <w:pPr>
                        <w:pStyle w:val="PulloutText"/>
                      </w:pPr>
                      <w:r w:rsidRPr="00452F8E">
                        <w:t>To better understand what happened to this patient and why, both services first did their own review, then met to share and discuss their findings and draft recommendations. The shared review involved several representatives from each service, along with an independent expert.</w:t>
                      </w:r>
                    </w:p>
                    <w:p w14:paraId="74F043B2" w14:textId="77777777" w:rsidR="00CD7A43" w:rsidRPr="00452F8E" w:rsidRDefault="00CD7A43" w:rsidP="00452F8E">
                      <w:pPr>
                        <w:pStyle w:val="PulloutText"/>
                      </w:pPr>
                      <w:r w:rsidRPr="00452F8E">
                        <w:t>“The multi-site review gave us an opportunity to share our best practice procedures and demonstrate a willingness to openly disclose our processes and the care provided for our patients. In the end I think both parties found the whole process quite rewarding.”</w:t>
                      </w:r>
                    </w:p>
                    <w:p w14:paraId="40620344" w14:textId="77777777" w:rsidR="00CD7A43" w:rsidRPr="00452F8E" w:rsidRDefault="00CD7A43" w:rsidP="00452F8E">
                      <w:pPr>
                        <w:pStyle w:val="PulloutText"/>
                      </w:pPr>
                      <w:r w:rsidRPr="00452F8E">
                        <w:t>The review resulted in five final recommendations, including a best practice pathway for high-risk patients to higher levels of care. This aims to provide better outcomes for women at risk of complications, safer patient journeys and a better healthcare experience.</w:t>
                      </w:r>
                    </w:p>
                    <w:p w14:paraId="0B242E6F" w14:textId="77777777" w:rsidR="00CD7A43" w:rsidRPr="00452F8E" w:rsidRDefault="00CD7A43" w:rsidP="00452F8E">
                      <w:pPr>
                        <w:pStyle w:val="PulloutText"/>
                      </w:pPr>
                      <w:r w:rsidRPr="00452F8E">
                        <w:t>The private specialist health service’s Medical Director believes there were several key factors to conducting an effective and positive multi-agency review.</w:t>
                      </w:r>
                    </w:p>
                    <w:p w14:paraId="06160CEE" w14:textId="0244FC19" w:rsidR="00CD7A43" w:rsidRPr="00452F8E" w:rsidRDefault="00CD7A43" w:rsidP="00452F8E">
                      <w:pPr>
                        <w:pStyle w:val="PulloutText"/>
                      </w:pPr>
                      <w:r w:rsidRPr="00452F8E">
                        <w:t>“Firstly, you need to be open to having your processes and procedures evaluated by external people. It’s also important to establish clear terms of re</w:t>
                      </w:r>
                      <w:r>
                        <w:t>ferences at the outset,” he said</w:t>
                      </w:r>
                      <w:r w:rsidRPr="00452F8E">
                        <w:t>.</w:t>
                      </w:r>
                    </w:p>
                    <w:p w14:paraId="16FAA735" w14:textId="77777777" w:rsidR="00CD7A43" w:rsidRPr="00452F8E" w:rsidRDefault="00CD7A43" w:rsidP="00452F8E">
                      <w:pPr>
                        <w:pStyle w:val="PulloutText"/>
                      </w:pPr>
                      <w:r w:rsidRPr="00452F8E">
                        <w:t>“The organisations undertaking the review must also see this as a shared partnership and ensure that there is an independent, external consultant involved.”</w:t>
                      </w:r>
                    </w:p>
                    <w:p w14:paraId="28ED5E31" w14:textId="19764342" w:rsidR="00CD7A43" w:rsidRPr="00452F8E" w:rsidRDefault="00CD7A43" w:rsidP="00452F8E">
                      <w:pPr>
                        <w:pStyle w:val="PulloutText"/>
                      </w:pPr>
                      <w:r w:rsidRPr="00452F8E">
                        <w:t xml:space="preserve">The private specialist health service’s National Quality, Safety and Risk Manager said </w:t>
                      </w:r>
                      <w:r>
                        <w:t>t</w:t>
                      </w:r>
                      <w:r w:rsidRPr="00452F8E">
                        <w:t xml:space="preserve">hose involved </w:t>
                      </w:r>
                      <w:r>
                        <w:t>found</w:t>
                      </w:r>
                      <w:r w:rsidRPr="00452F8E">
                        <w:t xml:space="preserve"> the support from SCV led to a positive experience and outcome.</w:t>
                      </w:r>
                    </w:p>
                    <w:p w14:paraId="354351A6" w14:textId="77777777" w:rsidR="00CD7A43" w:rsidRPr="00452F8E" w:rsidRDefault="00CD7A43" w:rsidP="00452F8E">
                      <w:pPr>
                        <w:pStyle w:val="PulloutText"/>
                      </w:pPr>
                      <w:r w:rsidRPr="00452F8E">
                        <w:t>“They have really been great to work with and have provided lots of good advice. The whole process has really helped break down barriers and improve the patient journey from the private specialist service into the public health system.”</w:t>
                      </w:r>
                    </w:p>
                    <w:p w14:paraId="06641CB0" w14:textId="682C483A" w:rsidR="00CD7A43" w:rsidRPr="00D63EE0" w:rsidRDefault="00CD7A43" w:rsidP="00452F8E">
                      <w:pPr>
                        <w:pStyle w:val="PulloutText"/>
                      </w:pPr>
                    </w:p>
                  </w:txbxContent>
                </v:textbox>
                <w10:anchorlock/>
              </v:shape>
            </w:pict>
          </mc:Fallback>
        </mc:AlternateContent>
      </w:r>
      <w:r>
        <w:br w:type="page"/>
      </w:r>
    </w:p>
    <w:p w14:paraId="018AEAF3" w14:textId="024C58B0" w:rsidR="0069469A" w:rsidRPr="00D63EE0" w:rsidRDefault="000C0BB7" w:rsidP="007A2088">
      <w:pPr>
        <w:pStyle w:val="IntroductoryText"/>
        <w:ind w:right="-144"/>
      </w:pPr>
      <w:r>
        <w:lastRenderedPageBreak/>
        <w:t xml:space="preserve">In previous years, there has been </w:t>
      </w:r>
      <w:r w:rsidR="00BB3A65" w:rsidRPr="007B488C">
        <w:t>minimal</w:t>
      </w:r>
      <w:r>
        <w:t xml:space="preserve"> formal follow-up with health services to check </w:t>
      </w:r>
      <w:r w:rsidR="00BB3A65">
        <w:t>i</w:t>
      </w:r>
      <w:r>
        <w:t xml:space="preserve">f </w:t>
      </w:r>
      <w:r w:rsidR="00BB3A65" w:rsidRPr="007B488C">
        <w:t>they</w:t>
      </w:r>
      <w:r>
        <w:t xml:space="preserve"> are </w:t>
      </w:r>
      <w:r w:rsidR="00D63EE0">
        <w:t xml:space="preserve">implementing </w:t>
      </w:r>
      <w:r w:rsidR="00C76EE0">
        <w:t>sentinel event recommendations</w:t>
      </w:r>
      <w:r w:rsidR="0086384E">
        <w:t xml:space="preserve">. </w:t>
      </w:r>
      <w:r w:rsidR="00C76EE0">
        <w:t xml:space="preserve">It is inexcusable to not learn from </w:t>
      </w:r>
      <w:r w:rsidR="007A2088">
        <w:t xml:space="preserve">a </w:t>
      </w:r>
      <w:r w:rsidR="005C4BA8" w:rsidRPr="00D63EE0">
        <w:t xml:space="preserve">sentinel </w:t>
      </w:r>
      <w:r w:rsidR="00C76EE0" w:rsidRPr="00D63EE0">
        <w:t>e</w:t>
      </w:r>
      <w:r w:rsidR="007A2088">
        <w:t>vent</w:t>
      </w:r>
      <w:r w:rsidR="005C4BA8" w:rsidRPr="00D63EE0">
        <w:t xml:space="preserve"> and make the changes needed </w:t>
      </w:r>
      <w:r w:rsidR="00C76EE0" w:rsidRPr="00D63EE0">
        <w:t xml:space="preserve">to </w:t>
      </w:r>
      <w:r w:rsidR="005C4BA8" w:rsidRPr="00D63EE0">
        <w:t>help prevent</w:t>
      </w:r>
      <w:r w:rsidR="00C76EE0" w:rsidRPr="00D63EE0">
        <w:t xml:space="preserve"> it </w:t>
      </w:r>
      <w:r w:rsidR="005C4BA8" w:rsidRPr="00D63EE0">
        <w:t>from happening</w:t>
      </w:r>
      <w:r w:rsidR="00C76EE0" w:rsidRPr="00D63EE0">
        <w:t xml:space="preserve"> again.</w:t>
      </w:r>
      <w:r w:rsidR="00C76EE0">
        <w:t xml:space="preserve"> SCV has reviewed the way we work with </w:t>
      </w:r>
      <w:r w:rsidR="005C4BA8" w:rsidRPr="00D63EE0">
        <w:t xml:space="preserve">health </w:t>
      </w:r>
      <w:r w:rsidR="00C76EE0">
        <w:t xml:space="preserve">services to track how they are </w:t>
      </w:r>
      <w:r w:rsidR="007A2088">
        <w:t>progressing</w:t>
      </w:r>
      <w:r w:rsidR="00C76EE0">
        <w:t xml:space="preserve"> </w:t>
      </w:r>
      <w:r w:rsidR="0086384E">
        <w:t xml:space="preserve">after </w:t>
      </w:r>
      <w:r w:rsidR="00C76EE0">
        <w:t xml:space="preserve">a sentinel event review. </w:t>
      </w:r>
      <w:r>
        <w:t xml:space="preserve">After setting clear expectations, SCV has received a much higher number of </w:t>
      </w:r>
      <w:r w:rsidR="0025570A">
        <w:t>Risk Reduction Action Plan (</w:t>
      </w:r>
      <w:r w:rsidRPr="0047647D">
        <w:t>RRAP</w:t>
      </w:r>
      <w:r w:rsidR="0025570A">
        <w:t>)</w:t>
      </w:r>
      <w:r w:rsidR="008B0883">
        <w:t xml:space="preserve"> feedback reports</w:t>
      </w:r>
      <w:r w:rsidRPr="00D63EE0">
        <w:t>. However, there is a long way to go.</w:t>
      </w:r>
    </w:p>
    <w:p w14:paraId="49641ACF" w14:textId="77777777" w:rsidR="0060775D" w:rsidRDefault="00A25568" w:rsidP="0069469A">
      <w:pPr>
        <w:pStyle w:val="Heading1"/>
        <w:framePr w:wrap="around"/>
      </w:pPr>
      <w:bookmarkStart w:id="46" w:name="_Toc532460430"/>
      <w:r>
        <w:t xml:space="preserve">3. </w:t>
      </w:r>
      <w:r w:rsidR="0069469A">
        <w:t>Improving</w:t>
      </w:r>
      <w:bookmarkEnd w:id="46"/>
    </w:p>
    <w:p w14:paraId="20654953" w14:textId="77777777" w:rsidR="00A25568" w:rsidRPr="00615AAC" w:rsidRDefault="00A25568" w:rsidP="00BA0C37">
      <w:r>
        <w:rPr>
          <w:noProof/>
        </w:rPr>
        <mc:AlternateContent>
          <mc:Choice Requires="wps">
            <w:drawing>
              <wp:inline distT="0" distB="0" distL="0" distR="0" wp14:anchorId="4357657F" wp14:editId="0ADD808C">
                <wp:extent cx="6410325" cy="1764000"/>
                <wp:effectExtent l="0" t="0" r="28575" b="25400"/>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1764000"/>
                        </a:xfrm>
                        <a:prstGeom prst="rect">
                          <a:avLst/>
                        </a:prstGeom>
                        <a:solidFill>
                          <a:schemeClr val="bg2"/>
                        </a:solidFill>
                        <a:ln w="6350">
                          <a:solidFill>
                            <a:schemeClr val="bg2"/>
                          </a:solidFill>
                          <a:miter lim="800000"/>
                          <a:headEnd/>
                          <a:tailEnd/>
                        </a:ln>
                      </wps:spPr>
                      <wps:txbx>
                        <w:txbxContent>
                          <w:p w14:paraId="148F2C64" w14:textId="77777777" w:rsidR="00CD7A43" w:rsidRDefault="00CD7A43" w:rsidP="007E098F">
                            <w:pPr>
                              <w:pStyle w:val="PulloutText"/>
                            </w:pPr>
                            <w:r w:rsidRPr="00884AEA">
                              <w:t xml:space="preserve">Health services </w:t>
                            </w:r>
                            <w:r>
                              <w:t>must submit a RRAP feedback report</w:t>
                            </w:r>
                            <w:r w:rsidRPr="00884AEA">
                              <w:t xml:space="preserve"> to SCV </w:t>
                            </w:r>
                            <w:r w:rsidRPr="00A25568">
                              <w:rPr>
                                <w:b/>
                              </w:rPr>
                              <w:t>three to six months</w:t>
                            </w:r>
                            <w:r w:rsidRPr="00884AEA">
                              <w:t xml:space="preserve"> after the RCA report has been submitted.</w:t>
                            </w:r>
                          </w:p>
                          <w:p w14:paraId="53A6C308" w14:textId="77777777" w:rsidR="00CD7A43" w:rsidRDefault="00CD7A43" w:rsidP="007E098F">
                            <w:pPr>
                              <w:pStyle w:val="PulloutText"/>
                            </w:pPr>
                            <w:r>
                              <w:t>This report includes:</w:t>
                            </w:r>
                          </w:p>
                          <w:p w14:paraId="3F94E76B" w14:textId="77777777" w:rsidR="00CD7A43" w:rsidRDefault="00CD7A43" w:rsidP="00AF5721">
                            <w:pPr>
                              <w:pStyle w:val="PulloutText"/>
                              <w:numPr>
                                <w:ilvl w:val="0"/>
                                <w:numId w:val="8"/>
                              </w:numPr>
                            </w:pPr>
                            <w:r w:rsidRPr="00884AEA">
                              <w:t>progress in implementing the recommendations made in RCA reports</w:t>
                            </w:r>
                          </w:p>
                          <w:p w14:paraId="4E7EC1B9" w14:textId="07F3D09B" w:rsidR="00CD7A43" w:rsidRDefault="00CD7A43" w:rsidP="00AF5721">
                            <w:pPr>
                              <w:pStyle w:val="PulloutText"/>
                              <w:numPr>
                                <w:ilvl w:val="0"/>
                                <w:numId w:val="8"/>
                              </w:numPr>
                            </w:pPr>
                            <w:r w:rsidRPr="00884AEA">
                              <w:t>evaluat</w:t>
                            </w:r>
                            <w:r>
                              <w:t>ion of</w:t>
                            </w:r>
                            <w:r w:rsidRPr="00884AEA">
                              <w:t xml:space="preserve"> the</w:t>
                            </w:r>
                            <w:r>
                              <w:t>ir impact on quality and safety.</w:t>
                            </w:r>
                          </w:p>
                          <w:p w14:paraId="6FDAA57B" w14:textId="48921BBE" w:rsidR="00CD7A43" w:rsidRDefault="00CD7A43" w:rsidP="00A25568">
                            <w:pPr>
                              <w:pStyle w:val="PulloutText"/>
                            </w:pPr>
                            <w:r w:rsidRPr="00884AEA">
                              <w:t>This is referred to as ‘closing the loop’</w:t>
                            </w:r>
                            <w:r>
                              <w:t xml:space="preserve"> and is an important opportunity for health services to share how they are providing safer, better healthcare as a result of an adverse event.</w:t>
                            </w:r>
                          </w:p>
                          <w:p w14:paraId="320B4044" w14:textId="77777777" w:rsidR="00CD7A43" w:rsidRDefault="00CD7A43" w:rsidP="00A25568">
                            <w:pPr>
                              <w:pStyle w:val="PulloutText"/>
                            </w:pPr>
                            <w:r>
                              <w:t>To help health services through the sentinel event process, SCV provides both informal and formal guidance on the quality of reports and recommendations. We also provide training to improve incident response and analysis.</w:t>
                            </w:r>
                          </w:p>
                        </w:txbxContent>
                      </wps:txbx>
                      <wps:bodyPr rot="0" vert="horz" wrap="square" lIns="180000" tIns="180000" rIns="144000" bIns="36000" anchor="t" anchorCtr="0">
                        <a:spAutoFit/>
                      </wps:bodyPr>
                    </wps:wsp>
                  </a:graphicData>
                </a:graphic>
              </wp:inline>
            </w:drawing>
          </mc:Choice>
          <mc:Fallback>
            <w:pict>
              <v:shape w14:anchorId="4357657F" id="_x0000_s1035" type="#_x0000_t202" style="width:504.75pt;height:13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" fillcolor="#edf5f7 [3214]" strokecolor="#edf5f7 [3214]" strokeweight=".5pt">
                <v:textbox style="mso-fit-shape-to-text:t" inset="5mm,5mm,4mm,1mm">
                  <w:txbxContent>
                    <w:p w14:paraId="148F2C64" w14:textId="77777777" w:rsidR="00CD7A43" w:rsidRDefault="00CD7A43" w:rsidP="007E098F">
                      <w:pPr>
                        <w:pStyle w:val="PulloutText"/>
                      </w:pPr>
                      <w:r w:rsidRPr="00884AEA">
                        <w:t xml:space="preserve">Health services </w:t>
                      </w:r>
                      <w:r>
                        <w:t>must submit a RRAP feedback report</w:t>
                      </w:r>
                      <w:r w:rsidRPr="00884AEA">
                        <w:t xml:space="preserve"> to SCV </w:t>
                      </w:r>
                      <w:r w:rsidRPr="00A25568">
                        <w:rPr>
                          <w:b/>
                        </w:rPr>
                        <w:t>three to six months</w:t>
                      </w:r>
                      <w:r w:rsidRPr="00884AEA">
                        <w:t xml:space="preserve"> after the RCA report has been submitted.</w:t>
                      </w:r>
                    </w:p>
                    <w:p w14:paraId="53A6C308" w14:textId="77777777" w:rsidR="00CD7A43" w:rsidRDefault="00CD7A43" w:rsidP="007E098F">
                      <w:pPr>
                        <w:pStyle w:val="PulloutText"/>
                      </w:pPr>
                      <w:r>
                        <w:t>This report includes:</w:t>
                      </w:r>
                    </w:p>
                    <w:p w14:paraId="3F94E76B" w14:textId="77777777" w:rsidR="00CD7A43" w:rsidRDefault="00CD7A43" w:rsidP="00AF5721">
                      <w:pPr>
                        <w:pStyle w:val="PulloutText"/>
                        <w:numPr>
                          <w:ilvl w:val="0"/>
                          <w:numId w:val="8"/>
                        </w:numPr>
                      </w:pPr>
                      <w:r w:rsidRPr="00884AEA">
                        <w:t>progress in implementing the recommendations made in RCA reports</w:t>
                      </w:r>
                    </w:p>
                    <w:p w14:paraId="4E7EC1B9" w14:textId="07F3D09B" w:rsidR="00CD7A43" w:rsidRDefault="00CD7A43" w:rsidP="00AF5721">
                      <w:pPr>
                        <w:pStyle w:val="PulloutText"/>
                        <w:numPr>
                          <w:ilvl w:val="0"/>
                          <w:numId w:val="8"/>
                        </w:numPr>
                      </w:pPr>
                      <w:r w:rsidRPr="00884AEA">
                        <w:t>evaluat</w:t>
                      </w:r>
                      <w:r>
                        <w:t>ion of</w:t>
                      </w:r>
                      <w:r w:rsidRPr="00884AEA">
                        <w:t xml:space="preserve"> the</w:t>
                      </w:r>
                      <w:r>
                        <w:t>ir impact on quality and safety.</w:t>
                      </w:r>
                    </w:p>
                    <w:p w14:paraId="6FDAA57B" w14:textId="48921BBE" w:rsidR="00CD7A43" w:rsidRDefault="00CD7A43" w:rsidP="00A25568">
                      <w:pPr>
                        <w:pStyle w:val="PulloutText"/>
                      </w:pPr>
                      <w:r w:rsidRPr="00884AEA">
                        <w:t>This is referred to as ‘closing the loop’</w:t>
                      </w:r>
                      <w:r>
                        <w:t xml:space="preserve"> and is an important opportunity for health services to share how they are providing safer, better healthcare as a result of an adverse event.</w:t>
                      </w:r>
                    </w:p>
                    <w:p w14:paraId="320B4044" w14:textId="77777777" w:rsidR="00CD7A43" w:rsidRDefault="00CD7A43" w:rsidP="00A25568">
                      <w:pPr>
                        <w:pStyle w:val="PulloutText"/>
                      </w:pPr>
                      <w:r>
                        <w:t>To help health services through the sentinel event process, SCV provides both informal and formal guidance on the quality of reports and recommendations. We also provide training to improve incident response and analysis.</w:t>
                      </w:r>
                    </w:p>
                  </w:txbxContent>
                </v:textbox>
                <w10:anchorlock/>
              </v:shape>
            </w:pict>
          </mc:Fallback>
        </mc:AlternateContent>
      </w:r>
    </w:p>
    <w:p w14:paraId="68BAB716" w14:textId="77777777" w:rsidR="0069469A" w:rsidRDefault="0069469A" w:rsidP="0069469A">
      <w:pPr>
        <w:pStyle w:val="Heading2"/>
      </w:pPr>
      <w:bookmarkStart w:id="47" w:name="_Toc532460431"/>
      <w:r>
        <w:t>How health services improved</w:t>
      </w:r>
      <w:bookmarkEnd w:id="47"/>
    </w:p>
    <w:p w14:paraId="7716A52E" w14:textId="5E026AE9" w:rsidR="0069469A" w:rsidRDefault="0069469A" w:rsidP="0069469A">
      <w:pPr>
        <w:pStyle w:val="Normalfollowingheading"/>
      </w:pPr>
      <w:r>
        <w:t>Durin</w:t>
      </w:r>
      <w:r w:rsidR="000C0BB7">
        <w:t>g 2016–</w:t>
      </w:r>
      <w:r>
        <w:t>17 SCV received</w:t>
      </w:r>
      <w:r w:rsidR="000C0BB7">
        <w:t xml:space="preserve"> just</w:t>
      </w:r>
      <w:r>
        <w:t xml:space="preserve"> two </w:t>
      </w:r>
      <w:r w:rsidR="000C0BB7">
        <w:t>RRAP</w:t>
      </w:r>
      <w:r>
        <w:t xml:space="preserve"> feedback reports (3%). </w:t>
      </w:r>
      <w:r w:rsidR="007A2088">
        <w:t>In 2017–18 t</w:t>
      </w:r>
      <w:r w:rsidR="000C0BB7">
        <w:t xml:space="preserve">hat has now increased to </w:t>
      </w:r>
      <w:r w:rsidR="0053103D">
        <w:t>42</w:t>
      </w:r>
      <w:r w:rsidR="000C0BB7">
        <w:t xml:space="preserve"> feedback reports</w:t>
      </w:r>
      <w:r w:rsidR="000C0BB7" w:rsidRPr="000C0BB7">
        <w:t xml:space="preserve"> </w:t>
      </w:r>
      <w:r w:rsidR="0053103D">
        <w:t>(35</w:t>
      </w:r>
      <w:r w:rsidR="000C0BB7">
        <w:t>%).</w:t>
      </w:r>
      <w:r w:rsidR="008B0883">
        <w:t xml:space="preserve"> We </w:t>
      </w:r>
      <w:r>
        <w:t>will continue to work w</w:t>
      </w:r>
      <w:r w:rsidR="000C0BB7">
        <w:t xml:space="preserve">ith health services </w:t>
      </w:r>
      <w:r>
        <w:t xml:space="preserve">to improve this </w:t>
      </w:r>
      <w:r w:rsidR="008B0883">
        <w:t>number</w:t>
      </w:r>
      <w:r>
        <w:t>.</w:t>
      </w:r>
    </w:p>
    <w:p w14:paraId="3ACBC5E1" w14:textId="7430670E" w:rsidR="0057429E" w:rsidRPr="00D63EE0" w:rsidRDefault="0057429E" w:rsidP="0057429E">
      <w:r w:rsidRPr="00D63EE0">
        <w:t>Unfortunately, this is still an insufficient number to monitor the implementation and outcomes of recommendations across health services. This is not to say these improvements did not happen, but we were unable to review the progress of recommendations</w:t>
      </w:r>
      <w:r w:rsidR="00DA11BE" w:rsidRPr="00D63EE0">
        <w:t xml:space="preserve"> and share with other health services what works (and what doesn’t work)</w:t>
      </w:r>
      <w:r w:rsidRPr="00D63EE0">
        <w:t>. It also mean</w:t>
      </w:r>
      <w:r w:rsidR="005B1384" w:rsidRPr="00D63EE0">
        <w:t>s</w:t>
      </w:r>
      <w:r w:rsidRPr="00D63EE0">
        <w:t xml:space="preserve"> we have fewer opportunities to </w:t>
      </w:r>
      <w:r w:rsidR="00ED380F" w:rsidRPr="00D63EE0">
        <w:t xml:space="preserve">support </w:t>
      </w:r>
      <w:r w:rsidRPr="00D63EE0">
        <w:t>health services improve and share patient safety initiatives with other health services.</w:t>
      </w:r>
    </w:p>
    <w:p w14:paraId="36731F6E" w14:textId="77777777" w:rsidR="0069469A" w:rsidRPr="00BB66AB" w:rsidRDefault="00C52797" w:rsidP="0069469A">
      <w:pPr>
        <w:pStyle w:val="Heading3"/>
      </w:pPr>
      <w:bookmarkStart w:id="48" w:name="_Toc532460432"/>
      <w:r>
        <w:t>Improv</w:t>
      </w:r>
      <w:r w:rsidR="00872B03">
        <w:t>ing</w:t>
      </w:r>
      <w:r>
        <w:t xml:space="preserve"> the</w:t>
      </w:r>
      <w:r w:rsidR="00872B03">
        <w:t xml:space="preserve"> quality </w:t>
      </w:r>
      <w:r>
        <w:t xml:space="preserve">of </w:t>
      </w:r>
      <w:r w:rsidR="00872B03">
        <w:t>reviews and reports</w:t>
      </w:r>
      <w:bookmarkEnd w:id="48"/>
    </w:p>
    <w:p w14:paraId="79899EDE" w14:textId="332C823F" w:rsidR="00872B03" w:rsidRDefault="0069469A" w:rsidP="0069469A">
      <w:pPr>
        <w:pStyle w:val="Normalfollowingheading"/>
      </w:pPr>
      <w:r>
        <w:t xml:space="preserve">Of 120 RCA reports submitted, </w:t>
      </w:r>
      <w:r w:rsidR="000C0BB7">
        <w:t xml:space="preserve">we completed a quality assurance review on </w:t>
      </w:r>
      <w:r w:rsidRPr="00C4709B">
        <w:t>115 (96%)</w:t>
      </w:r>
      <w:r w:rsidR="000C0BB7">
        <w:t xml:space="preserve"> </w:t>
      </w:r>
      <w:r>
        <w:t xml:space="preserve">to ensure </w:t>
      </w:r>
      <w:r w:rsidR="000C0BB7">
        <w:t xml:space="preserve">they </w:t>
      </w:r>
      <w:r w:rsidR="007A2088">
        <w:t xml:space="preserve">met </w:t>
      </w:r>
      <w:r>
        <w:t xml:space="preserve">a minimum standard. </w:t>
      </w:r>
      <w:r w:rsidR="0000647A" w:rsidRPr="0000647A">
        <w:t xml:space="preserve">A small </w:t>
      </w:r>
      <w:r w:rsidR="00856CC3">
        <w:t xml:space="preserve">number </w:t>
      </w:r>
      <w:r w:rsidR="0000647A" w:rsidRPr="0000647A">
        <w:t>of reports</w:t>
      </w:r>
      <w:r w:rsidR="00856CC3">
        <w:t xml:space="preserve"> </w:t>
      </w:r>
      <w:r w:rsidR="00856CC3" w:rsidRPr="0000647A">
        <w:t>(</w:t>
      </w:r>
      <w:r w:rsidR="00856CC3" w:rsidRPr="003D08CC">
        <w:t>15</w:t>
      </w:r>
      <w:r w:rsidR="00856CC3" w:rsidRPr="009B1C7B">
        <w:t>)</w:t>
      </w:r>
      <w:r w:rsidR="0000647A" w:rsidRPr="0000647A">
        <w:t xml:space="preserve"> required fu</w:t>
      </w:r>
      <w:r w:rsidR="0000647A">
        <w:t>r</w:t>
      </w:r>
      <w:r w:rsidR="0000647A" w:rsidRPr="0000647A">
        <w:t>ther review and analysis as they did not meet the minimum standard.</w:t>
      </w:r>
    </w:p>
    <w:p w14:paraId="2FA097AC" w14:textId="1851DA3D" w:rsidR="000C0BB7" w:rsidRDefault="00872B03" w:rsidP="0069469A">
      <w:pPr>
        <w:pStyle w:val="Normalfollowingheading"/>
      </w:pPr>
      <w:r>
        <w:t>This is a new process</w:t>
      </w:r>
      <w:r w:rsidR="009A5D8E">
        <w:t xml:space="preserve"> that</w:t>
      </w:r>
      <w:r>
        <w:t xml:space="preserve"> give</w:t>
      </w:r>
      <w:r w:rsidR="00F079B0">
        <w:t xml:space="preserve">s us the opportunity to provide </w:t>
      </w:r>
      <w:r>
        <w:t>feedback to</w:t>
      </w:r>
      <w:r w:rsidR="0069469A">
        <w:t xml:space="preserve"> health services </w:t>
      </w:r>
      <w:r>
        <w:t xml:space="preserve">about their </w:t>
      </w:r>
      <w:r w:rsidR="0069469A">
        <w:t>strengths and how they coul</w:t>
      </w:r>
      <w:r>
        <w:t>d improve future reviews. We provided this feedback within an average of eight weeks after services submitted their RCA reports.</w:t>
      </w:r>
    </w:p>
    <w:p w14:paraId="2C320835" w14:textId="77777777" w:rsidR="00C52797" w:rsidRPr="00142FBD" w:rsidRDefault="00C52797" w:rsidP="00C52797">
      <w:pPr>
        <w:pStyle w:val="Heading3"/>
      </w:pPr>
      <w:bookmarkStart w:id="49" w:name="_Toc530666104"/>
      <w:bookmarkStart w:id="50" w:name="_Toc532460433"/>
      <w:r>
        <w:lastRenderedPageBreak/>
        <w:t>Reviewing sentinel events in mental health</w:t>
      </w:r>
      <w:bookmarkEnd w:id="49"/>
      <w:bookmarkEnd w:id="50"/>
    </w:p>
    <w:p w14:paraId="16719D37" w14:textId="0BAF68FB" w:rsidR="00C52797" w:rsidRDefault="008B0883" w:rsidP="00C52797">
      <w:pPr>
        <w:pStyle w:val="Normalfollowingheading"/>
      </w:pPr>
      <w:r>
        <w:t>During 2017–</w:t>
      </w:r>
      <w:r w:rsidR="00C52797">
        <w:t>18, SCV worked closely with the Office of the Chief Psychiatrist (OCP) to review RCA reports submitted from health services relating to mental health. A subcommittee from the OCP along with a team member from SCV meets every six week</w:t>
      </w:r>
      <w:r w:rsidR="00E46899">
        <w:t>s</w:t>
      </w:r>
      <w:r w:rsidR="00C52797">
        <w:t xml:space="preserve"> to jointly review the recommendations submitted from health services. Combined feedback is then sent to health services with the objective of further strengthening the review and recommendations submitted.</w:t>
      </w:r>
    </w:p>
    <w:p w14:paraId="1FA91728" w14:textId="77777777" w:rsidR="0057429E" w:rsidRPr="00EA088F" w:rsidRDefault="00C52797">
      <w:r>
        <w:rPr>
          <w:noProof/>
        </w:rPr>
        <mc:AlternateContent>
          <mc:Choice Requires="wps">
            <w:drawing>
              <wp:inline distT="0" distB="0" distL="0" distR="0" wp14:anchorId="6E99324E" wp14:editId="1F97BA14">
                <wp:extent cx="6324600" cy="1764000"/>
                <wp:effectExtent l="0" t="0" r="19050" b="17780"/>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764000"/>
                        </a:xfrm>
                        <a:prstGeom prst="rect">
                          <a:avLst/>
                        </a:prstGeom>
                        <a:solidFill>
                          <a:schemeClr val="accent6">
                            <a:lumMod val="50000"/>
                          </a:schemeClr>
                        </a:solidFill>
                        <a:ln w="6350">
                          <a:solidFill>
                            <a:schemeClr val="bg2"/>
                          </a:solidFill>
                          <a:miter lim="800000"/>
                          <a:headEnd/>
                          <a:tailEnd/>
                        </a:ln>
                      </wps:spPr>
                      <wps:txbx>
                        <w:txbxContent>
                          <w:p w14:paraId="20F6B84E" w14:textId="77DE3F85" w:rsidR="00CD7A43" w:rsidRPr="003272B4" w:rsidRDefault="00CD7A43" w:rsidP="008B0883">
                            <w:pPr>
                              <w:pStyle w:val="PulloutHeading"/>
                              <w:rPr>
                                <w:color w:val="FFFFFF" w:themeColor="background1"/>
                              </w:rPr>
                            </w:pPr>
                            <w:bookmarkStart w:id="51" w:name="_Toc532460434"/>
                            <w:r w:rsidRPr="003272B4">
                              <w:rPr>
                                <w:color w:val="FFFFFF" w:themeColor="background1"/>
                              </w:rPr>
                              <w:t>Incident analysis training</w:t>
                            </w:r>
                            <w:bookmarkEnd w:id="51"/>
                          </w:p>
                          <w:p w14:paraId="1C602721" w14:textId="77777777" w:rsidR="00CD7A43" w:rsidRPr="003272B4" w:rsidRDefault="00CD7A43" w:rsidP="008B0883">
                            <w:pPr>
                              <w:pStyle w:val="PulloutText"/>
                              <w:rPr>
                                <w:color w:val="FFFFFF" w:themeColor="background1"/>
                              </w:rPr>
                            </w:pPr>
                            <w:r w:rsidRPr="003272B4">
                              <w:rPr>
                                <w:color w:val="FFFFFF" w:themeColor="background1"/>
                              </w:rPr>
                              <w:t xml:space="preserve">Conducting a sentinel event review can be a challenging process. SCV continues to build capability in the sector by providing incident analysis training. </w:t>
                            </w:r>
                          </w:p>
                          <w:p w14:paraId="34094F12" w14:textId="0533C470" w:rsidR="00CD7A43" w:rsidRPr="003272B4" w:rsidRDefault="00CD7A43" w:rsidP="008B0883">
                            <w:pPr>
                              <w:pStyle w:val="PulloutText"/>
                              <w:rPr>
                                <w:color w:val="FFFFFF" w:themeColor="background1"/>
                              </w:rPr>
                            </w:pPr>
                            <w:r w:rsidRPr="003272B4">
                              <w:rPr>
                                <w:color w:val="FFFFFF" w:themeColor="background1"/>
                              </w:rPr>
                              <w:t>In 2017–18, we offered training in Melbourne and regional Victoria to health service staff. The one-day course focuses on human factors systems thinking theory, as well as RCA methodology and how to complete an RCA from start to finish. Participants work in groups to complete sections of the report throughout the day, gaining hands-on, practical experience.</w:t>
                            </w:r>
                          </w:p>
                          <w:p w14:paraId="1B683CB3" w14:textId="11E6152D" w:rsidR="00CD7A43" w:rsidRPr="003272B4" w:rsidRDefault="00CD7A43" w:rsidP="007646D1">
                            <w:pPr>
                              <w:spacing w:before="0" w:after="0" w:line="240" w:lineRule="auto"/>
                              <w:ind w:left="360"/>
                              <w:jc w:val="center"/>
                              <w:rPr>
                                <w:rFonts w:eastAsia="Times New Roman"/>
                                <w:b/>
                                <w:i/>
                                <w:color w:val="FFFFFF" w:themeColor="background1"/>
                              </w:rPr>
                            </w:pPr>
                            <w:r w:rsidRPr="003272B4">
                              <w:rPr>
                                <w:rFonts w:eastAsia="Times New Roman"/>
                                <w:b/>
                                <w:i/>
                                <w:color w:val="FFFFFF" w:themeColor="background1"/>
                              </w:rPr>
                              <w:t>“Loved the group approach to developing a timeline, identifying critical events, developing causal statements and making recommendations, along with sharing the thoughts of other groups</w:t>
                            </w:r>
                            <w:r>
                              <w:rPr>
                                <w:rFonts w:eastAsia="Times New Roman"/>
                                <w:b/>
                                <w:i/>
                                <w:color w:val="FFFFFF" w:themeColor="background1"/>
                              </w:rPr>
                              <w:t>.</w:t>
                            </w:r>
                            <w:r w:rsidRPr="003272B4">
                              <w:rPr>
                                <w:rFonts w:eastAsia="Times New Roman"/>
                                <w:b/>
                                <w:i/>
                                <w:color w:val="FFFFFF" w:themeColor="background1"/>
                              </w:rPr>
                              <w:t>”</w:t>
                            </w:r>
                          </w:p>
                          <w:p w14:paraId="3CEA712C" w14:textId="77777777" w:rsidR="00CD7A43" w:rsidRPr="003272B4" w:rsidRDefault="00CD7A43" w:rsidP="008B0883">
                            <w:pPr>
                              <w:pStyle w:val="PulloutText"/>
                              <w:rPr>
                                <w:color w:val="FFFFFF" w:themeColor="background1"/>
                              </w:rPr>
                            </w:pPr>
                            <w:r w:rsidRPr="003272B4">
                              <w:rPr>
                                <w:color w:val="FFFFFF" w:themeColor="background1"/>
                              </w:rPr>
                              <w:t xml:space="preserve">Human factors is an applied science focusing on complex interactions between humans and in the contexts in which they work. Systems thinking helps us understand incidents and the contexts in which they occur are rarely simple, but usually complex and involve many interactions and contributing factors. </w:t>
                            </w:r>
                          </w:p>
                          <w:p w14:paraId="68F51AAB" w14:textId="09091800" w:rsidR="00CD7A43" w:rsidRPr="003272B4" w:rsidRDefault="00CD7A43" w:rsidP="008B0883">
                            <w:pPr>
                              <w:pStyle w:val="PulloutText"/>
                              <w:rPr>
                                <w:color w:val="FFFFFF" w:themeColor="background1"/>
                              </w:rPr>
                            </w:pPr>
                            <w:r w:rsidRPr="003272B4">
                              <w:rPr>
                                <w:color w:val="FFFFFF" w:themeColor="background1"/>
                              </w:rPr>
                              <w:t>Participants are strongly encouraged to adopt these principles when undertaking a review. Training content can also be applied to a range of incident reviews, not just sentinel events, and other quality improvement efforts.</w:t>
                            </w:r>
                          </w:p>
                          <w:p w14:paraId="671D6116" w14:textId="0A29715B" w:rsidR="00CD7A43" w:rsidRPr="003272B4" w:rsidRDefault="00CD7A43" w:rsidP="008B0883">
                            <w:pPr>
                              <w:pStyle w:val="PulloutText"/>
                              <w:rPr>
                                <w:color w:val="FFFFFF" w:themeColor="background1"/>
                              </w:rPr>
                            </w:pPr>
                            <w:r w:rsidRPr="003272B4">
                              <w:rPr>
                                <w:color w:val="FFFFFF" w:themeColor="background1"/>
                              </w:rPr>
                              <w:t>Nine training sessions were held throughout the year, reaching more than 150 health service staff. Participants ranged from quality and safety staff, managers, executives and clinicians from various disciplines. Several different health service organisations were represented, including both public and private hospitals and Ambulance Victoria.</w:t>
                            </w:r>
                          </w:p>
                          <w:p w14:paraId="6D226AC5" w14:textId="6E96E9E9" w:rsidR="00CD7A43" w:rsidRPr="003272B4" w:rsidRDefault="00CD7A43" w:rsidP="008B0883">
                            <w:pPr>
                              <w:pStyle w:val="PulloutText"/>
                              <w:rPr>
                                <w:color w:val="FFFFFF" w:themeColor="background1"/>
                              </w:rPr>
                            </w:pPr>
                            <w:r w:rsidRPr="003272B4">
                              <w:rPr>
                                <w:color w:val="FFFFFF" w:themeColor="background1"/>
                              </w:rPr>
                              <w:t>The training also provided great networking opportunities for participants. This has resulted in one regional area taking a more collaborative approach to support each other through the RCA review process.</w:t>
                            </w:r>
                          </w:p>
                          <w:p w14:paraId="16D5CA42" w14:textId="557B7DA7" w:rsidR="00CD7A43" w:rsidRPr="003272B4" w:rsidRDefault="00CD7A43" w:rsidP="007646D1">
                            <w:pPr>
                              <w:spacing w:before="0" w:after="0" w:line="240" w:lineRule="auto"/>
                              <w:ind w:left="360"/>
                              <w:jc w:val="center"/>
                              <w:rPr>
                                <w:rFonts w:eastAsia="Times New Roman"/>
                                <w:b/>
                                <w:i/>
                                <w:color w:val="FFFFFF" w:themeColor="background1"/>
                              </w:rPr>
                            </w:pPr>
                            <w:r w:rsidRPr="003272B4">
                              <w:rPr>
                                <w:rFonts w:eastAsia="Times New Roman"/>
                                <w:b/>
                                <w:i/>
                                <w:color w:val="FFFFFF" w:themeColor="background1"/>
                              </w:rPr>
                              <w:t>“It was all very beneficial, loved the networking opportunity and feel very confident knowing that I can call for help when I need it. Well done!”</w:t>
                            </w:r>
                          </w:p>
                          <w:p w14:paraId="65F85723" w14:textId="6A7794BA" w:rsidR="00CD7A43" w:rsidRPr="003272B4" w:rsidRDefault="00CD7A43" w:rsidP="008B0883">
                            <w:pPr>
                              <w:pStyle w:val="PulloutText"/>
                              <w:rPr>
                                <w:color w:val="FFFFFF" w:themeColor="background1"/>
                              </w:rPr>
                            </w:pPr>
                            <w:r w:rsidRPr="003272B4">
                              <w:rPr>
                                <w:color w:val="FFFFFF" w:themeColor="background1"/>
                              </w:rPr>
                              <w:t>Interest and demand in incident analysis training remains consistently high and will continue to be offered throughout 2018–19.</w:t>
                            </w:r>
                          </w:p>
                        </w:txbxContent>
                      </wps:txbx>
                      <wps:bodyPr rot="0" vert="horz" wrap="square" lIns="180000" tIns="180000" rIns="144000" bIns="36000" anchor="t" anchorCtr="0">
                        <a:spAutoFit/>
                      </wps:bodyPr>
                    </wps:wsp>
                  </a:graphicData>
                </a:graphic>
              </wp:inline>
            </w:drawing>
          </mc:Choice>
          <mc:Fallback>
            <w:pict>
              <v:shape w14:anchorId="6E99324E" id="_x0000_s1036" type="#_x0000_t202" style="width:498pt;height:13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" fillcolor="#62626a [1609]" strokecolor="#edf5f7 [3214]" strokeweight=".5pt">
                <v:textbox style="mso-fit-shape-to-text:t" inset="5mm,5mm,4mm,1mm">
                  <w:txbxContent>
                    <w:p w14:paraId="20F6B84E" w14:textId="77DE3F85" w:rsidR="00CD7A43" w:rsidRPr="003272B4" w:rsidRDefault="00CD7A43" w:rsidP="008B0883">
                      <w:pPr>
                        <w:pStyle w:val="PulloutHeading"/>
                        <w:rPr>
                          <w:color w:val="FFFFFF" w:themeColor="background1"/>
                        </w:rPr>
                      </w:pPr>
                      <w:bookmarkStart w:id="52" w:name="_Toc532460434"/>
                      <w:r w:rsidRPr="003272B4">
                        <w:rPr>
                          <w:color w:val="FFFFFF" w:themeColor="background1"/>
                        </w:rPr>
                        <w:t>Incident analysis training</w:t>
                      </w:r>
                      <w:bookmarkEnd w:id="52"/>
                    </w:p>
                    <w:p w14:paraId="1C602721" w14:textId="77777777" w:rsidR="00CD7A43" w:rsidRPr="003272B4" w:rsidRDefault="00CD7A43" w:rsidP="008B0883">
                      <w:pPr>
                        <w:pStyle w:val="PulloutText"/>
                        <w:rPr>
                          <w:color w:val="FFFFFF" w:themeColor="background1"/>
                        </w:rPr>
                      </w:pPr>
                      <w:r w:rsidRPr="003272B4">
                        <w:rPr>
                          <w:color w:val="FFFFFF" w:themeColor="background1"/>
                        </w:rPr>
                        <w:t xml:space="preserve">Conducting a sentinel event review can be a challenging process. SCV continues to build capability in the sector by providing incident analysis training. </w:t>
                      </w:r>
                    </w:p>
                    <w:p w14:paraId="34094F12" w14:textId="0533C470" w:rsidR="00CD7A43" w:rsidRPr="003272B4" w:rsidRDefault="00CD7A43" w:rsidP="008B0883">
                      <w:pPr>
                        <w:pStyle w:val="PulloutText"/>
                        <w:rPr>
                          <w:color w:val="FFFFFF" w:themeColor="background1"/>
                        </w:rPr>
                      </w:pPr>
                      <w:r w:rsidRPr="003272B4">
                        <w:rPr>
                          <w:color w:val="FFFFFF" w:themeColor="background1"/>
                        </w:rPr>
                        <w:t>In 2017–18, we offered training in Melbourne and regional Victoria to health service staff. The one-day course focuses on human factors systems thinking theory, as well as RCA methodology and how to complete an RCA from start to finish. Participants work in groups to complete sections of the report throughout the day, gaining hands-on, practical experience.</w:t>
                      </w:r>
                    </w:p>
                    <w:p w14:paraId="1B683CB3" w14:textId="11E6152D" w:rsidR="00CD7A43" w:rsidRPr="003272B4" w:rsidRDefault="00CD7A43" w:rsidP="007646D1">
                      <w:pPr>
                        <w:spacing w:before="0" w:after="0" w:line="240" w:lineRule="auto"/>
                        <w:ind w:left="360"/>
                        <w:jc w:val="center"/>
                        <w:rPr>
                          <w:rFonts w:eastAsia="Times New Roman"/>
                          <w:b/>
                          <w:i/>
                          <w:color w:val="FFFFFF" w:themeColor="background1"/>
                        </w:rPr>
                      </w:pPr>
                      <w:r w:rsidRPr="003272B4">
                        <w:rPr>
                          <w:rFonts w:eastAsia="Times New Roman"/>
                          <w:b/>
                          <w:i/>
                          <w:color w:val="FFFFFF" w:themeColor="background1"/>
                        </w:rPr>
                        <w:t>“Loved the group approach to developing a timeline, identifying critical events, developing causal statements and making recommendations, along with sharing the thoughts of other groups</w:t>
                      </w:r>
                      <w:r>
                        <w:rPr>
                          <w:rFonts w:eastAsia="Times New Roman"/>
                          <w:b/>
                          <w:i/>
                          <w:color w:val="FFFFFF" w:themeColor="background1"/>
                        </w:rPr>
                        <w:t>.</w:t>
                      </w:r>
                      <w:r w:rsidRPr="003272B4">
                        <w:rPr>
                          <w:rFonts w:eastAsia="Times New Roman"/>
                          <w:b/>
                          <w:i/>
                          <w:color w:val="FFFFFF" w:themeColor="background1"/>
                        </w:rPr>
                        <w:t>”</w:t>
                      </w:r>
                    </w:p>
                    <w:p w14:paraId="3CEA712C" w14:textId="77777777" w:rsidR="00CD7A43" w:rsidRPr="003272B4" w:rsidRDefault="00CD7A43" w:rsidP="008B0883">
                      <w:pPr>
                        <w:pStyle w:val="PulloutText"/>
                        <w:rPr>
                          <w:color w:val="FFFFFF" w:themeColor="background1"/>
                        </w:rPr>
                      </w:pPr>
                      <w:r w:rsidRPr="003272B4">
                        <w:rPr>
                          <w:color w:val="FFFFFF" w:themeColor="background1"/>
                        </w:rPr>
                        <w:t xml:space="preserve">Human factors is an applied science focusing on complex interactions between humans and in the contexts in which they work. Systems thinking helps us understand incidents and the contexts in which they occur are rarely simple, but usually complex and involve many interactions and contributing factors. </w:t>
                      </w:r>
                    </w:p>
                    <w:p w14:paraId="68F51AAB" w14:textId="09091800" w:rsidR="00CD7A43" w:rsidRPr="003272B4" w:rsidRDefault="00CD7A43" w:rsidP="008B0883">
                      <w:pPr>
                        <w:pStyle w:val="PulloutText"/>
                        <w:rPr>
                          <w:color w:val="FFFFFF" w:themeColor="background1"/>
                        </w:rPr>
                      </w:pPr>
                      <w:r w:rsidRPr="003272B4">
                        <w:rPr>
                          <w:color w:val="FFFFFF" w:themeColor="background1"/>
                        </w:rPr>
                        <w:t>Participants are strongly encouraged to adopt these principles when undertaking a review. Training content can also be applied to a range of incident reviews, not just sentinel events, and other quality improvement efforts.</w:t>
                      </w:r>
                    </w:p>
                    <w:p w14:paraId="671D6116" w14:textId="0A29715B" w:rsidR="00CD7A43" w:rsidRPr="003272B4" w:rsidRDefault="00CD7A43" w:rsidP="008B0883">
                      <w:pPr>
                        <w:pStyle w:val="PulloutText"/>
                        <w:rPr>
                          <w:color w:val="FFFFFF" w:themeColor="background1"/>
                        </w:rPr>
                      </w:pPr>
                      <w:r w:rsidRPr="003272B4">
                        <w:rPr>
                          <w:color w:val="FFFFFF" w:themeColor="background1"/>
                        </w:rPr>
                        <w:t>Nine training sessions were held throughout the year, reaching more than 150 health service staff. Participants ranged from quality and safety staff, managers, executives and clinicians from various disciplines. Several different health service organisations were represented, including both public and private hospitals and Ambulance Victoria.</w:t>
                      </w:r>
                    </w:p>
                    <w:p w14:paraId="6D226AC5" w14:textId="6E96E9E9" w:rsidR="00CD7A43" w:rsidRPr="003272B4" w:rsidRDefault="00CD7A43" w:rsidP="008B0883">
                      <w:pPr>
                        <w:pStyle w:val="PulloutText"/>
                        <w:rPr>
                          <w:color w:val="FFFFFF" w:themeColor="background1"/>
                        </w:rPr>
                      </w:pPr>
                      <w:r w:rsidRPr="003272B4">
                        <w:rPr>
                          <w:color w:val="FFFFFF" w:themeColor="background1"/>
                        </w:rPr>
                        <w:t>The training also provided great networking opportunities for participants. This has resulted in one regional area taking a more collaborative approach to support each other through the RCA review process.</w:t>
                      </w:r>
                    </w:p>
                    <w:p w14:paraId="16D5CA42" w14:textId="557B7DA7" w:rsidR="00CD7A43" w:rsidRPr="003272B4" w:rsidRDefault="00CD7A43" w:rsidP="007646D1">
                      <w:pPr>
                        <w:spacing w:before="0" w:after="0" w:line="240" w:lineRule="auto"/>
                        <w:ind w:left="360"/>
                        <w:jc w:val="center"/>
                        <w:rPr>
                          <w:rFonts w:eastAsia="Times New Roman"/>
                          <w:b/>
                          <w:i/>
                          <w:color w:val="FFFFFF" w:themeColor="background1"/>
                        </w:rPr>
                      </w:pPr>
                      <w:r w:rsidRPr="003272B4">
                        <w:rPr>
                          <w:rFonts w:eastAsia="Times New Roman"/>
                          <w:b/>
                          <w:i/>
                          <w:color w:val="FFFFFF" w:themeColor="background1"/>
                        </w:rPr>
                        <w:t>“It was all very beneficial, loved the networking opportunity and feel very confident knowing that I can call for help when I need it. Well done!”</w:t>
                      </w:r>
                    </w:p>
                    <w:p w14:paraId="65F85723" w14:textId="6A7794BA" w:rsidR="00CD7A43" w:rsidRPr="003272B4" w:rsidRDefault="00CD7A43" w:rsidP="008B0883">
                      <w:pPr>
                        <w:pStyle w:val="PulloutText"/>
                        <w:rPr>
                          <w:color w:val="FFFFFF" w:themeColor="background1"/>
                        </w:rPr>
                      </w:pPr>
                      <w:r w:rsidRPr="003272B4">
                        <w:rPr>
                          <w:color w:val="FFFFFF" w:themeColor="background1"/>
                        </w:rPr>
                        <w:t>Interest and demand in incident analysis training remains consistently high and will continue to be offered throughout 2018–19.</w:t>
                      </w:r>
                    </w:p>
                  </w:txbxContent>
                </v:textbox>
                <w10:anchorlock/>
              </v:shape>
            </w:pict>
          </mc:Fallback>
        </mc:AlternateContent>
      </w:r>
      <w:r w:rsidR="0057429E">
        <w:br w:type="page"/>
      </w:r>
    </w:p>
    <w:p w14:paraId="796DF4A3" w14:textId="77777777" w:rsidR="005B1384" w:rsidRDefault="000C0BB7" w:rsidP="00FB5E58">
      <w:pPr>
        <w:pStyle w:val="Heading2"/>
      </w:pPr>
      <w:bookmarkStart w:id="52" w:name="_Toc532460435"/>
      <w:r w:rsidRPr="005B7CAD">
        <w:lastRenderedPageBreak/>
        <w:t>The year ahead</w:t>
      </w:r>
      <w:bookmarkStart w:id="53" w:name="_Toc530644637"/>
      <w:bookmarkStart w:id="54" w:name="_Toc530666106"/>
      <w:bookmarkEnd w:id="52"/>
    </w:p>
    <w:p w14:paraId="140CFFDD" w14:textId="1194181E" w:rsidR="00FB5E58" w:rsidRPr="00FB5E58" w:rsidRDefault="00FB5E58" w:rsidP="00FB5E58">
      <w:pPr>
        <w:pStyle w:val="Normalfollowingheading"/>
        <w:sectPr w:rsidR="00FB5E58" w:rsidRPr="00FB5E58" w:rsidSect="00742C2A">
          <w:type w:val="continuous"/>
          <w:pgSz w:w="11906" w:h="16838" w:code="9"/>
          <w:pgMar w:top="3402" w:right="851" w:bottom="1361" w:left="851" w:header="539" w:footer="624" w:gutter="0"/>
          <w:cols w:space="284"/>
          <w:docGrid w:linePitch="360"/>
        </w:sectPr>
      </w:pPr>
    </w:p>
    <w:p w14:paraId="51C0858B" w14:textId="77777777" w:rsidR="00263A66" w:rsidRPr="00683529" w:rsidRDefault="008D3B58" w:rsidP="00263A66">
      <w:pPr>
        <w:pStyle w:val="Heading3"/>
      </w:pPr>
      <w:bookmarkStart w:id="55" w:name="_Toc532460436"/>
      <w:r w:rsidRPr="00C52797">
        <w:t>Clinical g</w:t>
      </w:r>
      <w:r w:rsidR="00263A66" w:rsidRPr="00C52797">
        <w:t>overnance</w:t>
      </w:r>
      <w:bookmarkEnd w:id="53"/>
      <w:r w:rsidRPr="00C52797">
        <w:t xml:space="preserve"> training</w:t>
      </w:r>
      <w:bookmarkEnd w:id="54"/>
      <w:bookmarkEnd w:id="55"/>
    </w:p>
    <w:p w14:paraId="61D0118A" w14:textId="5311A3F6" w:rsidR="00263A66" w:rsidRPr="00C52797" w:rsidRDefault="00C52797" w:rsidP="00263A66">
      <w:pPr>
        <w:pStyle w:val="Normalfollowingheading"/>
      </w:pPr>
      <w:r>
        <w:t xml:space="preserve">SCV is aiming to deliver clinical governance training to all </w:t>
      </w:r>
      <w:r w:rsidR="00263A66" w:rsidRPr="00C52797">
        <w:t xml:space="preserve">85 </w:t>
      </w:r>
      <w:r>
        <w:t xml:space="preserve">of Victoria’s </w:t>
      </w:r>
      <w:r w:rsidR="00006286" w:rsidRPr="005B7CAD">
        <w:t xml:space="preserve">public </w:t>
      </w:r>
      <w:r w:rsidR="00263A66" w:rsidRPr="00C52797">
        <w:t>health service boards</w:t>
      </w:r>
      <w:r>
        <w:t>. This support</w:t>
      </w:r>
      <w:r w:rsidR="00263A66" w:rsidRPr="00C52797">
        <w:t>s</w:t>
      </w:r>
      <w:r>
        <w:t xml:space="preserve"> board directors to:</w:t>
      </w:r>
    </w:p>
    <w:p w14:paraId="063DD87E" w14:textId="4EBC1F4B" w:rsidR="00263A66" w:rsidRPr="00C52797" w:rsidRDefault="00263A66" w:rsidP="00C52797">
      <w:pPr>
        <w:pStyle w:val="Bullet1"/>
      </w:pPr>
      <w:r w:rsidRPr="00C52797">
        <w:t xml:space="preserve">better understand and </w:t>
      </w:r>
      <w:r w:rsidR="00ED380F">
        <w:t>be accountable</w:t>
      </w:r>
      <w:r w:rsidRPr="00C52797">
        <w:t xml:space="preserve"> for patient quality and </w:t>
      </w:r>
      <w:r w:rsidR="00C52797">
        <w:t>safety in their health service</w:t>
      </w:r>
    </w:p>
    <w:p w14:paraId="0DA708D5" w14:textId="77777777" w:rsidR="00263A66" w:rsidRPr="00C52797" w:rsidRDefault="00263A66" w:rsidP="00C52797">
      <w:pPr>
        <w:pStyle w:val="Bullet1"/>
      </w:pPr>
      <w:r w:rsidRPr="00C52797">
        <w:t xml:space="preserve">feel equipped to contribute to clinical governance discussions at board meetings. </w:t>
      </w:r>
    </w:p>
    <w:p w14:paraId="5C0A898D" w14:textId="33462C65" w:rsidR="00263A66" w:rsidRPr="0079631B" w:rsidRDefault="00263A66" w:rsidP="00263A66">
      <w:r w:rsidRPr="0079631B">
        <w:t xml:space="preserve">By strengthening the clinical governance at this level, </w:t>
      </w:r>
      <w:r w:rsidR="008B0883">
        <w:t>we believe</w:t>
      </w:r>
      <w:r w:rsidRPr="0079631B">
        <w:t xml:space="preserve"> the</w:t>
      </w:r>
      <w:r w:rsidR="002415D3" w:rsidRPr="0079631B">
        <w:t>re will be an even stronger focus and drive to continually improve the quality and safety of</w:t>
      </w:r>
      <w:r w:rsidR="00C52797" w:rsidRPr="0079631B">
        <w:t xml:space="preserve"> </w:t>
      </w:r>
      <w:r w:rsidRPr="0079631B">
        <w:t xml:space="preserve">healthcare </w:t>
      </w:r>
      <w:r w:rsidR="002415D3" w:rsidRPr="0079631B">
        <w:t xml:space="preserve">provided </w:t>
      </w:r>
      <w:r w:rsidRPr="0079631B">
        <w:t>to patients, carers and their families.</w:t>
      </w:r>
    </w:p>
    <w:p w14:paraId="1B4BCC94" w14:textId="2621F1A4" w:rsidR="00263A66" w:rsidRDefault="00EE762E" w:rsidP="007211D7">
      <w:pPr>
        <w:pStyle w:val="Heading3"/>
      </w:pPr>
      <w:bookmarkStart w:id="56" w:name="_Toc532460437"/>
      <w:bookmarkStart w:id="57" w:name="_Hlk530728300"/>
      <w:r w:rsidRPr="0047647D">
        <w:t>Learning from the Coroner</w:t>
      </w:r>
      <w:r w:rsidR="008B0883">
        <w:t>s</w:t>
      </w:r>
      <w:r w:rsidRPr="0047647D">
        <w:t xml:space="preserve"> Court of Victoria</w:t>
      </w:r>
      <w:bookmarkEnd w:id="56"/>
    </w:p>
    <w:p w14:paraId="204467A8" w14:textId="77777777" w:rsidR="008B0883" w:rsidRDefault="00EE762E" w:rsidP="00EE762E">
      <w:pPr>
        <w:pStyle w:val="Normalfollowingheading"/>
      </w:pPr>
      <w:bookmarkStart w:id="58" w:name="_Toc530666108"/>
      <w:bookmarkEnd w:id="57"/>
      <w:r>
        <w:t xml:space="preserve">SCV now receives findings from the Coroners Court of Victoria where the </w:t>
      </w:r>
      <w:r w:rsidR="00FB2EB5">
        <w:t>C</w:t>
      </w:r>
      <w:r>
        <w:t>oroner has identified that a quality or safety issue contributed to a death, or there are learnings relev</w:t>
      </w:r>
      <w:r w:rsidR="008B0883">
        <w:t>ant to the wider health system.</w:t>
      </w:r>
    </w:p>
    <w:p w14:paraId="45F401E3" w14:textId="27AC83AE" w:rsidR="00EE762E" w:rsidRDefault="00EE762E" w:rsidP="00EE762E">
      <w:pPr>
        <w:pStyle w:val="Normalfollowingheading"/>
      </w:pPr>
      <w:r w:rsidRPr="00EE762E">
        <w:t xml:space="preserve">Where appropriate, SCV is now able to cross check the findings received from the </w:t>
      </w:r>
      <w:r w:rsidR="00FB2EB5">
        <w:t>C</w:t>
      </w:r>
      <w:r w:rsidRPr="00EE762E">
        <w:t xml:space="preserve">oroner with sentinel event </w:t>
      </w:r>
      <w:r w:rsidR="00096F4A" w:rsidRPr="0079631B">
        <w:t>review</w:t>
      </w:r>
      <w:r w:rsidRPr="0079631B">
        <w:t xml:space="preserve"> </w:t>
      </w:r>
      <w:r w:rsidRPr="00EE762E">
        <w:t>reports.</w:t>
      </w:r>
      <w:r>
        <w:t xml:space="preserve"> SCV is working to improve how we respond to the recommendations from </w:t>
      </w:r>
      <w:r w:rsidR="00ED380F">
        <w:t>the Coroner and share</w:t>
      </w:r>
      <w:r>
        <w:t xml:space="preserve"> learnings to create positive change across the system.</w:t>
      </w:r>
    </w:p>
    <w:p w14:paraId="191E2932" w14:textId="77777777" w:rsidR="00C52797" w:rsidRDefault="0057429E" w:rsidP="0057429E">
      <w:pPr>
        <w:pStyle w:val="Heading3"/>
      </w:pPr>
      <w:bookmarkStart w:id="59" w:name="_Toc530666109"/>
      <w:bookmarkStart w:id="60" w:name="_Toc532460439"/>
      <w:bookmarkEnd w:id="58"/>
      <w:r>
        <w:t>Promoting medication safety</w:t>
      </w:r>
      <w:bookmarkEnd w:id="59"/>
      <w:bookmarkEnd w:id="60"/>
    </w:p>
    <w:p w14:paraId="351F239A" w14:textId="77777777" w:rsidR="0057429E" w:rsidRDefault="0057429E" w:rsidP="0057429E">
      <w:pPr>
        <w:pStyle w:val="Normalfollowingheading"/>
      </w:pPr>
      <w:r>
        <w:t>Avoidable harm from prescription errors and inappropriate use of medicines is substantial and increasing across Victoria. Between 2013 and 2018, 13 deaths due to medication error were reported to us, along with six instances of catastrophic harm.</w:t>
      </w:r>
    </w:p>
    <w:p w14:paraId="06A5ACE1" w14:textId="7B494968" w:rsidR="0057429E" w:rsidRDefault="0057429E" w:rsidP="0057429E">
      <w:r>
        <w:t>SCV is working to establish the state’s first comprehensive medicines program to reduce medication error and hospital costs</w:t>
      </w:r>
      <w:r w:rsidR="008B0883">
        <w:t>,</w:t>
      </w:r>
      <w:r>
        <w:t xml:space="preserve"> and</w:t>
      </w:r>
      <w:r w:rsidRPr="0057429E">
        <w:t xml:space="preserve"> </w:t>
      </w:r>
      <w:r>
        <w:t>to advise on key medication safety and quality issues.</w:t>
      </w:r>
    </w:p>
    <w:p w14:paraId="1CE5F6BA" w14:textId="77777777" w:rsidR="005B1384" w:rsidRDefault="005B1384">
      <w:pPr>
        <w:rPr>
          <w:color w:val="007586" w:themeColor="text2"/>
        </w:rPr>
        <w:sectPr w:rsidR="005B1384" w:rsidSect="00901193">
          <w:type w:val="continuous"/>
          <w:pgSz w:w="11906" w:h="16838" w:code="9"/>
          <w:pgMar w:top="3402" w:right="851" w:bottom="1361" w:left="851" w:header="539" w:footer="624" w:gutter="0"/>
          <w:cols w:space="284"/>
          <w:docGrid w:linePitch="360"/>
        </w:sectPr>
      </w:pPr>
    </w:p>
    <w:p w14:paraId="3D36FFE2" w14:textId="77777777" w:rsidR="00C52797" w:rsidRDefault="00C52797">
      <w:pPr>
        <w:rPr>
          <w:color w:val="007586" w:themeColor="text2"/>
        </w:rPr>
      </w:pPr>
      <w:r>
        <w:rPr>
          <w:color w:val="007586" w:themeColor="text2"/>
        </w:rPr>
        <w:br w:type="page"/>
      </w:r>
    </w:p>
    <w:p w14:paraId="0203516E" w14:textId="77777777" w:rsidR="0013529D" w:rsidRDefault="00263A66">
      <w:pPr>
        <w:rPr>
          <w:rFonts w:ascii="VIC Medium" w:eastAsia="Times New Roman" w:hAnsi="VIC Medium" w:cs="Times New Roman"/>
          <w:color w:val="007586" w:themeColor="text2"/>
          <w:sz w:val="22"/>
          <w:szCs w:val="24"/>
        </w:rPr>
      </w:pPr>
      <w:r>
        <w:rPr>
          <w:noProof/>
        </w:rPr>
        <w:lastRenderedPageBreak/>
        <mc:AlternateContent>
          <mc:Choice Requires="wps">
            <w:drawing>
              <wp:inline distT="0" distB="0" distL="0" distR="0" wp14:anchorId="580D58AD" wp14:editId="130FCDE6">
                <wp:extent cx="6424654" cy="1764000"/>
                <wp:effectExtent l="0" t="0" r="14605" b="17780"/>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4654" cy="1764000"/>
                        </a:xfrm>
                        <a:prstGeom prst="rect">
                          <a:avLst/>
                        </a:prstGeom>
                        <a:solidFill>
                          <a:schemeClr val="bg2"/>
                        </a:solidFill>
                        <a:ln w="6350">
                          <a:solidFill>
                            <a:schemeClr val="bg2"/>
                          </a:solidFill>
                          <a:miter lim="800000"/>
                          <a:headEnd/>
                          <a:tailEnd/>
                        </a:ln>
                      </wps:spPr>
                      <wps:txbx>
                        <w:txbxContent>
                          <w:p w14:paraId="74F1786C" w14:textId="5D0C1A30" w:rsidR="00CD7A43" w:rsidRDefault="00CD7A43" w:rsidP="00263A66">
                            <w:pPr>
                              <w:pStyle w:val="PulloutHeading"/>
                            </w:pPr>
                            <w:r>
                              <w:t>Focus on a rural review</w:t>
                            </w:r>
                          </w:p>
                          <w:p w14:paraId="70768B24" w14:textId="77777777" w:rsidR="00CD7A43" w:rsidRDefault="00CD7A43" w:rsidP="00263A66">
                            <w:pPr>
                              <w:pStyle w:val="PulloutText"/>
                            </w:pPr>
                            <w:r>
                              <w:t>A small rural hospital had two sentinel events in a short time, both of which occurred to aged care residents. The events were different and occurred at different facilities</w:t>
                            </w:r>
                            <w:r w:rsidRPr="00BB105E">
                              <w:t xml:space="preserve">. </w:t>
                            </w:r>
                          </w:p>
                          <w:p w14:paraId="17BD31C5" w14:textId="30B335B7" w:rsidR="00CD7A43" w:rsidRDefault="00CD7A43" w:rsidP="00263A66">
                            <w:pPr>
                              <w:pStyle w:val="PulloutText"/>
                            </w:pPr>
                            <w:r>
                              <w:t>“No one wants a sentinel event and we’ve had two in a short space of time. But rather than pretend they didn’t happen, we’ve reported them, so we can determine what we can learn from them,” Director</w:t>
                            </w:r>
                            <w:r w:rsidRPr="00BB105E">
                              <w:t xml:space="preserve"> of Clinical Services</w:t>
                            </w:r>
                            <w:r w:rsidRPr="007A2088">
                              <w:t xml:space="preserve"> </w:t>
                            </w:r>
                            <w:r>
                              <w:t>said.</w:t>
                            </w:r>
                          </w:p>
                          <w:p w14:paraId="685142D4" w14:textId="7D9BD0A5" w:rsidR="00CD7A43" w:rsidRDefault="00CD7A43" w:rsidP="00263A66">
                            <w:pPr>
                              <w:pStyle w:val="PulloutText"/>
                            </w:pPr>
                            <w:r>
                              <w:t>“We have a good reporting culture here, which enables us to apply a reflective lens on our practices. Our staff understand we offer a supportive, learning environment. It’s not a punitive process, but about learning and improving our patient outcomes.”</w:t>
                            </w:r>
                          </w:p>
                          <w:p w14:paraId="107D9DA7" w14:textId="4D411849" w:rsidR="00CD7A43" w:rsidRDefault="00CD7A43" w:rsidP="00263A66">
                            <w:pPr>
                              <w:pStyle w:val="PulloutText"/>
                            </w:pPr>
                            <w:r>
                              <w:t>One of the key challenges for rural hospitals undertaking reviews is they don’t have the same resources as larger hospitals. That means reviews are often allocated to personnel who may not have experience.</w:t>
                            </w:r>
                          </w:p>
                          <w:p w14:paraId="68F947E0" w14:textId="39729D78" w:rsidR="00CD7A43" w:rsidRDefault="00CD7A43" w:rsidP="00263A66">
                            <w:pPr>
                              <w:pStyle w:val="PulloutText"/>
                            </w:pPr>
                            <w:r>
                              <w:t xml:space="preserve">“The first time we submitted the review, we got a few things wrong. However, SCV guided us through the process and supported us while we learned the correct way to conduct a review. This made it much easier to undertake our second one,” said the Director. </w:t>
                            </w:r>
                          </w:p>
                          <w:p w14:paraId="664AB8D3" w14:textId="07C8C009" w:rsidR="00CD7A43" w:rsidRDefault="00CD7A43" w:rsidP="00263A66">
                            <w:pPr>
                              <w:pStyle w:val="PulloutText"/>
                            </w:pPr>
                            <w:r>
                              <w:t>“SCV has been a great support and really understand that being a rural hospital, we have certain challenges that other hospitals don’t have.”</w:t>
                            </w:r>
                          </w:p>
                          <w:p w14:paraId="5BA15CDA" w14:textId="77184F73" w:rsidR="00CD7A43" w:rsidRPr="00BB105E" w:rsidRDefault="00CD7A43" w:rsidP="00263A66">
                            <w:pPr>
                              <w:pStyle w:val="PulloutText"/>
                            </w:pPr>
                            <w:r w:rsidRPr="00BB105E">
                              <w:t xml:space="preserve">Another challenge is finding an external </w:t>
                            </w:r>
                            <w:r>
                              <w:t>review member</w:t>
                            </w:r>
                            <w:r w:rsidRPr="00BB105E">
                              <w:t xml:space="preserve"> not associated with the health service, to be involved. In a smaller community, not everyone has the skills required </w:t>
                            </w:r>
                            <w:r>
                              <w:t>to take part in a review. There i</w:t>
                            </w:r>
                            <w:r w:rsidRPr="00BB105E">
                              <w:t xml:space="preserve">s also a very good chance </w:t>
                            </w:r>
                            <w:r>
                              <w:t>any</w:t>
                            </w:r>
                            <w:r w:rsidRPr="00BB105E">
                              <w:t xml:space="preserve"> local experts also know the person and the family involved in the sentinel event, and therefore can’t be considered truly impartial.</w:t>
                            </w:r>
                          </w:p>
                          <w:p w14:paraId="58740E1B" w14:textId="77777777" w:rsidR="00CD7A43" w:rsidRDefault="00CD7A43" w:rsidP="00263A66">
                            <w:pPr>
                              <w:pStyle w:val="PulloutText"/>
                            </w:pPr>
                            <w:r>
                              <w:t>While the review process isn’t complete yet, this rural hospital has already identified a number of opportunities for improvement, including understanding the importance of the various referral pathways in the rural setting.</w:t>
                            </w:r>
                          </w:p>
                          <w:p w14:paraId="774E05C3" w14:textId="79143713" w:rsidR="00CD7A43" w:rsidRDefault="00CD7A43" w:rsidP="00263A66">
                            <w:pPr>
                              <w:pStyle w:val="PulloutText"/>
                            </w:pPr>
                            <w:r>
                              <w:t>“Understanding referral and communication pathways is important in providing great care. The review process has provided an opportunity for us to understand rural pathways, and how we identify a clinical need, and communicate it within the system,” said the Director.</w:t>
                            </w:r>
                          </w:p>
                          <w:p w14:paraId="073FEF85" w14:textId="4DBFCEA1" w:rsidR="00CD7A43" w:rsidRDefault="00CD7A43" w:rsidP="00263A66">
                            <w:pPr>
                              <w:pStyle w:val="PulloutText"/>
                            </w:pPr>
                            <w:r>
                              <w:t>Sentinel events can be devastating to a smaller rural community. However, this rural hospital believes that if they’re reported and reviewed well, they can provide great opportunities for learning and improved outcomes.</w:t>
                            </w:r>
                          </w:p>
                          <w:p w14:paraId="64134A3F" w14:textId="1791CF03" w:rsidR="00CD7A43" w:rsidRDefault="00CD7A43" w:rsidP="00263A66">
                            <w:pPr>
                              <w:pStyle w:val="PulloutText"/>
                            </w:pPr>
                            <w:r>
                              <w:t>“It’s important to change our mindset about reporting sentinel events. We’re acknowledging that something didn’t go the way it was intended and asking ourselves how we can improve our systems and processes, so we can provide the best care possible every single time.</w:t>
                            </w:r>
                          </w:p>
                          <w:p w14:paraId="3AD48786" w14:textId="4FBF6A59" w:rsidR="00CD7A43" w:rsidRDefault="00CD7A43" w:rsidP="00263A66">
                            <w:pPr>
                              <w:pStyle w:val="PulloutText"/>
                            </w:pPr>
                            <w:r>
                              <w:t>“The best review outcomes happen when organisations understand the intended outcome of these reviews is learning, and not just tick a box and say, ‘the review is done’.”</w:t>
                            </w:r>
                          </w:p>
                        </w:txbxContent>
                      </wps:txbx>
                      <wps:bodyPr rot="0" vert="horz" wrap="square" lIns="180000" tIns="180000" rIns="144000" bIns="36000" anchor="t" anchorCtr="0">
                        <a:spAutoFit/>
                      </wps:bodyPr>
                    </wps:wsp>
                  </a:graphicData>
                </a:graphic>
              </wp:inline>
            </w:drawing>
          </mc:Choice>
          <mc:Fallback>
            <w:pict>
              <v:shape w14:anchorId="580D58AD" id="_x0000_s1037" type="#_x0000_t202" style="width:505.9pt;height:13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" fillcolor="#edf5f7 [3214]" strokecolor="#edf5f7 [3214]" strokeweight=".5pt">
                <v:textbox style="mso-fit-shape-to-text:t" inset="5mm,5mm,4mm,1mm">
                  <w:txbxContent>
                    <w:p w14:paraId="74F1786C" w14:textId="5D0C1A30" w:rsidR="00CD7A43" w:rsidRDefault="00CD7A43" w:rsidP="00263A66">
                      <w:pPr>
                        <w:pStyle w:val="PulloutHeading"/>
                      </w:pPr>
                      <w:r>
                        <w:t>Focus on a rural review</w:t>
                      </w:r>
                    </w:p>
                    <w:p w14:paraId="70768B24" w14:textId="77777777" w:rsidR="00CD7A43" w:rsidRDefault="00CD7A43" w:rsidP="00263A66">
                      <w:pPr>
                        <w:pStyle w:val="PulloutText"/>
                      </w:pPr>
                      <w:r>
                        <w:t>A small rural hospital had two sentinel events in a short time, both of which occurred to aged care residents. The events were different and occurred at different facilities</w:t>
                      </w:r>
                      <w:r w:rsidRPr="00BB105E">
                        <w:t xml:space="preserve">. </w:t>
                      </w:r>
                    </w:p>
                    <w:p w14:paraId="17BD31C5" w14:textId="30B335B7" w:rsidR="00CD7A43" w:rsidRDefault="00CD7A43" w:rsidP="00263A66">
                      <w:pPr>
                        <w:pStyle w:val="PulloutText"/>
                      </w:pPr>
                      <w:r>
                        <w:t>“No one wants a sentinel event and we’ve had two in a short space of time. But rather than pretend they didn’t happen, we’ve reported them, so we can determine what we can learn from them,” Director</w:t>
                      </w:r>
                      <w:r w:rsidRPr="00BB105E">
                        <w:t xml:space="preserve"> of Clinical Services</w:t>
                      </w:r>
                      <w:r w:rsidRPr="007A2088">
                        <w:t xml:space="preserve"> </w:t>
                      </w:r>
                      <w:r>
                        <w:t>said.</w:t>
                      </w:r>
                    </w:p>
                    <w:p w14:paraId="685142D4" w14:textId="7D9BD0A5" w:rsidR="00CD7A43" w:rsidRDefault="00CD7A43" w:rsidP="00263A66">
                      <w:pPr>
                        <w:pStyle w:val="PulloutText"/>
                      </w:pPr>
                      <w:r>
                        <w:t>“We have a good reporting culture here, which enables us to apply a reflective lens on our practices. Our staff understand we offer a supportive, learning environment. It’s not a punitive process, but about learning and improving our patient outcomes.”</w:t>
                      </w:r>
                    </w:p>
                    <w:p w14:paraId="107D9DA7" w14:textId="4D411849" w:rsidR="00CD7A43" w:rsidRDefault="00CD7A43" w:rsidP="00263A66">
                      <w:pPr>
                        <w:pStyle w:val="PulloutText"/>
                      </w:pPr>
                      <w:r>
                        <w:t>One of the key challenges for rural hospitals undertaking reviews is they don’t have the same resources as larger hospitals. That means reviews are often allocated to personnel who may not have experience.</w:t>
                      </w:r>
                    </w:p>
                    <w:p w14:paraId="68F947E0" w14:textId="39729D78" w:rsidR="00CD7A43" w:rsidRDefault="00CD7A43" w:rsidP="00263A66">
                      <w:pPr>
                        <w:pStyle w:val="PulloutText"/>
                      </w:pPr>
                      <w:r>
                        <w:t xml:space="preserve">“The first time we submitted the review, we got a few things wrong. However, SCV guided us through the process and supported us while we learned the correct way to conduct a review. This made it much easier to undertake our second one,” said the Director. </w:t>
                      </w:r>
                    </w:p>
                    <w:p w14:paraId="664AB8D3" w14:textId="07C8C009" w:rsidR="00CD7A43" w:rsidRDefault="00CD7A43" w:rsidP="00263A66">
                      <w:pPr>
                        <w:pStyle w:val="PulloutText"/>
                      </w:pPr>
                      <w:r>
                        <w:t>“SCV has been a great support and really understand that being a rural hospital, we have certain challenges that other hospitals don’t have.”</w:t>
                      </w:r>
                    </w:p>
                    <w:p w14:paraId="5BA15CDA" w14:textId="77184F73" w:rsidR="00CD7A43" w:rsidRPr="00BB105E" w:rsidRDefault="00CD7A43" w:rsidP="00263A66">
                      <w:pPr>
                        <w:pStyle w:val="PulloutText"/>
                      </w:pPr>
                      <w:r w:rsidRPr="00BB105E">
                        <w:t xml:space="preserve">Another challenge is finding an external </w:t>
                      </w:r>
                      <w:r>
                        <w:t>review member</w:t>
                      </w:r>
                      <w:r w:rsidRPr="00BB105E">
                        <w:t xml:space="preserve"> not associated with the health service, to be involved. In a smaller community, not everyone has the skills required </w:t>
                      </w:r>
                      <w:r>
                        <w:t>to take part in a review. There i</w:t>
                      </w:r>
                      <w:r w:rsidRPr="00BB105E">
                        <w:t xml:space="preserve">s also a very good chance </w:t>
                      </w:r>
                      <w:r>
                        <w:t>any</w:t>
                      </w:r>
                      <w:r w:rsidRPr="00BB105E">
                        <w:t xml:space="preserve"> local experts also know the person and the family involved in the sentinel event, and therefore can’t be considered truly impartial.</w:t>
                      </w:r>
                    </w:p>
                    <w:p w14:paraId="58740E1B" w14:textId="77777777" w:rsidR="00CD7A43" w:rsidRDefault="00CD7A43" w:rsidP="00263A66">
                      <w:pPr>
                        <w:pStyle w:val="PulloutText"/>
                      </w:pPr>
                      <w:r>
                        <w:t>While the review process isn’t complete yet, this rural hospital has already identified a number of opportunities for improvement, including understanding the importance of the various referral pathways in the rural setting.</w:t>
                      </w:r>
                    </w:p>
                    <w:p w14:paraId="774E05C3" w14:textId="79143713" w:rsidR="00CD7A43" w:rsidRDefault="00CD7A43" w:rsidP="00263A66">
                      <w:pPr>
                        <w:pStyle w:val="PulloutText"/>
                      </w:pPr>
                      <w:r>
                        <w:t>“Understanding referral and communication pathways is important in providing great care. The review process has provided an opportunity for us to understand rural pathways, and how we identify a clinical need, and communicate it within the system,” said the Director.</w:t>
                      </w:r>
                    </w:p>
                    <w:p w14:paraId="073FEF85" w14:textId="4DBFCEA1" w:rsidR="00CD7A43" w:rsidRDefault="00CD7A43" w:rsidP="00263A66">
                      <w:pPr>
                        <w:pStyle w:val="PulloutText"/>
                      </w:pPr>
                      <w:r>
                        <w:t>Sentinel events can be devastating to a smaller rural community. However, this rural hospital believes that if they’re reported and reviewed well, they can provide great opportunities for learning and improved outcomes.</w:t>
                      </w:r>
                    </w:p>
                    <w:p w14:paraId="64134A3F" w14:textId="1791CF03" w:rsidR="00CD7A43" w:rsidRDefault="00CD7A43" w:rsidP="00263A66">
                      <w:pPr>
                        <w:pStyle w:val="PulloutText"/>
                      </w:pPr>
                      <w:r>
                        <w:t>“It’s important to change our mindset about reporting sentinel events. We’re acknowledging that something didn’t go the way it was intended and asking ourselves how we can improve our systems and processes, so we can provide the best care possible every single time.</w:t>
                      </w:r>
                    </w:p>
                    <w:p w14:paraId="3AD48786" w14:textId="4FBF6A59" w:rsidR="00CD7A43" w:rsidRDefault="00CD7A43" w:rsidP="00263A66">
                      <w:pPr>
                        <w:pStyle w:val="PulloutText"/>
                      </w:pPr>
                      <w:r>
                        <w:t>“The best review outcomes happen when organisations understand the intended outcome of these reviews is learning, and not just tick a box and say, ‘the review is done’.”</w:t>
                      </w:r>
                    </w:p>
                  </w:txbxContent>
                </v:textbox>
                <w10:anchorlock/>
              </v:shape>
            </w:pict>
          </mc:Fallback>
        </mc:AlternateContent>
      </w:r>
      <w:r w:rsidR="0013529D">
        <w:br w:type="page"/>
      </w:r>
    </w:p>
    <w:p w14:paraId="545791A5" w14:textId="2F78E4D9" w:rsidR="0060775D" w:rsidRDefault="0013529D" w:rsidP="0013529D">
      <w:pPr>
        <w:pStyle w:val="Heading1"/>
        <w:framePr w:wrap="around"/>
      </w:pPr>
      <w:bookmarkStart w:id="61" w:name="_Toc532460440"/>
      <w:r>
        <w:lastRenderedPageBreak/>
        <w:t>Appendix 1</w:t>
      </w:r>
      <w:r w:rsidR="005B1384">
        <w:t xml:space="preserve"> I</w:t>
      </w:r>
      <w:r w:rsidR="00ED380F">
        <w:t>nternational Classification for Patient Safety (I</w:t>
      </w:r>
      <w:r w:rsidR="005B1384">
        <w:t>CP</w:t>
      </w:r>
      <w:r w:rsidR="004952AA">
        <w:t>S</w:t>
      </w:r>
      <w:r w:rsidR="00ED380F">
        <w:t>)</w:t>
      </w:r>
      <w:r w:rsidR="004952AA">
        <w:t xml:space="preserve"> incident types</w:t>
      </w:r>
      <w:bookmarkEnd w:id="61"/>
    </w:p>
    <w:tbl>
      <w:tblPr>
        <w:tblStyle w:val="TableGrid"/>
        <w:tblW w:w="10206" w:type="dxa"/>
        <w:tblLook w:val="04A0" w:firstRow="1" w:lastRow="0" w:firstColumn="1" w:lastColumn="0" w:noHBand="0" w:noVBand="1"/>
      </w:tblPr>
      <w:tblGrid>
        <w:gridCol w:w="2943"/>
        <w:gridCol w:w="7263"/>
      </w:tblGrid>
      <w:tr w:rsidR="0013529D" w:rsidRPr="00C34617" w14:paraId="46F024E3" w14:textId="77777777" w:rsidTr="0013529D">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3E7B58FC" w14:textId="77777777" w:rsidR="0013529D" w:rsidRPr="00C34617" w:rsidRDefault="0013529D" w:rsidP="0013529D">
            <w:pPr>
              <w:pStyle w:val="Tableheader"/>
              <w:rPr>
                <w:b/>
              </w:rPr>
            </w:pPr>
            <w:r w:rsidRPr="00C34617">
              <w:t>Sub-theme</w:t>
            </w:r>
          </w:p>
        </w:tc>
        <w:tc>
          <w:tcPr>
            <w:tcW w:w="7263" w:type="dxa"/>
            <w:vAlign w:val="center"/>
          </w:tcPr>
          <w:p w14:paraId="1D119790" w14:textId="77777777" w:rsidR="0013529D" w:rsidRPr="00C34617" w:rsidRDefault="0013529D" w:rsidP="0013529D">
            <w:pPr>
              <w:pStyle w:val="Tableheader"/>
              <w:cnfStyle w:val="100000000000" w:firstRow="1" w:lastRow="0" w:firstColumn="0" w:lastColumn="0" w:oddVBand="0" w:evenVBand="0" w:oddHBand="0" w:evenHBand="0" w:firstRowFirstColumn="0" w:firstRowLastColumn="0" w:lastRowFirstColumn="0" w:lastRowLastColumn="0"/>
              <w:rPr>
                <w:b/>
              </w:rPr>
            </w:pPr>
            <w:r w:rsidRPr="00C34617">
              <w:t>Description</w:t>
            </w:r>
          </w:p>
        </w:tc>
      </w:tr>
      <w:tr w:rsidR="0013529D" w14:paraId="36C1924C" w14:textId="77777777" w:rsidTr="0013529D">
        <w:tc>
          <w:tcPr>
            <w:cnfStyle w:val="001000000000" w:firstRow="0" w:lastRow="0" w:firstColumn="1" w:lastColumn="0" w:oddVBand="0" w:evenVBand="0" w:oddHBand="0" w:evenHBand="0" w:firstRowFirstColumn="0" w:firstRowLastColumn="0" w:lastRowFirstColumn="0" w:lastRowLastColumn="0"/>
            <w:tcW w:w="2943" w:type="dxa"/>
          </w:tcPr>
          <w:p w14:paraId="05C3ED70" w14:textId="77777777" w:rsidR="0013529D" w:rsidRDefault="0013529D" w:rsidP="00755D19">
            <w:pPr>
              <w:spacing w:before="40" w:after="40"/>
            </w:pPr>
            <w:r>
              <w:t>Clinical process/procedure</w:t>
            </w:r>
          </w:p>
        </w:tc>
        <w:tc>
          <w:tcPr>
            <w:tcW w:w="7263" w:type="dxa"/>
          </w:tcPr>
          <w:p w14:paraId="4878946A" w14:textId="77777777" w:rsidR="0013529D" w:rsidRPr="007A1C35" w:rsidRDefault="0013529D" w:rsidP="00755D19">
            <w:pPr>
              <w:spacing w:before="40" w:after="40"/>
              <w:ind w:left="34"/>
              <w:cnfStyle w:val="000000000000" w:firstRow="0" w:lastRow="0" w:firstColumn="0" w:lastColumn="0" w:oddVBand="0" w:evenVBand="0" w:oddHBand="0" w:evenHBand="0" w:firstRowFirstColumn="0" w:firstRowLastColumn="0" w:lastRowFirstColumn="0" w:lastRowLastColumn="0"/>
            </w:pPr>
            <w:r w:rsidRPr="0098632B">
              <w:t>Diagnosis/Assessment</w:t>
            </w:r>
            <w:r w:rsidRPr="007A1C35">
              <w:t xml:space="preserve"> (not performed when indicated, incomplete/inadequate, other)</w:t>
            </w:r>
          </w:p>
          <w:p w14:paraId="54E27F39" w14:textId="77777777" w:rsidR="0013529D" w:rsidRPr="007A1C35" w:rsidRDefault="0013529D" w:rsidP="00755D19">
            <w:pPr>
              <w:spacing w:before="40" w:after="40"/>
              <w:ind w:left="34"/>
              <w:cnfStyle w:val="000000000000" w:firstRow="0" w:lastRow="0" w:firstColumn="0" w:lastColumn="0" w:oddVBand="0" w:evenVBand="0" w:oddHBand="0" w:evenHBand="0" w:firstRowFirstColumn="0" w:firstRowLastColumn="0" w:lastRowFirstColumn="0" w:lastRowLastColumn="0"/>
            </w:pPr>
            <w:r w:rsidRPr="0098632B">
              <w:t>Procedure/treatment/intervention</w:t>
            </w:r>
            <w:r w:rsidRPr="007A1C35">
              <w:t xml:space="preserve"> (not performed when indicated, incomplete/inadequate, wrong body part/side/site, other)</w:t>
            </w:r>
          </w:p>
          <w:p w14:paraId="103789F2" w14:textId="77777777" w:rsidR="0013529D" w:rsidRPr="007A1C35" w:rsidRDefault="0013529D" w:rsidP="00755D19">
            <w:pPr>
              <w:spacing w:before="40" w:after="40"/>
              <w:ind w:left="34"/>
              <w:cnfStyle w:val="000000000000" w:firstRow="0" w:lastRow="0" w:firstColumn="0" w:lastColumn="0" w:oddVBand="0" w:evenVBand="0" w:oddHBand="0" w:evenHBand="0" w:firstRowFirstColumn="0" w:firstRowLastColumn="0" w:lastRowFirstColumn="0" w:lastRowLastColumn="0"/>
            </w:pPr>
            <w:r w:rsidRPr="0098632B">
              <w:t>Tests/investigations</w:t>
            </w:r>
            <w:r w:rsidRPr="007A1C35">
              <w:t xml:space="preserve"> (not performed when indicated, wrong patient)</w:t>
            </w:r>
          </w:p>
          <w:p w14:paraId="3DB3D365" w14:textId="77777777" w:rsidR="0013529D" w:rsidRPr="007A1C35" w:rsidRDefault="0013529D" w:rsidP="00755D19">
            <w:pPr>
              <w:spacing w:before="40" w:after="40"/>
              <w:ind w:left="34"/>
              <w:cnfStyle w:val="000000000000" w:firstRow="0" w:lastRow="0" w:firstColumn="0" w:lastColumn="0" w:oddVBand="0" w:evenVBand="0" w:oddHBand="0" w:evenHBand="0" w:firstRowFirstColumn="0" w:firstRowLastColumn="0" w:lastRowFirstColumn="0" w:lastRowLastColumn="0"/>
            </w:pPr>
            <w:r w:rsidRPr="0098632B">
              <w:t>Specimens/results</w:t>
            </w:r>
            <w:r w:rsidRPr="007A1C35">
              <w:t xml:space="preserve"> (wrong patient, mislabelling)</w:t>
            </w:r>
          </w:p>
        </w:tc>
      </w:tr>
      <w:tr w:rsidR="0013529D" w14:paraId="3DB509DC" w14:textId="77777777" w:rsidTr="0013529D">
        <w:tc>
          <w:tcPr>
            <w:cnfStyle w:val="001000000000" w:firstRow="0" w:lastRow="0" w:firstColumn="1" w:lastColumn="0" w:oddVBand="0" w:evenVBand="0" w:oddHBand="0" w:evenHBand="0" w:firstRowFirstColumn="0" w:firstRowLastColumn="0" w:lastRowFirstColumn="0" w:lastRowLastColumn="0"/>
            <w:tcW w:w="2943" w:type="dxa"/>
          </w:tcPr>
          <w:p w14:paraId="3B1647D3" w14:textId="77777777" w:rsidR="0013529D" w:rsidRDefault="0013529D" w:rsidP="00755D19">
            <w:pPr>
              <w:spacing w:before="40" w:after="40"/>
            </w:pPr>
            <w:r>
              <w:t>Falls</w:t>
            </w:r>
          </w:p>
        </w:tc>
        <w:tc>
          <w:tcPr>
            <w:tcW w:w="7263" w:type="dxa"/>
          </w:tcPr>
          <w:p w14:paraId="60CE37CD" w14:textId="77777777" w:rsidR="0013529D" w:rsidRPr="005D741C" w:rsidRDefault="0013529D" w:rsidP="00755D19">
            <w:pPr>
              <w:spacing w:before="40" w:after="40"/>
              <w:ind w:left="34"/>
              <w:cnfStyle w:val="000000000000" w:firstRow="0" w:lastRow="0" w:firstColumn="0" w:lastColumn="0" w:oddVBand="0" w:evenVBand="0" w:oddHBand="0" w:evenHBand="0" w:firstRowFirstColumn="0" w:firstRowLastColumn="0" w:lastRowFirstColumn="0" w:lastRowLastColumn="0"/>
            </w:pPr>
            <w:r w:rsidRPr="005D741C">
              <w:t>Mortality or permanent harm relating to a fall</w:t>
            </w:r>
          </w:p>
          <w:p w14:paraId="623F9E9E" w14:textId="77777777" w:rsidR="0013529D" w:rsidRPr="005D741C" w:rsidRDefault="0013529D" w:rsidP="00755D19">
            <w:pPr>
              <w:spacing w:before="40" w:after="40"/>
              <w:ind w:left="34"/>
              <w:cnfStyle w:val="000000000000" w:firstRow="0" w:lastRow="0" w:firstColumn="0" w:lastColumn="0" w:oddVBand="0" w:evenVBand="0" w:oddHBand="0" w:evenHBand="0" w:firstRowFirstColumn="0" w:firstRowLastColumn="0" w:lastRowFirstColumn="0" w:lastRowLastColumn="0"/>
            </w:pPr>
            <w:r w:rsidRPr="005D741C">
              <w:t>i.e. slip with head strike resulting in death</w:t>
            </w:r>
          </w:p>
        </w:tc>
      </w:tr>
      <w:tr w:rsidR="0013529D" w14:paraId="2E9EE775" w14:textId="77777777" w:rsidTr="0013529D">
        <w:tc>
          <w:tcPr>
            <w:cnfStyle w:val="001000000000" w:firstRow="0" w:lastRow="0" w:firstColumn="1" w:lastColumn="0" w:oddVBand="0" w:evenVBand="0" w:oddHBand="0" w:evenHBand="0" w:firstRowFirstColumn="0" w:firstRowLastColumn="0" w:lastRowFirstColumn="0" w:lastRowLastColumn="0"/>
            <w:tcW w:w="2943" w:type="dxa"/>
          </w:tcPr>
          <w:p w14:paraId="65481D6D" w14:textId="77777777" w:rsidR="0013529D" w:rsidRDefault="0013529D" w:rsidP="00755D19">
            <w:pPr>
              <w:spacing w:before="40" w:after="40"/>
            </w:pPr>
            <w:r>
              <w:t>Deteriorating patient</w:t>
            </w:r>
          </w:p>
        </w:tc>
        <w:tc>
          <w:tcPr>
            <w:tcW w:w="7263" w:type="dxa"/>
          </w:tcPr>
          <w:p w14:paraId="35343340" w14:textId="601F17C0" w:rsidR="0013529D" w:rsidRPr="005D741C" w:rsidRDefault="0013529D" w:rsidP="00FB2EB5">
            <w:pPr>
              <w:spacing w:before="40" w:after="40"/>
              <w:ind w:left="34"/>
              <w:cnfStyle w:val="000000000000" w:firstRow="0" w:lastRow="0" w:firstColumn="0" w:lastColumn="0" w:oddVBand="0" w:evenVBand="0" w:oddHBand="0" w:evenHBand="0" w:firstRowFirstColumn="0" w:firstRowLastColumn="0" w:lastRowFirstColumn="0" w:lastRowLastColumn="0"/>
            </w:pPr>
            <w:r w:rsidRPr="005D741C">
              <w:t>Recognition, escalation or re</w:t>
            </w:r>
            <w:r w:rsidR="00FB2EB5">
              <w:t>sponse to patient deterioration</w:t>
            </w:r>
          </w:p>
        </w:tc>
      </w:tr>
      <w:tr w:rsidR="0013529D" w14:paraId="1CD35690" w14:textId="77777777" w:rsidTr="0013529D">
        <w:tc>
          <w:tcPr>
            <w:cnfStyle w:val="001000000000" w:firstRow="0" w:lastRow="0" w:firstColumn="1" w:lastColumn="0" w:oddVBand="0" w:evenVBand="0" w:oddHBand="0" w:evenHBand="0" w:firstRowFirstColumn="0" w:firstRowLastColumn="0" w:lastRowFirstColumn="0" w:lastRowLastColumn="0"/>
            <w:tcW w:w="2943" w:type="dxa"/>
          </w:tcPr>
          <w:p w14:paraId="212238BD" w14:textId="77777777" w:rsidR="0013529D" w:rsidRDefault="0013529D" w:rsidP="00755D19">
            <w:pPr>
              <w:spacing w:before="40" w:after="40"/>
            </w:pPr>
            <w:r>
              <w:t>Behaviour</w:t>
            </w:r>
          </w:p>
        </w:tc>
        <w:tc>
          <w:tcPr>
            <w:tcW w:w="7263" w:type="dxa"/>
          </w:tcPr>
          <w:p w14:paraId="38E77E35" w14:textId="77777777" w:rsidR="0013529D" w:rsidRPr="005D741C" w:rsidRDefault="0013529D" w:rsidP="00755D19">
            <w:pPr>
              <w:spacing w:before="40" w:after="40"/>
              <w:ind w:left="34"/>
              <w:cnfStyle w:val="000000000000" w:firstRow="0" w:lastRow="0" w:firstColumn="0" w:lastColumn="0" w:oddVBand="0" w:evenVBand="0" w:oddHBand="0" w:evenHBand="0" w:firstRowFirstColumn="0" w:firstRowLastColumn="0" w:lastRowFirstColumn="0" w:lastRowLastColumn="0"/>
            </w:pPr>
            <w:r w:rsidRPr="005D741C">
              <w:t>Behaviour that is associated with temporary or permanent harm</w:t>
            </w:r>
          </w:p>
          <w:p w14:paraId="23E17F0A" w14:textId="77777777" w:rsidR="0013529D" w:rsidRPr="005D741C" w:rsidRDefault="0013529D" w:rsidP="00755D19">
            <w:pPr>
              <w:spacing w:before="40" w:after="40"/>
              <w:ind w:left="34"/>
              <w:cnfStyle w:val="000000000000" w:firstRow="0" w:lastRow="0" w:firstColumn="0" w:lastColumn="0" w:oddVBand="0" w:evenVBand="0" w:oddHBand="0" w:evenHBand="0" w:firstRowFirstColumn="0" w:firstRowLastColumn="0" w:lastRowFirstColumn="0" w:lastRowLastColumn="0"/>
            </w:pPr>
            <w:r w:rsidRPr="005D741C">
              <w:t xml:space="preserve">i.e. intended self-harm or suicide </w:t>
            </w:r>
          </w:p>
        </w:tc>
      </w:tr>
      <w:tr w:rsidR="0013529D" w14:paraId="49CACBA4" w14:textId="77777777" w:rsidTr="0013529D">
        <w:tc>
          <w:tcPr>
            <w:cnfStyle w:val="001000000000" w:firstRow="0" w:lastRow="0" w:firstColumn="1" w:lastColumn="0" w:oddVBand="0" w:evenVBand="0" w:oddHBand="0" w:evenHBand="0" w:firstRowFirstColumn="0" w:firstRowLastColumn="0" w:lastRowFirstColumn="0" w:lastRowLastColumn="0"/>
            <w:tcW w:w="2943" w:type="dxa"/>
          </w:tcPr>
          <w:p w14:paraId="72AC8111" w14:textId="77777777" w:rsidR="0013529D" w:rsidRDefault="0013529D" w:rsidP="00755D19">
            <w:pPr>
              <w:spacing w:before="40" w:after="40"/>
            </w:pPr>
            <w:r>
              <w:t>Clinical administration</w:t>
            </w:r>
          </w:p>
        </w:tc>
        <w:tc>
          <w:tcPr>
            <w:tcW w:w="7263" w:type="dxa"/>
          </w:tcPr>
          <w:p w14:paraId="5EE05033" w14:textId="77777777" w:rsidR="0013529D" w:rsidRPr="005D741C" w:rsidRDefault="0013529D" w:rsidP="00755D19">
            <w:pPr>
              <w:spacing w:before="40" w:after="40"/>
              <w:ind w:left="34"/>
              <w:cnfStyle w:val="000000000000" w:firstRow="0" w:lastRow="0" w:firstColumn="0" w:lastColumn="0" w:oddVBand="0" w:evenVBand="0" w:oddHBand="0" w:evenHBand="0" w:firstRowFirstColumn="0" w:firstRowLastColumn="0" w:lastRowFirstColumn="0" w:lastRowLastColumn="0"/>
              <w:rPr>
                <w:iCs/>
              </w:rPr>
            </w:pPr>
            <w:r w:rsidRPr="005D741C">
              <w:rPr>
                <w:iCs/>
              </w:rPr>
              <w:t>Incident involving a process or problems with the administration of clinical information</w:t>
            </w:r>
          </w:p>
          <w:p w14:paraId="5E71AB70" w14:textId="1A08D8A9" w:rsidR="0013529D" w:rsidRPr="005D741C" w:rsidRDefault="0013529D" w:rsidP="00755D19">
            <w:pPr>
              <w:spacing w:before="40" w:after="40"/>
              <w:ind w:left="34"/>
              <w:cnfStyle w:val="000000000000" w:firstRow="0" w:lastRow="0" w:firstColumn="0" w:lastColumn="0" w:oddVBand="0" w:evenVBand="0" w:oddHBand="0" w:evenHBand="0" w:firstRowFirstColumn="0" w:firstRowLastColumn="0" w:lastRowFirstColumn="0" w:lastRowLastColumn="0"/>
            </w:pPr>
            <w:r w:rsidRPr="005D741C">
              <w:rPr>
                <w:iCs/>
              </w:rPr>
              <w:t xml:space="preserve">i.e. </w:t>
            </w:r>
            <w:r w:rsidR="00ED380F">
              <w:rPr>
                <w:iCs/>
              </w:rPr>
              <w:t>waitlist delay, inter hospital transfer delay, delay to ultrasound</w:t>
            </w:r>
            <w:r w:rsidRPr="005D741C">
              <w:rPr>
                <w:iCs/>
              </w:rPr>
              <w:t>, delay to referral</w:t>
            </w:r>
          </w:p>
        </w:tc>
      </w:tr>
      <w:tr w:rsidR="0013529D" w14:paraId="0DEB31BB" w14:textId="77777777" w:rsidTr="0013529D">
        <w:tc>
          <w:tcPr>
            <w:cnfStyle w:val="001000000000" w:firstRow="0" w:lastRow="0" w:firstColumn="1" w:lastColumn="0" w:oddVBand="0" w:evenVBand="0" w:oddHBand="0" w:evenHBand="0" w:firstRowFirstColumn="0" w:firstRowLastColumn="0" w:lastRowFirstColumn="0" w:lastRowLastColumn="0"/>
            <w:tcW w:w="2943" w:type="dxa"/>
          </w:tcPr>
          <w:p w14:paraId="03F33843" w14:textId="461B70D6" w:rsidR="0013529D" w:rsidRDefault="0013529D" w:rsidP="00755D19">
            <w:pPr>
              <w:spacing w:before="40" w:after="40"/>
            </w:pPr>
            <w:r>
              <w:t>Medical device</w:t>
            </w:r>
            <w:r w:rsidR="00080E42">
              <w:t>/equipment</w:t>
            </w:r>
          </w:p>
        </w:tc>
        <w:tc>
          <w:tcPr>
            <w:tcW w:w="7263" w:type="dxa"/>
          </w:tcPr>
          <w:p w14:paraId="24C2021D" w14:textId="77777777" w:rsidR="0013529D" w:rsidRPr="005D741C" w:rsidRDefault="0013529D" w:rsidP="00755D19">
            <w:pPr>
              <w:spacing w:before="40" w:after="40"/>
              <w:ind w:left="34"/>
              <w:cnfStyle w:val="000000000000" w:firstRow="0" w:lastRow="0" w:firstColumn="0" w:lastColumn="0" w:oddVBand="0" w:evenVBand="0" w:oddHBand="0" w:evenHBand="0" w:firstRowFirstColumn="0" w:firstRowLastColumn="0" w:lastRowFirstColumn="0" w:lastRowLastColumn="0"/>
            </w:pPr>
            <w:r w:rsidRPr="005D741C">
              <w:t>An error associated with a medical device/equipment or property,</w:t>
            </w:r>
          </w:p>
          <w:p w14:paraId="41D7C69C" w14:textId="677C7667" w:rsidR="0013529D" w:rsidRPr="005D741C" w:rsidRDefault="0013529D" w:rsidP="00755D19">
            <w:pPr>
              <w:spacing w:before="40" w:after="40"/>
              <w:ind w:left="34"/>
              <w:cnfStyle w:val="000000000000" w:firstRow="0" w:lastRow="0" w:firstColumn="0" w:lastColumn="0" w:oddVBand="0" w:evenVBand="0" w:oddHBand="0" w:evenHBand="0" w:firstRowFirstColumn="0" w:firstRowLastColumn="0" w:lastRowFirstColumn="0" w:lastRowLastColumn="0"/>
            </w:pPr>
            <w:r w:rsidRPr="005D741C">
              <w:t>i.e. dislodgement or misconnection of a device, equipment t</w:t>
            </w:r>
            <w:r w:rsidR="00ED380F">
              <w:t>h</w:t>
            </w:r>
            <w:r w:rsidRPr="005D741C">
              <w:t>is inappropriate for the task</w:t>
            </w:r>
          </w:p>
        </w:tc>
      </w:tr>
      <w:tr w:rsidR="0013529D" w14:paraId="63C49108" w14:textId="77777777" w:rsidTr="0013529D">
        <w:tc>
          <w:tcPr>
            <w:cnfStyle w:val="001000000000" w:firstRow="0" w:lastRow="0" w:firstColumn="1" w:lastColumn="0" w:oddVBand="0" w:evenVBand="0" w:oddHBand="0" w:evenHBand="0" w:firstRowFirstColumn="0" w:firstRowLastColumn="0" w:lastRowFirstColumn="0" w:lastRowLastColumn="0"/>
            <w:tcW w:w="2943" w:type="dxa"/>
          </w:tcPr>
          <w:p w14:paraId="12DF8B5C" w14:textId="77777777" w:rsidR="0013529D" w:rsidRDefault="0013529D" w:rsidP="00755D19">
            <w:pPr>
              <w:spacing w:before="40" w:after="40"/>
            </w:pPr>
            <w:r>
              <w:t>Medication</w:t>
            </w:r>
          </w:p>
        </w:tc>
        <w:tc>
          <w:tcPr>
            <w:tcW w:w="7263" w:type="dxa"/>
          </w:tcPr>
          <w:p w14:paraId="7FF50CDE" w14:textId="77777777" w:rsidR="00ED380F" w:rsidRDefault="0013529D" w:rsidP="00ED380F">
            <w:pPr>
              <w:spacing w:before="40" w:after="40"/>
              <w:ind w:left="34"/>
              <w:cnfStyle w:val="000000000000" w:firstRow="0" w:lastRow="0" w:firstColumn="0" w:lastColumn="0" w:oddVBand="0" w:evenVBand="0" w:oddHBand="0" w:evenHBand="0" w:firstRowFirstColumn="0" w:firstRowLastColumn="0" w:lastRowFirstColumn="0" w:lastRowLastColumn="0"/>
            </w:pPr>
            <w:r w:rsidRPr="005D741C">
              <w:t xml:space="preserve">An error with the process of delivering a medication to a patient that causes harm </w:t>
            </w:r>
          </w:p>
          <w:p w14:paraId="710EE719" w14:textId="419EB0E5" w:rsidR="0013529D" w:rsidRPr="005D741C" w:rsidRDefault="0013529D" w:rsidP="00ED380F">
            <w:pPr>
              <w:spacing w:before="40" w:after="40"/>
              <w:ind w:left="34"/>
              <w:cnfStyle w:val="000000000000" w:firstRow="0" w:lastRow="0" w:firstColumn="0" w:lastColumn="0" w:oddVBand="0" w:evenVBand="0" w:oddHBand="0" w:evenHBand="0" w:firstRowFirstColumn="0" w:firstRowLastColumn="0" w:lastRowFirstColumn="0" w:lastRowLastColumn="0"/>
            </w:pPr>
            <w:r w:rsidRPr="005D741C">
              <w:t>i.e. incorrect prescription, dispensing, administration, packing or monitoring of a medication</w:t>
            </w:r>
          </w:p>
        </w:tc>
      </w:tr>
      <w:tr w:rsidR="0013529D" w14:paraId="46E3D059" w14:textId="77777777" w:rsidTr="0013529D">
        <w:tc>
          <w:tcPr>
            <w:cnfStyle w:val="001000000000" w:firstRow="0" w:lastRow="0" w:firstColumn="1" w:lastColumn="0" w:oddVBand="0" w:evenVBand="0" w:oddHBand="0" w:evenHBand="0" w:firstRowFirstColumn="0" w:firstRowLastColumn="0" w:lastRowFirstColumn="0" w:lastRowLastColumn="0"/>
            <w:tcW w:w="2943" w:type="dxa"/>
          </w:tcPr>
          <w:p w14:paraId="06FCCFEE" w14:textId="77777777" w:rsidR="0013529D" w:rsidRDefault="0013529D" w:rsidP="00755D19">
            <w:pPr>
              <w:spacing w:before="40" w:after="40"/>
            </w:pPr>
            <w:r>
              <w:t>Nutrition</w:t>
            </w:r>
          </w:p>
        </w:tc>
        <w:tc>
          <w:tcPr>
            <w:tcW w:w="7263" w:type="dxa"/>
          </w:tcPr>
          <w:p w14:paraId="2BC17FC8" w14:textId="77777777" w:rsidR="0013529D" w:rsidRPr="005D741C" w:rsidRDefault="0013529D" w:rsidP="00755D19">
            <w:pPr>
              <w:spacing w:before="40" w:after="40"/>
              <w:ind w:left="34"/>
              <w:cnfStyle w:val="000000000000" w:firstRow="0" w:lastRow="0" w:firstColumn="0" w:lastColumn="0" w:oddVBand="0" w:evenVBand="0" w:oddHBand="0" w:evenHBand="0" w:firstRowFirstColumn="0" w:firstRowLastColumn="0" w:lastRowFirstColumn="0" w:lastRowLastColumn="0"/>
            </w:pPr>
            <w:r w:rsidRPr="005D741C">
              <w:t xml:space="preserve">Related to an error with a process involving nutrition </w:t>
            </w:r>
          </w:p>
          <w:p w14:paraId="394FD67A" w14:textId="77777777" w:rsidR="0013529D" w:rsidRPr="005D741C" w:rsidRDefault="0013529D" w:rsidP="00755D19">
            <w:pPr>
              <w:spacing w:before="40" w:after="40"/>
              <w:ind w:left="34"/>
              <w:cnfStyle w:val="000000000000" w:firstRow="0" w:lastRow="0" w:firstColumn="0" w:lastColumn="0" w:oddVBand="0" w:evenVBand="0" w:oddHBand="0" w:evenHBand="0" w:firstRowFirstColumn="0" w:firstRowLastColumn="0" w:lastRowFirstColumn="0" w:lastRowLastColumn="0"/>
            </w:pPr>
            <w:r w:rsidRPr="005D741C">
              <w:t>i.e. choking, incorrect diet ordered or delivered</w:t>
            </w:r>
          </w:p>
        </w:tc>
      </w:tr>
      <w:tr w:rsidR="0013529D" w14:paraId="2A9D4C50" w14:textId="77777777" w:rsidTr="0013529D">
        <w:tc>
          <w:tcPr>
            <w:cnfStyle w:val="001000000000" w:firstRow="0" w:lastRow="0" w:firstColumn="1" w:lastColumn="0" w:oddVBand="0" w:evenVBand="0" w:oddHBand="0" w:evenHBand="0" w:firstRowFirstColumn="0" w:firstRowLastColumn="0" w:lastRowFirstColumn="0" w:lastRowLastColumn="0"/>
            <w:tcW w:w="2943" w:type="dxa"/>
          </w:tcPr>
          <w:p w14:paraId="2CBCD1DB" w14:textId="77777777" w:rsidR="0013529D" w:rsidRDefault="0013529D" w:rsidP="00755D19">
            <w:pPr>
              <w:spacing w:before="40" w:after="40"/>
            </w:pPr>
            <w:r>
              <w:t>Resources/organisational management</w:t>
            </w:r>
          </w:p>
        </w:tc>
        <w:tc>
          <w:tcPr>
            <w:tcW w:w="7263" w:type="dxa"/>
          </w:tcPr>
          <w:p w14:paraId="62CB8B22" w14:textId="77777777" w:rsidR="0013529D" w:rsidRPr="005D741C" w:rsidRDefault="0013529D" w:rsidP="00755D19">
            <w:pPr>
              <w:spacing w:before="40" w:after="40"/>
              <w:ind w:left="34"/>
              <w:cnfStyle w:val="000000000000" w:firstRow="0" w:lastRow="0" w:firstColumn="0" w:lastColumn="0" w:oddVBand="0" w:evenVBand="0" w:oddHBand="0" w:evenHBand="0" w:firstRowFirstColumn="0" w:firstRowLastColumn="0" w:lastRowFirstColumn="0" w:lastRowLastColumn="0"/>
            </w:pPr>
            <w:r w:rsidRPr="005D741C">
              <w:t>Events where lack of resources and deficiencies in organisational management contribute to error</w:t>
            </w:r>
          </w:p>
          <w:p w14:paraId="35A5899E" w14:textId="77777777" w:rsidR="0013529D" w:rsidRPr="005D741C" w:rsidRDefault="0013529D" w:rsidP="00755D19">
            <w:pPr>
              <w:spacing w:before="40" w:after="40"/>
              <w:ind w:left="34"/>
              <w:cnfStyle w:val="000000000000" w:firstRow="0" w:lastRow="0" w:firstColumn="0" w:lastColumn="0" w:oddVBand="0" w:evenVBand="0" w:oddHBand="0" w:evenHBand="0" w:firstRowFirstColumn="0" w:firstRowLastColumn="0" w:lastRowFirstColumn="0" w:lastRowLastColumn="0"/>
            </w:pPr>
            <w:r w:rsidRPr="005D741C">
              <w:t>i.e. workload mismanagement, staff availability, bed availability</w:t>
            </w:r>
          </w:p>
        </w:tc>
      </w:tr>
      <w:tr w:rsidR="0013529D" w14:paraId="1932AEB0" w14:textId="77777777" w:rsidTr="0013529D">
        <w:tc>
          <w:tcPr>
            <w:cnfStyle w:val="001000000000" w:firstRow="0" w:lastRow="0" w:firstColumn="1" w:lastColumn="0" w:oddVBand="0" w:evenVBand="0" w:oddHBand="0" w:evenHBand="0" w:firstRowFirstColumn="0" w:firstRowLastColumn="0" w:lastRowFirstColumn="0" w:lastRowLastColumn="0"/>
            <w:tcW w:w="2943" w:type="dxa"/>
          </w:tcPr>
          <w:p w14:paraId="6F8571B3" w14:textId="77777777" w:rsidR="0013529D" w:rsidRDefault="0013529D" w:rsidP="00755D19">
            <w:pPr>
              <w:spacing w:before="40" w:after="40"/>
            </w:pPr>
            <w:r>
              <w:t>Documentation</w:t>
            </w:r>
          </w:p>
        </w:tc>
        <w:tc>
          <w:tcPr>
            <w:tcW w:w="7263" w:type="dxa"/>
          </w:tcPr>
          <w:p w14:paraId="6D67DBA8" w14:textId="77777777" w:rsidR="0013529D" w:rsidRPr="005D741C" w:rsidRDefault="0013529D" w:rsidP="00755D19">
            <w:pPr>
              <w:spacing w:before="40" w:after="40"/>
              <w:ind w:left="34"/>
              <w:cnfStyle w:val="000000000000" w:firstRow="0" w:lastRow="0" w:firstColumn="0" w:lastColumn="0" w:oddVBand="0" w:evenVBand="0" w:oddHBand="0" w:evenHBand="0" w:firstRowFirstColumn="0" w:firstRowLastColumn="0" w:lastRowFirstColumn="0" w:lastRowLastColumn="0"/>
            </w:pPr>
            <w:r w:rsidRPr="005D741C">
              <w:t>Error associated with documentation</w:t>
            </w:r>
          </w:p>
          <w:p w14:paraId="4462B125" w14:textId="77777777" w:rsidR="0013529D" w:rsidRPr="005D741C" w:rsidRDefault="0013529D" w:rsidP="00755D19">
            <w:pPr>
              <w:spacing w:before="40" w:after="40"/>
              <w:ind w:left="34"/>
              <w:cnfStyle w:val="000000000000" w:firstRow="0" w:lastRow="0" w:firstColumn="0" w:lastColumn="0" w:oddVBand="0" w:evenVBand="0" w:oddHBand="0" w:evenHBand="0" w:firstRowFirstColumn="0" w:firstRowLastColumn="0" w:lastRowFirstColumn="0" w:lastRowLastColumn="0"/>
            </w:pPr>
            <w:r w:rsidRPr="005D741C">
              <w:t>i.e. incorrect labelling, diagnostic reports, procedures/guidelines, ambiguous or illegible information</w:t>
            </w:r>
          </w:p>
        </w:tc>
      </w:tr>
      <w:tr w:rsidR="0013529D" w14:paraId="074A71C5" w14:textId="77777777" w:rsidTr="0013529D">
        <w:tc>
          <w:tcPr>
            <w:cnfStyle w:val="001000000000" w:firstRow="0" w:lastRow="0" w:firstColumn="1" w:lastColumn="0" w:oddVBand="0" w:evenVBand="0" w:oddHBand="0" w:evenHBand="0" w:firstRowFirstColumn="0" w:firstRowLastColumn="0" w:lastRowFirstColumn="0" w:lastRowLastColumn="0"/>
            <w:tcW w:w="2943" w:type="dxa"/>
          </w:tcPr>
          <w:p w14:paraId="48644C09" w14:textId="2EBED86C" w:rsidR="0013529D" w:rsidRDefault="0013529D" w:rsidP="00755D19">
            <w:pPr>
              <w:spacing w:before="40" w:after="40"/>
            </w:pPr>
            <w:r>
              <w:t>Healthcare</w:t>
            </w:r>
            <w:r w:rsidR="00080E42">
              <w:t xml:space="preserve"> associated</w:t>
            </w:r>
            <w:r>
              <w:t xml:space="preserve"> infection</w:t>
            </w:r>
          </w:p>
        </w:tc>
        <w:tc>
          <w:tcPr>
            <w:tcW w:w="7263" w:type="dxa"/>
          </w:tcPr>
          <w:p w14:paraId="4AC5D4A7" w14:textId="77777777" w:rsidR="0013529D" w:rsidRPr="005D741C" w:rsidRDefault="0013529D" w:rsidP="00755D19">
            <w:pPr>
              <w:spacing w:before="40" w:after="40"/>
              <w:ind w:left="34"/>
              <w:cnfStyle w:val="000000000000" w:firstRow="0" w:lastRow="0" w:firstColumn="0" w:lastColumn="0" w:oddVBand="0" w:evenVBand="0" w:oddHBand="0" w:evenHBand="0" w:firstRowFirstColumn="0" w:firstRowLastColumn="0" w:lastRowFirstColumn="0" w:lastRowLastColumn="0"/>
            </w:pPr>
            <w:r w:rsidRPr="005D741C">
              <w:t>An infection acquired in the Healthcare setting</w:t>
            </w:r>
          </w:p>
          <w:p w14:paraId="227BED47" w14:textId="77777777" w:rsidR="0013529D" w:rsidRPr="005D741C" w:rsidRDefault="0013529D" w:rsidP="00755D19">
            <w:pPr>
              <w:spacing w:before="40" w:after="40"/>
              <w:ind w:left="34"/>
              <w:cnfStyle w:val="000000000000" w:firstRow="0" w:lastRow="0" w:firstColumn="0" w:lastColumn="0" w:oddVBand="0" w:evenVBand="0" w:oddHBand="0" w:evenHBand="0" w:firstRowFirstColumn="0" w:firstRowLastColumn="0" w:lastRowFirstColumn="0" w:lastRowLastColumn="0"/>
            </w:pPr>
            <w:r w:rsidRPr="005D741C">
              <w:t>i.e. bacterial blood stream infection, surgical site infection, intravascular device</w:t>
            </w:r>
          </w:p>
        </w:tc>
      </w:tr>
      <w:tr w:rsidR="0013529D" w14:paraId="2EF68D69" w14:textId="77777777" w:rsidTr="0013529D">
        <w:tc>
          <w:tcPr>
            <w:cnfStyle w:val="001000000000" w:firstRow="0" w:lastRow="0" w:firstColumn="1" w:lastColumn="0" w:oddVBand="0" w:evenVBand="0" w:oddHBand="0" w:evenHBand="0" w:firstRowFirstColumn="0" w:firstRowLastColumn="0" w:lastRowFirstColumn="0" w:lastRowLastColumn="0"/>
            <w:tcW w:w="2943" w:type="dxa"/>
          </w:tcPr>
          <w:p w14:paraId="4DFB5627" w14:textId="77777777" w:rsidR="0013529D" w:rsidRDefault="0013529D" w:rsidP="00755D19">
            <w:pPr>
              <w:spacing w:before="40" w:after="40"/>
            </w:pPr>
            <w:r>
              <w:t>Patient accidents</w:t>
            </w:r>
          </w:p>
        </w:tc>
        <w:tc>
          <w:tcPr>
            <w:tcW w:w="7263" w:type="dxa"/>
          </w:tcPr>
          <w:p w14:paraId="3E24E9DD" w14:textId="38A33030" w:rsidR="0013529D" w:rsidRPr="005D741C" w:rsidRDefault="00ED380F" w:rsidP="00755D19">
            <w:pPr>
              <w:spacing w:before="40" w:after="40"/>
              <w:ind w:left="34"/>
              <w:cnfStyle w:val="000000000000" w:firstRow="0" w:lastRow="0" w:firstColumn="0" w:lastColumn="0" w:oddVBand="0" w:evenVBand="0" w:oddHBand="0" w:evenHBand="0" w:firstRowFirstColumn="0" w:firstRowLastColumn="0" w:lastRowFirstColumn="0" w:lastRowLastColumn="0"/>
            </w:pPr>
            <w:r>
              <w:t>Patient</w:t>
            </w:r>
            <w:r w:rsidR="0013529D" w:rsidRPr="005D741C">
              <w:t xml:space="preserve"> harmed in care by accident</w:t>
            </w:r>
          </w:p>
          <w:p w14:paraId="292C9901" w14:textId="77777777" w:rsidR="0013529D" w:rsidRPr="005D741C" w:rsidRDefault="0013529D" w:rsidP="00755D19">
            <w:pPr>
              <w:spacing w:before="40" w:after="40"/>
              <w:ind w:left="34"/>
              <w:cnfStyle w:val="000000000000" w:firstRow="0" w:lastRow="0" w:firstColumn="0" w:lastColumn="0" w:oddVBand="0" w:evenVBand="0" w:oddHBand="0" w:evenHBand="0" w:firstRowFirstColumn="0" w:firstRowLastColumn="0" w:lastRowFirstColumn="0" w:lastRowLastColumn="0"/>
            </w:pPr>
            <w:r>
              <w:t>i.e. b</w:t>
            </w:r>
            <w:r w:rsidRPr="005D741C">
              <w:t>ed entrapment, drowning</w:t>
            </w:r>
          </w:p>
        </w:tc>
      </w:tr>
    </w:tbl>
    <w:p w14:paraId="439BCB03" w14:textId="77777777" w:rsidR="0013529D" w:rsidRDefault="0013529D" w:rsidP="0060775D">
      <w:pPr>
        <w:pStyle w:val="IntroductoryText"/>
      </w:pPr>
    </w:p>
    <w:p w14:paraId="4AC81213" w14:textId="77777777" w:rsidR="0013529D" w:rsidRDefault="0013529D">
      <w:pPr>
        <w:rPr>
          <w:rFonts w:ascii="VIC Medium" w:eastAsia="Times New Roman" w:hAnsi="VIC Medium" w:cs="Times New Roman"/>
          <w:color w:val="007586" w:themeColor="text2"/>
          <w:sz w:val="22"/>
          <w:szCs w:val="24"/>
        </w:rPr>
      </w:pPr>
      <w:r>
        <w:br w:type="page"/>
      </w:r>
    </w:p>
    <w:p w14:paraId="786A3086" w14:textId="77777777" w:rsidR="0013529D" w:rsidRDefault="0013529D" w:rsidP="0013529D">
      <w:pPr>
        <w:pStyle w:val="Heading1"/>
        <w:framePr w:wrap="around"/>
      </w:pPr>
      <w:bookmarkStart w:id="62" w:name="_Toc532460441"/>
      <w:r>
        <w:lastRenderedPageBreak/>
        <w:t xml:space="preserve">Appendix 2 </w:t>
      </w:r>
      <w:r w:rsidRPr="005B1384">
        <w:t>Recommendation</w:t>
      </w:r>
      <w:r w:rsidR="005B1384" w:rsidRPr="005B1384">
        <w:t xml:space="preserve"> </w:t>
      </w:r>
      <w:r w:rsidR="004952AA" w:rsidRPr="005B1384">
        <w:t>hierarchy</w:t>
      </w:r>
      <w:bookmarkEnd w:id="62"/>
    </w:p>
    <w:tbl>
      <w:tblPr>
        <w:tblStyle w:val="TableGrid"/>
        <w:tblW w:w="0" w:type="auto"/>
        <w:tblLook w:val="04A0" w:firstRow="1" w:lastRow="0" w:firstColumn="1" w:lastColumn="0" w:noHBand="0" w:noVBand="1"/>
      </w:tblPr>
      <w:tblGrid>
        <w:gridCol w:w="1701"/>
        <w:gridCol w:w="3686"/>
        <w:gridCol w:w="4817"/>
      </w:tblGrid>
      <w:tr w:rsidR="0013529D" w:rsidRPr="0023511F" w14:paraId="2A1DA090" w14:textId="77777777" w:rsidTr="005B13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1CD48BC7" w14:textId="77777777" w:rsidR="0013529D" w:rsidRPr="0023511F" w:rsidRDefault="0013529D" w:rsidP="0013529D">
            <w:pPr>
              <w:pStyle w:val="Tableheader"/>
            </w:pPr>
            <w:r w:rsidRPr="0023511F">
              <w:t>Recommendation strength</w:t>
            </w:r>
          </w:p>
        </w:tc>
        <w:tc>
          <w:tcPr>
            <w:tcW w:w="3686" w:type="dxa"/>
            <w:vAlign w:val="center"/>
          </w:tcPr>
          <w:p w14:paraId="210317F4" w14:textId="77777777" w:rsidR="0013529D" w:rsidRPr="0023511F" w:rsidRDefault="0013529D" w:rsidP="0013529D">
            <w:pPr>
              <w:pStyle w:val="Tableheader"/>
              <w:cnfStyle w:val="100000000000" w:firstRow="1" w:lastRow="0" w:firstColumn="0" w:lastColumn="0" w:oddVBand="0" w:evenVBand="0" w:oddHBand="0" w:evenHBand="0" w:firstRowFirstColumn="0" w:firstRowLastColumn="0" w:lastRowFirstColumn="0" w:lastRowLastColumn="0"/>
            </w:pPr>
            <w:r w:rsidRPr="0023511F">
              <w:t>Recommendation category</w:t>
            </w:r>
          </w:p>
        </w:tc>
        <w:tc>
          <w:tcPr>
            <w:tcW w:w="4817" w:type="dxa"/>
            <w:vAlign w:val="center"/>
          </w:tcPr>
          <w:p w14:paraId="0EBAAA22" w14:textId="77777777" w:rsidR="0013529D" w:rsidRPr="0023511F" w:rsidRDefault="0013529D" w:rsidP="0013529D">
            <w:pPr>
              <w:pStyle w:val="Tableheader"/>
              <w:cnfStyle w:val="100000000000" w:firstRow="1" w:lastRow="0" w:firstColumn="0" w:lastColumn="0" w:oddVBand="0" w:evenVBand="0" w:oddHBand="0" w:evenHBand="0" w:firstRowFirstColumn="0" w:firstRowLastColumn="0" w:lastRowFirstColumn="0" w:lastRowLastColumn="0"/>
            </w:pPr>
            <w:r w:rsidRPr="0023511F">
              <w:t>Example</w:t>
            </w:r>
          </w:p>
        </w:tc>
      </w:tr>
      <w:tr w:rsidR="0013529D" w:rsidRPr="0023511F" w14:paraId="6417B706" w14:textId="77777777" w:rsidTr="005B1384">
        <w:tc>
          <w:tcPr>
            <w:cnfStyle w:val="001000000000" w:firstRow="0" w:lastRow="0" w:firstColumn="1" w:lastColumn="0" w:oddVBand="0" w:evenVBand="0" w:oddHBand="0" w:evenHBand="0" w:firstRowFirstColumn="0" w:firstRowLastColumn="0" w:lastRowFirstColumn="0" w:lastRowLastColumn="0"/>
            <w:tcW w:w="1701" w:type="dxa"/>
          </w:tcPr>
          <w:p w14:paraId="4DA56F5B" w14:textId="77777777" w:rsidR="0013529D" w:rsidRPr="0013529D" w:rsidRDefault="0013529D" w:rsidP="0013529D">
            <w:pPr>
              <w:pStyle w:val="Tabletext"/>
              <w:rPr>
                <w:rStyle w:val="Strong"/>
                <w:rFonts w:eastAsiaTheme="majorEastAsia"/>
                <w:szCs w:val="16"/>
              </w:rPr>
            </w:pPr>
            <w:r w:rsidRPr="0013529D">
              <w:rPr>
                <w:rStyle w:val="Strong"/>
                <w:rFonts w:eastAsiaTheme="majorEastAsia"/>
                <w:szCs w:val="16"/>
              </w:rPr>
              <w:t>Strong actions</w:t>
            </w:r>
          </w:p>
        </w:tc>
        <w:tc>
          <w:tcPr>
            <w:tcW w:w="3686" w:type="dxa"/>
          </w:tcPr>
          <w:p w14:paraId="5EADD4FE" w14:textId="77777777" w:rsidR="0013529D" w:rsidRPr="0023511F" w:rsidRDefault="0013529D" w:rsidP="0013529D">
            <w:pPr>
              <w:pStyle w:val="Tabletext"/>
              <w:cnfStyle w:val="000000000000" w:firstRow="0" w:lastRow="0" w:firstColumn="0" w:lastColumn="0" w:oddVBand="0" w:evenVBand="0" w:oddHBand="0" w:evenHBand="0" w:firstRowFirstColumn="0" w:firstRowLastColumn="0" w:lastRowFirstColumn="0" w:lastRowLastColumn="0"/>
            </w:pPr>
            <w:r w:rsidRPr="0023511F">
              <w:t>Architectural/physical changes in surroundings</w:t>
            </w:r>
          </w:p>
        </w:tc>
        <w:tc>
          <w:tcPr>
            <w:tcW w:w="4817" w:type="dxa"/>
          </w:tcPr>
          <w:p w14:paraId="4DD0F36F" w14:textId="77777777" w:rsidR="0013529D" w:rsidRPr="0023511F" w:rsidRDefault="0013529D" w:rsidP="0013529D">
            <w:pPr>
              <w:pStyle w:val="Tabletext"/>
              <w:cnfStyle w:val="000000000000" w:firstRow="0" w:lastRow="0" w:firstColumn="0" w:lastColumn="0" w:oddVBand="0" w:evenVBand="0" w:oddHBand="0" w:evenHBand="0" w:firstRowFirstColumn="0" w:firstRowLastColumn="0" w:lastRowFirstColumn="0" w:lastRowLastColumn="0"/>
            </w:pPr>
            <w:r w:rsidRPr="0023511F">
              <w:t>Replace revolving doors at the main entrance into the building with powered sliding or swinging doors to reduce patient falls.</w:t>
            </w:r>
          </w:p>
        </w:tc>
      </w:tr>
      <w:tr w:rsidR="0013529D" w:rsidRPr="0023511F" w14:paraId="1FBB2015" w14:textId="77777777" w:rsidTr="005B1384">
        <w:tc>
          <w:tcPr>
            <w:cnfStyle w:val="001000000000" w:firstRow="0" w:lastRow="0" w:firstColumn="1" w:lastColumn="0" w:oddVBand="0" w:evenVBand="0" w:oddHBand="0" w:evenHBand="0" w:firstRowFirstColumn="0" w:firstRowLastColumn="0" w:lastRowFirstColumn="0" w:lastRowLastColumn="0"/>
            <w:tcW w:w="1701" w:type="dxa"/>
          </w:tcPr>
          <w:p w14:paraId="7CD548E1" w14:textId="77777777" w:rsidR="0013529D" w:rsidRPr="0013529D" w:rsidRDefault="0013529D" w:rsidP="0013529D">
            <w:pPr>
              <w:pStyle w:val="Tabletext"/>
              <w:rPr>
                <w:rStyle w:val="Strong"/>
                <w:rFonts w:eastAsiaTheme="majorEastAsia"/>
                <w:szCs w:val="16"/>
              </w:rPr>
            </w:pPr>
            <w:r w:rsidRPr="0013529D">
              <w:rPr>
                <w:rStyle w:val="Strong"/>
                <w:rFonts w:eastAsiaTheme="majorEastAsia"/>
                <w:szCs w:val="16"/>
              </w:rPr>
              <w:t>Strong actions</w:t>
            </w:r>
          </w:p>
        </w:tc>
        <w:tc>
          <w:tcPr>
            <w:tcW w:w="3686" w:type="dxa"/>
          </w:tcPr>
          <w:p w14:paraId="1D59C891" w14:textId="77777777" w:rsidR="0013529D" w:rsidRPr="0023511F" w:rsidRDefault="0013529D" w:rsidP="0013529D">
            <w:pPr>
              <w:pStyle w:val="Tabletext"/>
              <w:cnfStyle w:val="000000000000" w:firstRow="0" w:lastRow="0" w:firstColumn="0" w:lastColumn="0" w:oddVBand="0" w:evenVBand="0" w:oddHBand="0" w:evenHBand="0" w:firstRowFirstColumn="0" w:firstRowLastColumn="0" w:lastRowFirstColumn="0" w:lastRowLastColumn="0"/>
            </w:pPr>
            <w:r w:rsidRPr="0023511F">
              <w:t>New devices with usability testing</w:t>
            </w:r>
          </w:p>
        </w:tc>
        <w:tc>
          <w:tcPr>
            <w:tcW w:w="4817" w:type="dxa"/>
          </w:tcPr>
          <w:p w14:paraId="18701AA6" w14:textId="77777777" w:rsidR="0013529D" w:rsidRPr="0023511F" w:rsidRDefault="0013529D" w:rsidP="0013529D">
            <w:pPr>
              <w:pStyle w:val="Tabletext"/>
              <w:cnfStyle w:val="000000000000" w:firstRow="0" w:lastRow="0" w:firstColumn="0" w:lastColumn="0" w:oddVBand="0" w:evenVBand="0" w:oddHBand="0" w:evenHBand="0" w:firstRowFirstColumn="0" w:firstRowLastColumn="0" w:lastRowFirstColumn="0" w:lastRowLastColumn="0"/>
            </w:pPr>
            <w:r w:rsidRPr="0023511F">
              <w:t>Perform pre-purchase testing of blood glucose monitors and test strips to select the most appropriate for the patient population.</w:t>
            </w:r>
          </w:p>
        </w:tc>
      </w:tr>
      <w:tr w:rsidR="0013529D" w:rsidRPr="0023511F" w14:paraId="3ADEC97F" w14:textId="77777777" w:rsidTr="005B1384">
        <w:tc>
          <w:tcPr>
            <w:cnfStyle w:val="001000000000" w:firstRow="0" w:lastRow="0" w:firstColumn="1" w:lastColumn="0" w:oddVBand="0" w:evenVBand="0" w:oddHBand="0" w:evenHBand="0" w:firstRowFirstColumn="0" w:firstRowLastColumn="0" w:lastRowFirstColumn="0" w:lastRowLastColumn="0"/>
            <w:tcW w:w="1701" w:type="dxa"/>
          </w:tcPr>
          <w:p w14:paraId="68CA8DEF" w14:textId="77777777" w:rsidR="0013529D" w:rsidRPr="0013529D" w:rsidRDefault="0013529D" w:rsidP="0013529D">
            <w:pPr>
              <w:pStyle w:val="Tabletext"/>
              <w:rPr>
                <w:rStyle w:val="Strong"/>
                <w:rFonts w:eastAsiaTheme="majorEastAsia"/>
                <w:szCs w:val="16"/>
              </w:rPr>
            </w:pPr>
            <w:r w:rsidRPr="0013529D">
              <w:rPr>
                <w:rStyle w:val="Strong"/>
                <w:rFonts w:eastAsiaTheme="majorEastAsia"/>
                <w:szCs w:val="16"/>
              </w:rPr>
              <w:t>Strong actions</w:t>
            </w:r>
          </w:p>
        </w:tc>
        <w:tc>
          <w:tcPr>
            <w:tcW w:w="3686" w:type="dxa"/>
          </w:tcPr>
          <w:p w14:paraId="3DB3EE87" w14:textId="77777777" w:rsidR="0013529D" w:rsidRPr="0023511F" w:rsidRDefault="0013529D" w:rsidP="0013529D">
            <w:pPr>
              <w:pStyle w:val="Tabletext"/>
              <w:cnfStyle w:val="000000000000" w:firstRow="0" w:lastRow="0" w:firstColumn="0" w:lastColumn="0" w:oddVBand="0" w:evenVBand="0" w:oddHBand="0" w:evenHBand="0" w:firstRowFirstColumn="0" w:firstRowLastColumn="0" w:lastRowFirstColumn="0" w:lastRowLastColumn="0"/>
            </w:pPr>
            <w:r w:rsidRPr="0023511F">
              <w:t>Engineering control (forcing functions which force the user to complete the action)</w:t>
            </w:r>
          </w:p>
        </w:tc>
        <w:tc>
          <w:tcPr>
            <w:tcW w:w="4817" w:type="dxa"/>
          </w:tcPr>
          <w:p w14:paraId="3AD28FAE" w14:textId="77777777" w:rsidR="0013529D" w:rsidRPr="0023511F" w:rsidRDefault="0013529D" w:rsidP="0013529D">
            <w:pPr>
              <w:pStyle w:val="Tabletext"/>
              <w:cnfStyle w:val="000000000000" w:firstRow="0" w:lastRow="0" w:firstColumn="0" w:lastColumn="0" w:oddVBand="0" w:evenVBand="0" w:oddHBand="0" w:evenHBand="0" w:firstRowFirstColumn="0" w:firstRowLastColumn="0" w:lastRowFirstColumn="0" w:lastRowLastColumn="0"/>
            </w:pPr>
            <w:r w:rsidRPr="0023511F">
              <w:t>Eliminate the use of universal adapters and peripheral devices for medical equipment; use tubing/fittings that can only be connected the correct way.</w:t>
            </w:r>
          </w:p>
        </w:tc>
      </w:tr>
      <w:tr w:rsidR="0013529D" w:rsidRPr="0023511F" w14:paraId="51713A3E" w14:textId="77777777" w:rsidTr="005B1384">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auto"/>
            </w:tcBorders>
          </w:tcPr>
          <w:p w14:paraId="0FE4EB53" w14:textId="77777777" w:rsidR="0013529D" w:rsidRPr="0013529D" w:rsidRDefault="0013529D" w:rsidP="0013529D">
            <w:pPr>
              <w:pStyle w:val="Tabletext"/>
              <w:rPr>
                <w:rStyle w:val="Strong"/>
                <w:rFonts w:eastAsiaTheme="majorEastAsia"/>
                <w:szCs w:val="16"/>
              </w:rPr>
            </w:pPr>
            <w:r w:rsidRPr="0013529D">
              <w:rPr>
                <w:rStyle w:val="Strong"/>
                <w:rFonts w:eastAsiaTheme="majorEastAsia"/>
                <w:szCs w:val="16"/>
              </w:rPr>
              <w:t>Strong actions</w:t>
            </w:r>
          </w:p>
        </w:tc>
        <w:tc>
          <w:tcPr>
            <w:tcW w:w="3686" w:type="dxa"/>
            <w:tcBorders>
              <w:bottom w:val="single" w:sz="4" w:space="0" w:color="auto"/>
            </w:tcBorders>
          </w:tcPr>
          <w:p w14:paraId="5C248EFD" w14:textId="77777777" w:rsidR="0013529D" w:rsidRPr="0023511F" w:rsidRDefault="0013529D" w:rsidP="0013529D">
            <w:pPr>
              <w:pStyle w:val="Tabletext"/>
              <w:cnfStyle w:val="000000000000" w:firstRow="0" w:lastRow="0" w:firstColumn="0" w:lastColumn="0" w:oddVBand="0" w:evenVBand="0" w:oddHBand="0" w:evenHBand="0" w:firstRowFirstColumn="0" w:firstRowLastColumn="0" w:lastRowFirstColumn="0" w:lastRowLastColumn="0"/>
            </w:pPr>
            <w:r w:rsidRPr="0023511F">
              <w:t>Simplify process and remove unnecessary steps</w:t>
            </w:r>
          </w:p>
        </w:tc>
        <w:tc>
          <w:tcPr>
            <w:tcW w:w="4817" w:type="dxa"/>
            <w:tcBorders>
              <w:bottom w:val="single" w:sz="4" w:space="0" w:color="auto"/>
            </w:tcBorders>
          </w:tcPr>
          <w:p w14:paraId="018E76D3" w14:textId="77777777" w:rsidR="0013529D" w:rsidRPr="0023511F" w:rsidRDefault="0013529D" w:rsidP="0013529D">
            <w:pPr>
              <w:pStyle w:val="Tabletext"/>
              <w:cnfStyle w:val="000000000000" w:firstRow="0" w:lastRow="0" w:firstColumn="0" w:lastColumn="0" w:oddVBand="0" w:evenVBand="0" w:oddHBand="0" w:evenHBand="0" w:firstRowFirstColumn="0" w:firstRowLastColumn="0" w:lastRowFirstColumn="0" w:lastRowLastColumn="0"/>
            </w:pPr>
            <w:r w:rsidRPr="0023511F">
              <w:t>Remove unnecessary steps in a process; standardise the make and model of medication pumps used throughout the organisation; use barcoding for medication administration.</w:t>
            </w:r>
          </w:p>
        </w:tc>
      </w:tr>
      <w:tr w:rsidR="0013529D" w:rsidRPr="0023511F" w14:paraId="3BA39C99" w14:textId="77777777" w:rsidTr="005B1384">
        <w:tc>
          <w:tcPr>
            <w:cnfStyle w:val="001000000000" w:firstRow="0" w:lastRow="0" w:firstColumn="1" w:lastColumn="0" w:oddVBand="0" w:evenVBand="0" w:oddHBand="0" w:evenHBand="0" w:firstRowFirstColumn="0" w:firstRowLastColumn="0" w:lastRowFirstColumn="0" w:lastRowLastColumn="0"/>
            <w:tcW w:w="1701" w:type="dxa"/>
            <w:tcBorders>
              <w:bottom w:val="single" w:sz="12" w:space="0" w:color="auto"/>
            </w:tcBorders>
          </w:tcPr>
          <w:p w14:paraId="7FD44233" w14:textId="77777777" w:rsidR="0013529D" w:rsidRPr="0013529D" w:rsidRDefault="0013529D" w:rsidP="0013529D">
            <w:pPr>
              <w:pStyle w:val="Tabletext"/>
              <w:rPr>
                <w:rStyle w:val="Strong"/>
                <w:rFonts w:eastAsiaTheme="majorEastAsia"/>
                <w:szCs w:val="16"/>
              </w:rPr>
            </w:pPr>
            <w:r w:rsidRPr="0013529D">
              <w:rPr>
                <w:rStyle w:val="Strong"/>
                <w:rFonts w:eastAsiaTheme="majorEastAsia"/>
                <w:szCs w:val="16"/>
              </w:rPr>
              <w:t>Strong actions</w:t>
            </w:r>
          </w:p>
        </w:tc>
        <w:tc>
          <w:tcPr>
            <w:tcW w:w="3686" w:type="dxa"/>
            <w:tcBorders>
              <w:bottom w:val="single" w:sz="12" w:space="0" w:color="auto"/>
            </w:tcBorders>
          </w:tcPr>
          <w:p w14:paraId="0CFC967E" w14:textId="77777777" w:rsidR="0013529D" w:rsidRPr="0023511F" w:rsidRDefault="0013529D" w:rsidP="0013529D">
            <w:pPr>
              <w:pStyle w:val="Tabletext"/>
              <w:cnfStyle w:val="000000000000" w:firstRow="0" w:lastRow="0" w:firstColumn="0" w:lastColumn="0" w:oddVBand="0" w:evenVBand="0" w:oddHBand="0" w:evenHBand="0" w:firstRowFirstColumn="0" w:firstRowLastColumn="0" w:lastRowFirstColumn="0" w:lastRowLastColumn="0"/>
            </w:pPr>
            <w:r w:rsidRPr="0023511F">
              <w:t>Tangible involvement by leadership</w:t>
            </w:r>
          </w:p>
        </w:tc>
        <w:tc>
          <w:tcPr>
            <w:tcW w:w="4817" w:type="dxa"/>
            <w:tcBorders>
              <w:bottom w:val="single" w:sz="12" w:space="0" w:color="auto"/>
            </w:tcBorders>
          </w:tcPr>
          <w:p w14:paraId="51260BE8" w14:textId="77777777" w:rsidR="0013529D" w:rsidRPr="0023511F" w:rsidRDefault="0013529D" w:rsidP="0013529D">
            <w:pPr>
              <w:pStyle w:val="Tabletext"/>
              <w:cnfStyle w:val="000000000000" w:firstRow="0" w:lastRow="0" w:firstColumn="0" w:lastColumn="0" w:oddVBand="0" w:evenVBand="0" w:oddHBand="0" w:evenHBand="0" w:firstRowFirstColumn="0" w:firstRowLastColumn="0" w:lastRowFirstColumn="0" w:lastRowLastColumn="0"/>
            </w:pPr>
            <w:r w:rsidRPr="0023511F">
              <w:t>Participate in unit patient safety evaluations and interact with staff; support the RCA process; purchase needed equipment; ensure staffing and workload is balanced.</w:t>
            </w:r>
          </w:p>
        </w:tc>
      </w:tr>
      <w:tr w:rsidR="0013529D" w:rsidRPr="0023511F" w14:paraId="12192A6D" w14:textId="77777777" w:rsidTr="005B1384">
        <w:tc>
          <w:tcPr>
            <w:cnfStyle w:val="001000000000" w:firstRow="0" w:lastRow="0" w:firstColumn="1" w:lastColumn="0" w:oddVBand="0" w:evenVBand="0" w:oddHBand="0" w:evenHBand="0" w:firstRowFirstColumn="0" w:firstRowLastColumn="0" w:lastRowFirstColumn="0" w:lastRowLastColumn="0"/>
            <w:tcW w:w="1701" w:type="dxa"/>
            <w:tcBorders>
              <w:top w:val="single" w:sz="12" w:space="0" w:color="auto"/>
            </w:tcBorders>
          </w:tcPr>
          <w:p w14:paraId="0EBB60D8" w14:textId="77777777" w:rsidR="0013529D" w:rsidRPr="0013529D" w:rsidRDefault="0013529D" w:rsidP="0013529D">
            <w:pPr>
              <w:pStyle w:val="Tabletext"/>
              <w:rPr>
                <w:rStyle w:val="Strong"/>
                <w:rFonts w:eastAsiaTheme="majorEastAsia"/>
                <w:szCs w:val="16"/>
              </w:rPr>
            </w:pPr>
            <w:r w:rsidRPr="0013529D">
              <w:rPr>
                <w:rStyle w:val="Strong"/>
                <w:rFonts w:eastAsiaTheme="majorEastAsia"/>
                <w:szCs w:val="16"/>
              </w:rPr>
              <w:t>Moderate actions</w:t>
            </w:r>
          </w:p>
        </w:tc>
        <w:tc>
          <w:tcPr>
            <w:tcW w:w="3686" w:type="dxa"/>
            <w:tcBorders>
              <w:top w:val="single" w:sz="12" w:space="0" w:color="auto"/>
            </w:tcBorders>
          </w:tcPr>
          <w:p w14:paraId="457EE7FB" w14:textId="77777777" w:rsidR="0013529D" w:rsidRPr="0023511F" w:rsidRDefault="0013529D" w:rsidP="0013529D">
            <w:pPr>
              <w:pStyle w:val="Tabletext"/>
              <w:cnfStyle w:val="000000000000" w:firstRow="0" w:lastRow="0" w:firstColumn="0" w:lastColumn="0" w:oddVBand="0" w:evenVBand="0" w:oddHBand="0" w:evenHBand="0" w:firstRowFirstColumn="0" w:firstRowLastColumn="0" w:lastRowFirstColumn="0" w:lastRowLastColumn="0"/>
            </w:pPr>
            <w:r w:rsidRPr="0023511F">
              <w:t>Redundancy</w:t>
            </w:r>
          </w:p>
        </w:tc>
        <w:tc>
          <w:tcPr>
            <w:tcW w:w="4817" w:type="dxa"/>
            <w:tcBorders>
              <w:top w:val="single" w:sz="12" w:space="0" w:color="auto"/>
            </w:tcBorders>
          </w:tcPr>
          <w:p w14:paraId="309653CA" w14:textId="6EBC44AC" w:rsidR="0013529D" w:rsidRPr="0023511F" w:rsidRDefault="0013529D" w:rsidP="0013529D">
            <w:pPr>
              <w:pStyle w:val="Tabletext"/>
              <w:cnfStyle w:val="000000000000" w:firstRow="0" w:lastRow="0" w:firstColumn="0" w:lastColumn="0" w:oddVBand="0" w:evenVBand="0" w:oddHBand="0" w:evenHBand="0" w:firstRowFirstColumn="0" w:firstRowLastColumn="0" w:lastRowFirstColumn="0" w:lastRowLastColumn="0"/>
            </w:pPr>
            <w:r w:rsidRPr="0023511F">
              <w:t xml:space="preserve">Use two </w:t>
            </w:r>
            <w:r w:rsidR="00856CC3">
              <w:t xml:space="preserve">registered nurses </w:t>
            </w:r>
            <w:r w:rsidRPr="0023511F">
              <w:t>to independently calculate high-risk medication dosages.</w:t>
            </w:r>
          </w:p>
        </w:tc>
      </w:tr>
      <w:tr w:rsidR="0013529D" w:rsidRPr="0023511F" w14:paraId="32BF7456" w14:textId="77777777" w:rsidTr="005B1384">
        <w:tc>
          <w:tcPr>
            <w:cnfStyle w:val="001000000000" w:firstRow="0" w:lastRow="0" w:firstColumn="1" w:lastColumn="0" w:oddVBand="0" w:evenVBand="0" w:oddHBand="0" w:evenHBand="0" w:firstRowFirstColumn="0" w:firstRowLastColumn="0" w:lastRowFirstColumn="0" w:lastRowLastColumn="0"/>
            <w:tcW w:w="1701" w:type="dxa"/>
          </w:tcPr>
          <w:p w14:paraId="6A7D5A5B" w14:textId="77777777" w:rsidR="0013529D" w:rsidRPr="0013529D" w:rsidRDefault="0013529D" w:rsidP="0013529D">
            <w:pPr>
              <w:pStyle w:val="Tabletext"/>
              <w:rPr>
                <w:rStyle w:val="Strong"/>
                <w:rFonts w:eastAsiaTheme="majorEastAsia"/>
                <w:szCs w:val="16"/>
              </w:rPr>
            </w:pPr>
            <w:r w:rsidRPr="0013529D">
              <w:rPr>
                <w:rStyle w:val="Strong"/>
                <w:rFonts w:eastAsiaTheme="majorEastAsia"/>
                <w:szCs w:val="16"/>
              </w:rPr>
              <w:t>Moderate actions</w:t>
            </w:r>
          </w:p>
        </w:tc>
        <w:tc>
          <w:tcPr>
            <w:tcW w:w="3686" w:type="dxa"/>
          </w:tcPr>
          <w:p w14:paraId="66004F31" w14:textId="77777777" w:rsidR="0013529D" w:rsidRPr="0023511F" w:rsidRDefault="0013529D" w:rsidP="0013529D">
            <w:pPr>
              <w:pStyle w:val="Tabletext"/>
              <w:cnfStyle w:val="000000000000" w:firstRow="0" w:lastRow="0" w:firstColumn="0" w:lastColumn="0" w:oddVBand="0" w:evenVBand="0" w:oddHBand="0" w:evenHBand="0" w:firstRowFirstColumn="0" w:firstRowLastColumn="0" w:lastRowFirstColumn="0" w:lastRowLastColumn="0"/>
            </w:pPr>
            <w:r w:rsidRPr="0023511F">
              <w:t>Increase in staffing/decrease in workload</w:t>
            </w:r>
          </w:p>
        </w:tc>
        <w:tc>
          <w:tcPr>
            <w:tcW w:w="4817" w:type="dxa"/>
          </w:tcPr>
          <w:p w14:paraId="34EAE77D" w14:textId="77777777" w:rsidR="0013529D" w:rsidRPr="0023511F" w:rsidRDefault="0013529D" w:rsidP="0013529D">
            <w:pPr>
              <w:pStyle w:val="Tabletext"/>
              <w:cnfStyle w:val="000000000000" w:firstRow="0" w:lastRow="0" w:firstColumn="0" w:lastColumn="0" w:oddVBand="0" w:evenVBand="0" w:oddHBand="0" w:evenHBand="0" w:firstRowFirstColumn="0" w:firstRowLastColumn="0" w:lastRowFirstColumn="0" w:lastRowLastColumn="0"/>
            </w:pPr>
            <w:r w:rsidRPr="0023511F">
              <w:t>Make float staff available to assist when workloads peak during the day.</w:t>
            </w:r>
          </w:p>
        </w:tc>
      </w:tr>
      <w:tr w:rsidR="0013529D" w:rsidRPr="0023511F" w14:paraId="2565BF06" w14:textId="77777777" w:rsidTr="005B1384">
        <w:tc>
          <w:tcPr>
            <w:cnfStyle w:val="001000000000" w:firstRow="0" w:lastRow="0" w:firstColumn="1" w:lastColumn="0" w:oddVBand="0" w:evenVBand="0" w:oddHBand="0" w:evenHBand="0" w:firstRowFirstColumn="0" w:firstRowLastColumn="0" w:lastRowFirstColumn="0" w:lastRowLastColumn="0"/>
            <w:tcW w:w="1701" w:type="dxa"/>
          </w:tcPr>
          <w:p w14:paraId="75DEDD7B" w14:textId="77777777" w:rsidR="0013529D" w:rsidRPr="0013529D" w:rsidRDefault="0013529D" w:rsidP="0013529D">
            <w:pPr>
              <w:pStyle w:val="Tabletext"/>
              <w:rPr>
                <w:rStyle w:val="Strong"/>
                <w:rFonts w:eastAsiaTheme="majorEastAsia"/>
                <w:szCs w:val="16"/>
              </w:rPr>
            </w:pPr>
            <w:r w:rsidRPr="0013529D">
              <w:rPr>
                <w:rStyle w:val="Strong"/>
                <w:rFonts w:eastAsiaTheme="majorEastAsia"/>
                <w:szCs w:val="16"/>
              </w:rPr>
              <w:t>Moderate actions</w:t>
            </w:r>
          </w:p>
        </w:tc>
        <w:tc>
          <w:tcPr>
            <w:tcW w:w="3686" w:type="dxa"/>
          </w:tcPr>
          <w:p w14:paraId="01E3BA83" w14:textId="77777777" w:rsidR="0013529D" w:rsidRPr="0023511F" w:rsidRDefault="0013529D" w:rsidP="0013529D">
            <w:pPr>
              <w:pStyle w:val="Tabletext"/>
              <w:cnfStyle w:val="000000000000" w:firstRow="0" w:lastRow="0" w:firstColumn="0" w:lastColumn="0" w:oddVBand="0" w:evenVBand="0" w:oddHBand="0" w:evenHBand="0" w:firstRowFirstColumn="0" w:firstRowLastColumn="0" w:lastRowFirstColumn="0" w:lastRowLastColumn="0"/>
            </w:pPr>
            <w:r w:rsidRPr="0023511F">
              <w:t>Software enhancements or modifications</w:t>
            </w:r>
          </w:p>
        </w:tc>
        <w:tc>
          <w:tcPr>
            <w:tcW w:w="4817" w:type="dxa"/>
          </w:tcPr>
          <w:p w14:paraId="1876ECC3" w14:textId="77777777" w:rsidR="0013529D" w:rsidRPr="0023511F" w:rsidRDefault="0013529D" w:rsidP="0013529D">
            <w:pPr>
              <w:pStyle w:val="Tabletext"/>
              <w:cnfStyle w:val="000000000000" w:firstRow="0" w:lastRow="0" w:firstColumn="0" w:lastColumn="0" w:oddVBand="0" w:evenVBand="0" w:oddHBand="0" w:evenHBand="0" w:firstRowFirstColumn="0" w:firstRowLastColumn="0" w:lastRowFirstColumn="0" w:lastRowLastColumn="0"/>
            </w:pPr>
            <w:r w:rsidRPr="0023511F">
              <w:t>Use computer alerts for drug–drug interactions.</w:t>
            </w:r>
          </w:p>
        </w:tc>
      </w:tr>
      <w:tr w:rsidR="0013529D" w:rsidRPr="0023511F" w14:paraId="268E6709" w14:textId="77777777" w:rsidTr="005B1384">
        <w:tc>
          <w:tcPr>
            <w:cnfStyle w:val="001000000000" w:firstRow="0" w:lastRow="0" w:firstColumn="1" w:lastColumn="0" w:oddVBand="0" w:evenVBand="0" w:oddHBand="0" w:evenHBand="0" w:firstRowFirstColumn="0" w:firstRowLastColumn="0" w:lastRowFirstColumn="0" w:lastRowLastColumn="0"/>
            <w:tcW w:w="1701" w:type="dxa"/>
          </w:tcPr>
          <w:p w14:paraId="4B5E0CEA" w14:textId="77777777" w:rsidR="0013529D" w:rsidRPr="0013529D" w:rsidRDefault="0013529D" w:rsidP="0013529D">
            <w:pPr>
              <w:pStyle w:val="Tabletext"/>
              <w:rPr>
                <w:rStyle w:val="Strong"/>
                <w:rFonts w:eastAsiaTheme="majorEastAsia"/>
                <w:szCs w:val="16"/>
              </w:rPr>
            </w:pPr>
            <w:r w:rsidRPr="0013529D">
              <w:rPr>
                <w:rStyle w:val="Strong"/>
                <w:rFonts w:eastAsiaTheme="majorEastAsia"/>
                <w:szCs w:val="16"/>
              </w:rPr>
              <w:t>Moderate actions</w:t>
            </w:r>
          </w:p>
        </w:tc>
        <w:tc>
          <w:tcPr>
            <w:tcW w:w="3686" w:type="dxa"/>
          </w:tcPr>
          <w:p w14:paraId="72224EA3" w14:textId="77777777" w:rsidR="0013529D" w:rsidRPr="0023511F" w:rsidRDefault="0013529D" w:rsidP="0013529D">
            <w:pPr>
              <w:pStyle w:val="Tabletext"/>
              <w:cnfStyle w:val="000000000000" w:firstRow="0" w:lastRow="0" w:firstColumn="0" w:lastColumn="0" w:oddVBand="0" w:evenVBand="0" w:oddHBand="0" w:evenHBand="0" w:firstRowFirstColumn="0" w:firstRowLastColumn="0" w:lastRowFirstColumn="0" w:lastRowLastColumn="0"/>
            </w:pPr>
            <w:r w:rsidRPr="0023511F">
              <w:t>Eliminate/reduce distractions</w:t>
            </w:r>
          </w:p>
        </w:tc>
        <w:tc>
          <w:tcPr>
            <w:tcW w:w="4817" w:type="dxa"/>
          </w:tcPr>
          <w:p w14:paraId="292FB70E" w14:textId="05DEC5D7" w:rsidR="0013529D" w:rsidRPr="0023511F" w:rsidRDefault="0013529D" w:rsidP="0013529D">
            <w:pPr>
              <w:pStyle w:val="Tabletext"/>
              <w:cnfStyle w:val="000000000000" w:firstRow="0" w:lastRow="0" w:firstColumn="0" w:lastColumn="0" w:oddVBand="0" w:evenVBand="0" w:oddHBand="0" w:evenHBand="0" w:firstRowFirstColumn="0" w:firstRowLastColumn="0" w:lastRowFirstColumn="0" w:lastRowLastColumn="0"/>
            </w:pPr>
            <w:r w:rsidRPr="0023511F">
              <w:t>Provide quiet rooms for programming</w:t>
            </w:r>
            <w:r w:rsidR="00856CC3">
              <w:t xml:space="preserve"> patient controlled analgesia</w:t>
            </w:r>
            <w:r w:rsidRPr="0023511F">
              <w:t xml:space="preserve"> pumps; remove distractions for nurses when programming medication pumps.</w:t>
            </w:r>
          </w:p>
        </w:tc>
      </w:tr>
      <w:tr w:rsidR="0013529D" w:rsidRPr="0023511F" w14:paraId="7329023C" w14:textId="77777777" w:rsidTr="005B1384">
        <w:tc>
          <w:tcPr>
            <w:cnfStyle w:val="001000000000" w:firstRow="0" w:lastRow="0" w:firstColumn="1" w:lastColumn="0" w:oddVBand="0" w:evenVBand="0" w:oddHBand="0" w:evenHBand="0" w:firstRowFirstColumn="0" w:firstRowLastColumn="0" w:lastRowFirstColumn="0" w:lastRowLastColumn="0"/>
            <w:tcW w:w="1701" w:type="dxa"/>
          </w:tcPr>
          <w:p w14:paraId="40137AAB" w14:textId="77777777" w:rsidR="0013529D" w:rsidRPr="0013529D" w:rsidRDefault="0013529D" w:rsidP="0013529D">
            <w:pPr>
              <w:pStyle w:val="Tabletext"/>
              <w:rPr>
                <w:rStyle w:val="Strong"/>
                <w:rFonts w:eastAsiaTheme="majorEastAsia"/>
                <w:szCs w:val="16"/>
              </w:rPr>
            </w:pPr>
            <w:r w:rsidRPr="0013529D">
              <w:rPr>
                <w:rStyle w:val="Strong"/>
                <w:rFonts w:eastAsiaTheme="majorEastAsia"/>
                <w:szCs w:val="16"/>
              </w:rPr>
              <w:t>Moderate actions</w:t>
            </w:r>
          </w:p>
        </w:tc>
        <w:tc>
          <w:tcPr>
            <w:tcW w:w="3686" w:type="dxa"/>
          </w:tcPr>
          <w:p w14:paraId="4655C704" w14:textId="7D5FC460" w:rsidR="0013529D" w:rsidRPr="0023511F" w:rsidRDefault="0013529D" w:rsidP="0013529D">
            <w:pPr>
              <w:pStyle w:val="Tabletext"/>
              <w:cnfStyle w:val="000000000000" w:firstRow="0" w:lastRow="0" w:firstColumn="0" w:lastColumn="0" w:oddVBand="0" w:evenVBand="0" w:oddHBand="0" w:evenHBand="0" w:firstRowFirstColumn="0" w:firstRowLastColumn="0" w:lastRowFirstColumn="0" w:lastRowLastColumn="0"/>
            </w:pPr>
            <w:r w:rsidRPr="0023511F">
              <w:t>Education using simulation-based training with periodic refresher sessions/</w:t>
            </w:r>
            <w:r w:rsidR="007A2088">
              <w:t xml:space="preserve"> </w:t>
            </w:r>
            <w:r w:rsidRPr="0023511F">
              <w:t>observations</w:t>
            </w:r>
          </w:p>
        </w:tc>
        <w:tc>
          <w:tcPr>
            <w:tcW w:w="4817" w:type="dxa"/>
          </w:tcPr>
          <w:p w14:paraId="63C0B693" w14:textId="77777777" w:rsidR="0013529D" w:rsidRPr="0023511F" w:rsidRDefault="0013529D" w:rsidP="0013529D">
            <w:pPr>
              <w:pStyle w:val="Tabletext"/>
              <w:cnfStyle w:val="000000000000" w:firstRow="0" w:lastRow="0" w:firstColumn="0" w:lastColumn="0" w:oddVBand="0" w:evenVBand="0" w:oddHBand="0" w:evenHBand="0" w:firstRowFirstColumn="0" w:firstRowLastColumn="0" w:lastRowFirstColumn="0" w:lastRowLastColumn="0"/>
            </w:pPr>
            <w:r w:rsidRPr="0023511F">
              <w:t>Conduct patient handover in a simulation lab environment, with after-action critiques and debriefing.</w:t>
            </w:r>
          </w:p>
        </w:tc>
      </w:tr>
      <w:tr w:rsidR="0013529D" w:rsidRPr="0023511F" w14:paraId="5FED1CDB" w14:textId="77777777" w:rsidTr="005B1384">
        <w:tc>
          <w:tcPr>
            <w:cnfStyle w:val="001000000000" w:firstRow="0" w:lastRow="0" w:firstColumn="1" w:lastColumn="0" w:oddVBand="0" w:evenVBand="0" w:oddHBand="0" w:evenHBand="0" w:firstRowFirstColumn="0" w:firstRowLastColumn="0" w:lastRowFirstColumn="0" w:lastRowLastColumn="0"/>
            <w:tcW w:w="1701" w:type="dxa"/>
          </w:tcPr>
          <w:p w14:paraId="0747BA07" w14:textId="77777777" w:rsidR="0013529D" w:rsidRPr="0013529D" w:rsidRDefault="0013529D" w:rsidP="0013529D">
            <w:pPr>
              <w:pStyle w:val="Tabletext"/>
              <w:rPr>
                <w:rStyle w:val="Strong"/>
                <w:rFonts w:eastAsiaTheme="majorEastAsia"/>
                <w:szCs w:val="16"/>
              </w:rPr>
            </w:pPr>
            <w:r w:rsidRPr="0013529D">
              <w:rPr>
                <w:rStyle w:val="Strong"/>
                <w:rFonts w:eastAsiaTheme="majorEastAsia"/>
                <w:szCs w:val="16"/>
              </w:rPr>
              <w:t>Moderate actions</w:t>
            </w:r>
          </w:p>
        </w:tc>
        <w:tc>
          <w:tcPr>
            <w:tcW w:w="3686" w:type="dxa"/>
          </w:tcPr>
          <w:p w14:paraId="65B84654" w14:textId="77777777" w:rsidR="0013529D" w:rsidRPr="0023511F" w:rsidRDefault="0013529D" w:rsidP="0013529D">
            <w:pPr>
              <w:pStyle w:val="Tabletext"/>
              <w:cnfStyle w:val="000000000000" w:firstRow="0" w:lastRow="0" w:firstColumn="0" w:lastColumn="0" w:oddVBand="0" w:evenVBand="0" w:oddHBand="0" w:evenHBand="0" w:firstRowFirstColumn="0" w:firstRowLastColumn="0" w:lastRowFirstColumn="0" w:lastRowLastColumn="0"/>
            </w:pPr>
            <w:r w:rsidRPr="0023511F">
              <w:t>Checklist/cognitive aids</w:t>
            </w:r>
          </w:p>
        </w:tc>
        <w:tc>
          <w:tcPr>
            <w:tcW w:w="4817" w:type="dxa"/>
          </w:tcPr>
          <w:p w14:paraId="696EEFA9" w14:textId="77777777" w:rsidR="0013529D" w:rsidRPr="0023511F" w:rsidRDefault="0013529D" w:rsidP="0013529D">
            <w:pPr>
              <w:pStyle w:val="Tabletext"/>
              <w:cnfStyle w:val="000000000000" w:firstRow="0" w:lastRow="0" w:firstColumn="0" w:lastColumn="0" w:oddVBand="0" w:evenVBand="0" w:oddHBand="0" w:evenHBand="0" w:firstRowFirstColumn="0" w:firstRowLastColumn="0" w:lastRowFirstColumn="0" w:lastRowLastColumn="0"/>
            </w:pPr>
            <w:r w:rsidRPr="0023511F">
              <w:t>Use pre-induction and pre-incision checklists in operating rooms; use a checklist when reprocessing flexible fibre optic endoscopes.</w:t>
            </w:r>
          </w:p>
        </w:tc>
      </w:tr>
      <w:tr w:rsidR="0013529D" w:rsidRPr="0023511F" w14:paraId="756B02A3" w14:textId="77777777" w:rsidTr="005B1384">
        <w:tc>
          <w:tcPr>
            <w:cnfStyle w:val="001000000000" w:firstRow="0" w:lastRow="0" w:firstColumn="1" w:lastColumn="0" w:oddVBand="0" w:evenVBand="0" w:oddHBand="0" w:evenHBand="0" w:firstRowFirstColumn="0" w:firstRowLastColumn="0" w:lastRowFirstColumn="0" w:lastRowLastColumn="0"/>
            <w:tcW w:w="1701" w:type="dxa"/>
          </w:tcPr>
          <w:p w14:paraId="2678DE11" w14:textId="77777777" w:rsidR="0013529D" w:rsidRPr="0013529D" w:rsidRDefault="0013529D" w:rsidP="0013529D">
            <w:pPr>
              <w:pStyle w:val="Tabletext"/>
              <w:rPr>
                <w:rStyle w:val="Strong"/>
                <w:rFonts w:eastAsiaTheme="majorEastAsia"/>
                <w:szCs w:val="16"/>
              </w:rPr>
            </w:pPr>
            <w:r w:rsidRPr="0013529D">
              <w:rPr>
                <w:rStyle w:val="Strong"/>
                <w:rFonts w:eastAsiaTheme="majorEastAsia"/>
                <w:szCs w:val="16"/>
              </w:rPr>
              <w:t>Moderate actions</w:t>
            </w:r>
          </w:p>
        </w:tc>
        <w:tc>
          <w:tcPr>
            <w:tcW w:w="3686" w:type="dxa"/>
          </w:tcPr>
          <w:p w14:paraId="05EC0A38" w14:textId="77777777" w:rsidR="0013529D" w:rsidRPr="0023511F" w:rsidRDefault="0013529D" w:rsidP="0013529D">
            <w:pPr>
              <w:pStyle w:val="Tabletext"/>
              <w:cnfStyle w:val="000000000000" w:firstRow="0" w:lastRow="0" w:firstColumn="0" w:lastColumn="0" w:oddVBand="0" w:evenVBand="0" w:oddHBand="0" w:evenHBand="0" w:firstRowFirstColumn="0" w:firstRowLastColumn="0" w:lastRowFirstColumn="0" w:lastRowLastColumn="0"/>
            </w:pPr>
            <w:r w:rsidRPr="0023511F">
              <w:t>Eliminate look- and sound-alikes</w:t>
            </w:r>
          </w:p>
        </w:tc>
        <w:tc>
          <w:tcPr>
            <w:tcW w:w="4817" w:type="dxa"/>
          </w:tcPr>
          <w:p w14:paraId="4B50CA3A" w14:textId="77777777" w:rsidR="0013529D" w:rsidRPr="0023511F" w:rsidRDefault="0013529D" w:rsidP="0013529D">
            <w:pPr>
              <w:pStyle w:val="Tabletext"/>
              <w:cnfStyle w:val="000000000000" w:firstRow="0" w:lastRow="0" w:firstColumn="0" w:lastColumn="0" w:oddVBand="0" w:evenVBand="0" w:oddHBand="0" w:evenHBand="0" w:firstRowFirstColumn="0" w:firstRowLastColumn="0" w:lastRowFirstColumn="0" w:lastRowLastColumn="0"/>
            </w:pPr>
            <w:r w:rsidRPr="0023511F">
              <w:t>Do not store look-alikes next to one another in the medication room.</w:t>
            </w:r>
          </w:p>
        </w:tc>
      </w:tr>
      <w:tr w:rsidR="0013529D" w:rsidRPr="0023511F" w14:paraId="6DC570ED" w14:textId="77777777" w:rsidTr="005B1384">
        <w:tc>
          <w:tcPr>
            <w:cnfStyle w:val="001000000000" w:firstRow="0" w:lastRow="0" w:firstColumn="1" w:lastColumn="0" w:oddVBand="0" w:evenVBand="0" w:oddHBand="0" w:evenHBand="0" w:firstRowFirstColumn="0" w:firstRowLastColumn="0" w:lastRowFirstColumn="0" w:lastRowLastColumn="0"/>
            <w:tcW w:w="1701" w:type="dxa"/>
            <w:tcBorders>
              <w:bottom w:val="single" w:sz="12" w:space="0" w:color="auto"/>
            </w:tcBorders>
          </w:tcPr>
          <w:p w14:paraId="255112D0" w14:textId="77777777" w:rsidR="0013529D" w:rsidRPr="0013529D" w:rsidRDefault="0013529D" w:rsidP="0013529D">
            <w:pPr>
              <w:pStyle w:val="Tabletext"/>
              <w:rPr>
                <w:rStyle w:val="Strong"/>
                <w:rFonts w:eastAsiaTheme="majorEastAsia"/>
                <w:szCs w:val="16"/>
              </w:rPr>
            </w:pPr>
            <w:r w:rsidRPr="0013529D">
              <w:rPr>
                <w:rStyle w:val="Strong"/>
                <w:rFonts w:eastAsiaTheme="majorEastAsia"/>
                <w:szCs w:val="16"/>
              </w:rPr>
              <w:t>Moderate actions</w:t>
            </w:r>
          </w:p>
        </w:tc>
        <w:tc>
          <w:tcPr>
            <w:tcW w:w="3686" w:type="dxa"/>
            <w:tcBorders>
              <w:bottom w:val="single" w:sz="12" w:space="0" w:color="auto"/>
            </w:tcBorders>
          </w:tcPr>
          <w:p w14:paraId="324B891C" w14:textId="77777777" w:rsidR="0013529D" w:rsidRPr="0023511F" w:rsidRDefault="0013529D" w:rsidP="0013529D">
            <w:pPr>
              <w:pStyle w:val="Tabletext"/>
              <w:cnfStyle w:val="000000000000" w:firstRow="0" w:lastRow="0" w:firstColumn="0" w:lastColumn="0" w:oddVBand="0" w:evenVBand="0" w:oddHBand="0" w:evenHBand="0" w:firstRowFirstColumn="0" w:firstRowLastColumn="0" w:lastRowFirstColumn="0" w:lastRowLastColumn="0"/>
            </w:pPr>
            <w:r w:rsidRPr="0023511F">
              <w:t>Standardised communication tools</w:t>
            </w:r>
          </w:p>
        </w:tc>
        <w:tc>
          <w:tcPr>
            <w:tcW w:w="4817" w:type="dxa"/>
            <w:tcBorders>
              <w:bottom w:val="single" w:sz="12" w:space="0" w:color="auto"/>
            </w:tcBorders>
          </w:tcPr>
          <w:p w14:paraId="16D7BEF5" w14:textId="77777777" w:rsidR="0013529D" w:rsidRPr="0023511F" w:rsidRDefault="0013529D" w:rsidP="0013529D">
            <w:pPr>
              <w:pStyle w:val="Tabletext"/>
              <w:cnfStyle w:val="000000000000" w:firstRow="0" w:lastRow="0" w:firstColumn="0" w:lastColumn="0" w:oddVBand="0" w:evenVBand="0" w:oddHBand="0" w:evenHBand="0" w:firstRowFirstColumn="0" w:firstRowLastColumn="0" w:lastRowFirstColumn="0" w:lastRowLastColumn="0"/>
            </w:pPr>
            <w:r w:rsidRPr="0023511F">
              <w:t>Use read-back for all critical lab values; use read-back or repeat-back for all verbal medication orders; use a standardised patient handover format.</w:t>
            </w:r>
          </w:p>
        </w:tc>
      </w:tr>
      <w:tr w:rsidR="0013529D" w:rsidRPr="0023511F" w14:paraId="2B6BAC55" w14:textId="77777777" w:rsidTr="005B1384">
        <w:tc>
          <w:tcPr>
            <w:cnfStyle w:val="001000000000" w:firstRow="0" w:lastRow="0" w:firstColumn="1" w:lastColumn="0" w:oddVBand="0" w:evenVBand="0" w:oddHBand="0" w:evenHBand="0" w:firstRowFirstColumn="0" w:firstRowLastColumn="0" w:lastRowFirstColumn="0" w:lastRowLastColumn="0"/>
            <w:tcW w:w="1701" w:type="dxa"/>
            <w:tcBorders>
              <w:top w:val="single" w:sz="12" w:space="0" w:color="auto"/>
            </w:tcBorders>
          </w:tcPr>
          <w:p w14:paraId="4A8A2F94" w14:textId="77777777" w:rsidR="0013529D" w:rsidRPr="0013529D" w:rsidRDefault="0013529D" w:rsidP="0013529D">
            <w:pPr>
              <w:pStyle w:val="Tabletext"/>
              <w:rPr>
                <w:rStyle w:val="Strong"/>
                <w:rFonts w:eastAsiaTheme="majorEastAsia"/>
                <w:szCs w:val="16"/>
              </w:rPr>
            </w:pPr>
            <w:r w:rsidRPr="0013529D">
              <w:rPr>
                <w:rStyle w:val="Strong"/>
                <w:rFonts w:eastAsiaTheme="majorEastAsia"/>
                <w:szCs w:val="16"/>
              </w:rPr>
              <w:t>Weak actions</w:t>
            </w:r>
          </w:p>
        </w:tc>
        <w:tc>
          <w:tcPr>
            <w:tcW w:w="3686" w:type="dxa"/>
            <w:tcBorders>
              <w:top w:val="single" w:sz="12" w:space="0" w:color="auto"/>
            </w:tcBorders>
          </w:tcPr>
          <w:p w14:paraId="325027CB" w14:textId="77777777" w:rsidR="0013529D" w:rsidRPr="0023511F" w:rsidRDefault="0013529D" w:rsidP="0013529D">
            <w:pPr>
              <w:pStyle w:val="Tabletext"/>
              <w:cnfStyle w:val="000000000000" w:firstRow="0" w:lastRow="0" w:firstColumn="0" w:lastColumn="0" w:oddVBand="0" w:evenVBand="0" w:oddHBand="0" w:evenHBand="0" w:firstRowFirstColumn="0" w:firstRowLastColumn="0" w:lastRowFirstColumn="0" w:lastRowLastColumn="0"/>
            </w:pPr>
            <w:r w:rsidRPr="0023511F">
              <w:t>Double checks</w:t>
            </w:r>
          </w:p>
        </w:tc>
        <w:tc>
          <w:tcPr>
            <w:tcW w:w="4817" w:type="dxa"/>
            <w:tcBorders>
              <w:top w:val="single" w:sz="12" w:space="0" w:color="auto"/>
            </w:tcBorders>
          </w:tcPr>
          <w:p w14:paraId="48136738" w14:textId="77777777" w:rsidR="0013529D" w:rsidRPr="0023511F" w:rsidRDefault="0013529D" w:rsidP="0013529D">
            <w:pPr>
              <w:pStyle w:val="Tabletext"/>
              <w:cnfStyle w:val="000000000000" w:firstRow="0" w:lastRow="0" w:firstColumn="0" w:lastColumn="0" w:oddVBand="0" w:evenVBand="0" w:oddHBand="0" w:evenHBand="0" w:firstRowFirstColumn="0" w:firstRowLastColumn="0" w:lastRowFirstColumn="0" w:lastRowLastColumn="0"/>
            </w:pPr>
            <w:r w:rsidRPr="0023511F">
              <w:t>One person calculates dosage, another person reviews their calculation.</w:t>
            </w:r>
          </w:p>
        </w:tc>
      </w:tr>
      <w:tr w:rsidR="0013529D" w:rsidRPr="0023511F" w14:paraId="200EAC92" w14:textId="77777777" w:rsidTr="005B1384">
        <w:tc>
          <w:tcPr>
            <w:cnfStyle w:val="001000000000" w:firstRow="0" w:lastRow="0" w:firstColumn="1" w:lastColumn="0" w:oddVBand="0" w:evenVBand="0" w:oddHBand="0" w:evenHBand="0" w:firstRowFirstColumn="0" w:firstRowLastColumn="0" w:lastRowFirstColumn="0" w:lastRowLastColumn="0"/>
            <w:tcW w:w="1701" w:type="dxa"/>
          </w:tcPr>
          <w:p w14:paraId="5CBEFC50" w14:textId="77777777" w:rsidR="0013529D" w:rsidRPr="0013529D" w:rsidRDefault="0013529D" w:rsidP="0013529D">
            <w:pPr>
              <w:pStyle w:val="Tabletext"/>
              <w:rPr>
                <w:rStyle w:val="Strong"/>
                <w:rFonts w:eastAsiaTheme="majorEastAsia"/>
                <w:szCs w:val="16"/>
              </w:rPr>
            </w:pPr>
            <w:r w:rsidRPr="0013529D">
              <w:rPr>
                <w:rStyle w:val="Strong"/>
                <w:rFonts w:eastAsiaTheme="majorEastAsia"/>
                <w:szCs w:val="16"/>
              </w:rPr>
              <w:t>Weak actions</w:t>
            </w:r>
          </w:p>
        </w:tc>
        <w:tc>
          <w:tcPr>
            <w:tcW w:w="3686" w:type="dxa"/>
          </w:tcPr>
          <w:p w14:paraId="25E27530" w14:textId="77777777" w:rsidR="0013529D" w:rsidRPr="0023511F" w:rsidRDefault="0013529D" w:rsidP="0013529D">
            <w:pPr>
              <w:pStyle w:val="Tabletext"/>
              <w:cnfStyle w:val="000000000000" w:firstRow="0" w:lastRow="0" w:firstColumn="0" w:lastColumn="0" w:oddVBand="0" w:evenVBand="0" w:oddHBand="0" w:evenHBand="0" w:firstRowFirstColumn="0" w:firstRowLastColumn="0" w:lastRowFirstColumn="0" w:lastRowLastColumn="0"/>
            </w:pPr>
            <w:r w:rsidRPr="0023511F">
              <w:t>Warnings</w:t>
            </w:r>
          </w:p>
        </w:tc>
        <w:tc>
          <w:tcPr>
            <w:tcW w:w="4817" w:type="dxa"/>
          </w:tcPr>
          <w:p w14:paraId="7BB66A08" w14:textId="77777777" w:rsidR="0013529D" w:rsidRPr="0023511F" w:rsidRDefault="0013529D" w:rsidP="0013529D">
            <w:pPr>
              <w:pStyle w:val="Tabletext"/>
              <w:cnfStyle w:val="000000000000" w:firstRow="0" w:lastRow="0" w:firstColumn="0" w:lastColumn="0" w:oddVBand="0" w:evenVBand="0" w:oddHBand="0" w:evenHBand="0" w:firstRowFirstColumn="0" w:firstRowLastColumn="0" w:lastRowFirstColumn="0" w:lastRowLastColumn="0"/>
            </w:pPr>
            <w:r w:rsidRPr="0023511F">
              <w:t>Add audible alarms or caution labels.</w:t>
            </w:r>
          </w:p>
        </w:tc>
      </w:tr>
      <w:tr w:rsidR="0013529D" w:rsidRPr="0023511F" w14:paraId="1860D6C6" w14:textId="77777777" w:rsidTr="005B1384">
        <w:tc>
          <w:tcPr>
            <w:cnfStyle w:val="001000000000" w:firstRow="0" w:lastRow="0" w:firstColumn="1" w:lastColumn="0" w:oddVBand="0" w:evenVBand="0" w:oddHBand="0" w:evenHBand="0" w:firstRowFirstColumn="0" w:firstRowLastColumn="0" w:lastRowFirstColumn="0" w:lastRowLastColumn="0"/>
            <w:tcW w:w="1701" w:type="dxa"/>
          </w:tcPr>
          <w:p w14:paraId="6DFF13A9" w14:textId="77777777" w:rsidR="0013529D" w:rsidRPr="0013529D" w:rsidRDefault="0013529D" w:rsidP="0013529D">
            <w:pPr>
              <w:pStyle w:val="Tabletext"/>
              <w:rPr>
                <w:rStyle w:val="Strong"/>
                <w:rFonts w:eastAsiaTheme="majorEastAsia"/>
                <w:szCs w:val="16"/>
              </w:rPr>
            </w:pPr>
            <w:r w:rsidRPr="0013529D">
              <w:rPr>
                <w:rStyle w:val="Strong"/>
                <w:rFonts w:eastAsiaTheme="majorEastAsia"/>
                <w:szCs w:val="16"/>
              </w:rPr>
              <w:t>Weak actions</w:t>
            </w:r>
          </w:p>
        </w:tc>
        <w:tc>
          <w:tcPr>
            <w:tcW w:w="3686" w:type="dxa"/>
          </w:tcPr>
          <w:p w14:paraId="6DA22431" w14:textId="77777777" w:rsidR="0013529D" w:rsidRPr="0023511F" w:rsidRDefault="0013529D" w:rsidP="0013529D">
            <w:pPr>
              <w:pStyle w:val="Tabletext"/>
              <w:cnfStyle w:val="000000000000" w:firstRow="0" w:lastRow="0" w:firstColumn="0" w:lastColumn="0" w:oddVBand="0" w:evenVBand="0" w:oddHBand="0" w:evenHBand="0" w:firstRowFirstColumn="0" w:firstRowLastColumn="0" w:lastRowFirstColumn="0" w:lastRowLastColumn="0"/>
            </w:pPr>
            <w:r w:rsidRPr="0023511F">
              <w:t>New procedure/memorandum/policy</w:t>
            </w:r>
          </w:p>
        </w:tc>
        <w:tc>
          <w:tcPr>
            <w:tcW w:w="4817" w:type="dxa"/>
          </w:tcPr>
          <w:p w14:paraId="005357ED" w14:textId="77777777" w:rsidR="0013529D" w:rsidRPr="0023511F" w:rsidRDefault="0013529D" w:rsidP="0013529D">
            <w:pPr>
              <w:pStyle w:val="Tabletext"/>
              <w:cnfStyle w:val="000000000000" w:firstRow="0" w:lastRow="0" w:firstColumn="0" w:lastColumn="0" w:oddVBand="0" w:evenVBand="0" w:oddHBand="0" w:evenHBand="0" w:firstRowFirstColumn="0" w:firstRowLastColumn="0" w:lastRowFirstColumn="0" w:lastRowLastColumn="0"/>
            </w:pPr>
            <w:r w:rsidRPr="0023511F">
              <w:t>Remember to check IV sites every two hours.</w:t>
            </w:r>
          </w:p>
        </w:tc>
      </w:tr>
      <w:tr w:rsidR="0013529D" w:rsidRPr="0023511F" w14:paraId="6C6702E0" w14:textId="77777777" w:rsidTr="005B1384">
        <w:tc>
          <w:tcPr>
            <w:cnfStyle w:val="001000000000" w:firstRow="0" w:lastRow="0" w:firstColumn="1" w:lastColumn="0" w:oddVBand="0" w:evenVBand="0" w:oddHBand="0" w:evenHBand="0" w:firstRowFirstColumn="0" w:firstRowLastColumn="0" w:lastRowFirstColumn="0" w:lastRowLastColumn="0"/>
            <w:tcW w:w="1701" w:type="dxa"/>
          </w:tcPr>
          <w:p w14:paraId="561C1BD5" w14:textId="77777777" w:rsidR="0013529D" w:rsidRPr="0013529D" w:rsidRDefault="0013529D" w:rsidP="0013529D">
            <w:pPr>
              <w:pStyle w:val="Tabletext"/>
              <w:rPr>
                <w:rStyle w:val="Strong"/>
                <w:rFonts w:eastAsiaTheme="majorEastAsia"/>
                <w:szCs w:val="16"/>
              </w:rPr>
            </w:pPr>
            <w:r w:rsidRPr="0013529D">
              <w:rPr>
                <w:rStyle w:val="Strong"/>
                <w:rFonts w:eastAsiaTheme="majorEastAsia"/>
                <w:szCs w:val="16"/>
              </w:rPr>
              <w:t>Weak actions</w:t>
            </w:r>
          </w:p>
        </w:tc>
        <w:tc>
          <w:tcPr>
            <w:tcW w:w="3686" w:type="dxa"/>
          </w:tcPr>
          <w:p w14:paraId="0F64A18A" w14:textId="77777777" w:rsidR="0013529D" w:rsidRPr="0023511F" w:rsidRDefault="0013529D" w:rsidP="0013529D">
            <w:pPr>
              <w:pStyle w:val="Tabletext"/>
              <w:cnfStyle w:val="000000000000" w:firstRow="0" w:lastRow="0" w:firstColumn="0" w:lastColumn="0" w:oddVBand="0" w:evenVBand="0" w:oddHBand="0" w:evenHBand="0" w:firstRowFirstColumn="0" w:firstRowLastColumn="0" w:lastRowFirstColumn="0" w:lastRowLastColumn="0"/>
            </w:pPr>
            <w:r w:rsidRPr="0023511F">
              <w:t>Training</w:t>
            </w:r>
          </w:p>
        </w:tc>
        <w:tc>
          <w:tcPr>
            <w:tcW w:w="4817" w:type="dxa"/>
          </w:tcPr>
          <w:p w14:paraId="2295EB0C" w14:textId="77777777" w:rsidR="0013529D" w:rsidRPr="0023511F" w:rsidRDefault="0013529D" w:rsidP="0013529D">
            <w:pPr>
              <w:pStyle w:val="Tabletext"/>
              <w:cnfStyle w:val="000000000000" w:firstRow="0" w:lastRow="0" w:firstColumn="0" w:lastColumn="0" w:oddVBand="0" w:evenVBand="0" w:oddHBand="0" w:evenHBand="0" w:firstRowFirstColumn="0" w:firstRowLastColumn="0" w:lastRowFirstColumn="0" w:lastRowLastColumn="0"/>
            </w:pPr>
            <w:r w:rsidRPr="0023511F">
              <w:t>Demonstrate the defibrillator during an in-service training.</w:t>
            </w:r>
          </w:p>
        </w:tc>
      </w:tr>
    </w:tbl>
    <w:p w14:paraId="3A744246" w14:textId="77777777" w:rsidR="00B81C65" w:rsidRDefault="00B81C65">
      <w:r>
        <w:br w:type="page"/>
      </w:r>
    </w:p>
    <w:p w14:paraId="7D14A7AC" w14:textId="77777777" w:rsidR="00B81C65" w:rsidRDefault="00B81C65" w:rsidP="00B81C65">
      <w:pPr>
        <w:pStyle w:val="Heading1"/>
        <w:framePr w:wrap="around"/>
      </w:pPr>
      <w:bookmarkStart w:id="63" w:name="_Toc532460442"/>
      <w:r>
        <w:lastRenderedPageBreak/>
        <w:t>Terminology used</w:t>
      </w:r>
      <w:bookmarkEnd w:id="63"/>
    </w:p>
    <w:p w14:paraId="074CBA0D" w14:textId="77777777" w:rsidR="00183D59" w:rsidRDefault="00183D59" w:rsidP="00B81C65">
      <w:pPr>
        <w:rPr>
          <w:b/>
          <w:sz w:val="18"/>
          <w:szCs w:val="18"/>
        </w:rPr>
        <w:sectPr w:rsidR="00183D59" w:rsidSect="00742C2A">
          <w:type w:val="continuous"/>
          <w:pgSz w:w="11906" w:h="16838" w:code="9"/>
          <w:pgMar w:top="3402" w:right="851" w:bottom="1361" w:left="851" w:header="539" w:footer="624" w:gutter="0"/>
          <w:cols w:space="284"/>
          <w:docGrid w:linePitch="360"/>
        </w:sectPr>
      </w:pPr>
    </w:p>
    <w:p w14:paraId="1C716A45" w14:textId="5DFD943B" w:rsidR="00B81C65" w:rsidRPr="002C2EAE" w:rsidRDefault="00B81C65" w:rsidP="00B81C65">
      <w:pPr>
        <w:rPr>
          <w:b/>
          <w:sz w:val="18"/>
          <w:szCs w:val="18"/>
        </w:rPr>
      </w:pPr>
      <w:r w:rsidRPr="002C2EAE">
        <w:rPr>
          <w:b/>
          <w:sz w:val="18"/>
          <w:szCs w:val="18"/>
        </w:rPr>
        <w:t xml:space="preserve">Adverse event </w:t>
      </w:r>
      <w:r w:rsidRPr="002C2EAE">
        <w:rPr>
          <w:sz w:val="18"/>
          <w:szCs w:val="18"/>
        </w:rPr>
        <w:t xml:space="preserve">is an incident in </w:t>
      </w:r>
      <w:r w:rsidR="00552254">
        <w:rPr>
          <w:sz w:val="18"/>
          <w:szCs w:val="18"/>
        </w:rPr>
        <w:t>which a person receiving health</w:t>
      </w:r>
      <w:r w:rsidRPr="002C2EAE">
        <w:rPr>
          <w:sz w:val="18"/>
          <w:szCs w:val="18"/>
        </w:rPr>
        <w:t>care was harmed</w:t>
      </w:r>
      <w:r w:rsidR="007A2088">
        <w:rPr>
          <w:sz w:val="18"/>
          <w:szCs w:val="18"/>
        </w:rPr>
        <w:t>.</w:t>
      </w:r>
    </w:p>
    <w:p w14:paraId="4606AB6A" w14:textId="642C70ED" w:rsidR="00B81C65" w:rsidRPr="002C2EAE" w:rsidRDefault="00B81C65" w:rsidP="00B81C65">
      <w:pPr>
        <w:rPr>
          <w:sz w:val="18"/>
          <w:szCs w:val="18"/>
        </w:rPr>
      </w:pPr>
      <w:r w:rsidRPr="002C2EAE">
        <w:rPr>
          <w:b/>
          <w:sz w:val="18"/>
          <w:szCs w:val="18"/>
        </w:rPr>
        <w:t xml:space="preserve">Australian Commission </w:t>
      </w:r>
      <w:r w:rsidR="003848F7">
        <w:rPr>
          <w:b/>
          <w:sz w:val="18"/>
          <w:szCs w:val="18"/>
        </w:rPr>
        <w:t xml:space="preserve">on </w:t>
      </w:r>
      <w:r w:rsidRPr="002C2EAE">
        <w:rPr>
          <w:b/>
          <w:sz w:val="18"/>
          <w:szCs w:val="18"/>
        </w:rPr>
        <w:t>Safety and Quality in Health Care (ACSQHC)</w:t>
      </w:r>
      <w:r w:rsidRPr="002C2EAE">
        <w:rPr>
          <w:sz w:val="18"/>
          <w:szCs w:val="18"/>
        </w:rPr>
        <w:t xml:space="preserve"> Leads national improvements in safety and quality in healthcare</w:t>
      </w:r>
      <w:r w:rsidR="007A2088">
        <w:rPr>
          <w:sz w:val="18"/>
          <w:szCs w:val="18"/>
        </w:rPr>
        <w:t>.</w:t>
      </w:r>
    </w:p>
    <w:p w14:paraId="08EACCE4" w14:textId="17F5179B" w:rsidR="00B81C65" w:rsidRPr="002C2EAE" w:rsidRDefault="00B81C65" w:rsidP="00B81C65">
      <w:pPr>
        <w:rPr>
          <w:sz w:val="18"/>
          <w:szCs w:val="18"/>
          <w:highlight w:val="yellow"/>
        </w:rPr>
      </w:pPr>
      <w:r w:rsidRPr="002C2EAE">
        <w:rPr>
          <w:b/>
          <w:sz w:val="18"/>
          <w:szCs w:val="18"/>
        </w:rPr>
        <w:t>Cardiotocography (CTG)</w:t>
      </w:r>
      <w:r w:rsidRPr="002C2EAE">
        <w:rPr>
          <w:sz w:val="18"/>
          <w:szCs w:val="18"/>
        </w:rPr>
        <w:t xml:space="preserve"> Electronic device used to assess the wellbeing of unborn babies</w:t>
      </w:r>
      <w:r w:rsidR="007A2088">
        <w:rPr>
          <w:sz w:val="18"/>
          <w:szCs w:val="18"/>
        </w:rPr>
        <w:t>.</w:t>
      </w:r>
    </w:p>
    <w:p w14:paraId="7B7CA5DA" w14:textId="3097512D" w:rsidR="00B81C65" w:rsidRPr="00183D59" w:rsidRDefault="00B81C65" w:rsidP="00B81C65">
      <w:pPr>
        <w:pStyle w:val="Pa0"/>
        <w:spacing w:after="160"/>
        <w:rPr>
          <w:rFonts w:ascii="VIC" w:hAnsi="VIC"/>
          <w:sz w:val="18"/>
          <w:szCs w:val="18"/>
        </w:rPr>
      </w:pPr>
      <w:r w:rsidRPr="00183D59">
        <w:rPr>
          <w:rFonts w:ascii="VIC" w:hAnsi="VIC"/>
          <w:b/>
          <w:sz w:val="18"/>
          <w:szCs w:val="18"/>
        </w:rPr>
        <w:t xml:space="preserve">Consumers </w:t>
      </w:r>
      <w:r w:rsidRPr="00183D59">
        <w:rPr>
          <w:rFonts w:ascii="VIC" w:hAnsi="VIC"/>
          <w:sz w:val="18"/>
          <w:szCs w:val="18"/>
        </w:rPr>
        <w:t>Patients and potential patients, carers and organ</w:t>
      </w:r>
      <w:r w:rsidR="00183D59">
        <w:rPr>
          <w:rFonts w:ascii="VIC" w:hAnsi="VIC"/>
          <w:sz w:val="18"/>
          <w:szCs w:val="18"/>
        </w:rPr>
        <w:t>isations representing consumer</w:t>
      </w:r>
      <w:r w:rsidRPr="00183D59">
        <w:rPr>
          <w:rFonts w:ascii="VIC" w:hAnsi="VIC"/>
          <w:sz w:val="18"/>
          <w:szCs w:val="18"/>
        </w:rPr>
        <w:t xml:space="preserve"> interests</w:t>
      </w:r>
      <w:r w:rsidR="007A2088">
        <w:rPr>
          <w:rFonts w:ascii="VIC" w:hAnsi="VIC"/>
          <w:sz w:val="18"/>
          <w:szCs w:val="18"/>
        </w:rPr>
        <w:t>.</w:t>
      </w:r>
    </w:p>
    <w:p w14:paraId="77F39534" w14:textId="38120A35" w:rsidR="00B81C65" w:rsidRPr="00F703D8" w:rsidRDefault="00B81C65" w:rsidP="00B81C65">
      <w:pPr>
        <w:rPr>
          <w:color w:val="FF0000"/>
          <w:sz w:val="18"/>
          <w:szCs w:val="18"/>
        </w:rPr>
      </w:pPr>
      <w:r w:rsidRPr="002C2EAE">
        <w:rPr>
          <w:b/>
          <w:sz w:val="18"/>
          <w:szCs w:val="18"/>
        </w:rPr>
        <w:t>Delirium</w:t>
      </w:r>
      <w:r w:rsidRPr="002C2EAE">
        <w:rPr>
          <w:sz w:val="18"/>
          <w:szCs w:val="18"/>
        </w:rPr>
        <w:t xml:space="preserve"> </w:t>
      </w:r>
      <w:r w:rsidRPr="00B20386">
        <w:rPr>
          <w:sz w:val="18"/>
          <w:szCs w:val="18"/>
        </w:rPr>
        <w:t>A sudden onset of fluctuating consciousness, attention, cognition and perception in a person</w:t>
      </w:r>
      <w:r w:rsidR="007A2088">
        <w:rPr>
          <w:sz w:val="18"/>
          <w:szCs w:val="18"/>
        </w:rPr>
        <w:t>.</w:t>
      </w:r>
    </w:p>
    <w:p w14:paraId="56AFD337" w14:textId="1F68E538" w:rsidR="00B81C65" w:rsidRPr="002E6025" w:rsidRDefault="00B81C65" w:rsidP="00B81C65">
      <w:pPr>
        <w:rPr>
          <w:sz w:val="18"/>
          <w:szCs w:val="18"/>
          <w:highlight w:val="yellow"/>
        </w:rPr>
      </w:pPr>
      <w:r w:rsidRPr="002E6025">
        <w:rPr>
          <w:b/>
          <w:sz w:val="18"/>
          <w:szCs w:val="18"/>
        </w:rPr>
        <w:t xml:space="preserve">Department of Health and Human Services </w:t>
      </w:r>
      <w:r w:rsidRPr="002E6025">
        <w:rPr>
          <w:sz w:val="18"/>
          <w:szCs w:val="18"/>
        </w:rPr>
        <w:t>Leads policy development, service and funding design, an</w:t>
      </w:r>
      <w:r>
        <w:rPr>
          <w:sz w:val="18"/>
          <w:szCs w:val="18"/>
        </w:rPr>
        <w:t>d system management in Victoria</w:t>
      </w:r>
      <w:r w:rsidR="007A2088">
        <w:rPr>
          <w:sz w:val="18"/>
          <w:szCs w:val="18"/>
        </w:rPr>
        <w:t>.</w:t>
      </w:r>
    </w:p>
    <w:p w14:paraId="3246D167" w14:textId="550CC63C" w:rsidR="00B81C65" w:rsidRPr="002E6025" w:rsidRDefault="00B81C65" w:rsidP="00B81C65">
      <w:pPr>
        <w:rPr>
          <w:sz w:val="18"/>
          <w:szCs w:val="18"/>
        </w:rPr>
      </w:pPr>
      <w:r w:rsidRPr="002E6025">
        <w:rPr>
          <w:b/>
          <w:sz w:val="18"/>
          <w:szCs w:val="18"/>
        </w:rPr>
        <w:t xml:space="preserve">Emergency department </w:t>
      </w:r>
      <w:r w:rsidRPr="002E6025">
        <w:rPr>
          <w:sz w:val="18"/>
          <w:szCs w:val="18"/>
        </w:rPr>
        <w:t>An area of a hospital that provides e</w:t>
      </w:r>
      <w:r>
        <w:rPr>
          <w:sz w:val="18"/>
          <w:szCs w:val="18"/>
        </w:rPr>
        <w:t>mergency care for the community</w:t>
      </w:r>
      <w:r w:rsidR="007A2088">
        <w:rPr>
          <w:sz w:val="18"/>
          <w:szCs w:val="18"/>
        </w:rPr>
        <w:t>.</w:t>
      </w:r>
    </w:p>
    <w:p w14:paraId="5725FEA4" w14:textId="661DD31F" w:rsidR="00B81C65" w:rsidRPr="002C2EAE" w:rsidRDefault="00B81C65" w:rsidP="00B81C65">
      <w:pPr>
        <w:rPr>
          <w:sz w:val="18"/>
          <w:szCs w:val="18"/>
        </w:rPr>
      </w:pPr>
      <w:r w:rsidRPr="002C2EAE">
        <w:rPr>
          <w:b/>
          <w:sz w:val="18"/>
          <w:szCs w:val="18"/>
        </w:rPr>
        <w:t>Governance</w:t>
      </w:r>
      <w:r w:rsidRPr="002C2EAE">
        <w:rPr>
          <w:sz w:val="18"/>
          <w:szCs w:val="18"/>
        </w:rPr>
        <w:t xml:space="preserve"> The system by which an organisation is controlled and operates, and the mechanisms by which it, and its people, are held to account</w:t>
      </w:r>
      <w:r w:rsidR="007A2088">
        <w:rPr>
          <w:sz w:val="18"/>
          <w:szCs w:val="18"/>
        </w:rPr>
        <w:t>.</w:t>
      </w:r>
    </w:p>
    <w:p w14:paraId="67A6B7FC" w14:textId="2139389C" w:rsidR="00B81C65" w:rsidRPr="002C2EAE" w:rsidRDefault="00B81C65" w:rsidP="00B81C65">
      <w:pPr>
        <w:rPr>
          <w:sz w:val="18"/>
          <w:szCs w:val="18"/>
        </w:rPr>
      </w:pPr>
      <w:r w:rsidRPr="002C2EAE">
        <w:rPr>
          <w:b/>
          <w:sz w:val="18"/>
          <w:szCs w:val="18"/>
        </w:rPr>
        <w:t>Haemolytic blood transfusion reaction</w:t>
      </w:r>
      <w:r w:rsidRPr="002C2EAE">
        <w:rPr>
          <w:sz w:val="18"/>
          <w:szCs w:val="18"/>
        </w:rPr>
        <w:t xml:space="preserve"> A complication that occurs when blood given during a transfusion are destroyed by the patient’s immune system</w:t>
      </w:r>
      <w:r w:rsidR="007A2088">
        <w:rPr>
          <w:sz w:val="18"/>
          <w:szCs w:val="18"/>
        </w:rPr>
        <w:t>.</w:t>
      </w:r>
    </w:p>
    <w:p w14:paraId="01ED39A8" w14:textId="4056AE96" w:rsidR="00B81C65" w:rsidRPr="002C2EAE" w:rsidRDefault="003848F7" w:rsidP="00B81C65">
      <w:pPr>
        <w:rPr>
          <w:sz w:val="18"/>
          <w:szCs w:val="18"/>
        </w:rPr>
      </w:pPr>
      <w:r>
        <w:rPr>
          <w:b/>
          <w:sz w:val="18"/>
          <w:szCs w:val="18"/>
        </w:rPr>
        <w:t>Human f</w:t>
      </w:r>
      <w:r w:rsidR="00B81C65" w:rsidRPr="002C2EAE">
        <w:rPr>
          <w:b/>
          <w:sz w:val="18"/>
          <w:szCs w:val="18"/>
        </w:rPr>
        <w:t xml:space="preserve">actors </w:t>
      </w:r>
      <w:r>
        <w:rPr>
          <w:sz w:val="18"/>
          <w:szCs w:val="18"/>
        </w:rPr>
        <w:t>A science focus</w:t>
      </w:r>
      <w:r w:rsidR="00B81C65" w:rsidRPr="002C2EAE">
        <w:rPr>
          <w:sz w:val="18"/>
          <w:szCs w:val="18"/>
        </w:rPr>
        <w:t>ed on the interaction between humans and systems in co</w:t>
      </w:r>
      <w:r w:rsidR="00552254">
        <w:rPr>
          <w:sz w:val="18"/>
          <w:szCs w:val="18"/>
        </w:rPr>
        <w:t>mplex environments (like health</w:t>
      </w:r>
      <w:r w:rsidR="00B81C65" w:rsidRPr="002C2EAE">
        <w:rPr>
          <w:sz w:val="18"/>
          <w:szCs w:val="18"/>
        </w:rPr>
        <w:t xml:space="preserve">care). </w:t>
      </w:r>
    </w:p>
    <w:p w14:paraId="04C9A638" w14:textId="2B3D852D" w:rsidR="00B81C65" w:rsidRPr="002C2EAE" w:rsidRDefault="00B81C65" w:rsidP="00B81C65">
      <w:pPr>
        <w:rPr>
          <w:sz w:val="18"/>
          <w:szCs w:val="18"/>
        </w:rPr>
      </w:pPr>
      <w:r w:rsidRPr="002C2EAE">
        <w:rPr>
          <w:b/>
          <w:sz w:val="18"/>
          <w:szCs w:val="18"/>
        </w:rPr>
        <w:t>Incident severity rating (ISR)</w:t>
      </w:r>
      <w:r w:rsidRPr="002C2EAE">
        <w:rPr>
          <w:sz w:val="18"/>
          <w:szCs w:val="18"/>
        </w:rPr>
        <w:t xml:space="preserve"> The severity of impact to a patient when an incident occurs. ISR is measured on a scale of 1 to 4 (with 1 being catastrophic)</w:t>
      </w:r>
      <w:r w:rsidR="007A2088">
        <w:rPr>
          <w:sz w:val="18"/>
          <w:szCs w:val="18"/>
        </w:rPr>
        <w:t>.</w:t>
      </w:r>
    </w:p>
    <w:p w14:paraId="46FA7110" w14:textId="317638AC" w:rsidR="00B81C65" w:rsidRPr="002C2EAE" w:rsidRDefault="00B81C65" w:rsidP="00B81C65">
      <w:pPr>
        <w:rPr>
          <w:sz w:val="18"/>
          <w:szCs w:val="18"/>
        </w:rPr>
      </w:pPr>
      <w:r w:rsidRPr="002C2EAE">
        <w:rPr>
          <w:b/>
          <w:sz w:val="18"/>
          <w:szCs w:val="18"/>
        </w:rPr>
        <w:t>International Classification for Patient Safety (ICPS)</w:t>
      </w:r>
      <w:r w:rsidRPr="002C2EAE">
        <w:rPr>
          <w:sz w:val="18"/>
          <w:szCs w:val="18"/>
        </w:rPr>
        <w:t xml:space="preserve"> A World Health Organization (WHO) approach to grouping patient safety information</w:t>
      </w:r>
      <w:r w:rsidR="007A2088">
        <w:rPr>
          <w:sz w:val="18"/>
          <w:szCs w:val="18"/>
        </w:rPr>
        <w:t>.</w:t>
      </w:r>
    </w:p>
    <w:p w14:paraId="10D03E8F" w14:textId="43FF3A8E" w:rsidR="00B81C65" w:rsidRPr="002C2EAE" w:rsidRDefault="00B81C65" w:rsidP="00B81C65">
      <w:pPr>
        <w:rPr>
          <w:sz w:val="18"/>
          <w:szCs w:val="18"/>
        </w:rPr>
      </w:pPr>
      <w:r w:rsidRPr="002C2EAE">
        <w:rPr>
          <w:b/>
          <w:sz w:val="18"/>
          <w:szCs w:val="18"/>
        </w:rPr>
        <w:t>Intravascular gas embolism</w:t>
      </w:r>
      <w:r w:rsidRPr="002C2EAE">
        <w:rPr>
          <w:sz w:val="18"/>
          <w:szCs w:val="18"/>
        </w:rPr>
        <w:t xml:space="preserve"> A situation in which air or gas bubbles enter a blood vessel</w:t>
      </w:r>
      <w:r w:rsidR="007A2088">
        <w:rPr>
          <w:sz w:val="18"/>
          <w:szCs w:val="18"/>
        </w:rPr>
        <w:t>.</w:t>
      </w:r>
    </w:p>
    <w:p w14:paraId="04FFB946" w14:textId="599F013C" w:rsidR="00B81C65" w:rsidRPr="002E6025" w:rsidRDefault="00B81C65" w:rsidP="00B81C65">
      <w:pPr>
        <w:rPr>
          <w:sz w:val="18"/>
          <w:szCs w:val="18"/>
        </w:rPr>
      </w:pPr>
      <w:r w:rsidRPr="002C2EAE">
        <w:rPr>
          <w:b/>
          <w:sz w:val="18"/>
          <w:szCs w:val="18"/>
        </w:rPr>
        <w:t>Office of the Chief Psychiatrist (OCP)</w:t>
      </w:r>
      <w:r w:rsidRPr="002C2EAE">
        <w:rPr>
          <w:sz w:val="18"/>
          <w:szCs w:val="18"/>
        </w:rPr>
        <w:t xml:space="preserve"> The section of the Department of Health and Human Services that </w:t>
      </w:r>
      <w:r>
        <w:rPr>
          <w:sz w:val="18"/>
          <w:szCs w:val="18"/>
        </w:rPr>
        <w:t>p</w:t>
      </w:r>
      <w:r w:rsidRPr="002E6025">
        <w:rPr>
          <w:sz w:val="18"/>
          <w:szCs w:val="18"/>
        </w:rPr>
        <w:t>rovides clinical leadership and promotes continuous improvement in the quality and safety of men</w:t>
      </w:r>
      <w:r>
        <w:rPr>
          <w:sz w:val="18"/>
          <w:szCs w:val="18"/>
        </w:rPr>
        <w:t>tal health services in Victoria</w:t>
      </w:r>
      <w:r w:rsidR="007A2088">
        <w:rPr>
          <w:sz w:val="18"/>
          <w:szCs w:val="18"/>
        </w:rPr>
        <w:t>.</w:t>
      </w:r>
    </w:p>
    <w:p w14:paraId="61737171" w14:textId="3F73D429" w:rsidR="00B81C65" w:rsidRPr="002C2EAE" w:rsidRDefault="003848F7" w:rsidP="00B81C65">
      <w:pPr>
        <w:rPr>
          <w:b/>
          <w:sz w:val="18"/>
          <w:szCs w:val="18"/>
        </w:rPr>
      </w:pPr>
      <w:r>
        <w:rPr>
          <w:b/>
          <w:sz w:val="18"/>
          <w:szCs w:val="18"/>
        </w:rPr>
        <w:t>PEER (Panel of external expert r</w:t>
      </w:r>
      <w:r w:rsidR="00B81C65" w:rsidRPr="002C2EAE">
        <w:rPr>
          <w:b/>
          <w:sz w:val="18"/>
          <w:szCs w:val="18"/>
        </w:rPr>
        <w:t xml:space="preserve">eviewers) </w:t>
      </w:r>
      <w:r w:rsidR="00B81C65" w:rsidRPr="002C2EAE">
        <w:rPr>
          <w:sz w:val="18"/>
          <w:szCs w:val="18"/>
        </w:rPr>
        <w:t>An online</w:t>
      </w:r>
      <w:r w:rsidR="00B81C65" w:rsidRPr="002C2EAE">
        <w:rPr>
          <w:b/>
          <w:sz w:val="18"/>
          <w:szCs w:val="18"/>
        </w:rPr>
        <w:t xml:space="preserve"> </w:t>
      </w:r>
      <w:r w:rsidR="00B81C65" w:rsidRPr="002C2EAE">
        <w:rPr>
          <w:sz w:val="18"/>
          <w:szCs w:val="18"/>
        </w:rPr>
        <w:t>platform to connect Victorian health services with independent experts that can participate in RCA reviews</w:t>
      </w:r>
      <w:r w:rsidR="007A2088">
        <w:rPr>
          <w:sz w:val="18"/>
          <w:szCs w:val="18"/>
        </w:rPr>
        <w:t>.</w:t>
      </w:r>
    </w:p>
    <w:p w14:paraId="24D3F30A" w14:textId="0E4D1D90" w:rsidR="00B81C65" w:rsidRPr="002C2EAE" w:rsidRDefault="00B81C65" w:rsidP="00B81C65">
      <w:pPr>
        <w:rPr>
          <w:b/>
          <w:sz w:val="18"/>
          <w:szCs w:val="18"/>
        </w:rPr>
      </w:pPr>
      <w:r w:rsidRPr="002C2EAE">
        <w:rPr>
          <w:b/>
          <w:sz w:val="18"/>
          <w:szCs w:val="18"/>
        </w:rPr>
        <w:t xml:space="preserve">Quality assurance </w:t>
      </w:r>
      <w:r w:rsidRPr="002C2EAE">
        <w:rPr>
          <w:sz w:val="18"/>
          <w:szCs w:val="18"/>
        </w:rPr>
        <w:t>Part of quality management focused on providing confidence that quality requirements will be fulfilled</w:t>
      </w:r>
      <w:r w:rsidR="007A2088">
        <w:rPr>
          <w:sz w:val="18"/>
          <w:szCs w:val="18"/>
        </w:rPr>
        <w:t>.</w:t>
      </w:r>
    </w:p>
    <w:p w14:paraId="721F8B31" w14:textId="1AE996DB" w:rsidR="00B81C65" w:rsidRPr="002E6025" w:rsidRDefault="00B81C65" w:rsidP="00B81C65">
      <w:pPr>
        <w:rPr>
          <w:sz w:val="18"/>
          <w:szCs w:val="18"/>
        </w:rPr>
      </w:pPr>
      <w:r w:rsidRPr="002E6025">
        <w:rPr>
          <w:b/>
          <w:sz w:val="18"/>
          <w:szCs w:val="18"/>
        </w:rPr>
        <w:t>Root cause analysis (RCA)</w:t>
      </w:r>
      <w:r w:rsidRPr="002E6025">
        <w:rPr>
          <w:sz w:val="18"/>
          <w:szCs w:val="18"/>
        </w:rPr>
        <w:t xml:space="preserve"> A method of problem solving that can be used to review </w:t>
      </w:r>
      <w:r w:rsidRPr="00B20386">
        <w:rPr>
          <w:sz w:val="18"/>
          <w:szCs w:val="18"/>
        </w:rPr>
        <w:t>serious events</w:t>
      </w:r>
      <w:r w:rsidR="007A2088">
        <w:rPr>
          <w:sz w:val="18"/>
          <w:szCs w:val="18"/>
        </w:rPr>
        <w:t>.</w:t>
      </w:r>
    </w:p>
    <w:p w14:paraId="3F2BB85C" w14:textId="7BC04A26" w:rsidR="00B81C65" w:rsidRPr="002C2EAE" w:rsidRDefault="00B81C65" w:rsidP="00B81C65">
      <w:pPr>
        <w:rPr>
          <w:sz w:val="18"/>
          <w:szCs w:val="18"/>
          <w:highlight w:val="yellow"/>
        </w:rPr>
      </w:pPr>
      <w:r w:rsidRPr="002E6025">
        <w:rPr>
          <w:b/>
          <w:sz w:val="18"/>
          <w:szCs w:val="18"/>
        </w:rPr>
        <w:t>Risk reduction action plan (RRAP)</w:t>
      </w:r>
      <w:r>
        <w:rPr>
          <w:b/>
          <w:sz w:val="18"/>
          <w:szCs w:val="18"/>
        </w:rPr>
        <w:t xml:space="preserve"> feedback report</w:t>
      </w:r>
      <w:r w:rsidRPr="002E6025">
        <w:rPr>
          <w:sz w:val="18"/>
          <w:szCs w:val="18"/>
        </w:rPr>
        <w:t xml:space="preserve"> </w:t>
      </w:r>
      <w:r w:rsidRPr="002C2EAE">
        <w:rPr>
          <w:sz w:val="18"/>
          <w:szCs w:val="18"/>
        </w:rPr>
        <w:t xml:space="preserve">A report health services submit to </w:t>
      </w:r>
      <w:r w:rsidR="003848F7">
        <w:rPr>
          <w:sz w:val="18"/>
          <w:szCs w:val="18"/>
        </w:rPr>
        <w:t>SCV</w:t>
      </w:r>
      <w:r w:rsidRPr="002C2EAE">
        <w:rPr>
          <w:sz w:val="18"/>
          <w:szCs w:val="18"/>
        </w:rPr>
        <w:t xml:space="preserve"> that monitors the implem</w:t>
      </w:r>
      <w:r w:rsidR="007A2088">
        <w:rPr>
          <w:sz w:val="18"/>
          <w:szCs w:val="18"/>
        </w:rPr>
        <w:t>entation of RCA recommendations.</w:t>
      </w:r>
    </w:p>
    <w:p w14:paraId="0D41AC1F" w14:textId="77777777" w:rsidR="00B81C65" w:rsidRPr="002C2EAE" w:rsidRDefault="00B81C65" w:rsidP="00B81C65">
      <w:pPr>
        <w:rPr>
          <w:b/>
          <w:sz w:val="18"/>
          <w:szCs w:val="18"/>
        </w:rPr>
      </w:pPr>
      <w:r w:rsidRPr="002C2EAE">
        <w:rPr>
          <w:b/>
          <w:sz w:val="18"/>
          <w:szCs w:val="18"/>
        </w:rPr>
        <w:t xml:space="preserve">Sentinel events </w:t>
      </w:r>
      <w:r w:rsidRPr="002C2EAE">
        <w:rPr>
          <w:sz w:val="18"/>
          <w:szCs w:val="18"/>
        </w:rPr>
        <w:t>A</w:t>
      </w:r>
      <w:r>
        <w:rPr>
          <w:sz w:val="18"/>
          <w:szCs w:val="18"/>
        </w:rPr>
        <w:t xml:space="preserve"> national</w:t>
      </w:r>
      <w:r w:rsidRPr="002C2EAE">
        <w:rPr>
          <w:sz w:val="18"/>
          <w:szCs w:val="18"/>
        </w:rPr>
        <w:t xml:space="preserve"> list of eight adverse events that result in death or serious harm to a patient. The Australian sentinel events list was endorsed by Australian health ministers in 2002</w:t>
      </w:r>
      <w:r>
        <w:rPr>
          <w:sz w:val="18"/>
          <w:szCs w:val="18"/>
        </w:rPr>
        <w:t>. Victoria also follows a ninth category.</w:t>
      </w:r>
    </w:p>
    <w:p w14:paraId="4310A8E6" w14:textId="63C0AC24" w:rsidR="00183D59" w:rsidRPr="007A2088" w:rsidRDefault="00B81C65">
      <w:pPr>
        <w:rPr>
          <w:sz w:val="18"/>
          <w:szCs w:val="18"/>
        </w:rPr>
        <w:sectPr w:rsidR="00183D59" w:rsidRPr="007A2088" w:rsidSect="00183D59">
          <w:type w:val="continuous"/>
          <w:pgSz w:w="11906" w:h="16838" w:code="9"/>
          <w:pgMar w:top="3402" w:right="851" w:bottom="1361" w:left="851" w:header="539" w:footer="624" w:gutter="0"/>
          <w:cols w:num="2" w:space="284"/>
          <w:docGrid w:linePitch="360"/>
        </w:sectPr>
      </w:pPr>
      <w:r w:rsidRPr="00183D59">
        <w:rPr>
          <w:b/>
          <w:sz w:val="18"/>
          <w:szCs w:val="18"/>
        </w:rPr>
        <w:t>#MovementsMatter</w:t>
      </w:r>
      <w:r w:rsidRPr="00183D59">
        <w:rPr>
          <w:sz w:val="18"/>
          <w:szCs w:val="18"/>
        </w:rPr>
        <w:t xml:space="preserve"> A Twitter </w:t>
      </w:r>
      <w:r w:rsidRPr="002C2EAE">
        <w:rPr>
          <w:sz w:val="18"/>
          <w:szCs w:val="18"/>
        </w:rPr>
        <w:t>h</w:t>
      </w:r>
      <w:r w:rsidR="003848F7">
        <w:rPr>
          <w:sz w:val="18"/>
          <w:szCs w:val="18"/>
        </w:rPr>
        <w:t>ashtag</w:t>
      </w:r>
      <w:r w:rsidRPr="002C2EAE">
        <w:rPr>
          <w:sz w:val="18"/>
          <w:szCs w:val="18"/>
        </w:rPr>
        <w:t xml:space="preserve"> that promotes education to pregnant women and families on monitor</w:t>
      </w:r>
      <w:r w:rsidR="007A2088">
        <w:rPr>
          <w:sz w:val="18"/>
          <w:szCs w:val="18"/>
        </w:rPr>
        <w:t>ing the movements of their baby</w:t>
      </w:r>
      <w:r w:rsidR="007A2088">
        <w:t>.</w:t>
      </w:r>
    </w:p>
    <w:p w14:paraId="66E86258" w14:textId="258A3B46" w:rsidR="00B81C65" w:rsidRDefault="00B81C65">
      <w:r>
        <w:br w:type="page"/>
      </w:r>
    </w:p>
    <w:p w14:paraId="07147663" w14:textId="77777777" w:rsidR="005B1384" w:rsidRDefault="005B1384" w:rsidP="005B1384">
      <w:pPr>
        <w:pStyle w:val="Heading1"/>
        <w:framePr w:wrap="around"/>
      </w:pPr>
      <w:bookmarkStart w:id="64" w:name="_Toc532460443"/>
      <w:r>
        <w:lastRenderedPageBreak/>
        <w:t>More information</w:t>
      </w:r>
      <w:bookmarkEnd w:id="64"/>
    </w:p>
    <w:p w14:paraId="370E572F" w14:textId="32B4A686" w:rsidR="005B1384" w:rsidRPr="00BB105E" w:rsidRDefault="005E2570" w:rsidP="005B1384">
      <w:r w:rsidRPr="00BB105E">
        <w:t>As t</w:t>
      </w:r>
      <w:r w:rsidR="005B1384" w:rsidRPr="00BB105E">
        <w:t>he state’s lead agency for healthcare quality and safety, SCV assumed responsibility for the Victorian sentinel events program when it was established in January 2017.</w:t>
      </w:r>
    </w:p>
    <w:p w14:paraId="3C3367C9" w14:textId="77777777" w:rsidR="005B1384" w:rsidRPr="00BB105E" w:rsidRDefault="005B1384" w:rsidP="005B1384">
      <w:r w:rsidRPr="00BB105E">
        <w:t xml:space="preserve">For more information, please go to </w:t>
      </w:r>
      <w:r w:rsidRPr="00BB105E">
        <w:rPr>
          <w:b/>
        </w:rPr>
        <w:t>safercare.vic.gov.au.</w:t>
      </w:r>
    </w:p>
    <w:p w14:paraId="1B216F53" w14:textId="77777777" w:rsidR="005B1384" w:rsidRPr="00BB105E" w:rsidRDefault="005B1384" w:rsidP="005B1384">
      <w:pPr>
        <w:pStyle w:val="Heading4"/>
        <w:rPr>
          <w:color w:val="auto"/>
        </w:rPr>
      </w:pPr>
      <w:r w:rsidRPr="00BB105E">
        <w:rPr>
          <w:color w:val="auto"/>
        </w:rPr>
        <w:t>Support and advice</w:t>
      </w:r>
    </w:p>
    <w:p w14:paraId="6CB88CCE" w14:textId="3D9A8A11" w:rsidR="005B1384" w:rsidRPr="00BB105E" w:rsidRDefault="005B1384" w:rsidP="005B1384">
      <w:r w:rsidRPr="00BB105E">
        <w:t xml:space="preserve">For advice on sentinel event </w:t>
      </w:r>
      <w:r w:rsidR="005E2570" w:rsidRPr="00BB105E">
        <w:t xml:space="preserve">notification, review </w:t>
      </w:r>
      <w:r w:rsidR="00552254">
        <w:t>and improving systems of health</w:t>
      </w:r>
      <w:r w:rsidR="005E2570" w:rsidRPr="00BB105E">
        <w:t>care</w:t>
      </w:r>
      <w:r w:rsidRPr="00BB105E">
        <w:t xml:space="preserve">, please contact the </w:t>
      </w:r>
      <w:r w:rsidR="00F703D8">
        <w:t>i</w:t>
      </w:r>
      <w:r w:rsidRPr="00BB105E">
        <w:t xml:space="preserve">ncident </w:t>
      </w:r>
      <w:r w:rsidR="00F703D8">
        <w:t>r</w:t>
      </w:r>
      <w:r w:rsidRPr="00BB105E">
        <w:t xml:space="preserve">esponse </w:t>
      </w:r>
      <w:r w:rsidR="00F703D8">
        <w:t>t</w:t>
      </w:r>
      <w:r w:rsidRPr="00BB105E">
        <w:t xml:space="preserve">eam at </w:t>
      </w:r>
      <w:r w:rsidRPr="00BB105E">
        <w:rPr>
          <w:b/>
        </w:rPr>
        <w:t>sentinel.events@safercare.vic.gov.au.</w:t>
      </w:r>
    </w:p>
    <w:p w14:paraId="7EFEA9E0" w14:textId="77777777" w:rsidR="005B1384" w:rsidRPr="00BB105E" w:rsidRDefault="005B1384" w:rsidP="005B1384">
      <w:pPr>
        <w:pStyle w:val="Heading4"/>
        <w:rPr>
          <w:color w:val="auto"/>
        </w:rPr>
      </w:pPr>
      <w:r w:rsidRPr="00BB105E">
        <w:rPr>
          <w:color w:val="auto"/>
        </w:rPr>
        <w:t>Subscribe for updates</w:t>
      </w:r>
    </w:p>
    <w:p w14:paraId="0AC7FE13" w14:textId="77777777" w:rsidR="005B1384" w:rsidRPr="00BB105E" w:rsidRDefault="005B1384" w:rsidP="005B1384">
      <w:r w:rsidRPr="00BB105E">
        <w:t>We share sentinel event case studies, resources, examples of high-quality reviews and procedural tips and advice through our SCV enews and website.</w:t>
      </w:r>
    </w:p>
    <w:p w14:paraId="356AD095" w14:textId="77777777" w:rsidR="005B1384" w:rsidRPr="00C52797" w:rsidRDefault="005B1384" w:rsidP="005B1384">
      <w:r>
        <w:t xml:space="preserve">Subscribe at </w:t>
      </w:r>
      <w:r w:rsidRPr="005B1384">
        <w:rPr>
          <w:b/>
        </w:rPr>
        <w:t>bettersafercare.vic.gov.au/newsletters.</w:t>
      </w:r>
    </w:p>
    <w:p w14:paraId="5DD0A803" w14:textId="77777777" w:rsidR="003C7395" w:rsidRDefault="003C7395" w:rsidP="0060775D">
      <w:pPr>
        <w:pStyle w:val="Normalfollowingheading"/>
      </w:pPr>
    </w:p>
    <w:p w14:paraId="28CA6AA9" w14:textId="77777777" w:rsidR="003C7395" w:rsidRDefault="003C7395" w:rsidP="0060775D">
      <w:pPr>
        <w:sectPr w:rsidR="003C7395" w:rsidSect="00742C2A">
          <w:type w:val="continuous"/>
          <w:pgSz w:w="11906" w:h="16838" w:code="9"/>
          <w:pgMar w:top="3402" w:right="851" w:bottom="1361" w:left="851" w:header="539" w:footer="624" w:gutter="0"/>
          <w:cols w:space="284"/>
          <w:docGrid w:linePitch="360"/>
        </w:sectPr>
      </w:pPr>
    </w:p>
    <w:p w14:paraId="4B0A04E9" w14:textId="77777777" w:rsidR="00183D59" w:rsidRDefault="00183D59">
      <w:r>
        <w:br w:type="page"/>
      </w:r>
    </w:p>
    <w:p w14:paraId="786A9AA0" w14:textId="712C496E" w:rsidR="00727C45" w:rsidRDefault="00727C45" w:rsidP="0060775D">
      <w:r>
        <w:lastRenderedPageBreak/>
        <w:br w:type="page"/>
      </w:r>
    </w:p>
    <w:p w14:paraId="2CBAE609" w14:textId="77777777" w:rsidR="00727C45" w:rsidRDefault="00727C45" w:rsidP="0060775D">
      <w:r>
        <w:rPr>
          <w:noProof/>
        </w:rPr>
        <w:lastRenderedPageBreak/>
        <w:drawing>
          <wp:anchor distT="0" distB="0" distL="114300" distR="114300" simplePos="0" relativeHeight="251663360" behindDoc="1" locked="0" layoutInCell="1" allowOverlap="1" wp14:anchorId="605ABD5B" wp14:editId="141F2CDE">
            <wp:simplePos x="0" y="0"/>
            <wp:positionH relativeFrom="page">
              <wp:posOffset>0</wp:posOffset>
            </wp:positionH>
            <wp:positionV relativeFrom="page">
              <wp:posOffset>0</wp:posOffset>
            </wp:positionV>
            <wp:extent cx="7559675" cy="10691495"/>
            <wp:effectExtent l="0" t="0" r="3175" b="0"/>
            <wp:wrapTopAndBottom/>
            <wp:docPr id="4" name="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 cover.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r w:rsidR="00071C35">
        <w:t xml:space="preserve"> </w:t>
      </w:r>
    </w:p>
    <w:sectPr w:rsidR="00727C45" w:rsidSect="00265EC8">
      <w:type w:val="continuous"/>
      <w:pgSz w:w="11906" w:h="16838" w:code="9"/>
      <w:pgMar w:top="3402" w:right="851" w:bottom="1361" w:left="851" w:header="539" w:footer="62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065080" w14:textId="77777777" w:rsidR="00CD7A43" w:rsidRDefault="00CD7A43" w:rsidP="0060775D">
      <w:r>
        <w:separator/>
      </w:r>
    </w:p>
  </w:endnote>
  <w:endnote w:type="continuationSeparator" w:id="0">
    <w:p w14:paraId="2100752A" w14:textId="77777777" w:rsidR="00CD7A43" w:rsidRDefault="00CD7A43" w:rsidP="006077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IC Medium">
    <w:panose1 w:val="000006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Helvetica 45 Ligh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16E72" w14:textId="77777777" w:rsidR="00CD7A43" w:rsidRDefault="00CD7A43" w:rsidP="0060775D">
    <w:pPr>
      <w:pStyle w:val="FooterEven"/>
      <w:framePr w:wrap="around"/>
    </w:pPr>
    <w:r>
      <w:rPr>
        <w:noProof w:val="0"/>
      </w:rPr>
      <w:fldChar w:fldCharType="begin"/>
    </w:r>
    <w:r>
      <w:instrText xml:space="preserve"> PAGE   \* MERGEFORMAT </w:instrText>
    </w:r>
    <w:r>
      <w:rPr>
        <w:noProof w:val="0"/>
      </w:rPr>
      <w:fldChar w:fldCharType="separate"/>
    </w:r>
    <w:r>
      <w:t>2</w:t>
    </w:r>
    <w:r>
      <w:fldChar w:fldCharType="end"/>
    </w:r>
    <w:r>
      <w:t> </w:t>
    </w:r>
    <w:r>
      <w:t> </w:t>
    </w:r>
    <w:r w:rsidRPr="00724F74">
      <w:rPr>
        <w:b/>
      </w:rPr>
      <w:t>Safer Care Victoria</w:t>
    </w:r>
    <w:r>
      <w:t> </w:t>
    </w:r>
    <w:r>
      <w:t> </w:t>
    </w:r>
    <w:sdt>
      <w:sdtPr>
        <w:alias w:val="Title"/>
        <w:tag w:val=""/>
        <w:id w:val="-270466633"/>
        <w:dataBinding w:prefixMappings="xmlns:ns0='http://purl.org/dc/elements/1.1/' xmlns:ns1='http://schemas.openxmlformats.org/package/2006/metadata/core-properties' " w:xpath="/ns1:coreProperties[1]/ns0:title[1]" w:storeItemID="{6C3C8BC8-F283-45AE-878A-BAB7291924A1}"/>
        <w:text/>
      </w:sdtPr>
      <w:sdtEndPr/>
      <w:sdtContent>
        <w:r>
          <w:t>Supporting patient safety</w:t>
        </w:r>
      </w:sdtContent>
    </w:sdt>
    <w:r>
      <w:t xml:space="preserve"> </w:t>
    </w:r>
    <w:r>
      <w:drawing>
        <wp:anchor distT="0" distB="0" distL="114300" distR="114300" simplePos="0" relativeHeight="251675648" behindDoc="0" locked="0" layoutInCell="1" allowOverlap="1" wp14:anchorId="62D42E15" wp14:editId="00F8CD73">
          <wp:simplePos x="0" y="0"/>
          <wp:positionH relativeFrom="column">
            <wp:posOffset>4256126</wp:posOffset>
          </wp:positionH>
          <wp:positionV relativeFrom="page">
            <wp:posOffset>9493250</wp:posOffset>
          </wp:positionV>
          <wp:extent cx="1956435" cy="582930"/>
          <wp:effectExtent l="0" t="0" r="5715" b="7620"/>
          <wp:wrapNone/>
          <wp:docPr id="1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p w14:paraId="4E97028D" w14:textId="77777777" w:rsidR="00CD7A43" w:rsidRPr="002A5891" w:rsidRDefault="00CD7A43" w:rsidP="006077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A4529" w14:textId="77777777" w:rsidR="00CD7A43" w:rsidRDefault="002F2BE0" w:rsidP="0060775D">
    <w:pPr>
      <w:pStyle w:val="FooterOdd"/>
      <w:framePr w:wrap="around"/>
    </w:pPr>
    <w:sdt>
      <w:sdtPr>
        <w:alias w:val="Title"/>
        <w:tag w:val=""/>
        <w:id w:val="1181776495"/>
        <w:dataBinding w:prefixMappings="xmlns:ns0='http://purl.org/dc/elements/1.1/' xmlns:ns1='http://schemas.openxmlformats.org/package/2006/metadata/core-properties' " w:xpath="/ns1:coreProperties[1]/ns0:title[1]" w:storeItemID="{6C3C8BC8-F283-45AE-878A-BAB7291924A1}"/>
        <w:text/>
      </w:sdtPr>
      <w:sdtEndPr/>
      <w:sdtContent>
        <w:r w:rsidR="00CD7A43">
          <w:t>Supporting patient safety</w:t>
        </w:r>
      </w:sdtContent>
    </w:sdt>
    <w:r w:rsidR="00CD7A43">
      <w:t> </w:t>
    </w:r>
    <w:r w:rsidR="00CD7A43">
      <w:t> </w:t>
    </w:r>
    <w:r w:rsidR="00CD7A43" w:rsidRPr="0097403D">
      <w:rPr>
        <w:b/>
      </w:rPr>
      <w:t>Safer Care Victoria</w:t>
    </w:r>
    <w:r w:rsidR="00CD7A43">
      <w:t> </w:t>
    </w:r>
    <w:r w:rsidR="00CD7A43">
      <w:t> </w:t>
    </w:r>
    <w:r w:rsidR="00CD7A43">
      <w:rPr>
        <w:noProof w:val="0"/>
      </w:rPr>
      <w:fldChar w:fldCharType="begin"/>
    </w:r>
    <w:r w:rsidR="00CD7A43">
      <w:instrText xml:space="preserve"> PAGE   \* MERGEFORMAT </w:instrText>
    </w:r>
    <w:r w:rsidR="00CD7A43">
      <w:rPr>
        <w:noProof w:val="0"/>
      </w:rPr>
      <w:fldChar w:fldCharType="separate"/>
    </w:r>
    <w:r w:rsidR="00CD7A43">
      <w:t>1</w:t>
    </w:r>
    <w:r w:rsidR="00CD7A43">
      <w:fldChar w:fldCharType="end"/>
    </w:r>
  </w:p>
  <w:p w14:paraId="4C5BFD27" w14:textId="77777777" w:rsidR="00CD7A43" w:rsidRPr="002A5891" w:rsidRDefault="00CD7A43" w:rsidP="006077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A7367" w14:textId="77777777" w:rsidR="00CD7A43" w:rsidRDefault="00CD7A43" w:rsidP="006077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E3B3DE" w14:textId="77777777" w:rsidR="00CD7A43" w:rsidRDefault="00CD7A43" w:rsidP="0060775D"/>
  </w:footnote>
  <w:footnote w:type="continuationSeparator" w:id="0">
    <w:p w14:paraId="251D48BF" w14:textId="77777777" w:rsidR="00CD7A43" w:rsidRDefault="00CD7A43" w:rsidP="0060775D"/>
  </w:footnote>
  <w:footnote w:id="1">
    <w:p w14:paraId="7A1AD34A" w14:textId="77777777" w:rsidR="00CD7A43" w:rsidRDefault="00CD7A43" w:rsidP="00B2510D">
      <w:pPr>
        <w:pStyle w:val="FootnoteText"/>
      </w:pPr>
      <w:r>
        <w:rPr>
          <w:rStyle w:val="FootnoteReference"/>
        </w:rPr>
        <w:footnoteRef/>
      </w:r>
      <w:r>
        <w:t xml:space="preserve"> </w:t>
      </w:r>
      <w:r w:rsidRPr="009152C7">
        <w:t>http://www.who.int/patientsafety/taxonomy/icps_full_report.pdf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0EC30" w14:textId="77777777" w:rsidR="00CD7A43" w:rsidRDefault="00CD7A43" w:rsidP="0060775D">
    <w:pPr>
      <w:pStyle w:val="Header"/>
    </w:pPr>
    <w:r>
      <w:rPr>
        <w:noProof/>
      </w:rPr>
      <w:drawing>
        <wp:anchor distT="0" distB="0" distL="114300" distR="114300" simplePos="0" relativeHeight="251673600" behindDoc="1" locked="0" layoutInCell="1" allowOverlap="1" wp14:anchorId="20898870" wp14:editId="5743E5D0">
          <wp:simplePos x="0" y="0"/>
          <wp:positionH relativeFrom="column">
            <wp:posOffset>-914400</wp:posOffset>
          </wp:positionH>
          <wp:positionV relativeFrom="page">
            <wp:posOffset>0</wp:posOffset>
          </wp:positionV>
          <wp:extent cx="7562088" cy="10698480"/>
          <wp:effectExtent l="0" t="0" r="1270" b="7620"/>
          <wp:wrapNone/>
          <wp:docPr id="5" name="Alternative back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81E99" w14:textId="77777777" w:rsidR="00CD7A43" w:rsidRDefault="00CD7A43" w:rsidP="0023694D">
    <w:pPr>
      <w:pStyle w:val="NoSpacing"/>
    </w:pPr>
    <w:r>
      <w:rPr>
        <w:noProof/>
      </w:rPr>
      <w:drawing>
        <wp:anchor distT="0" distB="0" distL="114300" distR="114300" simplePos="0" relativeHeight="251676672" behindDoc="1" locked="0" layoutInCell="1" allowOverlap="1" wp14:anchorId="63EE64E1" wp14:editId="4BA0FD1B">
          <wp:simplePos x="542925" y="342900"/>
          <wp:positionH relativeFrom="page">
            <wp:align>left</wp:align>
          </wp:positionH>
          <wp:positionV relativeFrom="page">
            <wp:align>top</wp:align>
          </wp:positionV>
          <wp:extent cx="7560000" cy="10691587"/>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nt cover artwor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158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13550" w14:textId="77777777" w:rsidR="00CD7A43" w:rsidRDefault="00CD7A43" w:rsidP="0086277A">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73422"/>
    <w:multiLevelType w:val="hybridMultilevel"/>
    <w:tmpl w:val="6ADC09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61F05DC"/>
    <w:multiLevelType w:val="hybridMultilevel"/>
    <w:tmpl w:val="D3841C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225122D2"/>
    <w:multiLevelType w:val="hybridMultilevel"/>
    <w:tmpl w:val="1A6290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6456FFD"/>
    <w:multiLevelType w:val="multilevel"/>
    <w:tmpl w:val="47D41E60"/>
    <w:lvl w:ilvl="0">
      <w:start w:val="1"/>
      <w:numFmt w:val="bullet"/>
      <w:pStyle w:val="Tablebullet"/>
      <w:lvlText w:val=""/>
      <w:lvlJc w:val="left"/>
      <w:pPr>
        <w:ind w:left="284" w:hanging="284"/>
      </w:pPr>
      <w:rPr>
        <w:rFonts w:ascii="Symbol" w:hAnsi="Symbol" w:hint="default"/>
        <w:color w:val="4D92C0"/>
      </w:rPr>
    </w:lvl>
    <w:lvl w:ilvl="1">
      <w:start w:val="1"/>
      <w:numFmt w:val="bullet"/>
      <w:pStyle w:val="Tabledash"/>
      <w:lvlText w:val="–"/>
      <w:lvlJc w:val="left"/>
      <w:pPr>
        <w:ind w:left="568" w:hanging="284"/>
      </w:pPr>
      <w:rPr>
        <w:rFonts w:ascii="Calibri" w:hAnsi="Calibri" w:hint="default"/>
        <w:color w:val="auto"/>
      </w:rPr>
    </w:lvl>
    <w:lvl w:ilvl="2">
      <w:start w:val="1"/>
      <w:numFmt w:val="decimal"/>
      <w:pStyle w:val="Tablenum1"/>
      <w:lvlText w:val="%3."/>
      <w:lvlJc w:val="left"/>
      <w:pPr>
        <w:tabs>
          <w:tab w:val="num" w:pos="284"/>
        </w:tabs>
        <w:ind w:left="284" w:hanging="284"/>
      </w:pPr>
      <w:rPr>
        <w:rFonts w:hint="default"/>
      </w:rPr>
    </w:lvl>
    <w:lvl w:ilvl="3">
      <w:start w:val="1"/>
      <w:numFmt w:val="lowerLetter"/>
      <w:pStyle w:val="Tablenum2"/>
      <w:lvlText w:val="(%4)"/>
      <w:lvlJc w:val="left"/>
      <w:pPr>
        <w:tabs>
          <w:tab w:val="num" w:pos="567"/>
        </w:tabs>
        <w:ind w:left="567" w:hanging="283"/>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 w15:restartNumberingAfterBreak="0">
    <w:nsid w:val="393615B0"/>
    <w:multiLevelType w:val="multilevel"/>
    <w:tmpl w:val="F27293EC"/>
    <w:name w:val="List num2"/>
    <w:lvl w:ilvl="0">
      <w:start w:val="1"/>
      <w:numFmt w:val="decimal"/>
      <w:pStyle w:val="Heading1numbered"/>
      <w:suff w:val="space"/>
      <w:lvlText w:val="Section %1.0"/>
      <w:lvlJc w:val="left"/>
      <w:pPr>
        <w:ind w:left="0" w:firstLine="0"/>
      </w:pPr>
      <w:rPr>
        <w:rFonts w:hint="default"/>
      </w:rPr>
    </w:lvl>
    <w:lvl w:ilvl="1">
      <w:start w:val="1"/>
      <w:numFmt w:val="decimal"/>
      <w:pStyle w:val="Heading2numbered"/>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5" w15:restartNumberingAfterBreak="0">
    <w:nsid w:val="393A12AA"/>
    <w:multiLevelType w:val="multilevel"/>
    <w:tmpl w:val="0926725C"/>
    <w:lvl w:ilvl="0">
      <w:start w:val="1"/>
      <w:numFmt w:val="bullet"/>
      <w:pStyle w:val="Bullet1"/>
      <w:lvlText w:val=""/>
      <w:lvlJc w:val="left"/>
      <w:pPr>
        <w:ind w:left="284" w:hanging="284"/>
      </w:pPr>
      <w:rPr>
        <w:rFonts w:ascii="Wingdings 2" w:hAnsi="Wingdings 2" w:hint="default"/>
        <w:color w:val="4D92C0"/>
        <w:position w:val="2"/>
        <w:sz w:val="16"/>
      </w:rPr>
    </w:lvl>
    <w:lvl w:ilvl="1">
      <w:start w:val="1"/>
      <w:numFmt w:val="bullet"/>
      <w:pStyle w:val="Bullet2"/>
      <w:lvlText w:val="–"/>
      <w:lvlJc w:val="left"/>
      <w:pPr>
        <w:ind w:left="568" w:hanging="284"/>
      </w:pPr>
      <w:rPr>
        <w:rFonts w:ascii="Arial Black" w:hAnsi="Arial Black"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6" w15:restartNumberingAfterBreak="0">
    <w:nsid w:val="7A7E12E5"/>
    <w:multiLevelType w:val="multilevel"/>
    <w:tmpl w:val="F74E2CE0"/>
    <w:lvl w:ilvl="0">
      <w:start w:val="1"/>
      <w:numFmt w:val="decimal"/>
      <w:pStyle w:val="Numpara"/>
      <w:lvlText w:val="%1."/>
      <w:lvlJc w:val="left"/>
      <w:pPr>
        <w:ind w:left="397" w:hanging="397"/>
      </w:pPr>
      <w:rPr>
        <w:rFonts w:hint="default"/>
      </w:rPr>
    </w:lvl>
    <w:lvl w:ilvl="1">
      <w:start w:val="1"/>
      <w:numFmt w:val="lowerLetter"/>
      <w:lvlText w:val="%2."/>
      <w:lvlJc w:val="left"/>
      <w:pPr>
        <w:ind w:left="568" w:hanging="284"/>
      </w:pPr>
      <w:rPr>
        <w:rFonts w:hint="default"/>
      </w:rPr>
    </w:lvl>
    <w:lvl w:ilvl="2">
      <w:start w:val="1"/>
      <w:numFmt w:val="lowerRoman"/>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7" w15:restartNumberingAfterBreak="0">
    <w:nsid w:val="7FD44514"/>
    <w:multiLevelType w:val="multilevel"/>
    <w:tmpl w:val="457635A8"/>
    <w:name w:val="List num"/>
    <w:lvl w:ilvl="0">
      <w:start w:val="1"/>
      <w:numFmt w:val="lowerLetter"/>
      <w:pStyle w:val="Listnum"/>
      <w:lvlText w:val="(%1)"/>
      <w:lvlJc w:val="left"/>
      <w:pPr>
        <w:ind w:left="397" w:hanging="397"/>
      </w:pPr>
      <w:rPr>
        <w:rFonts w:hint="default"/>
      </w:rPr>
    </w:lvl>
    <w:lvl w:ilvl="1">
      <w:start w:val="1"/>
      <w:numFmt w:val="lowerRoman"/>
      <w:pStyle w:val="Listnum2"/>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num w:numId="1">
    <w:abstractNumId w:val="7"/>
  </w:num>
  <w:num w:numId="2">
    <w:abstractNumId w:val="3"/>
  </w:num>
  <w:num w:numId="3">
    <w:abstractNumId w:val="6"/>
  </w:num>
  <w:num w:numId="4">
    <w:abstractNumId w:val="5"/>
  </w:num>
  <w:num w:numId="5">
    <w:abstractNumId w:val="4"/>
  </w:num>
  <w:num w:numId="6">
    <w:abstractNumId w:val="2"/>
  </w:num>
  <w:num w:numId="7">
    <w:abstractNumId w:val="0"/>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evenAndOddHeaders/>
  <w:characterSpacingControl w:val="doNotCompress"/>
  <w:hdrShapeDefaults>
    <o:shapedefaults v:ext="edit" spidmax="460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75D"/>
    <w:rsid w:val="00002C46"/>
    <w:rsid w:val="00006286"/>
    <w:rsid w:val="0000647A"/>
    <w:rsid w:val="0000704D"/>
    <w:rsid w:val="00012F6F"/>
    <w:rsid w:val="00014213"/>
    <w:rsid w:val="00014B55"/>
    <w:rsid w:val="00020E3E"/>
    <w:rsid w:val="00023BF3"/>
    <w:rsid w:val="00026811"/>
    <w:rsid w:val="0002771C"/>
    <w:rsid w:val="0004185E"/>
    <w:rsid w:val="000442F0"/>
    <w:rsid w:val="00055F43"/>
    <w:rsid w:val="00056988"/>
    <w:rsid w:val="00064A57"/>
    <w:rsid w:val="00071086"/>
    <w:rsid w:val="00071C35"/>
    <w:rsid w:val="00072279"/>
    <w:rsid w:val="00073407"/>
    <w:rsid w:val="00075E6C"/>
    <w:rsid w:val="000778F3"/>
    <w:rsid w:val="00080E42"/>
    <w:rsid w:val="00081C12"/>
    <w:rsid w:val="00087D42"/>
    <w:rsid w:val="00093317"/>
    <w:rsid w:val="00096F4A"/>
    <w:rsid w:val="000A1E41"/>
    <w:rsid w:val="000A728C"/>
    <w:rsid w:val="000B0B32"/>
    <w:rsid w:val="000B1398"/>
    <w:rsid w:val="000B29AD"/>
    <w:rsid w:val="000B6EF1"/>
    <w:rsid w:val="000C0BB7"/>
    <w:rsid w:val="000C6372"/>
    <w:rsid w:val="000D649C"/>
    <w:rsid w:val="000D7841"/>
    <w:rsid w:val="000E10BB"/>
    <w:rsid w:val="000E1C93"/>
    <w:rsid w:val="000E392D"/>
    <w:rsid w:val="000E39B6"/>
    <w:rsid w:val="000E3D05"/>
    <w:rsid w:val="000F4288"/>
    <w:rsid w:val="000F6D40"/>
    <w:rsid w:val="000F7165"/>
    <w:rsid w:val="000F7615"/>
    <w:rsid w:val="00102379"/>
    <w:rsid w:val="00102729"/>
    <w:rsid w:val="00103722"/>
    <w:rsid w:val="001065D6"/>
    <w:rsid w:val="001068D5"/>
    <w:rsid w:val="00113A2E"/>
    <w:rsid w:val="00121252"/>
    <w:rsid w:val="00124609"/>
    <w:rsid w:val="001254CE"/>
    <w:rsid w:val="0013529D"/>
    <w:rsid w:val="00140022"/>
    <w:rsid w:val="0014135C"/>
    <w:rsid w:val="00141A9A"/>
    <w:rsid w:val="001422CC"/>
    <w:rsid w:val="0014255F"/>
    <w:rsid w:val="00145346"/>
    <w:rsid w:val="00146BB6"/>
    <w:rsid w:val="001476BB"/>
    <w:rsid w:val="001617B6"/>
    <w:rsid w:val="001627E6"/>
    <w:rsid w:val="00165E66"/>
    <w:rsid w:val="00167BB4"/>
    <w:rsid w:val="00172984"/>
    <w:rsid w:val="0018398F"/>
    <w:rsid w:val="00183D59"/>
    <w:rsid w:val="001960C5"/>
    <w:rsid w:val="00196143"/>
    <w:rsid w:val="001A0318"/>
    <w:rsid w:val="001A24FC"/>
    <w:rsid w:val="001A76C0"/>
    <w:rsid w:val="001B580F"/>
    <w:rsid w:val="001B7AE1"/>
    <w:rsid w:val="001C11F3"/>
    <w:rsid w:val="001C2C26"/>
    <w:rsid w:val="001C7BAE"/>
    <w:rsid w:val="001D4D88"/>
    <w:rsid w:val="001E03DD"/>
    <w:rsid w:val="001E31FA"/>
    <w:rsid w:val="001E48F9"/>
    <w:rsid w:val="001E5015"/>
    <w:rsid w:val="001E64F6"/>
    <w:rsid w:val="001E7AEB"/>
    <w:rsid w:val="00204B82"/>
    <w:rsid w:val="00212E8D"/>
    <w:rsid w:val="00217224"/>
    <w:rsid w:val="00217C99"/>
    <w:rsid w:val="00222BEB"/>
    <w:rsid w:val="00222F09"/>
    <w:rsid w:val="00223A42"/>
    <w:rsid w:val="00225E60"/>
    <w:rsid w:val="00226DA6"/>
    <w:rsid w:val="00230BBB"/>
    <w:rsid w:val="0023202C"/>
    <w:rsid w:val="00234619"/>
    <w:rsid w:val="0023694D"/>
    <w:rsid w:val="002415D3"/>
    <w:rsid w:val="00242A7C"/>
    <w:rsid w:val="00245043"/>
    <w:rsid w:val="00245954"/>
    <w:rsid w:val="00250105"/>
    <w:rsid w:val="00253173"/>
    <w:rsid w:val="002550E0"/>
    <w:rsid w:val="0025570A"/>
    <w:rsid w:val="00255DD0"/>
    <w:rsid w:val="00257461"/>
    <w:rsid w:val="0026028E"/>
    <w:rsid w:val="00263221"/>
    <w:rsid w:val="00263A66"/>
    <w:rsid w:val="002657E6"/>
    <w:rsid w:val="00265EC8"/>
    <w:rsid w:val="002729D4"/>
    <w:rsid w:val="00284FA2"/>
    <w:rsid w:val="002864C4"/>
    <w:rsid w:val="002878CB"/>
    <w:rsid w:val="00292D36"/>
    <w:rsid w:val="00293364"/>
    <w:rsid w:val="00294A5A"/>
    <w:rsid w:val="00297281"/>
    <w:rsid w:val="00297A47"/>
    <w:rsid w:val="002A5680"/>
    <w:rsid w:val="002A5891"/>
    <w:rsid w:val="002A5EE6"/>
    <w:rsid w:val="002B03F1"/>
    <w:rsid w:val="002B5E2B"/>
    <w:rsid w:val="002B6DAA"/>
    <w:rsid w:val="002B77A2"/>
    <w:rsid w:val="002C0022"/>
    <w:rsid w:val="002C1477"/>
    <w:rsid w:val="002C2EAE"/>
    <w:rsid w:val="002C702D"/>
    <w:rsid w:val="002D29E1"/>
    <w:rsid w:val="002D70F7"/>
    <w:rsid w:val="002D711A"/>
    <w:rsid w:val="002D7336"/>
    <w:rsid w:val="002E270F"/>
    <w:rsid w:val="002E3396"/>
    <w:rsid w:val="002E6025"/>
    <w:rsid w:val="002F1AB9"/>
    <w:rsid w:val="002F2953"/>
    <w:rsid w:val="002F2BE0"/>
    <w:rsid w:val="002F3972"/>
    <w:rsid w:val="00307F05"/>
    <w:rsid w:val="0031149C"/>
    <w:rsid w:val="003125B7"/>
    <w:rsid w:val="00316099"/>
    <w:rsid w:val="003170D9"/>
    <w:rsid w:val="00320A63"/>
    <w:rsid w:val="00324AB0"/>
    <w:rsid w:val="003272B4"/>
    <w:rsid w:val="0033054B"/>
    <w:rsid w:val="00336C89"/>
    <w:rsid w:val="00340EEC"/>
    <w:rsid w:val="00343F75"/>
    <w:rsid w:val="00355571"/>
    <w:rsid w:val="00357A09"/>
    <w:rsid w:val="0036258C"/>
    <w:rsid w:val="0036778F"/>
    <w:rsid w:val="00375AA6"/>
    <w:rsid w:val="003848F7"/>
    <w:rsid w:val="0038556F"/>
    <w:rsid w:val="0038771C"/>
    <w:rsid w:val="003A430B"/>
    <w:rsid w:val="003A50B3"/>
    <w:rsid w:val="003A541A"/>
    <w:rsid w:val="003A6923"/>
    <w:rsid w:val="003A7983"/>
    <w:rsid w:val="003B1AB8"/>
    <w:rsid w:val="003B6103"/>
    <w:rsid w:val="003B7B6F"/>
    <w:rsid w:val="003C2C67"/>
    <w:rsid w:val="003C2D4C"/>
    <w:rsid w:val="003C3B3A"/>
    <w:rsid w:val="003C5BA4"/>
    <w:rsid w:val="003C7395"/>
    <w:rsid w:val="003D08CC"/>
    <w:rsid w:val="003D27D1"/>
    <w:rsid w:val="003D31C0"/>
    <w:rsid w:val="003E0578"/>
    <w:rsid w:val="003E116E"/>
    <w:rsid w:val="003E3E26"/>
    <w:rsid w:val="003E5DFC"/>
    <w:rsid w:val="003E608A"/>
    <w:rsid w:val="003F1295"/>
    <w:rsid w:val="003F3B71"/>
    <w:rsid w:val="003F3D02"/>
    <w:rsid w:val="003F5102"/>
    <w:rsid w:val="003F76FC"/>
    <w:rsid w:val="004002EB"/>
    <w:rsid w:val="0040089E"/>
    <w:rsid w:val="00401116"/>
    <w:rsid w:val="00407A79"/>
    <w:rsid w:val="00411DE3"/>
    <w:rsid w:val="004178C6"/>
    <w:rsid w:val="00421935"/>
    <w:rsid w:val="00422379"/>
    <w:rsid w:val="00422A5A"/>
    <w:rsid w:val="00422DDC"/>
    <w:rsid w:val="004231B5"/>
    <w:rsid w:val="004236C8"/>
    <w:rsid w:val="00427681"/>
    <w:rsid w:val="004309ED"/>
    <w:rsid w:val="00433DB7"/>
    <w:rsid w:val="00444408"/>
    <w:rsid w:val="00452F8E"/>
    <w:rsid w:val="00453750"/>
    <w:rsid w:val="00456941"/>
    <w:rsid w:val="00462AA7"/>
    <w:rsid w:val="00465AA7"/>
    <w:rsid w:val="00465BF2"/>
    <w:rsid w:val="004702EA"/>
    <w:rsid w:val="0047647D"/>
    <w:rsid w:val="00480AB9"/>
    <w:rsid w:val="0048259C"/>
    <w:rsid w:val="00482D02"/>
    <w:rsid w:val="00484326"/>
    <w:rsid w:val="00484A85"/>
    <w:rsid w:val="00486736"/>
    <w:rsid w:val="00486969"/>
    <w:rsid w:val="00490369"/>
    <w:rsid w:val="00495282"/>
    <w:rsid w:val="004952AA"/>
    <w:rsid w:val="004A4B32"/>
    <w:rsid w:val="004A7519"/>
    <w:rsid w:val="004B2466"/>
    <w:rsid w:val="004B327A"/>
    <w:rsid w:val="004B3DBC"/>
    <w:rsid w:val="004B64B1"/>
    <w:rsid w:val="004C49E7"/>
    <w:rsid w:val="004C4D45"/>
    <w:rsid w:val="004C4ECC"/>
    <w:rsid w:val="004C6C48"/>
    <w:rsid w:val="004D01AC"/>
    <w:rsid w:val="004D3518"/>
    <w:rsid w:val="004D3CDF"/>
    <w:rsid w:val="004D47A7"/>
    <w:rsid w:val="004D4F88"/>
    <w:rsid w:val="004D62D6"/>
    <w:rsid w:val="004D6898"/>
    <w:rsid w:val="004E251D"/>
    <w:rsid w:val="004E524D"/>
    <w:rsid w:val="004F3067"/>
    <w:rsid w:val="004F3F4E"/>
    <w:rsid w:val="004F4875"/>
    <w:rsid w:val="0050356B"/>
    <w:rsid w:val="005076E0"/>
    <w:rsid w:val="00510167"/>
    <w:rsid w:val="00513E86"/>
    <w:rsid w:val="0051790D"/>
    <w:rsid w:val="005209FC"/>
    <w:rsid w:val="00522F2E"/>
    <w:rsid w:val="005306A2"/>
    <w:rsid w:val="0053103D"/>
    <w:rsid w:val="005320C8"/>
    <w:rsid w:val="0053262F"/>
    <w:rsid w:val="0053416C"/>
    <w:rsid w:val="00540588"/>
    <w:rsid w:val="00541C2F"/>
    <w:rsid w:val="005455FF"/>
    <w:rsid w:val="00551B95"/>
    <w:rsid w:val="00552254"/>
    <w:rsid w:val="00552DE4"/>
    <w:rsid w:val="00563527"/>
    <w:rsid w:val="00564B9E"/>
    <w:rsid w:val="005654B1"/>
    <w:rsid w:val="0057407A"/>
    <w:rsid w:val="0057429E"/>
    <w:rsid w:val="0058124E"/>
    <w:rsid w:val="005875A3"/>
    <w:rsid w:val="005953EA"/>
    <w:rsid w:val="00596E9A"/>
    <w:rsid w:val="005A3416"/>
    <w:rsid w:val="005A44B8"/>
    <w:rsid w:val="005A485E"/>
    <w:rsid w:val="005A6325"/>
    <w:rsid w:val="005A7FCD"/>
    <w:rsid w:val="005B1384"/>
    <w:rsid w:val="005B27FE"/>
    <w:rsid w:val="005B76DF"/>
    <w:rsid w:val="005B79CB"/>
    <w:rsid w:val="005B7CAD"/>
    <w:rsid w:val="005C458B"/>
    <w:rsid w:val="005C4BA8"/>
    <w:rsid w:val="005D261D"/>
    <w:rsid w:val="005D6111"/>
    <w:rsid w:val="005D6C79"/>
    <w:rsid w:val="005E08D7"/>
    <w:rsid w:val="005E1D59"/>
    <w:rsid w:val="005E2570"/>
    <w:rsid w:val="005E2707"/>
    <w:rsid w:val="005E2B6E"/>
    <w:rsid w:val="005E4C16"/>
    <w:rsid w:val="005E5947"/>
    <w:rsid w:val="005E6AAF"/>
    <w:rsid w:val="005E6C1B"/>
    <w:rsid w:val="005E7782"/>
    <w:rsid w:val="005F15F1"/>
    <w:rsid w:val="005F61DF"/>
    <w:rsid w:val="0060163A"/>
    <w:rsid w:val="006023F9"/>
    <w:rsid w:val="0060727B"/>
    <w:rsid w:val="0060775D"/>
    <w:rsid w:val="00610559"/>
    <w:rsid w:val="00614076"/>
    <w:rsid w:val="0061538A"/>
    <w:rsid w:val="006164C0"/>
    <w:rsid w:val="00630E93"/>
    <w:rsid w:val="00632F2E"/>
    <w:rsid w:val="006332F6"/>
    <w:rsid w:val="006413F2"/>
    <w:rsid w:val="00643FC5"/>
    <w:rsid w:val="0064798F"/>
    <w:rsid w:val="006525B9"/>
    <w:rsid w:val="006534B2"/>
    <w:rsid w:val="0065615D"/>
    <w:rsid w:val="00657011"/>
    <w:rsid w:val="0066237D"/>
    <w:rsid w:val="006650B5"/>
    <w:rsid w:val="006651B1"/>
    <w:rsid w:val="00665778"/>
    <w:rsid w:val="00666459"/>
    <w:rsid w:val="00676E5F"/>
    <w:rsid w:val="0068701A"/>
    <w:rsid w:val="0069041D"/>
    <w:rsid w:val="00693284"/>
    <w:rsid w:val="006945CA"/>
    <w:rsid w:val="0069469A"/>
    <w:rsid w:val="006A14E2"/>
    <w:rsid w:val="006A3309"/>
    <w:rsid w:val="006A3A5A"/>
    <w:rsid w:val="006A5597"/>
    <w:rsid w:val="006A5B34"/>
    <w:rsid w:val="006B023F"/>
    <w:rsid w:val="006C4086"/>
    <w:rsid w:val="006C77A9"/>
    <w:rsid w:val="006D4720"/>
    <w:rsid w:val="006E6CDF"/>
    <w:rsid w:val="006F37F2"/>
    <w:rsid w:val="006F5B93"/>
    <w:rsid w:val="006F6693"/>
    <w:rsid w:val="00707FE8"/>
    <w:rsid w:val="00714AAE"/>
    <w:rsid w:val="00720DC3"/>
    <w:rsid w:val="00721145"/>
    <w:rsid w:val="007211D7"/>
    <w:rsid w:val="00724962"/>
    <w:rsid w:val="00724A0F"/>
    <w:rsid w:val="00726D2F"/>
    <w:rsid w:val="00727C45"/>
    <w:rsid w:val="00735F08"/>
    <w:rsid w:val="00735FFA"/>
    <w:rsid w:val="00736732"/>
    <w:rsid w:val="00740019"/>
    <w:rsid w:val="00740BC0"/>
    <w:rsid w:val="00742C2A"/>
    <w:rsid w:val="00746426"/>
    <w:rsid w:val="00747803"/>
    <w:rsid w:val="00750BF9"/>
    <w:rsid w:val="00750CBE"/>
    <w:rsid w:val="00755D19"/>
    <w:rsid w:val="007646D1"/>
    <w:rsid w:val="007650D2"/>
    <w:rsid w:val="00766B5A"/>
    <w:rsid w:val="00772209"/>
    <w:rsid w:val="00776870"/>
    <w:rsid w:val="007770A5"/>
    <w:rsid w:val="0078053A"/>
    <w:rsid w:val="007834F2"/>
    <w:rsid w:val="00784971"/>
    <w:rsid w:val="007849D5"/>
    <w:rsid w:val="00791020"/>
    <w:rsid w:val="0079631B"/>
    <w:rsid w:val="00796369"/>
    <w:rsid w:val="007A04D2"/>
    <w:rsid w:val="007A2088"/>
    <w:rsid w:val="007A3870"/>
    <w:rsid w:val="007A5F82"/>
    <w:rsid w:val="007B488C"/>
    <w:rsid w:val="007C4073"/>
    <w:rsid w:val="007C4A2C"/>
    <w:rsid w:val="007C5F60"/>
    <w:rsid w:val="007D5F9E"/>
    <w:rsid w:val="007E098F"/>
    <w:rsid w:val="007E3BA2"/>
    <w:rsid w:val="007F05A8"/>
    <w:rsid w:val="007F1A4C"/>
    <w:rsid w:val="007F2145"/>
    <w:rsid w:val="007F6CB9"/>
    <w:rsid w:val="007F723F"/>
    <w:rsid w:val="007F741B"/>
    <w:rsid w:val="008003D7"/>
    <w:rsid w:val="008022C3"/>
    <w:rsid w:val="008041E6"/>
    <w:rsid w:val="008065D2"/>
    <w:rsid w:val="008116D8"/>
    <w:rsid w:val="008136B4"/>
    <w:rsid w:val="0081468E"/>
    <w:rsid w:val="00815A8A"/>
    <w:rsid w:val="00816C6D"/>
    <w:rsid w:val="0082194C"/>
    <w:rsid w:val="008222FF"/>
    <w:rsid w:val="00823429"/>
    <w:rsid w:val="008241FF"/>
    <w:rsid w:val="008411E9"/>
    <w:rsid w:val="00841617"/>
    <w:rsid w:val="0084200F"/>
    <w:rsid w:val="0084206E"/>
    <w:rsid w:val="00843B2C"/>
    <w:rsid w:val="00844F16"/>
    <w:rsid w:val="00855FF9"/>
    <w:rsid w:val="00856CC3"/>
    <w:rsid w:val="00857391"/>
    <w:rsid w:val="0086277A"/>
    <w:rsid w:val="0086384E"/>
    <w:rsid w:val="008668A8"/>
    <w:rsid w:val="00871868"/>
    <w:rsid w:val="00872B03"/>
    <w:rsid w:val="0087451F"/>
    <w:rsid w:val="00876667"/>
    <w:rsid w:val="008768AD"/>
    <w:rsid w:val="00877D74"/>
    <w:rsid w:val="00880AC4"/>
    <w:rsid w:val="008931AD"/>
    <w:rsid w:val="00893DF5"/>
    <w:rsid w:val="00897447"/>
    <w:rsid w:val="008A39CF"/>
    <w:rsid w:val="008A4900"/>
    <w:rsid w:val="008A55FE"/>
    <w:rsid w:val="008B0883"/>
    <w:rsid w:val="008B146D"/>
    <w:rsid w:val="008B1AA2"/>
    <w:rsid w:val="008B2692"/>
    <w:rsid w:val="008B315D"/>
    <w:rsid w:val="008B42AD"/>
    <w:rsid w:val="008B5666"/>
    <w:rsid w:val="008D0281"/>
    <w:rsid w:val="008D3B58"/>
    <w:rsid w:val="008D5BA3"/>
    <w:rsid w:val="008D5D74"/>
    <w:rsid w:val="008D6283"/>
    <w:rsid w:val="008E119B"/>
    <w:rsid w:val="008E2348"/>
    <w:rsid w:val="008F04EB"/>
    <w:rsid w:val="008F1F79"/>
    <w:rsid w:val="008F4B0C"/>
    <w:rsid w:val="008F6D45"/>
    <w:rsid w:val="00901193"/>
    <w:rsid w:val="00910C56"/>
    <w:rsid w:val="009133AD"/>
    <w:rsid w:val="009161B3"/>
    <w:rsid w:val="00922944"/>
    <w:rsid w:val="00936479"/>
    <w:rsid w:val="00937A10"/>
    <w:rsid w:val="00943332"/>
    <w:rsid w:val="00966115"/>
    <w:rsid w:val="00967119"/>
    <w:rsid w:val="009673D7"/>
    <w:rsid w:val="00971A22"/>
    <w:rsid w:val="00977983"/>
    <w:rsid w:val="009834C0"/>
    <w:rsid w:val="00986AAC"/>
    <w:rsid w:val="009945B6"/>
    <w:rsid w:val="00995526"/>
    <w:rsid w:val="009A1B34"/>
    <w:rsid w:val="009A1DA2"/>
    <w:rsid w:val="009A3704"/>
    <w:rsid w:val="009A4739"/>
    <w:rsid w:val="009A4F42"/>
    <w:rsid w:val="009A59BE"/>
    <w:rsid w:val="009A5D8E"/>
    <w:rsid w:val="009A674F"/>
    <w:rsid w:val="009A6D22"/>
    <w:rsid w:val="009B199C"/>
    <w:rsid w:val="009B1C7B"/>
    <w:rsid w:val="009B4432"/>
    <w:rsid w:val="009B5828"/>
    <w:rsid w:val="009B61F1"/>
    <w:rsid w:val="009B62E0"/>
    <w:rsid w:val="009C309C"/>
    <w:rsid w:val="009C3D88"/>
    <w:rsid w:val="009C6FC6"/>
    <w:rsid w:val="009D159B"/>
    <w:rsid w:val="009D376E"/>
    <w:rsid w:val="009E1651"/>
    <w:rsid w:val="009E300E"/>
    <w:rsid w:val="009E3858"/>
    <w:rsid w:val="009E467D"/>
    <w:rsid w:val="009E70DD"/>
    <w:rsid w:val="009F2ED9"/>
    <w:rsid w:val="009F3231"/>
    <w:rsid w:val="009F5C58"/>
    <w:rsid w:val="00A01B53"/>
    <w:rsid w:val="00A023A0"/>
    <w:rsid w:val="00A05EBC"/>
    <w:rsid w:val="00A1562B"/>
    <w:rsid w:val="00A170F4"/>
    <w:rsid w:val="00A2012A"/>
    <w:rsid w:val="00A21408"/>
    <w:rsid w:val="00A21CFD"/>
    <w:rsid w:val="00A24A37"/>
    <w:rsid w:val="00A25568"/>
    <w:rsid w:val="00A25B78"/>
    <w:rsid w:val="00A37FCA"/>
    <w:rsid w:val="00A46288"/>
    <w:rsid w:val="00A46BA8"/>
    <w:rsid w:val="00A47634"/>
    <w:rsid w:val="00A612FE"/>
    <w:rsid w:val="00A70B49"/>
    <w:rsid w:val="00A80B1D"/>
    <w:rsid w:val="00A82147"/>
    <w:rsid w:val="00A8391D"/>
    <w:rsid w:val="00A92D94"/>
    <w:rsid w:val="00A92F78"/>
    <w:rsid w:val="00AA101D"/>
    <w:rsid w:val="00AA26B8"/>
    <w:rsid w:val="00AA514D"/>
    <w:rsid w:val="00AA5359"/>
    <w:rsid w:val="00AA6F2E"/>
    <w:rsid w:val="00AB473D"/>
    <w:rsid w:val="00AC01FC"/>
    <w:rsid w:val="00AC0B87"/>
    <w:rsid w:val="00AC2624"/>
    <w:rsid w:val="00AC32A8"/>
    <w:rsid w:val="00AD00F4"/>
    <w:rsid w:val="00AD7E4E"/>
    <w:rsid w:val="00AE3267"/>
    <w:rsid w:val="00AE582E"/>
    <w:rsid w:val="00AF4D58"/>
    <w:rsid w:val="00AF5721"/>
    <w:rsid w:val="00AF5803"/>
    <w:rsid w:val="00AF6666"/>
    <w:rsid w:val="00AF7BC5"/>
    <w:rsid w:val="00B20386"/>
    <w:rsid w:val="00B2510D"/>
    <w:rsid w:val="00B25B6D"/>
    <w:rsid w:val="00B26F2E"/>
    <w:rsid w:val="00B328D9"/>
    <w:rsid w:val="00B33D87"/>
    <w:rsid w:val="00B553CC"/>
    <w:rsid w:val="00B6080C"/>
    <w:rsid w:val="00B76485"/>
    <w:rsid w:val="00B81B44"/>
    <w:rsid w:val="00B81C65"/>
    <w:rsid w:val="00B9053B"/>
    <w:rsid w:val="00B90BCD"/>
    <w:rsid w:val="00B93425"/>
    <w:rsid w:val="00BA0C37"/>
    <w:rsid w:val="00BA3782"/>
    <w:rsid w:val="00BA57F4"/>
    <w:rsid w:val="00BB105E"/>
    <w:rsid w:val="00BB3A65"/>
    <w:rsid w:val="00BB4D98"/>
    <w:rsid w:val="00BB4EBF"/>
    <w:rsid w:val="00BB59E0"/>
    <w:rsid w:val="00BB7035"/>
    <w:rsid w:val="00BC3422"/>
    <w:rsid w:val="00BC6C1A"/>
    <w:rsid w:val="00BC6E19"/>
    <w:rsid w:val="00BC7257"/>
    <w:rsid w:val="00BC7754"/>
    <w:rsid w:val="00BD11C2"/>
    <w:rsid w:val="00BD43AC"/>
    <w:rsid w:val="00BD5018"/>
    <w:rsid w:val="00BE3D98"/>
    <w:rsid w:val="00BE5ADC"/>
    <w:rsid w:val="00BF3854"/>
    <w:rsid w:val="00BF4F96"/>
    <w:rsid w:val="00C015B9"/>
    <w:rsid w:val="00C01E70"/>
    <w:rsid w:val="00C022F9"/>
    <w:rsid w:val="00C032EA"/>
    <w:rsid w:val="00C046CE"/>
    <w:rsid w:val="00C06EB5"/>
    <w:rsid w:val="00C06F90"/>
    <w:rsid w:val="00C1145F"/>
    <w:rsid w:val="00C11CD1"/>
    <w:rsid w:val="00C17487"/>
    <w:rsid w:val="00C240D4"/>
    <w:rsid w:val="00C328BA"/>
    <w:rsid w:val="00C32D49"/>
    <w:rsid w:val="00C33AD3"/>
    <w:rsid w:val="00C35D5A"/>
    <w:rsid w:val="00C41B3C"/>
    <w:rsid w:val="00C42797"/>
    <w:rsid w:val="00C43F06"/>
    <w:rsid w:val="00C447CF"/>
    <w:rsid w:val="00C46484"/>
    <w:rsid w:val="00C4709B"/>
    <w:rsid w:val="00C51C01"/>
    <w:rsid w:val="00C52797"/>
    <w:rsid w:val="00C637E1"/>
    <w:rsid w:val="00C66396"/>
    <w:rsid w:val="00C66E6C"/>
    <w:rsid w:val="00C67EAC"/>
    <w:rsid w:val="00C70D50"/>
    <w:rsid w:val="00C72252"/>
    <w:rsid w:val="00C76EE0"/>
    <w:rsid w:val="00C8596B"/>
    <w:rsid w:val="00C907D7"/>
    <w:rsid w:val="00C92338"/>
    <w:rsid w:val="00C954FA"/>
    <w:rsid w:val="00CA05DC"/>
    <w:rsid w:val="00CA3C13"/>
    <w:rsid w:val="00CA7B47"/>
    <w:rsid w:val="00CB0FC5"/>
    <w:rsid w:val="00CB1588"/>
    <w:rsid w:val="00CB3976"/>
    <w:rsid w:val="00CB4610"/>
    <w:rsid w:val="00CB5275"/>
    <w:rsid w:val="00CC35E0"/>
    <w:rsid w:val="00CD0307"/>
    <w:rsid w:val="00CD33F8"/>
    <w:rsid w:val="00CD3D1B"/>
    <w:rsid w:val="00CD58CC"/>
    <w:rsid w:val="00CD7A43"/>
    <w:rsid w:val="00CE32FA"/>
    <w:rsid w:val="00D02663"/>
    <w:rsid w:val="00D0633E"/>
    <w:rsid w:val="00D07D44"/>
    <w:rsid w:val="00D12E74"/>
    <w:rsid w:val="00D140DD"/>
    <w:rsid w:val="00D2312F"/>
    <w:rsid w:val="00D23A1A"/>
    <w:rsid w:val="00D23B04"/>
    <w:rsid w:val="00D269C1"/>
    <w:rsid w:val="00D36AB3"/>
    <w:rsid w:val="00D41B2F"/>
    <w:rsid w:val="00D44953"/>
    <w:rsid w:val="00D542F3"/>
    <w:rsid w:val="00D54513"/>
    <w:rsid w:val="00D54AAE"/>
    <w:rsid w:val="00D5644B"/>
    <w:rsid w:val="00D56E25"/>
    <w:rsid w:val="00D57E89"/>
    <w:rsid w:val="00D63EE0"/>
    <w:rsid w:val="00D6560D"/>
    <w:rsid w:val="00D65D77"/>
    <w:rsid w:val="00D667A0"/>
    <w:rsid w:val="00D718D7"/>
    <w:rsid w:val="00D775D4"/>
    <w:rsid w:val="00D814B7"/>
    <w:rsid w:val="00D83739"/>
    <w:rsid w:val="00D90688"/>
    <w:rsid w:val="00D921F0"/>
    <w:rsid w:val="00DA11BE"/>
    <w:rsid w:val="00DA2FDA"/>
    <w:rsid w:val="00DA3AAD"/>
    <w:rsid w:val="00DB1478"/>
    <w:rsid w:val="00DB312B"/>
    <w:rsid w:val="00DB407A"/>
    <w:rsid w:val="00DC5654"/>
    <w:rsid w:val="00DC658F"/>
    <w:rsid w:val="00DC674A"/>
    <w:rsid w:val="00DD26E6"/>
    <w:rsid w:val="00DD4222"/>
    <w:rsid w:val="00DD47FB"/>
    <w:rsid w:val="00DE3F69"/>
    <w:rsid w:val="00DE5054"/>
    <w:rsid w:val="00DE60CC"/>
    <w:rsid w:val="00DF2CB3"/>
    <w:rsid w:val="00DF357D"/>
    <w:rsid w:val="00DF4B5F"/>
    <w:rsid w:val="00E017EB"/>
    <w:rsid w:val="00E030FA"/>
    <w:rsid w:val="00E06925"/>
    <w:rsid w:val="00E20494"/>
    <w:rsid w:val="00E213A3"/>
    <w:rsid w:val="00E22AED"/>
    <w:rsid w:val="00E26B32"/>
    <w:rsid w:val="00E31CD4"/>
    <w:rsid w:val="00E31E60"/>
    <w:rsid w:val="00E33B43"/>
    <w:rsid w:val="00E33E08"/>
    <w:rsid w:val="00E407B6"/>
    <w:rsid w:val="00E41EF1"/>
    <w:rsid w:val="00E42942"/>
    <w:rsid w:val="00E46899"/>
    <w:rsid w:val="00E5642E"/>
    <w:rsid w:val="00E63564"/>
    <w:rsid w:val="00E65A0A"/>
    <w:rsid w:val="00E71BDF"/>
    <w:rsid w:val="00E75CCB"/>
    <w:rsid w:val="00E77E60"/>
    <w:rsid w:val="00E8245B"/>
    <w:rsid w:val="00E82C21"/>
    <w:rsid w:val="00E82F59"/>
    <w:rsid w:val="00E82FA3"/>
    <w:rsid w:val="00E83CA7"/>
    <w:rsid w:val="00E90535"/>
    <w:rsid w:val="00E911FB"/>
    <w:rsid w:val="00E92192"/>
    <w:rsid w:val="00E945B8"/>
    <w:rsid w:val="00E95A71"/>
    <w:rsid w:val="00EA088F"/>
    <w:rsid w:val="00EA314C"/>
    <w:rsid w:val="00EB53F5"/>
    <w:rsid w:val="00EB58A8"/>
    <w:rsid w:val="00EB7014"/>
    <w:rsid w:val="00EB7BC0"/>
    <w:rsid w:val="00EB7E9E"/>
    <w:rsid w:val="00EC1897"/>
    <w:rsid w:val="00EC5CDE"/>
    <w:rsid w:val="00ED1DBB"/>
    <w:rsid w:val="00ED3077"/>
    <w:rsid w:val="00ED380F"/>
    <w:rsid w:val="00ED487E"/>
    <w:rsid w:val="00ED64F1"/>
    <w:rsid w:val="00ED6E87"/>
    <w:rsid w:val="00EE33A1"/>
    <w:rsid w:val="00EE3B1D"/>
    <w:rsid w:val="00EE762E"/>
    <w:rsid w:val="00EE7A0D"/>
    <w:rsid w:val="00F0168D"/>
    <w:rsid w:val="00F0222C"/>
    <w:rsid w:val="00F04A32"/>
    <w:rsid w:val="00F04F64"/>
    <w:rsid w:val="00F079B0"/>
    <w:rsid w:val="00F12312"/>
    <w:rsid w:val="00F17CE1"/>
    <w:rsid w:val="00F2115C"/>
    <w:rsid w:val="00F22ABA"/>
    <w:rsid w:val="00F25F4B"/>
    <w:rsid w:val="00F26D4C"/>
    <w:rsid w:val="00F27CE9"/>
    <w:rsid w:val="00F36B12"/>
    <w:rsid w:val="00F4178F"/>
    <w:rsid w:val="00F41846"/>
    <w:rsid w:val="00F41C1D"/>
    <w:rsid w:val="00F421AD"/>
    <w:rsid w:val="00F46A9F"/>
    <w:rsid w:val="00F47653"/>
    <w:rsid w:val="00F57481"/>
    <w:rsid w:val="00F60F9F"/>
    <w:rsid w:val="00F64F08"/>
    <w:rsid w:val="00F70055"/>
    <w:rsid w:val="00F703D8"/>
    <w:rsid w:val="00F734F5"/>
    <w:rsid w:val="00F73B5B"/>
    <w:rsid w:val="00F7504F"/>
    <w:rsid w:val="00F82448"/>
    <w:rsid w:val="00F90EA5"/>
    <w:rsid w:val="00F91F5A"/>
    <w:rsid w:val="00F923DD"/>
    <w:rsid w:val="00F966B1"/>
    <w:rsid w:val="00F97D48"/>
    <w:rsid w:val="00FA0311"/>
    <w:rsid w:val="00FA1489"/>
    <w:rsid w:val="00FB2EB5"/>
    <w:rsid w:val="00FB3596"/>
    <w:rsid w:val="00FB5E58"/>
    <w:rsid w:val="00FB7060"/>
    <w:rsid w:val="00FC04CD"/>
    <w:rsid w:val="00FC12A6"/>
    <w:rsid w:val="00FD50F0"/>
    <w:rsid w:val="00FD640F"/>
    <w:rsid w:val="00FD6B4C"/>
    <w:rsid w:val="00FE0553"/>
    <w:rsid w:val="00FE25D0"/>
    <w:rsid w:val="00FE6CB3"/>
    <w:rsid w:val="00FF4E99"/>
    <w:rsid w:val="00FF7D88"/>
    <w:rsid w:val="00FF7F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6081"/>
    <o:shapelayout v:ext="edit">
      <o:idmap v:ext="edit" data="1"/>
    </o:shapelayout>
  </w:shapeDefaults>
  <w:decimalSymbol w:val="."/>
  <w:listSeparator w:val=","/>
  <w14:docId w14:val="523A2309"/>
  <w15:docId w15:val="{F2EB0C5D-C6C2-424E-803D-62E8215F6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AU" w:eastAsia="en-AU" w:bidi="ar-SA"/>
      </w:rPr>
    </w:rPrDefault>
    <w:pPrDefault>
      <w:pPr>
        <w:spacing w:before="160" w:after="160" w:line="280" w:lineRule="atLeast"/>
      </w:pPr>
    </w:pPrDefault>
  </w:docDefaults>
  <w:latentStyles w:defLockedState="0" w:defUIPriority="1"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uiPriority="99" w:unhideWhenUsed="1"/>
    <w:lsdException w:name="index 2"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lsdException w:name="toc 5" w:semiHidden="1"/>
    <w:lsdException w:name="toc 6" w:semiHidden="1"/>
    <w:lsdException w:name="toc 7" w:semiHidden="1" w:unhideWhenUsed="1"/>
    <w:lsdException w:name="toc 8" w:semiHidden="1" w:unhideWhenUsed="1"/>
    <w:lsdException w:name="toc 9" w:semiHidden="1" w:unhideWhenUsed="1"/>
    <w:lsdException w:name="Normal Indent" w:uiPriority="0" w:unhideWhenUsed="1" w:qFormat="1"/>
    <w:lsdException w:name="footnote text" w:semiHidden="1" w:uiPriority="99" w:unhideWhenUsed="1"/>
    <w:lsdException w:name="annotation text" w:semiHidden="1" w:unhideWhenUsed="1"/>
    <w:lsdException w:name="header" w:uiPriority="99" w:unhideWhenUsed="1"/>
    <w:lsdException w:name="footer" w:uiPriority="99" w:unhideWhenUsed="1"/>
    <w:lsdException w:name="index heading" w:uiPriority="99" w:unhideWhenUsed="1"/>
    <w:lsdException w:name="caption" w:uiPriority="35" w:unhideWhenUsed="1"/>
    <w:lsdException w:name="table of figures" w:semiHidden="1" w:uiPriority="2"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uiPriority="2"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nhideWhenUsed="1"/>
    <w:lsdException w:name="Body Text" w:semiHidden="1" w:uiPriority="4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Salutation"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Subtle Reference" w:qFormat="1"/>
    <w:lsdException w:name="Intense Reference" w:semiHidden="1"/>
    <w:lsdException w:name="Book Title" w:semiHidden="1"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uiPriority w:val="1"/>
    <w:qFormat/>
    <w:rsid w:val="0060775D"/>
    <w:rPr>
      <w:rFonts w:ascii="VIC" w:hAnsi="VIC"/>
    </w:rPr>
  </w:style>
  <w:style w:type="paragraph" w:styleId="Heading1">
    <w:name w:val="heading 1"/>
    <w:basedOn w:val="Normal"/>
    <w:next w:val="Normalfollowingheading"/>
    <w:link w:val="Heading1Char"/>
    <w:qFormat/>
    <w:rsid w:val="0060775D"/>
    <w:pPr>
      <w:keepNext/>
      <w:keepLines/>
      <w:framePr w:wrap="around" w:vAnchor="page" w:hAnchor="margin" w:y="1022"/>
      <w:spacing w:before="0" w:after="120" w:line="240" w:lineRule="auto"/>
      <w:outlineLvl w:val="0"/>
    </w:pPr>
    <w:rPr>
      <w:rFonts w:ascii="VIC SemiBold" w:eastAsiaTheme="majorEastAsia" w:hAnsi="VIC SemiBold" w:cstheme="majorBidi"/>
      <w:bCs/>
      <w:color w:val="007586" w:themeColor="text2"/>
      <w:spacing w:val="-1"/>
      <w:sz w:val="48"/>
      <w:szCs w:val="28"/>
    </w:rPr>
  </w:style>
  <w:style w:type="paragraph" w:styleId="Heading2">
    <w:name w:val="heading 2"/>
    <w:basedOn w:val="Normal"/>
    <w:next w:val="Normalfollowingheading"/>
    <w:link w:val="Heading2Char"/>
    <w:qFormat/>
    <w:rsid w:val="0060775D"/>
    <w:pPr>
      <w:keepNext/>
      <w:keepLines/>
      <w:spacing w:before="280" w:after="60" w:line="240" w:lineRule="auto"/>
      <w:outlineLvl w:val="1"/>
    </w:pPr>
    <w:rPr>
      <w:rFonts w:ascii="VIC SemiBold" w:eastAsiaTheme="majorEastAsia" w:hAnsi="VIC SemiBold" w:cstheme="majorBidi"/>
      <w:bCs/>
      <w:caps/>
      <w:color w:val="007586" w:themeColor="text2"/>
      <w:sz w:val="24"/>
      <w:szCs w:val="26"/>
    </w:rPr>
  </w:style>
  <w:style w:type="paragraph" w:styleId="Heading3">
    <w:name w:val="heading 3"/>
    <w:basedOn w:val="Normal"/>
    <w:next w:val="Normalfollowingheading"/>
    <w:link w:val="Heading3Char"/>
    <w:qFormat/>
    <w:rsid w:val="0069469A"/>
    <w:pPr>
      <w:keepNext/>
      <w:keepLines/>
      <w:spacing w:before="240" w:after="50" w:line="240" w:lineRule="auto"/>
      <w:outlineLvl w:val="2"/>
    </w:pPr>
    <w:rPr>
      <w:rFonts w:ascii="VIC SemiBold" w:eastAsiaTheme="majorEastAsia" w:hAnsi="VIC SemiBold" w:cstheme="majorBidi"/>
      <w:bCs/>
      <w:color w:val="000000" w:themeColor="text1"/>
      <w:sz w:val="24"/>
      <w:szCs w:val="22"/>
    </w:rPr>
  </w:style>
  <w:style w:type="paragraph" w:styleId="Heading4">
    <w:name w:val="heading 4"/>
    <w:basedOn w:val="Normal"/>
    <w:next w:val="Normalfollowingheading"/>
    <w:link w:val="Heading4Char"/>
    <w:qFormat/>
    <w:rsid w:val="00401116"/>
    <w:pPr>
      <w:keepNext/>
      <w:keepLines/>
      <w:spacing w:before="320" w:after="70" w:line="240" w:lineRule="auto"/>
      <w:outlineLvl w:val="3"/>
    </w:pPr>
    <w:rPr>
      <w:rFonts w:ascii="VIC SemiBold" w:eastAsiaTheme="majorEastAsia" w:hAnsi="VIC SemiBold" w:cstheme="majorBidi"/>
      <w:bCs/>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semiHidden/>
    <w:rsid w:val="0082194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9E1651"/>
    <w:pPr>
      <w:spacing w:before="60" w:after="60" w:line="192" w:lineRule="atLeast"/>
    </w:pPr>
    <w:rPr>
      <w:rFonts w:eastAsiaTheme="minorHAnsi"/>
      <w:sz w:val="16"/>
      <w:szCs w:val="21"/>
      <w:lang w:eastAsia="en-US"/>
    </w:rPr>
    <w:tblPr>
      <w:tblStyleColBandSize w:val="1"/>
      <w:tblBorders>
        <w:top w:val="single" w:sz="2" w:space="0" w:color="80808B" w:themeColor="accent5"/>
        <w:bottom w:val="single" w:sz="2" w:space="0" w:color="80808B" w:themeColor="accent5"/>
        <w:insideH w:val="single" w:sz="2" w:space="0" w:color="80808B" w:themeColor="accent5"/>
      </w:tblBorders>
      <w:tblCellMar>
        <w:left w:w="113" w:type="dxa"/>
        <w:right w:w="113" w:type="dxa"/>
      </w:tblCellMar>
    </w:tblPr>
    <w:tblStylePr w:type="firstRow">
      <w:pPr>
        <w:keepNext/>
        <w:keepLines/>
        <w:widowControl/>
        <w:wordWrap/>
        <w:spacing w:beforeLines="0" w:before="0" w:beforeAutospacing="0" w:afterLines="0" w:after="0" w:afterAutospacing="0" w:line="260" w:lineRule="atLeast"/>
        <w:ind w:leftChars="0" w:left="0"/>
        <w:jc w:val="left"/>
      </w:pPr>
      <w:rPr>
        <w:b/>
        <w:i w:val="0"/>
        <w:color w:val="007586" w:themeColor="text2"/>
        <w:sz w:val="16"/>
      </w:rPr>
      <w:tblPr/>
      <w:tcPr>
        <w:tcBorders>
          <w:top w:val="single" w:sz="2" w:space="0" w:color="EDF5F7" w:themeColor="background2"/>
          <w:left w:val="nil"/>
          <w:bottom w:val="single" w:sz="24" w:space="0" w:color="CCCCD0" w:themeColor="accent6"/>
          <w:right w:val="nil"/>
          <w:insideH w:val="nil"/>
          <w:insideV w:val="nil"/>
          <w:tl2br w:val="nil"/>
          <w:tr2bl w:val="nil"/>
        </w:tcBorders>
        <w:shd w:val="clear" w:color="auto" w:fill="EDF5F7"/>
        <w:tcMar>
          <w:top w:w="80" w:type="dxa"/>
          <w:left w:w="113" w:type="dxa"/>
          <w:bottom w:w="80" w:type="dxa"/>
          <w:right w:w="113" w:type="dxa"/>
        </w:tcMar>
      </w:tcPr>
    </w:tblStylePr>
    <w:tblStylePr w:type="lastRow">
      <w:rPr>
        <w:b w:val="0"/>
      </w:rPr>
      <w:tblPr/>
      <w:tcPr>
        <w:tcBorders>
          <w:top w:val="nil"/>
          <w:left w:val="nil"/>
          <w:bottom w:val="nil"/>
          <w:right w:val="nil"/>
          <w:insideH w:val="nil"/>
          <w:insideV w:val="nil"/>
          <w:tl2br w:val="nil"/>
          <w:tr2bl w:val="nil"/>
        </w:tcBorders>
      </w:tcPr>
    </w:tblStylePr>
    <w:tblStylePr w:type="firstCol">
      <w:pPr>
        <w:wordWrap/>
        <w:spacing w:beforeLines="0" w:before="50" w:beforeAutospacing="0" w:line="260" w:lineRule="atLeast"/>
        <w:ind w:leftChars="0" w:left="0"/>
        <w:jc w:val="left"/>
      </w:pPr>
      <w:rPr>
        <w:b/>
        <w:color w:val="007586" w:themeColor="text2"/>
        <w:sz w:val="16"/>
      </w:rPr>
    </w:tblStylePr>
    <w:tblStylePr w:type="band1Vert">
      <w:pPr>
        <w:jc w:val="right"/>
      </w:pPr>
    </w:tblStylePr>
    <w:tblStylePr w:type="band2Vert">
      <w:pPr>
        <w:jc w:val="right"/>
      </w:pPr>
    </w:tblStylePr>
  </w:style>
  <w:style w:type="table" w:styleId="LightList-Accent4">
    <w:name w:val="Light List Accent 4"/>
    <w:basedOn w:val="TableNormal"/>
    <w:uiPriority w:val="61"/>
    <w:semiHidden/>
    <w:rsid w:val="009A674F"/>
    <w:pPr>
      <w:spacing w:after="0" w:line="240" w:lineRule="auto"/>
    </w:p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tblBorders>
    </w:tblPr>
    <w:tblStylePr w:type="firstRow">
      <w:pPr>
        <w:spacing w:before="0" w:after="0" w:line="240" w:lineRule="auto"/>
      </w:pPr>
      <w:rPr>
        <w:b/>
        <w:bCs/>
        <w:color w:val="FFFFFF" w:themeColor="background1"/>
      </w:rPr>
      <w:tblPr/>
      <w:tcPr>
        <w:shd w:val="clear" w:color="auto" w:fill="404050" w:themeFill="accent4"/>
      </w:tcPr>
    </w:tblStylePr>
    <w:tblStylePr w:type="lastRow">
      <w:pPr>
        <w:spacing w:before="0" w:after="0" w:line="240" w:lineRule="auto"/>
      </w:pPr>
      <w:rPr>
        <w:b/>
        <w:bCs/>
      </w:rPr>
      <w:tblPr/>
      <w:tcPr>
        <w:tcBorders>
          <w:top w:val="double" w:sz="6" w:space="0" w:color="404050" w:themeColor="accent4"/>
          <w:left w:val="single" w:sz="8" w:space="0" w:color="404050" w:themeColor="accent4"/>
          <w:bottom w:val="single" w:sz="8" w:space="0" w:color="404050" w:themeColor="accent4"/>
          <w:right w:val="single" w:sz="8" w:space="0" w:color="404050" w:themeColor="accent4"/>
        </w:tcBorders>
      </w:tcPr>
    </w:tblStylePr>
    <w:tblStylePr w:type="firstCol">
      <w:rPr>
        <w:b/>
        <w:bCs/>
      </w:rPr>
    </w:tblStylePr>
    <w:tblStylePr w:type="lastCol">
      <w:rPr>
        <w:b/>
        <w:bCs/>
      </w:rPr>
    </w:tblStylePr>
    <w:tblStylePr w:type="band1Vert">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tcPr>
    </w:tblStylePr>
    <w:tblStylePr w:type="band1Horz">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tcPr>
    </w:tblStylePr>
  </w:style>
  <w:style w:type="table" w:styleId="LightList-Accent1">
    <w:name w:val="Light List Accent 1"/>
    <w:basedOn w:val="TableNormal"/>
    <w:uiPriority w:val="61"/>
    <w:semiHidden/>
    <w:rsid w:val="009A674F"/>
    <w:pPr>
      <w:spacing w:after="0" w:line="240" w:lineRule="auto"/>
    </w:p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tblBorders>
    </w:tblPr>
    <w:tblStylePr w:type="firstRow">
      <w:pPr>
        <w:spacing w:before="0" w:after="0" w:line="240" w:lineRule="auto"/>
      </w:pPr>
      <w:rPr>
        <w:b/>
        <w:bCs/>
        <w:color w:val="FFFFFF" w:themeColor="background1"/>
      </w:rPr>
      <w:tblPr/>
      <w:tcPr>
        <w:shd w:val="clear" w:color="auto" w:fill="4098A4" w:themeFill="accent1"/>
      </w:tcPr>
    </w:tblStylePr>
    <w:tblStylePr w:type="lastRow">
      <w:pPr>
        <w:spacing w:before="0" w:after="0" w:line="240" w:lineRule="auto"/>
      </w:pPr>
      <w:rPr>
        <w:b/>
        <w:bCs/>
      </w:rPr>
      <w:tblPr/>
      <w:tcPr>
        <w:tcBorders>
          <w:top w:val="double" w:sz="6" w:space="0" w:color="4098A4" w:themeColor="accent1"/>
          <w:left w:val="single" w:sz="8" w:space="0" w:color="4098A4" w:themeColor="accent1"/>
          <w:bottom w:val="single" w:sz="8" w:space="0" w:color="4098A4" w:themeColor="accent1"/>
          <w:right w:val="single" w:sz="8" w:space="0" w:color="4098A4" w:themeColor="accent1"/>
        </w:tcBorders>
      </w:tcPr>
    </w:tblStylePr>
    <w:tblStylePr w:type="firstCol">
      <w:rPr>
        <w:b/>
        <w:bCs/>
      </w:rPr>
    </w:tblStylePr>
    <w:tblStylePr w:type="lastCol">
      <w:rPr>
        <w:b/>
        <w:bCs/>
      </w:rPr>
    </w:tblStylePr>
    <w:tblStylePr w:type="band1Vert">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tcPr>
    </w:tblStylePr>
    <w:tblStylePr w:type="band1Horz">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tcPr>
    </w:tblStylePr>
  </w:style>
  <w:style w:type="paragraph" w:styleId="TOC1">
    <w:name w:val="toc 1"/>
    <w:basedOn w:val="Normal"/>
    <w:next w:val="Normal"/>
    <w:uiPriority w:val="39"/>
    <w:rsid w:val="00ED64F1"/>
    <w:pPr>
      <w:pBdr>
        <w:bottom w:val="single" w:sz="2" w:space="4" w:color="000016"/>
        <w:between w:val="single" w:sz="2" w:space="1" w:color="000000" w:themeColor="text1"/>
      </w:pBdr>
      <w:tabs>
        <w:tab w:val="right" w:pos="10206"/>
      </w:tabs>
      <w:spacing w:before="0" w:after="0"/>
      <w:ind w:right="57"/>
    </w:pPr>
    <w:rPr>
      <w:b/>
      <w:noProof/>
      <w:lang w:eastAsia="en-US"/>
    </w:rPr>
  </w:style>
  <w:style w:type="paragraph" w:styleId="TOC2">
    <w:name w:val="toc 2"/>
    <w:basedOn w:val="Normal"/>
    <w:next w:val="Normal"/>
    <w:uiPriority w:val="39"/>
    <w:rsid w:val="009E1651"/>
    <w:pPr>
      <w:pBdr>
        <w:bottom w:val="single" w:sz="2" w:space="4" w:color="000000" w:themeColor="text1"/>
        <w:between w:val="single" w:sz="2" w:space="0" w:color="000000" w:themeColor="text1"/>
      </w:pBdr>
      <w:tabs>
        <w:tab w:val="left" w:pos="340"/>
        <w:tab w:val="right" w:pos="10206"/>
      </w:tabs>
      <w:spacing w:after="60" w:line="240" w:lineRule="auto"/>
      <w:ind w:right="57"/>
    </w:pPr>
    <w:rPr>
      <w:b/>
      <w:noProof/>
      <w:color w:val="007586" w:themeColor="text2"/>
    </w:rPr>
  </w:style>
  <w:style w:type="paragraph" w:styleId="TOC3">
    <w:name w:val="toc 3"/>
    <w:basedOn w:val="TOC2"/>
    <w:next w:val="Normal"/>
    <w:uiPriority w:val="39"/>
    <w:rsid w:val="009E1651"/>
  </w:style>
  <w:style w:type="paragraph" w:styleId="Index1">
    <w:name w:val="index 1"/>
    <w:basedOn w:val="Normal"/>
    <w:next w:val="Normal"/>
    <w:uiPriority w:val="1"/>
    <w:semiHidden/>
    <w:rsid w:val="00DA3AAD"/>
    <w:pPr>
      <w:spacing w:after="60" w:line="240" w:lineRule="auto"/>
    </w:pPr>
    <w:rPr>
      <w:sz w:val="16"/>
    </w:rPr>
  </w:style>
  <w:style w:type="paragraph" w:styleId="Index2">
    <w:name w:val="index 2"/>
    <w:basedOn w:val="Normal"/>
    <w:next w:val="Normal"/>
    <w:uiPriority w:val="1"/>
    <w:semiHidden/>
    <w:rsid w:val="00014B55"/>
    <w:pPr>
      <w:spacing w:after="0" w:line="240" w:lineRule="auto"/>
      <w:ind w:left="216"/>
    </w:pPr>
    <w:rPr>
      <w:sz w:val="16"/>
      <w:szCs w:val="16"/>
    </w:rPr>
  </w:style>
  <w:style w:type="character" w:styleId="Hyperlink">
    <w:name w:val="Hyperlink"/>
    <w:basedOn w:val="DefaultParagraphFont"/>
    <w:uiPriority w:val="99"/>
    <w:rsid w:val="00F966B1"/>
    <w:rPr>
      <w:color w:val="000000" w:themeColor="hyperlink"/>
      <w:u w:val="none"/>
    </w:rPr>
  </w:style>
  <w:style w:type="character" w:customStyle="1" w:styleId="Heading1Char">
    <w:name w:val="Heading 1 Char"/>
    <w:basedOn w:val="DefaultParagraphFont"/>
    <w:link w:val="Heading1"/>
    <w:rsid w:val="0060775D"/>
    <w:rPr>
      <w:rFonts w:ascii="VIC SemiBold" w:eastAsiaTheme="majorEastAsia" w:hAnsi="VIC SemiBold" w:cstheme="majorBidi"/>
      <w:bCs/>
      <w:color w:val="007586" w:themeColor="text2"/>
      <w:spacing w:val="-1"/>
      <w:sz w:val="48"/>
      <w:szCs w:val="28"/>
    </w:rPr>
  </w:style>
  <w:style w:type="character" w:customStyle="1" w:styleId="Heading2Char">
    <w:name w:val="Heading 2 Char"/>
    <w:basedOn w:val="DefaultParagraphFont"/>
    <w:link w:val="Heading2"/>
    <w:rsid w:val="0060775D"/>
    <w:rPr>
      <w:rFonts w:ascii="VIC SemiBold" w:eastAsiaTheme="majorEastAsia" w:hAnsi="VIC SemiBold" w:cstheme="majorBidi"/>
      <w:bCs/>
      <w:caps/>
      <w:color w:val="007586" w:themeColor="text2"/>
      <w:sz w:val="24"/>
      <w:szCs w:val="26"/>
    </w:rPr>
  </w:style>
  <w:style w:type="paragraph" w:customStyle="1" w:styleId="Bullet1">
    <w:name w:val="Bullet 1"/>
    <w:uiPriority w:val="1"/>
    <w:qFormat/>
    <w:rsid w:val="00401116"/>
    <w:pPr>
      <w:numPr>
        <w:numId w:val="4"/>
      </w:numPr>
      <w:spacing w:before="60" w:after="60"/>
    </w:pPr>
    <w:rPr>
      <w:rFonts w:ascii="VIC" w:eastAsia="Times New Roman" w:hAnsi="VIC" w:cs="Calibri"/>
      <w:spacing w:val="2"/>
    </w:rPr>
  </w:style>
  <w:style w:type="paragraph" w:customStyle="1" w:styleId="Bullet2">
    <w:name w:val="Bullet 2"/>
    <w:basedOn w:val="Bullet1"/>
    <w:uiPriority w:val="1"/>
    <w:qFormat/>
    <w:rsid w:val="00294A5A"/>
    <w:pPr>
      <w:numPr>
        <w:ilvl w:val="1"/>
      </w:numPr>
    </w:pPr>
  </w:style>
  <w:style w:type="paragraph" w:styleId="Quote">
    <w:name w:val="Quote"/>
    <w:basedOn w:val="Normal"/>
    <w:next w:val="Normal"/>
    <w:link w:val="QuoteChar"/>
    <w:uiPriority w:val="1"/>
    <w:qFormat/>
    <w:rsid w:val="00DF2CB3"/>
    <w:pPr>
      <w:ind w:left="567" w:right="567"/>
      <w:jc w:val="center"/>
    </w:pPr>
    <w:rPr>
      <w:b/>
      <w:i/>
      <w:iCs/>
      <w:color w:val="000000" w:themeColor="text1"/>
    </w:rPr>
  </w:style>
  <w:style w:type="paragraph" w:customStyle="1" w:styleId="Heading1numbered">
    <w:name w:val="Heading 1 numbered"/>
    <w:basedOn w:val="Heading1"/>
    <w:next w:val="NormalIndent"/>
    <w:qFormat/>
    <w:rsid w:val="00BD5018"/>
    <w:pPr>
      <w:framePr w:wrap="around"/>
      <w:numPr>
        <w:numId w:val="5"/>
      </w:numPr>
    </w:pPr>
  </w:style>
  <w:style w:type="paragraph" w:customStyle="1" w:styleId="Heading2numbered">
    <w:name w:val="Heading 2 numbered"/>
    <w:basedOn w:val="Heading2"/>
    <w:next w:val="NormalIndent"/>
    <w:qFormat/>
    <w:rsid w:val="00BD5018"/>
    <w:pPr>
      <w:numPr>
        <w:ilvl w:val="1"/>
        <w:numId w:val="5"/>
      </w:numPr>
    </w:pPr>
  </w:style>
  <w:style w:type="paragraph" w:customStyle="1" w:styleId="Heading3numbered">
    <w:name w:val="Heading 3 numbered"/>
    <w:basedOn w:val="Heading3"/>
    <w:next w:val="NormalIndent"/>
    <w:qFormat/>
    <w:rsid w:val="00BD5018"/>
    <w:pPr>
      <w:numPr>
        <w:ilvl w:val="2"/>
        <w:numId w:val="5"/>
      </w:numPr>
    </w:pPr>
  </w:style>
  <w:style w:type="character" w:customStyle="1" w:styleId="Heading3Char">
    <w:name w:val="Heading 3 Char"/>
    <w:basedOn w:val="DefaultParagraphFont"/>
    <w:link w:val="Heading3"/>
    <w:rsid w:val="0069469A"/>
    <w:rPr>
      <w:rFonts w:ascii="VIC SemiBold" w:eastAsiaTheme="majorEastAsia" w:hAnsi="VIC SemiBold" w:cstheme="majorBidi"/>
      <w:bCs/>
      <w:color w:val="000000" w:themeColor="text1"/>
      <w:sz w:val="24"/>
      <w:szCs w:val="22"/>
    </w:rPr>
  </w:style>
  <w:style w:type="paragraph" w:customStyle="1" w:styleId="Heading4numbered">
    <w:name w:val="Heading 4 numbered"/>
    <w:basedOn w:val="Heading4"/>
    <w:next w:val="NormalIndent"/>
    <w:qFormat/>
    <w:rsid w:val="00BD5018"/>
    <w:pPr>
      <w:numPr>
        <w:ilvl w:val="3"/>
        <w:numId w:val="5"/>
      </w:numPr>
    </w:pPr>
  </w:style>
  <w:style w:type="character" w:customStyle="1" w:styleId="Heading4Char">
    <w:name w:val="Heading 4 Char"/>
    <w:basedOn w:val="DefaultParagraphFont"/>
    <w:link w:val="Heading4"/>
    <w:rsid w:val="00401116"/>
    <w:rPr>
      <w:rFonts w:ascii="VIC SemiBold" w:eastAsiaTheme="majorEastAsia" w:hAnsi="VIC SemiBold" w:cstheme="majorBidi"/>
      <w:bCs/>
      <w:iCs/>
      <w:color w:val="000000" w:themeColor="text1"/>
    </w:rPr>
  </w:style>
  <w:style w:type="paragraph" w:styleId="NormalIndent">
    <w:name w:val="Normal Indent"/>
    <w:basedOn w:val="Normal"/>
    <w:uiPriority w:val="1"/>
    <w:qFormat/>
    <w:rsid w:val="009B62E0"/>
    <w:pPr>
      <w:spacing w:line="252" w:lineRule="auto"/>
      <w:ind w:left="792"/>
    </w:pPr>
  </w:style>
  <w:style w:type="paragraph" w:customStyle="1" w:styleId="NoteNormal">
    <w:name w:val="Note Normal"/>
    <w:basedOn w:val="Normal"/>
    <w:next w:val="Normal"/>
    <w:uiPriority w:val="1"/>
    <w:rsid w:val="00297A47"/>
    <w:pPr>
      <w:spacing w:line="240" w:lineRule="atLeast"/>
      <w:contextualSpacing/>
    </w:pPr>
    <w:rPr>
      <w:sz w:val="16"/>
    </w:rPr>
  </w:style>
  <w:style w:type="paragraph" w:customStyle="1" w:styleId="Spacer">
    <w:name w:val="Spacer"/>
    <w:basedOn w:val="Normal"/>
    <w:uiPriority w:val="1"/>
    <w:semiHidden/>
    <w:qFormat/>
    <w:rsid w:val="00165E66"/>
    <w:pPr>
      <w:spacing w:before="0" w:after="0" w:line="120" w:lineRule="atLeast"/>
    </w:pPr>
    <w:rPr>
      <w:rFonts w:eastAsia="Times New Roman" w:cs="Calibri"/>
      <w:sz w:val="10"/>
      <w:szCs w:val="22"/>
    </w:rPr>
  </w:style>
  <w:style w:type="paragraph" w:styleId="Subtitle">
    <w:name w:val="Subtitle"/>
    <w:next w:val="Normal"/>
    <w:link w:val="SubtitleChar"/>
    <w:uiPriority w:val="99"/>
    <w:rsid w:val="0050356B"/>
    <w:pPr>
      <w:framePr w:hSpace="5670" w:wrap="around" w:vAnchor="page" w:hAnchor="page" w:x="852" w:y="4254"/>
      <w:spacing w:before="0" w:after="0" w:line="240" w:lineRule="auto"/>
      <w:suppressOverlap/>
    </w:pPr>
    <w:rPr>
      <w:rFonts w:asciiTheme="majorHAnsi" w:eastAsia="Times New Roman" w:hAnsiTheme="majorHAnsi" w:cstheme="majorHAnsi"/>
      <w:color w:val="000000" w:themeColor="text1"/>
      <w:sz w:val="40"/>
      <w:szCs w:val="24"/>
    </w:rPr>
  </w:style>
  <w:style w:type="character" w:customStyle="1" w:styleId="SubtitleChar">
    <w:name w:val="Subtitle Char"/>
    <w:basedOn w:val="DefaultParagraphFont"/>
    <w:link w:val="Subtitle"/>
    <w:uiPriority w:val="99"/>
    <w:rsid w:val="0050356B"/>
    <w:rPr>
      <w:rFonts w:asciiTheme="majorHAnsi" w:eastAsia="Times New Roman" w:hAnsiTheme="majorHAnsi" w:cstheme="majorHAnsi"/>
      <w:color w:val="000000" w:themeColor="text1"/>
      <w:sz w:val="40"/>
      <w:szCs w:val="24"/>
    </w:rPr>
  </w:style>
  <w:style w:type="paragraph" w:styleId="TOC4">
    <w:name w:val="toc 4"/>
    <w:basedOn w:val="Normal"/>
    <w:next w:val="Normal"/>
    <w:autoRedefine/>
    <w:uiPriority w:val="99"/>
    <w:rsid w:val="00ED64F1"/>
    <w:pPr>
      <w:spacing w:after="100"/>
      <w:ind w:left="600"/>
    </w:pPr>
  </w:style>
  <w:style w:type="paragraph" w:styleId="Title">
    <w:name w:val="Title"/>
    <w:next w:val="Subtitle"/>
    <w:link w:val="TitleChar"/>
    <w:uiPriority w:val="99"/>
    <w:rsid w:val="0050356B"/>
    <w:pPr>
      <w:framePr w:hSpace="5670" w:wrap="around" w:vAnchor="page" w:hAnchor="page" w:x="852" w:y="4310"/>
      <w:spacing w:before="0" w:after="200" w:line="192" w:lineRule="auto"/>
      <w:ind w:right="284"/>
      <w:contextualSpacing/>
      <w:suppressOverlap/>
    </w:pPr>
    <w:rPr>
      <w:rFonts w:asciiTheme="majorHAnsi" w:eastAsia="Times New Roman" w:hAnsiTheme="majorHAnsi" w:cstheme="majorHAnsi"/>
      <w:b/>
      <w:color w:val="007586" w:themeColor="text2"/>
      <w:spacing w:val="-4"/>
      <w:sz w:val="76"/>
      <w:szCs w:val="22"/>
    </w:rPr>
  </w:style>
  <w:style w:type="character" w:customStyle="1" w:styleId="TitleChar">
    <w:name w:val="Title Char"/>
    <w:basedOn w:val="DefaultParagraphFont"/>
    <w:link w:val="Title"/>
    <w:uiPriority w:val="99"/>
    <w:rsid w:val="0050356B"/>
    <w:rPr>
      <w:rFonts w:asciiTheme="majorHAnsi" w:eastAsia="Times New Roman" w:hAnsiTheme="majorHAnsi" w:cstheme="majorHAnsi"/>
      <w:b/>
      <w:color w:val="007586" w:themeColor="text2"/>
      <w:spacing w:val="-4"/>
      <w:sz w:val="76"/>
      <w:szCs w:val="22"/>
    </w:rPr>
  </w:style>
  <w:style w:type="paragraph" w:styleId="BalloonText">
    <w:name w:val="Balloon Text"/>
    <w:basedOn w:val="Normal"/>
    <w:link w:val="BalloonTextChar"/>
    <w:uiPriority w:val="1"/>
    <w:semiHidden/>
    <w:rsid w:val="002320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1"/>
    <w:semiHidden/>
    <w:rsid w:val="00A05EBC"/>
    <w:rPr>
      <w:rFonts w:ascii="Tahoma" w:hAnsi="Tahoma" w:cs="Tahoma"/>
      <w:sz w:val="16"/>
      <w:szCs w:val="16"/>
    </w:rPr>
  </w:style>
  <w:style w:type="character" w:customStyle="1" w:styleId="QuoteChar">
    <w:name w:val="Quote Char"/>
    <w:basedOn w:val="DefaultParagraphFont"/>
    <w:link w:val="Quote"/>
    <w:uiPriority w:val="1"/>
    <w:rsid w:val="00DF2CB3"/>
    <w:rPr>
      <w:rFonts w:ascii="VIC" w:hAnsi="VIC"/>
      <w:b/>
      <w:i/>
      <w:iCs/>
      <w:color w:val="000000" w:themeColor="text1"/>
    </w:rPr>
  </w:style>
  <w:style w:type="paragraph" w:styleId="IndexHeading">
    <w:name w:val="index heading"/>
    <w:basedOn w:val="Normal"/>
    <w:next w:val="Index1"/>
    <w:uiPriority w:val="1"/>
    <w:semiHidden/>
    <w:rsid w:val="00014B55"/>
    <w:rPr>
      <w:rFonts w:asciiTheme="majorHAnsi" w:eastAsiaTheme="majorEastAsia" w:hAnsiTheme="majorHAnsi" w:cstheme="majorBidi"/>
      <w:b/>
      <w:bCs/>
    </w:rPr>
  </w:style>
  <w:style w:type="paragraph" w:styleId="Header">
    <w:name w:val="header"/>
    <w:basedOn w:val="Normal"/>
    <w:link w:val="HeaderChar"/>
    <w:uiPriority w:val="99"/>
    <w:rsid w:val="00F25F4B"/>
    <w:pPr>
      <w:pBdr>
        <w:bottom w:val="single" w:sz="24" w:space="1" w:color="CCCCD0" w:themeColor="accent6"/>
      </w:pBdr>
      <w:tabs>
        <w:tab w:val="center" w:pos="4513"/>
        <w:tab w:val="right" w:pos="9026"/>
      </w:tabs>
      <w:spacing w:before="0" w:line="240" w:lineRule="auto"/>
    </w:pPr>
  </w:style>
  <w:style w:type="character" w:customStyle="1" w:styleId="HeaderChar">
    <w:name w:val="Header Char"/>
    <w:basedOn w:val="DefaultParagraphFont"/>
    <w:link w:val="Header"/>
    <w:uiPriority w:val="99"/>
    <w:rsid w:val="00F25F4B"/>
  </w:style>
  <w:style w:type="paragraph" w:styleId="Footer">
    <w:name w:val="footer"/>
    <w:basedOn w:val="Normal"/>
    <w:link w:val="FooterChar"/>
    <w:uiPriority w:val="99"/>
    <w:rsid w:val="0026028E"/>
    <w:pPr>
      <w:tabs>
        <w:tab w:val="left" w:pos="1304"/>
      </w:tabs>
      <w:spacing w:before="0" w:after="0" w:line="156" w:lineRule="exact"/>
    </w:pPr>
    <w:rPr>
      <w:noProof/>
      <w:sz w:val="13"/>
      <w:szCs w:val="18"/>
    </w:rPr>
  </w:style>
  <w:style w:type="character" w:customStyle="1" w:styleId="FooterChar">
    <w:name w:val="Footer Char"/>
    <w:basedOn w:val="DefaultParagraphFont"/>
    <w:link w:val="Footer"/>
    <w:uiPriority w:val="99"/>
    <w:rsid w:val="00A05EBC"/>
    <w:rPr>
      <w:noProof/>
      <w:sz w:val="13"/>
      <w:szCs w:val="18"/>
    </w:rPr>
  </w:style>
  <w:style w:type="character" w:styleId="PageNumber">
    <w:name w:val="page number"/>
    <w:uiPriority w:val="1"/>
    <w:semiHidden/>
    <w:rsid w:val="00BB59E0"/>
    <w:rPr>
      <w:rFonts w:asciiTheme="minorHAnsi" w:hAnsiTheme="minorHAnsi"/>
      <w:b w:val="0"/>
      <w:color w:val="000000" w:themeColor="text1"/>
    </w:rPr>
  </w:style>
  <w:style w:type="paragraph" w:styleId="TOCHeading">
    <w:name w:val="TOC Heading"/>
    <w:basedOn w:val="Heading1"/>
    <w:next w:val="Normal"/>
    <w:uiPriority w:val="99"/>
    <w:rsid w:val="0026028E"/>
    <w:pPr>
      <w:framePr w:vSpace="1418" w:wrap="around"/>
      <w:outlineLvl w:val="9"/>
    </w:pPr>
    <w:rPr>
      <w:spacing w:val="2"/>
    </w:rPr>
  </w:style>
  <w:style w:type="paragraph" w:customStyle="1" w:styleId="NormalTight">
    <w:name w:val="Normal Tight"/>
    <w:uiPriority w:val="1"/>
    <w:semiHidden/>
    <w:rsid w:val="008D0281"/>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1"/>
    <w:semiHidden/>
    <w:rsid w:val="00750CBE"/>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1"/>
    <w:semiHidden/>
    <w:rsid w:val="00A05EBC"/>
    <w:rPr>
      <w:rFonts w:ascii="Calibri" w:eastAsia="Times New Roman" w:hAnsi="Calibri" w:cs="Calibri"/>
      <w:sz w:val="22"/>
      <w:szCs w:val="22"/>
    </w:rPr>
  </w:style>
  <w:style w:type="paragraph" w:customStyle="1" w:styleId="Insidecoverspacer">
    <w:name w:val="Inside cover spacer"/>
    <w:basedOn w:val="NormalTight"/>
    <w:uiPriority w:val="1"/>
    <w:semiHidden/>
    <w:qFormat/>
    <w:rsid w:val="00E26B32"/>
    <w:pPr>
      <w:spacing w:before="5800"/>
      <w:ind w:right="1382"/>
    </w:pPr>
  </w:style>
  <w:style w:type="table" w:styleId="ColorfulGrid">
    <w:name w:val="Colorful Grid"/>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6ECEF" w:themeFill="accent1" w:themeFillTint="33"/>
    </w:tcPr>
    <w:tblStylePr w:type="firstRow">
      <w:rPr>
        <w:b/>
        <w:bCs/>
      </w:rPr>
      <w:tblPr/>
      <w:tcPr>
        <w:shd w:val="clear" w:color="auto" w:fill="ADD9DF" w:themeFill="accent1" w:themeFillTint="66"/>
      </w:tcPr>
    </w:tblStylePr>
    <w:tblStylePr w:type="lastRow">
      <w:rPr>
        <w:b/>
        <w:bCs/>
        <w:color w:val="000000" w:themeColor="text1"/>
      </w:rPr>
      <w:tblPr/>
      <w:tcPr>
        <w:shd w:val="clear" w:color="auto" w:fill="ADD9DF" w:themeFill="accent1" w:themeFillTint="66"/>
      </w:tcPr>
    </w:tblStylePr>
    <w:tblStylePr w:type="firstCol">
      <w:rPr>
        <w:color w:val="FFFFFF" w:themeColor="background1"/>
      </w:rPr>
      <w:tblPr/>
      <w:tcPr>
        <w:shd w:val="clear" w:color="auto" w:fill="30717A" w:themeFill="accent1" w:themeFillShade="BF"/>
      </w:tcPr>
    </w:tblStylePr>
    <w:tblStylePr w:type="lastCol">
      <w:rPr>
        <w:color w:val="FFFFFF" w:themeColor="background1"/>
      </w:rPr>
      <w:tblPr/>
      <w:tcPr>
        <w:shd w:val="clear" w:color="auto" w:fill="30717A" w:themeFill="accent1" w:themeFillShade="BF"/>
      </w:tcPr>
    </w:tblStylePr>
    <w:tblStylePr w:type="band1Vert">
      <w:tblPr/>
      <w:tcPr>
        <w:shd w:val="clear" w:color="auto" w:fill="99D0D7" w:themeFill="accent1" w:themeFillTint="7F"/>
      </w:tcPr>
    </w:tblStylePr>
    <w:tblStylePr w:type="band1Horz">
      <w:tblPr/>
      <w:tcPr>
        <w:shd w:val="clear" w:color="auto" w:fill="99D0D7" w:themeFill="accent1" w:themeFillTint="7F"/>
      </w:tcPr>
    </w:tblStylePr>
  </w:style>
  <w:style w:type="paragraph" w:customStyle="1" w:styleId="Tabletext">
    <w:name w:val="Table text"/>
    <w:basedOn w:val="Normal"/>
    <w:uiPriority w:val="2"/>
    <w:qFormat/>
    <w:rsid w:val="009E1651"/>
    <w:pPr>
      <w:spacing w:before="60" w:after="60" w:line="192" w:lineRule="atLeast"/>
    </w:pPr>
    <w:rPr>
      <w:rFonts w:eastAsiaTheme="minorHAnsi"/>
      <w:sz w:val="16"/>
      <w:szCs w:val="21"/>
      <w:lang w:eastAsia="en-US"/>
    </w:rPr>
  </w:style>
  <w:style w:type="paragraph" w:customStyle="1" w:styleId="Tabletextright">
    <w:name w:val="Table text right"/>
    <w:basedOn w:val="Tabletext"/>
    <w:uiPriority w:val="2"/>
    <w:qFormat/>
    <w:rsid w:val="00B9053B"/>
    <w:pPr>
      <w:jc w:val="right"/>
    </w:pPr>
  </w:style>
  <w:style w:type="paragraph" w:customStyle="1" w:styleId="Listnum">
    <w:name w:val="List num"/>
    <w:basedOn w:val="Normal"/>
    <w:uiPriority w:val="1"/>
    <w:qFormat/>
    <w:rsid w:val="004A7519"/>
    <w:pPr>
      <w:numPr>
        <w:numId w:val="1"/>
      </w:numPr>
    </w:pPr>
  </w:style>
  <w:style w:type="paragraph" w:customStyle="1" w:styleId="Listnum2">
    <w:name w:val="List num 2"/>
    <w:basedOn w:val="Normal"/>
    <w:uiPriority w:val="1"/>
    <w:qFormat/>
    <w:rsid w:val="004A7519"/>
    <w:pPr>
      <w:numPr>
        <w:ilvl w:val="1"/>
        <w:numId w:val="1"/>
      </w:numPr>
    </w:pPr>
  </w:style>
  <w:style w:type="paragraph" w:customStyle="1" w:styleId="Tabletextcentred">
    <w:name w:val="Table text centred"/>
    <w:basedOn w:val="Tabletext"/>
    <w:uiPriority w:val="2"/>
    <w:qFormat/>
    <w:rsid w:val="00B9053B"/>
    <w:pPr>
      <w:jc w:val="center"/>
    </w:pPr>
  </w:style>
  <w:style w:type="paragraph" w:customStyle="1" w:styleId="Tableheader">
    <w:name w:val="Table header"/>
    <w:basedOn w:val="Normal"/>
    <w:uiPriority w:val="2"/>
    <w:qFormat/>
    <w:rsid w:val="009E1651"/>
    <w:pPr>
      <w:keepNext/>
      <w:keepLines/>
      <w:spacing w:before="0" w:after="0" w:line="260" w:lineRule="atLeast"/>
    </w:pPr>
    <w:rPr>
      <w:rFonts w:eastAsiaTheme="minorHAnsi"/>
      <w:b/>
      <w:color w:val="007586" w:themeColor="text2"/>
      <w:sz w:val="16"/>
      <w:szCs w:val="21"/>
      <w:lang w:eastAsia="en-US"/>
    </w:rPr>
  </w:style>
  <w:style w:type="paragraph" w:customStyle="1" w:styleId="Tablebullet">
    <w:name w:val="Table bullet"/>
    <w:basedOn w:val="Tabletext"/>
    <w:uiPriority w:val="2"/>
    <w:rsid w:val="00937A10"/>
    <w:pPr>
      <w:numPr>
        <w:numId w:val="2"/>
      </w:numPr>
    </w:pPr>
  </w:style>
  <w:style w:type="paragraph" w:customStyle="1" w:styleId="Tabledash">
    <w:name w:val="Table dash"/>
    <w:basedOn w:val="Tablebullet"/>
    <w:uiPriority w:val="2"/>
    <w:rsid w:val="00937A10"/>
    <w:pPr>
      <w:numPr>
        <w:ilvl w:val="1"/>
      </w:numPr>
    </w:pPr>
  </w:style>
  <w:style w:type="paragraph" w:customStyle="1" w:styleId="Tabletextindent">
    <w:name w:val="Table text indent"/>
    <w:basedOn w:val="Tabletext"/>
    <w:uiPriority w:val="2"/>
    <w:qFormat/>
    <w:rsid w:val="00C11CD1"/>
    <w:pPr>
      <w:ind w:left="288"/>
    </w:pPr>
  </w:style>
  <w:style w:type="paragraph" w:styleId="ListParagraph">
    <w:name w:val="List Paragraph"/>
    <w:basedOn w:val="Normal"/>
    <w:uiPriority w:val="34"/>
    <w:qFormat/>
    <w:rsid w:val="004231B5"/>
    <w:pPr>
      <w:ind w:left="720"/>
      <w:contextualSpacing/>
    </w:pPr>
  </w:style>
  <w:style w:type="paragraph" w:customStyle="1" w:styleId="Numpara">
    <w:name w:val="Num para"/>
    <w:basedOn w:val="ListParagraph"/>
    <w:uiPriority w:val="1"/>
    <w:qFormat/>
    <w:rsid w:val="00C72252"/>
    <w:pPr>
      <w:numPr>
        <w:numId w:val="3"/>
      </w:numPr>
      <w:tabs>
        <w:tab w:val="left" w:pos="540"/>
      </w:tabs>
    </w:pPr>
  </w:style>
  <w:style w:type="paragraph" w:styleId="FootnoteText">
    <w:name w:val="footnote text"/>
    <w:basedOn w:val="Normal"/>
    <w:link w:val="FootnoteTextChar"/>
    <w:uiPriority w:val="99"/>
    <w:rsid w:val="006945CA"/>
    <w:pPr>
      <w:spacing w:before="57" w:after="0" w:line="160" w:lineRule="atLeast"/>
    </w:pPr>
    <w:rPr>
      <w:sz w:val="13"/>
    </w:rPr>
  </w:style>
  <w:style w:type="character" w:customStyle="1" w:styleId="FootnoteTextChar">
    <w:name w:val="Footnote Text Char"/>
    <w:basedOn w:val="DefaultParagraphFont"/>
    <w:link w:val="FootnoteText"/>
    <w:uiPriority w:val="99"/>
    <w:rsid w:val="00A05EBC"/>
    <w:rPr>
      <w:sz w:val="13"/>
    </w:rPr>
  </w:style>
  <w:style w:type="character" w:styleId="FootnoteReference">
    <w:name w:val="footnote reference"/>
    <w:basedOn w:val="DefaultParagraphFont"/>
    <w:uiPriority w:val="99"/>
    <w:rsid w:val="00726D2F"/>
    <w:rPr>
      <w:vertAlign w:val="superscript"/>
    </w:rPr>
  </w:style>
  <w:style w:type="table" w:styleId="ColorfulGrid-Accent2">
    <w:name w:val="Colorful Grid Accent 2"/>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F1F3" w:themeFill="accent2" w:themeFillTint="33"/>
    </w:tcPr>
    <w:tblStylePr w:type="firstRow">
      <w:rPr>
        <w:b/>
        <w:bCs/>
      </w:rPr>
      <w:tblPr/>
      <w:tcPr>
        <w:shd w:val="clear" w:color="auto" w:fill="CCE3E7" w:themeFill="accent2" w:themeFillTint="66"/>
      </w:tcPr>
    </w:tblStylePr>
    <w:tblStylePr w:type="lastRow">
      <w:rPr>
        <w:b/>
        <w:bCs/>
        <w:color w:val="000000" w:themeColor="text1"/>
      </w:rPr>
      <w:tblPr/>
      <w:tcPr>
        <w:shd w:val="clear" w:color="auto" w:fill="CCE3E7" w:themeFill="accent2" w:themeFillTint="66"/>
      </w:tcPr>
    </w:tblStylePr>
    <w:tblStylePr w:type="firstCol">
      <w:rPr>
        <w:color w:val="FFFFFF" w:themeColor="background1"/>
      </w:rPr>
      <w:tblPr/>
      <w:tcPr>
        <w:shd w:val="clear" w:color="auto" w:fill="4D98A4" w:themeFill="accent2" w:themeFillShade="BF"/>
      </w:tcPr>
    </w:tblStylePr>
    <w:tblStylePr w:type="lastCol">
      <w:rPr>
        <w:color w:val="FFFFFF" w:themeColor="background1"/>
      </w:rPr>
      <w:tblPr/>
      <w:tcPr>
        <w:shd w:val="clear" w:color="auto" w:fill="4D98A4" w:themeFill="accent2" w:themeFillShade="BF"/>
      </w:tcPr>
    </w:tblStylePr>
    <w:tblStylePr w:type="band1Vert">
      <w:tblPr/>
      <w:tcPr>
        <w:shd w:val="clear" w:color="auto" w:fill="BFDCE1" w:themeFill="accent2" w:themeFillTint="7F"/>
      </w:tcPr>
    </w:tblStylePr>
    <w:tblStylePr w:type="band1Horz">
      <w:tblPr/>
      <w:tcPr>
        <w:shd w:val="clear" w:color="auto" w:fill="BFDCE1" w:themeFill="accent2" w:themeFillTint="7F"/>
      </w:tcPr>
    </w:tblStylePr>
  </w:style>
  <w:style w:type="table" w:styleId="ColorfulGrid-Accent3">
    <w:name w:val="Colorful Grid Accent 3"/>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F8F9" w:themeFill="accent3" w:themeFillTint="33"/>
    </w:tcPr>
    <w:tblStylePr w:type="firstRow">
      <w:rPr>
        <w:b/>
        <w:bCs/>
      </w:rPr>
      <w:tblPr/>
      <w:tcPr>
        <w:shd w:val="clear" w:color="auto" w:fill="E5F1F3" w:themeFill="accent3" w:themeFillTint="66"/>
      </w:tcPr>
    </w:tblStylePr>
    <w:tblStylePr w:type="lastRow">
      <w:rPr>
        <w:b/>
        <w:bCs/>
        <w:color w:val="000000" w:themeColor="text1"/>
      </w:rPr>
      <w:tblPr/>
      <w:tcPr>
        <w:shd w:val="clear" w:color="auto" w:fill="E5F1F3" w:themeFill="accent3" w:themeFillTint="66"/>
      </w:tcPr>
    </w:tblStylePr>
    <w:tblStylePr w:type="firstCol">
      <w:rPr>
        <w:color w:val="FFFFFF" w:themeColor="background1"/>
      </w:rPr>
      <w:tblPr/>
      <w:tcPr>
        <w:shd w:val="clear" w:color="auto" w:fill="77B7BF" w:themeFill="accent3" w:themeFillShade="BF"/>
      </w:tcPr>
    </w:tblStylePr>
    <w:tblStylePr w:type="lastCol">
      <w:rPr>
        <w:color w:val="FFFFFF" w:themeColor="background1"/>
      </w:rPr>
      <w:tblPr/>
      <w:tcPr>
        <w:shd w:val="clear" w:color="auto" w:fill="77B7BF" w:themeFill="accent3" w:themeFillShade="BF"/>
      </w:tcPr>
    </w:tblStylePr>
    <w:tblStylePr w:type="band1Vert">
      <w:tblPr/>
      <w:tcPr>
        <w:shd w:val="clear" w:color="auto" w:fill="DFEEF0" w:themeFill="accent3" w:themeFillTint="7F"/>
      </w:tcPr>
    </w:tblStylePr>
    <w:tblStylePr w:type="band1Horz">
      <w:tblPr/>
      <w:tcPr>
        <w:shd w:val="clear" w:color="auto" w:fill="DFEEF0" w:themeFill="accent3" w:themeFillTint="7F"/>
      </w:tcPr>
    </w:tblStylePr>
  </w:style>
  <w:style w:type="paragraph" w:customStyle="1" w:styleId="Tablenum1">
    <w:name w:val="Table num 1"/>
    <w:basedOn w:val="Normal"/>
    <w:uiPriority w:val="2"/>
    <w:rsid w:val="007F723F"/>
    <w:pPr>
      <w:numPr>
        <w:ilvl w:val="2"/>
        <w:numId w:val="2"/>
      </w:numPr>
      <w:spacing w:before="60" w:after="60"/>
    </w:pPr>
    <w:rPr>
      <w:sz w:val="17"/>
    </w:rPr>
  </w:style>
  <w:style w:type="paragraph" w:customStyle="1" w:styleId="Tablenum2">
    <w:name w:val="Table num 2"/>
    <w:basedOn w:val="Normal"/>
    <w:uiPriority w:val="2"/>
    <w:rsid w:val="007F723F"/>
    <w:pPr>
      <w:numPr>
        <w:ilvl w:val="3"/>
        <w:numId w:val="2"/>
      </w:numPr>
      <w:spacing w:before="60" w:after="60"/>
    </w:pPr>
    <w:rPr>
      <w:sz w:val="17"/>
    </w:rPr>
  </w:style>
  <w:style w:type="paragraph" w:styleId="Caption">
    <w:name w:val="caption"/>
    <w:basedOn w:val="Normal"/>
    <w:next w:val="Normal"/>
    <w:uiPriority w:val="1"/>
    <w:rsid w:val="00A92D94"/>
    <w:pPr>
      <w:spacing w:before="280" w:after="210" w:line="260" w:lineRule="atLeast"/>
    </w:pPr>
    <w:rPr>
      <w:b/>
      <w:bCs/>
      <w:color w:val="007586" w:themeColor="text2"/>
      <w:szCs w:val="18"/>
    </w:rPr>
  </w:style>
  <w:style w:type="paragraph" w:customStyle="1" w:styleId="Tablechartdiagramheading">
    <w:name w:val="Table/chart/diagram heading"/>
    <w:next w:val="Normal"/>
    <w:uiPriority w:val="2"/>
    <w:qFormat/>
    <w:rsid w:val="0060775D"/>
    <w:pPr>
      <w:tabs>
        <w:tab w:val="left" w:pos="1080"/>
      </w:tabs>
      <w:spacing w:before="240" w:after="60" w:line="260" w:lineRule="atLeast"/>
    </w:pPr>
    <w:rPr>
      <w:rFonts w:ascii="VIC SemiBold" w:hAnsi="VIC SemiBold"/>
      <w:bCs/>
      <w:color w:val="007586" w:themeColor="text2"/>
      <w:spacing w:val="2"/>
      <w:szCs w:val="18"/>
    </w:rPr>
  </w:style>
  <w:style w:type="character" w:styleId="PlaceholderText">
    <w:name w:val="Placeholder Text"/>
    <w:basedOn w:val="DefaultParagraphFont"/>
    <w:uiPriority w:val="1"/>
    <w:semiHidden/>
    <w:rsid w:val="00966115"/>
    <w:rPr>
      <w:color w:val="808080"/>
    </w:rPr>
  </w:style>
  <w:style w:type="paragraph" w:customStyle="1" w:styleId="FooterOdd">
    <w:name w:val="Footer Odd"/>
    <w:basedOn w:val="Footer"/>
    <w:uiPriority w:val="99"/>
    <w:qFormat/>
    <w:rsid w:val="002A5891"/>
    <w:pPr>
      <w:framePr w:hSpace="17010" w:wrap="around" w:vAnchor="text" w:hAnchor="margin" w:xAlign="right" w:y="1"/>
      <w:pBdr>
        <w:top w:val="single" w:sz="8" w:space="6" w:color="CCCCD0" w:themeColor="accent6"/>
      </w:pBdr>
      <w:jc w:val="right"/>
    </w:pPr>
  </w:style>
  <w:style w:type="paragraph" w:customStyle="1" w:styleId="FooterEven">
    <w:name w:val="Footer Even"/>
    <w:basedOn w:val="Footer"/>
    <w:uiPriority w:val="99"/>
    <w:qFormat/>
    <w:rsid w:val="002A5891"/>
    <w:pPr>
      <w:framePr w:hSpace="17010" w:wrap="around" w:vAnchor="text" w:hAnchor="margin" w:y="1"/>
      <w:pBdr>
        <w:top w:val="single" w:sz="8" w:space="6" w:color="CCCCD0" w:themeColor="accent6"/>
      </w:pBdr>
    </w:pPr>
  </w:style>
  <w:style w:type="paragraph" w:customStyle="1" w:styleId="IntroductoryText">
    <w:name w:val="Introductory Text"/>
    <w:basedOn w:val="NormalWeb"/>
    <w:uiPriority w:val="1"/>
    <w:qFormat/>
    <w:rsid w:val="0060775D"/>
    <w:pPr>
      <w:shd w:val="clear" w:color="auto" w:fill="FFFFFF"/>
      <w:spacing w:after="225"/>
    </w:pPr>
    <w:rPr>
      <w:rFonts w:ascii="VIC Medium" w:hAnsi="VIC Medium"/>
      <w:color w:val="007586" w:themeColor="text2"/>
      <w:sz w:val="22"/>
    </w:rPr>
  </w:style>
  <w:style w:type="paragraph" w:styleId="NoSpacing">
    <w:name w:val="No Spacing"/>
    <w:uiPriority w:val="1"/>
    <w:qFormat/>
    <w:rsid w:val="00294A5A"/>
    <w:pPr>
      <w:spacing w:before="0" w:after="0" w:line="240" w:lineRule="auto"/>
    </w:pPr>
  </w:style>
  <w:style w:type="paragraph" w:customStyle="1" w:styleId="Normalfollowingheading">
    <w:name w:val="Normal following heading"/>
    <w:basedOn w:val="Normal"/>
    <w:next w:val="Normal"/>
    <w:uiPriority w:val="1"/>
    <w:qFormat/>
    <w:rsid w:val="00294A5A"/>
    <w:pPr>
      <w:spacing w:before="0"/>
    </w:pPr>
  </w:style>
  <w:style w:type="table" w:styleId="ColorfulGrid-Accent4">
    <w:name w:val="Colorful Grid Accent 4"/>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6D6DE" w:themeFill="accent4" w:themeFillTint="33"/>
    </w:tcPr>
    <w:tblStylePr w:type="firstRow">
      <w:rPr>
        <w:b/>
        <w:bCs/>
      </w:rPr>
      <w:tblPr/>
      <w:tcPr>
        <w:shd w:val="clear" w:color="auto" w:fill="ADADBD" w:themeFill="accent4" w:themeFillTint="66"/>
      </w:tcPr>
    </w:tblStylePr>
    <w:tblStylePr w:type="lastRow">
      <w:rPr>
        <w:b/>
        <w:bCs/>
        <w:color w:val="000000" w:themeColor="text1"/>
      </w:rPr>
      <w:tblPr/>
      <w:tcPr>
        <w:shd w:val="clear" w:color="auto" w:fill="ADADBD" w:themeFill="accent4" w:themeFillTint="66"/>
      </w:tcPr>
    </w:tblStylePr>
    <w:tblStylePr w:type="firstCol">
      <w:rPr>
        <w:color w:val="FFFFFF" w:themeColor="background1"/>
      </w:rPr>
      <w:tblPr/>
      <w:tcPr>
        <w:shd w:val="clear" w:color="auto" w:fill="30303B" w:themeFill="accent4" w:themeFillShade="BF"/>
      </w:tcPr>
    </w:tblStylePr>
    <w:tblStylePr w:type="lastCol">
      <w:rPr>
        <w:color w:val="FFFFFF" w:themeColor="background1"/>
      </w:rPr>
      <w:tblPr/>
      <w:tcPr>
        <w:shd w:val="clear" w:color="auto" w:fill="30303B" w:themeFill="accent4" w:themeFillShade="BF"/>
      </w:tcPr>
    </w:tblStylePr>
    <w:tblStylePr w:type="band1Vert">
      <w:tblPr/>
      <w:tcPr>
        <w:shd w:val="clear" w:color="auto" w:fill="9999AE" w:themeFill="accent4" w:themeFillTint="7F"/>
      </w:tcPr>
    </w:tblStylePr>
    <w:tblStylePr w:type="band1Horz">
      <w:tblPr/>
      <w:tcPr>
        <w:shd w:val="clear" w:color="auto" w:fill="9999AE" w:themeFill="accent4" w:themeFillTint="7F"/>
      </w:tcPr>
    </w:tblStylePr>
  </w:style>
  <w:style w:type="table" w:styleId="ColorfulGrid-Accent5">
    <w:name w:val="Colorful Grid Accent 5"/>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5E7" w:themeFill="accent5" w:themeFillTint="33"/>
    </w:tcPr>
    <w:tblStylePr w:type="firstRow">
      <w:rPr>
        <w:b/>
        <w:bCs/>
      </w:rPr>
      <w:tblPr/>
      <w:tcPr>
        <w:shd w:val="clear" w:color="auto" w:fill="CCCCD0" w:themeFill="accent5" w:themeFillTint="66"/>
      </w:tcPr>
    </w:tblStylePr>
    <w:tblStylePr w:type="lastRow">
      <w:rPr>
        <w:b/>
        <w:bCs/>
        <w:color w:val="000000" w:themeColor="text1"/>
      </w:rPr>
      <w:tblPr/>
      <w:tcPr>
        <w:shd w:val="clear" w:color="auto" w:fill="CCCCD0" w:themeFill="accent5" w:themeFillTint="66"/>
      </w:tcPr>
    </w:tblStylePr>
    <w:tblStylePr w:type="firstCol">
      <w:rPr>
        <w:color w:val="FFFFFF" w:themeColor="background1"/>
      </w:rPr>
      <w:tblPr/>
      <w:tcPr>
        <w:shd w:val="clear" w:color="auto" w:fill="5F5F68" w:themeFill="accent5" w:themeFillShade="BF"/>
      </w:tcPr>
    </w:tblStylePr>
    <w:tblStylePr w:type="lastCol">
      <w:rPr>
        <w:color w:val="FFFFFF" w:themeColor="background1"/>
      </w:rPr>
      <w:tblPr/>
      <w:tcPr>
        <w:shd w:val="clear" w:color="auto" w:fill="5F5F68" w:themeFill="accent5" w:themeFillShade="BF"/>
      </w:tcPr>
    </w:tblStylePr>
    <w:tblStylePr w:type="band1Vert">
      <w:tblPr/>
      <w:tcPr>
        <w:shd w:val="clear" w:color="auto" w:fill="BFBFC5" w:themeFill="accent5" w:themeFillTint="7F"/>
      </w:tcPr>
    </w:tblStylePr>
    <w:tblStylePr w:type="band1Horz">
      <w:tblPr/>
      <w:tcPr>
        <w:shd w:val="clear" w:color="auto" w:fill="BFBFC5" w:themeFill="accent5" w:themeFillTint="7F"/>
      </w:tcPr>
    </w:tblStylePr>
  </w:style>
  <w:style w:type="table" w:styleId="ColorfulGrid-Accent6">
    <w:name w:val="Colorful Grid Accent 6"/>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F4F5" w:themeFill="accent6" w:themeFillTint="33"/>
    </w:tcPr>
    <w:tblStylePr w:type="firstRow">
      <w:rPr>
        <w:b/>
        <w:bCs/>
      </w:rPr>
      <w:tblPr/>
      <w:tcPr>
        <w:shd w:val="clear" w:color="auto" w:fill="EAEAEC" w:themeFill="accent6" w:themeFillTint="66"/>
      </w:tcPr>
    </w:tblStylePr>
    <w:tblStylePr w:type="lastRow">
      <w:rPr>
        <w:b/>
        <w:bCs/>
        <w:color w:val="000000" w:themeColor="text1"/>
      </w:rPr>
      <w:tblPr/>
      <w:tcPr>
        <w:shd w:val="clear" w:color="auto" w:fill="EAEAEC" w:themeFill="accent6" w:themeFillTint="66"/>
      </w:tcPr>
    </w:tblStylePr>
    <w:tblStylePr w:type="firstCol">
      <w:rPr>
        <w:color w:val="FFFFFF" w:themeColor="background1"/>
      </w:rPr>
      <w:tblPr/>
      <w:tcPr>
        <w:shd w:val="clear" w:color="auto" w:fill="96969E" w:themeFill="accent6" w:themeFillShade="BF"/>
      </w:tcPr>
    </w:tblStylePr>
    <w:tblStylePr w:type="lastCol">
      <w:rPr>
        <w:color w:val="FFFFFF" w:themeColor="background1"/>
      </w:rPr>
      <w:tblPr/>
      <w:tcPr>
        <w:shd w:val="clear" w:color="auto" w:fill="96969E" w:themeFill="accent6" w:themeFillShade="BF"/>
      </w:tcPr>
    </w:tblStylePr>
    <w:tblStylePr w:type="band1Vert">
      <w:tblPr/>
      <w:tcPr>
        <w:shd w:val="clear" w:color="auto" w:fill="E5E5E7" w:themeFill="accent6" w:themeFillTint="7F"/>
      </w:tcPr>
    </w:tblStylePr>
    <w:tblStylePr w:type="band1Horz">
      <w:tblPr/>
      <w:tcPr>
        <w:shd w:val="clear" w:color="auto" w:fill="E5E5E7" w:themeFill="accent6" w:themeFillTint="7F"/>
      </w:tcPr>
    </w:tblStylePr>
  </w:style>
  <w:style w:type="table" w:styleId="ColorfulList">
    <w:name w:val="Colorful List"/>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4A1AE" w:themeFill="accent2" w:themeFillShade="CC"/>
      </w:tcPr>
    </w:tblStylePr>
    <w:tblStylePr w:type="lastRow">
      <w:rPr>
        <w:b/>
        <w:bCs/>
        <w:color w:val="54A1A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EBF5F7" w:themeFill="accent1" w:themeFillTint="19"/>
    </w:tcPr>
    <w:tblStylePr w:type="firstRow">
      <w:rPr>
        <w:b/>
        <w:bCs/>
        <w:color w:val="FFFFFF" w:themeColor="background1"/>
      </w:rPr>
      <w:tblPr/>
      <w:tcPr>
        <w:tcBorders>
          <w:bottom w:val="single" w:sz="12" w:space="0" w:color="FFFFFF" w:themeColor="background1"/>
        </w:tcBorders>
        <w:shd w:val="clear" w:color="auto" w:fill="54A1AE" w:themeFill="accent2" w:themeFillShade="CC"/>
      </w:tcPr>
    </w:tblStylePr>
    <w:tblStylePr w:type="lastRow">
      <w:rPr>
        <w:b/>
        <w:bCs/>
        <w:color w:val="54A1A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7EB" w:themeFill="accent1" w:themeFillTint="3F"/>
      </w:tcPr>
    </w:tblStylePr>
    <w:tblStylePr w:type="band1Horz">
      <w:tblPr/>
      <w:tcPr>
        <w:shd w:val="clear" w:color="auto" w:fill="D6ECEF" w:themeFill="accent1" w:themeFillTint="33"/>
      </w:tcPr>
    </w:tblStylePr>
  </w:style>
  <w:style w:type="table" w:styleId="ColorfulList-Accent2">
    <w:name w:val="Colorful List Accent 2"/>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2F8F9" w:themeFill="accent2" w:themeFillTint="19"/>
    </w:tcPr>
    <w:tblStylePr w:type="firstRow">
      <w:rPr>
        <w:b/>
        <w:bCs/>
        <w:color w:val="FFFFFF" w:themeColor="background1"/>
      </w:rPr>
      <w:tblPr/>
      <w:tcPr>
        <w:tcBorders>
          <w:bottom w:val="single" w:sz="12" w:space="0" w:color="FFFFFF" w:themeColor="background1"/>
        </w:tcBorders>
        <w:shd w:val="clear" w:color="auto" w:fill="54A1AE" w:themeFill="accent2" w:themeFillShade="CC"/>
      </w:tcPr>
    </w:tblStylePr>
    <w:tblStylePr w:type="lastRow">
      <w:rPr>
        <w:b/>
        <w:bCs/>
        <w:color w:val="54A1A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DF0" w:themeFill="accent2" w:themeFillTint="3F"/>
      </w:tcPr>
    </w:tblStylePr>
    <w:tblStylePr w:type="band1Horz">
      <w:tblPr/>
      <w:tcPr>
        <w:shd w:val="clear" w:color="auto" w:fill="E5F1F3" w:themeFill="accent2" w:themeFillTint="33"/>
      </w:tcPr>
    </w:tblStylePr>
  </w:style>
  <w:style w:type="table" w:styleId="ColorfulList-Accent3">
    <w:name w:val="Colorful List Accent 3"/>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8FBFC" w:themeFill="accent3" w:themeFillTint="19"/>
    </w:tcPr>
    <w:tblStylePr w:type="firstRow">
      <w:rPr>
        <w:b/>
        <w:bCs/>
        <w:color w:val="FFFFFF" w:themeColor="background1"/>
      </w:rPr>
      <w:tblPr/>
      <w:tcPr>
        <w:tcBorders>
          <w:bottom w:val="single" w:sz="12" w:space="0" w:color="FFFFFF" w:themeColor="background1"/>
        </w:tcBorders>
        <w:shd w:val="clear" w:color="auto" w:fill="33333F" w:themeFill="accent4" w:themeFillShade="CC"/>
      </w:tcPr>
    </w:tblStylePr>
    <w:tblStylePr w:type="lastRow">
      <w:rPr>
        <w:b/>
        <w:bCs/>
        <w:color w:val="33333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6F7" w:themeFill="accent3" w:themeFillTint="3F"/>
      </w:tcPr>
    </w:tblStylePr>
    <w:tblStylePr w:type="band1Horz">
      <w:tblPr/>
      <w:tcPr>
        <w:shd w:val="clear" w:color="auto" w:fill="F2F8F9" w:themeFill="accent3" w:themeFillTint="33"/>
      </w:tcPr>
    </w:tblStylePr>
  </w:style>
  <w:style w:type="table" w:styleId="ColorfulList-Accent4">
    <w:name w:val="Colorful List Accent 4"/>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EBEBEF" w:themeFill="accent4" w:themeFillTint="19"/>
    </w:tcPr>
    <w:tblStylePr w:type="firstRow">
      <w:rPr>
        <w:b/>
        <w:bCs/>
        <w:color w:val="FFFFFF" w:themeColor="background1"/>
      </w:rPr>
      <w:tblPr/>
      <w:tcPr>
        <w:tcBorders>
          <w:bottom w:val="single" w:sz="12" w:space="0" w:color="FFFFFF" w:themeColor="background1"/>
        </w:tcBorders>
        <w:shd w:val="clear" w:color="auto" w:fill="86BEC6" w:themeFill="accent3" w:themeFillShade="CC"/>
      </w:tcPr>
    </w:tblStylePr>
    <w:tblStylePr w:type="lastRow">
      <w:rPr>
        <w:b/>
        <w:bCs/>
        <w:color w:val="86BEC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CCD6" w:themeFill="accent4" w:themeFillTint="3F"/>
      </w:tcPr>
    </w:tblStylePr>
    <w:tblStylePr w:type="band1Horz">
      <w:tblPr/>
      <w:tcPr>
        <w:shd w:val="clear" w:color="auto" w:fill="D6D6DE" w:themeFill="accent4" w:themeFillTint="33"/>
      </w:tcPr>
    </w:tblStylePr>
  </w:style>
  <w:style w:type="table" w:styleId="ColorfulList-Accent5">
    <w:name w:val="Colorful List Accent 5"/>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2F2F3" w:themeFill="accent5" w:themeFillTint="19"/>
    </w:tcPr>
    <w:tblStylePr w:type="firstRow">
      <w:rPr>
        <w:b/>
        <w:bCs/>
        <w:color w:val="FFFFFF" w:themeColor="background1"/>
      </w:rPr>
      <w:tblPr/>
      <w:tcPr>
        <w:tcBorders>
          <w:bottom w:val="single" w:sz="12" w:space="0" w:color="FFFFFF" w:themeColor="background1"/>
        </w:tcBorders>
        <w:shd w:val="clear" w:color="auto" w:fill="A1A1A8" w:themeFill="accent6" w:themeFillShade="CC"/>
      </w:tcPr>
    </w:tblStylePr>
    <w:tblStylePr w:type="lastRow">
      <w:rPr>
        <w:b/>
        <w:bCs/>
        <w:color w:val="A1A1A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E2" w:themeFill="accent5" w:themeFillTint="3F"/>
      </w:tcPr>
    </w:tblStylePr>
    <w:tblStylePr w:type="band1Horz">
      <w:tblPr/>
      <w:tcPr>
        <w:shd w:val="clear" w:color="auto" w:fill="E5E5E7" w:themeFill="accent5" w:themeFillTint="33"/>
      </w:tcPr>
    </w:tblStylePr>
  </w:style>
  <w:style w:type="table" w:styleId="ColorfulList-Accent6">
    <w:name w:val="Colorful List Accent 6"/>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9F9FA" w:themeFill="accent6" w:themeFillTint="19"/>
    </w:tcPr>
    <w:tblStylePr w:type="firstRow">
      <w:rPr>
        <w:b/>
        <w:bCs/>
        <w:color w:val="FFFFFF" w:themeColor="background1"/>
      </w:rPr>
      <w:tblPr/>
      <w:tcPr>
        <w:tcBorders>
          <w:bottom w:val="single" w:sz="12" w:space="0" w:color="FFFFFF" w:themeColor="background1"/>
        </w:tcBorders>
        <w:shd w:val="clear" w:color="auto" w:fill="66666F" w:themeFill="accent5" w:themeFillShade="CC"/>
      </w:tcPr>
    </w:tblStylePr>
    <w:tblStylePr w:type="lastRow">
      <w:rPr>
        <w:b/>
        <w:bCs/>
        <w:color w:val="66666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2F3" w:themeFill="accent6" w:themeFillTint="3F"/>
      </w:tcPr>
    </w:tblStylePr>
    <w:tblStylePr w:type="band1Horz">
      <w:tblPr/>
      <w:tcPr>
        <w:shd w:val="clear" w:color="auto" w:fill="F4F4F5" w:themeFill="accent6" w:themeFillTint="33"/>
      </w:tcPr>
    </w:tblStylePr>
  </w:style>
  <w:style w:type="table" w:styleId="ColorfulShading">
    <w:name w:val="Colorful Shading"/>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BAC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BAC3" w:themeColor="accent2"/>
        <w:left w:val="single" w:sz="4" w:space="0" w:color="4098A4" w:themeColor="accent1"/>
        <w:bottom w:val="single" w:sz="4" w:space="0" w:color="4098A4" w:themeColor="accent1"/>
        <w:right w:val="single" w:sz="4" w:space="0" w:color="4098A4" w:themeColor="accent1"/>
        <w:insideH w:val="single" w:sz="4" w:space="0" w:color="FFFFFF" w:themeColor="background1"/>
        <w:insideV w:val="single" w:sz="4" w:space="0" w:color="FFFFFF" w:themeColor="background1"/>
      </w:tblBorders>
    </w:tblPr>
    <w:tcPr>
      <w:shd w:val="clear" w:color="auto" w:fill="EBF5F7" w:themeFill="accent1" w:themeFillTint="19"/>
    </w:tcPr>
    <w:tblStylePr w:type="firstRow">
      <w:rPr>
        <w:b/>
        <w:bCs/>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5A62" w:themeFill="accent1" w:themeFillShade="99"/>
      </w:tcPr>
    </w:tblStylePr>
    <w:tblStylePr w:type="firstCol">
      <w:rPr>
        <w:color w:val="FFFFFF" w:themeColor="background1"/>
      </w:rPr>
      <w:tblPr/>
      <w:tcPr>
        <w:tcBorders>
          <w:top w:val="nil"/>
          <w:left w:val="nil"/>
          <w:bottom w:val="nil"/>
          <w:right w:val="nil"/>
          <w:insideH w:val="single" w:sz="4" w:space="0" w:color="265A62" w:themeColor="accent1" w:themeShade="99"/>
          <w:insideV w:val="nil"/>
        </w:tcBorders>
        <w:shd w:val="clear" w:color="auto" w:fill="265A6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5A62" w:themeFill="accent1" w:themeFillShade="99"/>
      </w:tcPr>
    </w:tblStylePr>
    <w:tblStylePr w:type="band1Vert">
      <w:tblPr/>
      <w:tcPr>
        <w:shd w:val="clear" w:color="auto" w:fill="ADD9DF" w:themeFill="accent1" w:themeFillTint="66"/>
      </w:tcPr>
    </w:tblStylePr>
    <w:tblStylePr w:type="band1Horz">
      <w:tblPr/>
      <w:tcPr>
        <w:shd w:val="clear" w:color="auto" w:fill="99D0D7"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BAC3" w:themeColor="accent2"/>
        <w:left w:val="single" w:sz="4" w:space="0" w:color="80BAC3" w:themeColor="accent2"/>
        <w:bottom w:val="single" w:sz="4" w:space="0" w:color="80BAC3" w:themeColor="accent2"/>
        <w:right w:val="single" w:sz="4" w:space="0" w:color="80BAC3" w:themeColor="accent2"/>
        <w:insideH w:val="single" w:sz="4" w:space="0" w:color="FFFFFF" w:themeColor="background1"/>
        <w:insideV w:val="single" w:sz="4" w:space="0" w:color="FFFFFF" w:themeColor="background1"/>
      </w:tblBorders>
    </w:tblPr>
    <w:tcPr>
      <w:shd w:val="clear" w:color="auto" w:fill="F2F8F9" w:themeFill="accent2" w:themeFillTint="19"/>
    </w:tcPr>
    <w:tblStylePr w:type="firstRow">
      <w:rPr>
        <w:b/>
        <w:bCs/>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E7983" w:themeFill="accent2" w:themeFillShade="99"/>
      </w:tcPr>
    </w:tblStylePr>
    <w:tblStylePr w:type="firstCol">
      <w:rPr>
        <w:color w:val="FFFFFF" w:themeColor="background1"/>
      </w:rPr>
      <w:tblPr/>
      <w:tcPr>
        <w:tcBorders>
          <w:top w:val="nil"/>
          <w:left w:val="nil"/>
          <w:bottom w:val="nil"/>
          <w:right w:val="nil"/>
          <w:insideH w:val="single" w:sz="4" w:space="0" w:color="3E7983" w:themeColor="accent2" w:themeShade="99"/>
          <w:insideV w:val="nil"/>
        </w:tcBorders>
        <w:shd w:val="clear" w:color="auto" w:fill="3E798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E7983" w:themeFill="accent2" w:themeFillShade="99"/>
      </w:tcPr>
    </w:tblStylePr>
    <w:tblStylePr w:type="band1Vert">
      <w:tblPr/>
      <w:tcPr>
        <w:shd w:val="clear" w:color="auto" w:fill="CCE3E7" w:themeFill="accent2" w:themeFillTint="66"/>
      </w:tcPr>
    </w:tblStylePr>
    <w:tblStylePr w:type="band1Horz">
      <w:tblPr/>
      <w:tcPr>
        <w:shd w:val="clear" w:color="auto" w:fill="BFDCE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404050" w:themeColor="accent4"/>
        <w:left w:val="single" w:sz="4" w:space="0" w:color="BFDDE1" w:themeColor="accent3"/>
        <w:bottom w:val="single" w:sz="4" w:space="0" w:color="BFDDE1" w:themeColor="accent3"/>
        <w:right w:val="single" w:sz="4" w:space="0" w:color="BFDDE1" w:themeColor="accent3"/>
        <w:insideH w:val="single" w:sz="4" w:space="0" w:color="FFFFFF" w:themeColor="background1"/>
        <w:insideV w:val="single" w:sz="4" w:space="0" w:color="FFFFFF" w:themeColor="background1"/>
      </w:tblBorders>
    </w:tblPr>
    <w:tcPr>
      <w:shd w:val="clear" w:color="auto" w:fill="F8FBFC" w:themeFill="accent3" w:themeFillTint="19"/>
    </w:tcPr>
    <w:tblStylePr w:type="firstRow">
      <w:rPr>
        <w:b/>
        <w:bCs/>
      </w:rPr>
      <w:tblPr/>
      <w:tcPr>
        <w:tcBorders>
          <w:top w:val="nil"/>
          <w:left w:val="nil"/>
          <w:bottom w:val="single" w:sz="24" w:space="0" w:color="404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9FA9" w:themeFill="accent3" w:themeFillShade="99"/>
      </w:tcPr>
    </w:tblStylePr>
    <w:tblStylePr w:type="firstCol">
      <w:rPr>
        <w:color w:val="FFFFFF" w:themeColor="background1"/>
      </w:rPr>
      <w:tblPr/>
      <w:tcPr>
        <w:tcBorders>
          <w:top w:val="nil"/>
          <w:left w:val="nil"/>
          <w:bottom w:val="nil"/>
          <w:right w:val="nil"/>
          <w:insideH w:val="single" w:sz="4" w:space="0" w:color="4F9FA9" w:themeColor="accent3" w:themeShade="99"/>
          <w:insideV w:val="nil"/>
        </w:tcBorders>
        <w:shd w:val="clear" w:color="auto" w:fill="4F9FA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F9FA9" w:themeFill="accent3" w:themeFillShade="99"/>
      </w:tcPr>
    </w:tblStylePr>
    <w:tblStylePr w:type="band1Vert">
      <w:tblPr/>
      <w:tcPr>
        <w:shd w:val="clear" w:color="auto" w:fill="E5F1F3" w:themeFill="accent3" w:themeFillTint="66"/>
      </w:tcPr>
    </w:tblStylePr>
    <w:tblStylePr w:type="band1Horz">
      <w:tblPr/>
      <w:tcPr>
        <w:shd w:val="clear" w:color="auto" w:fill="DFEEF0" w:themeFill="accent3" w:themeFillTint="7F"/>
      </w:tcPr>
    </w:tblStylePr>
  </w:style>
  <w:style w:type="table" w:styleId="ColorfulShading-Accent4">
    <w:name w:val="Colorful Shading Accent 4"/>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BFDDE1" w:themeColor="accent3"/>
        <w:left w:val="single" w:sz="4" w:space="0" w:color="404050" w:themeColor="accent4"/>
        <w:bottom w:val="single" w:sz="4" w:space="0" w:color="404050" w:themeColor="accent4"/>
        <w:right w:val="single" w:sz="4" w:space="0" w:color="404050" w:themeColor="accent4"/>
        <w:insideH w:val="single" w:sz="4" w:space="0" w:color="FFFFFF" w:themeColor="background1"/>
        <w:insideV w:val="single" w:sz="4" w:space="0" w:color="FFFFFF" w:themeColor="background1"/>
      </w:tblBorders>
    </w:tblPr>
    <w:tcPr>
      <w:shd w:val="clear" w:color="auto" w:fill="EBEBEF" w:themeFill="accent4" w:themeFillTint="19"/>
    </w:tcPr>
    <w:tblStylePr w:type="firstRow">
      <w:rPr>
        <w:b/>
        <w:bCs/>
      </w:rPr>
      <w:tblPr/>
      <w:tcPr>
        <w:tcBorders>
          <w:top w:val="nil"/>
          <w:left w:val="nil"/>
          <w:bottom w:val="single" w:sz="24" w:space="0" w:color="BFDDE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262F" w:themeFill="accent4" w:themeFillShade="99"/>
      </w:tcPr>
    </w:tblStylePr>
    <w:tblStylePr w:type="firstCol">
      <w:rPr>
        <w:color w:val="FFFFFF" w:themeColor="background1"/>
      </w:rPr>
      <w:tblPr/>
      <w:tcPr>
        <w:tcBorders>
          <w:top w:val="nil"/>
          <w:left w:val="nil"/>
          <w:bottom w:val="nil"/>
          <w:right w:val="nil"/>
          <w:insideH w:val="single" w:sz="4" w:space="0" w:color="26262F" w:themeColor="accent4" w:themeShade="99"/>
          <w:insideV w:val="nil"/>
        </w:tcBorders>
        <w:shd w:val="clear" w:color="auto" w:fill="26262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6262F" w:themeFill="accent4" w:themeFillShade="99"/>
      </w:tcPr>
    </w:tblStylePr>
    <w:tblStylePr w:type="band1Vert">
      <w:tblPr/>
      <w:tcPr>
        <w:shd w:val="clear" w:color="auto" w:fill="ADADBD" w:themeFill="accent4" w:themeFillTint="66"/>
      </w:tcPr>
    </w:tblStylePr>
    <w:tblStylePr w:type="band1Horz">
      <w:tblPr/>
      <w:tcPr>
        <w:shd w:val="clear" w:color="auto" w:fill="9999AE"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CCCCD0" w:themeColor="accent6"/>
        <w:left w:val="single" w:sz="4" w:space="0" w:color="80808B" w:themeColor="accent5"/>
        <w:bottom w:val="single" w:sz="4" w:space="0" w:color="80808B" w:themeColor="accent5"/>
        <w:right w:val="single" w:sz="4" w:space="0" w:color="80808B" w:themeColor="accent5"/>
        <w:insideH w:val="single" w:sz="4" w:space="0" w:color="FFFFFF" w:themeColor="background1"/>
        <w:insideV w:val="single" w:sz="4" w:space="0" w:color="FFFFFF" w:themeColor="background1"/>
      </w:tblBorders>
    </w:tblPr>
    <w:tcPr>
      <w:shd w:val="clear" w:color="auto" w:fill="F2F2F3" w:themeFill="accent5" w:themeFillTint="19"/>
    </w:tcPr>
    <w:tblStylePr w:type="firstRow">
      <w:rPr>
        <w:b/>
        <w:bCs/>
      </w:rPr>
      <w:tblPr/>
      <w:tcPr>
        <w:tcBorders>
          <w:top w:val="nil"/>
          <w:left w:val="nil"/>
          <w:bottom w:val="single" w:sz="24" w:space="0" w:color="CCCCD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53" w:themeFill="accent5" w:themeFillShade="99"/>
      </w:tcPr>
    </w:tblStylePr>
    <w:tblStylePr w:type="firstCol">
      <w:rPr>
        <w:color w:val="FFFFFF" w:themeColor="background1"/>
      </w:rPr>
      <w:tblPr/>
      <w:tcPr>
        <w:tcBorders>
          <w:top w:val="nil"/>
          <w:left w:val="nil"/>
          <w:bottom w:val="nil"/>
          <w:right w:val="nil"/>
          <w:insideH w:val="single" w:sz="4" w:space="0" w:color="4C4C53" w:themeColor="accent5" w:themeShade="99"/>
          <w:insideV w:val="nil"/>
        </w:tcBorders>
        <w:shd w:val="clear" w:color="auto" w:fill="4C4C5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C4C53" w:themeFill="accent5" w:themeFillShade="99"/>
      </w:tcPr>
    </w:tblStylePr>
    <w:tblStylePr w:type="band1Vert">
      <w:tblPr/>
      <w:tcPr>
        <w:shd w:val="clear" w:color="auto" w:fill="CCCCD0" w:themeFill="accent5" w:themeFillTint="66"/>
      </w:tcPr>
    </w:tblStylePr>
    <w:tblStylePr w:type="band1Horz">
      <w:tblPr/>
      <w:tcPr>
        <w:shd w:val="clear" w:color="auto" w:fill="BFBFC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808B" w:themeColor="accent5"/>
        <w:left w:val="single" w:sz="4" w:space="0" w:color="CCCCD0" w:themeColor="accent6"/>
        <w:bottom w:val="single" w:sz="4" w:space="0" w:color="CCCCD0" w:themeColor="accent6"/>
        <w:right w:val="single" w:sz="4" w:space="0" w:color="CCCCD0" w:themeColor="accent6"/>
        <w:insideH w:val="single" w:sz="4" w:space="0" w:color="FFFFFF" w:themeColor="background1"/>
        <w:insideV w:val="single" w:sz="4" w:space="0" w:color="FFFFFF" w:themeColor="background1"/>
      </w:tblBorders>
    </w:tblPr>
    <w:tcPr>
      <w:shd w:val="clear" w:color="auto" w:fill="F9F9FA" w:themeFill="accent6" w:themeFillTint="19"/>
    </w:tcPr>
    <w:tblStylePr w:type="firstRow">
      <w:rPr>
        <w:b/>
        <w:bCs/>
      </w:rPr>
      <w:tblPr/>
      <w:tcPr>
        <w:tcBorders>
          <w:top w:val="nil"/>
          <w:left w:val="nil"/>
          <w:bottom w:val="single" w:sz="24" w:space="0" w:color="80808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7680" w:themeFill="accent6" w:themeFillShade="99"/>
      </w:tcPr>
    </w:tblStylePr>
    <w:tblStylePr w:type="firstCol">
      <w:rPr>
        <w:color w:val="FFFFFF" w:themeColor="background1"/>
      </w:rPr>
      <w:tblPr/>
      <w:tcPr>
        <w:tcBorders>
          <w:top w:val="nil"/>
          <w:left w:val="nil"/>
          <w:bottom w:val="nil"/>
          <w:right w:val="nil"/>
          <w:insideH w:val="single" w:sz="4" w:space="0" w:color="767680" w:themeColor="accent6" w:themeShade="99"/>
          <w:insideV w:val="nil"/>
        </w:tcBorders>
        <w:shd w:val="clear" w:color="auto" w:fill="76768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67680" w:themeFill="accent6" w:themeFillShade="99"/>
      </w:tcPr>
    </w:tblStylePr>
    <w:tblStylePr w:type="band1Vert">
      <w:tblPr/>
      <w:tcPr>
        <w:shd w:val="clear" w:color="auto" w:fill="EAEAEC" w:themeFill="accent6" w:themeFillTint="66"/>
      </w:tcPr>
    </w:tblStylePr>
    <w:tblStylePr w:type="band1Horz">
      <w:tblPr/>
      <w:tcPr>
        <w:shd w:val="clear" w:color="auto" w:fill="E5E5E7"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4098A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B5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0717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0717A" w:themeFill="accent1" w:themeFillShade="BF"/>
      </w:tcPr>
    </w:tblStylePr>
    <w:tblStylePr w:type="band1Vert">
      <w:tblPr/>
      <w:tcPr>
        <w:tcBorders>
          <w:top w:val="nil"/>
          <w:left w:val="nil"/>
          <w:bottom w:val="nil"/>
          <w:right w:val="nil"/>
          <w:insideH w:val="nil"/>
          <w:insideV w:val="nil"/>
        </w:tcBorders>
        <w:shd w:val="clear" w:color="auto" w:fill="30717A" w:themeFill="accent1" w:themeFillShade="BF"/>
      </w:tcPr>
    </w:tblStylePr>
    <w:tblStylePr w:type="band1Horz">
      <w:tblPr/>
      <w:tcPr>
        <w:tcBorders>
          <w:top w:val="nil"/>
          <w:left w:val="nil"/>
          <w:bottom w:val="nil"/>
          <w:right w:val="nil"/>
          <w:insideH w:val="nil"/>
          <w:insideV w:val="nil"/>
        </w:tcBorders>
        <w:shd w:val="clear" w:color="auto" w:fill="30717A" w:themeFill="accent1" w:themeFillShade="BF"/>
      </w:tcPr>
    </w:tblStylePr>
  </w:style>
  <w:style w:type="table" w:styleId="DarkList-Accent2">
    <w:name w:val="Dark List Accent 2"/>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80BAC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656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D98A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D98A4" w:themeFill="accent2" w:themeFillShade="BF"/>
      </w:tcPr>
    </w:tblStylePr>
    <w:tblStylePr w:type="band1Vert">
      <w:tblPr/>
      <w:tcPr>
        <w:tcBorders>
          <w:top w:val="nil"/>
          <w:left w:val="nil"/>
          <w:bottom w:val="nil"/>
          <w:right w:val="nil"/>
          <w:insideH w:val="nil"/>
          <w:insideV w:val="nil"/>
        </w:tcBorders>
        <w:shd w:val="clear" w:color="auto" w:fill="4D98A4" w:themeFill="accent2" w:themeFillShade="BF"/>
      </w:tcPr>
    </w:tblStylePr>
    <w:tblStylePr w:type="band1Horz">
      <w:tblPr/>
      <w:tcPr>
        <w:tcBorders>
          <w:top w:val="nil"/>
          <w:left w:val="nil"/>
          <w:bottom w:val="nil"/>
          <w:right w:val="nil"/>
          <w:insideH w:val="nil"/>
          <w:insideV w:val="nil"/>
        </w:tcBorders>
        <w:shd w:val="clear" w:color="auto" w:fill="4D98A4" w:themeFill="accent2" w:themeFillShade="BF"/>
      </w:tcPr>
    </w:tblStylePr>
  </w:style>
  <w:style w:type="table" w:styleId="DarkList-Accent3">
    <w:name w:val="Dark List Accent 3"/>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BFDDE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848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7B7B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7B7BF" w:themeFill="accent3" w:themeFillShade="BF"/>
      </w:tcPr>
    </w:tblStylePr>
    <w:tblStylePr w:type="band1Vert">
      <w:tblPr/>
      <w:tcPr>
        <w:tcBorders>
          <w:top w:val="nil"/>
          <w:left w:val="nil"/>
          <w:bottom w:val="nil"/>
          <w:right w:val="nil"/>
          <w:insideH w:val="nil"/>
          <w:insideV w:val="nil"/>
        </w:tcBorders>
        <w:shd w:val="clear" w:color="auto" w:fill="77B7BF" w:themeFill="accent3" w:themeFillShade="BF"/>
      </w:tcPr>
    </w:tblStylePr>
    <w:tblStylePr w:type="band1Horz">
      <w:tblPr/>
      <w:tcPr>
        <w:tcBorders>
          <w:top w:val="nil"/>
          <w:left w:val="nil"/>
          <w:bottom w:val="nil"/>
          <w:right w:val="nil"/>
          <w:insideH w:val="nil"/>
          <w:insideV w:val="nil"/>
        </w:tcBorders>
        <w:shd w:val="clear" w:color="auto" w:fill="77B7BF" w:themeFill="accent3" w:themeFillShade="BF"/>
      </w:tcPr>
    </w:tblStylePr>
  </w:style>
  <w:style w:type="table" w:styleId="DarkList-Accent4">
    <w:name w:val="Dark List Accent 4"/>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404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202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0303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0303B" w:themeFill="accent4" w:themeFillShade="BF"/>
      </w:tcPr>
    </w:tblStylePr>
    <w:tblStylePr w:type="band1Vert">
      <w:tblPr/>
      <w:tcPr>
        <w:tcBorders>
          <w:top w:val="nil"/>
          <w:left w:val="nil"/>
          <w:bottom w:val="nil"/>
          <w:right w:val="nil"/>
          <w:insideH w:val="nil"/>
          <w:insideV w:val="nil"/>
        </w:tcBorders>
        <w:shd w:val="clear" w:color="auto" w:fill="30303B" w:themeFill="accent4" w:themeFillShade="BF"/>
      </w:tcPr>
    </w:tblStylePr>
    <w:tblStylePr w:type="band1Horz">
      <w:tblPr/>
      <w:tcPr>
        <w:tcBorders>
          <w:top w:val="nil"/>
          <w:left w:val="nil"/>
          <w:bottom w:val="nil"/>
          <w:right w:val="nil"/>
          <w:insideH w:val="nil"/>
          <w:insideV w:val="nil"/>
        </w:tcBorders>
        <w:shd w:val="clear" w:color="auto" w:fill="30303B" w:themeFill="accent4" w:themeFillShade="BF"/>
      </w:tcPr>
    </w:tblStylePr>
  </w:style>
  <w:style w:type="table" w:styleId="DarkList-Accent5">
    <w:name w:val="Dark List Accent 5"/>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80808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4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F5F6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F5F68" w:themeFill="accent5" w:themeFillShade="BF"/>
      </w:tcPr>
    </w:tblStylePr>
    <w:tblStylePr w:type="band1Vert">
      <w:tblPr/>
      <w:tcPr>
        <w:tcBorders>
          <w:top w:val="nil"/>
          <w:left w:val="nil"/>
          <w:bottom w:val="nil"/>
          <w:right w:val="nil"/>
          <w:insideH w:val="nil"/>
          <w:insideV w:val="nil"/>
        </w:tcBorders>
        <w:shd w:val="clear" w:color="auto" w:fill="5F5F68" w:themeFill="accent5" w:themeFillShade="BF"/>
      </w:tcPr>
    </w:tblStylePr>
    <w:tblStylePr w:type="band1Horz">
      <w:tblPr/>
      <w:tcPr>
        <w:tcBorders>
          <w:top w:val="nil"/>
          <w:left w:val="nil"/>
          <w:bottom w:val="nil"/>
          <w:right w:val="nil"/>
          <w:insideH w:val="nil"/>
          <w:insideV w:val="nil"/>
        </w:tcBorders>
        <w:shd w:val="clear" w:color="auto" w:fill="5F5F68" w:themeFill="accent5" w:themeFillShade="BF"/>
      </w:tcPr>
    </w:tblStylePr>
  </w:style>
  <w:style w:type="table" w:styleId="DarkList-Accent6">
    <w:name w:val="Dark List Accent 6"/>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CCCCD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626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6969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6969E" w:themeFill="accent6" w:themeFillShade="BF"/>
      </w:tcPr>
    </w:tblStylePr>
    <w:tblStylePr w:type="band1Vert">
      <w:tblPr/>
      <w:tcPr>
        <w:tcBorders>
          <w:top w:val="nil"/>
          <w:left w:val="nil"/>
          <w:bottom w:val="nil"/>
          <w:right w:val="nil"/>
          <w:insideH w:val="nil"/>
          <w:insideV w:val="nil"/>
        </w:tcBorders>
        <w:shd w:val="clear" w:color="auto" w:fill="96969E" w:themeFill="accent6" w:themeFillShade="BF"/>
      </w:tcPr>
    </w:tblStylePr>
    <w:tblStylePr w:type="band1Horz">
      <w:tblPr/>
      <w:tcPr>
        <w:tcBorders>
          <w:top w:val="nil"/>
          <w:left w:val="nil"/>
          <w:bottom w:val="nil"/>
          <w:right w:val="nil"/>
          <w:insideH w:val="nil"/>
          <w:insideV w:val="nil"/>
        </w:tcBorders>
        <w:shd w:val="clear" w:color="auto" w:fill="96969E" w:themeFill="accent6" w:themeFillShade="BF"/>
      </w:tcPr>
    </w:tblStylePr>
  </w:style>
  <w:style w:type="table" w:customStyle="1" w:styleId="GridTable1Light1">
    <w:name w:val="Grid Table 1 Light1"/>
    <w:basedOn w:val="TableNormal"/>
    <w:uiPriority w:val="46"/>
    <w:semiHidden/>
    <w:rsid w:val="00294A5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294A5A"/>
    <w:pPr>
      <w:spacing w:after="0" w:line="240" w:lineRule="auto"/>
    </w:pPr>
    <w:tblPr>
      <w:tblStyleRowBandSize w:val="1"/>
      <w:tblStyleColBandSize w:val="1"/>
      <w:tblBorders>
        <w:top w:val="single" w:sz="4" w:space="0" w:color="ADD9DF" w:themeColor="accent1" w:themeTint="66"/>
        <w:left w:val="single" w:sz="4" w:space="0" w:color="ADD9DF" w:themeColor="accent1" w:themeTint="66"/>
        <w:bottom w:val="single" w:sz="4" w:space="0" w:color="ADD9DF" w:themeColor="accent1" w:themeTint="66"/>
        <w:right w:val="single" w:sz="4" w:space="0" w:color="ADD9DF" w:themeColor="accent1" w:themeTint="66"/>
        <w:insideH w:val="single" w:sz="4" w:space="0" w:color="ADD9DF" w:themeColor="accent1" w:themeTint="66"/>
        <w:insideV w:val="single" w:sz="4" w:space="0" w:color="ADD9DF" w:themeColor="accent1" w:themeTint="66"/>
      </w:tblBorders>
    </w:tblPr>
    <w:tblStylePr w:type="firstRow">
      <w:rPr>
        <w:b/>
        <w:bCs/>
      </w:rPr>
      <w:tblPr/>
      <w:tcPr>
        <w:tcBorders>
          <w:bottom w:val="single" w:sz="12" w:space="0" w:color="85C6CF" w:themeColor="accent1" w:themeTint="99"/>
        </w:tcBorders>
      </w:tcPr>
    </w:tblStylePr>
    <w:tblStylePr w:type="lastRow">
      <w:rPr>
        <w:b/>
        <w:bCs/>
      </w:rPr>
      <w:tblPr/>
      <w:tcPr>
        <w:tcBorders>
          <w:top w:val="double" w:sz="2" w:space="0" w:color="85C6CF"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294A5A"/>
    <w:pPr>
      <w:spacing w:after="0" w:line="240" w:lineRule="auto"/>
    </w:pPr>
    <w:tblPr>
      <w:tblStyleRowBandSize w:val="1"/>
      <w:tblStyleColBandSize w:val="1"/>
      <w:tblBorders>
        <w:top w:val="single" w:sz="4" w:space="0" w:color="CCE3E7" w:themeColor="accent2" w:themeTint="66"/>
        <w:left w:val="single" w:sz="4" w:space="0" w:color="CCE3E7" w:themeColor="accent2" w:themeTint="66"/>
        <w:bottom w:val="single" w:sz="4" w:space="0" w:color="CCE3E7" w:themeColor="accent2" w:themeTint="66"/>
        <w:right w:val="single" w:sz="4" w:space="0" w:color="CCE3E7" w:themeColor="accent2" w:themeTint="66"/>
        <w:insideH w:val="single" w:sz="4" w:space="0" w:color="CCE3E7" w:themeColor="accent2" w:themeTint="66"/>
        <w:insideV w:val="single" w:sz="4" w:space="0" w:color="CCE3E7" w:themeColor="accent2" w:themeTint="66"/>
      </w:tblBorders>
    </w:tblPr>
    <w:tblStylePr w:type="firstRow">
      <w:rPr>
        <w:b/>
        <w:bCs/>
      </w:rPr>
      <w:tblPr/>
      <w:tcPr>
        <w:tcBorders>
          <w:bottom w:val="single" w:sz="12" w:space="0" w:color="B2D5DB" w:themeColor="accent2" w:themeTint="99"/>
        </w:tcBorders>
      </w:tcPr>
    </w:tblStylePr>
    <w:tblStylePr w:type="lastRow">
      <w:rPr>
        <w:b/>
        <w:bCs/>
      </w:rPr>
      <w:tblPr/>
      <w:tcPr>
        <w:tcBorders>
          <w:top w:val="double" w:sz="2" w:space="0" w:color="B2D5DB"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294A5A"/>
    <w:pPr>
      <w:spacing w:after="0" w:line="240" w:lineRule="auto"/>
    </w:pPr>
    <w:tblPr>
      <w:tblStyleRowBandSize w:val="1"/>
      <w:tblStyleColBandSize w:val="1"/>
      <w:tblBorders>
        <w:top w:val="single" w:sz="4" w:space="0" w:color="E5F1F3" w:themeColor="accent3" w:themeTint="66"/>
        <w:left w:val="single" w:sz="4" w:space="0" w:color="E5F1F3" w:themeColor="accent3" w:themeTint="66"/>
        <w:bottom w:val="single" w:sz="4" w:space="0" w:color="E5F1F3" w:themeColor="accent3" w:themeTint="66"/>
        <w:right w:val="single" w:sz="4" w:space="0" w:color="E5F1F3" w:themeColor="accent3" w:themeTint="66"/>
        <w:insideH w:val="single" w:sz="4" w:space="0" w:color="E5F1F3" w:themeColor="accent3" w:themeTint="66"/>
        <w:insideV w:val="single" w:sz="4" w:space="0" w:color="E5F1F3" w:themeColor="accent3" w:themeTint="66"/>
      </w:tblBorders>
    </w:tblPr>
    <w:tblStylePr w:type="firstRow">
      <w:rPr>
        <w:b/>
        <w:bCs/>
      </w:rPr>
      <w:tblPr/>
      <w:tcPr>
        <w:tcBorders>
          <w:bottom w:val="single" w:sz="12" w:space="0" w:color="D8EAED" w:themeColor="accent3" w:themeTint="99"/>
        </w:tcBorders>
      </w:tcPr>
    </w:tblStylePr>
    <w:tblStylePr w:type="lastRow">
      <w:rPr>
        <w:b/>
        <w:bCs/>
      </w:rPr>
      <w:tblPr/>
      <w:tcPr>
        <w:tcBorders>
          <w:top w:val="double" w:sz="2" w:space="0" w:color="D8EAED"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294A5A"/>
    <w:pPr>
      <w:spacing w:after="0" w:line="240" w:lineRule="auto"/>
    </w:pPr>
    <w:tblPr>
      <w:tblStyleRowBandSize w:val="1"/>
      <w:tblStyleColBandSize w:val="1"/>
      <w:tblBorders>
        <w:top w:val="single" w:sz="4" w:space="0" w:color="ADADBD" w:themeColor="accent4" w:themeTint="66"/>
        <w:left w:val="single" w:sz="4" w:space="0" w:color="ADADBD" w:themeColor="accent4" w:themeTint="66"/>
        <w:bottom w:val="single" w:sz="4" w:space="0" w:color="ADADBD" w:themeColor="accent4" w:themeTint="66"/>
        <w:right w:val="single" w:sz="4" w:space="0" w:color="ADADBD" w:themeColor="accent4" w:themeTint="66"/>
        <w:insideH w:val="single" w:sz="4" w:space="0" w:color="ADADBD" w:themeColor="accent4" w:themeTint="66"/>
        <w:insideV w:val="single" w:sz="4" w:space="0" w:color="ADADBD" w:themeColor="accent4" w:themeTint="66"/>
      </w:tblBorders>
    </w:tblPr>
    <w:tblStylePr w:type="firstRow">
      <w:rPr>
        <w:b/>
        <w:bCs/>
      </w:rPr>
      <w:tblPr/>
      <w:tcPr>
        <w:tcBorders>
          <w:bottom w:val="single" w:sz="12" w:space="0" w:color="84849D" w:themeColor="accent4" w:themeTint="99"/>
        </w:tcBorders>
      </w:tcPr>
    </w:tblStylePr>
    <w:tblStylePr w:type="lastRow">
      <w:rPr>
        <w:b/>
        <w:bCs/>
      </w:rPr>
      <w:tblPr/>
      <w:tcPr>
        <w:tcBorders>
          <w:top w:val="double" w:sz="2" w:space="0" w:color="84849D"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294A5A"/>
    <w:pPr>
      <w:spacing w:after="0" w:line="240" w:lineRule="auto"/>
    </w:pPr>
    <w:tblPr>
      <w:tblStyleRowBandSize w:val="1"/>
      <w:tblStyleColBandSize w:val="1"/>
      <w:tblBorders>
        <w:top w:val="single" w:sz="4" w:space="0" w:color="CCCCD0" w:themeColor="accent5" w:themeTint="66"/>
        <w:left w:val="single" w:sz="4" w:space="0" w:color="CCCCD0" w:themeColor="accent5" w:themeTint="66"/>
        <w:bottom w:val="single" w:sz="4" w:space="0" w:color="CCCCD0" w:themeColor="accent5" w:themeTint="66"/>
        <w:right w:val="single" w:sz="4" w:space="0" w:color="CCCCD0" w:themeColor="accent5" w:themeTint="66"/>
        <w:insideH w:val="single" w:sz="4" w:space="0" w:color="CCCCD0" w:themeColor="accent5" w:themeTint="66"/>
        <w:insideV w:val="single" w:sz="4" w:space="0" w:color="CCCCD0" w:themeColor="accent5" w:themeTint="66"/>
      </w:tblBorders>
    </w:tblPr>
    <w:tblStylePr w:type="firstRow">
      <w:rPr>
        <w:b/>
        <w:bCs/>
      </w:rPr>
      <w:tblPr/>
      <w:tcPr>
        <w:tcBorders>
          <w:bottom w:val="single" w:sz="12" w:space="0" w:color="B2B2B9" w:themeColor="accent5" w:themeTint="99"/>
        </w:tcBorders>
      </w:tcPr>
    </w:tblStylePr>
    <w:tblStylePr w:type="lastRow">
      <w:rPr>
        <w:b/>
        <w:bCs/>
      </w:rPr>
      <w:tblPr/>
      <w:tcPr>
        <w:tcBorders>
          <w:top w:val="double" w:sz="2" w:space="0" w:color="B2B2B9"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294A5A"/>
    <w:pPr>
      <w:spacing w:after="0" w:line="240" w:lineRule="auto"/>
    </w:pPr>
    <w:tblPr>
      <w:tblStyleRowBandSize w:val="1"/>
      <w:tblStyleColBandSize w:val="1"/>
      <w:tblBorders>
        <w:top w:val="single" w:sz="4" w:space="0" w:color="EAEAEC" w:themeColor="accent6" w:themeTint="66"/>
        <w:left w:val="single" w:sz="4" w:space="0" w:color="EAEAEC" w:themeColor="accent6" w:themeTint="66"/>
        <w:bottom w:val="single" w:sz="4" w:space="0" w:color="EAEAEC" w:themeColor="accent6" w:themeTint="66"/>
        <w:right w:val="single" w:sz="4" w:space="0" w:color="EAEAEC" w:themeColor="accent6" w:themeTint="66"/>
        <w:insideH w:val="single" w:sz="4" w:space="0" w:color="EAEAEC" w:themeColor="accent6" w:themeTint="66"/>
        <w:insideV w:val="single" w:sz="4" w:space="0" w:color="EAEAEC" w:themeColor="accent6" w:themeTint="66"/>
      </w:tblBorders>
    </w:tblPr>
    <w:tblStylePr w:type="firstRow">
      <w:rPr>
        <w:b/>
        <w:bCs/>
      </w:rPr>
      <w:tblPr/>
      <w:tcPr>
        <w:tcBorders>
          <w:bottom w:val="single" w:sz="12" w:space="0" w:color="E0E0E2" w:themeColor="accent6" w:themeTint="99"/>
        </w:tcBorders>
      </w:tcPr>
    </w:tblStylePr>
    <w:tblStylePr w:type="lastRow">
      <w:rPr>
        <w:b/>
        <w:bCs/>
      </w:rPr>
      <w:tblPr/>
      <w:tcPr>
        <w:tcBorders>
          <w:top w:val="double" w:sz="2" w:space="0" w:color="E0E0E2"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294A5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semiHidden/>
    <w:rsid w:val="00294A5A"/>
    <w:pPr>
      <w:spacing w:after="0" w:line="240" w:lineRule="auto"/>
    </w:pPr>
    <w:tblPr>
      <w:tblStyleRowBandSize w:val="1"/>
      <w:tblStyleColBandSize w:val="1"/>
      <w:tblBorders>
        <w:top w:val="single" w:sz="2" w:space="0" w:color="85C6CF" w:themeColor="accent1" w:themeTint="99"/>
        <w:bottom w:val="single" w:sz="2" w:space="0" w:color="85C6CF" w:themeColor="accent1" w:themeTint="99"/>
        <w:insideH w:val="single" w:sz="2" w:space="0" w:color="85C6CF" w:themeColor="accent1" w:themeTint="99"/>
        <w:insideV w:val="single" w:sz="2" w:space="0" w:color="85C6CF" w:themeColor="accent1" w:themeTint="99"/>
      </w:tblBorders>
    </w:tblPr>
    <w:tblStylePr w:type="firstRow">
      <w:rPr>
        <w:b/>
        <w:bCs/>
      </w:rPr>
      <w:tblPr/>
      <w:tcPr>
        <w:tcBorders>
          <w:top w:val="nil"/>
          <w:bottom w:val="single" w:sz="12" w:space="0" w:color="85C6CF" w:themeColor="accent1" w:themeTint="99"/>
          <w:insideH w:val="nil"/>
          <w:insideV w:val="nil"/>
        </w:tcBorders>
        <w:shd w:val="clear" w:color="auto" w:fill="FFFFFF" w:themeFill="background1"/>
      </w:tcPr>
    </w:tblStylePr>
    <w:tblStylePr w:type="lastRow">
      <w:rPr>
        <w:b/>
        <w:bCs/>
      </w:rPr>
      <w:tblPr/>
      <w:tcPr>
        <w:tcBorders>
          <w:top w:val="double" w:sz="2" w:space="0" w:color="85C6C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customStyle="1" w:styleId="GridTable2-Accent21">
    <w:name w:val="Grid Table 2 - Accent 21"/>
    <w:basedOn w:val="TableNormal"/>
    <w:uiPriority w:val="47"/>
    <w:semiHidden/>
    <w:rsid w:val="00294A5A"/>
    <w:pPr>
      <w:spacing w:after="0" w:line="240" w:lineRule="auto"/>
    </w:pPr>
    <w:tblPr>
      <w:tblStyleRowBandSize w:val="1"/>
      <w:tblStyleColBandSize w:val="1"/>
      <w:tblBorders>
        <w:top w:val="single" w:sz="2" w:space="0" w:color="B2D5DB" w:themeColor="accent2" w:themeTint="99"/>
        <w:bottom w:val="single" w:sz="2" w:space="0" w:color="B2D5DB" w:themeColor="accent2" w:themeTint="99"/>
        <w:insideH w:val="single" w:sz="2" w:space="0" w:color="B2D5DB" w:themeColor="accent2" w:themeTint="99"/>
        <w:insideV w:val="single" w:sz="2" w:space="0" w:color="B2D5DB" w:themeColor="accent2" w:themeTint="99"/>
      </w:tblBorders>
    </w:tblPr>
    <w:tblStylePr w:type="firstRow">
      <w:rPr>
        <w:b/>
        <w:bCs/>
      </w:rPr>
      <w:tblPr/>
      <w:tcPr>
        <w:tcBorders>
          <w:top w:val="nil"/>
          <w:bottom w:val="single" w:sz="12" w:space="0" w:color="B2D5DB" w:themeColor="accent2" w:themeTint="99"/>
          <w:insideH w:val="nil"/>
          <w:insideV w:val="nil"/>
        </w:tcBorders>
        <w:shd w:val="clear" w:color="auto" w:fill="FFFFFF" w:themeFill="background1"/>
      </w:tcPr>
    </w:tblStylePr>
    <w:tblStylePr w:type="lastRow">
      <w:rPr>
        <w:b/>
        <w:bCs/>
      </w:rPr>
      <w:tblPr/>
      <w:tcPr>
        <w:tcBorders>
          <w:top w:val="double" w:sz="2" w:space="0" w:color="B2D5D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customStyle="1" w:styleId="GridTable2-Accent31">
    <w:name w:val="Grid Table 2 - Accent 31"/>
    <w:basedOn w:val="TableNormal"/>
    <w:uiPriority w:val="47"/>
    <w:semiHidden/>
    <w:rsid w:val="00294A5A"/>
    <w:pPr>
      <w:spacing w:after="0" w:line="240" w:lineRule="auto"/>
    </w:pPr>
    <w:tblPr>
      <w:tblStyleRowBandSize w:val="1"/>
      <w:tblStyleColBandSize w:val="1"/>
      <w:tblBorders>
        <w:top w:val="single" w:sz="2" w:space="0" w:color="D8EAED" w:themeColor="accent3" w:themeTint="99"/>
        <w:bottom w:val="single" w:sz="2" w:space="0" w:color="D8EAED" w:themeColor="accent3" w:themeTint="99"/>
        <w:insideH w:val="single" w:sz="2" w:space="0" w:color="D8EAED" w:themeColor="accent3" w:themeTint="99"/>
        <w:insideV w:val="single" w:sz="2" w:space="0" w:color="D8EAED" w:themeColor="accent3" w:themeTint="99"/>
      </w:tblBorders>
    </w:tblPr>
    <w:tblStylePr w:type="firstRow">
      <w:rPr>
        <w:b/>
        <w:bCs/>
      </w:rPr>
      <w:tblPr/>
      <w:tcPr>
        <w:tcBorders>
          <w:top w:val="nil"/>
          <w:bottom w:val="single" w:sz="12" w:space="0" w:color="D8EAED" w:themeColor="accent3" w:themeTint="99"/>
          <w:insideH w:val="nil"/>
          <w:insideV w:val="nil"/>
        </w:tcBorders>
        <w:shd w:val="clear" w:color="auto" w:fill="FFFFFF" w:themeFill="background1"/>
      </w:tcPr>
    </w:tblStylePr>
    <w:tblStylePr w:type="lastRow">
      <w:rPr>
        <w:b/>
        <w:bCs/>
      </w:rPr>
      <w:tblPr/>
      <w:tcPr>
        <w:tcBorders>
          <w:top w:val="double" w:sz="2" w:space="0" w:color="D8EAE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customStyle="1" w:styleId="GridTable2-Accent41">
    <w:name w:val="Grid Table 2 - Accent 41"/>
    <w:basedOn w:val="TableNormal"/>
    <w:uiPriority w:val="47"/>
    <w:semiHidden/>
    <w:rsid w:val="00294A5A"/>
    <w:pPr>
      <w:spacing w:after="0" w:line="240" w:lineRule="auto"/>
    </w:pPr>
    <w:tblPr>
      <w:tblStyleRowBandSize w:val="1"/>
      <w:tblStyleColBandSize w:val="1"/>
      <w:tblBorders>
        <w:top w:val="single" w:sz="2" w:space="0" w:color="84849D" w:themeColor="accent4" w:themeTint="99"/>
        <w:bottom w:val="single" w:sz="2" w:space="0" w:color="84849D" w:themeColor="accent4" w:themeTint="99"/>
        <w:insideH w:val="single" w:sz="2" w:space="0" w:color="84849D" w:themeColor="accent4" w:themeTint="99"/>
        <w:insideV w:val="single" w:sz="2" w:space="0" w:color="84849D" w:themeColor="accent4" w:themeTint="99"/>
      </w:tblBorders>
    </w:tblPr>
    <w:tblStylePr w:type="firstRow">
      <w:rPr>
        <w:b/>
        <w:bCs/>
      </w:rPr>
      <w:tblPr/>
      <w:tcPr>
        <w:tcBorders>
          <w:top w:val="nil"/>
          <w:bottom w:val="single" w:sz="12" w:space="0" w:color="84849D" w:themeColor="accent4" w:themeTint="99"/>
          <w:insideH w:val="nil"/>
          <w:insideV w:val="nil"/>
        </w:tcBorders>
        <w:shd w:val="clear" w:color="auto" w:fill="FFFFFF" w:themeFill="background1"/>
      </w:tcPr>
    </w:tblStylePr>
    <w:tblStylePr w:type="lastRow">
      <w:rPr>
        <w:b/>
        <w:bCs/>
      </w:rPr>
      <w:tblPr/>
      <w:tcPr>
        <w:tcBorders>
          <w:top w:val="double" w:sz="2" w:space="0" w:color="84849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customStyle="1" w:styleId="GridTable2-Accent51">
    <w:name w:val="Grid Table 2 - Accent 51"/>
    <w:basedOn w:val="TableNormal"/>
    <w:uiPriority w:val="47"/>
    <w:semiHidden/>
    <w:rsid w:val="00294A5A"/>
    <w:pPr>
      <w:spacing w:after="0" w:line="240" w:lineRule="auto"/>
    </w:pPr>
    <w:tblPr>
      <w:tblStyleRowBandSize w:val="1"/>
      <w:tblStyleColBandSize w:val="1"/>
      <w:tblBorders>
        <w:top w:val="single" w:sz="2" w:space="0" w:color="B2B2B9" w:themeColor="accent5" w:themeTint="99"/>
        <w:bottom w:val="single" w:sz="2" w:space="0" w:color="B2B2B9" w:themeColor="accent5" w:themeTint="99"/>
        <w:insideH w:val="single" w:sz="2" w:space="0" w:color="B2B2B9" w:themeColor="accent5" w:themeTint="99"/>
        <w:insideV w:val="single" w:sz="2" w:space="0" w:color="B2B2B9" w:themeColor="accent5" w:themeTint="99"/>
      </w:tblBorders>
    </w:tblPr>
    <w:tblStylePr w:type="firstRow">
      <w:rPr>
        <w:b/>
        <w:bCs/>
      </w:rPr>
      <w:tblPr/>
      <w:tcPr>
        <w:tcBorders>
          <w:top w:val="nil"/>
          <w:bottom w:val="single" w:sz="12" w:space="0" w:color="B2B2B9" w:themeColor="accent5" w:themeTint="99"/>
          <w:insideH w:val="nil"/>
          <w:insideV w:val="nil"/>
        </w:tcBorders>
        <w:shd w:val="clear" w:color="auto" w:fill="FFFFFF" w:themeFill="background1"/>
      </w:tcPr>
    </w:tblStylePr>
    <w:tblStylePr w:type="lastRow">
      <w:rPr>
        <w:b/>
        <w:bCs/>
      </w:rPr>
      <w:tblPr/>
      <w:tcPr>
        <w:tcBorders>
          <w:top w:val="double" w:sz="2" w:space="0" w:color="B2B2B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GridTable2-Accent61">
    <w:name w:val="Grid Table 2 - Accent 61"/>
    <w:basedOn w:val="TableNormal"/>
    <w:uiPriority w:val="47"/>
    <w:semiHidden/>
    <w:rsid w:val="00294A5A"/>
    <w:pPr>
      <w:spacing w:after="0" w:line="240" w:lineRule="auto"/>
    </w:pPr>
    <w:tblPr>
      <w:tblStyleRowBandSize w:val="1"/>
      <w:tblStyleColBandSize w:val="1"/>
      <w:tblBorders>
        <w:top w:val="single" w:sz="2" w:space="0" w:color="E0E0E2" w:themeColor="accent6" w:themeTint="99"/>
        <w:bottom w:val="single" w:sz="2" w:space="0" w:color="E0E0E2" w:themeColor="accent6" w:themeTint="99"/>
        <w:insideH w:val="single" w:sz="2" w:space="0" w:color="E0E0E2" w:themeColor="accent6" w:themeTint="99"/>
        <w:insideV w:val="single" w:sz="2" w:space="0" w:color="E0E0E2" w:themeColor="accent6" w:themeTint="99"/>
      </w:tblBorders>
    </w:tblPr>
    <w:tblStylePr w:type="firstRow">
      <w:rPr>
        <w:b/>
        <w:bCs/>
      </w:rPr>
      <w:tblPr/>
      <w:tcPr>
        <w:tcBorders>
          <w:top w:val="nil"/>
          <w:bottom w:val="single" w:sz="12" w:space="0" w:color="E0E0E2" w:themeColor="accent6" w:themeTint="99"/>
          <w:insideH w:val="nil"/>
          <w:insideV w:val="nil"/>
        </w:tcBorders>
        <w:shd w:val="clear" w:color="auto" w:fill="FFFFFF" w:themeFill="background1"/>
      </w:tcPr>
    </w:tblStylePr>
    <w:tblStylePr w:type="lastRow">
      <w:rPr>
        <w:b/>
        <w:bCs/>
      </w:rPr>
      <w:tblPr/>
      <w:tcPr>
        <w:tcBorders>
          <w:top w:val="double" w:sz="2" w:space="0" w:color="E0E0E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customStyle="1" w:styleId="GridTable31">
    <w:name w:val="Grid Table 31"/>
    <w:basedOn w:val="TableNormal"/>
    <w:uiPriority w:val="48"/>
    <w:semiHidden/>
    <w:rsid w:val="00294A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semiHidden/>
    <w:rsid w:val="00294A5A"/>
    <w:pPr>
      <w:spacing w:after="0" w:line="240" w:lineRule="auto"/>
    </w:p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CEF" w:themeFill="accent1" w:themeFillTint="33"/>
      </w:tcPr>
    </w:tblStylePr>
    <w:tblStylePr w:type="band1Horz">
      <w:tblPr/>
      <w:tcPr>
        <w:shd w:val="clear" w:color="auto" w:fill="D6ECEF" w:themeFill="accent1" w:themeFillTint="33"/>
      </w:tcPr>
    </w:tblStylePr>
    <w:tblStylePr w:type="neCell">
      <w:tblPr/>
      <w:tcPr>
        <w:tcBorders>
          <w:bottom w:val="single" w:sz="4" w:space="0" w:color="85C6CF" w:themeColor="accent1" w:themeTint="99"/>
        </w:tcBorders>
      </w:tcPr>
    </w:tblStylePr>
    <w:tblStylePr w:type="nwCell">
      <w:tblPr/>
      <w:tcPr>
        <w:tcBorders>
          <w:bottom w:val="single" w:sz="4" w:space="0" w:color="85C6CF" w:themeColor="accent1" w:themeTint="99"/>
        </w:tcBorders>
      </w:tcPr>
    </w:tblStylePr>
    <w:tblStylePr w:type="seCell">
      <w:tblPr/>
      <w:tcPr>
        <w:tcBorders>
          <w:top w:val="single" w:sz="4" w:space="0" w:color="85C6CF" w:themeColor="accent1" w:themeTint="99"/>
        </w:tcBorders>
      </w:tcPr>
    </w:tblStylePr>
    <w:tblStylePr w:type="swCell">
      <w:tblPr/>
      <w:tcPr>
        <w:tcBorders>
          <w:top w:val="single" w:sz="4" w:space="0" w:color="85C6CF" w:themeColor="accent1" w:themeTint="99"/>
        </w:tcBorders>
      </w:tcPr>
    </w:tblStylePr>
  </w:style>
  <w:style w:type="table" w:customStyle="1" w:styleId="GridTable3-Accent21">
    <w:name w:val="Grid Table 3 - Accent 21"/>
    <w:basedOn w:val="TableNormal"/>
    <w:uiPriority w:val="48"/>
    <w:semiHidden/>
    <w:rsid w:val="00294A5A"/>
    <w:pPr>
      <w:spacing w:after="0" w:line="240" w:lineRule="auto"/>
    </w:p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1F3" w:themeFill="accent2" w:themeFillTint="33"/>
      </w:tcPr>
    </w:tblStylePr>
    <w:tblStylePr w:type="band1Horz">
      <w:tblPr/>
      <w:tcPr>
        <w:shd w:val="clear" w:color="auto" w:fill="E5F1F3" w:themeFill="accent2" w:themeFillTint="33"/>
      </w:tcPr>
    </w:tblStylePr>
    <w:tblStylePr w:type="neCell">
      <w:tblPr/>
      <w:tcPr>
        <w:tcBorders>
          <w:bottom w:val="single" w:sz="4" w:space="0" w:color="B2D5DB" w:themeColor="accent2" w:themeTint="99"/>
        </w:tcBorders>
      </w:tcPr>
    </w:tblStylePr>
    <w:tblStylePr w:type="nwCell">
      <w:tblPr/>
      <w:tcPr>
        <w:tcBorders>
          <w:bottom w:val="single" w:sz="4" w:space="0" w:color="B2D5DB" w:themeColor="accent2" w:themeTint="99"/>
        </w:tcBorders>
      </w:tcPr>
    </w:tblStylePr>
    <w:tblStylePr w:type="seCell">
      <w:tblPr/>
      <w:tcPr>
        <w:tcBorders>
          <w:top w:val="single" w:sz="4" w:space="0" w:color="B2D5DB" w:themeColor="accent2" w:themeTint="99"/>
        </w:tcBorders>
      </w:tcPr>
    </w:tblStylePr>
    <w:tblStylePr w:type="swCell">
      <w:tblPr/>
      <w:tcPr>
        <w:tcBorders>
          <w:top w:val="single" w:sz="4" w:space="0" w:color="B2D5DB" w:themeColor="accent2" w:themeTint="99"/>
        </w:tcBorders>
      </w:tcPr>
    </w:tblStylePr>
  </w:style>
  <w:style w:type="table" w:customStyle="1" w:styleId="GridTable3-Accent31">
    <w:name w:val="Grid Table 3 - Accent 31"/>
    <w:basedOn w:val="TableNormal"/>
    <w:uiPriority w:val="48"/>
    <w:semiHidden/>
    <w:rsid w:val="00294A5A"/>
    <w:pPr>
      <w:spacing w:after="0" w:line="240" w:lineRule="auto"/>
    </w:p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8F9" w:themeFill="accent3" w:themeFillTint="33"/>
      </w:tcPr>
    </w:tblStylePr>
    <w:tblStylePr w:type="band1Horz">
      <w:tblPr/>
      <w:tcPr>
        <w:shd w:val="clear" w:color="auto" w:fill="F2F8F9" w:themeFill="accent3" w:themeFillTint="33"/>
      </w:tcPr>
    </w:tblStylePr>
    <w:tblStylePr w:type="neCell">
      <w:tblPr/>
      <w:tcPr>
        <w:tcBorders>
          <w:bottom w:val="single" w:sz="4" w:space="0" w:color="D8EAED" w:themeColor="accent3" w:themeTint="99"/>
        </w:tcBorders>
      </w:tcPr>
    </w:tblStylePr>
    <w:tblStylePr w:type="nwCell">
      <w:tblPr/>
      <w:tcPr>
        <w:tcBorders>
          <w:bottom w:val="single" w:sz="4" w:space="0" w:color="D8EAED" w:themeColor="accent3" w:themeTint="99"/>
        </w:tcBorders>
      </w:tcPr>
    </w:tblStylePr>
    <w:tblStylePr w:type="seCell">
      <w:tblPr/>
      <w:tcPr>
        <w:tcBorders>
          <w:top w:val="single" w:sz="4" w:space="0" w:color="D8EAED" w:themeColor="accent3" w:themeTint="99"/>
        </w:tcBorders>
      </w:tcPr>
    </w:tblStylePr>
    <w:tblStylePr w:type="swCell">
      <w:tblPr/>
      <w:tcPr>
        <w:tcBorders>
          <w:top w:val="single" w:sz="4" w:space="0" w:color="D8EAED" w:themeColor="accent3" w:themeTint="99"/>
        </w:tcBorders>
      </w:tcPr>
    </w:tblStylePr>
  </w:style>
  <w:style w:type="table" w:customStyle="1" w:styleId="GridTable3-Accent41">
    <w:name w:val="Grid Table 3 - Accent 41"/>
    <w:basedOn w:val="TableNormal"/>
    <w:uiPriority w:val="48"/>
    <w:semiHidden/>
    <w:rsid w:val="00294A5A"/>
    <w:pPr>
      <w:spacing w:after="0" w:line="240" w:lineRule="auto"/>
    </w:p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E" w:themeFill="accent4" w:themeFillTint="33"/>
      </w:tcPr>
    </w:tblStylePr>
    <w:tblStylePr w:type="band1Horz">
      <w:tblPr/>
      <w:tcPr>
        <w:shd w:val="clear" w:color="auto" w:fill="D6D6DE" w:themeFill="accent4" w:themeFillTint="33"/>
      </w:tcPr>
    </w:tblStylePr>
    <w:tblStylePr w:type="neCell">
      <w:tblPr/>
      <w:tcPr>
        <w:tcBorders>
          <w:bottom w:val="single" w:sz="4" w:space="0" w:color="84849D" w:themeColor="accent4" w:themeTint="99"/>
        </w:tcBorders>
      </w:tcPr>
    </w:tblStylePr>
    <w:tblStylePr w:type="nwCell">
      <w:tblPr/>
      <w:tcPr>
        <w:tcBorders>
          <w:bottom w:val="single" w:sz="4" w:space="0" w:color="84849D" w:themeColor="accent4" w:themeTint="99"/>
        </w:tcBorders>
      </w:tcPr>
    </w:tblStylePr>
    <w:tblStylePr w:type="seCell">
      <w:tblPr/>
      <w:tcPr>
        <w:tcBorders>
          <w:top w:val="single" w:sz="4" w:space="0" w:color="84849D" w:themeColor="accent4" w:themeTint="99"/>
        </w:tcBorders>
      </w:tcPr>
    </w:tblStylePr>
    <w:tblStylePr w:type="swCell">
      <w:tblPr/>
      <w:tcPr>
        <w:tcBorders>
          <w:top w:val="single" w:sz="4" w:space="0" w:color="84849D" w:themeColor="accent4" w:themeTint="99"/>
        </w:tcBorders>
      </w:tcPr>
    </w:tblStylePr>
  </w:style>
  <w:style w:type="table" w:customStyle="1" w:styleId="GridTable3-Accent51">
    <w:name w:val="Grid Table 3 - Accent 51"/>
    <w:basedOn w:val="TableNormal"/>
    <w:uiPriority w:val="48"/>
    <w:semiHidden/>
    <w:rsid w:val="00294A5A"/>
    <w:pPr>
      <w:spacing w:after="0" w:line="240" w:lineRule="auto"/>
    </w:p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7" w:themeFill="accent5" w:themeFillTint="33"/>
      </w:tcPr>
    </w:tblStylePr>
    <w:tblStylePr w:type="band1Horz">
      <w:tblPr/>
      <w:tcPr>
        <w:shd w:val="clear" w:color="auto" w:fill="E5E5E7" w:themeFill="accent5" w:themeFillTint="33"/>
      </w:tcPr>
    </w:tblStylePr>
    <w:tblStylePr w:type="neCell">
      <w:tblPr/>
      <w:tcPr>
        <w:tcBorders>
          <w:bottom w:val="single" w:sz="4" w:space="0" w:color="B2B2B9" w:themeColor="accent5" w:themeTint="99"/>
        </w:tcBorders>
      </w:tcPr>
    </w:tblStylePr>
    <w:tblStylePr w:type="nwCell">
      <w:tblPr/>
      <w:tcPr>
        <w:tcBorders>
          <w:bottom w:val="single" w:sz="4" w:space="0" w:color="B2B2B9" w:themeColor="accent5" w:themeTint="99"/>
        </w:tcBorders>
      </w:tcPr>
    </w:tblStylePr>
    <w:tblStylePr w:type="seCell">
      <w:tblPr/>
      <w:tcPr>
        <w:tcBorders>
          <w:top w:val="single" w:sz="4" w:space="0" w:color="B2B2B9" w:themeColor="accent5" w:themeTint="99"/>
        </w:tcBorders>
      </w:tcPr>
    </w:tblStylePr>
    <w:tblStylePr w:type="swCell">
      <w:tblPr/>
      <w:tcPr>
        <w:tcBorders>
          <w:top w:val="single" w:sz="4" w:space="0" w:color="B2B2B9" w:themeColor="accent5" w:themeTint="99"/>
        </w:tcBorders>
      </w:tcPr>
    </w:tblStylePr>
  </w:style>
  <w:style w:type="table" w:customStyle="1" w:styleId="GridTable3-Accent61">
    <w:name w:val="Grid Table 3 - Accent 61"/>
    <w:basedOn w:val="TableNormal"/>
    <w:uiPriority w:val="48"/>
    <w:semiHidden/>
    <w:rsid w:val="00294A5A"/>
    <w:pPr>
      <w:spacing w:after="0" w:line="240" w:lineRule="auto"/>
    </w:p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5" w:themeFill="accent6" w:themeFillTint="33"/>
      </w:tcPr>
    </w:tblStylePr>
    <w:tblStylePr w:type="band1Horz">
      <w:tblPr/>
      <w:tcPr>
        <w:shd w:val="clear" w:color="auto" w:fill="F4F4F5" w:themeFill="accent6" w:themeFillTint="33"/>
      </w:tcPr>
    </w:tblStylePr>
    <w:tblStylePr w:type="neCell">
      <w:tblPr/>
      <w:tcPr>
        <w:tcBorders>
          <w:bottom w:val="single" w:sz="4" w:space="0" w:color="E0E0E2" w:themeColor="accent6" w:themeTint="99"/>
        </w:tcBorders>
      </w:tcPr>
    </w:tblStylePr>
    <w:tblStylePr w:type="nwCell">
      <w:tblPr/>
      <w:tcPr>
        <w:tcBorders>
          <w:bottom w:val="single" w:sz="4" w:space="0" w:color="E0E0E2" w:themeColor="accent6" w:themeTint="99"/>
        </w:tcBorders>
      </w:tcPr>
    </w:tblStylePr>
    <w:tblStylePr w:type="seCell">
      <w:tblPr/>
      <w:tcPr>
        <w:tcBorders>
          <w:top w:val="single" w:sz="4" w:space="0" w:color="E0E0E2" w:themeColor="accent6" w:themeTint="99"/>
        </w:tcBorders>
      </w:tcPr>
    </w:tblStylePr>
    <w:tblStylePr w:type="swCell">
      <w:tblPr/>
      <w:tcPr>
        <w:tcBorders>
          <w:top w:val="single" w:sz="4" w:space="0" w:color="E0E0E2" w:themeColor="accent6" w:themeTint="99"/>
        </w:tcBorders>
      </w:tcPr>
    </w:tblStylePr>
  </w:style>
  <w:style w:type="table" w:customStyle="1" w:styleId="GridTable41">
    <w:name w:val="Grid Table 41"/>
    <w:basedOn w:val="TableNormal"/>
    <w:uiPriority w:val="49"/>
    <w:semiHidden/>
    <w:rsid w:val="00294A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semiHidden/>
    <w:rsid w:val="00294A5A"/>
    <w:pPr>
      <w:spacing w:after="0" w:line="240" w:lineRule="auto"/>
    </w:p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color w:val="FFFFFF" w:themeColor="background1"/>
      </w:rPr>
      <w:tblPr/>
      <w:tcPr>
        <w:tcBorders>
          <w:top w:val="single" w:sz="4" w:space="0" w:color="4098A4" w:themeColor="accent1"/>
          <w:left w:val="single" w:sz="4" w:space="0" w:color="4098A4" w:themeColor="accent1"/>
          <w:bottom w:val="single" w:sz="4" w:space="0" w:color="4098A4" w:themeColor="accent1"/>
          <w:right w:val="single" w:sz="4" w:space="0" w:color="4098A4" w:themeColor="accent1"/>
          <w:insideH w:val="nil"/>
          <w:insideV w:val="nil"/>
        </w:tcBorders>
        <w:shd w:val="clear" w:color="auto" w:fill="4098A4" w:themeFill="accent1"/>
      </w:tcPr>
    </w:tblStylePr>
    <w:tblStylePr w:type="lastRow">
      <w:rPr>
        <w:b/>
        <w:bCs/>
      </w:rPr>
      <w:tblPr/>
      <w:tcPr>
        <w:tcBorders>
          <w:top w:val="double" w:sz="4" w:space="0" w:color="4098A4" w:themeColor="accent1"/>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customStyle="1" w:styleId="GridTable4-Accent21">
    <w:name w:val="Grid Table 4 - Accent 21"/>
    <w:basedOn w:val="TableNormal"/>
    <w:uiPriority w:val="49"/>
    <w:semiHidden/>
    <w:rsid w:val="00294A5A"/>
    <w:pPr>
      <w:spacing w:after="0" w:line="240" w:lineRule="auto"/>
    </w:p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color w:val="FFFFFF" w:themeColor="background1"/>
      </w:rPr>
      <w:tblPr/>
      <w:tcPr>
        <w:tcBorders>
          <w:top w:val="single" w:sz="4" w:space="0" w:color="80BAC3" w:themeColor="accent2"/>
          <w:left w:val="single" w:sz="4" w:space="0" w:color="80BAC3" w:themeColor="accent2"/>
          <w:bottom w:val="single" w:sz="4" w:space="0" w:color="80BAC3" w:themeColor="accent2"/>
          <w:right w:val="single" w:sz="4" w:space="0" w:color="80BAC3" w:themeColor="accent2"/>
          <w:insideH w:val="nil"/>
          <w:insideV w:val="nil"/>
        </w:tcBorders>
        <w:shd w:val="clear" w:color="auto" w:fill="80BAC3" w:themeFill="accent2"/>
      </w:tcPr>
    </w:tblStylePr>
    <w:tblStylePr w:type="lastRow">
      <w:rPr>
        <w:b/>
        <w:bCs/>
      </w:rPr>
      <w:tblPr/>
      <w:tcPr>
        <w:tcBorders>
          <w:top w:val="double" w:sz="4" w:space="0" w:color="80BAC3" w:themeColor="accent2"/>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customStyle="1" w:styleId="GridTable4-Accent31">
    <w:name w:val="Grid Table 4 - Accent 31"/>
    <w:basedOn w:val="TableNormal"/>
    <w:uiPriority w:val="49"/>
    <w:semiHidden/>
    <w:rsid w:val="00294A5A"/>
    <w:pPr>
      <w:spacing w:after="0" w:line="240" w:lineRule="auto"/>
    </w:p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color w:val="FFFFFF" w:themeColor="background1"/>
      </w:rPr>
      <w:tblPr/>
      <w:tcPr>
        <w:tcBorders>
          <w:top w:val="single" w:sz="4" w:space="0" w:color="BFDDE1" w:themeColor="accent3"/>
          <w:left w:val="single" w:sz="4" w:space="0" w:color="BFDDE1" w:themeColor="accent3"/>
          <w:bottom w:val="single" w:sz="4" w:space="0" w:color="BFDDE1" w:themeColor="accent3"/>
          <w:right w:val="single" w:sz="4" w:space="0" w:color="BFDDE1" w:themeColor="accent3"/>
          <w:insideH w:val="nil"/>
          <w:insideV w:val="nil"/>
        </w:tcBorders>
        <w:shd w:val="clear" w:color="auto" w:fill="BFDDE1" w:themeFill="accent3"/>
      </w:tcPr>
    </w:tblStylePr>
    <w:tblStylePr w:type="lastRow">
      <w:rPr>
        <w:b/>
        <w:bCs/>
      </w:rPr>
      <w:tblPr/>
      <w:tcPr>
        <w:tcBorders>
          <w:top w:val="double" w:sz="4" w:space="0" w:color="BFDDE1" w:themeColor="accent3"/>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customStyle="1" w:styleId="GridTable4-Accent41">
    <w:name w:val="Grid Table 4 - Accent 41"/>
    <w:basedOn w:val="TableNormal"/>
    <w:uiPriority w:val="49"/>
    <w:semiHidden/>
    <w:rsid w:val="00294A5A"/>
    <w:pPr>
      <w:spacing w:after="0" w:line="240" w:lineRule="auto"/>
    </w:p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color w:val="FFFFFF" w:themeColor="background1"/>
      </w:rPr>
      <w:tblPr/>
      <w:tcPr>
        <w:tcBorders>
          <w:top w:val="single" w:sz="4" w:space="0" w:color="404050" w:themeColor="accent4"/>
          <w:left w:val="single" w:sz="4" w:space="0" w:color="404050" w:themeColor="accent4"/>
          <w:bottom w:val="single" w:sz="4" w:space="0" w:color="404050" w:themeColor="accent4"/>
          <w:right w:val="single" w:sz="4" w:space="0" w:color="404050" w:themeColor="accent4"/>
          <w:insideH w:val="nil"/>
          <w:insideV w:val="nil"/>
        </w:tcBorders>
        <w:shd w:val="clear" w:color="auto" w:fill="404050" w:themeFill="accent4"/>
      </w:tcPr>
    </w:tblStylePr>
    <w:tblStylePr w:type="lastRow">
      <w:rPr>
        <w:b/>
        <w:bCs/>
      </w:rPr>
      <w:tblPr/>
      <w:tcPr>
        <w:tcBorders>
          <w:top w:val="double" w:sz="4" w:space="0" w:color="404050" w:themeColor="accent4"/>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customStyle="1" w:styleId="GridTable4-Accent51">
    <w:name w:val="Grid Table 4 - Accent 51"/>
    <w:basedOn w:val="TableNormal"/>
    <w:uiPriority w:val="49"/>
    <w:semiHidden/>
    <w:rsid w:val="00294A5A"/>
    <w:pPr>
      <w:spacing w:after="0" w:line="240" w:lineRule="auto"/>
    </w:p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color w:val="FFFFFF" w:themeColor="background1"/>
      </w:rPr>
      <w:tblPr/>
      <w:tcPr>
        <w:tcBorders>
          <w:top w:val="single" w:sz="4" w:space="0" w:color="80808B" w:themeColor="accent5"/>
          <w:left w:val="single" w:sz="4" w:space="0" w:color="80808B" w:themeColor="accent5"/>
          <w:bottom w:val="single" w:sz="4" w:space="0" w:color="80808B" w:themeColor="accent5"/>
          <w:right w:val="single" w:sz="4" w:space="0" w:color="80808B" w:themeColor="accent5"/>
          <w:insideH w:val="nil"/>
          <w:insideV w:val="nil"/>
        </w:tcBorders>
        <w:shd w:val="clear" w:color="auto" w:fill="80808B" w:themeFill="accent5"/>
      </w:tcPr>
    </w:tblStylePr>
    <w:tblStylePr w:type="lastRow">
      <w:rPr>
        <w:b/>
        <w:bCs/>
      </w:rPr>
      <w:tblPr/>
      <w:tcPr>
        <w:tcBorders>
          <w:top w:val="double" w:sz="4" w:space="0" w:color="80808B" w:themeColor="accent5"/>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GridTable4-Accent61">
    <w:name w:val="Grid Table 4 - Accent 61"/>
    <w:basedOn w:val="TableNormal"/>
    <w:uiPriority w:val="49"/>
    <w:semiHidden/>
    <w:rsid w:val="00294A5A"/>
    <w:pPr>
      <w:spacing w:after="0" w:line="240" w:lineRule="auto"/>
    </w:p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color w:val="FFFFFF" w:themeColor="background1"/>
      </w:rPr>
      <w:tblPr/>
      <w:tcPr>
        <w:tcBorders>
          <w:top w:val="single" w:sz="4" w:space="0" w:color="CCCCD0" w:themeColor="accent6"/>
          <w:left w:val="single" w:sz="4" w:space="0" w:color="CCCCD0" w:themeColor="accent6"/>
          <w:bottom w:val="single" w:sz="4" w:space="0" w:color="CCCCD0" w:themeColor="accent6"/>
          <w:right w:val="single" w:sz="4" w:space="0" w:color="CCCCD0" w:themeColor="accent6"/>
          <w:insideH w:val="nil"/>
          <w:insideV w:val="nil"/>
        </w:tcBorders>
        <w:shd w:val="clear" w:color="auto" w:fill="CCCCD0" w:themeFill="accent6"/>
      </w:tcPr>
    </w:tblStylePr>
    <w:tblStylePr w:type="lastRow">
      <w:rPr>
        <w:b/>
        <w:bCs/>
      </w:rPr>
      <w:tblPr/>
      <w:tcPr>
        <w:tcBorders>
          <w:top w:val="double" w:sz="4" w:space="0" w:color="CCCCD0" w:themeColor="accent6"/>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customStyle="1" w:styleId="GridTable5Dark1">
    <w:name w:val="Grid Table 5 Dark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EC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98A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98A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98A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98A4" w:themeFill="accent1"/>
      </w:tcPr>
    </w:tblStylePr>
    <w:tblStylePr w:type="band1Vert">
      <w:tblPr/>
      <w:tcPr>
        <w:shd w:val="clear" w:color="auto" w:fill="ADD9DF" w:themeFill="accent1" w:themeFillTint="66"/>
      </w:tcPr>
    </w:tblStylePr>
    <w:tblStylePr w:type="band1Horz">
      <w:tblPr/>
      <w:tcPr>
        <w:shd w:val="clear" w:color="auto" w:fill="ADD9DF" w:themeFill="accent1" w:themeFillTint="66"/>
      </w:tcPr>
    </w:tblStylePr>
  </w:style>
  <w:style w:type="table" w:customStyle="1" w:styleId="GridTable5Dark-Accent21">
    <w:name w:val="Grid Table 5 Dark - Accent 2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1F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BAC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BAC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BAC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BAC3" w:themeFill="accent2"/>
      </w:tcPr>
    </w:tblStylePr>
    <w:tblStylePr w:type="band1Vert">
      <w:tblPr/>
      <w:tcPr>
        <w:shd w:val="clear" w:color="auto" w:fill="CCE3E7" w:themeFill="accent2" w:themeFillTint="66"/>
      </w:tcPr>
    </w:tblStylePr>
    <w:tblStylePr w:type="band1Horz">
      <w:tblPr/>
      <w:tcPr>
        <w:shd w:val="clear" w:color="auto" w:fill="CCE3E7" w:themeFill="accent2" w:themeFillTint="66"/>
      </w:tcPr>
    </w:tblStylePr>
  </w:style>
  <w:style w:type="table" w:customStyle="1" w:styleId="GridTable5Dark-Accent31">
    <w:name w:val="Grid Table 5 Dark - Accent 3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8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DDE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DDE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DDE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DDE1" w:themeFill="accent3"/>
      </w:tcPr>
    </w:tblStylePr>
    <w:tblStylePr w:type="band1Vert">
      <w:tblPr/>
      <w:tcPr>
        <w:shd w:val="clear" w:color="auto" w:fill="E5F1F3" w:themeFill="accent3" w:themeFillTint="66"/>
      </w:tcPr>
    </w:tblStylePr>
    <w:tblStylePr w:type="band1Horz">
      <w:tblPr/>
      <w:tcPr>
        <w:shd w:val="clear" w:color="auto" w:fill="E5F1F3" w:themeFill="accent3" w:themeFillTint="66"/>
      </w:tcPr>
    </w:tblStylePr>
  </w:style>
  <w:style w:type="table" w:customStyle="1" w:styleId="GridTable5Dark-Accent41">
    <w:name w:val="Grid Table 5 Dark - Accent 4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D6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4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4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4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4050" w:themeFill="accent4"/>
      </w:tcPr>
    </w:tblStylePr>
    <w:tblStylePr w:type="band1Vert">
      <w:tblPr/>
      <w:tcPr>
        <w:shd w:val="clear" w:color="auto" w:fill="ADADBD" w:themeFill="accent4" w:themeFillTint="66"/>
      </w:tcPr>
    </w:tblStylePr>
    <w:tblStylePr w:type="band1Horz">
      <w:tblPr/>
      <w:tcPr>
        <w:shd w:val="clear" w:color="auto" w:fill="ADADBD" w:themeFill="accent4" w:themeFillTint="66"/>
      </w:tcPr>
    </w:tblStylePr>
  </w:style>
  <w:style w:type="table" w:customStyle="1" w:styleId="GridTable5Dark-Accent51">
    <w:name w:val="Grid Table 5 Dark - Accent 5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808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808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808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808B" w:themeFill="accent5"/>
      </w:tcPr>
    </w:tblStylePr>
    <w:tblStylePr w:type="band1Vert">
      <w:tblPr/>
      <w:tcPr>
        <w:shd w:val="clear" w:color="auto" w:fill="CCCCD0" w:themeFill="accent5" w:themeFillTint="66"/>
      </w:tcPr>
    </w:tblStylePr>
    <w:tblStylePr w:type="band1Horz">
      <w:tblPr/>
      <w:tcPr>
        <w:shd w:val="clear" w:color="auto" w:fill="CCCCD0" w:themeFill="accent5" w:themeFillTint="66"/>
      </w:tcPr>
    </w:tblStylePr>
  </w:style>
  <w:style w:type="table" w:customStyle="1" w:styleId="GridTable5Dark-Accent61">
    <w:name w:val="Grid Table 5 Dark - Accent 6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4F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CCCD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CCCD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CCCD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CCCD0" w:themeFill="accent6"/>
      </w:tcPr>
    </w:tblStylePr>
    <w:tblStylePr w:type="band1Vert">
      <w:tblPr/>
      <w:tcPr>
        <w:shd w:val="clear" w:color="auto" w:fill="EAEAEC" w:themeFill="accent6" w:themeFillTint="66"/>
      </w:tcPr>
    </w:tblStylePr>
    <w:tblStylePr w:type="band1Horz">
      <w:tblPr/>
      <w:tcPr>
        <w:shd w:val="clear" w:color="auto" w:fill="EAEAEC" w:themeFill="accent6" w:themeFillTint="66"/>
      </w:tcPr>
    </w:tblStylePr>
  </w:style>
  <w:style w:type="table" w:customStyle="1" w:styleId="GridTable6Colorful1">
    <w:name w:val="Grid Table 6 Colorful1"/>
    <w:basedOn w:val="TableNormal"/>
    <w:uiPriority w:val="51"/>
    <w:semiHidden/>
    <w:rsid w:val="00294A5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semiHidden/>
    <w:rsid w:val="00294A5A"/>
    <w:pPr>
      <w:spacing w:after="0" w:line="240" w:lineRule="auto"/>
    </w:pPr>
    <w:rPr>
      <w:color w:val="30717A" w:themeColor="accent1" w:themeShade="BF"/>
    </w:r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rPr>
      <w:tblPr/>
      <w:tcPr>
        <w:tcBorders>
          <w:bottom w:val="single" w:sz="12" w:space="0" w:color="85C6CF" w:themeColor="accent1" w:themeTint="99"/>
        </w:tcBorders>
      </w:tcPr>
    </w:tblStylePr>
    <w:tblStylePr w:type="lastRow">
      <w:rPr>
        <w:b/>
        <w:bCs/>
      </w:rPr>
      <w:tblPr/>
      <w:tcPr>
        <w:tcBorders>
          <w:top w:val="double" w:sz="4" w:space="0" w:color="85C6CF" w:themeColor="accent1" w:themeTint="99"/>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customStyle="1" w:styleId="GridTable6Colorful-Accent21">
    <w:name w:val="Grid Table 6 Colorful - Accent 21"/>
    <w:basedOn w:val="TableNormal"/>
    <w:uiPriority w:val="51"/>
    <w:semiHidden/>
    <w:rsid w:val="00294A5A"/>
    <w:pPr>
      <w:spacing w:after="0" w:line="240" w:lineRule="auto"/>
    </w:pPr>
    <w:rPr>
      <w:color w:val="4D98A4" w:themeColor="accent2" w:themeShade="BF"/>
    </w:r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rPr>
      <w:tblPr/>
      <w:tcPr>
        <w:tcBorders>
          <w:bottom w:val="single" w:sz="12" w:space="0" w:color="B2D5DB" w:themeColor="accent2" w:themeTint="99"/>
        </w:tcBorders>
      </w:tcPr>
    </w:tblStylePr>
    <w:tblStylePr w:type="lastRow">
      <w:rPr>
        <w:b/>
        <w:bCs/>
      </w:rPr>
      <w:tblPr/>
      <w:tcPr>
        <w:tcBorders>
          <w:top w:val="double" w:sz="4" w:space="0" w:color="B2D5DB" w:themeColor="accent2" w:themeTint="99"/>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customStyle="1" w:styleId="GridTable6Colorful-Accent31">
    <w:name w:val="Grid Table 6 Colorful - Accent 31"/>
    <w:basedOn w:val="TableNormal"/>
    <w:uiPriority w:val="51"/>
    <w:semiHidden/>
    <w:rsid w:val="00294A5A"/>
    <w:pPr>
      <w:spacing w:after="0" w:line="240" w:lineRule="auto"/>
    </w:pPr>
    <w:rPr>
      <w:color w:val="77B7BF" w:themeColor="accent3" w:themeShade="BF"/>
    </w:r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rPr>
      <w:tblPr/>
      <w:tcPr>
        <w:tcBorders>
          <w:bottom w:val="single" w:sz="12" w:space="0" w:color="D8EAED" w:themeColor="accent3" w:themeTint="99"/>
        </w:tcBorders>
      </w:tcPr>
    </w:tblStylePr>
    <w:tblStylePr w:type="lastRow">
      <w:rPr>
        <w:b/>
        <w:bCs/>
      </w:rPr>
      <w:tblPr/>
      <w:tcPr>
        <w:tcBorders>
          <w:top w:val="double" w:sz="4" w:space="0" w:color="D8EAED" w:themeColor="accent3" w:themeTint="99"/>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customStyle="1" w:styleId="GridTable6Colorful-Accent41">
    <w:name w:val="Grid Table 6 Colorful - Accent 41"/>
    <w:basedOn w:val="TableNormal"/>
    <w:uiPriority w:val="51"/>
    <w:semiHidden/>
    <w:rsid w:val="00294A5A"/>
    <w:pPr>
      <w:spacing w:after="0" w:line="240" w:lineRule="auto"/>
    </w:pPr>
    <w:rPr>
      <w:color w:val="30303B" w:themeColor="accent4" w:themeShade="BF"/>
    </w:r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rPr>
      <w:tblPr/>
      <w:tcPr>
        <w:tcBorders>
          <w:bottom w:val="single" w:sz="12" w:space="0" w:color="84849D" w:themeColor="accent4" w:themeTint="99"/>
        </w:tcBorders>
      </w:tcPr>
    </w:tblStylePr>
    <w:tblStylePr w:type="lastRow">
      <w:rPr>
        <w:b/>
        <w:bCs/>
      </w:rPr>
      <w:tblPr/>
      <w:tcPr>
        <w:tcBorders>
          <w:top w:val="double" w:sz="4" w:space="0" w:color="84849D" w:themeColor="accent4" w:themeTint="99"/>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customStyle="1" w:styleId="GridTable6Colorful-Accent51">
    <w:name w:val="Grid Table 6 Colorful - Accent 51"/>
    <w:basedOn w:val="TableNormal"/>
    <w:uiPriority w:val="51"/>
    <w:semiHidden/>
    <w:rsid w:val="00294A5A"/>
    <w:pPr>
      <w:spacing w:after="0" w:line="240" w:lineRule="auto"/>
    </w:pPr>
    <w:rPr>
      <w:color w:val="5F5F68" w:themeColor="accent5" w:themeShade="BF"/>
    </w:r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rPr>
      <w:tblPr/>
      <w:tcPr>
        <w:tcBorders>
          <w:bottom w:val="single" w:sz="12" w:space="0" w:color="B2B2B9" w:themeColor="accent5" w:themeTint="99"/>
        </w:tcBorders>
      </w:tcPr>
    </w:tblStylePr>
    <w:tblStylePr w:type="lastRow">
      <w:rPr>
        <w:b/>
        <w:bCs/>
      </w:rPr>
      <w:tblPr/>
      <w:tcPr>
        <w:tcBorders>
          <w:top w:val="double" w:sz="4" w:space="0" w:color="B2B2B9" w:themeColor="accent5" w:themeTint="99"/>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GridTable6Colorful-Accent61">
    <w:name w:val="Grid Table 6 Colorful - Accent 61"/>
    <w:basedOn w:val="TableNormal"/>
    <w:uiPriority w:val="51"/>
    <w:semiHidden/>
    <w:rsid w:val="00294A5A"/>
    <w:pPr>
      <w:spacing w:after="0" w:line="240" w:lineRule="auto"/>
    </w:pPr>
    <w:rPr>
      <w:color w:val="96969E" w:themeColor="accent6" w:themeShade="BF"/>
    </w:r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rPr>
      <w:tblPr/>
      <w:tcPr>
        <w:tcBorders>
          <w:bottom w:val="single" w:sz="12" w:space="0" w:color="E0E0E2" w:themeColor="accent6" w:themeTint="99"/>
        </w:tcBorders>
      </w:tcPr>
    </w:tblStylePr>
    <w:tblStylePr w:type="lastRow">
      <w:rPr>
        <w:b/>
        <w:bCs/>
      </w:rPr>
      <w:tblPr/>
      <w:tcPr>
        <w:tcBorders>
          <w:top w:val="double" w:sz="4" w:space="0" w:color="E0E0E2" w:themeColor="accent6" w:themeTint="99"/>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customStyle="1" w:styleId="GridTable7Colorful1">
    <w:name w:val="Grid Table 7 Colorful1"/>
    <w:basedOn w:val="TableNormal"/>
    <w:uiPriority w:val="52"/>
    <w:semiHidden/>
    <w:rsid w:val="00294A5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semiHidden/>
    <w:rsid w:val="00294A5A"/>
    <w:pPr>
      <w:spacing w:after="0" w:line="240" w:lineRule="auto"/>
    </w:pPr>
    <w:rPr>
      <w:color w:val="30717A" w:themeColor="accent1" w:themeShade="BF"/>
    </w:r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CEF" w:themeFill="accent1" w:themeFillTint="33"/>
      </w:tcPr>
    </w:tblStylePr>
    <w:tblStylePr w:type="band1Horz">
      <w:tblPr/>
      <w:tcPr>
        <w:shd w:val="clear" w:color="auto" w:fill="D6ECEF" w:themeFill="accent1" w:themeFillTint="33"/>
      </w:tcPr>
    </w:tblStylePr>
    <w:tblStylePr w:type="neCell">
      <w:tblPr/>
      <w:tcPr>
        <w:tcBorders>
          <w:bottom w:val="single" w:sz="4" w:space="0" w:color="85C6CF" w:themeColor="accent1" w:themeTint="99"/>
        </w:tcBorders>
      </w:tcPr>
    </w:tblStylePr>
    <w:tblStylePr w:type="nwCell">
      <w:tblPr/>
      <w:tcPr>
        <w:tcBorders>
          <w:bottom w:val="single" w:sz="4" w:space="0" w:color="85C6CF" w:themeColor="accent1" w:themeTint="99"/>
        </w:tcBorders>
      </w:tcPr>
    </w:tblStylePr>
    <w:tblStylePr w:type="seCell">
      <w:tblPr/>
      <w:tcPr>
        <w:tcBorders>
          <w:top w:val="single" w:sz="4" w:space="0" w:color="85C6CF" w:themeColor="accent1" w:themeTint="99"/>
        </w:tcBorders>
      </w:tcPr>
    </w:tblStylePr>
    <w:tblStylePr w:type="swCell">
      <w:tblPr/>
      <w:tcPr>
        <w:tcBorders>
          <w:top w:val="single" w:sz="4" w:space="0" w:color="85C6CF" w:themeColor="accent1" w:themeTint="99"/>
        </w:tcBorders>
      </w:tcPr>
    </w:tblStylePr>
  </w:style>
  <w:style w:type="table" w:customStyle="1" w:styleId="GridTable7Colorful-Accent21">
    <w:name w:val="Grid Table 7 Colorful - Accent 21"/>
    <w:basedOn w:val="TableNormal"/>
    <w:uiPriority w:val="52"/>
    <w:semiHidden/>
    <w:rsid w:val="00294A5A"/>
    <w:pPr>
      <w:spacing w:after="0" w:line="240" w:lineRule="auto"/>
    </w:pPr>
    <w:rPr>
      <w:color w:val="4D98A4" w:themeColor="accent2" w:themeShade="BF"/>
    </w:r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1F3" w:themeFill="accent2" w:themeFillTint="33"/>
      </w:tcPr>
    </w:tblStylePr>
    <w:tblStylePr w:type="band1Horz">
      <w:tblPr/>
      <w:tcPr>
        <w:shd w:val="clear" w:color="auto" w:fill="E5F1F3" w:themeFill="accent2" w:themeFillTint="33"/>
      </w:tcPr>
    </w:tblStylePr>
    <w:tblStylePr w:type="neCell">
      <w:tblPr/>
      <w:tcPr>
        <w:tcBorders>
          <w:bottom w:val="single" w:sz="4" w:space="0" w:color="B2D5DB" w:themeColor="accent2" w:themeTint="99"/>
        </w:tcBorders>
      </w:tcPr>
    </w:tblStylePr>
    <w:tblStylePr w:type="nwCell">
      <w:tblPr/>
      <w:tcPr>
        <w:tcBorders>
          <w:bottom w:val="single" w:sz="4" w:space="0" w:color="B2D5DB" w:themeColor="accent2" w:themeTint="99"/>
        </w:tcBorders>
      </w:tcPr>
    </w:tblStylePr>
    <w:tblStylePr w:type="seCell">
      <w:tblPr/>
      <w:tcPr>
        <w:tcBorders>
          <w:top w:val="single" w:sz="4" w:space="0" w:color="B2D5DB" w:themeColor="accent2" w:themeTint="99"/>
        </w:tcBorders>
      </w:tcPr>
    </w:tblStylePr>
    <w:tblStylePr w:type="swCell">
      <w:tblPr/>
      <w:tcPr>
        <w:tcBorders>
          <w:top w:val="single" w:sz="4" w:space="0" w:color="B2D5DB" w:themeColor="accent2" w:themeTint="99"/>
        </w:tcBorders>
      </w:tcPr>
    </w:tblStylePr>
  </w:style>
  <w:style w:type="table" w:customStyle="1" w:styleId="GridTable7Colorful-Accent31">
    <w:name w:val="Grid Table 7 Colorful - Accent 31"/>
    <w:basedOn w:val="TableNormal"/>
    <w:uiPriority w:val="52"/>
    <w:semiHidden/>
    <w:rsid w:val="00294A5A"/>
    <w:pPr>
      <w:spacing w:after="0" w:line="240" w:lineRule="auto"/>
    </w:pPr>
    <w:rPr>
      <w:color w:val="77B7BF" w:themeColor="accent3" w:themeShade="BF"/>
    </w:r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8F9" w:themeFill="accent3" w:themeFillTint="33"/>
      </w:tcPr>
    </w:tblStylePr>
    <w:tblStylePr w:type="band1Horz">
      <w:tblPr/>
      <w:tcPr>
        <w:shd w:val="clear" w:color="auto" w:fill="F2F8F9" w:themeFill="accent3" w:themeFillTint="33"/>
      </w:tcPr>
    </w:tblStylePr>
    <w:tblStylePr w:type="neCell">
      <w:tblPr/>
      <w:tcPr>
        <w:tcBorders>
          <w:bottom w:val="single" w:sz="4" w:space="0" w:color="D8EAED" w:themeColor="accent3" w:themeTint="99"/>
        </w:tcBorders>
      </w:tcPr>
    </w:tblStylePr>
    <w:tblStylePr w:type="nwCell">
      <w:tblPr/>
      <w:tcPr>
        <w:tcBorders>
          <w:bottom w:val="single" w:sz="4" w:space="0" w:color="D8EAED" w:themeColor="accent3" w:themeTint="99"/>
        </w:tcBorders>
      </w:tcPr>
    </w:tblStylePr>
    <w:tblStylePr w:type="seCell">
      <w:tblPr/>
      <w:tcPr>
        <w:tcBorders>
          <w:top w:val="single" w:sz="4" w:space="0" w:color="D8EAED" w:themeColor="accent3" w:themeTint="99"/>
        </w:tcBorders>
      </w:tcPr>
    </w:tblStylePr>
    <w:tblStylePr w:type="swCell">
      <w:tblPr/>
      <w:tcPr>
        <w:tcBorders>
          <w:top w:val="single" w:sz="4" w:space="0" w:color="D8EAED" w:themeColor="accent3" w:themeTint="99"/>
        </w:tcBorders>
      </w:tcPr>
    </w:tblStylePr>
  </w:style>
  <w:style w:type="table" w:customStyle="1" w:styleId="GridTable7Colorful-Accent41">
    <w:name w:val="Grid Table 7 Colorful - Accent 41"/>
    <w:basedOn w:val="TableNormal"/>
    <w:uiPriority w:val="52"/>
    <w:semiHidden/>
    <w:rsid w:val="00294A5A"/>
    <w:pPr>
      <w:spacing w:after="0" w:line="240" w:lineRule="auto"/>
    </w:pPr>
    <w:rPr>
      <w:color w:val="30303B" w:themeColor="accent4" w:themeShade="BF"/>
    </w:r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E" w:themeFill="accent4" w:themeFillTint="33"/>
      </w:tcPr>
    </w:tblStylePr>
    <w:tblStylePr w:type="band1Horz">
      <w:tblPr/>
      <w:tcPr>
        <w:shd w:val="clear" w:color="auto" w:fill="D6D6DE" w:themeFill="accent4" w:themeFillTint="33"/>
      </w:tcPr>
    </w:tblStylePr>
    <w:tblStylePr w:type="neCell">
      <w:tblPr/>
      <w:tcPr>
        <w:tcBorders>
          <w:bottom w:val="single" w:sz="4" w:space="0" w:color="84849D" w:themeColor="accent4" w:themeTint="99"/>
        </w:tcBorders>
      </w:tcPr>
    </w:tblStylePr>
    <w:tblStylePr w:type="nwCell">
      <w:tblPr/>
      <w:tcPr>
        <w:tcBorders>
          <w:bottom w:val="single" w:sz="4" w:space="0" w:color="84849D" w:themeColor="accent4" w:themeTint="99"/>
        </w:tcBorders>
      </w:tcPr>
    </w:tblStylePr>
    <w:tblStylePr w:type="seCell">
      <w:tblPr/>
      <w:tcPr>
        <w:tcBorders>
          <w:top w:val="single" w:sz="4" w:space="0" w:color="84849D" w:themeColor="accent4" w:themeTint="99"/>
        </w:tcBorders>
      </w:tcPr>
    </w:tblStylePr>
    <w:tblStylePr w:type="swCell">
      <w:tblPr/>
      <w:tcPr>
        <w:tcBorders>
          <w:top w:val="single" w:sz="4" w:space="0" w:color="84849D" w:themeColor="accent4" w:themeTint="99"/>
        </w:tcBorders>
      </w:tcPr>
    </w:tblStylePr>
  </w:style>
  <w:style w:type="table" w:customStyle="1" w:styleId="GridTable7Colorful-Accent51">
    <w:name w:val="Grid Table 7 Colorful - Accent 51"/>
    <w:basedOn w:val="TableNormal"/>
    <w:uiPriority w:val="52"/>
    <w:semiHidden/>
    <w:rsid w:val="00294A5A"/>
    <w:pPr>
      <w:spacing w:after="0" w:line="240" w:lineRule="auto"/>
    </w:pPr>
    <w:rPr>
      <w:color w:val="5F5F68" w:themeColor="accent5" w:themeShade="BF"/>
    </w:r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7" w:themeFill="accent5" w:themeFillTint="33"/>
      </w:tcPr>
    </w:tblStylePr>
    <w:tblStylePr w:type="band1Horz">
      <w:tblPr/>
      <w:tcPr>
        <w:shd w:val="clear" w:color="auto" w:fill="E5E5E7" w:themeFill="accent5" w:themeFillTint="33"/>
      </w:tcPr>
    </w:tblStylePr>
    <w:tblStylePr w:type="neCell">
      <w:tblPr/>
      <w:tcPr>
        <w:tcBorders>
          <w:bottom w:val="single" w:sz="4" w:space="0" w:color="B2B2B9" w:themeColor="accent5" w:themeTint="99"/>
        </w:tcBorders>
      </w:tcPr>
    </w:tblStylePr>
    <w:tblStylePr w:type="nwCell">
      <w:tblPr/>
      <w:tcPr>
        <w:tcBorders>
          <w:bottom w:val="single" w:sz="4" w:space="0" w:color="B2B2B9" w:themeColor="accent5" w:themeTint="99"/>
        </w:tcBorders>
      </w:tcPr>
    </w:tblStylePr>
    <w:tblStylePr w:type="seCell">
      <w:tblPr/>
      <w:tcPr>
        <w:tcBorders>
          <w:top w:val="single" w:sz="4" w:space="0" w:color="B2B2B9" w:themeColor="accent5" w:themeTint="99"/>
        </w:tcBorders>
      </w:tcPr>
    </w:tblStylePr>
    <w:tblStylePr w:type="swCell">
      <w:tblPr/>
      <w:tcPr>
        <w:tcBorders>
          <w:top w:val="single" w:sz="4" w:space="0" w:color="B2B2B9" w:themeColor="accent5" w:themeTint="99"/>
        </w:tcBorders>
      </w:tcPr>
    </w:tblStylePr>
  </w:style>
  <w:style w:type="table" w:customStyle="1" w:styleId="GridTable7Colorful-Accent61">
    <w:name w:val="Grid Table 7 Colorful - Accent 61"/>
    <w:basedOn w:val="TableNormal"/>
    <w:uiPriority w:val="52"/>
    <w:semiHidden/>
    <w:rsid w:val="00294A5A"/>
    <w:pPr>
      <w:spacing w:after="0" w:line="240" w:lineRule="auto"/>
    </w:pPr>
    <w:rPr>
      <w:color w:val="96969E" w:themeColor="accent6" w:themeShade="BF"/>
    </w:r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5" w:themeFill="accent6" w:themeFillTint="33"/>
      </w:tcPr>
    </w:tblStylePr>
    <w:tblStylePr w:type="band1Horz">
      <w:tblPr/>
      <w:tcPr>
        <w:shd w:val="clear" w:color="auto" w:fill="F4F4F5" w:themeFill="accent6" w:themeFillTint="33"/>
      </w:tcPr>
    </w:tblStylePr>
    <w:tblStylePr w:type="neCell">
      <w:tblPr/>
      <w:tcPr>
        <w:tcBorders>
          <w:bottom w:val="single" w:sz="4" w:space="0" w:color="E0E0E2" w:themeColor="accent6" w:themeTint="99"/>
        </w:tcBorders>
      </w:tcPr>
    </w:tblStylePr>
    <w:tblStylePr w:type="nwCell">
      <w:tblPr/>
      <w:tcPr>
        <w:tcBorders>
          <w:bottom w:val="single" w:sz="4" w:space="0" w:color="E0E0E2" w:themeColor="accent6" w:themeTint="99"/>
        </w:tcBorders>
      </w:tcPr>
    </w:tblStylePr>
    <w:tblStylePr w:type="seCell">
      <w:tblPr/>
      <w:tcPr>
        <w:tcBorders>
          <w:top w:val="single" w:sz="4" w:space="0" w:color="E0E0E2" w:themeColor="accent6" w:themeTint="99"/>
        </w:tcBorders>
      </w:tcPr>
    </w:tblStylePr>
    <w:tblStylePr w:type="swCell">
      <w:tblPr/>
      <w:tcPr>
        <w:tcBorders>
          <w:top w:val="single" w:sz="4" w:space="0" w:color="E0E0E2" w:themeColor="accent6" w:themeTint="99"/>
        </w:tcBorders>
      </w:tcPr>
    </w:tblStylePr>
  </w:style>
  <w:style w:type="table" w:styleId="LightGrid">
    <w:name w:val="Light Grid"/>
    <w:basedOn w:val="TableNormal"/>
    <w:uiPriority w:val="62"/>
    <w:semiHidden/>
    <w:rsid w:val="00294A5A"/>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294A5A"/>
    <w:pPr>
      <w:spacing w:before="0" w:after="0" w:line="240" w:lineRule="auto"/>
    </w:p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insideH w:val="single" w:sz="8" w:space="0" w:color="4098A4" w:themeColor="accent1"/>
        <w:insideV w:val="single" w:sz="8" w:space="0" w:color="4098A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98A4" w:themeColor="accent1"/>
          <w:left w:val="single" w:sz="8" w:space="0" w:color="4098A4" w:themeColor="accent1"/>
          <w:bottom w:val="single" w:sz="18" w:space="0" w:color="4098A4" w:themeColor="accent1"/>
          <w:right w:val="single" w:sz="8" w:space="0" w:color="4098A4" w:themeColor="accent1"/>
          <w:insideH w:val="nil"/>
          <w:insideV w:val="single" w:sz="8" w:space="0" w:color="4098A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98A4" w:themeColor="accent1"/>
          <w:left w:val="single" w:sz="8" w:space="0" w:color="4098A4" w:themeColor="accent1"/>
          <w:bottom w:val="single" w:sz="8" w:space="0" w:color="4098A4" w:themeColor="accent1"/>
          <w:right w:val="single" w:sz="8" w:space="0" w:color="4098A4" w:themeColor="accent1"/>
          <w:insideH w:val="nil"/>
          <w:insideV w:val="single" w:sz="8" w:space="0" w:color="4098A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tcPr>
    </w:tblStylePr>
    <w:tblStylePr w:type="band1Vert">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shd w:val="clear" w:color="auto" w:fill="CCE7EB" w:themeFill="accent1" w:themeFillTint="3F"/>
      </w:tcPr>
    </w:tblStylePr>
    <w:tblStylePr w:type="band1Horz">
      <w:tblPr/>
      <w:tcPr>
        <w:tcBorders>
          <w:top w:val="single" w:sz="8" w:space="0" w:color="4098A4" w:themeColor="accent1"/>
          <w:left w:val="single" w:sz="8" w:space="0" w:color="4098A4" w:themeColor="accent1"/>
          <w:bottom w:val="single" w:sz="8" w:space="0" w:color="4098A4" w:themeColor="accent1"/>
          <w:right w:val="single" w:sz="8" w:space="0" w:color="4098A4" w:themeColor="accent1"/>
          <w:insideV w:val="single" w:sz="8" w:space="0" w:color="4098A4" w:themeColor="accent1"/>
        </w:tcBorders>
        <w:shd w:val="clear" w:color="auto" w:fill="CCE7EB" w:themeFill="accent1" w:themeFillTint="3F"/>
      </w:tcPr>
    </w:tblStylePr>
    <w:tblStylePr w:type="band2Horz">
      <w:tblPr/>
      <w:tcPr>
        <w:tcBorders>
          <w:top w:val="single" w:sz="8" w:space="0" w:color="4098A4" w:themeColor="accent1"/>
          <w:left w:val="single" w:sz="8" w:space="0" w:color="4098A4" w:themeColor="accent1"/>
          <w:bottom w:val="single" w:sz="8" w:space="0" w:color="4098A4" w:themeColor="accent1"/>
          <w:right w:val="single" w:sz="8" w:space="0" w:color="4098A4" w:themeColor="accent1"/>
          <w:insideV w:val="single" w:sz="8" w:space="0" w:color="4098A4" w:themeColor="accent1"/>
        </w:tcBorders>
      </w:tcPr>
    </w:tblStylePr>
  </w:style>
  <w:style w:type="table" w:styleId="LightGrid-Accent2">
    <w:name w:val="Light Grid Accent 2"/>
    <w:basedOn w:val="TableNormal"/>
    <w:uiPriority w:val="62"/>
    <w:semiHidden/>
    <w:rsid w:val="00294A5A"/>
    <w:pPr>
      <w:spacing w:before="0" w:after="0" w:line="240" w:lineRule="auto"/>
    </w:p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insideH w:val="single" w:sz="8" w:space="0" w:color="80BAC3" w:themeColor="accent2"/>
        <w:insideV w:val="single" w:sz="8" w:space="0" w:color="80BAC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BAC3" w:themeColor="accent2"/>
          <w:left w:val="single" w:sz="8" w:space="0" w:color="80BAC3" w:themeColor="accent2"/>
          <w:bottom w:val="single" w:sz="18" w:space="0" w:color="80BAC3" w:themeColor="accent2"/>
          <w:right w:val="single" w:sz="8" w:space="0" w:color="80BAC3" w:themeColor="accent2"/>
          <w:insideH w:val="nil"/>
          <w:insideV w:val="single" w:sz="8" w:space="0" w:color="80BAC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BAC3" w:themeColor="accent2"/>
          <w:left w:val="single" w:sz="8" w:space="0" w:color="80BAC3" w:themeColor="accent2"/>
          <w:bottom w:val="single" w:sz="8" w:space="0" w:color="80BAC3" w:themeColor="accent2"/>
          <w:right w:val="single" w:sz="8" w:space="0" w:color="80BAC3" w:themeColor="accent2"/>
          <w:insideH w:val="nil"/>
          <w:insideV w:val="single" w:sz="8" w:space="0" w:color="80BAC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tcPr>
    </w:tblStylePr>
    <w:tblStylePr w:type="band1Vert">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shd w:val="clear" w:color="auto" w:fill="DFEDF0" w:themeFill="accent2" w:themeFillTint="3F"/>
      </w:tcPr>
    </w:tblStylePr>
    <w:tblStylePr w:type="band1Horz">
      <w:tblPr/>
      <w:tcPr>
        <w:tcBorders>
          <w:top w:val="single" w:sz="8" w:space="0" w:color="80BAC3" w:themeColor="accent2"/>
          <w:left w:val="single" w:sz="8" w:space="0" w:color="80BAC3" w:themeColor="accent2"/>
          <w:bottom w:val="single" w:sz="8" w:space="0" w:color="80BAC3" w:themeColor="accent2"/>
          <w:right w:val="single" w:sz="8" w:space="0" w:color="80BAC3" w:themeColor="accent2"/>
          <w:insideV w:val="single" w:sz="8" w:space="0" w:color="80BAC3" w:themeColor="accent2"/>
        </w:tcBorders>
        <w:shd w:val="clear" w:color="auto" w:fill="DFEDF0" w:themeFill="accent2" w:themeFillTint="3F"/>
      </w:tcPr>
    </w:tblStylePr>
    <w:tblStylePr w:type="band2Horz">
      <w:tblPr/>
      <w:tcPr>
        <w:tcBorders>
          <w:top w:val="single" w:sz="8" w:space="0" w:color="80BAC3" w:themeColor="accent2"/>
          <w:left w:val="single" w:sz="8" w:space="0" w:color="80BAC3" w:themeColor="accent2"/>
          <w:bottom w:val="single" w:sz="8" w:space="0" w:color="80BAC3" w:themeColor="accent2"/>
          <w:right w:val="single" w:sz="8" w:space="0" w:color="80BAC3" w:themeColor="accent2"/>
          <w:insideV w:val="single" w:sz="8" w:space="0" w:color="80BAC3" w:themeColor="accent2"/>
        </w:tcBorders>
      </w:tcPr>
    </w:tblStylePr>
  </w:style>
  <w:style w:type="table" w:styleId="LightGrid-Accent3">
    <w:name w:val="Light Grid Accent 3"/>
    <w:basedOn w:val="TableNormal"/>
    <w:uiPriority w:val="62"/>
    <w:semiHidden/>
    <w:rsid w:val="00294A5A"/>
    <w:pPr>
      <w:spacing w:before="0" w:after="0" w:line="240" w:lineRule="auto"/>
    </w:p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insideH w:val="single" w:sz="8" w:space="0" w:color="BFDDE1" w:themeColor="accent3"/>
        <w:insideV w:val="single" w:sz="8" w:space="0" w:color="BFDDE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DDE1" w:themeColor="accent3"/>
          <w:left w:val="single" w:sz="8" w:space="0" w:color="BFDDE1" w:themeColor="accent3"/>
          <w:bottom w:val="single" w:sz="18" w:space="0" w:color="BFDDE1" w:themeColor="accent3"/>
          <w:right w:val="single" w:sz="8" w:space="0" w:color="BFDDE1" w:themeColor="accent3"/>
          <w:insideH w:val="nil"/>
          <w:insideV w:val="single" w:sz="8" w:space="0" w:color="BFDDE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DDE1" w:themeColor="accent3"/>
          <w:left w:val="single" w:sz="8" w:space="0" w:color="BFDDE1" w:themeColor="accent3"/>
          <w:bottom w:val="single" w:sz="8" w:space="0" w:color="BFDDE1" w:themeColor="accent3"/>
          <w:right w:val="single" w:sz="8" w:space="0" w:color="BFDDE1" w:themeColor="accent3"/>
          <w:insideH w:val="nil"/>
          <w:insideV w:val="single" w:sz="8" w:space="0" w:color="BFDDE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tcPr>
    </w:tblStylePr>
    <w:tblStylePr w:type="band1Vert">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shd w:val="clear" w:color="auto" w:fill="EFF6F7" w:themeFill="accent3" w:themeFillTint="3F"/>
      </w:tcPr>
    </w:tblStylePr>
    <w:tblStylePr w:type="band1Horz">
      <w:tblPr/>
      <w:tcPr>
        <w:tcBorders>
          <w:top w:val="single" w:sz="8" w:space="0" w:color="BFDDE1" w:themeColor="accent3"/>
          <w:left w:val="single" w:sz="8" w:space="0" w:color="BFDDE1" w:themeColor="accent3"/>
          <w:bottom w:val="single" w:sz="8" w:space="0" w:color="BFDDE1" w:themeColor="accent3"/>
          <w:right w:val="single" w:sz="8" w:space="0" w:color="BFDDE1" w:themeColor="accent3"/>
          <w:insideV w:val="single" w:sz="8" w:space="0" w:color="BFDDE1" w:themeColor="accent3"/>
        </w:tcBorders>
        <w:shd w:val="clear" w:color="auto" w:fill="EFF6F7" w:themeFill="accent3" w:themeFillTint="3F"/>
      </w:tcPr>
    </w:tblStylePr>
    <w:tblStylePr w:type="band2Horz">
      <w:tblPr/>
      <w:tcPr>
        <w:tcBorders>
          <w:top w:val="single" w:sz="8" w:space="0" w:color="BFDDE1" w:themeColor="accent3"/>
          <w:left w:val="single" w:sz="8" w:space="0" w:color="BFDDE1" w:themeColor="accent3"/>
          <w:bottom w:val="single" w:sz="8" w:space="0" w:color="BFDDE1" w:themeColor="accent3"/>
          <w:right w:val="single" w:sz="8" w:space="0" w:color="BFDDE1" w:themeColor="accent3"/>
          <w:insideV w:val="single" w:sz="8" w:space="0" w:color="BFDDE1" w:themeColor="accent3"/>
        </w:tcBorders>
      </w:tcPr>
    </w:tblStylePr>
  </w:style>
  <w:style w:type="table" w:styleId="LightGrid-Accent4">
    <w:name w:val="Light Grid Accent 4"/>
    <w:basedOn w:val="TableNormal"/>
    <w:uiPriority w:val="62"/>
    <w:semiHidden/>
    <w:rsid w:val="00294A5A"/>
    <w:pPr>
      <w:spacing w:before="0" w:after="0" w:line="240" w:lineRule="auto"/>
    </w:p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insideH w:val="single" w:sz="8" w:space="0" w:color="404050" w:themeColor="accent4"/>
        <w:insideV w:val="single" w:sz="8" w:space="0" w:color="404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4050" w:themeColor="accent4"/>
          <w:left w:val="single" w:sz="8" w:space="0" w:color="404050" w:themeColor="accent4"/>
          <w:bottom w:val="single" w:sz="18" w:space="0" w:color="404050" w:themeColor="accent4"/>
          <w:right w:val="single" w:sz="8" w:space="0" w:color="404050" w:themeColor="accent4"/>
          <w:insideH w:val="nil"/>
          <w:insideV w:val="single" w:sz="8" w:space="0" w:color="404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4050" w:themeColor="accent4"/>
          <w:left w:val="single" w:sz="8" w:space="0" w:color="404050" w:themeColor="accent4"/>
          <w:bottom w:val="single" w:sz="8" w:space="0" w:color="404050" w:themeColor="accent4"/>
          <w:right w:val="single" w:sz="8" w:space="0" w:color="404050" w:themeColor="accent4"/>
          <w:insideH w:val="nil"/>
          <w:insideV w:val="single" w:sz="8" w:space="0" w:color="404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tcPr>
    </w:tblStylePr>
    <w:tblStylePr w:type="band1Vert">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shd w:val="clear" w:color="auto" w:fill="CCCCD6" w:themeFill="accent4" w:themeFillTint="3F"/>
      </w:tcPr>
    </w:tblStylePr>
    <w:tblStylePr w:type="band1Horz">
      <w:tblPr/>
      <w:tcPr>
        <w:tcBorders>
          <w:top w:val="single" w:sz="8" w:space="0" w:color="404050" w:themeColor="accent4"/>
          <w:left w:val="single" w:sz="8" w:space="0" w:color="404050" w:themeColor="accent4"/>
          <w:bottom w:val="single" w:sz="8" w:space="0" w:color="404050" w:themeColor="accent4"/>
          <w:right w:val="single" w:sz="8" w:space="0" w:color="404050" w:themeColor="accent4"/>
          <w:insideV w:val="single" w:sz="8" w:space="0" w:color="404050" w:themeColor="accent4"/>
        </w:tcBorders>
        <w:shd w:val="clear" w:color="auto" w:fill="CCCCD6" w:themeFill="accent4" w:themeFillTint="3F"/>
      </w:tcPr>
    </w:tblStylePr>
    <w:tblStylePr w:type="band2Horz">
      <w:tblPr/>
      <w:tcPr>
        <w:tcBorders>
          <w:top w:val="single" w:sz="8" w:space="0" w:color="404050" w:themeColor="accent4"/>
          <w:left w:val="single" w:sz="8" w:space="0" w:color="404050" w:themeColor="accent4"/>
          <w:bottom w:val="single" w:sz="8" w:space="0" w:color="404050" w:themeColor="accent4"/>
          <w:right w:val="single" w:sz="8" w:space="0" w:color="404050" w:themeColor="accent4"/>
          <w:insideV w:val="single" w:sz="8" w:space="0" w:color="404050" w:themeColor="accent4"/>
        </w:tcBorders>
      </w:tcPr>
    </w:tblStylePr>
  </w:style>
  <w:style w:type="table" w:styleId="LightGrid-Accent5">
    <w:name w:val="Light Grid Accent 5"/>
    <w:basedOn w:val="TableNormal"/>
    <w:uiPriority w:val="62"/>
    <w:semiHidden/>
    <w:rsid w:val="00294A5A"/>
    <w:pPr>
      <w:spacing w:before="0" w:after="0" w:line="240" w:lineRule="auto"/>
    </w:p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insideH w:val="single" w:sz="8" w:space="0" w:color="80808B" w:themeColor="accent5"/>
        <w:insideV w:val="single" w:sz="8" w:space="0" w:color="80808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B" w:themeColor="accent5"/>
          <w:left w:val="single" w:sz="8" w:space="0" w:color="80808B" w:themeColor="accent5"/>
          <w:bottom w:val="single" w:sz="18" w:space="0" w:color="80808B" w:themeColor="accent5"/>
          <w:right w:val="single" w:sz="8" w:space="0" w:color="80808B" w:themeColor="accent5"/>
          <w:insideH w:val="nil"/>
          <w:insideV w:val="single" w:sz="8" w:space="0" w:color="80808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B" w:themeColor="accent5"/>
          <w:left w:val="single" w:sz="8" w:space="0" w:color="80808B" w:themeColor="accent5"/>
          <w:bottom w:val="single" w:sz="8" w:space="0" w:color="80808B" w:themeColor="accent5"/>
          <w:right w:val="single" w:sz="8" w:space="0" w:color="80808B" w:themeColor="accent5"/>
          <w:insideH w:val="nil"/>
          <w:insideV w:val="single" w:sz="8" w:space="0" w:color="80808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tcPr>
    </w:tblStylePr>
    <w:tblStylePr w:type="band1Vert">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shd w:val="clear" w:color="auto" w:fill="DFDFE2" w:themeFill="accent5" w:themeFillTint="3F"/>
      </w:tcPr>
    </w:tblStylePr>
    <w:tblStylePr w:type="band1Horz">
      <w:tblPr/>
      <w:tcPr>
        <w:tcBorders>
          <w:top w:val="single" w:sz="8" w:space="0" w:color="80808B" w:themeColor="accent5"/>
          <w:left w:val="single" w:sz="8" w:space="0" w:color="80808B" w:themeColor="accent5"/>
          <w:bottom w:val="single" w:sz="8" w:space="0" w:color="80808B" w:themeColor="accent5"/>
          <w:right w:val="single" w:sz="8" w:space="0" w:color="80808B" w:themeColor="accent5"/>
          <w:insideV w:val="single" w:sz="8" w:space="0" w:color="80808B" w:themeColor="accent5"/>
        </w:tcBorders>
        <w:shd w:val="clear" w:color="auto" w:fill="DFDFE2" w:themeFill="accent5" w:themeFillTint="3F"/>
      </w:tcPr>
    </w:tblStylePr>
    <w:tblStylePr w:type="band2Horz">
      <w:tblPr/>
      <w:tcPr>
        <w:tcBorders>
          <w:top w:val="single" w:sz="8" w:space="0" w:color="80808B" w:themeColor="accent5"/>
          <w:left w:val="single" w:sz="8" w:space="0" w:color="80808B" w:themeColor="accent5"/>
          <w:bottom w:val="single" w:sz="8" w:space="0" w:color="80808B" w:themeColor="accent5"/>
          <w:right w:val="single" w:sz="8" w:space="0" w:color="80808B" w:themeColor="accent5"/>
          <w:insideV w:val="single" w:sz="8" w:space="0" w:color="80808B" w:themeColor="accent5"/>
        </w:tcBorders>
      </w:tcPr>
    </w:tblStylePr>
  </w:style>
  <w:style w:type="table" w:styleId="LightGrid-Accent6">
    <w:name w:val="Light Grid Accent 6"/>
    <w:basedOn w:val="TableNormal"/>
    <w:uiPriority w:val="62"/>
    <w:semiHidden/>
    <w:rsid w:val="00294A5A"/>
    <w:pPr>
      <w:spacing w:before="0" w:after="0" w:line="240" w:lineRule="auto"/>
    </w:p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insideH w:val="single" w:sz="8" w:space="0" w:color="CCCCD0" w:themeColor="accent6"/>
        <w:insideV w:val="single" w:sz="8" w:space="0" w:color="CCCCD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CCD0" w:themeColor="accent6"/>
          <w:left w:val="single" w:sz="8" w:space="0" w:color="CCCCD0" w:themeColor="accent6"/>
          <w:bottom w:val="single" w:sz="18" w:space="0" w:color="CCCCD0" w:themeColor="accent6"/>
          <w:right w:val="single" w:sz="8" w:space="0" w:color="CCCCD0" w:themeColor="accent6"/>
          <w:insideH w:val="nil"/>
          <w:insideV w:val="single" w:sz="8" w:space="0" w:color="CCCCD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CCD0" w:themeColor="accent6"/>
          <w:left w:val="single" w:sz="8" w:space="0" w:color="CCCCD0" w:themeColor="accent6"/>
          <w:bottom w:val="single" w:sz="8" w:space="0" w:color="CCCCD0" w:themeColor="accent6"/>
          <w:right w:val="single" w:sz="8" w:space="0" w:color="CCCCD0" w:themeColor="accent6"/>
          <w:insideH w:val="nil"/>
          <w:insideV w:val="single" w:sz="8" w:space="0" w:color="CCCCD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tcPr>
    </w:tblStylePr>
    <w:tblStylePr w:type="band1Vert">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shd w:val="clear" w:color="auto" w:fill="F2F2F3" w:themeFill="accent6" w:themeFillTint="3F"/>
      </w:tcPr>
    </w:tblStylePr>
    <w:tblStylePr w:type="band1Horz">
      <w:tblPr/>
      <w:tcPr>
        <w:tcBorders>
          <w:top w:val="single" w:sz="8" w:space="0" w:color="CCCCD0" w:themeColor="accent6"/>
          <w:left w:val="single" w:sz="8" w:space="0" w:color="CCCCD0" w:themeColor="accent6"/>
          <w:bottom w:val="single" w:sz="8" w:space="0" w:color="CCCCD0" w:themeColor="accent6"/>
          <w:right w:val="single" w:sz="8" w:space="0" w:color="CCCCD0" w:themeColor="accent6"/>
          <w:insideV w:val="single" w:sz="8" w:space="0" w:color="CCCCD0" w:themeColor="accent6"/>
        </w:tcBorders>
        <w:shd w:val="clear" w:color="auto" w:fill="F2F2F3" w:themeFill="accent6" w:themeFillTint="3F"/>
      </w:tcPr>
    </w:tblStylePr>
    <w:tblStylePr w:type="band2Horz">
      <w:tblPr/>
      <w:tcPr>
        <w:tcBorders>
          <w:top w:val="single" w:sz="8" w:space="0" w:color="CCCCD0" w:themeColor="accent6"/>
          <w:left w:val="single" w:sz="8" w:space="0" w:color="CCCCD0" w:themeColor="accent6"/>
          <w:bottom w:val="single" w:sz="8" w:space="0" w:color="CCCCD0" w:themeColor="accent6"/>
          <w:right w:val="single" w:sz="8" w:space="0" w:color="CCCCD0" w:themeColor="accent6"/>
          <w:insideV w:val="single" w:sz="8" w:space="0" w:color="CCCCD0" w:themeColor="accent6"/>
        </w:tcBorders>
      </w:tcPr>
    </w:tblStylePr>
  </w:style>
  <w:style w:type="table" w:styleId="LightList">
    <w:name w:val="Light List"/>
    <w:basedOn w:val="TableNormal"/>
    <w:uiPriority w:val="61"/>
    <w:semiHidden/>
    <w:rsid w:val="00294A5A"/>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2">
    <w:name w:val="Light List Accent 2"/>
    <w:basedOn w:val="TableNormal"/>
    <w:uiPriority w:val="61"/>
    <w:semiHidden/>
    <w:rsid w:val="00294A5A"/>
    <w:pPr>
      <w:spacing w:before="0" w:after="0" w:line="240" w:lineRule="auto"/>
    </w:p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tblBorders>
    </w:tblPr>
    <w:tblStylePr w:type="firstRow">
      <w:pPr>
        <w:spacing w:before="0" w:after="0" w:line="240" w:lineRule="auto"/>
      </w:pPr>
      <w:rPr>
        <w:b/>
        <w:bCs/>
        <w:color w:val="FFFFFF" w:themeColor="background1"/>
      </w:rPr>
      <w:tblPr/>
      <w:tcPr>
        <w:shd w:val="clear" w:color="auto" w:fill="80BAC3" w:themeFill="accent2"/>
      </w:tcPr>
    </w:tblStylePr>
    <w:tblStylePr w:type="lastRow">
      <w:pPr>
        <w:spacing w:before="0" w:after="0" w:line="240" w:lineRule="auto"/>
      </w:pPr>
      <w:rPr>
        <w:b/>
        <w:bCs/>
      </w:rPr>
      <w:tblPr/>
      <w:tcPr>
        <w:tcBorders>
          <w:top w:val="double" w:sz="6" w:space="0" w:color="80BAC3" w:themeColor="accent2"/>
          <w:left w:val="single" w:sz="8" w:space="0" w:color="80BAC3" w:themeColor="accent2"/>
          <w:bottom w:val="single" w:sz="8" w:space="0" w:color="80BAC3" w:themeColor="accent2"/>
          <w:right w:val="single" w:sz="8" w:space="0" w:color="80BAC3" w:themeColor="accent2"/>
        </w:tcBorders>
      </w:tcPr>
    </w:tblStylePr>
    <w:tblStylePr w:type="firstCol">
      <w:rPr>
        <w:b/>
        <w:bCs/>
      </w:rPr>
    </w:tblStylePr>
    <w:tblStylePr w:type="lastCol">
      <w:rPr>
        <w:b/>
        <w:bCs/>
      </w:rPr>
    </w:tblStylePr>
    <w:tblStylePr w:type="band1Vert">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tcPr>
    </w:tblStylePr>
    <w:tblStylePr w:type="band1Horz">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tcPr>
    </w:tblStylePr>
  </w:style>
  <w:style w:type="table" w:styleId="LightList-Accent3">
    <w:name w:val="Light List Accent 3"/>
    <w:basedOn w:val="TableNormal"/>
    <w:uiPriority w:val="61"/>
    <w:semiHidden/>
    <w:rsid w:val="00294A5A"/>
    <w:pPr>
      <w:spacing w:before="0" w:after="0" w:line="240" w:lineRule="auto"/>
    </w:p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tblBorders>
    </w:tblPr>
    <w:tblStylePr w:type="firstRow">
      <w:pPr>
        <w:spacing w:before="0" w:after="0" w:line="240" w:lineRule="auto"/>
      </w:pPr>
      <w:rPr>
        <w:b/>
        <w:bCs/>
        <w:color w:val="FFFFFF" w:themeColor="background1"/>
      </w:rPr>
      <w:tblPr/>
      <w:tcPr>
        <w:shd w:val="clear" w:color="auto" w:fill="BFDDE1" w:themeFill="accent3"/>
      </w:tcPr>
    </w:tblStylePr>
    <w:tblStylePr w:type="lastRow">
      <w:pPr>
        <w:spacing w:before="0" w:after="0" w:line="240" w:lineRule="auto"/>
      </w:pPr>
      <w:rPr>
        <w:b/>
        <w:bCs/>
      </w:rPr>
      <w:tblPr/>
      <w:tcPr>
        <w:tcBorders>
          <w:top w:val="double" w:sz="6" w:space="0" w:color="BFDDE1" w:themeColor="accent3"/>
          <w:left w:val="single" w:sz="8" w:space="0" w:color="BFDDE1" w:themeColor="accent3"/>
          <w:bottom w:val="single" w:sz="8" w:space="0" w:color="BFDDE1" w:themeColor="accent3"/>
          <w:right w:val="single" w:sz="8" w:space="0" w:color="BFDDE1" w:themeColor="accent3"/>
        </w:tcBorders>
      </w:tcPr>
    </w:tblStylePr>
    <w:tblStylePr w:type="firstCol">
      <w:rPr>
        <w:b/>
        <w:bCs/>
      </w:rPr>
    </w:tblStylePr>
    <w:tblStylePr w:type="lastCol">
      <w:rPr>
        <w:b/>
        <w:bCs/>
      </w:rPr>
    </w:tblStylePr>
    <w:tblStylePr w:type="band1Vert">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tcPr>
    </w:tblStylePr>
    <w:tblStylePr w:type="band1Horz">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tcPr>
    </w:tblStylePr>
  </w:style>
  <w:style w:type="table" w:styleId="LightList-Accent5">
    <w:name w:val="Light List Accent 5"/>
    <w:basedOn w:val="TableNormal"/>
    <w:uiPriority w:val="61"/>
    <w:semiHidden/>
    <w:rsid w:val="00294A5A"/>
    <w:pPr>
      <w:spacing w:before="0" w:after="0" w:line="240" w:lineRule="auto"/>
    </w:p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tblBorders>
    </w:tblPr>
    <w:tblStylePr w:type="firstRow">
      <w:pPr>
        <w:spacing w:before="0" w:after="0" w:line="240" w:lineRule="auto"/>
      </w:pPr>
      <w:rPr>
        <w:b/>
        <w:bCs/>
        <w:color w:val="FFFFFF" w:themeColor="background1"/>
      </w:rPr>
      <w:tblPr/>
      <w:tcPr>
        <w:shd w:val="clear" w:color="auto" w:fill="80808B" w:themeFill="accent5"/>
      </w:tcPr>
    </w:tblStylePr>
    <w:tblStylePr w:type="lastRow">
      <w:pPr>
        <w:spacing w:before="0" w:after="0" w:line="240" w:lineRule="auto"/>
      </w:pPr>
      <w:rPr>
        <w:b/>
        <w:bCs/>
      </w:rPr>
      <w:tblPr/>
      <w:tcPr>
        <w:tcBorders>
          <w:top w:val="double" w:sz="6" w:space="0" w:color="80808B" w:themeColor="accent5"/>
          <w:left w:val="single" w:sz="8" w:space="0" w:color="80808B" w:themeColor="accent5"/>
          <w:bottom w:val="single" w:sz="8" w:space="0" w:color="80808B" w:themeColor="accent5"/>
          <w:right w:val="single" w:sz="8" w:space="0" w:color="80808B" w:themeColor="accent5"/>
        </w:tcBorders>
      </w:tcPr>
    </w:tblStylePr>
    <w:tblStylePr w:type="firstCol">
      <w:rPr>
        <w:b/>
        <w:bCs/>
      </w:rPr>
    </w:tblStylePr>
    <w:tblStylePr w:type="lastCol">
      <w:rPr>
        <w:b/>
        <w:bCs/>
      </w:rPr>
    </w:tblStylePr>
    <w:tblStylePr w:type="band1Vert">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tcPr>
    </w:tblStylePr>
    <w:tblStylePr w:type="band1Horz">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tcPr>
    </w:tblStylePr>
  </w:style>
  <w:style w:type="table" w:styleId="LightList-Accent6">
    <w:name w:val="Light List Accent 6"/>
    <w:basedOn w:val="TableNormal"/>
    <w:uiPriority w:val="61"/>
    <w:semiHidden/>
    <w:rsid w:val="00294A5A"/>
    <w:pPr>
      <w:spacing w:before="0" w:after="0" w:line="240" w:lineRule="auto"/>
    </w:p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tblBorders>
    </w:tblPr>
    <w:tblStylePr w:type="firstRow">
      <w:pPr>
        <w:spacing w:before="0" w:after="0" w:line="240" w:lineRule="auto"/>
      </w:pPr>
      <w:rPr>
        <w:b/>
        <w:bCs/>
        <w:color w:val="FFFFFF" w:themeColor="background1"/>
      </w:rPr>
      <w:tblPr/>
      <w:tcPr>
        <w:shd w:val="clear" w:color="auto" w:fill="CCCCD0" w:themeFill="accent6"/>
      </w:tcPr>
    </w:tblStylePr>
    <w:tblStylePr w:type="lastRow">
      <w:pPr>
        <w:spacing w:before="0" w:after="0" w:line="240" w:lineRule="auto"/>
      </w:pPr>
      <w:rPr>
        <w:b/>
        <w:bCs/>
      </w:rPr>
      <w:tblPr/>
      <w:tcPr>
        <w:tcBorders>
          <w:top w:val="double" w:sz="6" w:space="0" w:color="CCCCD0" w:themeColor="accent6"/>
          <w:left w:val="single" w:sz="8" w:space="0" w:color="CCCCD0" w:themeColor="accent6"/>
          <w:bottom w:val="single" w:sz="8" w:space="0" w:color="CCCCD0" w:themeColor="accent6"/>
          <w:right w:val="single" w:sz="8" w:space="0" w:color="CCCCD0" w:themeColor="accent6"/>
        </w:tcBorders>
      </w:tcPr>
    </w:tblStylePr>
    <w:tblStylePr w:type="firstCol">
      <w:rPr>
        <w:b/>
        <w:bCs/>
      </w:rPr>
    </w:tblStylePr>
    <w:tblStylePr w:type="lastCol">
      <w:rPr>
        <w:b/>
        <w:bCs/>
      </w:rPr>
    </w:tblStylePr>
    <w:tblStylePr w:type="band1Vert">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tcPr>
    </w:tblStylePr>
    <w:tblStylePr w:type="band1Horz">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tcPr>
    </w:tblStylePr>
  </w:style>
  <w:style w:type="table" w:styleId="LightShading-Accent1">
    <w:name w:val="Light Shading Accent 1"/>
    <w:basedOn w:val="TableNormal"/>
    <w:uiPriority w:val="60"/>
    <w:semiHidden/>
    <w:rsid w:val="00294A5A"/>
    <w:pPr>
      <w:spacing w:before="0" w:after="0" w:line="240" w:lineRule="auto"/>
    </w:pPr>
    <w:rPr>
      <w:color w:val="30717A" w:themeColor="accent1" w:themeShade="BF"/>
    </w:rPr>
    <w:tblPr>
      <w:tblStyleRowBandSize w:val="1"/>
      <w:tblStyleColBandSize w:val="1"/>
      <w:tblBorders>
        <w:top w:val="single" w:sz="8" w:space="0" w:color="4098A4" w:themeColor="accent1"/>
        <w:bottom w:val="single" w:sz="8" w:space="0" w:color="4098A4" w:themeColor="accent1"/>
      </w:tblBorders>
    </w:tblPr>
    <w:tblStylePr w:type="firstRow">
      <w:pPr>
        <w:spacing w:before="0" w:after="0" w:line="240" w:lineRule="auto"/>
      </w:pPr>
      <w:rPr>
        <w:b/>
        <w:bCs/>
      </w:rPr>
      <w:tblPr/>
      <w:tcPr>
        <w:tcBorders>
          <w:top w:val="single" w:sz="8" w:space="0" w:color="4098A4" w:themeColor="accent1"/>
          <w:left w:val="nil"/>
          <w:bottom w:val="single" w:sz="8" w:space="0" w:color="4098A4" w:themeColor="accent1"/>
          <w:right w:val="nil"/>
          <w:insideH w:val="nil"/>
          <w:insideV w:val="nil"/>
        </w:tcBorders>
      </w:tcPr>
    </w:tblStylePr>
    <w:tblStylePr w:type="lastRow">
      <w:pPr>
        <w:spacing w:before="0" w:after="0" w:line="240" w:lineRule="auto"/>
      </w:pPr>
      <w:rPr>
        <w:b/>
        <w:bCs/>
      </w:rPr>
      <w:tblPr/>
      <w:tcPr>
        <w:tcBorders>
          <w:top w:val="single" w:sz="8" w:space="0" w:color="4098A4" w:themeColor="accent1"/>
          <w:left w:val="nil"/>
          <w:bottom w:val="single" w:sz="8" w:space="0" w:color="4098A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7EB" w:themeFill="accent1" w:themeFillTint="3F"/>
      </w:tcPr>
    </w:tblStylePr>
    <w:tblStylePr w:type="band1Horz">
      <w:tblPr/>
      <w:tcPr>
        <w:tcBorders>
          <w:left w:val="nil"/>
          <w:right w:val="nil"/>
          <w:insideH w:val="nil"/>
          <w:insideV w:val="nil"/>
        </w:tcBorders>
        <w:shd w:val="clear" w:color="auto" w:fill="CCE7EB" w:themeFill="accent1" w:themeFillTint="3F"/>
      </w:tcPr>
    </w:tblStylePr>
  </w:style>
  <w:style w:type="table" w:styleId="LightShading-Accent2">
    <w:name w:val="Light Shading Accent 2"/>
    <w:basedOn w:val="TableNormal"/>
    <w:uiPriority w:val="60"/>
    <w:semiHidden/>
    <w:rsid w:val="00294A5A"/>
    <w:pPr>
      <w:spacing w:before="0" w:after="0" w:line="240" w:lineRule="auto"/>
    </w:pPr>
    <w:rPr>
      <w:color w:val="4D98A4" w:themeColor="accent2" w:themeShade="BF"/>
    </w:rPr>
    <w:tblPr>
      <w:tblStyleRowBandSize w:val="1"/>
      <w:tblStyleColBandSize w:val="1"/>
      <w:tblBorders>
        <w:top w:val="single" w:sz="8" w:space="0" w:color="80BAC3" w:themeColor="accent2"/>
        <w:bottom w:val="single" w:sz="8" w:space="0" w:color="80BAC3" w:themeColor="accent2"/>
      </w:tblBorders>
    </w:tblPr>
    <w:tblStylePr w:type="firstRow">
      <w:pPr>
        <w:spacing w:before="0" w:after="0" w:line="240" w:lineRule="auto"/>
      </w:pPr>
      <w:rPr>
        <w:b/>
        <w:bCs/>
      </w:rPr>
      <w:tblPr/>
      <w:tcPr>
        <w:tcBorders>
          <w:top w:val="single" w:sz="8" w:space="0" w:color="80BAC3" w:themeColor="accent2"/>
          <w:left w:val="nil"/>
          <w:bottom w:val="single" w:sz="8" w:space="0" w:color="80BAC3" w:themeColor="accent2"/>
          <w:right w:val="nil"/>
          <w:insideH w:val="nil"/>
          <w:insideV w:val="nil"/>
        </w:tcBorders>
      </w:tcPr>
    </w:tblStylePr>
    <w:tblStylePr w:type="lastRow">
      <w:pPr>
        <w:spacing w:before="0" w:after="0" w:line="240" w:lineRule="auto"/>
      </w:pPr>
      <w:rPr>
        <w:b/>
        <w:bCs/>
      </w:rPr>
      <w:tblPr/>
      <w:tcPr>
        <w:tcBorders>
          <w:top w:val="single" w:sz="8" w:space="0" w:color="80BAC3" w:themeColor="accent2"/>
          <w:left w:val="nil"/>
          <w:bottom w:val="single" w:sz="8" w:space="0" w:color="80BAC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DF0" w:themeFill="accent2" w:themeFillTint="3F"/>
      </w:tcPr>
    </w:tblStylePr>
    <w:tblStylePr w:type="band1Horz">
      <w:tblPr/>
      <w:tcPr>
        <w:tcBorders>
          <w:left w:val="nil"/>
          <w:right w:val="nil"/>
          <w:insideH w:val="nil"/>
          <w:insideV w:val="nil"/>
        </w:tcBorders>
        <w:shd w:val="clear" w:color="auto" w:fill="DFEDF0" w:themeFill="accent2" w:themeFillTint="3F"/>
      </w:tcPr>
    </w:tblStylePr>
  </w:style>
  <w:style w:type="table" w:styleId="LightShading-Accent3">
    <w:name w:val="Light Shading Accent 3"/>
    <w:basedOn w:val="TableNormal"/>
    <w:uiPriority w:val="60"/>
    <w:semiHidden/>
    <w:rsid w:val="00294A5A"/>
    <w:pPr>
      <w:spacing w:before="0" w:after="0" w:line="240" w:lineRule="auto"/>
    </w:pPr>
    <w:rPr>
      <w:color w:val="77B7BF" w:themeColor="accent3" w:themeShade="BF"/>
    </w:rPr>
    <w:tblPr>
      <w:tblStyleRowBandSize w:val="1"/>
      <w:tblStyleColBandSize w:val="1"/>
      <w:tblBorders>
        <w:top w:val="single" w:sz="8" w:space="0" w:color="BFDDE1" w:themeColor="accent3"/>
        <w:bottom w:val="single" w:sz="8" w:space="0" w:color="BFDDE1" w:themeColor="accent3"/>
      </w:tblBorders>
    </w:tblPr>
    <w:tblStylePr w:type="firstRow">
      <w:pPr>
        <w:spacing w:before="0" w:after="0" w:line="240" w:lineRule="auto"/>
      </w:pPr>
      <w:rPr>
        <w:b/>
        <w:bCs/>
      </w:rPr>
      <w:tblPr/>
      <w:tcPr>
        <w:tcBorders>
          <w:top w:val="single" w:sz="8" w:space="0" w:color="BFDDE1" w:themeColor="accent3"/>
          <w:left w:val="nil"/>
          <w:bottom w:val="single" w:sz="8" w:space="0" w:color="BFDDE1" w:themeColor="accent3"/>
          <w:right w:val="nil"/>
          <w:insideH w:val="nil"/>
          <w:insideV w:val="nil"/>
        </w:tcBorders>
      </w:tcPr>
    </w:tblStylePr>
    <w:tblStylePr w:type="lastRow">
      <w:pPr>
        <w:spacing w:before="0" w:after="0" w:line="240" w:lineRule="auto"/>
      </w:pPr>
      <w:rPr>
        <w:b/>
        <w:bCs/>
      </w:rPr>
      <w:tblPr/>
      <w:tcPr>
        <w:tcBorders>
          <w:top w:val="single" w:sz="8" w:space="0" w:color="BFDDE1" w:themeColor="accent3"/>
          <w:left w:val="nil"/>
          <w:bottom w:val="single" w:sz="8" w:space="0" w:color="BFDDE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6F7" w:themeFill="accent3" w:themeFillTint="3F"/>
      </w:tcPr>
    </w:tblStylePr>
    <w:tblStylePr w:type="band1Horz">
      <w:tblPr/>
      <w:tcPr>
        <w:tcBorders>
          <w:left w:val="nil"/>
          <w:right w:val="nil"/>
          <w:insideH w:val="nil"/>
          <w:insideV w:val="nil"/>
        </w:tcBorders>
        <w:shd w:val="clear" w:color="auto" w:fill="EFF6F7" w:themeFill="accent3" w:themeFillTint="3F"/>
      </w:tcPr>
    </w:tblStylePr>
  </w:style>
  <w:style w:type="table" w:styleId="LightShading-Accent4">
    <w:name w:val="Light Shading Accent 4"/>
    <w:basedOn w:val="TableNormal"/>
    <w:uiPriority w:val="60"/>
    <w:semiHidden/>
    <w:rsid w:val="00294A5A"/>
    <w:pPr>
      <w:spacing w:before="0" w:after="0" w:line="240" w:lineRule="auto"/>
    </w:pPr>
    <w:rPr>
      <w:color w:val="30303B" w:themeColor="accent4" w:themeShade="BF"/>
    </w:rPr>
    <w:tblPr>
      <w:tblStyleRowBandSize w:val="1"/>
      <w:tblStyleColBandSize w:val="1"/>
      <w:tblBorders>
        <w:top w:val="single" w:sz="8" w:space="0" w:color="404050" w:themeColor="accent4"/>
        <w:bottom w:val="single" w:sz="8" w:space="0" w:color="404050" w:themeColor="accent4"/>
      </w:tblBorders>
    </w:tblPr>
    <w:tblStylePr w:type="firstRow">
      <w:pPr>
        <w:spacing w:before="0" w:after="0" w:line="240" w:lineRule="auto"/>
      </w:pPr>
      <w:rPr>
        <w:b/>
        <w:bCs/>
      </w:rPr>
      <w:tblPr/>
      <w:tcPr>
        <w:tcBorders>
          <w:top w:val="single" w:sz="8" w:space="0" w:color="404050" w:themeColor="accent4"/>
          <w:left w:val="nil"/>
          <w:bottom w:val="single" w:sz="8" w:space="0" w:color="404050" w:themeColor="accent4"/>
          <w:right w:val="nil"/>
          <w:insideH w:val="nil"/>
          <w:insideV w:val="nil"/>
        </w:tcBorders>
      </w:tcPr>
    </w:tblStylePr>
    <w:tblStylePr w:type="lastRow">
      <w:pPr>
        <w:spacing w:before="0" w:after="0" w:line="240" w:lineRule="auto"/>
      </w:pPr>
      <w:rPr>
        <w:b/>
        <w:bCs/>
      </w:rPr>
      <w:tblPr/>
      <w:tcPr>
        <w:tcBorders>
          <w:top w:val="single" w:sz="8" w:space="0" w:color="404050" w:themeColor="accent4"/>
          <w:left w:val="nil"/>
          <w:bottom w:val="single" w:sz="8" w:space="0" w:color="404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CCD6" w:themeFill="accent4" w:themeFillTint="3F"/>
      </w:tcPr>
    </w:tblStylePr>
    <w:tblStylePr w:type="band1Horz">
      <w:tblPr/>
      <w:tcPr>
        <w:tcBorders>
          <w:left w:val="nil"/>
          <w:right w:val="nil"/>
          <w:insideH w:val="nil"/>
          <w:insideV w:val="nil"/>
        </w:tcBorders>
        <w:shd w:val="clear" w:color="auto" w:fill="CCCCD6" w:themeFill="accent4" w:themeFillTint="3F"/>
      </w:tcPr>
    </w:tblStylePr>
  </w:style>
  <w:style w:type="table" w:styleId="LightShading-Accent5">
    <w:name w:val="Light Shading Accent 5"/>
    <w:basedOn w:val="TableNormal"/>
    <w:uiPriority w:val="60"/>
    <w:semiHidden/>
    <w:rsid w:val="00294A5A"/>
    <w:pPr>
      <w:spacing w:before="0" w:after="0" w:line="240" w:lineRule="auto"/>
    </w:pPr>
    <w:rPr>
      <w:color w:val="5F5F68" w:themeColor="accent5" w:themeShade="BF"/>
    </w:rPr>
    <w:tblPr>
      <w:tblStyleRowBandSize w:val="1"/>
      <w:tblStyleColBandSize w:val="1"/>
      <w:tblBorders>
        <w:top w:val="single" w:sz="8" w:space="0" w:color="80808B" w:themeColor="accent5"/>
        <w:bottom w:val="single" w:sz="8" w:space="0" w:color="80808B" w:themeColor="accent5"/>
      </w:tblBorders>
    </w:tblPr>
    <w:tblStylePr w:type="firstRow">
      <w:pPr>
        <w:spacing w:before="0" w:after="0" w:line="240" w:lineRule="auto"/>
      </w:pPr>
      <w:rPr>
        <w:b/>
        <w:bCs/>
      </w:rPr>
      <w:tblPr/>
      <w:tcPr>
        <w:tcBorders>
          <w:top w:val="single" w:sz="8" w:space="0" w:color="80808B" w:themeColor="accent5"/>
          <w:left w:val="nil"/>
          <w:bottom w:val="single" w:sz="8" w:space="0" w:color="80808B" w:themeColor="accent5"/>
          <w:right w:val="nil"/>
          <w:insideH w:val="nil"/>
          <w:insideV w:val="nil"/>
        </w:tcBorders>
      </w:tcPr>
    </w:tblStylePr>
    <w:tblStylePr w:type="lastRow">
      <w:pPr>
        <w:spacing w:before="0" w:after="0" w:line="240" w:lineRule="auto"/>
      </w:pPr>
      <w:rPr>
        <w:b/>
        <w:bCs/>
      </w:rPr>
      <w:tblPr/>
      <w:tcPr>
        <w:tcBorders>
          <w:top w:val="single" w:sz="8" w:space="0" w:color="80808B" w:themeColor="accent5"/>
          <w:left w:val="nil"/>
          <w:bottom w:val="single" w:sz="8" w:space="0" w:color="80808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E2" w:themeFill="accent5" w:themeFillTint="3F"/>
      </w:tcPr>
    </w:tblStylePr>
    <w:tblStylePr w:type="band1Horz">
      <w:tblPr/>
      <w:tcPr>
        <w:tcBorders>
          <w:left w:val="nil"/>
          <w:right w:val="nil"/>
          <w:insideH w:val="nil"/>
          <w:insideV w:val="nil"/>
        </w:tcBorders>
        <w:shd w:val="clear" w:color="auto" w:fill="DFDFE2" w:themeFill="accent5" w:themeFillTint="3F"/>
      </w:tcPr>
    </w:tblStylePr>
  </w:style>
  <w:style w:type="table" w:styleId="LightShading-Accent6">
    <w:name w:val="Light Shading Accent 6"/>
    <w:basedOn w:val="TableNormal"/>
    <w:uiPriority w:val="60"/>
    <w:semiHidden/>
    <w:rsid w:val="00294A5A"/>
    <w:pPr>
      <w:spacing w:before="0" w:after="0" w:line="240" w:lineRule="auto"/>
    </w:pPr>
    <w:rPr>
      <w:color w:val="96969E" w:themeColor="accent6" w:themeShade="BF"/>
    </w:rPr>
    <w:tblPr>
      <w:tblStyleRowBandSize w:val="1"/>
      <w:tblStyleColBandSize w:val="1"/>
      <w:tblBorders>
        <w:top w:val="single" w:sz="8" w:space="0" w:color="CCCCD0" w:themeColor="accent6"/>
        <w:bottom w:val="single" w:sz="8" w:space="0" w:color="CCCCD0" w:themeColor="accent6"/>
      </w:tblBorders>
    </w:tblPr>
    <w:tblStylePr w:type="firstRow">
      <w:pPr>
        <w:spacing w:before="0" w:after="0" w:line="240" w:lineRule="auto"/>
      </w:pPr>
      <w:rPr>
        <w:b/>
        <w:bCs/>
      </w:rPr>
      <w:tblPr/>
      <w:tcPr>
        <w:tcBorders>
          <w:top w:val="single" w:sz="8" w:space="0" w:color="CCCCD0" w:themeColor="accent6"/>
          <w:left w:val="nil"/>
          <w:bottom w:val="single" w:sz="8" w:space="0" w:color="CCCCD0" w:themeColor="accent6"/>
          <w:right w:val="nil"/>
          <w:insideH w:val="nil"/>
          <w:insideV w:val="nil"/>
        </w:tcBorders>
      </w:tcPr>
    </w:tblStylePr>
    <w:tblStylePr w:type="lastRow">
      <w:pPr>
        <w:spacing w:before="0" w:after="0" w:line="240" w:lineRule="auto"/>
      </w:pPr>
      <w:rPr>
        <w:b/>
        <w:bCs/>
      </w:rPr>
      <w:tblPr/>
      <w:tcPr>
        <w:tcBorders>
          <w:top w:val="single" w:sz="8" w:space="0" w:color="CCCCD0" w:themeColor="accent6"/>
          <w:left w:val="nil"/>
          <w:bottom w:val="single" w:sz="8" w:space="0" w:color="CCCCD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2F3" w:themeFill="accent6" w:themeFillTint="3F"/>
      </w:tcPr>
    </w:tblStylePr>
    <w:tblStylePr w:type="band1Horz">
      <w:tblPr/>
      <w:tcPr>
        <w:tcBorders>
          <w:left w:val="nil"/>
          <w:right w:val="nil"/>
          <w:insideH w:val="nil"/>
          <w:insideV w:val="nil"/>
        </w:tcBorders>
        <w:shd w:val="clear" w:color="auto" w:fill="F2F2F3" w:themeFill="accent6" w:themeFillTint="3F"/>
      </w:tcPr>
    </w:tblStylePr>
  </w:style>
  <w:style w:type="table" w:customStyle="1" w:styleId="ListTable1Light1">
    <w:name w:val="List Table 1 Light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85C6CF" w:themeColor="accent1" w:themeTint="99"/>
        </w:tcBorders>
      </w:tcPr>
    </w:tblStylePr>
    <w:tblStylePr w:type="lastRow">
      <w:rPr>
        <w:b/>
        <w:bCs/>
      </w:rPr>
      <w:tblPr/>
      <w:tcPr>
        <w:tcBorders>
          <w:top w:val="single" w:sz="4" w:space="0" w:color="85C6CF" w:themeColor="accent1" w:themeTint="99"/>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customStyle="1" w:styleId="ListTable1Light-Accent21">
    <w:name w:val="List Table 1 Light - Accent 2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B2D5DB" w:themeColor="accent2" w:themeTint="99"/>
        </w:tcBorders>
      </w:tcPr>
    </w:tblStylePr>
    <w:tblStylePr w:type="lastRow">
      <w:rPr>
        <w:b/>
        <w:bCs/>
      </w:rPr>
      <w:tblPr/>
      <w:tcPr>
        <w:tcBorders>
          <w:top w:val="single" w:sz="4" w:space="0" w:color="B2D5DB" w:themeColor="accent2" w:themeTint="99"/>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customStyle="1" w:styleId="ListTable1Light-Accent31">
    <w:name w:val="List Table 1 Light - Accent 3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D8EAED" w:themeColor="accent3" w:themeTint="99"/>
        </w:tcBorders>
      </w:tcPr>
    </w:tblStylePr>
    <w:tblStylePr w:type="lastRow">
      <w:rPr>
        <w:b/>
        <w:bCs/>
      </w:rPr>
      <w:tblPr/>
      <w:tcPr>
        <w:tcBorders>
          <w:top w:val="single" w:sz="4" w:space="0" w:color="D8EAED" w:themeColor="accent3" w:themeTint="99"/>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customStyle="1" w:styleId="ListTable1Light-Accent41">
    <w:name w:val="List Table 1 Light - Accent 4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84849D" w:themeColor="accent4" w:themeTint="99"/>
        </w:tcBorders>
      </w:tcPr>
    </w:tblStylePr>
    <w:tblStylePr w:type="lastRow">
      <w:rPr>
        <w:b/>
        <w:bCs/>
      </w:rPr>
      <w:tblPr/>
      <w:tcPr>
        <w:tcBorders>
          <w:top w:val="single" w:sz="4" w:space="0" w:color="84849D" w:themeColor="accent4" w:themeTint="99"/>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customStyle="1" w:styleId="ListTable1Light-Accent51">
    <w:name w:val="List Table 1 Light - Accent 5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B2B2B9" w:themeColor="accent5" w:themeTint="99"/>
        </w:tcBorders>
      </w:tcPr>
    </w:tblStylePr>
    <w:tblStylePr w:type="lastRow">
      <w:rPr>
        <w:b/>
        <w:bCs/>
      </w:rPr>
      <w:tblPr/>
      <w:tcPr>
        <w:tcBorders>
          <w:top w:val="single" w:sz="4" w:space="0" w:color="B2B2B9" w:themeColor="accent5" w:themeTint="99"/>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ListTable1Light-Accent61">
    <w:name w:val="List Table 1 Light - Accent 6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E0E0E2" w:themeColor="accent6" w:themeTint="99"/>
        </w:tcBorders>
      </w:tcPr>
    </w:tblStylePr>
    <w:tblStylePr w:type="lastRow">
      <w:rPr>
        <w:b/>
        <w:bCs/>
      </w:rPr>
      <w:tblPr/>
      <w:tcPr>
        <w:tcBorders>
          <w:top w:val="single" w:sz="4" w:space="0" w:color="E0E0E2" w:themeColor="accent6" w:themeTint="99"/>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customStyle="1" w:styleId="ListTable21">
    <w:name w:val="List Table 21"/>
    <w:basedOn w:val="TableNormal"/>
    <w:uiPriority w:val="47"/>
    <w:semiHidden/>
    <w:rsid w:val="00294A5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semiHidden/>
    <w:rsid w:val="00294A5A"/>
    <w:pPr>
      <w:spacing w:after="0" w:line="240" w:lineRule="auto"/>
    </w:pPr>
    <w:tblPr>
      <w:tblStyleRowBandSize w:val="1"/>
      <w:tblStyleColBandSize w:val="1"/>
      <w:tblBorders>
        <w:top w:val="single" w:sz="4" w:space="0" w:color="85C6CF" w:themeColor="accent1" w:themeTint="99"/>
        <w:bottom w:val="single" w:sz="4" w:space="0" w:color="85C6CF" w:themeColor="accent1" w:themeTint="99"/>
        <w:insideH w:val="single" w:sz="4" w:space="0" w:color="85C6C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customStyle="1" w:styleId="ListTable2-Accent21">
    <w:name w:val="List Table 2 - Accent 21"/>
    <w:basedOn w:val="TableNormal"/>
    <w:uiPriority w:val="47"/>
    <w:semiHidden/>
    <w:rsid w:val="00294A5A"/>
    <w:pPr>
      <w:spacing w:after="0" w:line="240" w:lineRule="auto"/>
    </w:pPr>
    <w:tblPr>
      <w:tblStyleRowBandSize w:val="1"/>
      <w:tblStyleColBandSize w:val="1"/>
      <w:tblBorders>
        <w:top w:val="single" w:sz="4" w:space="0" w:color="B2D5DB" w:themeColor="accent2" w:themeTint="99"/>
        <w:bottom w:val="single" w:sz="4" w:space="0" w:color="B2D5DB" w:themeColor="accent2" w:themeTint="99"/>
        <w:insideH w:val="single" w:sz="4" w:space="0" w:color="B2D5D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customStyle="1" w:styleId="ListTable2-Accent31">
    <w:name w:val="List Table 2 - Accent 31"/>
    <w:basedOn w:val="TableNormal"/>
    <w:uiPriority w:val="47"/>
    <w:semiHidden/>
    <w:rsid w:val="00294A5A"/>
    <w:pPr>
      <w:spacing w:after="0" w:line="240" w:lineRule="auto"/>
    </w:pPr>
    <w:tblPr>
      <w:tblStyleRowBandSize w:val="1"/>
      <w:tblStyleColBandSize w:val="1"/>
      <w:tblBorders>
        <w:top w:val="single" w:sz="4" w:space="0" w:color="D8EAED" w:themeColor="accent3" w:themeTint="99"/>
        <w:bottom w:val="single" w:sz="4" w:space="0" w:color="D8EAED" w:themeColor="accent3" w:themeTint="99"/>
        <w:insideH w:val="single" w:sz="4" w:space="0" w:color="D8EAE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customStyle="1" w:styleId="ListTable2-Accent41">
    <w:name w:val="List Table 2 - Accent 41"/>
    <w:basedOn w:val="TableNormal"/>
    <w:uiPriority w:val="47"/>
    <w:semiHidden/>
    <w:rsid w:val="00294A5A"/>
    <w:pPr>
      <w:spacing w:after="0" w:line="240" w:lineRule="auto"/>
    </w:pPr>
    <w:tblPr>
      <w:tblStyleRowBandSize w:val="1"/>
      <w:tblStyleColBandSize w:val="1"/>
      <w:tblBorders>
        <w:top w:val="single" w:sz="4" w:space="0" w:color="84849D" w:themeColor="accent4" w:themeTint="99"/>
        <w:bottom w:val="single" w:sz="4" w:space="0" w:color="84849D" w:themeColor="accent4" w:themeTint="99"/>
        <w:insideH w:val="single" w:sz="4" w:space="0" w:color="84849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customStyle="1" w:styleId="ListTable2-Accent51">
    <w:name w:val="List Table 2 - Accent 51"/>
    <w:basedOn w:val="TableNormal"/>
    <w:uiPriority w:val="47"/>
    <w:semiHidden/>
    <w:rsid w:val="00294A5A"/>
    <w:pPr>
      <w:spacing w:after="0" w:line="240" w:lineRule="auto"/>
    </w:pPr>
    <w:tblPr>
      <w:tblStyleRowBandSize w:val="1"/>
      <w:tblStyleColBandSize w:val="1"/>
      <w:tblBorders>
        <w:top w:val="single" w:sz="4" w:space="0" w:color="B2B2B9" w:themeColor="accent5" w:themeTint="99"/>
        <w:bottom w:val="single" w:sz="4" w:space="0" w:color="B2B2B9" w:themeColor="accent5" w:themeTint="99"/>
        <w:insideH w:val="single" w:sz="4" w:space="0" w:color="B2B2B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ListTable2-Accent61">
    <w:name w:val="List Table 2 - Accent 61"/>
    <w:basedOn w:val="TableNormal"/>
    <w:uiPriority w:val="47"/>
    <w:semiHidden/>
    <w:rsid w:val="00294A5A"/>
    <w:pPr>
      <w:spacing w:after="0" w:line="240" w:lineRule="auto"/>
    </w:pPr>
    <w:tblPr>
      <w:tblStyleRowBandSize w:val="1"/>
      <w:tblStyleColBandSize w:val="1"/>
      <w:tblBorders>
        <w:top w:val="single" w:sz="4" w:space="0" w:color="E0E0E2" w:themeColor="accent6" w:themeTint="99"/>
        <w:bottom w:val="single" w:sz="4" w:space="0" w:color="E0E0E2" w:themeColor="accent6" w:themeTint="99"/>
        <w:insideH w:val="single" w:sz="4" w:space="0" w:color="E0E0E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customStyle="1" w:styleId="ListTable31">
    <w:name w:val="List Table 31"/>
    <w:basedOn w:val="TableNormal"/>
    <w:uiPriority w:val="48"/>
    <w:semiHidden/>
    <w:rsid w:val="00294A5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semiHidden/>
    <w:rsid w:val="00294A5A"/>
    <w:pPr>
      <w:spacing w:after="0" w:line="240" w:lineRule="auto"/>
    </w:pPr>
    <w:tblPr>
      <w:tblStyleRowBandSize w:val="1"/>
      <w:tblStyleColBandSize w:val="1"/>
      <w:tblBorders>
        <w:top w:val="single" w:sz="4" w:space="0" w:color="4098A4" w:themeColor="accent1"/>
        <w:left w:val="single" w:sz="4" w:space="0" w:color="4098A4" w:themeColor="accent1"/>
        <w:bottom w:val="single" w:sz="4" w:space="0" w:color="4098A4" w:themeColor="accent1"/>
        <w:right w:val="single" w:sz="4" w:space="0" w:color="4098A4" w:themeColor="accent1"/>
      </w:tblBorders>
    </w:tblPr>
    <w:tblStylePr w:type="firstRow">
      <w:rPr>
        <w:b/>
        <w:bCs/>
        <w:color w:val="FFFFFF" w:themeColor="background1"/>
      </w:rPr>
      <w:tblPr/>
      <w:tcPr>
        <w:shd w:val="clear" w:color="auto" w:fill="4098A4" w:themeFill="accent1"/>
      </w:tcPr>
    </w:tblStylePr>
    <w:tblStylePr w:type="lastRow">
      <w:rPr>
        <w:b/>
        <w:bCs/>
      </w:rPr>
      <w:tblPr/>
      <w:tcPr>
        <w:tcBorders>
          <w:top w:val="double" w:sz="4" w:space="0" w:color="4098A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098A4" w:themeColor="accent1"/>
          <w:right w:val="single" w:sz="4" w:space="0" w:color="4098A4" w:themeColor="accent1"/>
        </w:tcBorders>
      </w:tcPr>
    </w:tblStylePr>
    <w:tblStylePr w:type="band1Horz">
      <w:tblPr/>
      <w:tcPr>
        <w:tcBorders>
          <w:top w:val="single" w:sz="4" w:space="0" w:color="4098A4" w:themeColor="accent1"/>
          <w:bottom w:val="single" w:sz="4" w:space="0" w:color="4098A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098A4" w:themeColor="accent1"/>
          <w:left w:val="nil"/>
        </w:tcBorders>
      </w:tcPr>
    </w:tblStylePr>
    <w:tblStylePr w:type="swCell">
      <w:tblPr/>
      <w:tcPr>
        <w:tcBorders>
          <w:top w:val="double" w:sz="4" w:space="0" w:color="4098A4" w:themeColor="accent1"/>
          <w:right w:val="nil"/>
        </w:tcBorders>
      </w:tcPr>
    </w:tblStylePr>
  </w:style>
  <w:style w:type="table" w:customStyle="1" w:styleId="ListTable3-Accent21">
    <w:name w:val="List Table 3 - Accent 21"/>
    <w:basedOn w:val="TableNormal"/>
    <w:uiPriority w:val="48"/>
    <w:semiHidden/>
    <w:rsid w:val="00294A5A"/>
    <w:pPr>
      <w:spacing w:after="0" w:line="240" w:lineRule="auto"/>
    </w:pPr>
    <w:tblPr>
      <w:tblStyleRowBandSize w:val="1"/>
      <w:tblStyleColBandSize w:val="1"/>
      <w:tblBorders>
        <w:top w:val="single" w:sz="4" w:space="0" w:color="80BAC3" w:themeColor="accent2"/>
        <w:left w:val="single" w:sz="4" w:space="0" w:color="80BAC3" w:themeColor="accent2"/>
        <w:bottom w:val="single" w:sz="4" w:space="0" w:color="80BAC3" w:themeColor="accent2"/>
        <w:right w:val="single" w:sz="4" w:space="0" w:color="80BAC3" w:themeColor="accent2"/>
      </w:tblBorders>
    </w:tblPr>
    <w:tblStylePr w:type="firstRow">
      <w:rPr>
        <w:b/>
        <w:bCs/>
        <w:color w:val="FFFFFF" w:themeColor="background1"/>
      </w:rPr>
      <w:tblPr/>
      <w:tcPr>
        <w:shd w:val="clear" w:color="auto" w:fill="80BAC3" w:themeFill="accent2"/>
      </w:tcPr>
    </w:tblStylePr>
    <w:tblStylePr w:type="lastRow">
      <w:rPr>
        <w:b/>
        <w:bCs/>
      </w:rPr>
      <w:tblPr/>
      <w:tcPr>
        <w:tcBorders>
          <w:top w:val="double" w:sz="4" w:space="0" w:color="80BAC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BAC3" w:themeColor="accent2"/>
          <w:right w:val="single" w:sz="4" w:space="0" w:color="80BAC3" w:themeColor="accent2"/>
        </w:tcBorders>
      </w:tcPr>
    </w:tblStylePr>
    <w:tblStylePr w:type="band1Horz">
      <w:tblPr/>
      <w:tcPr>
        <w:tcBorders>
          <w:top w:val="single" w:sz="4" w:space="0" w:color="80BAC3" w:themeColor="accent2"/>
          <w:bottom w:val="single" w:sz="4" w:space="0" w:color="80BAC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BAC3" w:themeColor="accent2"/>
          <w:left w:val="nil"/>
        </w:tcBorders>
      </w:tcPr>
    </w:tblStylePr>
    <w:tblStylePr w:type="swCell">
      <w:tblPr/>
      <w:tcPr>
        <w:tcBorders>
          <w:top w:val="double" w:sz="4" w:space="0" w:color="80BAC3" w:themeColor="accent2"/>
          <w:right w:val="nil"/>
        </w:tcBorders>
      </w:tcPr>
    </w:tblStylePr>
  </w:style>
  <w:style w:type="table" w:customStyle="1" w:styleId="ListTable3-Accent31">
    <w:name w:val="List Table 3 - Accent 31"/>
    <w:basedOn w:val="TableNormal"/>
    <w:uiPriority w:val="48"/>
    <w:semiHidden/>
    <w:rsid w:val="00294A5A"/>
    <w:pPr>
      <w:spacing w:after="0" w:line="240" w:lineRule="auto"/>
    </w:pPr>
    <w:tblPr>
      <w:tblStyleRowBandSize w:val="1"/>
      <w:tblStyleColBandSize w:val="1"/>
      <w:tblBorders>
        <w:top w:val="single" w:sz="4" w:space="0" w:color="BFDDE1" w:themeColor="accent3"/>
        <w:left w:val="single" w:sz="4" w:space="0" w:color="BFDDE1" w:themeColor="accent3"/>
        <w:bottom w:val="single" w:sz="4" w:space="0" w:color="BFDDE1" w:themeColor="accent3"/>
        <w:right w:val="single" w:sz="4" w:space="0" w:color="BFDDE1" w:themeColor="accent3"/>
      </w:tblBorders>
    </w:tblPr>
    <w:tblStylePr w:type="firstRow">
      <w:rPr>
        <w:b/>
        <w:bCs/>
        <w:color w:val="FFFFFF" w:themeColor="background1"/>
      </w:rPr>
      <w:tblPr/>
      <w:tcPr>
        <w:shd w:val="clear" w:color="auto" w:fill="BFDDE1" w:themeFill="accent3"/>
      </w:tcPr>
    </w:tblStylePr>
    <w:tblStylePr w:type="lastRow">
      <w:rPr>
        <w:b/>
        <w:bCs/>
      </w:rPr>
      <w:tblPr/>
      <w:tcPr>
        <w:tcBorders>
          <w:top w:val="double" w:sz="4" w:space="0" w:color="BFDDE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DDE1" w:themeColor="accent3"/>
          <w:right w:val="single" w:sz="4" w:space="0" w:color="BFDDE1" w:themeColor="accent3"/>
        </w:tcBorders>
      </w:tcPr>
    </w:tblStylePr>
    <w:tblStylePr w:type="band1Horz">
      <w:tblPr/>
      <w:tcPr>
        <w:tcBorders>
          <w:top w:val="single" w:sz="4" w:space="0" w:color="BFDDE1" w:themeColor="accent3"/>
          <w:bottom w:val="single" w:sz="4" w:space="0" w:color="BFDDE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DDE1" w:themeColor="accent3"/>
          <w:left w:val="nil"/>
        </w:tcBorders>
      </w:tcPr>
    </w:tblStylePr>
    <w:tblStylePr w:type="swCell">
      <w:tblPr/>
      <w:tcPr>
        <w:tcBorders>
          <w:top w:val="double" w:sz="4" w:space="0" w:color="BFDDE1" w:themeColor="accent3"/>
          <w:right w:val="nil"/>
        </w:tcBorders>
      </w:tcPr>
    </w:tblStylePr>
  </w:style>
  <w:style w:type="table" w:customStyle="1" w:styleId="ListTable3-Accent41">
    <w:name w:val="List Table 3 - Accent 41"/>
    <w:basedOn w:val="TableNormal"/>
    <w:uiPriority w:val="48"/>
    <w:semiHidden/>
    <w:rsid w:val="00294A5A"/>
    <w:pPr>
      <w:spacing w:after="0" w:line="240" w:lineRule="auto"/>
    </w:pPr>
    <w:tblPr>
      <w:tblStyleRowBandSize w:val="1"/>
      <w:tblStyleColBandSize w:val="1"/>
      <w:tblBorders>
        <w:top w:val="single" w:sz="4" w:space="0" w:color="404050" w:themeColor="accent4"/>
        <w:left w:val="single" w:sz="4" w:space="0" w:color="404050" w:themeColor="accent4"/>
        <w:bottom w:val="single" w:sz="4" w:space="0" w:color="404050" w:themeColor="accent4"/>
        <w:right w:val="single" w:sz="4" w:space="0" w:color="404050" w:themeColor="accent4"/>
      </w:tblBorders>
    </w:tblPr>
    <w:tblStylePr w:type="firstRow">
      <w:rPr>
        <w:b/>
        <w:bCs/>
        <w:color w:val="FFFFFF" w:themeColor="background1"/>
      </w:rPr>
      <w:tblPr/>
      <w:tcPr>
        <w:shd w:val="clear" w:color="auto" w:fill="404050" w:themeFill="accent4"/>
      </w:tcPr>
    </w:tblStylePr>
    <w:tblStylePr w:type="lastRow">
      <w:rPr>
        <w:b/>
        <w:bCs/>
      </w:rPr>
      <w:tblPr/>
      <w:tcPr>
        <w:tcBorders>
          <w:top w:val="double" w:sz="4" w:space="0" w:color="404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04050" w:themeColor="accent4"/>
          <w:right w:val="single" w:sz="4" w:space="0" w:color="404050" w:themeColor="accent4"/>
        </w:tcBorders>
      </w:tcPr>
    </w:tblStylePr>
    <w:tblStylePr w:type="band1Horz">
      <w:tblPr/>
      <w:tcPr>
        <w:tcBorders>
          <w:top w:val="single" w:sz="4" w:space="0" w:color="404050" w:themeColor="accent4"/>
          <w:bottom w:val="single" w:sz="4" w:space="0" w:color="404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04050" w:themeColor="accent4"/>
          <w:left w:val="nil"/>
        </w:tcBorders>
      </w:tcPr>
    </w:tblStylePr>
    <w:tblStylePr w:type="swCell">
      <w:tblPr/>
      <w:tcPr>
        <w:tcBorders>
          <w:top w:val="double" w:sz="4" w:space="0" w:color="404050" w:themeColor="accent4"/>
          <w:right w:val="nil"/>
        </w:tcBorders>
      </w:tcPr>
    </w:tblStylePr>
  </w:style>
  <w:style w:type="table" w:customStyle="1" w:styleId="ListTable3-Accent51">
    <w:name w:val="List Table 3 - Accent 51"/>
    <w:basedOn w:val="TableNormal"/>
    <w:uiPriority w:val="48"/>
    <w:semiHidden/>
    <w:rsid w:val="00294A5A"/>
    <w:pPr>
      <w:spacing w:after="0" w:line="240" w:lineRule="auto"/>
    </w:pPr>
    <w:tblPr>
      <w:tblStyleRowBandSize w:val="1"/>
      <w:tblStyleColBandSize w:val="1"/>
      <w:tblBorders>
        <w:top w:val="single" w:sz="4" w:space="0" w:color="80808B" w:themeColor="accent5"/>
        <w:left w:val="single" w:sz="4" w:space="0" w:color="80808B" w:themeColor="accent5"/>
        <w:bottom w:val="single" w:sz="4" w:space="0" w:color="80808B" w:themeColor="accent5"/>
        <w:right w:val="single" w:sz="4" w:space="0" w:color="80808B" w:themeColor="accent5"/>
      </w:tblBorders>
    </w:tblPr>
    <w:tblStylePr w:type="firstRow">
      <w:rPr>
        <w:b/>
        <w:bCs/>
        <w:color w:val="FFFFFF" w:themeColor="background1"/>
      </w:rPr>
      <w:tblPr/>
      <w:tcPr>
        <w:shd w:val="clear" w:color="auto" w:fill="80808B" w:themeFill="accent5"/>
      </w:tcPr>
    </w:tblStylePr>
    <w:tblStylePr w:type="lastRow">
      <w:rPr>
        <w:b/>
        <w:bCs/>
      </w:rPr>
      <w:tblPr/>
      <w:tcPr>
        <w:tcBorders>
          <w:top w:val="double" w:sz="4" w:space="0" w:color="80808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808B" w:themeColor="accent5"/>
          <w:right w:val="single" w:sz="4" w:space="0" w:color="80808B" w:themeColor="accent5"/>
        </w:tcBorders>
      </w:tcPr>
    </w:tblStylePr>
    <w:tblStylePr w:type="band1Horz">
      <w:tblPr/>
      <w:tcPr>
        <w:tcBorders>
          <w:top w:val="single" w:sz="4" w:space="0" w:color="80808B" w:themeColor="accent5"/>
          <w:bottom w:val="single" w:sz="4" w:space="0" w:color="80808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808B" w:themeColor="accent5"/>
          <w:left w:val="nil"/>
        </w:tcBorders>
      </w:tcPr>
    </w:tblStylePr>
    <w:tblStylePr w:type="swCell">
      <w:tblPr/>
      <w:tcPr>
        <w:tcBorders>
          <w:top w:val="double" w:sz="4" w:space="0" w:color="80808B" w:themeColor="accent5"/>
          <w:right w:val="nil"/>
        </w:tcBorders>
      </w:tcPr>
    </w:tblStylePr>
  </w:style>
  <w:style w:type="table" w:customStyle="1" w:styleId="ListTable3-Accent61">
    <w:name w:val="List Table 3 - Accent 61"/>
    <w:basedOn w:val="TableNormal"/>
    <w:uiPriority w:val="48"/>
    <w:semiHidden/>
    <w:rsid w:val="00294A5A"/>
    <w:pPr>
      <w:spacing w:after="0" w:line="240" w:lineRule="auto"/>
    </w:pPr>
    <w:tblPr>
      <w:tblStyleRowBandSize w:val="1"/>
      <w:tblStyleColBandSize w:val="1"/>
      <w:tblBorders>
        <w:top w:val="single" w:sz="4" w:space="0" w:color="CCCCD0" w:themeColor="accent6"/>
        <w:left w:val="single" w:sz="4" w:space="0" w:color="CCCCD0" w:themeColor="accent6"/>
        <w:bottom w:val="single" w:sz="4" w:space="0" w:color="CCCCD0" w:themeColor="accent6"/>
        <w:right w:val="single" w:sz="4" w:space="0" w:color="CCCCD0" w:themeColor="accent6"/>
      </w:tblBorders>
    </w:tblPr>
    <w:tblStylePr w:type="firstRow">
      <w:rPr>
        <w:b/>
        <w:bCs/>
        <w:color w:val="FFFFFF" w:themeColor="background1"/>
      </w:rPr>
      <w:tblPr/>
      <w:tcPr>
        <w:shd w:val="clear" w:color="auto" w:fill="CCCCD0" w:themeFill="accent6"/>
      </w:tcPr>
    </w:tblStylePr>
    <w:tblStylePr w:type="lastRow">
      <w:rPr>
        <w:b/>
        <w:bCs/>
      </w:rPr>
      <w:tblPr/>
      <w:tcPr>
        <w:tcBorders>
          <w:top w:val="double" w:sz="4" w:space="0" w:color="CCCCD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CCCD0" w:themeColor="accent6"/>
          <w:right w:val="single" w:sz="4" w:space="0" w:color="CCCCD0" w:themeColor="accent6"/>
        </w:tcBorders>
      </w:tcPr>
    </w:tblStylePr>
    <w:tblStylePr w:type="band1Horz">
      <w:tblPr/>
      <w:tcPr>
        <w:tcBorders>
          <w:top w:val="single" w:sz="4" w:space="0" w:color="CCCCD0" w:themeColor="accent6"/>
          <w:bottom w:val="single" w:sz="4" w:space="0" w:color="CCCCD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CCCD0" w:themeColor="accent6"/>
          <w:left w:val="nil"/>
        </w:tcBorders>
      </w:tcPr>
    </w:tblStylePr>
    <w:tblStylePr w:type="swCell">
      <w:tblPr/>
      <w:tcPr>
        <w:tcBorders>
          <w:top w:val="double" w:sz="4" w:space="0" w:color="CCCCD0" w:themeColor="accent6"/>
          <w:right w:val="nil"/>
        </w:tcBorders>
      </w:tcPr>
    </w:tblStylePr>
  </w:style>
  <w:style w:type="table" w:customStyle="1" w:styleId="ListTable41">
    <w:name w:val="List Table 41"/>
    <w:basedOn w:val="TableNormal"/>
    <w:uiPriority w:val="49"/>
    <w:semiHidden/>
    <w:rsid w:val="00294A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semiHidden/>
    <w:rsid w:val="00294A5A"/>
    <w:pPr>
      <w:spacing w:after="0" w:line="240" w:lineRule="auto"/>
    </w:p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tblBorders>
    </w:tblPr>
    <w:tblStylePr w:type="firstRow">
      <w:rPr>
        <w:b/>
        <w:bCs/>
        <w:color w:val="FFFFFF" w:themeColor="background1"/>
      </w:rPr>
      <w:tblPr/>
      <w:tcPr>
        <w:tcBorders>
          <w:top w:val="single" w:sz="4" w:space="0" w:color="4098A4" w:themeColor="accent1"/>
          <w:left w:val="single" w:sz="4" w:space="0" w:color="4098A4" w:themeColor="accent1"/>
          <w:bottom w:val="single" w:sz="4" w:space="0" w:color="4098A4" w:themeColor="accent1"/>
          <w:right w:val="single" w:sz="4" w:space="0" w:color="4098A4" w:themeColor="accent1"/>
          <w:insideH w:val="nil"/>
        </w:tcBorders>
        <w:shd w:val="clear" w:color="auto" w:fill="4098A4" w:themeFill="accent1"/>
      </w:tcPr>
    </w:tblStylePr>
    <w:tblStylePr w:type="lastRow">
      <w:rPr>
        <w:b/>
        <w:bCs/>
      </w:rPr>
      <w:tblPr/>
      <w:tcPr>
        <w:tcBorders>
          <w:top w:val="double" w:sz="4" w:space="0" w:color="85C6CF" w:themeColor="accent1" w:themeTint="99"/>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customStyle="1" w:styleId="ListTable4-Accent21">
    <w:name w:val="List Table 4 - Accent 21"/>
    <w:basedOn w:val="TableNormal"/>
    <w:uiPriority w:val="49"/>
    <w:semiHidden/>
    <w:rsid w:val="00294A5A"/>
    <w:pPr>
      <w:spacing w:after="0" w:line="240" w:lineRule="auto"/>
    </w:p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tblBorders>
    </w:tblPr>
    <w:tblStylePr w:type="firstRow">
      <w:rPr>
        <w:b/>
        <w:bCs/>
        <w:color w:val="FFFFFF" w:themeColor="background1"/>
      </w:rPr>
      <w:tblPr/>
      <w:tcPr>
        <w:tcBorders>
          <w:top w:val="single" w:sz="4" w:space="0" w:color="80BAC3" w:themeColor="accent2"/>
          <w:left w:val="single" w:sz="4" w:space="0" w:color="80BAC3" w:themeColor="accent2"/>
          <w:bottom w:val="single" w:sz="4" w:space="0" w:color="80BAC3" w:themeColor="accent2"/>
          <w:right w:val="single" w:sz="4" w:space="0" w:color="80BAC3" w:themeColor="accent2"/>
          <w:insideH w:val="nil"/>
        </w:tcBorders>
        <w:shd w:val="clear" w:color="auto" w:fill="80BAC3" w:themeFill="accent2"/>
      </w:tcPr>
    </w:tblStylePr>
    <w:tblStylePr w:type="lastRow">
      <w:rPr>
        <w:b/>
        <w:bCs/>
      </w:rPr>
      <w:tblPr/>
      <w:tcPr>
        <w:tcBorders>
          <w:top w:val="double" w:sz="4" w:space="0" w:color="B2D5DB" w:themeColor="accent2" w:themeTint="99"/>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customStyle="1" w:styleId="ListTable4-Accent31">
    <w:name w:val="List Table 4 - Accent 31"/>
    <w:basedOn w:val="TableNormal"/>
    <w:uiPriority w:val="49"/>
    <w:semiHidden/>
    <w:rsid w:val="00294A5A"/>
    <w:pPr>
      <w:spacing w:after="0" w:line="240" w:lineRule="auto"/>
    </w:p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tblBorders>
    </w:tblPr>
    <w:tblStylePr w:type="firstRow">
      <w:rPr>
        <w:b/>
        <w:bCs/>
        <w:color w:val="FFFFFF" w:themeColor="background1"/>
      </w:rPr>
      <w:tblPr/>
      <w:tcPr>
        <w:tcBorders>
          <w:top w:val="single" w:sz="4" w:space="0" w:color="BFDDE1" w:themeColor="accent3"/>
          <w:left w:val="single" w:sz="4" w:space="0" w:color="BFDDE1" w:themeColor="accent3"/>
          <w:bottom w:val="single" w:sz="4" w:space="0" w:color="BFDDE1" w:themeColor="accent3"/>
          <w:right w:val="single" w:sz="4" w:space="0" w:color="BFDDE1" w:themeColor="accent3"/>
          <w:insideH w:val="nil"/>
        </w:tcBorders>
        <w:shd w:val="clear" w:color="auto" w:fill="BFDDE1" w:themeFill="accent3"/>
      </w:tcPr>
    </w:tblStylePr>
    <w:tblStylePr w:type="lastRow">
      <w:rPr>
        <w:b/>
        <w:bCs/>
      </w:rPr>
      <w:tblPr/>
      <w:tcPr>
        <w:tcBorders>
          <w:top w:val="double" w:sz="4" w:space="0" w:color="D8EAED" w:themeColor="accent3" w:themeTint="99"/>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customStyle="1" w:styleId="ListTable4-Accent41">
    <w:name w:val="List Table 4 - Accent 41"/>
    <w:basedOn w:val="TableNormal"/>
    <w:uiPriority w:val="49"/>
    <w:semiHidden/>
    <w:rsid w:val="00294A5A"/>
    <w:pPr>
      <w:spacing w:after="0" w:line="240" w:lineRule="auto"/>
    </w:p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tblBorders>
    </w:tblPr>
    <w:tblStylePr w:type="firstRow">
      <w:rPr>
        <w:b/>
        <w:bCs/>
        <w:color w:val="FFFFFF" w:themeColor="background1"/>
      </w:rPr>
      <w:tblPr/>
      <w:tcPr>
        <w:tcBorders>
          <w:top w:val="single" w:sz="4" w:space="0" w:color="404050" w:themeColor="accent4"/>
          <w:left w:val="single" w:sz="4" w:space="0" w:color="404050" w:themeColor="accent4"/>
          <w:bottom w:val="single" w:sz="4" w:space="0" w:color="404050" w:themeColor="accent4"/>
          <w:right w:val="single" w:sz="4" w:space="0" w:color="404050" w:themeColor="accent4"/>
          <w:insideH w:val="nil"/>
        </w:tcBorders>
        <w:shd w:val="clear" w:color="auto" w:fill="404050" w:themeFill="accent4"/>
      </w:tcPr>
    </w:tblStylePr>
    <w:tblStylePr w:type="lastRow">
      <w:rPr>
        <w:b/>
        <w:bCs/>
      </w:rPr>
      <w:tblPr/>
      <w:tcPr>
        <w:tcBorders>
          <w:top w:val="double" w:sz="4" w:space="0" w:color="84849D" w:themeColor="accent4" w:themeTint="99"/>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customStyle="1" w:styleId="ListTable4-Accent51">
    <w:name w:val="List Table 4 - Accent 51"/>
    <w:basedOn w:val="TableNormal"/>
    <w:uiPriority w:val="49"/>
    <w:semiHidden/>
    <w:rsid w:val="00294A5A"/>
    <w:pPr>
      <w:spacing w:after="0" w:line="240" w:lineRule="auto"/>
    </w:p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tblBorders>
    </w:tblPr>
    <w:tblStylePr w:type="firstRow">
      <w:rPr>
        <w:b/>
        <w:bCs/>
        <w:color w:val="FFFFFF" w:themeColor="background1"/>
      </w:rPr>
      <w:tblPr/>
      <w:tcPr>
        <w:tcBorders>
          <w:top w:val="single" w:sz="4" w:space="0" w:color="80808B" w:themeColor="accent5"/>
          <w:left w:val="single" w:sz="4" w:space="0" w:color="80808B" w:themeColor="accent5"/>
          <w:bottom w:val="single" w:sz="4" w:space="0" w:color="80808B" w:themeColor="accent5"/>
          <w:right w:val="single" w:sz="4" w:space="0" w:color="80808B" w:themeColor="accent5"/>
          <w:insideH w:val="nil"/>
        </w:tcBorders>
        <w:shd w:val="clear" w:color="auto" w:fill="80808B" w:themeFill="accent5"/>
      </w:tcPr>
    </w:tblStylePr>
    <w:tblStylePr w:type="lastRow">
      <w:rPr>
        <w:b/>
        <w:bCs/>
      </w:rPr>
      <w:tblPr/>
      <w:tcPr>
        <w:tcBorders>
          <w:top w:val="double" w:sz="4" w:space="0" w:color="B2B2B9" w:themeColor="accent5" w:themeTint="99"/>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ListTable4-Accent61">
    <w:name w:val="List Table 4 - Accent 61"/>
    <w:basedOn w:val="TableNormal"/>
    <w:uiPriority w:val="49"/>
    <w:semiHidden/>
    <w:rsid w:val="00294A5A"/>
    <w:pPr>
      <w:spacing w:after="0" w:line="240" w:lineRule="auto"/>
    </w:p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tblBorders>
    </w:tblPr>
    <w:tblStylePr w:type="firstRow">
      <w:rPr>
        <w:b/>
        <w:bCs/>
        <w:color w:val="FFFFFF" w:themeColor="background1"/>
      </w:rPr>
      <w:tblPr/>
      <w:tcPr>
        <w:tcBorders>
          <w:top w:val="single" w:sz="4" w:space="0" w:color="CCCCD0" w:themeColor="accent6"/>
          <w:left w:val="single" w:sz="4" w:space="0" w:color="CCCCD0" w:themeColor="accent6"/>
          <w:bottom w:val="single" w:sz="4" w:space="0" w:color="CCCCD0" w:themeColor="accent6"/>
          <w:right w:val="single" w:sz="4" w:space="0" w:color="CCCCD0" w:themeColor="accent6"/>
          <w:insideH w:val="nil"/>
        </w:tcBorders>
        <w:shd w:val="clear" w:color="auto" w:fill="CCCCD0" w:themeFill="accent6"/>
      </w:tcPr>
    </w:tblStylePr>
    <w:tblStylePr w:type="lastRow">
      <w:rPr>
        <w:b/>
        <w:bCs/>
      </w:rPr>
      <w:tblPr/>
      <w:tcPr>
        <w:tcBorders>
          <w:top w:val="double" w:sz="4" w:space="0" w:color="E0E0E2" w:themeColor="accent6" w:themeTint="99"/>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customStyle="1" w:styleId="ListTable5Dark1">
    <w:name w:val="List Table 5 Dark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4098A4" w:themeColor="accent1"/>
        <w:left w:val="single" w:sz="24" w:space="0" w:color="4098A4" w:themeColor="accent1"/>
        <w:bottom w:val="single" w:sz="24" w:space="0" w:color="4098A4" w:themeColor="accent1"/>
        <w:right w:val="single" w:sz="24" w:space="0" w:color="4098A4" w:themeColor="accent1"/>
      </w:tblBorders>
    </w:tblPr>
    <w:tcPr>
      <w:shd w:val="clear" w:color="auto" w:fill="4098A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80BAC3" w:themeColor="accent2"/>
        <w:left w:val="single" w:sz="24" w:space="0" w:color="80BAC3" w:themeColor="accent2"/>
        <w:bottom w:val="single" w:sz="24" w:space="0" w:color="80BAC3" w:themeColor="accent2"/>
        <w:right w:val="single" w:sz="24" w:space="0" w:color="80BAC3" w:themeColor="accent2"/>
      </w:tblBorders>
    </w:tblPr>
    <w:tcPr>
      <w:shd w:val="clear" w:color="auto" w:fill="80BAC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BFDDE1" w:themeColor="accent3"/>
        <w:left w:val="single" w:sz="24" w:space="0" w:color="BFDDE1" w:themeColor="accent3"/>
        <w:bottom w:val="single" w:sz="24" w:space="0" w:color="BFDDE1" w:themeColor="accent3"/>
        <w:right w:val="single" w:sz="24" w:space="0" w:color="BFDDE1" w:themeColor="accent3"/>
      </w:tblBorders>
    </w:tblPr>
    <w:tcPr>
      <w:shd w:val="clear" w:color="auto" w:fill="BFDDE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404050" w:themeColor="accent4"/>
        <w:left w:val="single" w:sz="24" w:space="0" w:color="404050" w:themeColor="accent4"/>
        <w:bottom w:val="single" w:sz="24" w:space="0" w:color="404050" w:themeColor="accent4"/>
        <w:right w:val="single" w:sz="24" w:space="0" w:color="404050" w:themeColor="accent4"/>
      </w:tblBorders>
    </w:tblPr>
    <w:tcPr>
      <w:shd w:val="clear" w:color="auto" w:fill="404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80808B" w:themeColor="accent5"/>
        <w:left w:val="single" w:sz="24" w:space="0" w:color="80808B" w:themeColor="accent5"/>
        <w:bottom w:val="single" w:sz="24" w:space="0" w:color="80808B" w:themeColor="accent5"/>
        <w:right w:val="single" w:sz="24" w:space="0" w:color="80808B" w:themeColor="accent5"/>
      </w:tblBorders>
    </w:tblPr>
    <w:tcPr>
      <w:shd w:val="clear" w:color="auto" w:fill="80808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CCCCD0" w:themeColor="accent6"/>
        <w:left w:val="single" w:sz="24" w:space="0" w:color="CCCCD0" w:themeColor="accent6"/>
        <w:bottom w:val="single" w:sz="24" w:space="0" w:color="CCCCD0" w:themeColor="accent6"/>
        <w:right w:val="single" w:sz="24" w:space="0" w:color="CCCCD0" w:themeColor="accent6"/>
      </w:tblBorders>
    </w:tblPr>
    <w:tcPr>
      <w:shd w:val="clear" w:color="auto" w:fill="CCCCD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294A5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semiHidden/>
    <w:rsid w:val="00294A5A"/>
    <w:pPr>
      <w:spacing w:after="0" w:line="240" w:lineRule="auto"/>
    </w:pPr>
    <w:rPr>
      <w:color w:val="30717A" w:themeColor="accent1" w:themeShade="BF"/>
    </w:rPr>
    <w:tblPr>
      <w:tblStyleRowBandSize w:val="1"/>
      <w:tblStyleColBandSize w:val="1"/>
      <w:tblBorders>
        <w:top w:val="single" w:sz="4" w:space="0" w:color="4098A4" w:themeColor="accent1"/>
        <w:bottom w:val="single" w:sz="4" w:space="0" w:color="4098A4" w:themeColor="accent1"/>
      </w:tblBorders>
    </w:tblPr>
    <w:tblStylePr w:type="firstRow">
      <w:rPr>
        <w:b/>
        <w:bCs/>
      </w:rPr>
      <w:tblPr/>
      <w:tcPr>
        <w:tcBorders>
          <w:bottom w:val="single" w:sz="4" w:space="0" w:color="4098A4" w:themeColor="accent1"/>
        </w:tcBorders>
      </w:tcPr>
    </w:tblStylePr>
    <w:tblStylePr w:type="lastRow">
      <w:rPr>
        <w:b/>
        <w:bCs/>
      </w:rPr>
      <w:tblPr/>
      <w:tcPr>
        <w:tcBorders>
          <w:top w:val="double" w:sz="4" w:space="0" w:color="4098A4" w:themeColor="accent1"/>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customStyle="1" w:styleId="ListTable6Colorful-Accent21">
    <w:name w:val="List Table 6 Colorful - Accent 21"/>
    <w:basedOn w:val="TableNormal"/>
    <w:uiPriority w:val="51"/>
    <w:semiHidden/>
    <w:rsid w:val="00294A5A"/>
    <w:pPr>
      <w:spacing w:after="0" w:line="240" w:lineRule="auto"/>
    </w:pPr>
    <w:rPr>
      <w:color w:val="4D98A4" w:themeColor="accent2" w:themeShade="BF"/>
    </w:rPr>
    <w:tblPr>
      <w:tblStyleRowBandSize w:val="1"/>
      <w:tblStyleColBandSize w:val="1"/>
      <w:tblBorders>
        <w:top w:val="single" w:sz="4" w:space="0" w:color="80BAC3" w:themeColor="accent2"/>
        <w:bottom w:val="single" w:sz="4" w:space="0" w:color="80BAC3" w:themeColor="accent2"/>
      </w:tblBorders>
    </w:tblPr>
    <w:tblStylePr w:type="firstRow">
      <w:rPr>
        <w:b/>
        <w:bCs/>
      </w:rPr>
      <w:tblPr/>
      <w:tcPr>
        <w:tcBorders>
          <w:bottom w:val="single" w:sz="4" w:space="0" w:color="80BAC3" w:themeColor="accent2"/>
        </w:tcBorders>
      </w:tcPr>
    </w:tblStylePr>
    <w:tblStylePr w:type="lastRow">
      <w:rPr>
        <w:b/>
        <w:bCs/>
      </w:rPr>
      <w:tblPr/>
      <w:tcPr>
        <w:tcBorders>
          <w:top w:val="double" w:sz="4" w:space="0" w:color="80BAC3" w:themeColor="accent2"/>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customStyle="1" w:styleId="ListTable6Colorful-Accent31">
    <w:name w:val="List Table 6 Colorful - Accent 31"/>
    <w:basedOn w:val="TableNormal"/>
    <w:uiPriority w:val="51"/>
    <w:semiHidden/>
    <w:rsid w:val="00294A5A"/>
    <w:pPr>
      <w:spacing w:after="0" w:line="240" w:lineRule="auto"/>
    </w:pPr>
    <w:rPr>
      <w:color w:val="77B7BF" w:themeColor="accent3" w:themeShade="BF"/>
    </w:rPr>
    <w:tblPr>
      <w:tblStyleRowBandSize w:val="1"/>
      <w:tblStyleColBandSize w:val="1"/>
      <w:tblBorders>
        <w:top w:val="single" w:sz="4" w:space="0" w:color="BFDDE1" w:themeColor="accent3"/>
        <w:bottom w:val="single" w:sz="4" w:space="0" w:color="BFDDE1" w:themeColor="accent3"/>
      </w:tblBorders>
    </w:tblPr>
    <w:tblStylePr w:type="firstRow">
      <w:rPr>
        <w:b/>
        <w:bCs/>
      </w:rPr>
      <w:tblPr/>
      <w:tcPr>
        <w:tcBorders>
          <w:bottom w:val="single" w:sz="4" w:space="0" w:color="BFDDE1" w:themeColor="accent3"/>
        </w:tcBorders>
      </w:tcPr>
    </w:tblStylePr>
    <w:tblStylePr w:type="lastRow">
      <w:rPr>
        <w:b/>
        <w:bCs/>
      </w:rPr>
      <w:tblPr/>
      <w:tcPr>
        <w:tcBorders>
          <w:top w:val="double" w:sz="4" w:space="0" w:color="BFDDE1" w:themeColor="accent3"/>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customStyle="1" w:styleId="ListTable6Colorful-Accent41">
    <w:name w:val="List Table 6 Colorful - Accent 41"/>
    <w:basedOn w:val="TableNormal"/>
    <w:uiPriority w:val="51"/>
    <w:semiHidden/>
    <w:rsid w:val="00294A5A"/>
    <w:pPr>
      <w:spacing w:after="0" w:line="240" w:lineRule="auto"/>
    </w:pPr>
    <w:rPr>
      <w:color w:val="30303B" w:themeColor="accent4" w:themeShade="BF"/>
    </w:rPr>
    <w:tblPr>
      <w:tblStyleRowBandSize w:val="1"/>
      <w:tblStyleColBandSize w:val="1"/>
      <w:tblBorders>
        <w:top w:val="single" w:sz="4" w:space="0" w:color="404050" w:themeColor="accent4"/>
        <w:bottom w:val="single" w:sz="4" w:space="0" w:color="404050" w:themeColor="accent4"/>
      </w:tblBorders>
    </w:tblPr>
    <w:tblStylePr w:type="firstRow">
      <w:rPr>
        <w:b/>
        <w:bCs/>
      </w:rPr>
      <w:tblPr/>
      <w:tcPr>
        <w:tcBorders>
          <w:bottom w:val="single" w:sz="4" w:space="0" w:color="404050" w:themeColor="accent4"/>
        </w:tcBorders>
      </w:tcPr>
    </w:tblStylePr>
    <w:tblStylePr w:type="lastRow">
      <w:rPr>
        <w:b/>
        <w:bCs/>
      </w:rPr>
      <w:tblPr/>
      <w:tcPr>
        <w:tcBorders>
          <w:top w:val="double" w:sz="4" w:space="0" w:color="404050" w:themeColor="accent4"/>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customStyle="1" w:styleId="ListTable6Colorful-Accent51">
    <w:name w:val="List Table 6 Colorful - Accent 51"/>
    <w:basedOn w:val="TableNormal"/>
    <w:uiPriority w:val="51"/>
    <w:semiHidden/>
    <w:rsid w:val="00294A5A"/>
    <w:pPr>
      <w:spacing w:after="0" w:line="240" w:lineRule="auto"/>
    </w:pPr>
    <w:rPr>
      <w:color w:val="5F5F68" w:themeColor="accent5" w:themeShade="BF"/>
    </w:rPr>
    <w:tblPr>
      <w:tblStyleRowBandSize w:val="1"/>
      <w:tblStyleColBandSize w:val="1"/>
      <w:tblBorders>
        <w:top w:val="single" w:sz="4" w:space="0" w:color="80808B" w:themeColor="accent5"/>
        <w:bottom w:val="single" w:sz="4" w:space="0" w:color="80808B" w:themeColor="accent5"/>
      </w:tblBorders>
    </w:tblPr>
    <w:tblStylePr w:type="firstRow">
      <w:rPr>
        <w:b/>
        <w:bCs/>
      </w:rPr>
      <w:tblPr/>
      <w:tcPr>
        <w:tcBorders>
          <w:bottom w:val="single" w:sz="4" w:space="0" w:color="80808B" w:themeColor="accent5"/>
        </w:tcBorders>
      </w:tcPr>
    </w:tblStylePr>
    <w:tblStylePr w:type="lastRow">
      <w:rPr>
        <w:b/>
        <w:bCs/>
      </w:rPr>
      <w:tblPr/>
      <w:tcPr>
        <w:tcBorders>
          <w:top w:val="double" w:sz="4" w:space="0" w:color="80808B" w:themeColor="accent5"/>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ListTable6Colorful-Accent61">
    <w:name w:val="List Table 6 Colorful - Accent 61"/>
    <w:basedOn w:val="TableNormal"/>
    <w:uiPriority w:val="51"/>
    <w:semiHidden/>
    <w:rsid w:val="00294A5A"/>
    <w:pPr>
      <w:spacing w:after="0" w:line="240" w:lineRule="auto"/>
    </w:pPr>
    <w:rPr>
      <w:color w:val="96969E" w:themeColor="accent6" w:themeShade="BF"/>
    </w:rPr>
    <w:tblPr>
      <w:tblStyleRowBandSize w:val="1"/>
      <w:tblStyleColBandSize w:val="1"/>
      <w:tblBorders>
        <w:top w:val="single" w:sz="4" w:space="0" w:color="CCCCD0" w:themeColor="accent6"/>
        <w:bottom w:val="single" w:sz="4" w:space="0" w:color="CCCCD0" w:themeColor="accent6"/>
      </w:tblBorders>
    </w:tblPr>
    <w:tblStylePr w:type="firstRow">
      <w:rPr>
        <w:b/>
        <w:bCs/>
      </w:rPr>
      <w:tblPr/>
      <w:tcPr>
        <w:tcBorders>
          <w:bottom w:val="single" w:sz="4" w:space="0" w:color="CCCCD0" w:themeColor="accent6"/>
        </w:tcBorders>
      </w:tcPr>
    </w:tblStylePr>
    <w:tblStylePr w:type="lastRow">
      <w:rPr>
        <w:b/>
        <w:bCs/>
      </w:rPr>
      <w:tblPr/>
      <w:tcPr>
        <w:tcBorders>
          <w:top w:val="double" w:sz="4" w:space="0" w:color="CCCCD0" w:themeColor="accent6"/>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customStyle="1" w:styleId="ListTable7Colorful1">
    <w:name w:val="List Table 7 Colorful1"/>
    <w:basedOn w:val="TableNormal"/>
    <w:uiPriority w:val="52"/>
    <w:semiHidden/>
    <w:rsid w:val="00294A5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294A5A"/>
    <w:pPr>
      <w:spacing w:after="0" w:line="240" w:lineRule="auto"/>
    </w:pPr>
    <w:rPr>
      <w:color w:val="30717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098A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098A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098A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098A4" w:themeColor="accent1"/>
        </w:tcBorders>
        <w:shd w:val="clear" w:color="auto" w:fill="FFFFFF" w:themeFill="background1"/>
      </w:tcPr>
    </w:tblStylePr>
    <w:tblStylePr w:type="band1Vert">
      <w:tblPr/>
      <w:tcPr>
        <w:shd w:val="clear" w:color="auto" w:fill="D6ECEF" w:themeFill="accent1" w:themeFillTint="33"/>
      </w:tcPr>
    </w:tblStylePr>
    <w:tblStylePr w:type="band1Horz">
      <w:tblPr/>
      <w:tcPr>
        <w:shd w:val="clear" w:color="auto" w:fill="D6ECE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294A5A"/>
    <w:pPr>
      <w:spacing w:after="0" w:line="240" w:lineRule="auto"/>
    </w:pPr>
    <w:rPr>
      <w:color w:val="4D98A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BAC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BAC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BAC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BAC3" w:themeColor="accent2"/>
        </w:tcBorders>
        <w:shd w:val="clear" w:color="auto" w:fill="FFFFFF" w:themeFill="background1"/>
      </w:tcPr>
    </w:tblStylePr>
    <w:tblStylePr w:type="band1Vert">
      <w:tblPr/>
      <w:tcPr>
        <w:shd w:val="clear" w:color="auto" w:fill="E5F1F3" w:themeFill="accent2" w:themeFillTint="33"/>
      </w:tcPr>
    </w:tblStylePr>
    <w:tblStylePr w:type="band1Horz">
      <w:tblPr/>
      <w:tcPr>
        <w:shd w:val="clear" w:color="auto" w:fill="E5F1F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294A5A"/>
    <w:pPr>
      <w:spacing w:after="0" w:line="240" w:lineRule="auto"/>
    </w:pPr>
    <w:rPr>
      <w:color w:val="77B7B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DDE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DDE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DDE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DDE1" w:themeColor="accent3"/>
        </w:tcBorders>
        <w:shd w:val="clear" w:color="auto" w:fill="FFFFFF" w:themeFill="background1"/>
      </w:tcPr>
    </w:tblStylePr>
    <w:tblStylePr w:type="band1Vert">
      <w:tblPr/>
      <w:tcPr>
        <w:shd w:val="clear" w:color="auto" w:fill="F2F8F9" w:themeFill="accent3" w:themeFillTint="33"/>
      </w:tcPr>
    </w:tblStylePr>
    <w:tblStylePr w:type="band1Horz">
      <w:tblPr/>
      <w:tcPr>
        <w:shd w:val="clear" w:color="auto" w:fill="F2F8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294A5A"/>
    <w:pPr>
      <w:spacing w:after="0" w:line="240" w:lineRule="auto"/>
    </w:pPr>
    <w:rPr>
      <w:color w:val="30303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04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04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04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04050" w:themeColor="accent4"/>
        </w:tcBorders>
        <w:shd w:val="clear" w:color="auto" w:fill="FFFFFF" w:themeFill="background1"/>
      </w:tcPr>
    </w:tblStylePr>
    <w:tblStylePr w:type="band1Vert">
      <w:tblPr/>
      <w:tcPr>
        <w:shd w:val="clear" w:color="auto" w:fill="D6D6DE" w:themeFill="accent4" w:themeFillTint="33"/>
      </w:tcPr>
    </w:tblStylePr>
    <w:tblStylePr w:type="band1Horz">
      <w:tblPr/>
      <w:tcPr>
        <w:shd w:val="clear" w:color="auto" w:fill="D6D6D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294A5A"/>
    <w:pPr>
      <w:spacing w:after="0" w:line="240" w:lineRule="auto"/>
    </w:pPr>
    <w:rPr>
      <w:color w:val="5F5F6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808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808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808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808B" w:themeColor="accent5"/>
        </w:tcBorders>
        <w:shd w:val="clear" w:color="auto" w:fill="FFFFFF" w:themeFill="background1"/>
      </w:tcPr>
    </w:tblStylePr>
    <w:tblStylePr w:type="band1Vert">
      <w:tblPr/>
      <w:tcPr>
        <w:shd w:val="clear" w:color="auto" w:fill="E5E5E7" w:themeFill="accent5" w:themeFillTint="33"/>
      </w:tcPr>
    </w:tblStylePr>
    <w:tblStylePr w:type="band1Horz">
      <w:tblPr/>
      <w:tcPr>
        <w:shd w:val="clear" w:color="auto" w:fill="E5E5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294A5A"/>
    <w:pPr>
      <w:spacing w:after="0" w:line="240" w:lineRule="auto"/>
    </w:pPr>
    <w:rPr>
      <w:color w:val="96969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CCCD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CCCD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CCCD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CCCD0" w:themeColor="accent6"/>
        </w:tcBorders>
        <w:shd w:val="clear" w:color="auto" w:fill="FFFFFF" w:themeFill="background1"/>
      </w:tcPr>
    </w:tblStylePr>
    <w:tblStylePr w:type="band1Vert">
      <w:tblPr/>
      <w:tcPr>
        <w:shd w:val="clear" w:color="auto" w:fill="F4F4F5" w:themeFill="accent6" w:themeFillTint="33"/>
      </w:tcPr>
    </w:tblStylePr>
    <w:tblStylePr w:type="band1Horz">
      <w:tblPr/>
      <w:tcPr>
        <w:shd w:val="clear" w:color="auto" w:fill="F4F4F5"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94A5A"/>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294A5A"/>
    <w:pPr>
      <w:spacing w:before="0" w:after="0" w:line="240" w:lineRule="auto"/>
    </w:pPr>
    <w:tblPr>
      <w:tblStyleRowBandSize w:val="1"/>
      <w:tblStyleColBandSize w:val="1"/>
      <w:tblBorders>
        <w:top w:val="single" w:sz="8"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single" w:sz="8" w:space="0" w:color="66B8C3" w:themeColor="accent1" w:themeTint="BF"/>
        <w:insideV w:val="single" w:sz="8" w:space="0" w:color="66B8C3" w:themeColor="accent1" w:themeTint="BF"/>
      </w:tblBorders>
    </w:tblPr>
    <w:tcPr>
      <w:shd w:val="clear" w:color="auto" w:fill="CCE7EB" w:themeFill="accent1" w:themeFillTint="3F"/>
    </w:tcPr>
    <w:tblStylePr w:type="firstRow">
      <w:rPr>
        <w:b/>
        <w:bCs/>
      </w:rPr>
    </w:tblStylePr>
    <w:tblStylePr w:type="lastRow">
      <w:rPr>
        <w:b/>
        <w:bCs/>
      </w:rPr>
      <w:tblPr/>
      <w:tcPr>
        <w:tcBorders>
          <w:top w:val="single" w:sz="18" w:space="0" w:color="66B8C3" w:themeColor="accent1" w:themeTint="BF"/>
        </w:tcBorders>
      </w:tcPr>
    </w:tblStylePr>
    <w:tblStylePr w:type="firstCol">
      <w:rPr>
        <w:b/>
        <w:bCs/>
      </w:rPr>
    </w:tblStylePr>
    <w:tblStylePr w:type="lastCol">
      <w:rPr>
        <w:b/>
        <w:bCs/>
      </w:rPr>
    </w:tblStylePr>
    <w:tblStylePr w:type="band1Vert">
      <w:tblPr/>
      <w:tcPr>
        <w:shd w:val="clear" w:color="auto" w:fill="99D0D7" w:themeFill="accent1" w:themeFillTint="7F"/>
      </w:tcPr>
    </w:tblStylePr>
    <w:tblStylePr w:type="band1Horz">
      <w:tblPr/>
      <w:tcPr>
        <w:shd w:val="clear" w:color="auto" w:fill="99D0D7" w:themeFill="accent1" w:themeFillTint="7F"/>
      </w:tcPr>
    </w:tblStylePr>
  </w:style>
  <w:style w:type="table" w:styleId="MediumGrid1-Accent2">
    <w:name w:val="Medium Grid 1 Accent 2"/>
    <w:basedOn w:val="TableNormal"/>
    <w:uiPriority w:val="67"/>
    <w:semiHidden/>
    <w:rsid w:val="00294A5A"/>
    <w:pPr>
      <w:spacing w:before="0" w:after="0" w:line="240" w:lineRule="auto"/>
    </w:pPr>
    <w:tblPr>
      <w:tblStyleRowBandSize w:val="1"/>
      <w:tblStyleColBandSize w:val="1"/>
      <w:tblBorders>
        <w:top w:val="single" w:sz="8"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single" w:sz="8" w:space="0" w:color="9FCBD2" w:themeColor="accent2" w:themeTint="BF"/>
        <w:insideV w:val="single" w:sz="8" w:space="0" w:color="9FCBD2" w:themeColor="accent2" w:themeTint="BF"/>
      </w:tblBorders>
    </w:tblPr>
    <w:tcPr>
      <w:shd w:val="clear" w:color="auto" w:fill="DFEDF0" w:themeFill="accent2" w:themeFillTint="3F"/>
    </w:tcPr>
    <w:tblStylePr w:type="firstRow">
      <w:rPr>
        <w:b/>
        <w:bCs/>
      </w:rPr>
    </w:tblStylePr>
    <w:tblStylePr w:type="lastRow">
      <w:rPr>
        <w:b/>
        <w:bCs/>
      </w:rPr>
      <w:tblPr/>
      <w:tcPr>
        <w:tcBorders>
          <w:top w:val="single" w:sz="18" w:space="0" w:color="9FCBD2" w:themeColor="accent2" w:themeTint="BF"/>
        </w:tcBorders>
      </w:tcPr>
    </w:tblStylePr>
    <w:tblStylePr w:type="firstCol">
      <w:rPr>
        <w:b/>
        <w:bCs/>
      </w:rPr>
    </w:tblStylePr>
    <w:tblStylePr w:type="lastCol">
      <w:rPr>
        <w:b/>
        <w:bCs/>
      </w:rPr>
    </w:tblStylePr>
    <w:tblStylePr w:type="band1Vert">
      <w:tblPr/>
      <w:tcPr>
        <w:shd w:val="clear" w:color="auto" w:fill="BFDCE1" w:themeFill="accent2" w:themeFillTint="7F"/>
      </w:tcPr>
    </w:tblStylePr>
    <w:tblStylePr w:type="band1Horz">
      <w:tblPr/>
      <w:tcPr>
        <w:shd w:val="clear" w:color="auto" w:fill="BFDCE1" w:themeFill="accent2" w:themeFillTint="7F"/>
      </w:tcPr>
    </w:tblStylePr>
  </w:style>
  <w:style w:type="table" w:styleId="MediumGrid1-Accent3">
    <w:name w:val="Medium Grid 1 Accent 3"/>
    <w:basedOn w:val="TableNormal"/>
    <w:uiPriority w:val="67"/>
    <w:semiHidden/>
    <w:rsid w:val="00294A5A"/>
    <w:pPr>
      <w:spacing w:before="0" w:after="0" w:line="240" w:lineRule="auto"/>
    </w:pPr>
    <w:tblPr>
      <w:tblStyleRowBandSize w:val="1"/>
      <w:tblStyleColBandSize w:val="1"/>
      <w:tblBorders>
        <w:top w:val="single" w:sz="8"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single" w:sz="8" w:space="0" w:color="CEE5E8" w:themeColor="accent3" w:themeTint="BF"/>
        <w:insideV w:val="single" w:sz="8" w:space="0" w:color="CEE5E8" w:themeColor="accent3" w:themeTint="BF"/>
      </w:tblBorders>
    </w:tblPr>
    <w:tcPr>
      <w:shd w:val="clear" w:color="auto" w:fill="EFF6F7" w:themeFill="accent3" w:themeFillTint="3F"/>
    </w:tcPr>
    <w:tblStylePr w:type="firstRow">
      <w:rPr>
        <w:b/>
        <w:bCs/>
      </w:rPr>
    </w:tblStylePr>
    <w:tblStylePr w:type="lastRow">
      <w:rPr>
        <w:b/>
        <w:bCs/>
      </w:rPr>
      <w:tblPr/>
      <w:tcPr>
        <w:tcBorders>
          <w:top w:val="single" w:sz="18" w:space="0" w:color="CEE5E8" w:themeColor="accent3" w:themeTint="BF"/>
        </w:tcBorders>
      </w:tcPr>
    </w:tblStylePr>
    <w:tblStylePr w:type="firstCol">
      <w:rPr>
        <w:b/>
        <w:bCs/>
      </w:rPr>
    </w:tblStylePr>
    <w:tblStylePr w:type="lastCol">
      <w:rPr>
        <w:b/>
        <w:bCs/>
      </w:rPr>
    </w:tblStylePr>
    <w:tblStylePr w:type="band1Vert">
      <w:tblPr/>
      <w:tcPr>
        <w:shd w:val="clear" w:color="auto" w:fill="DFEEF0" w:themeFill="accent3" w:themeFillTint="7F"/>
      </w:tcPr>
    </w:tblStylePr>
    <w:tblStylePr w:type="band1Horz">
      <w:tblPr/>
      <w:tcPr>
        <w:shd w:val="clear" w:color="auto" w:fill="DFEEF0" w:themeFill="accent3" w:themeFillTint="7F"/>
      </w:tcPr>
    </w:tblStylePr>
  </w:style>
  <w:style w:type="table" w:styleId="MediumGrid1-Accent4">
    <w:name w:val="Medium Grid 1 Accent 4"/>
    <w:basedOn w:val="TableNormal"/>
    <w:uiPriority w:val="67"/>
    <w:semiHidden/>
    <w:rsid w:val="00294A5A"/>
    <w:pPr>
      <w:spacing w:before="0" w:after="0" w:line="240" w:lineRule="auto"/>
    </w:pPr>
    <w:tblPr>
      <w:tblStyleRowBandSize w:val="1"/>
      <w:tblStyleColBandSize w:val="1"/>
      <w:tblBorders>
        <w:top w:val="single" w:sz="8"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single" w:sz="8" w:space="0" w:color="686882" w:themeColor="accent4" w:themeTint="BF"/>
        <w:insideV w:val="single" w:sz="8" w:space="0" w:color="686882" w:themeColor="accent4" w:themeTint="BF"/>
      </w:tblBorders>
    </w:tblPr>
    <w:tcPr>
      <w:shd w:val="clear" w:color="auto" w:fill="CCCCD6" w:themeFill="accent4" w:themeFillTint="3F"/>
    </w:tcPr>
    <w:tblStylePr w:type="firstRow">
      <w:rPr>
        <w:b/>
        <w:bCs/>
      </w:rPr>
    </w:tblStylePr>
    <w:tblStylePr w:type="lastRow">
      <w:rPr>
        <w:b/>
        <w:bCs/>
      </w:rPr>
      <w:tblPr/>
      <w:tcPr>
        <w:tcBorders>
          <w:top w:val="single" w:sz="18" w:space="0" w:color="686882" w:themeColor="accent4" w:themeTint="BF"/>
        </w:tcBorders>
      </w:tcPr>
    </w:tblStylePr>
    <w:tblStylePr w:type="firstCol">
      <w:rPr>
        <w:b/>
        <w:bCs/>
      </w:rPr>
    </w:tblStylePr>
    <w:tblStylePr w:type="lastCol">
      <w:rPr>
        <w:b/>
        <w:bCs/>
      </w:rPr>
    </w:tblStylePr>
    <w:tblStylePr w:type="band1Vert">
      <w:tblPr/>
      <w:tcPr>
        <w:shd w:val="clear" w:color="auto" w:fill="9999AE" w:themeFill="accent4" w:themeFillTint="7F"/>
      </w:tcPr>
    </w:tblStylePr>
    <w:tblStylePr w:type="band1Horz">
      <w:tblPr/>
      <w:tcPr>
        <w:shd w:val="clear" w:color="auto" w:fill="9999AE" w:themeFill="accent4" w:themeFillTint="7F"/>
      </w:tcPr>
    </w:tblStylePr>
  </w:style>
  <w:style w:type="table" w:styleId="MediumGrid1-Accent5">
    <w:name w:val="Medium Grid 1 Accent 5"/>
    <w:basedOn w:val="TableNormal"/>
    <w:uiPriority w:val="67"/>
    <w:semiHidden/>
    <w:rsid w:val="00294A5A"/>
    <w:pPr>
      <w:spacing w:before="0" w:after="0" w:line="240" w:lineRule="auto"/>
    </w:pPr>
    <w:tblPr>
      <w:tblStyleRowBandSize w:val="1"/>
      <w:tblStyleColBandSize w:val="1"/>
      <w:tblBorders>
        <w:top w:val="single" w:sz="8"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single" w:sz="8" w:space="0" w:color="9F9FA8" w:themeColor="accent5" w:themeTint="BF"/>
        <w:insideV w:val="single" w:sz="8" w:space="0" w:color="9F9FA8" w:themeColor="accent5" w:themeTint="BF"/>
      </w:tblBorders>
    </w:tblPr>
    <w:tcPr>
      <w:shd w:val="clear" w:color="auto" w:fill="DFDFE2" w:themeFill="accent5" w:themeFillTint="3F"/>
    </w:tcPr>
    <w:tblStylePr w:type="firstRow">
      <w:rPr>
        <w:b/>
        <w:bCs/>
      </w:rPr>
    </w:tblStylePr>
    <w:tblStylePr w:type="lastRow">
      <w:rPr>
        <w:b/>
        <w:bCs/>
      </w:rPr>
      <w:tblPr/>
      <w:tcPr>
        <w:tcBorders>
          <w:top w:val="single" w:sz="18" w:space="0" w:color="9F9FA8" w:themeColor="accent5" w:themeTint="BF"/>
        </w:tcBorders>
      </w:tcPr>
    </w:tblStylePr>
    <w:tblStylePr w:type="firstCol">
      <w:rPr>
        <w:b/>
        <w:bCs/>
      </w:rPr>
    </w:tblStylePr>
    <w:tblStylePr w:type="lastCol">
      <w:rPr>
        <w:b/>
        <w:bCs/>
      </w:rPr>
    </w:tblStylePr>
    <w:tblStylePr w:type="band1Vert">
      <w:tblPr/>
      <w:tcPr>
        <w:shd w:val="clear" w:color="auto" w:fill="BFBFC5" w:themeFill="accent5" w:themeFillTint="7F"/>
      </w:tcPr>
    </w:tblStylePr>
    <w:tblStylePr w:type="band1Horz">
      <w:tblPr/>
      <w:tcPr>
        <w:shd w:val="clear" w:color="auto" w:fill="BFBFC5" w:themeFill="accent5" w:themeFillTint="7F"/>
      </w:tcPr>
    </w:tblStylePr>
  </w:style>
  <w:style w:type="table" w:styleId="MediumGrid1-Accent6">
    <w:name w:val="Medium Grid 1 Accent 6"/>
    <w:basedOn w:val="TableNormal"/>
    <w:uiPriority w:val="67"/>
    <w:semiHidden/>
    <w:rsid w:val="00294A5A"/>
    <w:pPr>
      <w:spacing w:before="0" w:after="0" w:line="240" w:lineRule="auto"/>
    </w:pPr>
    <w:tblPr>
      <w:tblStyleRowBandSize w:val="1"/>
      <w:tblStyleColBandSize w:val="1"/>
      <w:tblBorders>
        <w:top w:val="single" w:sz="8"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single" w:sz="8" w:space="0" w:color="D8D8DB" w:themeColor="accent6" w:themeTint="BF"/>
        <w:insideV w:val="single" w:sz="8" w:space="0" w:color="D8D8DB" w:themeColor="accent6" w:themeTint="BF"/>
      </w:tblBorders>
    </w:tblPr>
    <w:tcPr>
      <w:shd w:val="clear" w:color="auto" w:fill="F2F2F3" w:themeFill="accent6" w:themeFillTint="3F"/>
    </w:tcPr>
    <w:tblStylePr w:type="firstRow">
      <w:rPr>
        <w:b/>
        <w:bCs/>
      </w:rPr>
    </w:tblStylePr>
    <w:tblStylePr w:type="lastRow">
      <w:rPr>
        <w:b/>
        <w:bCs/>
      </w:rPr>
      <w:tblPr/>
      <w:tcPr>
        <w:tcBorders>
          <w:top w:val="single" w:sz="18" w:space="0" w:color="D8D8DB" w:themeColor="accent6" w:themeTint="BF"/>
        </w:tcBorders>
      </w:tcPr>
    </w:tblStylePr>
    <w:tblStylePr w:type="firstCol">
      <w:rPr>
        <w:b/>
        <w:bCs/>
      </w:rPr>
    </w:tblStylePr>
    <w:tblStylePr w:type="lastCol">
      <w:rPr>
        <w:b/>
        <w:bCs/>
      </w:rPr>
    </w:tblStylePr>
    <w:tblStylePr w:type="band1Vert">
      <w:tblPr/>
      <w:tcPr>
        <w:shd w:val="clear" w:color="auto" w:fill="E5E5E7" w:themeFill="accent6" w:themeFillTint="7F"/>
      </w:tcPr>
    </w:tblStylePr>
    <w:tblStylePr w:type="band1Horz">
      <w:tblPr/>
      <w:tcPr>
        <w:shd w:val="clear" w:color="auto" w:fill="E5E5E7" w:themeFill="accent6" w:themeFillTint="7F"/>
      </w:tcPr>
    </w:tblStylePr>
  </w:style>
  <w:style w:type="table" w:styleId="MediumGrid2">
    <w:name w:val="Medium Grid 2"/>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insideH w:val="single" w:sz="8" w:space="0" w:color="4098A4" w:themeColor="accent1"/>
        <w:insideV w:val="single" w:sz="8" w:space="0" w:color="4098A4" w:themeColor="accent1"/>
      </w:tblBorders>
    </w:tblPr>
    <w:tcPr>
      <w:shd w:val="clear" w:color="auto" w:fill="CCE7EB" w:themeFill="accent1" w:themeFillTint="3F"/>
    </w:tcPr>
    <w:tblStylePr w:type="firstRow">
      <w:rPr>
        <w:b/>
        <w:bCs/>
        <w:color w:val="000000" w:themeColor="text1"/>
      </w:rPr>
      <w:tblPr/>
      <w:tcPr>
        <w:shd w:val="clear" w:color="auto" w:fill="EBF5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ECEF" w:themeFill="accent1" w:themeFillTint="33"/>
      </w:tcPr>
    </w:tblStylePr>
    <w:tblStylePr w:type="band1Vert">
      <w:tblPr/>
      <w:tcPr>
        <w:shd w:val="clear" w:color="auto" w:fill="99D0D7" w:themeFill="accent1" w:themeFillTint="7F"/>
      </w:tcPr>
    </w:tblStylePr>
    <w:tblStylePr w:type="band1Horz">
      <w:tblPr/>
      <w:tcPr>
        <w:tcBorders>
          <w:insideH w:val="single" w:sz="6" w:space="0" w:color="4098A4" w:themeColor="accent1"/>
          <w:insideV w:val="single" w:sz="6" w:space="0" w:color="4098A4" w:themeColor="accent1"/>
        </w:tcBorders>
        <w:shd w:val="clear" w:color="auto" w:fill="99D0D7"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insideH w:val="single" w:sz="8" w:space="0" w:color="80BAC3" w:themeColor="accent2"/>
        <w:insideV w:val="single" w:sz="8" w:space="0" w:color="80BAC3" w:themeColor="accent2"/>
      </w:tblBorders>
    </w:tblPr>
    <w:tcPr>
      <w:shd w:val="clear" w:color="auto" w:fill="DFEDF0" w:themeFill="accent2" w:themeFillTint="3F"/>
    </w:tcPr>
    <w:tblStylePr w:type="firstRow">
      <w:rPr>
        <w:b/>
        <w:bCs/>
        <w:color w:val="000000" w:themeColor="text1"/>
      </w:rPr>
      <w:tblPr/>
      <w:tcPr>
        <w:shd w:val="clear" w:color="auto" w:fill="F2F8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1F3" w:themeFill="accent2" w:themeFillTint="33"/>
      </w:tcPr>
    </w:tblStylePr>
    <w:tblStylePr w:type="band1Vert">
      <w:tblPr/>
      <w:tcPr>
        <w:shd w:val="clear" w:color="auto" w:fill="BFDCE1" w:themeFill="accent2" w:themeFillTint="7F"/>
      </w:tcPr>
    </w:tblStylePr>
    <w:tblStylePr w:type="band1Horz">
      <w:tblPr/>
      <w:tcPr>
        <w:tcBorders>
          <w:insideH w:val="single" w:sz="6" w:space="0" w:color="80BAC3" w:themeColor="accent2"/>
          <w:insideV w:val="single" w:sz="6" w:space="0" w:color="80BAC3" w:themeColor="accent2"/>
        </w:tcBorders>
        <w:shd w:val="clear" w:color="auto" w:fill="BFDCE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insideH w:val="single" w:sz="8" w:space="0" w:color="BFDDE1" w:themeColor="accent3"/>
        <w:insideV w:val="single" w:sz="8" w:space="0" w:color="BFDDE1" w:themeColor="accent3"/>
      </w:tblBorders>
    </w:tblPr>
    <w:tcPr>
      <w:shd w:val="clear" w:color="auto" w:fill="EFF6F7" w:themeFill="accent3" w:themeFillTint="3F"/>
    </w:tcPr>
    <w:tblStylePr w:type="firstRow">
      <w:rPr>
        <w:b/>
        <w:bCs/>
        <w:color w:val="000000" w:themeColor="text1"/>
      </w:rPr>
      <w:tblPr/>
      <w:tcPr>
        <w:shd w:val="clear" w:color="auto" w:fill="F8FB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8F9" w:themeFill="accent3" w:themeFillTint="33"/>
      </w:tcPr>
    </w:tblStylePr>
    <w:tblStylePr w:type="band1Vert">
      <w:tblPr/>
      <w:tcPr>
        <w:shd w:val="clear" w:color="auto" w:fill="DFEEF0" w:themeFill="accent3" w:themeFillTint="7F"/>
      </w:tcPr>
    </w:tblStylePr>
    <w:tblStylePr w:type="band1Horz">
      <w:tblPr/>
      <w:tcPr>
        <w:tcBorders>
          <w:insideH w:val="single" w:sz="6" w:space="0" w:color="BFDDE1" w:themeColor="accent3"/>
          <w:insideV w:val="single" w:sz="6" w:space="0" w:color="BFDDE1" w:themeColor="accent3"/>
        </w:tcBorders>
        <w:shd w:val="clear" w:color="auto" w:fill="DFEEF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insideH w:val="single" w:sz="8" w:space="0" w:color="404050" w:themeColor="accent4"/>
        <w:insideV w:val="single" w:sz="8" w:space="0" w:color="404050" w:themeColor="accent4"/>
      </w:tblBorders>
    </w:tblPr>
    <w:tcPr>
      <w:shd w:val="clear" w:color="auto" w:fill="CCCCD6" w:themeFill="accent4" w:themeFillTint="3F"/>
    </w:tcPr>
    <w:tblStylePr w:type="firstRow">
      <w:rPr>
        <w:b/>
        <w:bCs/>
        <w:color w:val="000000" w:themeColor="text1"/>
      </w:rPr>
      <w:tblPr/>
      <w:tcPr>
        <w:shd w:val="clear" w:color="auto" w:fill="EBEBE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D6DE" w:themeFill="accent4" w:themeFillTint="33"/>
      </w:tcPr>
    </w:tblStylePr>
    <w:tblStylePr w:type="band1Vert">
      <w:tblPr/>
      <w:tcPr>
        <w:shd w:val="clear" w:color="auto" w:fill="9999AE" w:themeFill="accent4" w:themeFillTint="7F"/>
      </w:tcPr>
    </w:tblStylePr>
    <w:tblStylePr w:type="band1Horz">
      <w:tblPr/>
      <w:tcPr>
        <w:tcBorders>
          <w:insideH w:val="single" w:sz="6" w:space="0" w:color="404050" w:themeColor="accent4"/>
          <w:insideV w:val="single" w:sz="6" w:space="0" w:color="404050" w:themeColor="accent4"/>
        </w:tcBorders>
        <w:shd w:val="clear" w:color="auto" w:fill="9999A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insideH w:val="single" w:sz="8" w:space="0" w:color="80808B" w:themeColor="accent5"/>
        <w:insideV w:val="single" w:sz="8" w:space="0" w:color="80808B" w:themeColor="accent5"/>
      </w:tblBorders>
    </w:tblPr>
    <w:tcPr>
      <w:shd w:val="clear" w:color="auto" w:fill="DFDFE2" w:themeFill="accent5" w:themeFillTint="3F"/>
    </w:tcPr>
    <w:tblStylePr w:type="firstRow">
      <w:rPr>
        <w:b/>
        <w:bCs/>
        <w:color w:val="000000" w:themeColor="text1"/>
      </w:rPr>
      <w:tblPr/>
      <w:tcPr>
        <w:shd w:val="clear" w:color="auto" w:fill="F2F2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7" w:themeFill="accent5" w:themeFillTint="33"/>
      </w:tcPr>
    </w:tblStylePr>
    <w:tblStylePr w:type="band1Vert">
      <w:tblPr/>
      <w:tcPr>
        <w:shd w:val="clear" w:color="auto" w:fill="BFBFC5" w:themeFill="accent5" w:themeFillTint="7F"/>
      </w:tcPr>
    </w:tblStylePr>
    <w:tblStylePr w:type="band1Horz">
      <w:tblPr/>
      <w:tcPr>
        <w:tcBorders>
          <w:insideH w:val="single" w:sz="6" w:space="0" w:color="80808B" w:themeColor="accent5"/>
          <w:insideV w:val="single" w:sz="6" w:space="0" w:color="80808B" w:themeColor="accent5"/>
        </w:tcBorders>
        <w:shd w:val="clear" w:color="auto" w:fill="BFBFC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insideH w:val="single" w:sz="8" w:space="0" w:color="CCCCD0" w:themeColor="accent6"/>
        <w:insideV w:val="single" w:sz="8" w:space="0" w:color="CCCCD0" w:themeColor="accent6"/>
      </w:tblBorders>
    </w:tblPr>
    <w:tcPr>
      <w:shd w:val="clear" w:color="auto" w:fill="F2F2F3" w:themeFill="accent6" w:themeFillTint="3F"/>
    </w:tcPr>
    <w:tblStylePr w:type="firstRow">
      <w:rPr>
        <w:b/>
        <w:bCs/>
        <w:color w:val="000000" w:themeColor="text1"/>
      </w:rPr>
      <w:tblPr/>
      <w:tcPr>
        <w:shd w:val="clear" w:color="auto" w:fill="F9F9FA"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5" w:themeFill="accent6" w:themeFillTint="33"/>
      </w:tcPr>
    </w:tblStylePr>
    <w:tblStylePr w:type="band1Vert">
      <w:tblPr/>
      <w:tcPr>
        <w:shd w:val="clear" w:color="auto" w:fill="E5E5E7" w:themeFill="accent6" w:themeFillTint="7F"/>
      </w:tcPr>
    </w:tblStylePr>
    <w:tblStylePr w:type="band1Horz">
      <w:tblPr/>
      <w:tcPr>
        <w:tcBorders>
          <w:insideH w:val="single" w:sz="6" w:space="0" w:color="CCCCD0" w:themeColor="accent6"/>
          <w:insideV w:val="single" w:sz="6" w:space="0" w:color="CCCCD0" w:themeColor="accent6"/>
        </w:tcBorders>
        <w:shd w:val="clear" w:color="auto" w:fill="E5E5E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7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98A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98A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98A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98A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D0D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D0D7" w:themeFill="accent1" w:themeFillTint="7F"/>
      </w:tcPr>
    </w:tblStylePr>
  </w:style>
  <w:style w:type="table" w:styleId="MediumGrid3-Accent2">
    <w:name w:val="Medium Grid 3 Accent 2"/>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DF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BAC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BAC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BAC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BAC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DCE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DCE1" w:themeFill="accent2" w:themeFillTint="7F"/>
      </w:tcPr>
    </w:tblStylePr>
  </w:style>
  <w:style w:type="table" w:styleId="MediumGrid3-Accent3">
    <w:name w:val="Medium Grid 3 Accent 3"/>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6F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DDE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DDE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DDE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DDE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EEF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EEF0" w:themeFill="accent3" w:themeFillTint="7F"/>
      </w:tcPr>
    </w:tblStylePr>
  </w:style>
  <w:style w:type="table" w:styleId="MediumGrid3-Accent4">
    <w:name w:val="Medium Grid 3 Accent 4"/>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CC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4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4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4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4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99A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99AE" w:themeFill="accent4" w:themeFillTint="7F"/>
      </w:tcPr>
    </w:tblStylePr>
  </w:style>
  <w:style w:type="table" w:styleId="MediumGrid3-Accent5">
    <w:name w:val="Medium Grid 3 Accent 5"/>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E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C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C5" w:themeFill="accent5" w:themeFillTint="7F"/>
      </w:tcPr>
    </w:tblStylePr>
  </w:style>
  <w:style w:type="table" w:styleId="MediumGrid3-Accent6">
    <w:name w:val="Medium Grid 3 Accent 6"/>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2F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CCD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CCD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CCD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CCD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5E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5E7" w:themeFill="accent6" w:themeFillTint="7F"/>
      </w:tcPr>
    </w:tblStylePr>
  </w:style>
  <w:style w:type="table" w:styleId="MediumList1">
    <w:name w:val="Medium List 1"/>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758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4098A4" w:themeColor="accent1"/>
        <w:bottom w:val="single" w:sz="8" w:space="0" w:color="4098A4" w:themeColor="accent1"/>
      </w:tblBorders>
    </w:tblPr>
    <w:tblStylePr w:type="firstRow">
      <w:rPr>
        <w:rFonts w:asciiTheme="majorHAnsi" w:eastAsiaTheme="majorEastAsia" w:hAnsiTheme="majorHAnsi" w:cstheme="majorBidi"/>
      </w:rPr>
      <w:tblPr/>
      <w:tcPr>
        <w:tcBorders>
          <w:top w:val="nil"/>
          <w:bottom w:val="single" w:sz="8" w:space="0" w:color="4098A4" w:themeColor="accent1"/>
        </w:tcBorders>
      </w:tcPr>
    </w:tblStylePr>
    <w:tblStylePr w:type="lastRow">
      <w:rPr>
        <w:b/>
        <w:bCs/>
        <w:color w:val="007586" w:themeColor="text2"/>
      </w:rPr>
      <w:tblPr/>
      <w:tcPr>
        <w:tcBorders>
          <w:top w:val="single" w:sz="8" w:space="0" w:color="4098A4" w:themeColor="accent1"/>
          <w:bottom w:val="single" w:sz="8" w:space="0" w:color="4098A4" w:themeColor="accent1"/>
        </w:tcBorders>
      </w:tcPr>
    </w:tblStylePr>
    <w:tblStylePr w:type="firstCol">
      <w:rPr>
        <w:b/>
        <w:bCs/>
      </w:rPr>
    </w:tblStylePr>
    <w:tblStylePr w:type="lastCol">
      <w:rPr>
        <w:b/>
        <w:bCs/>
      </w:rPr>
      <w:tblPr/>
      <w:tcPr>
        <w:tcBorders>
          <w:top w:val="single" w:sz="8" w:space="0" w:color="4098A4" w:themeColor="accent1"/>
          <w:bottom w:val="single" w:sz="8" w:space="0" w:color="4098A4" w:themeColor="accent1"/>
        </w:tcBorders>
      </w:tcPr>
    </w:tblStylePr>
    <w:tblStylePr w:type="band1Vert">
      <w:tblPr/>
      <w:tcPr>
        <w:shd w:val="clear" w:color="auto" w:fill="CCE7EB" w:themeFill="accent1" w:themeFillTint="3F"/>
      </w:tcPr>
    </w:tblStylePr>
    <w:tblStylePr w:type="band1Horz">
      <w:tblPr/>
      <w:tcPr>
        <w:shd w:val="clear" w:color="auto" w:fill="CCE7EB" w:themeFill="accent1" w:themeFillTint="3F"/>
      </w:tcPr>
    </w:tblStylePr>
  </w:style>
  <w:style w:type="table" w:styleId="MediumList1-Accent2">
    <w:name w:val="Medium List 1 Accent 2"/>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80BAC3" w:themeColor="accent2"/>
        <w:bottom w:val="single" w:sz="8" w:space="0" w:color="80BAC3" w:themeColor="accent2"/>
      </w:tblBorders>
    </w:tblPr>
    <w:tblStylePr w:type="firstRow">
      <w:rPr>
        <w:rFonts w:asciiTheme="majorHAnsi" w:eastAsiaTheme="majorEastAsia" w:hAnsiTheme="majorHAnsi" w:cstheme="majorBidi"/>
      </w:rPr>
      <w:tblPr/>
      <w:tcPr>
        <w:tcBorders>
          <w:top w:val="nil"/>
          <w:bottom w:val="single" w:sz="8" w:space="0" w:color="80BAC3" w:themeColor="accent2"/>
        </w:tcBorders>
      </w:tcPr>
    </w:tblStylePr>
    <w:tblStylePr w:type="lastRow">
      <w:rPr>
        <w:b/>
        <w:bCs/>
        <w:color w:val="007586" w:themeColor="text2"/>
      </w:rPr>
      <w:tblPr/>
      <w:tcPr>
        <w:tcBorders>
          <w:top w:val="single" w:sz="8" w:space="0" w:color="80BAC3" w:themeColor="accent2"/>
          <w:bottom w:val="single" w:sz="8" w:space="0" w:color="80BAC3" w:themeColor="accent2"/>
        </w:tcBorders>
      </w:tcPr>
    </w:tblStylePr>
    <w:tblStylePr w:type="firstCol">
      <w:rPr>
        <w:b/>
        <w:bCs/>
      </w:rPr>
    </w:tblStylePr>
    <w:tblStylePr w:type="lastCol">
      <w:rPr>
        <w:b/>
        <w:bCs/>
      </w:rPr>
      <w:tblPr/>
      <w:tcPr>
        <w:tcBorders>
          <w:top w:val="single" w:sz="8" w:space="0" w:color="80BAC3" w:themeColor="accent2"/>
          <w:bottom w:val="single" w:sz="8" w:space="0" w:color="80BAC3" w:themeColor="accent2"/>
        </w:tcBorders>
      </w:tcPr>
    </w:tblStylePr>
    <w:tblStylePr w:type="band1Vert">
      <w:tblPr/>
      <w:tcPr>
        <w:shd w:val="clear" w:color="auto" w:fill="DFEDF0" w:themeFill="accent2" w:themeFillTint="3F"/>
      </w:tcPr>
    </w:tblStylePr>
    <w:tblStylePr w:type="band1Horz">
      <w:tblPr/>
      <w:tcPr>
        <w:shd w:val="clear" w:color="auto" w:fill="DFEDF0" w:themeFill="accent2" w:themeFillTint="3F"/>
      </w:tcPr>
    </w:tblStylePr>
  </w:style>
  <w:style w:type="table" w:styleId="MediumList1-Accent3">
    <w:name w:val="Medium List 1 Accent 3"/>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BFDDE1" w:themeColor="accent3"/>
        <w:bottom w:val="single" w:sz="8" w:space="0" w:color="BFDDE1" w:themeColor="accent3"/>
      </w:tblBorders>
    </w:tblPr>
    <w:tblStylePr w:type="firstRow">
      <w:rPr>
        <w:rFonts w:asciiTheme="majorHAnsi" w:eastAsiaTheme="majorEastAsia" w:hAnsiTheme="majorHAnsi" w:cstheme="majorBidi"/>
      </w:rPr>
      <w:tblPr/>
      <w:tcPr>
        <w:tcBorders>
          <w:top w:val="nil"/>
          <w:bottom w:val="single" w:sz="8" w:space="0" w:color="BFDDE1" w:themeColor="accent3"/>
        </w:tcBorders>
      </w:tcPr>
    </w:tblStylePr>
    <w:tblStylePr w:type="lastRow">
      <w:rPr>
        <w:b/>
        <w:bCs/>
        <w:color w:val="007586" w:themeColor="text2"/>
      </w:rPr>
      <w:tblPr/>
      <w:tcPr>
        <w:tcBorders>
          <w:top w:val="single" w:sz="8" w:space="0" w:color="BFDDE1" w:themeColor="accent3"/>
          <w:bottom w:val="single" w:sz="8" w:space="0" w:color="BFDDE1" w:themeColor="accent3"/>
        </w:tcBorders>
      </w:tcPr>
    </w:tblStylePr>
    <w:tblStylePr w:type="firstCol">
      <w:rPr>
        <w:b/>
        <w:bCs/>
      </w:rPr>
    </w:tblStylePr>
    <w:tblStylePr w:type="lastCol">
      <w:rPr>
        <w:b/>
        <w:bCs/>
      </w:rPr>
      <w:tblPr/>
      <w:tcPr>
        <w:tcBorders>
          <w:top w:val="single" w:sz="8" w:space="0" w:color="BFDDE1" w:themeColor="accent3"/>
          <w:bottom w:val="single" w:sz="8" w:space="0" w:color="BFDDE1" w:themeColor="accent3"/>
        </w:tcBorders>
      </w:tcPr>
    </w:tblStylePr>
    <w:tblStylePr w:type="band1Vert">
      <w:tblPr/>
      <w:tcPr>
        <w:shd w:val="clear" w:color="auto" w:fill="EFF6F7" w:themeFill="accent3" w:themeFillTint="3F"/>
      </w:tcPr>
    </w:tblStylePr>
    <w:tblStylePr w:type="band1Horz">
      <w:tblPr/>
      <w:tcPr>
        <w:shd w:val="clear" w:color="auto" w:fill="EFF6F7" w:themeFill="accent3" w:themeFillTint="3F"/>
      </w:tcPr>
    </w:tblStylePr>
  </w:style>
  <w:style w:type="table" w:styleId="MediumList1-Accent4">
    <w:name w:val="Medium List 1 Accent 4"/>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404050" w:themeColor="accent4"/>
        <w:bottom w:val="single" w:sz="8" w:space="0" w:color="404050" w:themeColor="accent4"/>
      </w:tblBorders>
    </w:tblPr>
    <w:tblStylePr w:type="firstRow">
      <w:rPr>
        <w:rFonts w:asciiTheme="majorHAnsi" w:eastAsiaTheme="majorEastAsia" w:hAnsiTheme="majorHAnsi" w:cstheme="majorBidi"/>
      </w:rPr>
      <w:tblPr/>
      <w:tcPr>
        <w:tcBorders>
          <w:top w:val="nil"/>
          <w:bottom w:val="single" w:sz="8" w:space="0" w:color="404050" w:themeColor="accent4"/>
        </w:tcBorders>
      </w:tcPr>
    </w:tblStylePr>
    <w:tblStylePr w:type="lastRow">
      <w:rPr>
        <w:b/>
        <w:bCs/>
        <w:color w:val="007586" w:themeColor="text2"/>
      </w:rPr>
      <w:tblPr/>
      <w:tcPr>
        <w:tcBorders>
          <w:top w:val="single" w:sz="8" w:space="0" w:color="404050" w:themeColor="accent4"/>
          <w:bottom w:val="single" w:sz="8" w:space="0" w:color="404050" w:themeColor="accent4"/>
        </w:tcBorders>
      </w:tcPr>
    </w:tblStylePr>
    <w:tblStylePr w:type="firstCol">
      <w:rPr>
        <w:b/>
        <w:bCs/>
      </w:rPr>
    </w:tblStylePr>
    <w:tblStylePr w:type="lastCol">
      <w:rPr>
        <w:b/>
        <w:bCs/>
      </w:rPr>
      <w:tblPr/>
      <w:tcPr>
        <w:tcBorders>
          <w:top w:val="single" w:sz="8" w:space="0" w:color="404050" w:themeColor="accent4"/>
          <w:bottom w:val="single" w:sz="8" w:space="0" w:color="404050" w:themeColor="accent4"/>
        </w:tcBorders>
      </w:tcPr>
    </w:tblStylePr>
    <w:tblStylePr w:type="band1Vert">
      <w:tblPr/>
      <w:tcPr>
        <w:shd w:val="clear" w:color="auto" w:fill="CCCCD6" w:themeFill="accent4" w:themeFillTint="3F"/>
      </w:tcPr>
    </w:tblStylePr>
    <w:tblStylePr w:type="band1Horz">
      <w:tblPr/>
      <w:tcPr>
        <w:shd w:val="clear" w:color="auto" w:fill="CCCCD6" w:themeFill="accent4" w:themeFillTint="3F"/>
      </w:tcPr>
    </w:tblStylePr>
  </w:style>
  <w:style w:type="table" w:styleId="MediumList1-Accent5">
    <w:name w:val="Medium List 1 Accent 5"/>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80808B" w:themeColor="accent5"/>
        <w:bottom w:val="single" w:sz="8" w:space="0" w:color="80808B" w:themeColor="accent5"/>
      </w:tblBorders>
    </w:tblPr>
    <w:tblStylePr w:type="firstRow">
      <w:rPr>
        <w:rFonts w:asciiTheme="majorHAnsi" w:eastAsiaTheme="majorEastAsia" w:hAnsiTheme="majorHAnsi" w:cstheme="majorBidi"/>
      </w:rPr>
      <w:tblPr/>
      <w:tcPr>
        <w:tcBorders>
          <w:top w:val="nil"/>
          <w:bottom w:val="single" w:sz="8" w:space="0" w:color="80808B" w:themeColor="accent5"/>
        </w:tcBorders>
      </w:tcPr>
    </w:tblStylePr>
    <w:tblStylePr w:type="lastRow">
      <w:rPr>
        <w:b/>
        <w:bCs/>
        <w:color w:val="007586" w:themeColor="text2"/>
      </w:rPr>
      <w:tblPr/>
      <w:tcPr>
        <w:tcBorders>
          <w:top w:val="single" w:sz="8" w:space="0" w:color="80808B" w:themeColor="accent5"/>
          <w:bottom w:val="single" w:sz="8" w:space="0" w:color="80808B" w:themeColor="accent5"/>
        </w:tcBorders>
      </w:tcPr>
    </w:tblStylePr>
    <w:tblStylePr w:type="firstCol">
      <w:rPr>
        <w:b/>
        <w:bCs/>
      </w:rPr>
    </w:tblStylePr>
    <w:tblStylePr w:type="lastCol">
      <w:rPr>
        <w:b/>
        <w:bCs/>
      </w:rPr>
      <w:tblPr/>
      <w:tcPr>
        <w:tcBorders>
          <w:top w:val="single" w:sz="8" w:space="0" w:color="80808B" w:themeColor="accent5"/>
          <w:bottom w:val="single" w:sz="8" w:space="0" w:color="80808B" w:themeColor="accent5"/>
        </w:tcBorders>
      </w:tcPr>
    </w:tblStylePr>
    <w:tblStylePr w:type="band1Vert">
      <w:tblPr/>
      <w:tcPr>
        <w:shd w:val="clear" w:color="auto" w:fill="DFDFE2" w:themeFill="accent5" w:themeFillTint="3F"/>
      </w:tcPr>
    </w:tblStylePr>
    <w:tblStylePr w:type="band1Horz">
      <w:tblPr/>
      <w:tcPr>
        <w:shd w:val="clear" w:color="auto" w:fill="DFDFE2" w:themeFill="accent5" w:themeFillTint="3F"/>
      </w:tcPr>
    </w:tblStylePr>
  </w:style>
  <w:style w:type="table" w:styleId="MediumList1-Accent6">
    <w:name w:val="Medium List 1 Accent 6"/>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CCCCD0" w:themeColor="accent6"/>
        <w:bottom w:val="single" w:sz="8" w:space="0" w:color="CCCCD0" w:themeColor="accent6"/>
      </w:tblBorders>
    </w:tblPr>
    <w:tblStylePr w:type="firstRow">
      <w:rPr>
        <w:rFonts w:asciiTheme="majorHAnsi" w:eastAsiaTheme="majorEastAsia" w:hAnsiTheme="majorHAnsi" w:cstheme="majorBidi"/>
      </w:rPr>
      <w:tblPr/>
      <w:tcPr>
        <w:tcBorders>
          <w:top w:val="nil"/>
          <w:bottom w:val="single" w:sz="8" w:space="0" w:color="CCCCD0" w:themeColor="accent6"/>
        </w:tcBorders>
      </w:tcPr>
    </w:tblStylePr>
    <w:tblStylePr w:type="lastRow">
      <w:rPr>
        <w:b/>
        <w:bCs/>
        <w:color w:val="007586" w:themeColor="text2"/>
      </w:rPr>
      <w:tblPr/>
      <w:tcPr>
        <w:tcBorders>
          <w:top w:val="single" w:sz="8" w:space="0" w:color="CCCCD0" w:themeColor="accent6"/>
          <w:bottom w:val="single" w:sz="8" w:space="0" w:color="CCCCD0" w:themeColor="accent6"/>
        </w:tcBorders>
      </w:tcPr>
    </w:tblStylePr>
    <w:tblStylePr w:type="firstCol">
      <w:rPr>
        <w:b/>
        <w:bCs/>
      </w:rPr>
    </w:tblStylePr>
    <w:tblStylePr w:type="lastCol">
      <w:rPr>
        <w:b/>
        <w:bCs/>
      </w:rPr>
      <w:tblPr/>
      <w:tcPr>
        <w:tcBorders>
          <w:top w:val="single" w:sz="8" w:space="0" w:color="CCCCD0" w:themeColor="accent6"/>
          <w:bottom w:val="single" w:sz="8" w:space="0" w:color="CCCCD0" w:themeColor="accent6"/>
        </w:tcBorders>
      </w:tcPr>
    </w:tblStylePr>
    <w:tblStylePr w:type="band1Vert">
      <w:tblPr/>
      <w:tcPr>
        <w:shd w:val="clear" w:color="auto" w:fill="F2F2F3" w:themeFill="accent6" w:themeFillTint="3F"/>
      </w:tcPr>
    </w:tblStylePr>
    <w:tblStylePr w:type="band1Horz">
      <w:tblPr/>
      <w:tcPr>
        <w:shd w:val="clear" w:color="auto" w:fill="F2F2F3" w:themeFill="accent6" w:themeFillTint="3F"/>
      </w:tcPr>
    </w:tblStylePr>
  </w:style>
  <w:style w:type="table" w:styleId="MediumList2">
    <w:name w:val="Medium List 2"/>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tblBorders>
    </w:tblPr>
    <w:tblStylePr w:type="firstRow">
      <w:rPr>
        <w:sz w:val="24"/>
        <w:szCs w:val="24"/>
      </w:rPr>
      <w:tblPr/>
      <w:tcPr>
        <w:tcBorders>
          <w:top w:val="nil"/>
          <w:left w:val="nil"/>
          <w:bottom w:val="single" w:sz="24" w:space="0" w:color="4098A4" w:themeColor="accent1"/>
          <w:right w:val="nil"/>
          <w:insideH w:val="nil"/>
          <w:insideV w:val="nil"/>
        </w:tcBorders>
        <w:shd w:val="clear" w:color="auto" w:fill="FFFFFF" w:themeFill="background1"/>
      </w:tcPr>
    </w:tblStylePr>
    <w:tblStylePr w:type="lastRow">
      <w:tblPr/>
      <w:tcPr>
        <w:tcBorders>
          <w:top w:val="single" w:sz="8" w:space="0" w:color="4098A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98A4" w:themeColor="accent1"/>
          <w:insideH w:val="nil"/>
          <w:insideV w:val="nil"/>
        </w:tcBorders>
        <w:shd w:val="clear" w:color="auto" w:fill="FFFFFF" w:themeFill="background1"/>
      </w:tcPr>
    </w:tblStylePr>
    <w:tblStylePr w:type="lastCol">
      <w:tblPr/>
      <w:tcPr>
        <w:tcBorders>
          <w:top w:val="nil"/>
          <w:left w:val="single" w:sz="8" w:space="0" w:color="4098A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7EB" w:themeFill="accent1" w:themeFillTint="3F"/>
      </w:tcPr>
    </w:tblStylePr>
    <w:tblStylePr w:type="band1Horz">
      <w:tblPr/>
      <w:tcPr>
        <w:tcBorders>
          <w:top w:val="nil"/>
          <w:bottom w:val="nil"/>
          <w:insideH w:val="nil"/>
          <w:insideV w:val="nil"/>
        </w:tcBorders>
        <w:shd w:val="clear" w:color="auto" w:fill="CCE7E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tblBorders>
    </w:tblPr>
    <w:tblStylePr w:type="firstRow">
      <w:rPr>
        <w:sz w:val="24"/>
        <w:szCs w:val="24"/>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tblPr/>
      <w:tcPr>
        <w:tcBorders>
          <w:top w:val="single" w:sz="8" w:space="0" w:color="80BAC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BAC3" w:themeColor="accent2"/>
          <w:insideH w:val="nil"/>
          <w:insideV w:val="nil"/>
        </w:tcBorders>
        <w:shd w:val="clear" w:color="auto" w:fill="FFFFFF" w:themeFill="background1"/>
      </w:tcPr>
    </w:tblStylePr>
    <w:tblStylePr w:type="lastCol">
      <w:tblPr/>
      <w:tcPr>
        <w:tcBorders>
          <w:top w:val="nil"/>
          <w:left w:val="single" w:sz="8" w:space="0" w:color="80BAC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DF0" w:themeFill="accent2" w:themeFillTint="3F"/>
      </w:tcPr>
    </w:tblStylePr>
    <w:tblStylePr w:type="band1Horz">
      <w:tblPr/>
      <w:tcPr>
        <w:tcBorders>
          <w:top w:val="nil"/>
          <w:bottom w:val="nil"/>
          <w:insideH w:val="nil"/>
          <w:insideV w:val="nil"/>
        </w:tcBorders>
        <w:shd w:val="clear" w:color="auto" w:fill="DFEDF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tblBorders>
    </w:tblPr>
    <w:tblStylePr w:type="firstRow">
      <w:rPr>
        <w:sz w:val="24"/>
        <w:szCs w:val="24"/>
      </w:rPr>
      <w:tblPr/>
      <w:tcPr>
        <w:tcBorders>
          <w:top w:val="nil"/>
          <w:left w:val="nil"/>
          <w:bottom w:val="single" w:sz="24" w:space="0" w:color="BFDDE1" w:themeColor="accent3"/>
          <w:right w:val="nil"/>
          <w:insideH w:val="nil"/>
          <w:insideV w:val="nil"/>
        </w:tcBorders>
        <w:shd w:val="clear" w:color="auto" w:fill="FFFFFF" w:themeFill="background1"/>
      </w:tcPr>
    </w:tblStylePr>
    <w:tblStylePr w:type="lastRow">
      <w:tblPr/>
      <w:tcPr>
        <w:tcBorders>
          <w:top w:val="single" w:sz="8" w:space="0" w:color="BFDDE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DDE1" w:themeColor="accent3"/>
          <w:insideH w:val="nil"/>
          <w:insideV w:val="nil"/>
        </w:tcBorders>
        <w:shd w:val="clear" w:color="auto" w:fill="FFFFFF" w:themeFill="background1"/>
      </w:tcPr>
    </w:tblStylePr>
    <w:tblStylePr w:type="lastCol">
      <w:tblPr/>
      <w:tcPr>
        <w:tcBorders>
          <w:top w:val="nil"/>
          <w:left w:val="single" w:sz="8" w:space="0" w:color="BFDDE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6F7" w:themeFill="accent3" w:themeFillTint="3F"/>
      </w:tcPr>
    </w:tblStylePr>
    <w:tblStylePr w:type="band1Horz">
      <w:tblPr/>
      <w:tcPr>
        <w:tcBorders>
          <w:top w:val="nil"/>
          <w:bottom w:val="nil"/>
          <w:insideH w:val="nil"/>
          <w:insideV w:val="nil"/>
        </w:tcBorders>
        <w:shd w:val="clear" w:color="auto" w:fill="EFF6F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tblBorders>
    </w:tblPr>
    <w:tblStylePr w:type="firstRow">
      <w:rPr>
        <w:sz w:val="24"/>
        <w:szCs w:val="24"/>
      </w:rPr>
      <w:tblPr/>
      <w:tcPr>
        <w:tcBorders>
          <w:top w:val="nil"/>
          <w:left w:val="nil"/>
          <w:bottom w:val="single" w:sz="24" w:space="0" w:color="404050" w:themeColor="accent4"/>
          <w:right w:val="nil"/>
          <w:insideH w:val="nil"/>
          <w:insideV w:val="nil"/>
        </w:tcBorders>
        <w:shd w:val="clear" w:color="auto" w:fill="FFFFFF" w:themeFill="background1"/>
      </w:tcPr>
    </w:tblStylePr>
    <w:tblStylePr w:type="lastRow">
      <w:tblPr/>
      <w:tcPr>
        <w:tcBorders>
          <w:top w:val="single" w:sz="8" w:space="0" w:color="404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4050" w:themeColor="accent4"/>
          <w:insideH w:val="nil"/>
          <w:insideV w:val="nil"/>
        </w:tcBorders>
        <w:shd w:val="clear" w:color="auto" w:fill="FFFFFF" w:themeFill="background1"/>
      </w:tcPr>
    </w:tblStylePr>
    <w:tblStylePr w:type="lastCol">
      <w:tblPr/>
      <w:tcPr>
        <w:tcBorders>
          <w:top w:val="nil"/>
          <w:left w:val="single" w:sz="8" w:space="0" w:color="404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CCD6" w:themeFill="accent4" w:themeFillTint="3F"/>
      </w:tcPr>
    </w:tblStylePr>
    <w:tblStylePr w:type="band1Horz">
      <w:tblPr/>
      <w:tcPr>
        <w:tcBorders>
          <w:top w:val="nil"/>
          <w:bottom w:val="nil"/>
          <w:insideH w:val="nil"/>
          <w:insideV w:val="nil"/>
        </w:tcBorders>
        <w:shd w:val="clear" w:color="auto" w:fill="CCCCD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tblBorders>
    </w:tblPr>
    <w:tblStylePr w:type="firstRow">
      <w:rPr>
        <w:sz w:val="24"/>
        <w:szCs w:val="24"/>
      </w:rPr>
      <w:tblPr/>
      <w:tcPr>
        <w:tcBorders>
          <w:top w:val="nil"/>
          <w:left w:val="nil"/>
          <w:bottom w:val="single" w:sz="24" w:space="0" w:color="80808B" w:themeColor="accent5"/>
          <w:right w:val="nil"/>
          <w:insideH w:val="nil"/>
          <w:insideV w:val="nil"/>
        </w:tcBorders>
        <w:shd w:val="clear" w:color="auto" w:fill="FFFFFF" w:themeFill="background1"/>
      </w:tcPr>
    </w:tblStylePr>
    <w:tblStylePr w:type="lastRow">
      <w:tblPr/>
      <w:tcPr>
        <w:tcBorders>
          <w:top w:val="single" w:sz="8" w:space="0" w:color="80808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B" w:themeColor="accent5"/>
          <w:insideH w:val="nil"/>
          <w:insideV w:val="nil"/>
        </w:tcBorders>
        <w:shd w:val="clear" w:color="auto" w:fill="FFFFFF" w:themeFill="background1"/>
      </w:tcPr>
    </w:tblStylePr>
    <w:tblStylePr w:type="lastCol">
      <w:tblPr/>
      <w:tcPr>
        <w:tcBorders>
          <w:top w:val="nil"/>
          <w:left w:val="single" w:sz="8" w:space="0" w:color="80808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E2" w:themeFill="accent5" w:themeFillTint="3F"/>
      </w:tcPr>
    </w:tblStylePr>
    <w:tblStylePr w:type="band1Horz">
      <w:tblPr/>
      <w:tcPr>
        <w:tcBorders>
          <w:top w:val="nil"/>
          <w:bottom w:val="nil"/>
          <w:insideH w:val="nil"/>
          <w:insideV w:val="nil"/>
        </w:tcBorders>
        <w:shd w:val="clear" w:color="auto" w:fill="DFDFE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tblBorders>
    </w:tblPr>
    <w:tblStylePr w:type="firstRow">
      <w:rPr>
        <w:sz w:val="24"/>
        <w:szCs w:val="24"/>
      </w:rPr>
      <w:tblPr/>
      <w:tcPr>
        <w:tcBorders>
          <w:top w:val="nil"/>
          <w:left w:val="nil"/>
          <w:bottom w:val="single" w:sz="24" w:space="0" w:color="CCCCD0" w:themeColor="accent6"/>
          <w:right w:val="nil"/>
          <w:insideH w:val="nil"/>
          <w:insideV w:val="nil"/>
        </w:tcBorders>
        <w:shd w:val="clear" w:color="auto" w:fill="FFFFFF" w:themeFill="background1"/>
      </w:tcPr>
    </w:tblStylePr>
    <w:tblStylePr w:type="lastRow">
      <w:tblPr/>
      <w:tcPr>
        <w:tcBorders>
          <w:top w:val="single" w:sz="8" w:space="0" w:color="CCCCD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CCD0" w:themeColor="accent6"/>
          <w:insideH w:val="nil"/>
          <w:insideV w:val="nil"/>
        </w:tcBorders>
        <w:shd w:val="clear" w:color="auto" w:fill="FFFFFF" w:themeFill="background1"/>
      </w:tcPr>
    </w:tblStylePr>
    <w:tblStylePr w:type="lastCol">
      <w:tblPr/>
      <w:tcPr>
        <w:tcBorders>
          <w:top w:val="nil"/>
          <w:left w:val="single" w:sz="8" w:space="0" w:color="CCCCD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2F3" w:themeFill="accent6" w:themeFillTint="3F"/>
      </w:tcPr>
    </w:tblStylePr>
    <w:tblStylePr w:type="band1Horz">
      <w:tblPr/>
      <w:tcPr>
        <w:tcBorders>
          <w:top w:val="nil"/>
          <w:bottom w:val="nil"/>
          <w:insideH w:val="nil"/>
          <w:insideV w:val="nil"/>
        </w:tcBorders>
        <w:shd w:val="clear" w:color="auto" w:fill="F2F2F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94A5A"/>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94A5A"/>
    <w:pPr>
      <w:spacing w:before="0" w:after="0" w:line="240" w:lineRule="auto"/>
    </w:pPr>
    <w:tblPr>
      <w:tblStyleRowBandSize w:val="1"/>
      <w:tblStyleColBandSize w:val="1"/>
      <w:tblBorders>
        <w:top w:val="single" w:sz="8"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single" w:sz="8" w:space="0" w:color="66B8C3" w:themeColor="accent1" w:themeTint="BF"/>
      </w:tblBorders>
    </w:tblPr>
    <w:tblStylePr w:type="firstRow">
      <w:pPr>
        <w:spacing w:before="0" w:after="0" w:line="240" w:lineRule="auto"/>
      </w:pPr>
      <w:rPr>
        <w:b/>
        <w:bCs/>
        <w:color w:val="FFFFFF" w:themeColor="background1"/>
      </w:rPr>
      <w:tblPr/>
      <w:tcPr>
        <w:tcBorders>
          <w:top w:val="single" w:sz="8"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nil"/>
          <w:insideV w:val="nil"/>
        </w:tcBorders>
        <w:shd w:val="clear" w:color="auto" w:fill="4098A4" w:themeFill="accent1"/>
      </w:tcPr>
    </w:tblStylePr>
    <w:tblStylePr w:type="lastRow">
      <w:pPr>
        <w:spacing w:before="0" w:after="0" w:line="240" w:lineRule="auto"/>
      </w:pPr>
      <w:rPr>
        <w:b/>
        <w:bCs/>
      </w:rPr>
      <w:tblPr/>
      <w:tcPr>
        <w:tcBorders>
          <w:top w:val="double" w:sz="6"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nil"/>
          <w:insideV w:val="nil"/>
        </w:tcBorders>
      </w:tcPr>
    </w:tblStylePr>
    <w:tblStylePr w:type="firstCol">
      <w:rPr>
        <w:b/>
        <w:bCs/>
      </w:rPr>
    </w:tblStylePr>
    <w:tblStylePr w:type="lastCol">
      <w:rPr>
        <w:b/>
        <w:bCs/>
      </w:rPr>
    </w:tblStylePr>
    <w:tblStylePr w:type="band1Vert">
      <w:tblPr/>
      <w:tcPr>
        <w:shd w:val="clear" w:color="auto" w:fill="CCE7EB" w:themeFill="accent1" w:themeFillTint="3F"/>
      </w:tcPr>
    </w:tblStylePr>
    <w:tblStylePr w:type="band1Horz">
      <w:tblPr/>
      <w:tcPr>
        <w:tcBorders>
          <w:insideH w:val="nil"/>
          <w:insideV w:val="nil"/>
        </w:tcBorders>
        <w:shd w:val="clear" w:color="auto" w:fill="CCE7EB"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94A5A"/>
    <w:pPr>
      <w:spacing w:before="0" w:after="0" w:line="240" w:lineRule="auto"/>
    </w:pPr>
    <w:tblPr>
      <w:tblStyleRowBandSize w:val="1"/>
      <w:tblStyleColBandSize w:val="1"/>
      <w:tblBorders>
        <w:top w:val="single" w:sz="8"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single" w:sz="8" w:space="0" w:color="9FCBD2" w:themeColor="accent2" w:themeTint="BF"/>
      </w:tblBorders>
    </w:tblPr>
    <w:tblStylePr w:type="firstRow">
      <w:pPr>
        <w:spacing w:before="0" w:after="0" w:line="240" w:lineRule="auto"/>
      </w:pPr>
      <w:rPr>
        <w:b/>
        <w:bCs/>
        <w:color w:val="FFFFFF" w:themeColor="background1"/>
      </w:rPr>
      <w:tblPr/>
      <w:tcPr>
        <w:tcBorders>
          <w:top w:val="single" w:sz="8"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nil"/>
          <w:insideV w:val="nil"/>
        </w:tcBorders>
        <w:shd w:val="clear" w:color="auto" w:fill="80BAC3" w:themeFill="accent2"/>
      </w:tcPr>
    </w:tblStylePr>
    <w:tblStylePr w:type="lastRow">
      <w:pPr>
        <w:spacing w:before="0" w:after="0" w:line="240" w:lineRule="auto"/>
      </w:pPr>
      <w:rPr>
        <w:b/>
        <w:bCs/>
      </w:rPr>
      <w:tblPr/>
      <w:tcPr>
        <w:tcBorders>
          <w:top w:val="double" w:sz="6"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nil"/>
          <w:insideV w:val="nil"/>
        </w:tcBorders>
      </w:tcPr>
    </w:tblStylePr>
    <w:tblStylePr w:type="firstCol">
      <w:rPr>
        <w:b/>
        <w:bCs/>
      </w:rPr>
    </w:tblStylePr>
    <w:tblStylePr w:type="lastCol">
      <w:rPr>
        <w:b/>
        <w:bCs/>
      </w:rPr>
    </w:tblStylePr>
    <w:tblStylePr w:type="band1Vert">
      <w:tblPr/>
      <w:tcPr>
        <w:shd w:val="clear" w:color="auto" w:fill="DFEDF0" w:themeFill="accent2" w:themeFillTint="3F"/>
      </w:tcPr>
    </w:tblStylePr>
    <w:tblStylePr w:type="band1Horz">
      <w:tblPr/>
      <w:tcPr>
        <w:tcBorders>
          <w:insideH w:val="nil"/>
          <w:insideV w:val="nil"/>
        </w:tcBorders>
        <w:shd w:val="clear" w:color="auto" w:fill="DFEDF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94A5A"/>
    <w:pPr>
      <w:spacing w:before="0" w:after="0" w:line="240" w:lineRule="auto"/>
    </w:pPr>
    <w:tblPr>
      <w:tblStyleRowBandSize w:val="1"/>
      <w:tblStyleColBandSize w:val="1"/>
      <w:tblBorders>
        <w:top w:val="single" w:sz="8"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single" w:sz="8" w:space="0" w:color="CEE5E8" w:themeColor="accent3" w:themeTint="BF"/>
      </w:tblBorders>
    </w:tblPr>
    <w:tblStylePr w:type="firstRow">
      <w:pPr>
        <w:spacing w:before="0" w:after="0" w:line="240" w:lineRule="auto"/>
      </w:pPr>
      <w:rPr>
        <w:b/>
        <w:bCs/>
        <w:color w:val="FFFFFF" w:themeColor="background1"/>
      </w:rPr>
      <w:tblPr/>
      <w:tcPr>
        <w:tcBorders>
          <w:top w:val="single" w:sz="8"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nil"/>
          <w:insideV w:val="nil"/>
        </w:tcBorders>
        <w:shd w:val="clear" w:color="auto" w:fill="BFDDE1" w:themeFill="accent3"/>
      </w:tcPr>
    </w:tblStylePr>
    <w:tblStylePr w:type="lastRow">
      <w:pPr>
        <w:spacing w:before="0" w:after="0" w:line="240" w:lineRule="auto"/>
      </w:pPr>
      <w:rPr>
        <w:b/>
        <w:bCs/>
      </w:rPr>
      <w:tblPr/>
      <w:tcPr>
        <w:tcBorders>
          <w:top w:val="double" w:sz="6"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F6F7" w:themeFill="accent3" w:themeFillTint="3F"/>
      </w:tcPr>
    </w:tblStylePr>
    <w:tblStylePr w:type="band1Horz">
      <w:tblPr/>
      <w:tcPr>
        <w:tcBorders>
          <w:insideH w:val="nil"/>
          <w:insideV w:val="nil"/>
        </w:tcBorders>
        <w:shd w:val="clear" w:color="auto" w:fill="EFF6F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94A5A"/>
    <w:pPr>
      <w:spacing w:before="0" w:after="0" w:line="240" w:lineRule="auto"/>
    </w:pPr>
    <w:tblPr>
      <w:tblStyleRowBandSize w:val="1"/>
      <w:tblStyleColBandSize w:val="1"/>
      <w:tblBorders>
        <w:top w:val="single" w:sz="8"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single" w:sz="8" w:space="0" w:color="686882" w:themeColor="accent4" w:themeTint="BF"/>
      </w:tblBorders>
    </w:tblPr>
    <w:tblStylePr w:type="firstRow">
      <w:pPr>
        <w:spacing w:before="0" w:after="0" w:line="240" w:lineRule="auto"/>
      </w:pPr>
      <w:rPr>
        <w:b/>
        <w:bCs/>
        <w:color w:val="FFFFFF" w:themeColor="background1"/>
      </w:rPr>
      <w:tblPr/>
      <w:tcPr>
        <w:tcBorders>
          <w:top w:val="single" w:sz="8"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nil"/>
          <w:insideV w:val="nil"/>
        </w:tcBorders>
        <w:shd w:val="clear" w:color="auto" w:fill="404050" w:themeFill="accent4"/>
      </w:tcPr>
    </w:tblStylePr>
    <w:tblStylePr w:type="lastRow">
      <w:pPr>
        <w:spacing w:before="0" w:after="0" w:line="240" w:lineRule="auto"/>
      </w:pPr>
      <w:rPr>
        <w:b/>
        <w:bCs/>
      </w:rPr>
      <w:tblPr/>
      <w:tcPr>
        <w:tcBorders>
          <w:top w:val="double" w:sz="6"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nil"/>
          <w:insideV w:val="nil"/>
        </w:tcBorders>
      </w:tcPr>
    </w:tblStylePr>
    <w:tblStylePr w:type="firstCol">
      <w:rPr>
        <w:b/>
        <w:bCs/>
      </w:rPr>
    </w:tblStylePr>
    <w:tblStylePr w:type="lastCol">
      <w:rPr>
        <w:b/>
        <w:bCs/>
      </w:rPr>
    </w:tblStylePr>
    <w:tblStylePr w:type="band1Vert">
      <w:tblPr/>
      <w:tcPr>
        <w:shd w:val="clear" w:color="auto" w:fill="CCCCD6" w:themeFill="accent4" w:themeFillTint="3F"/>
      </w:tcPr>
    </w:tblStylePr>
    <w:tblStylePr w:type="band1Horz">
      <w:tblPr/>
      <w:tcPr>
        <w:tcBorders>
          <w:insideH w:val="nil"/>
          <w:insideV w:val="nil"/>
        </w:tcBorders>
        <w:shd w:val="clear" w:color="auto" w:fill="CCCCD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94A5A"/>
    <w:pPr>
      <w:spacing w:before="0" w:after="0" w:line="240" w:lineRule="auto"/>
    </w:pPr>
    <w:tblPr>
      <w:tblStyleRowBandSize w:val="1"/>
      <w:tblStyleColBandSize w:val="1"/>
      <w:tblBorders>
        <w:top w:val="single" w:sz="8"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single" w:sz="8" w:space="0" w:color="9F9FA8" w:themeColor="accent5" w:themeTint="BF"/>
      </w:tblBorders>
    </w:tblPr>
    <w:tblStylePr w:type="firstRow">
      <w:pPr>
        <w:spacing w:before="0" w:after="0" w:line="240" w:lineRule="auto"/>
      </w:pPr>
      <w:rPr>
        <w:b/>
        <w:bCs/>
        <w:color w:val="FFFFFF" w:themeColor="background1"/>
      </w:rPr>
      <w:tblPr/>
      <w:tcPr>
        <w:tcBorders>
          <w:top w:val="single" w:sz="8"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nil"/>
          <w:insideV w:val="nil"/>
        </w:tcBorders>
        <w:shd w:val="clear" w:color="auto" w:fill="80808B" w:themeFill="accent5"/>
      </w:tcPr>
    </w:tblStylePr>
    <w:tblStylePr w:type="lastRow">
      <w:pPr>
        <w:spacing w:before="0" w:after="0" w:line="240" w:lineRule="auto"/>
      </w:pPr>
      <w:rPr>
        <w:b/>
        <w:bCs/>
      </w:rPr>
      <w:tblPr/>
      <w:tcPr>
        <w:tcBorders>
          <w:top w:val="double" w:sz="6"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DFDFE2" w:themeFill="accent5" w:themeFillTint="3F"/>
      </w:tcPr>
    </w:tblStylePr>
    <w:tblStylePr w:type="band1Horz">
      <w:tblPr/>
      <w:tcPr>
        <w:tcBorders>
          <w:insideH w:val="nil"/>
          <w:insideV w:val="nil"/>
        </w:tcBorders>
        <w:shd w:val="clear" w:color="auto" w:fill="DFDFE2"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94A5A"/>
    <w:pPr>
      <w:spacing w:before="0" w:after="0" w:line="240" w:lineRule="auto"/>
    </w:pPr>
    <w:tblPr>
      <w:tblStyleRowBandSize w:val="1"/>
      <w:tblStyleColBandSize w:val="1"/>
      <w:tblBorders>
        <w:top w:val="single" w:sz="8"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single" w:sz="8" w:space="0" w:color="D8D8DB" w:themeColor="accent6" w:themeTint="BF"/>
      </w:tblBorders>
    </w:tblPr>
    <w:tblStylePr w:type="firstRow">
      <w:pPr>
        <w:spacing w:before="0" w:after="0" w:line="240" w:lineRule="auto"/>
      </w:pPr>
      <w:rPr>
        <w:b/>
        <w:bCs/>
        <w:color w:val="FFFFFF" w:themeColor="background1"/>
      </w:rPr>
      <w:tblPr/>
      <w:tcPr>
        <w:tcBorders>
          <w:top w:val="single" w:sz="8"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nil"/>
          <w:insideV w:val="nil"/>
        </w:tcBorders>
        <w:shd w:val="clear" w:color="auto" w:fill="CCCCD0" w:themeFill="accent6"/>
      </w:tcPr>
    </w:tblStylePr>
    <w:tblStylePr w:type="lastRow">
      <w:pPr>
        <w:spacing w:before="0" w:after="0" w:line="240" w:lineRule="auto"/>
      </w:pPr>
      <w:rPr>
        <w:b/>
        <w:bCs/>
      </w:rPr>
      <w:tblPr/>
      <w:tcPr>
        <w:tcBorders>
          <w:top w:val="double" w:sz="6"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nil"/>
          <w:insideV w:val="nil"/>
        </w:tcBorders>
      </w:tcPr>
    </w:tblStylePr>
    <w:tblStylePr w:type="firstCol">
      <w:rPr>
        <w:b/>
        <w:bCs/>
      </w:rPr>
    </w:tblStylePr>
    <w:tblStylePr w:type="lastCol">
      <w:rPr>
        <w:b/>
        <w:bCs/>
      </w:rPr>
    </w:tblStylePr>
    <w:tblStylePr w:type="band1Vert">
      <w:tblPr/>
      <w:tcPr>
        <w:shd w:val="clear" w:color="auto" w:fill="F2F2F3" w:themeFill="accent6" w:themeFillTint="3F"/>
      </w:tcPr>
    </w:tblStylePr>
    <w:tblStylePr w:type="band1Horz">
      <w:tblPr/>
      <w:tcPr>
        <w:tcBorders>
          <w:insideH w:val="nil"/>
          <w:insideV w:val="nil"/>
        </w:tcBorders>
        <w:shd w:val="clear" w:color="auto" w:fill="F2F2F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98A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98A4" w:themeFill="accent1"/>
      </w:tcPr>
    </w:tblStylePr>
    <w:tblStylePr w:type="lastCol">
      <w:rPr>
        <w:b/>
        <w:bCs/>
        <w:color w:val="FFFFFF" w:themeColor="background1"/>
      </w:rPr>
      <w:tblPr/>
      <w:tcPr>
        <w:tcBorders>
          <w:left w:val="nil"/>
          <w:right w:val="nil"/>
          <w:insideH w:val="nil"/>
          <w:insideV w:val="nil"/>
        </w:tcBorders>
        <w:shd w:val="clear" w:color="auto" w:fill="4098A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BAC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BAC3" w:themeFill="accent2"/>
      </w:tcPr>
    </w:tblStylePr>
    <w:tblStylePr w:type="lastCol">
      <w:rPr>
        <w:b/>
        <w:bCs/>
        <w:color w:val="FFFFFF" w:themeColor="background1"/>
      </w:rPr>
      <w:tblPr/>
      <w:tcPr>
        <w:tcBorders>
          <w:left w:val="nil"/>
          <w:right w:val="nil"/>
          <w:insideH w:val="nil"/>
          <w:insideV w:val="nil"/>
        </w:tcBorders>
        <w:shd w:val="clear" w:color="auto" w:fill="80BAC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DDE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FDDE1" w:themeFill="accent3"/>
      </w:tcPr>
    </w:tblStylePr>
    <w:tblStylePr w:type="lastCol">
      <w:rPr>
        <w:b/>
        <w:bCs/>
        <w:color w:val="FFFFFF" w:themeColor="background1"/>
      </w:rPr>
      <w:tblPr/>
      <w:tcPr>
        <w:tcBorders>
          <w:left w:val="nil"/>
          <w:right w:val="nil"/>
          <w:insideH w:val="nil"/>
          <w:insideV w:val="nil"/>
        </w:tcBorders>
        <w:shd w:val="clear" w:color="auto" w:fill="BFDDE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4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4050" w:themeFill="accent4"/>
      </w:tcPr>
    </w:tblStylePr>
    <w:tblStylePr w:type="lastCol">
      <w:rPr>
        <w:b/>
        <w:bCs/>
        <w:color w:val="FFFFFF" w:themeColor="background1"/>
      </w:rPr>
      <w:tblPr/>
      <w:tcPr>
        <w:tcBorders>
          <w:left w:val="nil"/>
          <w:right w:val="nil"/>
          <w:insideH w:val="nil"/>
          <w:insideV w:val="nil"/>
        </w:tcBorders>
        <w:shd w:val="clear" w:color="auto" w:fill="404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B" w:themeFill="accent5"/>
      </w:tcPr>
    </w:tblStylePr>
    <w:tblStylePr w:type="lastCol">
      <w:rPr>
        <w:b/>
        <w:bCs/>
        <w:color w:val="FFFFFF" w:themeColor="background1"/>
      </w:rPr>
      <w:tblPr/>
      <w:tcPr>
        <w:tcBorders>
          <w:left w:val="nil"/>
          <w:right w:val="nil"/>
          <w:insideH w:val="nil"/>
          <w:insideV w:val="nil"/>
        </w:tcBorders>
        <w:shd w:val="clear" w:color="auto" w:fill="80808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CCD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CCD0" w:themeFill="accent6"/>
      </w:tcPr>
    </w:tblStylePr>
    <w:tblStylePr w:type="lastCol">
      <w:rPr>
        <w:b/>
        <w:bCs/>
        <w:color w:val="FFFFFF" w:themeColor="background1"/>
      </w:rPr>
      <w:tblPr/>
      <w:tcPr>
        <w:tcBorders>
          <w:left w:val="nil"/>
          <w:right w:val="nil"/>
          <w:insideH w:val="nil"/>
          <w:insideV w:val="nil"/>
        </w:tcBorders>
        <w:shd w:val="clear" w:color="auto" w:fill="CCCCD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semiHidden/>
    <w:rsid w:val="00294A5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294A5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semiHidden/>
    <w:rsid w:val="00294A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294A5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294A5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294A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ulloutText">
    <w:name w:val="Pullout Text"/>
    <w:basedOn w:val="Normal"/>
    <w:uiPriority w:val="1"/>
    <w:qFormat/>
    <w:rsid w:val="0060775D"/>
    <w:pPr>
      <w:spacing w:before="100" w:after="100"/>
    </w:pPr>
    <w:rPr>
      <w:color w:val="007586" w:themeColor="text2"/>
    </w:rPr>
  </w:style>
  <w:style w:type="paragraph" w:customStyle="1" w:styleId="PulloutHeading">
    <w:name w:val="Pullout Heading"/>
    <w:basedOn w:val="PulloutText"/>
    <w:next w:val="PulloutText"/>
    <w:uiPriority w:val="1"/>
    <w:qFormat/>
    <w:rsid w:val="007E098F"/>
    <w:pPr>
      <w:spacing w:before="0" w:line="216" w:lineRule="auto"/>
    </w:pPr>
    <w:rPr>
      <w:b/>
      <w:sz w:val="24"/>
    </w:rPr>
  </w:style>
  <w:style w:type="table" w:customStyle="1" w:styleId="SCVInformationTable">
    <w:name w:val="SCV Information Table"/>
    <w:basedOn w:val="TableNormal"/>
    <w:uiPriority w:val="99"/>
    <w:rsid w:val="0086277A"/>
    <w:pPr>
      <w:spacing w:before="0" w:after="80" w:line="240" w:lineRule="auto"/>
      <w:ind w:left="170"/>
    </w:pPr>
    <w:rPr>
      <w:sz w:val="15"/>
    </w:rPr>
    <w:tblPr>
      <w:tblCellMar>
        <w:top w:w="323" w:type="dxa"/>
        <w:left w:w="0" w:type="dxa"/>
        <w:right w:w="0" w:type="dxa"/>
      </w:tblCellMar>
    </w:tblPr>
    <w:tcPr>
      <w:shd w:val="clear" w:color="auto" w:fill="F2F2F3"/>
    </w:tcPr>
  </w:style>
  <w:style w:type="paragraph" w:styleId="Date">
    <w:name w:val="Date"/>
    <w:basedOn w:val="Normal"/>
    <w:next w:val="Normal"/>
    <w:link w:val="DateChar"/>
    <w:uiPriority w:val="99"/>
    <w:rsid w:val="0050356B"/>
    <w:pPr>
      <w:framePr w:hSpace="5670" w:wrap="around" w:vAnchor="page" w:hAnchor="page" w:x="852" w:y="4310"/>
      <w:spacing w:before="0" w:after="70" w:line="312" w:lineRule="auto"/>
      <w:suppressOverlap/>
    </w:pPr>
    <w:rPr>
      <w:b/>
      <w:sz w:val="28"/>
    </w:rPr>
  </w:style>
  <w:style w:type="character" w:customStyle="1" w:styleId="DateChar">
    <w:name w:val="Date Char"/>
    <w:basedOn w:val="DefaultParagraphFont"/>
    <w:link w:val="Date"/>
    <w:uiPriority w:val="99"/>
    <w:rsid w:val="0050356B"/>
    <w:rPr>
      <w:b/>
      <w:sz w:val="28"/>
    </w:rPr>
  </w:style>
  <w:style w:type="paragraph" w:styleId="NormalWeb">
    <w:name w:val="Normal (Web)"/>
    <w:basedOn w:val="Normal"/>
    <w:uiPriority w:val="99"/>
    <w:semiHidden/>
    <w:rsid w:val="005F15F1"/>
    <w:pPr>
      <w:spacing w:before="0" w:after="0" w:line="260" w:lineRule="atLeast"/>
    </w:pPr>
    <w:rPr>
      <w:rFonts w:eastAsia="Times New Roman" w:cs="Times New Roman"/>
      <w:color w:val="000000" w:themeColor="text1"/>
      <w:szCs w:val="24"/>
    </w:rPr>
  </w:style>
  <w:style w:type="character" w:customStyle="1" w:styleId="UnresolvedMention1">
    <w:name w:val="Unresolved Mention1"/>
    <w:basedOn w:val="DefaultParagraphFont"/>
    <w:uiPriority w:val="99"/>
    <w:semiHidden/>
    <w:unhideWhenUsed/>
    <w:rsid w:val="0060775D"/>
    <w:rPr>
      <w:color w:val="808080"/>
      <w:shd w:val="clear" w:color="auto" w:fill="E6E6E6"/>
    </w:rPr>
  </w:style>
  <w:style w:type="paragraph" w:customStyle="1" w:styleId="SCVbody">
    <w:name w:val="SCV body"/>
    <w:qFormat/>
    <w:rsid w:val="0060775D"/>
    <w:pPr>
      <w:spacing w:before="0" w:after="120" w:line="270" w:lineRule="atLeast"/>
    </w:pPr>
    <w:rPr>
      <w:rFonts w:ascii="Arial" w:eastAsia="Times" w:hAnsi="Arial" w:cs="Times New Roman"/>
      <w:lang w:eastAsia="en-US"/>
    </w:rPr>
  </w:style>
  <w:style w:type="character" w:styleId="Strong">
    <w:name w:val="Strong"/>
    <w:uiPriority w:val="22"/>
    <w:qFormat/>
    <w:rsid w:val="0013529D"/>
    <w:rPr>
      <w:b/>
      <w:bCs/>
    </w:rPr>
  </w:style>
  <w:style w:type="paragraph" w:customStyle="1" w:styleId="SCVtabletext">
    <w:name w:val="SCV table text"/>
    <w:uiPriority w:val="3"/>
    <w:qFormat/>
    <w:rsid w:val="0013529D"/>
    <w:pPr>
      <w:spacing w:before="80" w:after="60" w:line="240" w:lineRule="auto"/>
    </w:pPr>
    <w:rPr>
      <w:rFonts w:ascii="Arial" w:eastAsia="Times New Roman" w:hAnsi="Arial" w:cs="Times New Roman"/>
      <w:lang w:eastAsia="en-US"/>
    </w:rPr>
  </w:style>
  <w:style w:type="paragraph" w:customStyle="1" w:styleId="DHHSbody">
    <w:name w:val="DHHS body"/>
    <w:qFormat/>
    <w:rsid w:val="0013529D"/>
    <w:pPr>
      <w:spacing w:before="0" w:after="120" w:line="270" w:lineRule="atLeast"/>
    </w:pPr>
    <w:rPr>
      <w:rFonts w:ascii="Arial" w:eastAsia="Times New Roman" w:hAnsi="Arial" w:cs="Times New Roman"/>
      <w:lang w:eastAsia="en-US"/>
    </w:rPr>
  </w:style>
  <w:style w:type="paragraph" w:customStyle="1" w:styleId="SCVtablecolheadgreen">
    <w:name w:val="SCV table col head green"/>
    <w:basedOn w:val="Normal"/>
    <w:uiPriority w:val="11"/>
    <w:rsid w:val="0013529D"/>
    <w:pPr>
      <w:spacing w:before="80" w:after="60" w:line="240" w:lineRule="auto"/>
    </w:pPr>
    <w:rPr>
      <w:rFonts w:ascii="Arial" w:eastAsia="Times New Roman" w:hAnsi="Arial" w:cs="Times New Roman"/>
      <w:b/>
      <w:color w:val="007586" w:themeColor="text2"/>
      <w:lang w:eastAsia="en-US"/>
    </w:rPr>
  </w:style>
  <w:style w:type="character" w:styleId="CommentReference">
    <w:name w:val="annotation reference"/>
    <w:basedOn w:val="DefaultParagraphFont"/>
    <w:uiPriority w:val="1"/>
    <w:semiHidden/>
    <w:unhideWhenUsed/>
    <w:rsid w:val="00EB7BC0"/>
    <w:rPr>
      <w:sz w:val="16"/>
      <w:szCs w:val="16"/>
    </w:rPr>
  </w:style>
  <w:style w:type="paragraph" w:styleId="CommentText">
    <w:name w:val="annotation text"/>
    <w:basedOn w:val="Normal"/>
    <w:link w:val="CommentTextChar"/>
    <w:uiPriority w:val="1"/>
    <w:unhideWhenUsed/>
    <w:rsid w:val="00EB7BC0"/>
    <w:pPr>
      <w:spacing w:line="240" w:lineRule="auto"/>
    </w:pPr>
  </w:style>
  <w:style w:type="character" w:customStyle="1" w:styleId="CommentTextChar">
    <w:name w:val="Comment Text Char"/>
    <w:basedOn w:val="DefaultParagraphFont"/>
    <w:link w:val="CommentText"/>
    <w:uiPriority w:val="1"/>
    <w:rsid w:val="00EB7BC0"/>
    <w:rPr>
      <w:rFonts w:ascii="VIC" w:hAnsi="VIC"/>
    </w:rPr>
  </w:style>
  <w:style w:type="paragraph" w:styleId="CommentSubject">
    <w:name w:val="annotation subject"/>
    <w:basedOn w:val="CommentText"/>
    <w:next w:val="CommentText"/>
    <w:link w:val="CommentSubjectChar"/>
    <w:uiPriority w:val="1"/>
    <w:semiHidden/>
    <w:unhideWhenUsed/>
    <w:rsid w:val="00EB7BC0"/>
    <w:rPr>
      <w:b/>
      <w:bCs/>
    </w:rPr>
  </w:style>
  <w:style w:type="character" w:customStyle="1" w:styleId="CommentSubjectChar">
    <w:name w:val="Comment Subject Char"/>
    <w:basedOn w:val="CommentTextChar"/>
    <w:link w:val="CommentSubject"/>
    <w:uiPriority w:val="1"/>
    <w:semiHidden/>
    <w:rsid w:val="00EB7BC0"/>
    <w:rPr>
      <w:rFonts w:ascii="VIC" w:hAnsi="VIC"/>
      <w:b/>
      <w:bCs/>
    </w:rPr>
  </w:style>
  <w:style w:type="paragraph" w:customStyle="1" w:styleId="Pa0">
    <w:name w:val="Pa0"/>
    <w:basedOn w:val="Normal"/>
    <w:next w:val="Normal"/>
    <w:uiPriority w:val="99"/>
    <w:rsid w:val="008D5D74"/>
    <w:pPr>
      <w:autoSpaceDE w:val="0"/>
      <w:autoSpaceDN w:val="0"/>
      <w:adjustRightInd w:val="0"/>
      <w:spacing w:before="0" w:after="0" w:line="191" w:lineRule="atLeast"/>
    </w:pPr>
    <w:rPr>
      <w:rFonts w:ascii="Helvetica 45 Light" w:hAnsi="Helvetica 45 Light"/>
      <w:sz w:val="24"/>
      <w:szCs w:val="24"/>
    </w:rPr>
  </w:style>
  <w:style w:type="character" w:customStyle="1" w:styleId="A1">
    <w:name w:val="A1"/>
    <w:uiPriority w:val="99"/>
    <w:rsid w:val="008D5D74"/>
    <w:rPr>
      <w:rFonts w:cs="Helvetica 45 Light"/>
      <w:color w:val="000000"/>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09068">
      <w:bodyDiv w:val="1"/>
      <w:marLeft w:val="0"/>
      <w:marRight w:val="0"/>
      <w:marTop w:val="0"/>
      <w:marBottom w:val="0"/>
      <w:divBdr>
        <w:top w:val="none" w:sz="0" w:space="0" w:color="auto"/>
        <w:left w:val="none" w:sz="0" w:space="0" w:color="auto"/>
        <w:bottom w:val="none" w:sz="0" w:space="0" w:color="auto"/>
        <w:right w:val="none" w:sz="0" w:space="0" w:color="auto"/>
      </w:divBdr>
      <w:divsChild>
        <w:div w:id="1580139670">
          <w:marLeft w:val="547"/>
          <w:marRight w:val="0"/>
          <w:marTop w:val="0"/>
          <w:marBottom w:val="0"/>
          <w:divBdr>
            <w:top w:val="none" w:sz="0" w:space="0" w:color="auto"/>
            <w:left w:val="none" w:sz="0" w:space="0" w:color="auto"/>
            <w:bottom w:val="none" w:sz="0" w:space="0" w:color="auto"/>
            <w:right w:val="none" w:sz="0" w:space="0" w:color="auto"/>
          </w:divBdr>
        </w:div>
        <w:div w:id="1875264650">
          <w:marLeft w:val="547"/>
          <w:marRight w:val="0"/>
          <w:marTop w:val="0"/>
          <w:marBottom w:val="0"/>
          <w:divBdr>
            <w:top w:val="none" w:sz="0" w:space="0" w:color="auto"/>
            <w:left w:val="none" w:sz="0" w:space="0" w:color="auto"/>
            <w:bottom w:val="none" w:sz="0" w:space="0" w:color="auto"/>
            <w:right w:val="none" w:sz="0" w:space="0" w:color="auto"/>
          </w:divBdr>
        </w:div>
      </w:divsChild>
    </w:div>
    <w:div w:id="45299909">
      <w:bodyDiv w:val="1"/>
      <w:marLeft w:val="0"/>
      <w:marRight w:val="0"/>
      <w:marTop w:val="0"/>
      <w:marBottom w:val="0"/>
      <w:divBdr>
        <w:top w:val="none" w:sz="0" w:space="0" w:color="auto"/>
        <w:left w:val="none" w:sz="0" w:space="0" w:color="auto"/>
        <w:bottom w:val="none" w:sz="0" w:space="0" w:color="auto"/>
        <w:right w:val="none" w:sz="0" w:space="0" w:color="auto"/>
      </w:divBdr>
    </w:div>
    <w:div w:id="105855099">
      <w:bodyDiv w:val="1"/>
      <w:marLeft w:val="0"/>
      <w:marRight w:val="0"/>
      <w:marTop w:val="0"/>
      <w:marBottom w:val="0"/>
      <w:divBdr>
        <w:top w:val="none" w:sz="0" w:space="0" w:color="auto"/>
        <w:left w:val="none" w:sz="0" w:space="0" w:color="auto"/>
        <w:bottom w:val="none" w:sz="0" w:space="0" w:color="auto"/>
        <w:right w:val="none" w:sz="0" w:space="0" w:color="auto"/>
      </w:divBdr>
    </w:div>
    <w:div w:id="267086642">
      <w:bodyDiv w:val="1"/>
      <w:marLeft w:val="0"/>
      <w:marRight w:val="0"/>
      <w:marTop w:val="0"/>
      <w:marBottom w:val="0"/>
      <w:divBdr>
        <w:top w:val="none" w:sz="0" w:space="0" w:color="auto"/>
        <w:left w:val="none" w:sz="0" w:space="0" w:color="auto"/>
        <w:bottom w:val="none" w:sz="0" w:space="0" w:color="auto"/>
        <w:right w:val="none" w:sz="0" w:space="0" w:color="auto"/>
      </w:divBdr>
    </w:div>
    <w:div w:id="321007890">
      <w:bodyDiv w:val="1"/>
      <w:marLeft w:val="0"/>
      <w:marRight w:val="0"/>
      <w:marTop w:val="0"/>
      <w:marBottom w:val="0"/>
      <w:divBdr>
        <w:top w:val="none" w:sz="0" w:space="0" w:color="auto"/>
        <w:left w:val="none" w:sz="0" w:space="0" w:color="auto"/>
        <w:bottom w:val="none" w:sz="0" w:space="0" w:color="auto"/>
        <w:right w:val="none" w:sz="0" w:space="0" w:color="auto"/>
      </w:divBdr>
    </w:div>
    <w:div w:id="348022166">
      <w:bodyDiv w:val="1"/>
      <w:marLeft w:val="0"/>
      <w:marRight w:val="0"/>
      <w:marTop w:val="0"/>
      <w:marBottom w:val="0"/>
      <w:divBdr>
        <w:top w:val="none" w:sz="0" w:space="0" w:color="auto"/>
        <w:left w:val="none" w:sz="0" w:space="0" w:color="auto"/>
        <w:bottom w:val="none" w:sz="0" w:space="0" w:color="auto"/>
        <w:right w:val="none" w:sz="0" w:space="0" w:color="auto"/>
      </w:divBdr>
    </w:div>
    <w:div w:id="367800691">
      <w:bodyDiv w:val="1"/>
      <w:marLeft w:val="0"/>
      <w:marRight w:val="0"/>
      <w:marTop w:val="0"/>
      <w:marBottom w:val="0"/>
      <w:divBdr>
        <w:top w:val="none" w:sz="0" w:space="0" w:color="auto"/>
        <w:left w:val="none" w:sz="0" w:space="0" w:color="auto"/>
        <w:bottom w:val="none" w:sz="0" w:space="0" w:color="auto"/>
        <w:right w:val="none" w:sz="0" w:space="0" w:color="auto"/>
      </w:divBdr>
    </w:div>
    <w:div w:id="526258069">
      <w:bodyDiv w:val="1"/>
      <w:marLeft w:val="0"/>
      <w:marRight w:val="0"/>
      <w:marTop w:val="0"/>
      <w:marBottom w:val="0"/>
      <w:divBdr>
        <w:top w:val="none" w:sz="0" w:space="0" w:color="auto"/>
        <w:left w:val="none" w:sz="0" w:space="0" w:color="auto"/>
        <w:bottom w:val="none" w:sz="0" w:space="0" w:color="auto"/>
        <w:right w:val="none" w:sz="0" w:space="0" w:color="auto"/>
      </w:divBdr>
    </w:div>
    <w:div w:id="687289429">
      <w:bodyDiv w:val="1"/>
      <w:marLeft w:val="0"/>
      <w:marRight w:val="0"/>
      <w:marTop w:val="0"/>
      <w:marBottom w:val="0"/>
      <w:divBdr>
        <w:top w:val="none" w:sz="0" w:space="0" w:color="auto"/>
        <w:left w:val="none" w:sz="0" w:space="0" w:color="auto"/>
        <w:bottom w:val="none" w:sz="0" w:space="0" w:color="auto"/>
        <w:right w:val="none" w:sz="0" w:space="0" w:color="auto"/>
      </w:divBdr>
    </w:div>
    <w:div w:id="934480935">
      <w:bodyDiv w:val="1"/>
      <w:marLeft w:val="0"/>
      <w:marRight w:val="0"/>
      <w:marTop w:val="0"/>
      <w:marBottom w:val="0"/>
      <w:divBdr>
        <w:top w:val="none" w:sz="0" w:space="0" w:color="auto"/>
        <w:left w:val="none" w:sz="0" w:space="0" w:color="auto"/>
        <w:bottom w:val="none" w:sz="0" w:space="0" w:color="auto"/>
        <w:right w:val="none" w:sz="0" w:space="0" w:color="auto"/>
      </w:divBdr>
      <w:divsChild>
        <w:div w:id="1335307480">
          <w:marLeft w:val="547"/>
          <w:marRight w:val="0"/>
          <w:marTop w:val="0"/>
          <w:marBottom w:val="0"/>
          <w:divBdr>
            <w:top w:val="none" w:sz="0" w:space="0" w:color="auto"/>
            <w:left w:val="none" w:sz="0" w:space="0" w:color="auto"/>
            <w:bottom w:val="none" w:sz="0" w:space="0" w:color="auto"/>
            <w:right w:val="none" w:sz="0" w:space="0" w:color="auto"/>
          </w:divBdr>
        </w:div>
        <w:div w:id="1700742003">
          <w:marLeft w:val="547"/>
          <w:marRight w:val="0"/>
          <w:marTop w:val="0"/>
          <w:marBottom w:val="0"/>
          <w:divBdr>
            <w:top w:val="none" w:sz="0" w:space="0" w:color="auto"/>
            <w:left w:val="none" w:sz="0" w:space="0" w:color="auto"/>
            <w:bottom w:val="none" w:sz="0" w:space="0" w:color="auto"/>
            <w:right w:val="none" w:sz="0" w:space="0" w:color="auto"/>
          </w:divBdr>
        </w:div>
      </w:divsChild>
    </w:div>
    <w:div w:id="1000111613">
      <w:bodyDiv w:val="1"/>
      <w:marLeft w:val="0"/>
      <w:marRight w:val="0"/>
      <w:marTop w:val="0"/>
      <w:marBottom w:val="0"/>
      <w:divBdr>
        <w:top w:val="none" w:sz="0" w:space="0" w:color="auto"/>
        <w:left w:val="none" w:sz="0" w:space="0" w:color="auto"/>
        <w:bottom w:val="none" w:sz="0" w:space="0" w:color="auto"/>
        <w:right w:val="none" w:sz="0" w:space="0" w:color="auto"/>
      </w:divBdr>
      <w:divsChild>
        <w:div w:id="529074022">
          <w:marLeft w:val="547"/>
          <w:marRight w:val="0"/>
          <w:marTop w:val="0"/>
          <w:marBottom w:val="0"/>
          <w:divBdr>
            <w:top w:val="none" w:sz="0" w:space="0" w:color="auto"/>
            <w:left w:val="none" w:sz="0" w:space="0" w:color="auto"/>
            <w:bottom w:val="none" w:sz="0" w:space="0" w:color="auto"/>
            <w:right w:val="none" w:sz="0" w:space="0" w:color="auto"/>
          </w:divBdr>
        </w:div>
        <w:div w:id="1275022059">
          <w:marLeft w:val="547"/>
          <w:marRight w:val="0"/>
          <w:marTop w:val="0"/>
          <w:marBottom w:val="0"/>
          <w:divBdr>
            <w:top w:val="none" w:sz="0" w:space="0" w:color="auto"/>
            <w:left w:val="none" w:sz="0" w:space="0" w:color="auto"/>
            <w:bottom w:val="none" w:sz="0" w:space="0" w:color="auto"/>
            <w:right w:val="none" w:sz="0" w:space="0" w:color="auto"/>
          </w:divBdr>
        </w:div>
      </w:divsChild>
    </w:div>
    <w:div w:id="1015572806">
      <w:bodyDiv w:val="1"/>
      <w:marLeft w:val="0"/>
      <w:marRight w:val="0"/>
      <w:marTop w:val="0"/>
      <w:marBottom w:val="0"/>
      <w:divBdr>
        <w:top w:val="none" w:sz="0" w:space="0" w:color="auto"/>
        <w:left w:val="none" w:sz="0" w:space="0" w:color="auto"/>
        <w:bottom w:val="none" w:sz="0" w:space="0" w:color="auto"/>
        <w:right w:val="none" w:sz="0" w:space="0" w:color="auto"/>
      </w:divBdr>
    </w:div>
    <w:div w:id="1092631231">
      <w:bodyDiv w:val="1"/>
      <w:marLeft w:val="0"/>
      <w:marRight w:val="0"/>
      <w:marTop w:val="0"/>
      <w:marBottom w:val="0"/>
      <w:divBdr>
        <w:top w:val="none" w:sz="0" w:space="0" w:color="auto"/>
        <w:left w:val="none" w:sz="0" w:space="0" w:color="auto"/>
        <w:bottom w:val="none" w:sz="0" w:space="0" w:color="auto"/>
        <w:right w:val="none" w:sz="0" w:space="0" w:color="auto"/>
      </w:divBdr>
    </w:div>
    <w:div w:id="1184393413">
      <w:bodyDiv w:val="1"/>
      <w:marLeft w:val="0"/>
      <w:marRight w:val="0"/>
      <w:marTop w:val="0"/>
      <w:marBottom w:val="0"/>
      <w:divBdr>
        <w:top w:val="none" w:sz="0" w:space="0" w:color="auto"/>
        <w:left w:val="none" w:sz="0" w:space="0" w:color="auto"/>
        <w:bottom w:val="none" w:sz="0" w:space="0" w:color="auto"/>
        <w:right w:val="none" w:sz="0" w:space="0" w:color="auto"/>
      </w:divBdr>
    </w:div>
    <w:div w:id="1249772499">
      <w:bodyDiv w:val="1"/>
      <w:marLeft w:val="0"/>
      <w:marRight w:val="0"/>
      <w:marTop w:val="0"/>
      <w:marBottom w:val="0"/>
      <w:divBdr>
        <w:top w:val="none" w:sz="0" w:space="0" w:color="auto"/>
        <w:left w:val="none" w:sz="0" w:space="0" w:color="auto"/>
        <w:bottom w:val="none" w:sz="0" w:space="0" w:color="auto"/>
        <w:right w:val="none" w:sz="0" w:space="0" w:color="auto"/>
      </w:divBdr>
    </w:div>
    <w:div w:id="1413745497">
      <w:bodyDiv w:val="1"/>
      <w:marLeft w:val="0"/>
      <w:marRight w:val="0"/>
      <w:marTop w:val="0"/>
      <w:marBottom w:val="0"/>
      <w:divBdr>
        <w:top w:val="none" w:sz="0" w:space="0" w:color="auto"/>
        <w:left w:val="none" w:sz="0" w:space="0" w:color="auto"/>
        <w:bottom w:val="none" w:sz="0" w:space="0" w:color="auto"/>
        <w:right w:val="none" w:sz="0" w:space="0" w:color="auto"/>
      </w:divBdr>
    </w:div>
    <w:div w:id="1455565638">
      <w:bodyDiv w:val="1"/>
      <w:marLeft w:val="0"/>
      <w:marRight w:val="0"/>
      <w:marTop w:val="0"/>
      <w:marBottom w:val="0"/>
      <w:divBdr>
        <w:top w:val="none" w:sz="0" w:space="0" w:color="auto"/>
        <w:left w:val="none" w:sz="0" w:space="0" w:color="auto"/>
        <w:bottom w:val="none" w:sz="0" w:space="0" w:color="auto"/>
        <w:right w:val="none" w:sz="0" w:space="0" w:color="auto"/>
      </w:divBdr>
    </w:div>
    <w:div w:id="1628853471">
      <w:bodyDiv w:val="1"/>
      <w:marLeft w:val="0"/>
      <w:marRight w:val="0"/>
      <w:marTop w:val="0"/>
      <w:marBottom w:val="0"/>
      <w:divBdr>
        <w:top w:val="none" w:sz="0" w:space="0" w:color="auto"/>
        <w:left w:val="none" w:sz="0" w:space="0" w:color="auto"/>
        <w:bottom w:val="none" w:sz="0" w:space="0" w:color="auto"/>
        <w:right w:val="none" w:sz="0" w:space="0" w:color="auto"/>
      </w:divBdr>
    </w:div>
    <w:div w:id="1855068274">
      <w:bodyDiv w:val="1"/>
      <w:marLeft w:val="0"/>
      <w:marRight w:val="0"/>
      <w:marTop w:val="0"/>
      <w:marBottom w:val="0"/>
      <w:divBdr>
        <w:top w:val="none" w:sz="0" w:space="0" w:color="auto"/>
        <w:left w:val="none" w:sz="0" w:space="0" w:color="auto"/>
        <w:bottom w:val="none" w:sz="0" w:space="0" w:color="auto"/>
        <w:right w:val="none" w:sz="0" w:space="0" w:color="auto"/>
      </w:divBdr>
      <w:divsChild>
        <w:div w:id="1312295304">
          <w:marLeft w:val="547"/>
          <w:marRight w:val="0"/>
          <w:marTop w:val="0"/>
          <w:marBottom w:val="0"/>
          <w:divBdr>
            <w:top w:val="none" w:sz="0" w:space="0" w:color="auto"/>
            <w:left w:val="none" w:sz="0" w:space="0" w:color="auto"/>
            <w:bottom w:val="none" w:sz="0" w:space="0" w:color="auto"/>
            <w:right w:val="none" w:sz="0" w:space="0" w:color="auto"/>
          </w:divBdr>
        </w:div>
        <w:div w:id="480584095">
          <w:marLeft w:val="547"/>
          <w:marRight w:val="0"/>
          <w:marTop w:val="0"/>
          <w:marBottom w:val="0"/>
          <w:divBdr>
            <w:top w:val="none" w:sz="0" w:space="0" w:color="auto"/>
            <w:left w:val="none" w:sz="0" w:space="0" w:color="auto"/>
            <w:bottom w:val="none" w:sz="0" w:space="0" w:color="auto"/>
            <w:right w:val="none" w:sz="0" w:space="0" w:color="auto"/>
          </w:divBdr>
        </w:div>
      </w:divsChild>
    </w:div>
    <w:div w:id="1945112963">
      <w:bodyDiv w:val="1"/>
      <w:marLeft w:val="0"/>
      <w:marRight w:val="0"/>
      <w:marTop w:val="0"/>
      <w:marBottom w:val="0"/>
      <w:divBdr>
        <w:top w:val="none" w:sz="0" w:space="0" w:color="auto"/>
        <w:left w:val="none" w:sz="0" w:space="0" w:color="auto"/>
        <w:bottom w:val="none" w:sz="0" w:space="0" w:color="auto"/>
        <w:right w:val="none" w:sz="0" w:space="0" w:color="auto"/>
      </w:divBdr>
    </w:div>
    <w:div w:id="2069719250">
      <w:bodyDiv w:val="1"/>
      <w:marLeft w:val="0"/>
      <w:marRight w:val="0"/>
      <w:marTop w:val="0"/>
      <w:marBottom w:val="0"/>
      <w:divBdr>
        <w:top w:val="none" w:sz="0" w:space="0" w:color="auto"/>
        <w:left w:val="none" w:sz="0" w:space="0" w:color="auto"/>
        <w:bottom w:val="none" w:sz="0" w:space="0" w:color="auto"/>
        <w:right w:val="none" w:sz="0" w:space="0" w:color="auto"/>
      </w:divBdr>
    </w:div>
    <w:div w:id="2140102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afercare.vic" TargetMode="External"/><Relationship Id="rId18" Type="http://schemas.openxmlformats.org/officeDocument/2006/relationships/footer" Target="footer3.xml"/><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hyperlink" Target="mailto:info@safercare.vic" TargetMode="External"/><Relationship Id="rId17" Type="http://schemas.openxmlformats.org/officeDocument/2006/relationships/header" Target="header3.xml"/><Relationship Id="rId25"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hart" Target="charts/chart1.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5.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4.xml"/><Relationship Id="rId28" Type="http://schemas.openxmlformats.org/officeDocument/2006/relationships/chart" Target="charts/chart9.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N:\Safer%20Care%20Victoria\Common%20folder%20(for%20all%20SCV)\Branding%20toolkit\1.%20Templates\1.%20Safer%20Care%20Victoria\Report%20no%20image.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N059\GROUP\Q%20&amp;%20S%20Branch\13.%20Incident%20Response%20Program\3.%20Sentinel%20Event%20Program%209.%2010\Annual%20reports\Annual%20Report%202017-18\Data\Data%20AR%202017%2018_V4.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N059\GROUP\Q%20&amp;%20S%20Branch\13.%20Incident%20Response%20Program\3.%20Sentinel%20Event%20Program%209.%2010\Annual%20reports\Annual%20Report%202017-18\Data\Data%20AR%202017%2018_V4.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file:///\\N059\GROUP\Q%20&amp;%20S%20Branch\13.%20Incident%20Response%20Program\3.%20Sentinel%20Event%20Program%209.%2010\Annual%20reports\Annual%20Report%202017-18\Data\Data%20AR%202017%2018_V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N059\GROUP\Q%20&amp;%20S%20Branch\13.%20Incident%20Response%20Program\3.%20Sentinel%20Event%20Program%209.%2010\Annual%20reports\Annual%20Report%202017-18\Data\Data%20AR%202017%2018_V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N059\GROUP\Q%20&amp;%20S%20Branch\13.%20Incident%20Response%20Program\3.%20Sentinel%20Event%20Program%209.%2010\Annual%20reports\Annual%20Report%202017-18\Data\Data%20AR%202017%2018_V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N059\GROUP\Q%20&amp;%20S%20Branch\13.%20Incident%20Response%20Program\3.%20Sentinel%20Event%20Program%209.%2010\Annual%20reports\Annual%20Report%202017-18\Data\Data%20AR%202017%2018_V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N059\GROUP\Q%20&amp;%20S%20Branch\13.%20Incident%20Response%20Program\3.%20Sentinel%20Event%20Program%209.%2010\Annual%20reports\Annual%20Report%202017-18\Data\Data%20AR%202017%2018_V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N059\GROUP\Q%20&amp;%20S%20Branch\13.%20Incident%20Response%20Program\3.%20Sentinel%20Event%20Program%209.%2010\Annual%20reports\Annual%20Report%202017-18\Data\Data%20AR%202017%2018_V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N059\GROUP\Q%20&amp;%20S%20Branch\13.%20Incident%20Response%20Program\3.%20Sentinel%20Event%20Program%209.%2010\Annual%20reports\Annual%20Report%202017-18\Data\Data%20AR%202017%2018_V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cat>
            <c:strRef>
              <c:f>'SE Category'!$B$1:$B$6</c:f>
              <c:strCache>
                <c:ptCount val="6"/>
                <c:pt idx="0">
                  <c:v>1. Procedures involving the wrong patient or body part (&lt;1%)</c:v>
                </c:pt>
                <c:pt idx="1">
                  <c:v>2. Suicide in an inpatient unit (5%)</c:v>
                </c:pt>
                <c:pt idx="2">
                  <c:v>3. Retained instruments or other material after surgery (10%)</c:v>
                </c:pt>
                <c:pt idx="3">
                  <c:v>5. Haemolytic blood transfusion reaction (2%)</c:v>
                </c:pt>
                <c:pt idx="4">
                  <c:v>6. Medication error (&lt;2%)</c:v>
                </c:pt>
                <c:pt idx="5">
                  <c:v>9. Other catastrophic: incident severity rating 1 (ISR 1) (80%)</c:v>
                </c:pt>
              </c:strCache>
            </c:strRef>
          </c:cat>
          <c:val>
            <c:numRef>
              <c:f>'SE Category'!$D$1:$D$6</c:f>
              <c:numCache>
                <c:formatCode>General</c:formatCode>
                <c:ptCount val="6"/>
                <c:pt idx="0">
                  <c:v>1</c:v>
                </c:pt>
                <c:pt idx="1">
                  <c:v>7</c:v>
                </c:pt>
                <c:pt idx="2">
                  <c:v>12</c:v>
                </c:pt>
                <c:pt idx="3">
                  <c:v>2</c:v>
                </c:pt>
                <c:pt idx="4">
                  <c:v>2</c:v>
                </c:pt>
                <c:pt idx="5">
                  <c:v>98</c:v>
                </c:pt>
              </c:numCache>
            </c:numRef>
          </c:val>
          <c:extLst>
            <c:ext xmlns:c16="http://schemas.microsoft.com/office/drawing/2014/chart" uri="{C3380CC4-5D6E-409C-BE32-E72D297353CC}">
              <c16:uniqueId val="{00000000-016F-481E-B909-A0C625B6FEB4}"/>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61026016369985003"/>
          <c:y val="6.8674626902640326E-2"/>
          <c:w val="0.32294432244342131"/>
          <c:h val="0.86989566745141422"/>
        </c:manualLayout>
      </c:layout>
      <c:overlay val="0"/>
      <c:txPr>
        <a:bodyPr/>
        <a:lstStyle/>
        <a:p>
          <a:pPr>
            <a:defRPr sz="700">
              <a:latin typeface="VIC" panose="00000500000000000000" pitchFamily="2" charset="0"/>
            </a:defRPr>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'Rate over time'!$A$33</c:f>
              <c:strCache>
                <c:ptCount val="1"/>
                <c:pt idx="0">
                  <c:v>Number of sentinel events</c:v>
                </c:pt>
              </c:strCache>
            </c:strRef>
          </c:tx>
          <c:spPr>
            <a:ln w="28575" cap="rnd">
              <a:solidFill>
                <a:schemeClr val="accent1"/>
              </a:solidFill>
              <a:round/>
            </a:ln>
            <a:effectLst/>
          </c:spPr>
          <c:marker>
            <c:symbol val="none"/>
          </c:marker>
          <c:cat>
            <c:strRef>
              <c:f>'Rate over time'!$B$32:$Q$32</c:f>
              <c:strCache>
                <c:ptCount val="16"/>
                <c:pt idx="0">
                  <c:v>2002-03</c:v>
                </c:pt>
                <c:pt idx="1">
                  <c:v>2003-04</c:v>
                </c:pt>
                <c:pt idx="2">
                  <c:v>2004-05</c:v>
                </c:pt>
                <c:pt idx="3">
                  <c:v>2005-06</c:v>
                </c:pt>
                <c:pt idx="4">
                  <c:v>2006-07</c:v>
                </c:pt>
                <c:pt idx="5">
                  <c:v>2007-08</c:v>
                </c:pt>
                <c:pt idx="6">
                  <c:v>2008-09</c:v>
                </c:pt>
                <c:pt idx="7">
                  <c:v>2009-10</c:v>
                </c:pt>
                <c:pt idx="8">
                  <c:v>2010-11</c:v>
                </c:pt>
                <c:pt idx="9">
                  <c:v>2011-12</c:v>
                </c:pt>
                <c:pt idx="10">
                  <c:v>2012-13</c:v>
                </c:pt>
                <c:pt idx="11">
                  <c:v>2013-14</c:v>
                </c:pt>
                <c:pt idx="12">
                  <c:v>2014-15</c:v>
                </c:pt>
                <c:pt idx="13">
                  <c:v>2015-16</c:v>
                </c:pt>
                <c:pt idx="14">
                  <c:v>2016-17</c:v>
                </c:pt>
                <c:pt idx="15">
                  <c:v>2017-18</c:v>
                </c:pt>
              </c:strCache>
            </c:strRef>
          </c:cat>
          <c:val>
            <c:numRef>
              <c:f>'Rate over time'!$B$33:$Q$33</c:f>
              <c:numCache>
                <c:formatCode>General</c:formatCode>
                <c:ptCount val="16"/>
                <c:pt idx="0">
                  <c:v>79</c:v>
                </c:pt>
                <c:pt idx="1">
                  <c:v>85</c:v>
                </c:pt>
                <c:pt idx="2">
                  <c:v>122</c:v>
                </c:pt>
                <c:pt idx="3">
                  <c:v>91</c:v>
                </c:pt>
                <c:pt idx="4">
                  <c:v>82</c:v>
                </c:pt>
                <c:pt idx="5">
                  <c:v>102</c:v>
                </c:pt>
                <c:pt idx="6">
                  <c:v>68</c:v>
                </c:pt>
                <c:pt idx="7">
                  <c:v>56</c:v>
                </c:pt>
                <c:pt idx="8">
                  <c:v>58</c:v>
                </c:pt>
                <c:pt idx="9">
                  <c:v>41</c:v>
                </c:pt>
                <c:pt idx="10">
                  <c:v>34</c:v>
                </c:pt>
                <c:pt idx="11">
                  <c:v>54</c:v>
                </c:pt>
                <c:pt idx="12">
                  <c:v>42</c:v>
                </c:pt>
                <c:pt idx="13">
                  <c:v>47</c:v>
                </c:pt>
                <c:pt idx="14">
                  <c:v>72</c:v>
                </c:pt>
                <c:pt idx="15">
                  <c:v>122</c:v>
                </c:pt>
              </c:numCache>
            </c:numRef>
          </c:val>
          <c:smooth val="0"/>
          <c:extLst>
            <c:ext xmlns:c16="http://schemas.microsoft.com/office/drawing/2014/chart" uri="{C3380CC4-5D6E-409C-BE32-E72D297353CC}">
              <c16:uniqueId val="{00000000-5480-4EB8-B4E5-BFAD7408DEE0}"/>
            </c:ext>
          </c:extLst>
        </c:ser>
        <c:dLbls>
          <c:showLegendKey val="0"/>
          <c:showVal val="0"/>
          <c:showCatName val="0"/>
          <c:showSerName val="0"/>
          <c:showPercent val="0"/>
          <c:showBubbleSize val="0"/>
        </c:dLbls>
        <c:smooth val="0"/>
        <c:axId val="142337920"/>
        <c:axId val="142339456"/>
      </c:lineChart>
      <c:catAx>
        <c:axId val="14233792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142339456"/>
        <c:crosses val="autoZero"/>
        <c:auto val="1"/>
        <c:lblAlgn val="ctr"/>
        <c:lblOffset val="100"/>
        <c:noMultiLvlLbl val="0"/>
      </c:catAx>
      <c:valAx>
        <c:axId val="142339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1423379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doughnutChart>
        <c:varyColors val="1"/>
        <c:ser>
          <c:idx val="0"/>
          <c:order val="0"/>
          <c:cat>
            <c:strRef>
              <c:f>'Days taken to notify SCV'!$G$7:$G$10</c:f>
              <c:strCache>
                <c:ptCount val="4"/>
                <c:pt idx="0">
                  <c:v>Within 3 days (26%)</c:v>
                </c:pt>
                <c:pt idx="1">
                  <c:v>Within 14 days (46%)</c:v>
                </c:pt>
                <c:pt idx="2">
                  <c:v>Within 28 days (14%)</c:v>
                </c:pt>
                <c:pt idx="3">
                  <c:v>Over 28 days (14%)</c:v>
                </c:pt>
              </c:strCache>
            </c:strRef>
          </c:cat>
          <c:val>
            <c:numRef>
              <c:f>'Days taken to notify SCV'!$H$7:$H$10</c:f>
              <c:numCache>
                <c:formatCode>General</c:formatCode>
                <c:ptCount val="4"/>
                <c:pt idx="0">
                  <c:v>33</c:v>
                </c:pt>
                <c:pt idx="1">
                  <c:v>59</c:v>
                </c:pt>
                <c:pt idx="2">
                  <c:v>18</c:v>
                </c:pt>
                <c:pt idx="3">
                  <c:v>18</c:v>
                </c:pt>
              </c:numCache>
            </c:numRef>
          </c:val>
          <c:extLst>
            <c:ext xmlns:c16="http://schemas.microsoft.com/office/drawing/2014/chart" uri="{C3380CC4-5D6E-409C-BE32-E72D297353CC}">
              <c16:uniqueId val="{00000000-0F7A-42A6-A1B9-85B1A24739CB}"/>
            </c:ext>
          </c:extLst>
        </c:ser>
        <c:dLbls>
          <c:showLegendKey val="0"/>
          <c:showVal val="0"/>
          <c:showCatName val="0"/>
          <c:showSerName val="0"/>
          <c:showPercent val="0"/>
          <c:showBubbleSize val="0"/>
          <c:showLeaderLines val="1"/>
        </c:dLbls>
        <c:firstSliceAng val="0"/>
        <c:holeSize val="50"/>
      </c:doughnutChart>
    </c:plotArea>
    <c:legend>
      <c:legendPos val="r"/>
      <c:overlay val="0"/>
      <c:txPr>
        <a:bodyPr/>
        <a:lstStyle/>
        <a:p>
          <a:pPr>
            <a:defRPr sz="700">
              <a:latin typeface="VIC" panose="00000500000000000000" pitchFamily="2" charset="0"/>
            </a:defRPr>
          </a:pPr>
          <a:endParaRPr lang="en-US"/>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cat>
            <c:strRef>
              <c:f>Age!$L$5:$L$14</c:f>
              <c:strCache>
                <c:ptCount val="10"/>
                <c:pt idx="0">
                  <c:v>0-10 years (11%)</c:v>
                </c:pt>
                <c:pt idx="1">
                  <c:v>11-20 years (8%)</c:v>
                </c:pt>
                <c:pt idx="2">
                  <c:v>21-30 years (7%)</c:v>
                </c:pt>
                <c:pt idx="3">
                  <c:v>31-40 years (7%)</c:v>
                </c:pt>
                <c:pt idx="4">
                  <c:v>41-50 years (10%)</c:v>
                </c:pt>
                <c:pt idx="5">
                  <c:v>51-60 years (12%)</c:v>
                </c:pt>
                <c:pt idx="6">
                  <c:v>61-70 years (10%)</c:v>
                </c:pt>
                <c:pt idx="7">
                  <c:v>71-80 years (11%)</c:v>
                </c:pt>
                <c:pt idx="8">
                  <c:v>81-90 years (19%)</c:v>
                </c:pt>
                <c:pt idx="9">
                  <c:v>91-100 years (3%)</c:v>
                </c:pt>
              </c:strCache>
            </c:strRef>
          </c:cat>
          <c:val>
            <c:numRef>
              <c:f>Age!$M$5:$M$14</c:f>
              <c:numCache>
                <c:formatCode>General</c:formatCode>
                <c:ptCount val="10"/>
                <c:pt idx="0">
                  <c:v>13</c:v>
                </c:pt>
                <c:pt idx="1">
                  <c:v>10</c:v>
                </c:pt>
                <c:pt idx="2">
                  <c:v>9</c:v>
                </c:pt>
                <c:pt idx="3">
                  <c:v>9</c:v>
                </c:pt>
                <c:pt idx="4">
                  <c:v>12</c:v>
                </c:pt>
                <c:pt idx="5">
                  <c:v>15</c:v>
                </c:pt>
                <c:pt idx="6">
                  <c:v>12</c:v>
                </c:pt>
                <c:pt idx="7">
                  <c:v>14</c:v>
                </c:pt>
                <c:pt idx="8">
                  <c:v>23</c:v>
                </c:pt>
                <c:pt idx="9">
                  <c:v>4</c:v>
                </c:pt>
              </c:numCache>
            </c:numRef>
          </c:val>
          <c:extLst>
            <c:ext xmlns:c16="http://schemas.microsoft.com/office/drawing/2014/chart" uri="{C3380CC4-5D6E-409C-BE32-E72D297353CC}">
              <c16:uniqueId val="{00000000-FEEF-4A8D-B061-38DA1AE8815F}"/>
            </c:ext>
          </c:extLst>
        </c:ser>
        <c:dLbls>
          <c:showLegendKey val="0"/>
          <c:showVal val="0"/>
          <c:showCatName val="0"/>
          <c:showSerName val="0"/>
          <c:showPercent val="0"/>
          <c:showBubbleSize val="0"/>
          <c:showLeaderLines val="1"/>
        </c:dLbls>
        <c:firstSliceAng val="0"/>
        <c:holeSize val="50"/>
      </c:doughnutChart>
    </c:plotArea>
    <c:legend>
      <c:legendPos val="r"/>
      <c:overlay val="0"/>
      <c:txPr>
        <a:bodyPr/>
        <a:lstStyle/>
        <a:p>
          <a:pPr>
            <a:defRPr sz="700">
              <a:latin typeface="VIC" panose="00000500000000000000" pitchFamily="2" charset="0"/>
            </a:defRPr>
          </a:pPr>
          <a:endParaRPr lang="en-US"/>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cat>
            <c:strRef>
              <c:f>'Degree of Impact'!$I$2:$I$8</c:f>
              <c:strCache>
                <c:ptCount val="7"/>
                <c:pt idx="0">
                  <c:v>Harm - death (76%)</c:v>
                </c:pt>
                <c:pt idx="1">
                  <c:v>Harm - permanent loss of functioning (4%)</c:v>
                </c:pt>
                <c:pt idx="2">
                  <c:v>Harm - permanent reduction in functioning (7%)</c:v>
                </c:pt>
                <c:pt idx="3">
                  <c:v>Harm - temporary reduction in functioning (7%)</c:v>
                </c:pt>
                <c:pt idx="4">
                  <c:v>Harm - but no loss/reduction in functioning (3%)</c:v>
                </c:pt>
                <c:pt idx="5">
                  <c:v>Harm - significantly inconvenienced (3%)</c:v>
                </c:pt>
                <c:pt idx="6">
                  <c:v>Unknown (&lt;1%)</c:v>
                </c:pt>
              </c:strCache>
            </c:strRef>
          </c:cat>
          <c:val>
            <c:numRef>
              <c:f>'Degree of Impact'!$J$2:$J$8</c:f>
              <c:numCache>
                <c:formatCode>General</c:formatCode>
                <c:ptCount val="7"/>
                <c:pt idx="0">
                  <c:v>92</c:v>
                </c:pt>
                <c:pt idx="1">
                  <c:v>5</c:v>
                </c:pt>
                <c:pt idx="2">
                  <c:v>8</c:v>
                </c:pt>
                <c:pt idx="3">
                  <c:v>8</c:v>
                </c:pt>
                <c:pt idx="4">
                  <c:v>4</c:v>
                </c:pt>
                <c:pt idx="5">
                  <c:v>4</c:v>
                </c:pt>
                <c:pt idx="6">
                  <c:v>1</c:v>
                </c:pt>
              </c:numCache>
            </c:numRef>
          </c:val>
          <c:extLst>
            <c:ext xmlns:c16="http://schemas.microsoft.com/office/drawing/2014/chart" uri="{C3380CC4-5D6E-409C-BE32-E72D297353CC}">
              <c16:uniqueId val="{00000000-AABE-4861-91E9-D5E533B2CF43}"/>
            </c:ext>
          </c:extLst>
        </c:ser>
        <c:dLbls>
          <c:showLegendKey val="0"/>
          <c:showVal val="0"/>
          <c:showCatName val="0"/>
          <c:showSerName val="0"/>
          <c:showPercent val="0"/>
          <c:showBubbleSize val="0"/>
          <c:showLeaderLines val="1"/>
        </c:dLbls>
        <c:firstSliceAng val="0"/>
        <c:holeSize val="50"/>
      </c:doughnutChart>
    </c:plotArea>
    <c:legend>
      <c:legendPos val="r"/>
      <c:overlay val="0"/>
      <c:txPr>
        <a:bodyPr/>
        <a:lstStyle/>
        <a:p>
          <a:pPr>
            <a:defRPr sz="700">
              <a:latin typeface="VIC" panose="00000500000000000000" pitchFamily="2" charset="0"/>
            </a:defRPr>
          </a:pPr>
          <a:endParaRPr lang="en-US"/>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'Sub Theme 9 Other'!$B$2</c:f>
              <c:strCache>
                <c:ptCount val="1"/>
                <c:pt idx="0">
                  <c:v>2017-18</c:v>
                </c:pt>
              </c:strCache>
            </c:strRef>
          </c:tx>
          <c:cat>
            <c:strRef>
              <c:f>'Sub Theme 9 Other'!$A$3:$A$11</c:f>
              <c:strCache>
                <c:ptCount val="9"/>
                <c:pt idx="0">
                  <c:v>Clinical process/procedure (26%)</c:v>
                </c:pt>
                <c:pt idx="1">
                  <c:v>Falls (26%)</c:v>
                </c:pt>
                <c:pt idx="2">
                  <c:v>Deteriorating patient (23%)</c:v>
                </c:pt>
                <c:pt idx="3">
                  <c:v>Behaviour (14%)</c:v>
                </c:pt>
                <c:pt idx="4">
                  <c:v>Medication/intravenous fluids (6%)</c:v>
                </c:pt>
                <c:pt idx="5">
                  <c:v>Nutrition (1%)</c:v>
                </c:pt>
                <c:pt idx="6">
                  <c:v>Clinical administration (1%)</c:v>
                </c:pt>
                <c:pt idx="7">
                  <c:v>Healthcare associated infection (1%)</c:v>
                </c:pt>
                <c:pt idx="8">
                  <c:v>Medical device/equipment (1%)</c:v>
                </c:pt>
              </c:strCache>
            </c:strRef>
          </c:cat>
          <c:val>
            <c:numRef>
              <c:f>'Sub Theme 9 Other'!$B$3:$B$11</c:f>
              <c:numCache>
                <c:formatCode>General</c:formatCode>
                <c:ptCount val="9"/>
                <c:pt idx="0">
                  <c:v>25</c:v>
                </c:pt>
                <c:pt idx="1">
                  <c:v>25</c:v>
                </c:pt>
                <c:pt idx="2">
                  <c:v>23</c:v>
                </c:pt>
                <c:pt idx="3">
                  <c:v>13</c:v>
                </c:pt>
                <c:pt idx="4">
                  <c:v>6</c:v>
                </c:pt>
                <c:pt idx="5">
                  <c:v>1</c:v>
                </c:pt>
                <c:pt idx="6">
                  <c:v>2</c:v>
                </c:pt>
                <c:pt idx="7">
                  <c:v>1</c:v>
                </c:pt>
                <c:pt idx="8">
                  <c:v>2</c:v>
                </c:pt>
              </c:numCache>
            </c:numRef>
          </c:val>
          <c:extLst>
            <c:ext xmlns:c16="http://schemas.microsoft.com/office/drawing/2014/chart" uri="{C3380CC4-5D6E-409C-BE32-E72D297353CC}">
              <c16:uniqueId val="{00000000-8389-4912-892E-E9D4F58746F6}"/>
            </c:ext>
          </c:extLst>
        </c:ser>
        <c:dLbls>
          <c:showLegendKey val="0"/>
          <c:showVal val="0"/>
          <c:showCatName val="0"/>
          <c:showSerName val="0"/>
          <c:showPercent val="0"/>
          <c:showBubbleSize val="0"/>
          <c:showLeaderLines val="1"/>
        </c:dLbls>
        <c:firstSliceAng val="0"/>
        <c:holeSize val="50"/>
      </c:doughnutChart>
    </c:plotArea>
    <c:legend>
      <c:legendPos val="r"/>
      <c:overlay val="0"/>
      <c:txPr>
        <a:bodyPr/>
        <a:lstStyle/>
        <a:p>
          <a:pPr>
            <a:defRPr sz="700">
              <a:latin typeface="VIC" panose="00000500000000000000" pitchFamily="2" charset="0"/>
            </a:defRPr>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cat>
            <c:strRef>
              <c:f>'Days to submit'!$H$2:$H$4</c:f>
              <c:strCache>
                <c:ptCount val="3"/>
                <c:pt idx="0">
                  <c:v>Submitted within 30 days</c:v>
                </c:pt>
                <c:pt idx="1">
                  <c:v>Submitted over 30 days</c:v>
                </c:pt>
                <c:pt idx="2">
                  <c:v>Not submitted </c:v>
                </c:pt>
              </c:strCache>
            </c:strRef>
          </c:cat>
          <c:val>
            <c:numRef>
              <c:f>'Days to submit'!$I$2:$I$4</c:f>
              <c:numCache>
                <c:formatCode>General</c:formatCode>
                <c:ptCount val="3"/>
                <c:pt idx="0">
                  <c:v>22</c:v>
                </c:pt>
                <c:pt idx="1">
                  <c:v>98</c:v>
                </c:pt>
                <c:pt idx="2">
                  <c:v>2</c:v>
                </c:pt>
              </c:numCache>
            </c:numRef>
          </c:val>
          <c:extLst>
            <c:ext xmlns:c16="http://schemas.microsoft.com/office/drawing/2014/chart" uri="{C3380CC4-5D6E-409C-BE32-E72D297353CC}">
              <c16:uniqueId val="{00000000-3F0A-4439-A4E6-0DB29695719F}"/>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64556889290202002"/>
          <c:y val="0.21499200050192929"/>
          <c:w val="0.33037336852540583"/>
          <c:h val="0.51879232227445671"/>
        </c:manualLayout>
      </c:layout>
      <c:overlay val="0"/>
      <c:txPr>
        <a:bodyPr/>
        <a:lstStyle/>
        <a:p>
          <a:pPr>
            <a:defRPr sz="800">
              <a:latin typeface="VIC" panose="00000500000000000000" pitchFamily="2" charset="0"/>
            </a:defRPr>
          </a:pPr>
          <a:endParaRPr lang="en-US"/>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cat>
            <c:strRef>
              <c:f>Extensions!$D$10:$D$14</c:f>
              <c:strCache>
                <c:ptCount val="5"/>
                <c:pt idx="0">
                  <c:v>Internal team member (35%)</c:v>
                </c:pt>
                <c:pt idx="1">
                  <c:v>Clinical governance (33%)</c:v>
                </c:pt>
                <c:pt idx="2">
                  <c:v>Other (18%)</c:v>
                </c:pt>
                <c:pt idx="3">
                  <c:v>External team member (10%)</c:v>
                </c:pt>
                <c:pt idx="4">
                  <c:v>Organisation workload (1%)</c:v>
                </c:pt>
              </c:strCache>
            </c:strRef>
          </c:cat>
          <c:val>
            <c:numRef>
              <c:f>Extensions!$E$10:$E$14</c:f>
              <c:numCache>
                <c:formatCode>General</c:formatCode>
                <c:ptCount val="5"/>
                <c:pt idx="0">
                  <c:v>27</c:v>
                </c:pt>
                <c:pt idx="1">
                  <c:v>26</c:v>
                </c:pt>
                <c:pt idx="2">
                  <c:v>14</c:v>
                </c:pt>
                <c:pt idx="3">
                  <c:v>10</c:v>
                </c:pt>
                <c:pt idx="4">
                  <c:v>1</c:v>
                </c:pt>
              </c:numCache>
            </c:numRef>
          </c:val>
          <c:extLst>
            <c:ext xmlns:c16="http://schemas.microsoft.com/office/drawing/2014/chart" uri="{C3380CC4-5D6E-409C-BE32-E72D297353CC}">
              <c16:uniqueId val="{00000000-74CA-4DC6-B5FC-25D17AA2E327}"/>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60652242547468249"/>
          <c:y val="7.6210344224900181E-2"/>
          <c:w val="0.3694198359527433"/>
          <c:h val="0.85327083118594227"/>
        </c:manualLayout>
      </c:layout>
      <c:overlay val="0"/>
      <c:txPr>
        <a:bodyPr/>
        <a:lstStyle/>
        <a:p>
          <a:pPr>
            <a:defRPr sz="800">
              <a:latin typeface="VIC" panose="00000500000000000000" pitchFamily="2" charset="0"/>
            </a:defRPr>
          </a:pPr>
          <a:endParaRPr lang="en-US"/>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cat>
            <c:strRef>
              <c:f>'Consumer reps, external memb'!$F$11:$F$12</c:f>
              <c:strCache>
                <c:ptCount val="2"/>
                <c:pt idx="0">
                  <c:v>% of RCAs with consumer member</c:v>
                </c:pt>
                <c:pt idx="1">
                  <c:v>% of RCAs with external member </c:v>
                </c:pt>
              </c:strCache>
            </c:strRef>
          </c:cat>
          <c:val>
            <c:numRef>
              <c:f>'Consumer reps, external memb'!$G$11:$G$12</c:f>
              <c:numCache>
                <c:formatCode>0%</c:formatCode>
                <c:ptCount val="2"/>
                <c:pt idx="0">
                  <c:v>0.17</c:v>
                </c:pt>
                <c:pt idx="1">
                  <c:v>0.8</c:v>
                </c:pt>
              </c:numCache>
            </c:numRef>
          </c:val>
          <c:extLst>
            <c:ext xmlns:c16="http://schemas.microsoft.com/office/drawing/2014/chart" uri="{C3380CC4-5D6E-409C-BE32-E72D297353CC}">
              <c16:uniqueId val="{00000000-1000-462F-B7B3-73F100BBC249}"/>
            </c:ext>
          </c:extLst>
        </c:ser>
        <c:dLbls>
          <c:showLegendKey val="0"/>
          <c:showVal val="0"/>
          <c:showCatName val="0"/>
          <c:showSerName val="0"/>
          <c:showPercent val="0"/>
          <c:showBubbleSize val="0"/>
        </c:dLbls>
        <c:gapWidth val="150"/>
        <c:axId val="142044544"/>
        <c:axId val="142251136"/>
      </c:barChart>
      <c:catAx>
        <c:axId val="142044544"/>
        <c:scaling>
          <c:orientation val="minMax"/>
        </c:scaling>
        <c:delete val="0"/>
        <c:axPos val="l"/>
        <c:numFmt formatCode="General" sourceLinked="0"/>
        <c:majorTickMark val="out"/>
        <c:minorTickMark val="none"/>
        <c:tickLblPos val="nextTo"/>
        <c:txPr>
          <a:bodyPr/>
          <a:lstStyle/>
          <a:p>
            <a:pPr>
              <a:defRPr sz="700">
                <a:latin typeface="VIC" panose="00000500000000000000" pitchFamily="2" charset="0"/>
              </a:defRPr>
            </a:pPr>
            <a:endParaRPr lang="en-US"/>
          </a:p>
        </c:txPr>
        <c:crossAx val="142251136"/>
        <c:crosses val="autoZero"/>
        <c:auto val="1"/>
        <c:lblAlgn val="ctr"/>
        <c:lblOffset val="100"/>
        <c:noMultiLvlLbl val="0"/>
      </c:catAx>
      <c:valAx>
        <c:axId val="142251136"/>
        <c:scaling>
          <c:orientation val="minMax"/>
        </c:scaling>
        <c:delete val="0"/>
        <c:axPos val="b"/>
        <c:majorGridlines/>
        <c:numFmt formatCode="0%" sourceLinked="1"/>
        <c:majorTickMark val="out"/>
        <c:minorTickMark val="none"/>
        <c:tickLblPos val="nextTo"/>
        <c:txPr>
          <a:bodyPr/>
          <a:lstStyle/>
          <a:p>
            <a:pPr>
              <a:defRPr sz="800">
                <a:latin typeface="VIC" panose="00000500000000000000" pitchFamily="2" charset="0"/>
              </a:defRPr>
            </a:pPr>
            <a:endParaRPr lang="en-US"/>
          </a:p>
        </c:txPr>
        <c:crossAx val="142044544"/>
        <c:crosses val="autoZero"/>
        <c:crossBetween val="between"/>
      </c:valAx>
    </c:plotArea>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4A13241BB96484DB305B8508F598FE0"/>
        <w:category>
          <w:name w:val="General"/>
          <w:gallery w:val="placeholder"/>
        </w:category>
        <w:types>
          <w:type w:val="bbPlcHdr"/>
        </w:types>
        <w:behaviors>
          <w:behavior w:val="content"/>
        </w:behaviors>
        <w:guid w:val="{D8A96647-768C-4E2E-8369-059335423790}"/>
      </w:docPartPr>
      <w:docPartBody>
        <w:p w:rsidR="00A81C22" w:rsidRDefault="00A81C22">
          <w:pPr>
            <w:pStyle w:val="C4A13241BB96484DB305B8508F598FE0"/>
          </w:pPr>
          <w:r w:rsidRPr="006C587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IC Medium">
    <w:panose1 w:val="000006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1C22"/>
    <w:rsid w:val="000900E4"/>
    <w:rsid w:val="001C767B"/>
    <w:rsid w:val="00217545"/>
    <w:rsid w:val="002530E2"/>
    <w:rsid w:val="0036235A"/>
    <w:rsid w:val="00424ED6"/>
    <w:rsid w:val="004961CF"/>
    <w:rsid w:val="00531940"/>
    <w:rsid w:val="005C4673"/>
    <w:rsid w:val="0064718F"/>
    <w:rsid w:val="006B0CEA"/>
    <w:rsid w:val="007B063B"/>
    <w:rsid w:val="00877A22"/>
    <w:rsid w:val="008C052A"/>
    <w:rsid w:val="008E7AD8"/>
    <w:rsid w:val="009965F9"/>
    <w:rsid w:val="00A26578"/>
    <w:rsid w:val="00A40620"/>
    <w:rsid w:val="00A41615"/>
    <w:rsid w:val="00A81C22"/>
    <w:rsid w:val="00B4495D"/>
    <w:rsid w:val="00BB5080"/>
    <w:rsid w:val="00BF2E6C"/>
    <w:rsid w:val="00D50E0F"/>
    <w:rsid w:val="00E151AD"/>
    <w:rsid w:val="00EA1551"/>
    <w:rsid w:val="00ED1D59"/>
    <w:rsid w:val="00F52D5F"/>
    <w:rsid w:val="00FD1F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1"/>
    <w:semiHidden/>
    <w:rsid w:val="008E7AD8"/>
    <w:rPr>
      <w:color w:val="808080"/>
    </w:rPr>
  </w:style>
  <w:style w:type="paragraph" w:customStyle="1" w:styleId="C4A13241BB96484DB305B8508F598FE0">
    <w:name w:val="C4A13241BB96484DB305B8508F598FE0"/>
  </w:style>
  <w:style w:type="paragraph" w:customStyle="1" w:styleId="442776591B9F41EF91305871B60E25B9">
    <w:name w:val="442776591B9F41EF91305871B60E25B9"/>
  </w:style>
  <w:style w:type="paragraph" w:customStyle="1" w:styleId="02E709324C524E76B16289344E2E4F82">
    <w:name w:val="02E709324C524E76B16289344E2E4F82"/>
  </w:style>
  <w:style w:type="paragraph" w:customStyle="1" w:styleId="0AAA613326024CD88BAE7FBC360F53BE">
    <w:name w:val="0AAA613326024CD88BAE7FBC360F53BE"/>
    <w:rsid w:val="00A81C22"/>
  </w:style>
  <w:style w:type="paragraph" w:customStyle="1" w:styleId="D0D97CFF6D944E89BB1B13D033718DC2">
    <w:name w:val="D0D97CFF6D944E89BB1B13D033718DC2"/>
    <w:rsid w:val="00A81C22"/>
  </w:style>
  <w:style w:type="paragraph" w:customStyle="1" w:styleId="D24AB9E2C2324D64B3994A6E705B490C">
    <w:name w:val="D24AB9E2C2324D64B3994A6E705B490C"/>
    <w:rsid w:val="00A81C22"/>
  </w:style>
  <w:style w:type="paragraph" w:customStyle="1" w:styleId="DA0339FA5DAE41438B87B6E86FE51C2D">
    <w:name w:val="DA0339FA5DAE41438B87B6E86FE51C2D"/>
    <w:rsid w:val="00A81C22"/>
  </w:style>
  <w:style w:type="paragraph" w:customStyle="1" w:styleId="ABCB2C59FF73447D8415569EACA4385B">
    <w:name w:val="ABCB2C59FF73447D8415569EACA4385B"/>
    <w:rsid w:val="00A81C22"/>
  </w:style>
  <w:style w:type="paragraph" w:customStyle="1" w:styleId="43E9348C7EE24C4485475F6824E8D87A">
    <w:name w:val="43E9348C7EE24C4485475F6824E8D87A"/>
    <w:rsid w:val="00A81C22"/>
  </w:style>
  <w:style w:type="paragraph" w:customStyle="1" w:styleId="AD77222D67DB41CF843D40193A00C36D">
    <w:name w:val="AD77222D67DB41CF843D40193A00C36D"/>
    <w:rsid w:val="00A81C22"/>
  </w:style>
  <w:style w:type="paragraph" w:customStyle="1" w:styleId="A8BB6D521A9A403C874EB2BE7A9E2BF3">
    <w:name w:val="A8BB6D521A9A403C874EB2BE7A9E2BF3"/>
    <w:rsid w:val="00A81C22"/>
  </w:style>
  <w:style w:type="paragraph" w:customStyle="1" w:styleId="E56199E61C164AB3902E3962B5724C8E">
    <w:name w:val="E56199E61C164AB3902E3962B5724C8E"/>
    <w:rsid w:val="00A81C22"/>
  </w:style>
  <w:style w:type="paragraph" w:customStyle="1" w:styleId="2B843F5830744529B8BBD9BC119DAC82">
    <w:name w:val="2B843F5830744529B8BBD9BC119DAC82"/>
    <w:rsid w:val="00A81C22"/>
  </w:style>
  <w:style w:type="paragraph" w:customStyle="1" w:styleId="CC803785B2AC42629FF0C29FA540E875">
    <w:name w:val="CC803785B2AC42629FF0C29FA540E875"/>
    <w:rsid w:val="00A81C22"/>
  </w:style>
  <w:style w:type="paragraph" w:customStyle="1" w:styleId="99D91AEB42F346068292CE773C8E6FD8">
    <w:name w:val="99D91AEB42F346068292CE773C8E6FD8"/>
    <w:rsid w:val="00A81C22"/>
  </w:style>
  <w:style w:type="paragraph" w:customStyle="1" w:styleId="B757AEB6A7E64FA8B890DD3B8BA639F9">
    <w:name w:val="B757AEB6A7E64FA8B890DD3B8BA639F9"/>
    <w:rsid w:val="00A81C22"/>
  </w:style>
  <w:style w:type="paragraph" w:customStyle="1" w:styleId="37B8CB489BD64BCC8F1C29C0A03588C3">
    <w:name w:val="37B8CB489BD64BCC8F1C29C0A03588C3"/>
    <w:rsid w:val="00A81C22"/>
  </w:style>
  <w:style w:type="paragraph" w:customStyle="1" w:styleId="8C8D9530DAF1425BBDCC0811FF4EAE76">
    <w:name w:val="8C8D9530DAF1425BBDCC0811FF4EAE76"/>
    <w:rsid w:val="00A81C22"/>
  </w:style>
  <w:style w:type="paragraph" w:customStyle="1" w:styleId="52C7F09D1D8B45738785EFD5215B5387">
    <w:name w:val="52C7F09D1D8B45738785EFD5215B5387"/>
    <w:rsid w:val="00A81C22"/>
  </w:style>
  <w:style w:type="paragraph" w:customStyle="1" w:styleId="22084907727746BFAD9E67639DDD6EA5">
    <w:name w:val="22084907727746BFAD9E67639DDD6EA5"/>
    <w:rsid w:val="00A81C22"/>
  </w:style>
  <w:style w:type="paragraph" w:customStyle="1" w:styleId="F30C22AD9EBD42609D2E00377971BA8B">
    <w:name w:val="F30C22AD9EBD42609D2E00377971BA8B"/>
    <w:rsid w:val="00A81C22"/>
  </w:style>
  <w:style w:type="paragraph" w:customStyle="1" w:styleId="8573D5DE13B14A08941D3C5FD6B6975F">
    <w:name w:val="8573D5DE13B14A08941D3C5FD6B6975F"/>
    <w:rsid w:val="00A81C22"/>
  </w:style>
  <w:style w:type="paragraph" w:customStyle="1" w:styleId="CE45A8DE683A407DAEA9CC0915C67887">
    <w:name w:val="CE45A8DE683A407DAEA9CC0915C67887"/>
    <w:rsid w:val="008E7AD8"/>
  </w:style>
  <w:style w:type="paragraph" w:customStyle="1" w:styleId="913FC0568E014126891C0E693F2E53CE">
    <w:name w:val="913FC0568E014126891C0E693F2E53CE"/>
    <w:rsid w:val="008E7AD8"/>
  </w:style>
  <w:style w:type="paragraph" w:customStyle="1" w:styleId="86E71C2DCD2D42E6A1B4EB3D528D1794">
    <w:name w:val="86E71C2DCD2D42E6A1B4EB3D528D1794"/>
    <w:rsid w:val="00877A22"/>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CV">
      <a:dk1>
        <a:srgbClr val="000000"/>
      </a:dk1>
      <a:lt1>
        <a:srgbClr val="FFFFFF"/>
      </a:lt1>
      <a:dk2>
        <a:srgbClr val="007586"/>
      </a:dk2>
      <a:lt2>
        <a:srgbClr val="EDF5F7"/>
      </a:lt2>
      <a:accent1>
        <a:srgbClr val="4098A4"/>
      </a:accent1>
      <a:accent2>
        <a:srgbClr val="80BAC3"/>
      </a:accent2>
      <a:accent3>
        <a:srgbClr val="BFDDE1"/>
      </a:accent3>
      <a:accent4>
        <a:srgbClr val="404050"/>
      </a:accent4>
      <a:accent5>
        <a:srgbClr val="80808B"/>
      </a:accent5>
      <a:accent6>
        <a:srgbClr val="CCCCD0"/>
      </a:accent6>
      <a:hlink>
        <a:srgbClr val="000000"/>
      </a:hlink>
      <a:folHlink>
        <a:srgbClr val="007586"/>
      </a:folHlink>
    </a:clrScheme>
    <a:fontScheme name="Arial">
      <a:majorFont>
        <a:latin typeface="Arial" panose="020F0302020204030204"/>
        <a:ea typeface="Arial"/>
        <a:cs typeface="Arial"/>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F0502020204030204"/>
        <a:ea typeface="Arial"/>
        <a:cs typeface="Arial"/>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16B206-5FA9-4703-BD88-4F9C7E3D9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no image.dotx</Template>
  <TotalTime>1</TotalTime>
  <Pages>30</Pages>
  <Words>5373</Words>
  <Characters>30628</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Supporting patient safety</vt:lpstr>
    </vt:vector>
  </TitlesOfParts>
  <Company>Department of Treasury and Finance</Company>
  <LinksUpToDate>false</LinksUpToDate>
  <CharactersWithSpaces>35930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patient safety</dc:title>
  <dc:subject/>
  <dc:creator>Emma D Gumbleton (DHHS)</dc:creator>
  <cp:keywords/>
  <dc:description/>
  <cp:lastModifiedBy>Emma D Gumbleton (DHHS)</cp:lastModifiedBy>
  <cp:revision>4</cp:revision>
  <cp:lastPrinted>2019-01-08T06:35:00Z</cp:lastPrinted>
  <dcterms:created xsi:type="dcterms:W3CDTF">2019-01-03T02:19:00Z</dcterms:created>
  <dcterms:modified xsi:type="dcterms:W3CDTF">2019-01-08T06:35:00Z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346754aa-f64f-4676-8998-5678c96f0a97</vt:lpwstr>
  </property>
  <property fmtid="{D5CDD505-2E9C-101B-9397-08002B2CF9AE}" pid="3" name="PSPFClassification">
    <vt:lpwstr>Do Not Mark</vt:lpwstr>
  </property>
</Properties>
</file>