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VIC SemiBold" w:eastAsiaTheme="majorEastAsia" w:hAnsi="VIC SemiBold" w:cstheme="majorBidi"/>
          <w:bCs/>
          <w:color w:val="004EA8"/>
          <w:spacing w:val="-1"/>
          <w:sz w:val="40"/>
          <w:szCs w:val="28"/>
        </w:rPr>
        <w:alias w:val="Title"/>
        <w:tag w:val=""/>
        <w:id w:val="-1540807229"/>
        <w:placeholder>
          <w:docPart w:val="7C1432ADE2CE4C1AB5A7E612D8A6592A"/>
        </w:placeholder>
        <w:dataBinding w:prefixMappings="xmlns:ns0='http://purl.org/dc/elements/1.1/' xmlns:ns1='http://schemas.openxmlformats.org/package/2006/metadata/core-properties' " w:xpath="/ns1:coreProperties[1]/ns0:title[1]" w:storeItemID="{6C3C8BC8-F283-45AE-878A-BAB7291924A1}"/>
        <w:text/>
      </w:sdtPr>
      <w:sdtEndPr/>
      <w:sdtContent>
        <w:p w:rsidR="00E131C8" w:rsidRPr="009B0656" w:rsidRDefault="00727ECC" w:rsidP="001F3F3C">
          <w:pPr>
            <w:pStyle w:val="Title"/>
            <w:rPr>
              <w:color w:val="004EA8"/>
            </w:rPr>
          </w:pPr>
          <w:r w:rsidRPr="00727ECC">
            <w:rPr>
              <w:rFonts w:ascii="VIC SemiBold" w:eastAsiaTheme="majorEastAsia" w:hAnsi="VIC SemiBold" w:cstheme="majorBidi"/>
              <w:bCs/>
              <w:color w:val="004EA8"/>
              <w:spacing w:val="-1"/>
              <w:sz w:val="40"/>
              <w:szCs w:val="28"/>
            </w:rPr>
            <w:t xml:space="preserve">Communique </w:t>
          </w:r>
          <w:r>
            <w:rPr>
              <w:rFonts w:ascii="VIC SemiBold" w:eastAsiaTheme="majorEastAsia" w:hAnsi="VIC SemiBold" w:cstheme="majorBidi"/>
              <w:bCs/>
              <w:color w:val="004EA8"/>
              <w:spacing w:val="-1"/>
              <w:sz w:val="40"/>
              <w:szCs w:val="28"/>
            </w:rPr>
            <w:t xml:space="preserve">| </w:t>
          </w:r>
          <w:r w:rsidRPr="00727ECC">
            <w:rPr>
              <w:rFonts w:ascii="VIC SemiBold" w:eastAsiaTheme="majorEastAsia" w:hAnsi="VIC SemiBold" w:cstheme="majorBidi"/>
              <w:bCs/>
              <w:color w:val="004EA8"/>
              <w:spacing w:val="-1"/>
              <w:sz w:val="40"/>
              <w:szCs w:val="28"/>
            </w:rPr>
            <w:t>Meeting 1 2019</w:t>
          </w:r>
        </w:p>
      </w:sdtContent>
    </w:sdt>
    <w:p w:rsidR="006809F6" w:rsidRDefault="006809F6" w:rsidP="000905F7">
      <w:pPr>
        <w:pStyle w:val="Normalfollowingheading"/>
        <w:rPr>
          <w:rFonts w:ascii="VIC" w:hAnsi="VIC"/>
        </w:rPr>
      </w:pPr>
      <w:r>
        <w:rPr>
          <w:rFonts w:ascii="VIC" w:hAnsi="VIC"/>
        </w:rPr>
        <w:t xml:space="preserve">The Victorian Clinical Council (the council) met on Thursday 21 March 2019 to discuss communicating for safety. </w:t>
      </w:r>
    </w:p>
    <w:p w:rsidR="006809F6" w:rsidRDefault="006809F6" w:rsidP="000905F7">
      <w:pPr>
        <w:pStyle w:val="Normalfollowingheading"/>
        <w:rPr>
          <w:rFonts w:ascii="VIC" w:hAnsi="VIC"/>
        </w:rPr>
      </w:pPr>
      <w:r>
        <w:rPr>
          <w:rFonts w:ascii="VIC" w:hAnsi="VIC"/>
        </w:rPr>
        <w:t>In the morning we heard from Kym Peake</w:t>
      </w:r>
      <w:r w:rsidR="003F5933">
        <w:rPr>
          <w:rFonts w:ascii="VIC" w:hAnsi="VIC"/>
        </w:rPr>
        <w:t xml:space="preserve"> Secretary of the Department of Health and Human Services</w:t>
      </w:r>
      <w:r>
        <w:rPr>
          <w:rFonts w:ascii="VIC" w:hAnsi="VIC"/>
        </w:rPr>
        <w:t xml:space="preserve">, Terry Symonds </w:t>
      </w:r>
      <w:r w:rsidR="003F5933">
        <w:rPr>
          <w:rFonts w:ascii="VIC" w:hAnsi="VIC"/>
        </w:rPr>
        <w:t xml:space="preserve">Deputy Secretary Health and Wellbeing, </w:t>
      </w:r>
      <w:r>
        <w:rPr>
          <w:rFonts w:ascii="VIC" w:hAnsi="VIC"/>
        </w:rPr>
        <w:t>and Lance Emerson</w:t>
      </w:r>
      <w:r w:rsidR="003F5933">
        <w:rPr>
          <w:rFonts w:ascii="VIC" w:hAnsi="VIC"/>
        </w:rPr>
        <w:t xml:space="preserve"> </w:t>
      </w:r>
      <w:r w:rsidR="003F5933" w:rsidRPr="003F5933">
        <w:rPr>
          <w:rFonts w:ascii="VIC" w:hAnsi="VIC"/>
        </w:rPr>
        <w:t>CEO Victorian Agency for Health Information</w:t>
      </w:r>
      <w:r>
        <w:rPr>
          <w:rFonts w:ascii="VIC" w:hAnsi="VIC"/>
        </w:rPr>
        <w:t>.</w:t>
      </w:r>
      <w:r w:rsidR="003F5933">
        <w:rPr>
          <w:rFonts w:ascii="VIC" w:hAnsi="VIC"/>
        </w:rPr>
        <w:t xml:space="preserve"> They provided feedback on previous council advice and updates on current activities. </w:t>
      </w:r>
    </w:p>
    <w:p w:rsidR="00DF2454" w:rsidRPr="007459E7" w:rsidRDefault="00DF2454" w:rsidP="00DF2454">
      <w:pPr>
        <w:pStyle w:val="Normalfollowingheading"/>
        <w:rPr>
          <w:rFonts w:ascii="VIC" w:hAnsi="VIC"/>
        </w:rPr>
      </w:pPr>
      <w:r w:rsidRPr="007459E7">
        <w:rPr>
          <w:rFonts w:ascii="VIC" w:hAnsi="VIC"/>
        </w:rPr>
        <w:t xml:space="preserve">Terry spoke about recent advice </w:t>
      </w:r>
      <w:r w:rsidR="00F044F8">
        <w:rPr>
          <w:rFonts w:ascii="VIC" w:hAnsi="VIC"/>
        </w:rPr>
        <w:t>on</w:t>
      </w:r>
      <w:r w:rsidR="00F044F8" w:rsidRPr="007459E7">
        <w:rPr>
          <w:rFonts w:ascii="VIC" w:hAnsi="VIC"/>
        </w:rPr>
        <w:t xml:space="preserve"> </w:t>
      </w:r>
      <w:r w:rsidRPr="007459E7">
        <w:rPr>
          <w:rFonts w:ascii="VIC" w:hAnsi="VIC"/>
        </w:rPr>
        <w:t>cultural safety and diversity</w:t>
      </w:r>
      <w:r>
        <w:rPr>
          <w:rFonts w:ascii="VIC" w:hAnsi="VIC"/>
        </w:rPr>
        <w:t xml:space="preserve"> and</w:t>
      </w:r>
      <w:r w:rsidR="00F044F8">
        <w:rPr>
          <w:rFonts w:ascii="VIC" w:hAnsi="VIC"/>
        </w:rPr>
        <w:t xml:space="preserve"> the need for </w:t>
      </w:r>
      <w:r>
        <w:rPr>
          <w:rFonts w:ascii="VIC" w:hAnsi="VIC"/>
        </w:rPr>
        <w:t xml:space="preserve">further resources and funding for </w:t>
      </w:r>
      <w:proofErr w:type="gramStart"/>
      <w:r>
        <w:rPr>
          <w:rFonts w:ascii="VIC" w:hAnsi="VIC"/>
        </w:rPr>
        <w:t>particular activities</w:t>
      </w:r>
      <w:proofErr w:type="gramEnd"/>
      <w:r w:rsidR="00F044F8">
        <w:rPr>
          <w:rFonts w:ascii="VIC" w:hAnsi="VIC"/>
        </w:rPr>
        <w:t>,</w:t>
      </w:r>
      <w:r>
        <w:rPr>
          <w:rFonts w:ascii="VIC" w:hAnsi="VIC"/>
        </w:rPr>
        <w:t xml:space="preserve"> such as cultural safety training across the sector. </w:t>
      </w:r>
      <w:r w:rsidRPr="007459E7">
        <w:rPr>
          <w:rFonts w:ascii="VIC" w:hAnsi="VIC"/>
        </w:rPr>
        <w:t>He noted that the department is well equipped to help strengthen the governance of specific requirements and programs around cultural safety and diversity with the boards of our healthcare organisations.</w:t>
      </w:r>
    </w:p>
    <w:p w:rsidR="00DF2454" w:rsidRPr="007459E7" w:rsidRDefault="00DF2454" w:rsidP="00DF2454">
      <w:pPr>
        <w:pStyle w:val="Normalfollowingheading"/>
        <w:rPr>
          <w:rFonts w:ascii="VIC" w:hAnsi="VIC"/>
        </w:rPr>
      </w:pPr>
      <w:r w:rsidRPr="007459E7">
        <w:rPr>
          <w:rFonts w:ascii="VIC" w:hAnsi="VIC"/>
        </w:rPr>
        <w:t xml:space="preserve">He also spoke about the department’s response to the advice </w:t>
      </w:r>
      <w:r w:rsidR="00F044F8">
        <w:rPr>
          <w:rFonts w:ascii="VIC" w:hAnsi="VIC"/>
        </w:rPr>
        <w:t>on</w:t>
      </w:r>
      <w:r w:rsidRPr="007459E7">
        <w:rPr>
          <w:rFonts w:ascii="VIC" w:hAnsi="VIC"/>
        </w:rPr>
        <w:t xml:space="preserve"> ‘Integration of care and value-based healthcare’</w:t>
      </w:r>
      <w:r w:rsidR="00F044F8">
        <w:rPr>
          <w:rFonts w:ascii="VIC" w:hAnsi="VIC"/>
        </w:rPr>
        <w:t>.</w:t>
      </w:r>
      <w:r w:rsidR="00DE2C13">
        <w:rPr>
          <w:rFonts w:ascii="VIC" w:hAnsi="VIC"/>
        </w:rPr>
        <w:t xml:space="preserve"> </w:t>
      </w:r>
      <w:r w:rsidR="00F044F8">
        <w:rPr>
          <w:rFonts w:ascii="VIC" w:hAnsi="VIC"/>
        </w:rPr>
        <w:t xml:space="preserve">Terry </w:t>
      </w:r>
      <w:r w:rsidRPr="007459E7">
        <w:rPr>
          <w:rFonts w:ascii="VIC" w:hAnsi="VIC"/>
        </w:rPr>
        <w:t xml:space="preserve">identified some key </w:t>
      </w:r>
      <w:r w:rsidR="00F044F8">
        <w:rPr>
          <w:rFonts w:ascii="VIC" w:hAnsi="VIC"/>
        </w:rPr>
        <w:t>groups</w:t>
      </w:r>
      <w:r w:rsidR="00F044F8" w:rsidRPr="007459E7">
        <w:rPr>
          <w:rFonts w:ascii="VIC" w:hAnsi="VIC"/>
        </w:rPr>
        <w:t xml:space="preserve"> </w:t>
      </w:r>
      <w:r w:rsidRPr="007459E7">
        <w:rPr>
          <w:rFonts w:ascii="VIC" w:hAnsi="VIC"/>
        </w:rPr>
        <w:t xml:space="preserve">that would benefit from improvements in integration of care including children and families, those with chronic disease and the frail elderly. </w:t>
      </w:r>
    </w:p>
    <w:p w:rsidR="00F044F8" w:rsidRDefault="00DF2454" w:rsidP="00DF2454">
      <w:pPr>
        <w:spacing w:line="276" w:lineRule="auto"/>
        <w:rPr>
          <w:rFonts w:ascii="VIC" w:hAnsi="VIC"/>
        </w:rPr>
      </w:pPr>
      <w:r w:rsidRPr="007459E7">
        <w:rPr>
          <w:rFonts w:ascii="VIC" w:hAnsi="VIC"/>
        </w:rPr>
        <w:t xml:space="preserve">Lance </w:t>
      </w:r>
      <w:r w:rsidR="00F044F8">
        <w:rPr>
          <w:rFonts w:ascii="VIC" w:hAnsi="VIC"/>
        </w:rPr>
        <w:t xml:space="preserve">gave </w:t>
      </w:r>
      <w:r>
        <w:rPr>
          <w:rFonts w:ascii="VIC" w:hAnsi="VIC"/>
        </w:rPr>
        <w:t>an update</w:t>
      </w:r>
      <w:r w:rsidRPr="007459E7">
        <w:rPr>
          <w:rFonts w:ascii="VIC" w:hAnsi="VIC"/>
        </w:rPr>
        <w:t xml:space="preserve"> on</w:t>
      </w:r>
      <w:r>
        <w:rPr>
          <w:rFonts w:ascii="VIC" w:hAnsi="VIC"/>
        </w:rPr>
        <w:t xml:space="preserve"> the Victorian </w:t>
      </w:r>
      <w:r w:rsidR="00F044F8">
        <w:rPr>
          <w:rFonts w:ascii="VIC" w:hAnsi="VIC"/>
        </w:rPr>
        <w:t xml:space="preserve">Agency for </w:t>
      </w:r>
      <w:r>
        <w:rPr>
          <w:rFonts w:ascii="VIC" w:hAnsi="VIC"/>
        </w:rPr>
        <w:t>Health Information</w:t>
      </w:r>
      <w:r w:rsidR="00F044F8">
        <w:rPr>
          <w:rFonts w:ascii="VIC" w:hAnsi="VIC"/>
        </w:rPr>
        <w:t>’s</w:t>
      </w:r>
      <w:r>
        <w:rPr>
          <w:rFonts w:ascii="VIC" w:hAnsi="VIC"/>
        </w:rPr>
        <w:t xml:space="preserve"> (VAHI)</w:t>
      </w:r>
      <w:r w:rsidRPr="007459E7">
        <w:rPr>
          <w:rFonts w:ascii="VIC" w:hAnsi="VIC"/>
        </w:rPr>
        <w:t xml:space="preserve"> </w:t>
      </w:r>
      <w:r>
        <w:rPr>
          <w:rFonts w:ascii="VIC" w:hAnsi="VIC"/>
        </w:rPr>
        <w:t xml:space="preserve">key actions in response to the council’s </w:t>
      </w:r>
      <w:r w:rsidRPr="007459E7">
        <w:rPr>
          <w:rFonts w:ascii="VIC" w:hAnsi="VIC"/>
        </w:rPr>
        <w:t>variation in care recommendation</w:t>
      </w:r>
      <w:r>
        <w:rPr>
          <w:rFonts w:ascii="VIC" w:hAnsi="VIC"/>
        </w:rPr>
        <w:t>s</w:t>
      </w:r>
      <w:r w:rsidR="00F044F8">
        <w:rPr>
          <w:rFonts w:ascii="VIC" w:hAnsi="VIC"/>
        </w:rPr>
        <w:t>. This</w:t>
      </w:r>
      <w:r w:rsidR="00036152">
        <w:rPr>
          <w:rFonts w:ascii="VIC" w:hAnsi="VIC"/>
        </w:rPr>
        <w:t xml:space="preserve"> </w:t>
      </w:r>
      <w:r w:rsidR="00F044F8">
        <w:rPr>
          <w:rFonts w:ascii="VIC" w:hAnsi="VIC"/>
        </w:rPr>
        <w:t>includes:</w:t>
      </w:r>
    </w:p>
    <w:p w:rsidR="00F044F8" w:rsidRPr="00F044F8" w:rsidRDefault="00DF2454" w:rsidP="00F044F8">
      <w:pPr>
        <w:pStyle w:val="Bullet1"/>
        <w:rPr>
          <w:rFonts w:ascii="VIC" w:hAnsi="VIC"/>
        </w:rPr>
      </w:pPr>
      <w:r w:rsidRPr="00F044F8">
        <w:rPr>
          <w:rFonts w:ascii="VIC" w:hAnsi="VIC"/>
        </w:rPr>
        <w:t>the development of the VAHI interactive data portal (VHSP)</w:t>
      </w:r>
    </w:p>
    <w:p w:rsidR="00F044F8" w:rsidRPr="00F044F8" w:rsidRDefault="00DF2454" w:rsidP="00F044F8">
      <w:pPr>
        <w:pStyle w:val="Bullet1"/>
        <w:rPr>
          <w:rFonts w:ascii="VIC" w:hAnsi="VIC"/>
        </w:rPr>
      </w:pPr>
      <w:r w:rsidRPr="00F044F8">
        <w:rPr>
          <w:rFonts w:ascii="VIC" w:hAnsi="VIC"/>
        </w:rPr>
        <w:t>the development of a minimum set of agreed indicators</w:t>
      </w:r>
    </w:p>
    <w:p w:rsidR="00F044F8" w:rsidRPr="00F044F8" w:rsidRDefault="00036152" w:rsidP="00F044F8">
      <w:pPr>
        <w:pStyle w:val="Bullet1"/>
        <w:rPr>
          <w:rFonts w:ascii="VIC" w:hAnsi="VIC"/>
        </w:rPr>
      </w:pPr>
      <w:r w:rsidRPr="00F044F8">
        <w:rPr>
          <w:rFonts w:ascii="VIC" w:hAnsi="VIC"/>
        </w:rPr>
        <w:t xml:space="preserve">accessing </w:t>
      </w:r>
      <w:r w:rsidR="00DF2454" w:rsidRPr="00F044F8">
        <w:rPr>
          <w:rFonts w:ascii="VIC" w:hAnsi="VIC"/>
        </w:rPr>
        <w:t>data registry data</w:t>
      </w:r>
    </w:p>
    <w:p w:rsidR="00DF2454" w:rsidRPr="00F044F8" w:rsidRDefault="00DF2454" w:rsidP="00A50159">
      <w:pPr>
        <w:pStyle w:val="Bullet1"/>
        <w:rPr>
          <w:rFonts w:ascii="VIC" w:hAnsi="VIC"/>
        </w:rPr>
      </w:pPr>
      <w:r w:rsidRPr="00F044F8">
        <w:rPr>
          <w:rFonts w:ascii="VIC" w:hAnsi="VIC"/>
        </w:rPr>
        <w:t>the development of a public reporting process.</w:t>
      </w:r>
    </w:p>
    <w:p w:rsidR="00D270C6" w:rsidRDefault="00F044F8" w:rsidP="00D270C6">
      <w:pPr>
        <w:rPr>
          <w:rFonts w:ascii="VIC" w:hAnsi="VIC"/>
        </w:rPr>
      </w:pPr>
      <w:r>
        <w:rPr>
          <w:rFonts w:ascii="VIC" w:hAnsi="VIC"/>
        </w:rPr>
        <w:t xml:space="preserve">The </w:t>
      </w:r>
      <w:r w:rsidR="00D270C6">
        <w:rPr>
          <w:rFonts w:ascii="VIC" w:hAnsi="VIC"/>
        </w:rPr>
        <w:t xml:space="preserve">meeting coincided with </w:t>
      </w:r>
      <w:r>
        <w:rPr>
          <w:rFonts w:ascii="VIC" w:hAnsi="VIC"/>
        </w:rPr>
        <w:t>n</w:t>
      </w:r>
      <w:r w:rsidRPr="00D270C6">
        <w:rPr>
          <w:rFonts w:ascii="VIC" w:hAnsi="VIC"/>
        </w:rPr>
        <w:t xml:space="preserve">ational </w:t>
      </w:r>
      <w:r w:rsidR="00D270C6" w:rsidRPr="00D270C6">
        <w:rPr>
          <w:rFonts w:ascii="VIC" w:hAnsi="VIC"/>
        </w:rPr>
        <w:t>Close the Gap day</w:t>
      </w:r>
      <w:r>
        <w:rPr>
          <w:rFonts w:ascii="VIC" w:hAnsi="VIC"/>
        </w:rPr>
        <w:t xml:space="preserve"> and</w:t>
      </w:r>
      <w:r w:rsidR="00D270C6">
        <w:rPr>
          <w:rFonts w:ascii="VIC" w:hAnsi="VIC"/>
        </w:rPr>
        <w:t xml:space="preserve"> Kym invited the council </w:t>
      </w:r>
      <w:r w:rsidR="00D270C6" w:rsidRPr="00D270C6">
        <w:rPr>
          <w:rFonts w:ascii="VIC" w:hAnsi="VIC"/>
        </w:rPr>
        <w:t xml:space="preserve">to </w:t>
      </w:r>
      <w:r w:rsidR="00036152">
        <w:rPr>
          <w:rFonts w:ascii="VIC" w:hAnsi="VIC"/>
        </w:rPr>
        <w:t xml:space="preserve">use this opportunity to </w:t>
      </w:r>
      <w:r w:rsidR="00D270C6" w:rsidRPr="00D270C6">
        <w:rPr>
          <w:rFonts w:ascii="VIC" w:hAnsi="VIC"/>
        </w:rPr>
        <w:t xml:space="preserve">reflect on </w:t>
      </w:r>
      <w:r w:rsidR="00DF2454">
        <w:rPr>
          <w:rFonts w:ascii="VIC" w:hAnsi="VIC"/>
        </w:rPr>
        <w:t>how to</w:t>
      </w:r>
      <w:r w:rsidR="00D270C6" w:rsidRPr="00D270C6">
        <w:rPr>
          <w:rFonts w:ascii="VIC" w:hAnsi="VIC"/>
        </w:rPr>
        <w:t xml:space="preserve"> impro</w:t>
      </w:r>
      <w:r w:rsidR="00DF2454">
        <w:rPr>
          <w:rFonts w:ascii="VIC" w:hAnsi="VIC"/>
        </w:rPr>
        <w:t>ve</w:t>
      </w:r>
      <w:r w:rsidR="00D270C6" w:rsidRPr="00D270C6">
        <w:rPr>
          <w:rFonts w:ascii="VIC" w:hAnsi="VIC"/>
        </w:rPr>
        <w:t xml:space="preserve"> health outcomes for Aboriginal and Torres Strait Islander Australians</w:t>
      </w:r>
      <w:r w:rsidR="00DF2454">
        <w:rPr>
          <w:rFonts w:ascii="VIC" w:hAnsi="VIC"/>
        </w:rPr>
        <w:t>.</w:t>
      </w:r>
    </w:p>
    <w:p w:rsidR="0079634E" w:rsidRDefault="0079634E" w:rsidP="0079634E">
      <w:pPr>
        <w:pStyle w:val="Normalfollowingheading"/>
        <w:rPr>
          <w:rFonts w:ascii="VIC" w:hAnsi="VIC"/>
        </w:rPr>
      </w:pPr>
      <w:r w:rsidRPr="0079634E">
        <w:rPr>
          <w:rFonts w:ascii="VIC" w:hAnsi="VIC"/>
        </w:rPr>
        <w:t xml:space="preserve">Kym provided an overview of the key priorities </w:t>
      </w:r>
      <w:r w:rsidR="00F044F8">
        <w:rPr>
          <w:rFonts w:ascii="VIC" w:hAnsi="VIC"/>
        </w:rPr>
        <w:t>for</w:t>
      </w:r>
      <w:r w:rsidR="00F044F8" w:rsidRPr="0079634E">
        <w:rPr>
          <w:rFonts w:ascii="VIC" w:hAnsi="VIC"/>
        </w:rPr>
        <w:t xml:space="preserve"> </w:t>
      </w:r>
      <w:r w:rsidRPr="0079634E">
        <w:rPr>
          <w:rFonts w:ascii="VIC" w:hAnsi="VIC"/>
        </w:rPr>
        <w:t>the incoming government and the Minister’s commitment to real reform in the health sector</w:t>
      </w:r>
      <w:r w:rsidR="00D81693">
        <w:rPr>
          <w:rFonts w:ascii="VIC" w:hAnsi="VIC"/>
        </w:rPr>
        <w:t>,</w:t>
      </w:r>
      <w:r w:rsidRPr="0079634E">
        <w:rPr>
          <w:rFonts w:ascii="VIC" w:hAnsi="VIC"/>
        </w:rPr>
        <w:t xml:space="preserve"> noting the important role that council will play in informing</w:t>
      </w:r>
      <w:r w:rsidR="00D81693">
        <w:rPr>
          <w:rFonts w:ascii="VIC" w:hAnsi="VIC"/>
        </w:rPr>
        <w:t xml:space="preserve"> this</w:t>
      </w:r>
      <w:r w:rsidR="00052AB6">
        <w:rPr>
          <w:rFonts w:ascii="VIC" w:hAnsi="VIC"/>
        </w:rPr>
        <w:t>.</w:t>
      </w:r>
      <w:r w:rsidRPr="0079634E">
        <w:rPr>
          <w:rFonts w:ascii="VIC" w:hAnsi="VIC"/>
        </w:rPr>
        <w:t xml:space="preserve"> </w:t>
      </w:r>
      <w:r w:rsidR="00F044F8">
        <w:rPr>
          <w:rFonts w:ascii="VIC" w:hAnsi="VIC"/>
        </w:rPr>
        <w:t>E</w:t>
      </w:r>
      <w:r w:rsidR="00F044F8" w:rsidRPr="0079634E">
        <w:rPr>
          <w:rFonts w:ascii="VIC" w:hAnsi="VIC"/>
        </w:rPr>
        <w:t xml:space="preserve">merging </w:t>
      </w:r>
      <w:r w:rsidRPr="0079634E">
        <w:rPr>
          <w:rFonts w:ascii="VIC" w:hAnsi="VIC"/>
        </w:rPr>
        <w:t>directions for the new term include a stronger emphasis on prevention and early intervention and a greater focus on the health of children and young people.</w:t>
      </w:r>
      <w:r w:rsidR="00DF2454">
        <w:rPr>
          <w:rFonts w:ascii="VIC" w:hAnsi="VIC"/>
        </w:rPr>
        <w:t xml:space="preserve"> She also </w:t>
      </w:r>
      <w:r w:rsidR="00F044F8">
        <w:rPr>
          <w:rFonts w:ascii="VIC" w:hAnsi="VIC"/>
        </w:rPr>
        <w:t xml:space="preserve">spoke about </w:t>
      </w:r>
      <w:r w:rsidR="00DF2454">
        <w:rPr>
          <w:rFonts w:ascii="VIC" w:hAnsi="VIC"/>
        </w:rPr>
        <w:t xml:space="preserve">the </w:t>
      </w:r>
      <w:r w:rsidR="00DF2454" w:rsidRPr="00DF2454">
        <w:rPr>
          <w:rFonts w:ascii="VIC" w:hAnsi="VIC"/>
        </w:rPr>
        <w:t>Royal Commission into Victoria’s Mental Health System.</w:t>
      </w:r>
    </w:p>
    <w:p w:rsidR="0079634E" w:rsidRPr="007722EA" w:rsidRDefault="0079634E" w:rsidP="0079634E">
      <w:pPr>
        <w:spacing w:line="276" w:lineRule="auto"/>
        <w:rPr>
          <w:rFonts w:ascii="VIC" w:hAnsi="VIC" w:cstheme="minorHAnsi"/>
          <w:szCs w:val="22"/>
        </w:rPr>
      </w:pPr>
      <w:r>
        <w:rPr>
          <w:rFonts w:ascii="VIC" w:hAnsi="VIC"/>
        </w:rPr>
        <w:t xml:space="preserve">Kym encouraged council members </w:t>
      </w:r>
      <w:r w:rsidRPr="007722EA">
        <w:rPr>
          <w:rFonts w:ascii="VIC" w:hAnsi="VIC" w:cstheme="minorHAnsi"/>
          <w:szCs w:val="22"/>
        </w:rPr>
        <w:t>to consider</w:t>
      </w:r>
      <w:r>
        <w:rPr>
          <w:rFonts w:ascii="VIC" w:hAnsi="VIC" w:cstheme="minorHAnsi"/>
          <w:szCs w:val="22"/>
        </w:rPr>
        <w:t xml:space="preserve"> the following in their </w:t>
      </w:r>
      <w:r w:rsidR="00F044F8">
        <w:rPr>
          <w:rFonts w:ascii="VIC" w:hAnsi="VIC" w:cstheme="minorHAnsi"/>
          <w:szCs w:val="22"/>
        </w:rPr>
        <w:t>discussions</w:t>
      </w:r>
      <w:r>
        <w:rPr>
          <w:rFonts w:ascii="VIC" w:hAnsi="VIC" w:cstheme="minorHAnsi"/>
          <w:szCs w:val="22"/>
        </w:rPr>
        <w:t xml:space="preserve"> about communicating for safety</w:t>
      </w:r>
      <w:r w:rsidRPr="007722EA">
        <w:rPr>
          <w:rFonts w:ascii="VIC" w:hAnsi="VIC" w:cstheme="minorHAnsi"/>
          <w:szCs w:val="22"/>
        </w:rPr>
        <w:t>:</w:t>
      </w:r>
    </w:p>
    <w:p w:rsidR="0079634E" w:rsidRPr="00976686" w:rsidRDefault="00F044F8" w:rsidP="00976686">
      <w:pPr>
        <w:pStyle w:val="Bullet1"/>
        <w:rPr>
          <w:rFonts w:ascii="VIC" w:hAnsi="VIC"/>
        </w:rPr>
      </w:pPr>
      <w:r>
        <w:rPr>
          <w:rFonts w:ascii="VIC" w:hAnsi="VIC"/>
        </w:rPr>
        <w:t>s</w:t>
      </w:r>
      <w:r w:rsidRPr="00976686">
        <w:rPr>
          <w:rFonts w:ascii="VIC" w:hAnsi="VIC"/>
        </w:rPr>
        <w:t xml:space="preserve">trengthening </w:t>
      </w:r>
      <w:r w:rsidR="0079634E" w:rsidRPr="00976686">
        <w:rPr>
          <w:rFonts w:ascii="VIC" w:hAnsi="VIC"/>
        </w:rPr>
        <w:t>the safety, quality, performance and design of our systems</w:t>
      </w:r>
    </w:p>
    <w:p w:rsidR="0079634E" w:rsidRPr="00976686" w:rsidRDefault="00F044F8" w:rsidP="00976686">
      <w:pPr>
        <w:pStyle w:val="Bullet1"/>
        <w:rPr>
          <w:rFonts w:ascii="VIC" w:hAnsi="VIC"/>
        </w:rPr>
      </w:pPr>
      <w:r>
        <w:rPr>
          <w:rFonts w:ascii="VIC" w:hAnsi="VIC"/>
        </w:rPr>
        <w:t>h</w:t>
      </w:r>
      <w:r w:rsidRPr="00976686">
        <w:rPr>
          <w:rFonts w:ascii="VIC" w:hAnsi="VIC"/>
        </w:rPr>
        <w:t xml:space="preserve">ow </w:t>
      </w:r>
      <w:r w:rsidR="0079634E" w:rsidRPr="00976686">
        <w:rPr>
          <w:rFonts w:ascii="VIC" w:hAnsi="VIC"/>
        </w:rPr>
        <w:t>we embrace our patients, clients as partners in their own care – particularly vulnerable people</w:t>
      </w:r>
    </w:p>
    <w:p w:rsidR="0079634E" w:rsidRPr="00976686" w:rsidRDefault="00F044F8" w:rsidP="00976686">
      <w:pPr>
        <w:pStyle w:val="Bullet1"/>
        <w:rPr>
          <w:rFonts w:ascii="VIC" w:hAnsi="VIC"/>
        </w:rPr>
      </w:pPr>
      <w:r>
        <w:rPr>
          <w:rFonts w:ascii="VIC" w:hAnsi="VIC"/>
        </w:rPr>
        <w:t>h</w:t>
      </w:r>
      <w:r w:rsidRPr="00976686">
        <w:rPr>
          <w:rFonts w:ascii="VIC" w:hAnsi="VIC"/>
        </w:rPr>
        <w:t xml:space="preserve">ow </w:t>
      </w:r>
      <w:r w:rsidR="0079634E" w:rsidRPr="00976686">
        <w:rPr>
          <w:rFonts w:ascii="VIC" w:hAnsi="VIC"/>
        </w:rPr>
        <w:t>we equip our staff to deliver better outcomes and strengthen our internal systems that support them to do this</w:t>
      </w:r>
      <w:r>
        <w:rPr>
          <w:rFonts w:ascii="VIC" w:hAnsi="VIC"/>
        </w:rPr>
        <w:t>.</w:t>
      </w:r>
    </w:p>
    <w:p w:rsidR="006809F6" w:rsidRPr="00727ECC" w:rsidRDefault="006809F6" w:rsidP="006809F6">
      <w:pPr>
        <w:pStyle w:val="Heading2"/>
        <w:rPr>
          <w:rFonts w:ascii="VIC SemiBold" w:hAnsi="VIC SemiBold"/>
          <w:b w:val="0"/>
        </w:rPr>
      </w:pPr>
      <w:r w:rsidRPr="00727ECC">
        <w:rPr>
          <w:rFonts w:ascii="VIC SemiBold" w:hAnsi="VIC SemiBold"/>
          <w:b w:val="0"/>
        </w:rPr>
        <w:lastRenderedPageBreak/>
        <w:t>Communicating for safety</w:t>
      </w:r>
    </w:p>
    <w:p w:rsidR="006809F6" w:rsidRPr="00727ECC" w:rsidRDefault="00727ECC" w:rsidP="00727ECC">
      <w:pPr>
        <w:pStyle w:val="Heading3"/>
        <w:rPr>
          <w:rFonts w:ascii="VIC SemiBold" w:hAnsi="VIC SemiBold"/>
          <w:b w:val="0"/>
        </w:rPr>
      </w:pPr>
      <w:r>
        <w:rPr>
          <w:rFonts w:ascii="VIC SemiBold" w:hAnsi="VIC SemiBold"/>
          <w:b w:val="0"/>
        </w:rPr>
        <w:t>P</w:t>
      </w:r>
      <w:r w:rsidR="006809F6" w:rsidRPr="00727ECC">
        <w:rPr>
          <w:rFonts w:ascii="VIC SemiBold" w:hAnsi="VIC SemiBold"/>
          <w:b w:val="0"/>
        </w:rPr>
        <w:t>urpose</w:t>
      </w:r>
    </w:p>
    <w:p w:rsidR="006809F6" w:rsidRPr="006809F6" w:rsidRDefault="006809F6" w:rsidP="000905F7">
      <w:pPr>
        <w:pStyle w:val="Normalfollowingheading"/>
        <w:rPr>
          <w:rFonts w:ascii="VIC" w:hAnsi="VIC"/>
        </w:rPr>
      </w:pPr>
      <w:r w:rsidRPr="006809F6">
        <w:rPr>
          <w:rFonts w:ascii="VIC" w:hAnsi="VIC"/>
        </w:rPr>
        <w:t>The purpose of this meeting was to:</w:t>
      </w:r>
    </w:p>
    <w:p w:rsidR="006809F6" w:rsidRPr="006809F6" w:rsidRDefault="006809F6" w:rsidP="006809F6">
      <w:pPr>
        <w:pStyle w:val="Bullet1"/>
        <w:rPr>
          <w:rFonts w:ascii="VIC" w:hAnsi="VIC"/>
        </w:rPr>
      </w:pPr>
      <w:r w:rsidRPr="006809F6">
        <w:rPr>
          <w:rFonts w:ascii="VIC" w:hAnsi="VIC"/>
        </w:rPr>
        <w:t>provide members with an update regarding implementation of previous advice</w:t>
      </w:r>
    </w:p>
    <w:p w:rsidR="006809F6" w:rsidRPr="006809F6" w:rsidRDefault="006809F6" w:rsidP="006809F6">
      <w:pPr>
        <w:pStyle w:val="Bullet1"/>
        <w:rPr>
          <w:rFonts w:ascii="VIC" w:hAnsi="VIC"/>
        </w:rPr>
      </w:pPr>
      <w:r w:rsidRPr="006809F6">
        <w:rPr>
          <w:rFonts w:ascii="VIC" w:hAnsi="VIC"/>
        </w:rPr>
        <w:t>change the culture of communication within the health sector to improve patient safety by</w:t>
      </w:r>
    </w:p>
    <w:p w:rsidR="006809F6" w:rsidRPr="006809F6" w:rsidRDefault="006809F6" w:rsidP="006809F6">
      <w:pPr>
        <w:pStyle w:val="Bullet2"/>
        <w:rPr>
          <w:rFonts w:ascii="VIC" w:hAnsi="VIC"/>
        </w:rPr>
      </w:pPr>
      <w:r w:rsidRPr="006809F6">
        <w:rPr>
          <w:rFonts w:ascii="VIC" w:hAnsi="VIC"/>
        </w:rPr>
        <w:t>advising on changing communication to meet the needs of the consumer</w:t>
      </w:r>
    </w:p>
    <w:p w:rsidR="006809F6" w:rsidRPr="006809F6" w:rsidRDefault="006809F6" w:rsidP="006809F6">
      <w:pPr>
        <w:pStyle w:val="Bullet2"/>
        <w:rPr>
          <w:rFonts w:ascii="VIC" w:hAnsi="VIC"/>
        </w:rPr>
      </w:pPr>
      <w:r w:rsidRPr="006809F6">
        <w:rPr>
          <w:rFonts w:ascii="VIC" w:hAnsi="VIC"/>
        </w:rPr>
        <w:t>advising on changing how clinicians communicate with each other</w:t>
      </w:r>
      <w:r w:rsidR="00F044F8">
        <w:rPr>
          <w:rFonts w:ascii="VIC" w:hAnsi="VIC"/>
        </w:rPr>
        <w:t>.</w:t>
      </w:r>
    </w:p>
    <w:p w:rsidR="006809F6" w:rsidRPr="00727ECC" w:rsidRDefault="00727ECC" w:rsidP="00727ECC">
      <w:pPr>
        <w:pStyle w:val="Heading3"/>
        <w:rPr>
          <w:rFonts w:ascii="VIC SemiBold" w:hAnsi="VIC SemiBold"/>
          <w:b w:val="0"/>
        </w:rPr>
      </w:pPr>
      <w:r>
        <w:rPr>
          <w:rFonts w:ascii="VIC SemiBold" w:hAnsi="VIC SemiBold"/>
          <w:b w:val="0"/>
        </w:rPr>
        <w:t>D</w:t>
      </w:r>
      <w:r w:rsidR="006809F6" w:rsidRPr="00727ECC">
        <w:rPr>
          <w:rFonts w:ascii="VIC SemiBold" w:hAnsi="VIC SemiBold"/>
          <w:b w:val="0"/>
        </w:rPr>
        <w:t>iscussion</w:t>
      </w:r>
    </w:p>
    <w:p w:rsidR="006809F6" w:rsidRPr="006809F6" w:rsidRDefault="006809F6">
      <w:pPr>
        <w:rPr>
          <w:rFonts w:ascii="VIC" w:hAnsi="VIC"/>
        </w:rPr>
      </w:pPr>
      <w:r w:rsidRPr="006809F6">
        <w:rPr>
          <w:rFonts w:ascii="VIC" w:hAnsi="VIC"/>
        </w:rPr>
        <w:t xml:space="preserve">The council heard from </w:t>
      </w:r>
    </w:p>
    <w:p w:rsidR="000D0BD7" w:rsidRPr="00ED2E4E" w:rsidRDefault="000D0BD7" w:rsidP="000D0BD7">
      <w:pPr>
        <w:pStyle w:val="Bullet1"/>
        <w:numPr>
          <w:ilvl w:val="0"/>
          <w:numId w:val="8"/>
        </w:numPr>
        <w:rPr>
          <w:rFonts w:ascii="VIC" w:hAnsi="VIC"/>
        </w:rPr>
      </w:pPr>
      <w:r w:rsidRPr="00A50159">
        <w:rPr>
          <w:rFonts w:ascii="VIC SemiBold" w:hAnsi="VIC SemiBold"/>
        </w:rPr>
        <w:t>Hon John Olle</w:t>
      </w:r>
      <w:r w:rsidRPr="00CE0FDA">
        <w:rPr>
          <w:rFonts w:ascii="VIC" w:hAnsi="VIC"/>
        </w:rPr>
        <w:t>, Victorian State Coroner</w:t>
      </w:r>
    </w:p>
    <w:p w:rsidR="000D0BD7" w:rsidRDefault="000D0BD7" w:rsidP="000D0BD7">
      <w:pPr>
        <w:pStyle w:val="Bullet1"/>
        <w:numPr>
          <w:ilvl w:val="0"/>
          <w:numId w:val="8"/>
        </w:numPr>
        <w:rPr>
          <w:rFonts w:ascii="VIC" w:hAnsi="VIC"/>
        </w:rPr>
      </w:pPr>
      <w:r w:rsidRPr="00A50159">
        <w:rPr>
          <w:rFonts w:ascii="VIC SemiBold" w:hAnsi="VIC SemiBold"/>
        </w:rPr>
        <w:t>Prof Richard Osborne</w:t>
      </w:r>
      <w:r>
        <w:rPr>
          <w:rFonts w:ascii="VIC" w:hAnsi="VIC"/>
        </w:rPr>
        <w:t xml:space="preserve">, </w:t>
      </w:r>
      <w:r w:rsidRPr="00ED2E4E">
        <w:rPr>
          <w:rFonts w:ascii="VIC" w:hAnsi="VIC"/>
        </w:rPr>
        <w:t>Distinguished Professor of Health Sciences, Swinburne University</w:t>
      </w:r>
    </w:p>
    <w:p w:rsidR="000D0BD7" w:rsidRDefault="000D0BD7" w:rsidP="000D0BD7">
      <w:pPr>
        <w:pStyle w:val="Bullet1"/>
        <w:numPr>
          <w:ilvl w:val="0"/>
          <w:numId w:val="8"/>
        </w:numPr>
        <w:rPr>
          <w:rFonts w:ascii="VIC" w:hAnsi="VIC"/>
        </w:rPr>
      </w:pPr>
      <w:r w:rsidRPr="00A50159">
        <w:rPr>
          <w:rFonts w:ascii="VIC SemiBold" w:hAnsi="VIC SemiBold"/>
        </w:rPr>
        <w:t>Prof Harvey Newnham</w:t>
      </w:r>
      <w:r>
        <w:rPr>
          <w:rFonts w:ascii="VIC" w:hAnsi="VIC"/>
        </w:rPr>
        <w:t xml:space="preserve">, </w:t>
      </w:r>
      <w:r w:rsidRPr="00ED2E4E">
        <w:rPr>
          <w:rFonts w:ascii="VIC" w:hAnsi="VIC"/>
        </w:rPr>
        <w:t xml:space="preserve">Professor and Director of General Medicine, and Clinical Program Director of Emergency and Acute Medicine at Alfred Health </w:t>
      </w:r>
      <w:r w:rsidR="00F044F8">
        <w:rPr>
          <w:rFonts w:ascii="VIC" w:hAnsi="VIC"/>
        </w:rPr>
        <w:t>/</w:t>
      </w:r>
      <w:r w:rsidR="00F044F8" w:rsidRPr="00ED2E4E">
        <w:rPr>
          <w:rFonts w:ascii="VIC" w:hAnsi="VIC"/>
        </w:rPr>
        <w:t xml:space="preserve"> </w:t>
      </w:r>
      <w:r w:rsidRPr="00ED2E4E">
        <w:rPr>
          <w:rFonts w:ascii="VIC" w:hAnsi="VIC"/>
        </w:rPr>
        <w:t>Professor of General Medicine, Central Clinical School, Monash University.</w:t>
      </w:r>
    </w:p>
    <w:p w:rsidR="00AB5A0E" w:rsidRDefault="0099008A" w:rsidP="00036152">
      <w:pPr>
        <w:pStyle w:val="Normalfollowingheading"/>
        <w:spacing w:before="120"/>
        <w:rPr>
          <w:rFonts w:ascii="VIC" w:hAnsi="VIC"/>
        </w:rPr>
      </w:pPr>
      <w:r w:rsidRPr="00036152">
        <w:rPr>
          <w:rFonts w:ascii="VIC" w:hAnsi="VIC"/>
        </w:rPr>
        <w:t xml:space="preserve">John Olle spoke about the </w:t>
      </w:r>
      <w:r w:rsidR="001A4F3D" w:rsidRPr="00036152">
        <w:rPr>
          <w:rFonts w:ascii="VIC" w:hAnsi="VIC"/>
        </w:rPr>
        <w:t>coroner’s</w:t>
      </w:r>
      <w:r w:rsidRPr="00036152">
        <w:rPr>
          <w:rFonts w:ascii="VIC" w:hAnsi="VIC"/>
        </w:rPr>
        <w:t xml:space="preserve"> court perspective on the role of communication in adverse events in Victoria</w:t>
      </w:r>
      <w:r w:rsidR="00680C66" w:rsidRPr="00036152">
        <w:rPr>
          <w:rFonts w:ascii="VIC" w:hAnsi="VIC"/>
        </w:rPr>
        <w:t xml:space="preserve">. </w:t>
      </w:r>
      <w:r w:rsidR="00475218" w:rsidRPr="00036152">
        <w:rPr>
          <w:rFonts w:ascii="VIC" w:hAnsi="VIC"/>
        </w:rPr>
        <w:t>Providing</w:t>
      </w:r>
      <w:r w:rsidR="00680C66" w:rsidRPr="00036152">
        <w:rPr>
          <w:rFonts w:ascii="VIC" w:hAnsi="VIC"/>
        </w:rPr>
        <w:t xml:space="preserve"> a system</w:t>
      </w:r>
      <w:r w:rsidR="00475218" w:rsidRPr="00036152">
        <w:rPr>
          <w:rFonts w:ascii="VIC" w:hAnsi="VIC"/>
        </w:rPr>
        <w:t xml:space="preserve"> level</w:t>
      </w:r>
      <w:r w:rsidR="00680C66" w:rsidRPr="00036152">
        <w:rPr>
          <w:rFonts w:ascii="VIC" w:hAnsi="VIC"/>
        </w:rPr>
        <w:t xml:space="preserve"> perspective, John spoke about the need to have well designed communication systems </w:t>
      </w:r>
      <w:r w:rsidR="00F161DD" w:rsidRPr="00036152">
        <w:rPr>
          <w:rFonts w:ascii="VIC" w:hAnsi="VIC"/>
        </w:rPr>
        <w:t>including</w:t>
      </w:r>
      <w:r w:rsidR="00680C66" w:rsidRPr="00036152">
        <w:rPr>
          <w:rFonts w:ascii="VIC" w:hAnsi="VIC"/>
        </w:rPr>
        <w:t xml:space="preserve"> electronic medical record systems to support clinicians</w:t>
      </w:r>
      <w:r w:rsidR="0064433A" w:rsidRPr="00036152">
        <w:rPr>
          <w:rFonts w:ascii="VIC" w:hAnsi="VIC"/>
        </w:rPr>
        <w:t xml:space="preserve"> to</w:t>
      </w:r>
      <w:r w:rsidR="00680C66" w:rsidRPr="00036152">
        <w:rPr>
          <w:rFonts w:ascii="VIC" w:hAnsi="VIC"/>
        </w:rPr>
        <w:t xml:space="preserve"> provide safe care and avoid harm. He described</w:t>
      </w:r>
      <w:r w:rsidR="007C70BF" w:rsidRPr="00036152">
        <w:rPr>
          <w:rFonts w:ascii="VIC" w:hAnsi="VIC"/>
        </w:rPr>
        <w:t xml:space="preserve"> a well</w:t>
      </w:r>
      <w:r w:rsidR="00475218" w:rsidRPr="00036152">
        <w:rPr>
          <w:rFonts w:ascii="VIC" w:hAnsi="VIC"/>
        </w:rPr>
        <w:t>-</w:t>
      </w:r>
      <w:r w:rsidR="00680C66" w:rsidRPr="00036152">
        <w:rPr>
          <w:rFonts w:ascii="VIC" w:hAnsi="VIC"/>
        </w:rPr>
        <w:t>des</w:t>
      </w:r>
      <w:r w:rsidR="007C70BF" w:rsidRPr="00036152">
        <w:rPr>
          <w:rFonts w:ascii="VIC" w:hAnsi="VIC"/>
        </w:rPr>
        <w:t>igned</w:t>
      </w:r>
      <w:r w:rsidR="00680C66" w:rsidRPr="00036152">
        <w:rPr>
          <w:rFonts w:ascii="VIC" w:hAnsi="VIC"/>
        </w:rPr>
        <w:t xml:space="preserve"> system as one that</w:t>
      </w:r>
      <w:r w:rsidR="00AB5A0E">
        <w:rPr>
          <w:rFonts w:ascii="VIC" w:hAnsi="VIC"/>
        </w:rPr>
        <w:t>:</w:t>
      </w:r>
    </w:p>
    <w:p w:rsidR="00AB5A0E" w:rsidRPr="00AB5A0E" w:rsidRDefault="00AB5A0E" w:rsidP="00AB5A0E">
      <w:pPr>
        <w:pStyle w:val="Bullet1"/>
        <w:rPr>
          <w:rFonts w:ascii="VIC" w:hAnsi="VIC"/>
        </w:rPr>
      </w:pPr>
      <w:r w:rsidRPr="00AB5A0E">
        <w:rPr>
          <w:rFonts w:ascii="VIC" w:hAnsi="VIC"/>
        </w:rPr>
        <w:t xml:space="preserve">is </w:t>
      </w:r>
      <w:r w:rsidR="00680C66" w:rsidRPr="00AB5A0E">
        <w:rPr>
          <w:rFonts w:ascii="VIC" w:hAnsi="VIC"/>
        </w:rPr>
        <w:t>easy to navigate and access by all clinicians</w:t>
      </w:r>
    </w:p>
    <w:p w:rsidR="00AB5A0E" w:rsidRPr="00AB5A0E" w:rsidRDefault="0064433A" w:rsidP="00AB5A0E">
      <w:pPr>
        <w:pStyle w:val="Bullet1"/>
        <w:rPr>
          <w:rFonts w:ascii="VIC" w:hAnsi="VIC"/>
        </w:rPr>
      </w:pPr>
      <w:r w:rsidRPr="00AB5A0E">
        <w:rPr>
          <w:rFonts w:ascii="VIC" w:hAnsi="VIC"/>
        </w:rPr>
        <w:t xml:space="preserve">can </w:t>
      </w:r>
      <w:r w:rsidR="00680C66" w:rsidRPr="00AB5A0E">
        <w:rPr>
          <w:rFonts w:ascii="VIC" w:hAnsi="VIC"/>
        </w:rPr>
        <w:t>transfer information from one computer program to another</w:t>
      </w:r>
    </w:p>
    <w:p w:rsidR="00AB5A0E" w:rsidRPr="00AB5A0E" w:rsidRDefault="007C70BF" w:rsidP="00AB5A0E">
      <w:pPr>
        <w:pStyle w:val="Bullet1"/>
        <w:rPr>
          <w:rFonts w:ascii="VIC" w:hAnsi="VIC"/>
        </w:rPr>
      </w:pPr>
      <w:r w:rsidRPr="00AB5A0E">
        <w:rPr>
          <w:rFonts w:ascii="VIC" w:hAnsi="VIC"/>
        </w:rPr>
        <w:t>accounts for inevitable human error</w:t>
      </w:r>
    </w:p>
    <w:p w:rsidR="0099008A" w:rsidRPr="00AB5A0E" w:rsidRDefault="00680C66" w:rsidP="00A50159">
      <w:pPr>
        <w:pStyle w:val="Bullet1"/>
        <w:rPr>
          <w:rFonts w:ascii="VIC" w:hAnsi="VIC"/>
        </w:rPr>
      </w:pPr>
      <w:r w:rsidRPr="00AB5A0E">
        <w:rPr>
          <w:rFonts w:ascii="VIC" w:hAnsi="VIC"/>
        </w:rPr>
        <w:t xml:space="preserve">is transparent to the patient and gives the patient the tools to engage with the system directly. </w:t>
      </w:r>
    </w:p>
    <w:p w:rsidR="0099008A" w:rsidRDefault="0099008A" w:rsidP="0099008A">
      <w:pPr>
        <w:pStyle w:val="Bullet1"/>
        <w:numPr>
          <w:ilvl w:val="0"/>
          <w:numId w:val="0"/>
        </w:numPr>
        <w:rPr>
          <w:rFonts w:ascii="VIC" w:eastAsiaTheme="majorEastAsia" w:hAnsi="VIC" w:cstheme="majorBidi"/>
          <w:color w:val="000000" w:themeColor="text1"/>
        </w:rPr>
      </w:pPr>
      <w:r w:rsidRPr="001A75B7">
        <w:rPr>
          <w:rFonts w:ascii="VIC" w:eastAsiaTheme="majorEastAsia" w:hAnsi="VIC" w:cstheme="majorBidi"/>
          <w:color w:val="000000" w:themeColor="text1"/>
        </w:rPr>
        <w:t>Richard Osborne</w:t>
      </w:r>
      <w:r>
        <w:rPr>
          <w:rFonts w:ascii="VIC" w:eastAsiaTheme="majorEastAsia" w:hAnsi="VIC" w:cstheme="majorBidi"/>
          <w:color w:val="000000" w:themeColor="text1"/>
        </w:rPr>
        <w:t xml:space="preserve"> spoke about </w:t>
      </w:r>
      <w:r w:rsidR="002C4F62">
        <w:rPr>
          <w:rFonts w:ascii="VIC" w:eastAsiaTheme="majorEastAsia" w:hAnsi="VIC" w:cstheme="majorBidi"/>
          <w:color w:val="000000" w:themeColor="text1"/>
        </w:rPr>
        <w:t>the importance of having</w:t>
      </w:r>
      <w:r w:rsidR="002C4F62" w:rsidRPr="002C4F62">
        <w:rPr>
          <w:rFonts w:ascii="VIC" w:eastAsiaTheme="majorEastAsia" w:hAnsi="VIC" w:cstheme="majorBidi"/>
          <w:color w:val="000000" w:themeColor="text1"/>
        </w:rPr>
        <w:t xml:space="preserve"> </w:t>
      </w:r>
      <w:r w:rsidR="002C4F62" w:rsidRPr="002C4F62">
        <w:rPr>
          <w:rFonts w:ascii="VIC" w:eastAsiaTheme="majorEastAsia" w:hAnsi="VIC" w:cstheme="majorBidi"/>
          <w:bCs/>
          <w:color w:val="000000" w:themeColor="text1"/>
        </w:rPr>
        <w:t xml:space="preserve">systems in place to </w:t>
      </w:r>
      <w:r w:rsidR="002C4F62">
        <w:rPr>
          <w:rFonts w:ascii="VIC" w:eastAsiaTheme="majorEastAsia" w:hAnsi="VIC" w:cstheme="majorBidi"/>
          <w:bCs/>
          <w:color w:val="000000" w:themeColor="text1"/>
        </w:rPr>
        <w:t xml:space="preserve">understand the health literacy levels of patient populations and to </w:t>
      </w:r>
      <w:r w:rsidR="002C4F62" w:rsidRPr="002C4F62">
        <w:rPr>
          <w:rFonts w:ascii="VIC" w:eastAsiaTheme="majorEastAsia" w:hAnsi="VIC" w:cstheme="majorBidi"/>
          <w:bCs/>
          <w:color w:val="000000" w:themeColor="text1"/>
        </w:rPr>
        <w:t xml:space="preserve">promote better understanding of </w:t>
      </w:r>
      <w:r w:rsidR="00770617">
        <w:rPr>
          <w:rFonts w:ascii="VIC" w:eastAsiaTheme="majorEastAsia" w:hAnsi="VIC" w:cstheme="majorBidi"/>
          <w:bCs/>
          <w:color w:val="000000" w:themeColor="text1"/>
        </w:rPr>
        <w:t>h</w:t>
      </w:r>
      <w:r w:rsidR="002C4F62" w:rsidRPr="002C4F62">
        <w:rPr>
          <w:rFonts w:ascii="VIC" w:eastAsiaTheme="majorEastAsia" w:hAnsi="VIC" w:cstheme="majorBidi"/>
          <w:bCs/>
          <w:color w:val="000000" w:themeColor="text1"/>
        </w:rPr>
        <w:t xml:space="preserve">ealthcare for all patients. </w:t>
      </w:r>
      <w:r w:rsidR="002C4F62">
        <w:rPr>
          <w:rFonts w:ascii="VIC" w:eastAsiaTheme="majorEastAsia" w:hAnsi="VIC" w:cstheme="majorBidi"/>
          <w:bCs/>
          <w:color w:val="000000" w:themeColor="text1"/>
        </w:rPr>
        <w:t xml:space="preserve">Richard described the components of </w:t>
      </w:r>
      <w:r w:rsidR="002C4F62">
        <w:rPr>
          <w:rFonts w:ascii="VIC" w:eastAsiaTheme="majorEastAsia" w:hAnsi="VIC" w:cstheme="majorBidi"/>
          <w:color w:val="000000" w:themeColor="text1"/>
        </w:rPr>
        <w:t>e</w:t>
      </w:r>
      <w:r>
        <w:rPr>
          <w:rFonts w:ascii="VIC" w:eastAsiaTheme="majorEastAsia" w:hAnsi="VIC" w:cstheme="majorBidi"/>
          <w:color w:val="000000" w:themeColor="text1"/>
        </w:rPr>
        <w:t>ffective communication</w:t>
      </w:r>
      <w:r w:rsidR="00AB5A0E">
        <w:rPr>
          <w:rFonts w:ascii="VIC" w:eastAsiaTheme="majorEastAsia" w:hAnsi="VIC" w:cstheme="majorBidi"/>
          <w:color w:val="000000" w:themeColor="text1"/>
        </w:rPr>
        <w:t>.</w:t>
      </w:r>
      <w:r>
        <w:rPr>
          <w:rFonts w:ascii="VIC" w:eastAsiaTheme="majorEastAsia" w:hAnsi="VIC" w:cstheme="majorBidi"/>
          <w:color w:val="000000" w:themeColor="text1"/>
        </w:rPr>
        <w:t xml:space="preserve"> </w:t>
      </w:r>
      <w:r w:rsidR="00AB5A0E">
        <w:rPr>
          <w:rFonts w:ascii="VIC" w:eastAsiaTheme="majorEastAsia" w:hAnsi="VIC" w:cstheme="majorBidi"/>
          <w:color w:val="000000" w:themeColor="text1"/>
        </w:rPr>
        <w:t xml:space="preserve">Consumers </w:t>
      </w:r>
      <w:r>
        <w:rPr>
          <w:rFonts w:ascii="VIC" w:eastAsiaTheme="majorEastAsia" w:hAnsi="VIC" w:cstheme="majorBidi"/>
          <w:color w:val="000000" w:themeColor="text1"/>
        </w:rPr>
        <w:t>using the teach</w:t>
      </w:r>
      <w:r w:rsidR="0064433A">
        <w:rPr>
          <w:rFonts w:ascii="VIC" w:eastAsiaTheme="majorEastAsia" w:hAnsi="VIC" w:cstheme="majorBidi"/>
          <w:color w:val="000000" w:themeColor="text1"/>
        </w:rPr>
        <w:t>-</w:t>
      </w:r>
      <w:r>
        <w:rPr>
          <w:rFonts w:ascii="VIC" w:eastAsiaTheme="majorEastAsia" w:hAnsi="VIC" w:cstheme="majorBidi"/>
          <w:color w:val="000000" w:themeColor="text1"/>
        </w:rPr>
        <w:t>back method</w:t>
      </w:r>
      <w:r w:rsidR="00AB5A0E">
        <w:rPr>
          <w:rFonts w:ascii="VIC" w:eastAsiaTheme="majorEastAsia" w:hAnsi="VIC" w:cstheme="majorBidi"/>
          <w:color w:val="000000" w:themeColor="text1"/>
        </w:rPr>
        <w:t xml:space="preserve"> is</w:t>
      </w:r>
      <w:r w:rsidR="002C4F62">
        <w:rPr>
          <w:rFonts w:ascii="VIC" w:eastAsiaTheme="majorEastAsia" w:hAnsi="VIC" w:cstheme="majorBidi"/>
          <w:color w:val="000000" w:themeColor="text1"/>
        </w:rPr>
        <w:t xml:space="preserve"> </w:t>
      </w:r>
      <w:r w:rsidR="00AB5A0E">
        <w:rPr>
          <w:rFonts w:ascii="VIC" w:eastAsiaTheme="majorEastAsia" w:hAnsi="VIC" w:cstheme="majorBidi"/>
          <w:color w:val="000000" w:themeColor="text1"/>
        </w:rPr>
        <w:t xml:space="preserve">shown </w:t>
      </w:r>
      <w:r w:rsidR="002C4F62">
        <w:rPr>
          <w:rFonts w:ascii="VIC" w:eastAsiaTheme="majorEastAsia" w:hAnsi="VIC" w:cstheme="majorBidi"/>
          <w:color w:val="000000" w:themeColor="text1"/>
        </w:rPr>
        <w:t>to improve p</w:t>
      </w:r>
      <w:r w:rsidR="00AA51EA" w:rsidRPr="002C4F62">
        <w:rPr>
          <w:rFonts w:ascii="VIC" w:eastAsiaTheme="majorEastAsia" w:hAnsi="VIC" w:cstheme="majorBidi"/>
          <w:color w:val="000000" w:themeColor="text1"/>
        </w:rPr>
        <w:t xml:space="preserve">articipation in </w:t>
      </w:r>
      <w:r w:rsidR="002C4F62">
        <w:rPr>
          <w:rFonts w:ascii="VIC" w:eastAsiaTheme="majorEastAsia" w:hAnsi="VIC" w:cstheme="majorBidi"/>
          <w:color w:val="000000" w:themeColor="text1"/>
        </w:rPr>
        <w:t xml:space="preserve">patient </w:t>
      </w:r>
      <w:r w:rsidR="00AA51EA" w:rsidRPr="002C4F62">
        <w:rPr>
          <w:rFonts w:ascii="VIC" w:eastAsiaTheme="majorEastAsia" w:hAnsi="VIC" w:cstheme="majorBidi"/>
          <w:color w:val="000000" w:themeColor="text1"/>
        </w:rPr>
        <w:t>decision-making</w:t>
      </w:r>
      <w:r w:rsidR="002C4F62">
        <w:rPr>
          <w:rFonts w:ascii="VIC" w:eastAsiaTheme="majorEastAsia" w:hAnsi="VIC" w:cstheme="majorBidi"/>
          <w:color w:val="000000" w:themeColor="text1"/>
        </w:rPr>
        <w:t xml:space="preserve"> and informed consent, m</w:t>
      </w:r>
      <w:r w:rsidR="00AA51EA" w:rsidRPr="002C4F62">
        <w:rPr>
          <w:rFonts w:ascii="VIC" w:eastAsiaTheme="majorEastAsia" w:hAnsi="VIC" w:cstheme="majorBidi"/>
          <w:color w:val="000000" w:themeColor="text1"/>
        </w:rPr>
        <w:t>edication adherence</w:t>
      </w:r>
      <w:r w:rsidR="00770617">
        <w:rPr>
          <w:rFonts w:ascii="VIC" w:eastAsiaTheme="majorEastAsia" w:hAnsi="VIC" w:cstheme="majorBidi"/>
          <w:color w:val="000000" w:themeColor="text1"/>
        </w:rPr>
        <w:t>,</w:t>
      </w:r>
      <w:r w:rsidR="002C4F62">
        <w:rPr>
          <w:rFonts w:ascii="VIC" w:eastAsiaTheme="majorEastAsia" w:hAnsi="VIC" w:cstheme="majorBidi"/>
          <w:color w:val="000000" w:themeColor="text1"/>
        </w:rPr>
        <w:t xml:space="preserve"> and s</w:t>
      </w:r>
      <w:r w:rsidR="00AA51EA" w:rsidRPr="002C4F62">
        <w:rPr>
          <w:rFonts w:ascii="VIC" w:eastAsiaTheme="majorEastAsia" w:hAnsi="VIC" w:cstheme="majorBidi"/>
          <w:color w:val="000000" w:themeColor="text1"/>
        </w:rPr>
        <w:t>elf-management of chronic disease</w:t>
      </w:r>
      <w:r w:rsidR="002C4F62">
        <w:rPr>
          <w:rFonts w:ascii="VIC" w:eastAsiaTheme="majorEastAsia" w:hAnsi="VIC" w:cstheme="majorBidi"/>
          <w:color w:val="000000" w:themeColor="text1"/>
        </w:rPr>
        <w:t>.</w:t>
      </w:r>
    </w:p>
    <w:p w:rsidR="001A75B7" w:rsidRDefault="0099008A" w:rsidP="00036152">
      <w:pPr>
        <w:pStyle w:val="Bullet1"/>
        <w:numPr>
          <w:ilvl w:val="0"/>
          <w:numId w:val="0"/>
        </w:numPr>
        <w:spacing w:before="120"/>
        <w:rPr>
          <w:rFonts w:ascii="VIC" w:eastAsiaTheme="majorEastAsia" w:hAnsi="VIC" w:cstheme="majorBidi"/>
          <w:color w:val="000000" w:themeColor="text1"/>
        </w:rPr>
      </w:pPr>
      <w:r w:rsidRPr="001A75B7">
        <w:rPr>
          <w:rFonts w:ascii="VIC" w:eastAsiaTheme="majorEastAsia" w:hAnsi="VIC" w:cstheme="majorBidi"/>
          <w:color w:val="000000" w:themeColor="text1"/>
        </w:rPr>
        <w:t>Harvey Newnham</w:t>
      </w:r>
      <w:r>
        <w:rPr>
          <w:rFonts w:ascii="VIC" w:eastAsiaTheme="majorEastAsia" w:hAnsi="VIC" w:cstheme="majorBidi"/>
          <w:color w:val="000000" w:themeColor="text1"/>
        </w:rPr>
        <w:t xml:space="preserve"> spoke about using quality interdisciplinary communication (QuIC) rounds at the Alfred</w:t>
      </w:r>
      <w:r w:rsidR="001A4F3D">
        <w:rPr>
          <w:rFonts w:ascii="VIC" w:eastAsiaTheme="majorEastAsia" w:hAnsi="VIC" w:cstheme="majorBidi"/>
          <w:color w:val="000000" w:themeColor="text1"/>
        </w:rPr>
        <w:t xml:space="preserve"> including the outcomes of </w:t>
      </w:r>
      <w:r w:rsidR="00F161DD">
        <w:rPr>
          <w:rFonts w:ascii="VIC" w:eastAsiaTheme="majorEastAsia" w:hAnsi="VIC" w:cstheme="majorBidi"/>
          <w:color w:val="000000" w:themeColor="text1"/>
        </w:rPr>
        <w:t>reduc</w:t>
      </w:r>
      <w:r w:rsidR="001A4F3D">
        <w:rPr>
          <w:rFonts w:ascii="VIC" w:eastAsiaTheme="majorEastAsia" w:hAnsi="VIC" w:cstheme="majorBidi"/>
          <w:color w:val="000000" w:themeColor="text1"/>
        </w:rPr>
        <w:t>ed</w:t>
      </w:r>
      <w:r w:rsidR="00F161DD">
        <w:rPr>
          <w:rFonts w:ascii="VIC" w:eastAsiaTheme="majorEastAsia" w:hAnsi="VIC" w:cstheme="majorBidi"/>
          <w:color w:val="000000" w:themeColor="text1"/>
        </w:rPr>
        <w:t xml:space="preserve"> patient complaints and improve</w:t>
      </w:r>
      <w:r w:rsidR="001A4F3D">
        <w:rPr>
          <w:rFonts w:ascii="VIC" w:eastAsiaTheme="majorEastAsia" w:hAnsi="VIC" w:cstheme="majorBidi"/>
          <w:color w:val="000000" w:themeColor="text1"/>
        </w:rPr>
        <w:t>d</w:t>
      </w:r>
      <w:r w:rsidR="00F161DD">
        <w:rPr>
          <w:rFonts w:ascii="VIC" w:eastAsiaTheme="majorEastAsia" w:hAnsi="VIC" w:cstheme="majorBidi"/>
          <w:color w:val="000000" w:themeColor="text1"/>
        </w:rPr>
        <w:t xml:space="preserve"> quality of care</w:t>
      </w:r>
      <w:r w:rsidR="004E62E1">
        <w:rPr>
          <w:rFonts w:ascii="VIC" w:eastAsiaTheme="majorEastAsia" w:hAnsi="VIC" w:cstheme="majorBidi"/>
          <w:color w:val="000000" w:themeColor="text1"/>
        </w:rPr>
        <w:t>,</w:t>
      </w:r>
      <w:r w:rsidR="001A4F3D">
        <w:rPr>
          <w:rFonts w:ascii="VIC" w:eastAsiaTheme="majorEastAsia" w:hAnsi="VIC" w:cstheme="majorBidi"/>
          <w:color w:val="000000" w:themeColor="text1"/>
        </w:rPr>
        <w:t xml:space="preserve"> with </w:t>
      </w:r>
      <w:r w:rsidR="00F161DD">
        <w:rPr>
          <w:rFonts w:ascii="VIC" w:eastAsiaTheme="majorEastAsia" w:hAnsi="VIC" w:cstheme="majorBidi"/>
          <w:color w:val="000000" w:themeColor="text1"/>
        </w:rPr>
        <w:t xml:space="preserve">effects on </w:t>
      </w:r>
      <w:r w:rsidR="00AA51EA" w:rsidRPr="00F161DD">
        <w:rPr>
          <w:rFonts w:ascii="VIC" w:eastAsiaTheme="majorEastAsia" w:hAnsi="VIC" w:cstheme="majorBidi"/>
          <w:color w:val="000000" w:themeColor="text1"/>
        </w:rPr>
        <w:t>readmission rates, mortality</w:t>
      </w:r>
      <w:r w:rsidR="00770617">
        <w:rPr>
          <w:rFonts w:ascii="VIC" w:eastAsiaTheme="majorEastAsia" w:hAnsi="VIC" w:cstheme="majorBidi"/>
          <w:color w:val="000000" w:themeColor="text1"/>
        </w:rPr>
        <w:t>,</w:t>
      </w:r>
      <w:r w:rsidR="00AA51EA" w:rsidRPr="00F161DD">
        <w:rPr>
          <w:rFonts w:ascii="VIC" w:eastAsiaTheme="majorEastAsia" w:hAnsi="VIC" w:cstheme="majorBidi"/>
          <w:color w:val="000000" w:themeColor="text1"/>
        </w:rPr>
        <w:t xml:space="preserve"> and </w:t>
      </w:r>
      <w:r w:rsidR="00F161DD">
        <w:rPr>
          <w:rFonts w:ascii="VIC" w:eastAsiaTheme="majorEastAsia" w:hAnsi="VIC" w:cstheme="majorBidi"/>
          <w:color w:val="000000" w:themeColor="text1"/>
        </w:rPr>
        <w:t xml:space="preserve">length of stay </w:t>
      </w:r>
      <w:r w:rsidR="004E62E1" w:rsidRPr="004E62E1">
        <w:rPr>
          <w:rFonts w:ascii="VIC" w:eastAsiaTheme="majorEastAsia" w:hAnsi="VIC" w:cstheme="majorBidi"/>
          <w:color w:val="000000" w:themeColor="text1"/>
        </w:rPr>
        <w:t>not yet</w:t>
      </w:r>
      <w:r w:rsidR="00F161DD" w:rsidRPr="004E62E1">
        <w:rPr>
          <w:rFonts w:ascii="VIC" w:eastAsiaTheme="majorEastAsia" w:hAnsi="VIC" w:cstheme="majorBidi"/>
          <w:color w:val="000000" w:themeColor="text1"/>
        </w:rPr>
        <w:t xml:space="preserve"> demonstrated.</w:t>
      </w:r>
      <w:r w:rsidR="00AA51EA" w:rsidRPr="00F161DD">
        <w:rPr>
          <w:rFonts w:ascii="VIC" w:eastAsiaTheme="majorEastAsia" w:hAnsi="VIC" w:cstheme="majorBidi"/>
          <w:color w:val="000000" w:themeColor="text1"/>
        </w:rPr>
        <w:t xml:space="preserve"> </w:t>
      </w:r>
    </w:p>
    <w:p w:rsidR="006809F6" w:rsidRPr="001A75B7" w:rsidRDefault="001A4F3D" w:rsidP="00036152">
      <w:pPr>
        <w:pStyle w:val="Bullet1"/>
        <w:numPr>
          <w:ilvl w:val="0"/>
          <w:numId w:val="0"/>
        </w:numPr>
        <w:spacing w:before="120"/>
        <w:rPr>
          <w:rFonts w:ascii="VIC" w:eastAsiaTheme="majorEastAsia" w:hAnsi="VIC" w:cstheme="majorBidi"/>
          <w:color w:val="000000" w:themeColor="text1"/>
        </w:rPr>
      </w:pPr>
      <w:r>
        <w:rPr>
          <w:rFonts w:ascii="VIC" w:eastAsiaTheme="majorEastAsia" w:hAnsi="VIC" w:cstheme="majorBidi"/>
          <w:color w:val="000000" w:themeColor="text1"/>
        </w:rPr>
        <w:t>Th</w:t>
      </w:r>
      <w:r w:rsidR="00770617">
        <w:rPr>
          <w:rFonts w:ascii="VIC" w:eastAsiaTheme="majorEastAsia" w:hAnsi="VIC" w:cstheme="majorBidi"/>
          <w:color w:val="000000" w:themeColor="text1"/>
        </w:rPr>
        <w:t xml:space="preserve">e </w:t>
      </w:r>
      <w:r>
        <w:rPr>
          <w:rFonts w:ascii="VIC" w:eastAsiaTheme="majorEastAsia" w:hAnsi="VIC" w:cstheme="majorBidi"/>
          <w:color w:val="000000" w:themeColor="text1"/>
        </w:rPr>
        <w:t>session concluded with a p</w:t>
      </w:r>
      <w:r w:rsidR="006809F6" w:rsidRPr="001A75B7">
        <w:rPr>
          <w:rFonts w:ascii="VIC" w:eastAsiaTheme="majorEastAsia" w:hAnsi="VIC" w:cstheme="majorBidi"/>
          <w:color w:val="000000" w:themeColor="text1"/>
        </w:rPr>
        <w:t xml:space="preserve">anel discussion </w:t>
      </w:r>
      <w:r w:rsidR="00AB5A0E">
        <w:rPr>
          <w:rFonts w:ascii="VIC" w:eastAsiaTheme="majorEastAsia" w:hAnsi="VIC" w:cstheme="majorBidi"/>
          <w:color w:val="000000" w:themeColor="text1"/>
        </w:rPr>
        <w:t>featuring</w:t>
      </w:r>
      <w:r w:rsidR="00770617">
        <w:rPr>
          <w:rFonts w:ascii="VIC" w:eastAsiaTheme="majorEastAsia" w:hAnsi="VIC" w:cstheme="majorBidi"/>
          <w:color w:val="000000" w:themeColor="text1"/>
        </w:rPr>
        <w:t xml:space="preserve"> </w:t>
      </w:r>
      <w:r w:rsidR="007C6309">
        <w:rPr>
          <w:rFonts w:ascii="VIC" w:eastAsiaTheme="majorEastAsia" w:hAnsi="VIC" w:cstheme="majorBidi"/>
          <w:color w:val="000000" w:themeColor="text1"/>
        </w:rPr>
        <w:t>Richard, Harvey</w:t>
      </w:r>
      <w:r w:rsidR="00770617">
        <w:rPr>
          <w:rFonts w:ascii="VIC" w:eastAsiaTheme="majorEastAsia" w:hAnsi="VIC" w:cstheme="majorBidi"/>
          <w:color w:val="000000" w:themeColor="text1"/>
        </w:rPr>
        <w:t>,</w:t>
      </w:r>
      <w:r w:rsidR="007C6309">
        <w:rPr>
          <w:rFonts w:ascii="VIC" w:eastAsiaTheme="majorEastAsia" w:hAnsi="VIC" w:cstheme="majorBidi"/>
          <w:color w:val="000000" w:themeColor="text1"/>
        </w:rPr>
        <w:t xml:space="preserve"> and </w:t>
      </w:r>
      <w:r w:rsidR="006809F6" w:rsidRPr="001A75B7">
        <w:rPr>
          <w:rFonts w:ascii="VIC" w:eastAsiaTheme="majorEastAsia" w:hAnsi="VIC" w:cstheme="majorBidi"/>
          <w:color w:val="000000" w:themeColor="text1"/>
        </w:rPr>
        <w:t>Louise McKinlay</w:t>
      </w:r>
      <w:r>
        <w:rPr>
          <w:rFonts w:ascii="VIC" w:eastAsiaTheme="majorEastAsia" w:hAnsi="VIC" w:cstheme="majorBidi"/>
          <w:color w:val="000000" w:themeColor="text1"/>
        </w:rPr>
        <w:t>, Director, Consumers as Partners, Safer Care Victoria</w:t>
      </w:r>
      <w:r w:rsidR="007C6309">
        <w:rPr>
          <w:rFonts w:ascii="VIC" w:eastAsiaTheme="majorEastAsia" w:hAnsi="VIC" w:cstheme="majorBidi"/>
          <w:color w:val="000000" w:themeColor="text1"/>
        </w:rPr>
        <w:t xml:space="preserve">. </w:t>
      </w:r>
    </w:p>
    <w:p w:rsidR="006809F6" w:rsidRPr="00727ECC" w:rsidRDefault="00727ECC" w:rsidP="00727ECC">
      <w:pPr>
        <w:pStyle w:val="Heading3"/>
        <w:rPr>
          <w:rFonts w:ascii="VIC SemiBold" w:hAnsi="VIC SemiBold"/>
          <w:b w:val="0"/>
        </w:rPr>
      </w:pPr>
      <w:r>
        <w:rPr>
          <w:rFonts w:ascii="VIC SemiBold" w:hAnsi="VIC SemiBold"/>
          <w:b w:val="0"/>
        </w:rPr>
        <w:t>W</w:t>
      </w:r>
      <w:r w:rsidR="006809F6" w:rsidRPr="00727ECC">
        <w:rPr>
          <w:rFonts w:ascii="VIC SemiBold" w:hAnsi="VIC SemiBold"/>
          <w:b w:val="0"/>
        </w:rPr>
        <w:t>orkshops</w:t>
      </w:r>
    </w:p>
    <w:p w:rsidR="001A75B7" w:rsidRDefault="001A75B7" w:rsidP="001A75B7">
      <w:pPr>
        <w:pStyle w:val="Normalfollowingheading"/>
        <w:rPr>
          <w:rFonts w:ascii="VIC" w:hAnsi="VIC"/>
        </w:rPr>
      </w:pPr>
      <w:r w:rsidRPr="001A75B7">
        <w:rPr>
          <w:rFonts w:ascii="VIC" w:hAnsi="VIC"/>
        </w:rPr>
        <w:t>Council members participated in two afternoon workshops</w:t>
      </w:r>
      <w:r w:rsidR="002133CA">
        <w:rPr>
          <w:rFonts w:ascii="VIC" w:hAnsi="VIC"/>
        </w:rPr>
        <w:t>:</w:t>
      </w:r>
    </w:p>
    <w:p w:rsidR="002133CA" w:rsidRPr="001A75B7" w:rsidRDefault="002133CA" w:rsidP="002133CA">
      <w:pPr>
        <w:rPr>
          <w:rFonts w:ascii="VIC" w:hAnsi="VIC" w:cs="Arial"/>
          <w:color w:val="000000"/>
        </w:rPr>
      </w:pPr>
      <w:r w:rsidRPr="00A50159">
        <w:rPr>
          <w:rFonts w:ascii="VIC SemiBold" w:hAnsi="VIC SemiBold" w:cs="Arial"/>
          <w:color w:val="000000"/>
        </w:rPr>
        <w:t>Workshop 1</w:t>
      </w:r>
      <w:r w:rsidRPr="001A75B7">
        <w:rPr>
          <w:rFonts w:ascii="VIC" w:hAnsi="VIC" w:cs="Arial"/>
          <w:color w:val="000000"/>
        </w:rPr>
        <w:t>:</w:t>
      </w:r>
      <w:r w:rsidRPr="001A75B7">
        <w:rPr>
          <w:rFonts w:ascii="VIC" w:hAnsi="VIC"/>
        </w:rPr>
        <w:t xml:space="preserve"> </w:t>
      </w:r>
      <w:r w:rsidRPr="001A75B7">
        <w:rPr>
          <w:rFonts w:ascii="VIC" w:hAnsi="VIC" w:cs="Arial"/>
          <w:color w:val="000000"/>
        </w:rPr>
        <w:t>Changing the culture of communication within the health sector to improve patient safety</w:t>
      </w:r>
    </w:p>
    <w:p w:rsidR="002133CA" w:rsidRPr="002133CA" w:rsidRDefault="002133CA" w:rsidP="002133CA">
      <w:pPr>
        <w:rPr>
          <w:rFonts w:ascii="VIC" w:hAnsi="VIC"/>
        </w:rPr>
      </w:pPr>
      <w:r w:rsidRPr="00A50159">
        <w:rPr>
          <w:rFonts w:ascii="VIC SemiBold" w:hAnsi="VIC SemiBold" w:cs="Arial"/>
          <w:color w:val="000000"/>
        </w:rPr>
        <w:t>Workshop 2</w:t>
      </w:r>
      <w:r w:rsidRPr="001A75B7">
        <w:rPr>
          <w:rFonts w:ascii="VIC" w:hAnsi="VIC" w:cs="Arial"/>
          <w:color w:val="000000"/>
        </w:rPr>
        <w:t>: Prioritisation activity</w:t>
      </w:r>
    </w:p>
    <w:p w:rsidR="002133CA" w:rsidRPr="00CF6998" w:rsidRDefault="002133CA" w:rsidP="002133CA">
      <w:pPr>
        <w:spacing w:line="276" w:lineRule="auto"/>
        <w:rPr>
          <w:rFonts w:ascii="VIC" w:hAnsi="VIC" w:cstheme="minorHAnsi"/>
          <w:szCs w:val="22"/>
        </w:rPr>
      </w:pPr>
      <w:r w:rsidRPr="00CF6998">
        <w:rPr>
          <w:rFonts w:ascii="VIC" w:hAnsi="VIC" w:cstheme="minorHAnsi"/>
          <w:szCs w:val="22"/>
        </w:rPr>
        <w:lastRenderedPageBreak/>
        <w:t xml:space="preserve">Using </w:t>
      </w:r>
      <w:r>
        <w:rPr>
          <w:rFonts w:ascii="VIC" w:hAnsi="VIC" w:cstheme="minorHAnsi"/>
          <w:szCs w:val="22"/>
        </w:rPr>
        <w:t xml:space="preserve">a </w:t>
      </w:r>
      <w:r w:rsidR="00AB5A0E">
        <w:rPr>
          <w:rFonts w:ascii="VIC" w:hAnsi="VIC" w:cstheme="minorHAnsi"/>
          <w:szCs w:val="22"/>
        </w:rPr>
        <w:t xml:space="preserve">case study from the </w:t>
      </w:r>
      <w:r w:rsidRPr="00CF6998">
        <w:rPr>
          <w:rFonts w:ascii="VIC" w:hAnsi="VIC" w:cstheme="minorHAnsi"/>
          <w:szCs w:val="22"/>
        </w:rPr>
        <w:t xml:space="preserve">coroner’s court and </w:t>
      </w:r>
      <w:r>
        <w:rPr>
          <w:rFonts w:ascii="VIC" w:hAnsi="VIC" w:cstheme="minorHAnsi"/>
          <w:szCs w:val="22"/>
        </w:rPr>
        <w:t xml:space="preserve">the </w:t>
      </w:r>
      <w:r w:rsidRPr="00CF6998">
        <w:rPr>
          <w:rFonts w:ascii="VIC" w:hAnsi="VIC" w:cstheme="minorHAnsi"/>
          <w:szCs w:val="22"/>
        </w:rPr>
        <w:t xml:space="preserve">presentations </w:t>
      </w:r>
      <w:r>
        <w:rPr>
          <w:rFonts w:ascii="VIC" w:hAnsi="VIC" w:cstheme="minorHAnsi"/>
          <w:szCs w:val="22"/>
        </w:rPr>
        <w:t xml:space="preserve">from the morning session </w:t>
      </w:r>
      <w:r w:rsidRPr="00CF6998">
        <w:rPr>
          <w:rFonts w:ascii="VIC" w:hAnsi="VIC" w:cstheme="minorHAnsi"/>
          <w:szCs w:val="22"/>
        </w:rPr>
        <w:t xml:space="preserve">to guide </w:t>
      </w:r>
      <w:r>
        <w:rPr>
          <w:rFonts w:ascii="VIC" w:hAnsi="VIC" w:cstheme="minorHAnsi"/>
          <w:szCs w:val="22"/>
        </w:rPr>
        <w:t>discussions, members were</w:t>
      </w:r>
      <w:r w:rsidRPr="00490FCB">
        <w:t xml:space="preserve"> </w:t>
      </w:r>
      <w:r w:rsidRPr="00490FCB">
        <w:rPr>
          <w:rFonts w:ascii="VIC" w:hAnsi="VIC" w:cstheme="minorHAnsi"/>
          <w:szCs w:val="22"/>
        </w:rPr>
        <w:t>challenge</w:t>
      </w:r>
      <w:r>
        <w:rPr>
          <w:rFonts w:ascii="VIC" w:hAnsi="VIC" w:cstheme="minorHAnsi"/>
          <w:szCs w:val="22"/>
        </w:rPr>
        <w:t>d to think about:</w:t>
      </w:r>
    </w:p>
    <w:p w:rsidR="002133CA" w:rsidRPr="00CF6998" w:rsidRDefault="002133CA" w:rsidP="002133CA">
      <w:pPr>
        <w:pStyle w:val="Bullet1"/>
        <w:numPr>
          <w:ilvl w:val="0"/>
          <w:numId w:val="8"/>
        </w:numPr>
        <w:rPr>
          <w:rFonts w:ascii="VIC" w:hAnsi="VIC"/>
        </w:rPr>
      </w:pPr>
      <w:r w:rsidRPr="00CF6998">
        <w:rPr>
          <w:rFonts w:ascii="VIC" w:hAnsi="VIC"/>
        </w:rPr>
        <w:t xml:space="preserve">What are the system barriers to an improved culture of communication to improve safety? </w:t>
      </w:r>
    </w:p>
    <w:p w:rsidR="007C6309" w:rsidRPr="00036152" w:rsidRDefault="002133CA" w:rsidP="00036152">
      <w:pPr>
        <w:pStyle w:val="Bullet1"/>
        <w:numPr>
          <w:ilvl w:val="0"/>
          <w:numId w:val="8"/>
        </w:numPr>
        <w:rPr>
          <w:rFonts w:ascii="VIC" w:hAnsi="VIC"/>
        </w:rPr>
      </w:pPr>
      <w:r w:rsidRPr="00CF6998">
        <w:rPr>
          <w:rFonts w:ascii="VIC" w:hAnsi="VIC"/>
        </w:rPr>
        <w:t>Where should a focus for culture change for communication be?</w:t>
      </w:r>
    </w:p>
    <w:p w:rsidR="007C6309" w:rsidRPr="00036152" w:rsidRDefault="007C6309" w:rsidP="00036152">
      <w:pPr>
        <w:spacing w:line="276" w:lineRule="auto"/>
        <w:rPr>
          <w:rFonts w:ascii="VIC" w:hAnsi="VIC" w:cstheme="minorHAnsi"/>
          <w:szCs w:val="22"/>
        </w:rPr>
      </w:pPr>
      <w:r w:rsidRPr="00036152">
        <w:rPr>
          <w:rFonts w:ascii="VIC" w:hAnsi="VIC" w:cstheme="minorHAnsi"/>
          <w:szCs w:val="22"/>
        </w:rPr>
        <w:t>A second panel followed the workshops to share early themes that came out of the discussions. Terry Symonds and Professor Euan Wallace (CEO, SCV) provided feedback to the council on implementing some of their ideas.</w:t>
      </w:r>
    </w:p>
    <w:p w:rsidR="006809F6" w:rsidRPr="001A75B7" w:rsidRDefault="006809F6" w:rsidP="006809F6">
      <w:pPr>
        <w:pStyle w:val="Heading2"/>
        <w:rPr>
          <w:rFonts w:ascii="VIC" w:hAnsi="VIC"/>
        </w:rPr>
      </w:pPr>
      <w:r w:rsidRPr="001A75B7">
        <w:rPr>
          <w:rFonts w:ascii="VIC" w:hAnsi="VIC"/>
        </w:rPr>
        <w:t>CONCLUSION</w:t>
      </w:r>
    </w:p>
    <w:p w:rsidR="001A75B7" w:rsidRPr="001A75B7" w:rsidRDefault="001A75B7" w:rsidP="001A75B7">
      <w:pPr>
        <w:spacing w:before="0"/>
        <w:rPr>
          <w:rFonts w:ascii="VIC" w:hAnsi="VIC"/>
        </w:rPr>
      </w:pPr>
      <w:r w:rsidRPr="001A75B7">
        <w:rPr>
          <w:rFonts w:ascii="VIC" w:hAnsi="VIC"/>
        </w:rPr>
        <w:t xml:space="preserve">Outputs from the workshops will be used to develop formal advice </w:t>
      </w:r>
      <w:r w:rsidR="00AB5A0E">
        <w:rPr>
          <w:rFonts w:ascii="VIC" w:hAnsi="VIC"/>
        </w:rPr>
        <w:t xml:space="preserve">which will include </w:t>
      </w:r>
      <w:r w:rsidRPr="001A75B7">
        <w:rPr>
          <w:rFonts w:ascii="VIC" w:hAnsi="VIC"/>
        </w:rPr>
        <w:t xml:space="preserve">recommendations </w:t>
      </w:r>
      <w:r w:rsidR="00AB5A0E">
        <w:rPr>
          <w:rFonts w:ascii="VIC" w:hAnsi="VIC"/>
        </w:rPr>
        <w:t>for</w:t>
      </w:r>
      <w:r w:rsidRPr="001A75B7">
        <w:rPr>
          <w:rFonts w:ascii="VIC" w:hAnsi="VIC"/>
        </w:rPr>
        <w:t xml:space="preserve"> the department, Safer Care Victoria and the Victorian Agency for Health Information</w:t>
      </w:r>
      <w:r>
        <w:rPr>
          <w:rFonts w:ascii="VIC" w:hAnsi="VIC"/>
        </w:rPr>
        <w:t xml:space="preserve"> (VAHI)</w:t>
      </w:r>
      <w:r w:rsidRPr="001A75B7">
        <w:rPr>
          <w:rFonts w:ascii="VIC" w:hAnsi="VIC"/>
        </w:rPr>
        <w:t>.</w:t>
      </w:r>
    </w:p>
    <w:p w:rsidR="006809F6" w:rsidRPr="00036152" w:rsidRDefault="001A75B7" w:rsidP="00036152">
      <w:pPr>
        <w:rPr>
          <w:rFonts w:ascii="VIC" w:hAnsi="VIC"/>
        </w:rPr>
      </w:pPr>
      <w:r w:rsidRPr="001A75B7">
        <w:rPr>
          <w:rFonts w:ascii="VIC" w:hAnsi="VIC"/>
        </w:rPr>
        <w:t xml:space="preserve">The next council meeting will be held Thursday </w:t>
      </w:r>
      <w:r>
        <w:rPr>
          <w:rFonts w:ascii="VIC" w:hAnsi="VIC"/>
        </w:rPr>
        <w:t xml:space="preserve">6 June </w:t>
      </w:r>
      <w:r w:rsidRPr="001A75B7">
        <w:rPr>
          <w:rFonts w:ascii="VIC" w:hAnsi="VIC"/>
        </w:rPr>
        <w:t xml:space="preserve">2019 </w:t>
      </w:r>
      <w:r w:rsidR="00AB5A0E">
        <w:rPr>
          <w:rFonts w:ascii="VIC" w:hAnsi="VIC"/>
        </w:rPr>
        <w:t xml:space="preserve">in partnership </w:t>
      </w:r>
      <w:r>
        <w:rPr>
          <w:rFonts w:ascii="VIC" w:hAnsi="VIC"/>
        </w:rPr>
        <w:t xml:space="preserve">with </w:t>
      </w:r>
      <w:r w:rsidR="007C6309">
        <w:rPr>
          <w:rFonts w:ascii="VIC" w:hAnsi="VIC"/>
        </w:rPr>
        <w:t>VAHI.</w:t>
      </w:r>
    </w:p>
    <w:p w:rsidR="006809F6" w:rsidRPr="001A75B7" w:rsidRDefault="006809F6" w:rsidP="006809F6">
      <w:pPr>
        <w:pStyle w:val="Heading2"/>
        <w:rPr>
          <w:rFonts w:ascii="VIC" w:hAnsi="VIC"/>
        </w:rPr>
      </w:pPr>
      <w:r w:rsidRPr="001A75B7">
        <w:rPr>
          <w:rFonts w:ascii="VIC" w:hAnsi="VIC"/>
        </w:rPr>
        <w:t>RESOURCES</w:t>
      </w:r>
    </w:p>
    <w:p w:rsidR="001A75B7" w:rsidRPr="001A75B7" w:rsidRDefault="00A50159" w:rsidP="00976686">
      <w:pPr>
        <w:pStyle w:val="Bullet1"/>
        <w:spacing w:line="240" w:lineRule="auto"/>
        <w:rPr>
          <w:rFonts w:ascii="VIC" w:hAnsi="VIC"/>
        </w:rPr>
      </w:pPr>
      <w:hyperlink r:id="rId8" w:history="1">
        <w:r w:rsidR="001A75B7" w:rsidRPr="001A75B7">
          <w:rPr>
            <w:rStyle w:val="Hyperlink"/>
            <w:rFonts w:ascii="VIC" w:hAnsi="VIC"/>
          </w:rPr>
          <w:t>Case study from the Coroners Court</w:t>
        </w:r>
      </w:hyperlink>
      <w:r w:rsidR="001A75B7" w:rsidRPr="001A75B7">
        <w:rPr>
          <w:rFonts w:ascii="VIC" w:hAnsi="VIC"/>
        </w:rPr>
        <w:t xml:space="preserve"> </w:t>
      </w:r>
    </w:p>
    <w:p w:rsidR="001A75B7" w:rsidRPr="001A75B7" w:rsidRDefault="001A75B7" w:rsidP="00976686">
      <w:pPr>
        <w:pStyle w:val="Bullet1"/>
        <w:spacing w:line="240" w:lineRule="auto"/>
        <w:rPr>
          <w:rFonts w:ascii="VIC" w:hAnsi="VIC"/>
        </w:rPr>
      </w:pPr>
      <w:r w:rsidRPr="001A75B7">
        <w:rPr>
          <w:rFonts w:ascii="VIC" w:hAnsi="VIC"/>
        </w:rPr>
        <w:t>Brewster, D J, &amp; Waxman, B P 2018, ‘</w:t>
      </w:r>
      <w:hyperlink r:id="rId9" w:history="1">
        <w:r w:rsidRPr="001A75B7">
          <w:rPr>
            <w:rStyle w:val="Hyperlink"/>
            <w:rFonts w:ascii="VIC" w:hAnsi="VIC"/>
          </w:rPr>
          <w:t>Adding kindness at handover to improve our collegiality: the K-ISBAR tool</w:t>
        </w:r>
      </w:hyperlink>
      <w:r w:rsidRPr="001A75B7">
        <w:rPr>
          <w:rFonts w:ascii="VIC" w:hAnsi="VIC"/>
        </w:rPr>
        <w:t>’,</w:t>
      </w:r>
      <w:r w:rsidRPr="001A75B7">
        <w:rPr>
          <w:rFonts w:ascii="Cambria" w:hAnsi="Cambria" w:cs="Cambria"/>
        </w:rPr>
        <w:t> </w:t>
      </w:r>
      <w:r w:rsidRPr="001A75B7">
        <w:rPr>
          <w:rFonts w:ascii="VIC" w:hAnsi="VIC"/>
          <w:i/>
          <w:iCs/>
        </w:rPr>
        <w:t>The Medical Journal of Australia</w:t>
      </w:r>
      <w:r w:rsidRPr="001A75B7">
        <w:rPr>
          <w:rFonts w:ascii="VIC" w:hAnsi="VIC"/>
        </w:rPr>
        <w:t>,</w:t>
      </w:r>
      <w:r w:rsidRPr="001A75B7">
        <w:rPr>
          <w:rFonts w:ascii="Cambria" w:hAnsi="Cambria" w:cs="Cambria"/>
        </w:rPr>
        <w:t> </w:t>
      </w:r>
      <w:r w:rsidRPr="001A75B7">
        <w:rPr>
          <w:rFonts w:ascii="VIC" w:hAnsi="VIC"/>
          <w:i/>
          <w:iCs/>
        </w:rPr>
        <w:t>209</w:t>
      </w:r>
      <w:r w:rsidRPr="001A75B7">
        <w:rPr>
          <w:rFonts w:ascii="VIC" w:hAnsi="VIC"/>
        </w:rPr>
        <w:t>(11), pp. 482-483.</w:t>
      </w:r>
    </w:p>
    <w:p w:rsidR="001A75B7" w:rsidRPr="001A75B7" w:rsidRDefault="001A75B7" w:rsidP="00976686">
      <w:pPr>
        <w:pStyle w:val="Bullet1"/>
        <w:spacing w:line="240" w:lineRule="auto"/>
        <w:rPr>
          <w:rFonts w:ascii="VIC" w:hAnsi="VIC"/>
        </w:rPr>
      </w:pPr>
      <w:r w:rsidRPr="001A75B7">
        <w:rPr>
          <w:rFonts w:ascii="VIC" w:hAnsi="VIC"/>
        </w:rPr>
        <w:t xml:space="preserve">O’Halloran, R 2019, </w:t>
      </w:r>
      <w:r w:rsidRPr="001A75B7">
        <w:rPr>
          <w:rFonts w:ascii="VIC" w:hAnsi="VIC"/>
          <w:i/>
        </w:rPr>
        <w:t>Patients with a communication disability,</w:t>
      </w:r>
      <w:r w:rsidRPr="001A75B7">
        <w:rPr>
          <w:rFonts w:ascii="VIC" w:hAnsi="VIC"/>
        </w:rPr>
        <w:t xml:space="preserve"> La Trobe University</w:t>
      </w:r>
    </w:p>
    <w:p w:rsidR="001A75B7" w:rsidRPr="001A75B7" w:rsidRDefault="001A75B7" w:rsidP="00976686">
      <w:pPr>
        <w:pStyle w:val="Bullet1"/>
        <w:spacing w:line="240" w:lineRule="auto"/>
        <w:rPr>
          <w:rFonts w:ascii="VIC" w:hAnsi="VIC"/>
        </w:rPr>
      </w:pPr>
      <w:r w:rsidRPr="001A75B7">
        <w:rPr>
          <w:rFonts w:ascii="VIC" w:hAnsi="VIC"/>
        </w:rPr>
        <w:t xml:space="preserve">Australian Commission on Safety and Quality in Healthcare, </w:t>
      </w:r>
      <w:hyperlink r:id="rId10" w:history="1">
        <w:r w:rsidRPr="001A75B7">
          <w:rPr>
            <w:rStyle w:val="Hyperlink"/>
            <w:rFonts w:ascii="VIC" w:hAnsi="VIC"/>
          </w:rPr>
          <w:t xml:space="preserve">Communicating for safety portal </w:t>
        </w:r>
      </w:hyperlink>
      <w:r w:rsidRPr="001A75B7">
        <w:rPr>
          <w:rFonts w:ascii="VIC" w:hAnsi="VIC"/>
        </w:rPr>
        <w:t xml:space="preserve"> Accessed 20 February 2019</w:t>
      </w:r>
    </w:p>
    <w:p w:rsidR="001A75B7" w:rsidRPr="001A75B7" w:rsidRDefault="001A75B7" w:rsidP="00976686">
      <w:pPr>
        <w:pStyle w:val="Bullet1"/>
        <w:spacing w:line="240" w:lineRule="auto"/>
        <w:rPr>
          <w:rFonts w:ascii="VIC" w:hAnsi="VIC"/>
        </w:rPr>
      </w:pPr>
      <w:r w:rsidRPr="001A75B7">
        <w:rPr>
          <w:rFonts w:ascii="VIC" w:hAnsi="VIC"/>
        </w:rPr>
        <w:t xml:space="preserve">Safer Care Victoria 2019, </w:t>
      </w:r>
      <w:hyperlink r:id="rId11" w:history="1">
        <w:r w:rsidR="00653357">
          <w:rPr>
            <w:rStyle w:val="Hyperlink"/>
            <w:rFonts w:ascii="VIC" w:hAnsi="VIC"/>
          </w:rPr>
          <w:t>Partnering in healthcare framework</w:t>
        </w:r>
      </w:hyperlink>
    </w:p>
    <w:p w:rsidR="006809F6" w:rsidRDefault="001A75B7" w:rsidP="00976686">
      <w:pPr>
        <w:pStyle w:val="Bullet1"/>
        <w:spacing w:line="240" w:lineRule="auto"/>
        <w:rPr>
          <w:rFonts w:ascii="VIC" w:hAnsi="VIC"/>
        </w:rPr>
      </w:pPr>
      <w:r w:rsidRPr="001A75B7">
        <w:rPr>
          <w:rFonts w:ascii="VIC" w:hAnsi="VIC"/>
        </w:rPr>
        <w:t>Sammer, C E., et al. 2010, ‘</w:t>
      </w:r>
      <w:hyperlink r:id="rId12" w:history="1">
        <w:r w:rsidRPr="001A75B7">
          <w:rPr>
            <w:rStyle w:val="Hyperlink"/>
            <w:rFonts w:ascii="VIC" w:hAnsi="VIC"/>
          </w:rPr>
          <w:t>What is patient safety culture? A review of the literature.’</w:t>
        </w:r>
        <w:r w:rsidRPr="001A75B7">
          <w:rPr>
            <w:rStyle w:val="Hyperlink"/>
            <w:rFonts w:ascii="Cambria" w:hAnsi="Cambria" w:cs="Cambria"/>
          </w:rPr>
          <w:t> </w:t>
        </w:r>
      </w:hyperlink>
      <w:r w:rsidRPr="001A75B7">
        <w:rPr>
          <w:rFonts w:ascii="VIC" w:hAnsi="VIC"/>
          <w:i/>
          <w:iCs/>
        </w:rPr>
        <w:t>Journal of Nursing Scholarship</w:t>
      </w:r>
      <w:r w:rsidRPr="001A75B7">
        <w:rPr>
          <w:rFonts w:ascii="Cambria" w:hAnsi="Cambria" w:cs="Cambria"/>
        </w:rPr>
        <w:t> </w:t>
      </w:r>
      <w:r w:rsidRPr="001A75B7">
        <w:rPr>
          <w:rFonts w:ascii="VIC" w:hAnsi="VIC"/>
        </w:rPr>
        <w:t>42.2, pp. 156-165.</w:t>
      </w:r>
    </w:p>
    <w:p w:rsidR="00976686" w:rsidRDefault="00976686" w:rsidP="00976686">
      <w:pPr>
        <w:pStyle w:val="Bullet1"/>
        <w:numPr>
          <w:ilvl w:val="0"/>
          <w:numId w:val="0"/>
        </w:numPr>
        <w:spacing w:line="240" w:lineRule="auto"/>
        <w:ind w:left="284"/>
        <w:rPr>
          <w:rFonts w:ascii="VIC" w:hAnsi="VIC"/>
        </w:rPr>
      </w:pPr>
    </w:p>
    <w:p w:rsidR="00976686" w:rsidRDefault="00976686" w:rsidP="00976686">
      <w:pPr>
        <w:pStyle w:val="Bullet1"/>
        <w:numPr>
          <w:ilvl w:val="0"/>
          <w:numId w:val="0"/>
        </w:numPr>
        <w:spacing w:line="240" w:lineRule="auto"/>
        <w:ind w:left="284"/>
        <w:rPr>
          <w:rFonts w:ascii="VIC" w:hAnsi="VIC"/>
        </w:rPr>
      </w:pPr>
    </w:p>
    <w:p w:rsidR="00976686" w:rsidRPr="00036152" w:rsidRDefault="00976686" w:rsidP="00976686">
      <w:pPr>
        <w:pStyle w:val="Bullet1"/>
        <w:numPr>
          <w:ilvl w:val="0"/>
          <w:numId w:val="0"/>
        </w:numPr>
        <w:spacing w:line="240" w:lineRule="auto"/>
        <w:ind w:left="284"/>
        <w:rPr>
          <w:rFonts w:ascii="VIC" w:hAnsi="VIC"/>
        </w:rPr>
      </w:pPr>
    </w:p>
    <w:p w:rsidR="006809F6" w:rsidRPr="00A85031" w:rsidRDefault="006809F6" w:rsidP="006809F6">
      <w:pPr>
        <w:pStyle w:val="Bullet1"/>
        <w:numPr>
          <w:ilvl w:val="0"/>
          <w:numId w:val="0"/>
        </w:numPr>
        <w:ind w:left="284" w:hanging="284"/>
        <w:rPr>
          <w:rFonts w:ascii="VIC" w:eastAsia="Times" w:hAnsi="VIC"/>
        </w:rPr>
      </w:pPr>
      <w:r>
        <w:rPr>
          <w:noProof/>
        </w:rPr>
        <w:drawing>
          <wp:anchor distT="0" distB="0" distL="114300" distR="114300" simplePos="0" relativeHeight="251656704" behindDoc="1" locked="0" layoutInCell="1" allowOverlap="1" wp14:anchorId="3D478048" wp14:editId="7B112D0F">
            <wp:simplePos x="0" y="0"/>
            <wp:positionH relativeFrom="column">
              <wp:posOffset>0</wp:posOffset>
            </wp:positionH>
            <wp:positionV relativeFrom="paragraph">
              <wp:posOffset>91440</wp:posOffset>
            </wp:positionV>
            <wp:extent cx="1027430" cy="1524000"/>
            <wp:effectExtent l="0" t="0" r="1270" b="0"/>
            <wp:wrapTight wrapText="bothSides">
              <wp:wrapPolygon edited="0">
                <wp:start x="0" y="0"/>
                <wp:lineTo x="0" y="21330"/>
                <wp:lineTo x="21226" y="21330"/>
                <wp:lineTo x="21226" y="0"/>
                <wp:lineTo x="0" y="0"/>
              </wp:wrapPolygon>
            </wp:wrapTight>
            <wp:docPr id="1" name="Picture 1" descr="Picture of Jill Sew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3">
                      <a:extLst>
                        <a:ext uri="{28A0092B-C50C-407E-A947-70E740481C1C}">
                          <a14:useLocalDpi xmlns:a14="http://schemas.microsoft.com/office/drawing/2010/main" val="0"/>
                        </a:ext>
                      </a:extLst>
                    </a:blip>
                    <a:srcRect l="6094" t="7691"/>
                    <a:stretch/>
                  </pic:blipFill>
                  <pic:spPr bwMode="auto">
                    <a:xfrm>
                      <a:off x="0" y="0"/>
                      <a:ext cx="1027430" cy="15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5031">
        <w:rPr>
          <w:rFonts w:ascii="VIC" w:eastAsia="Times" w:hAnsi="VIC"/>
        </w:rPr>
        <w:t>Associate Professor Jill Sewell AM</w:t>
      </w:r>
    </w:p>
    <w:p w:rsidR="006809F6" w:rsidRPr="000E2268" w:rsidRDefault="006809F6" w:rsidP="006809F6">
      <w:pPr>
        <w:spacing w:before="0" w:after="0" w:line="240" w:lineRule="auto"/>
        <w:rPr>
          <w:rFonts w:ascii="VIC" w:eastAsiaTheme="majorEastAsia" w:hAnsi="VIC" w:cstheme="majorBidi"/>
          <w:b/>
          <w:bCs/>
          <w:color w:val="000000" w:themeColor="text1"/>
          <w:sz w:val="24"/>
          <w:szCs w:val="22"/>
        </w:rPr>
      </w:pPr>
      <w:r>
        <w:rPr>
          <w:noProof/>
        </w:rPr>
        <w:drawing>
          <wp:anchor distT="0" distB="0" distL="114300" distR="114300" simplePos="0" relativeHeight="251666944" behindDoc="1" locked="0" layoutInCell="1" allowOverlap="1" wp14:anchorId="4FE3EFFC" wp14:editId="767A806B">
            <wp:simplePos x="0" y="0"/>
            <wp:positionH relativeFrom="column">
              <wp:posOffset>1128395</wp:posOffset>
            </wp:positionH>
            <wp:positionV relativeFrom="paragraph">
              <wp:posOffset>368935</wp:posOffset>
            </wp:positionV>
            <wp:extent cx="1870710" cy="807720"/>
            <wp:effectExtent l="0" t="0" r="0" b="0"/>
            <wp:wrapTight wrapText="bothSides">
              <wp:wrapPolygon edited="0">
                <wp:start x="0" y="0"/>
                <wp:lineTo x="0" y="20887"/>
                <wp:lineTo x="21336" y="20887"/>
                <wp:lineTo x="21336" y="0"/>
                <wp:lineTo x="0" y="0"/>
              </wp:wrapPolygon>
            </wp:wrapTight>
            <wp:docPr id="31" name="Picture 31" descr="Jill Sewwl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ill Sewwll signature"/>
                    <pic:cNvPicPr>
                      <a:picLocks noChangeAspect="1" noChangeArrowheads="1"/>
                    </pic:cNvPicPr>
                  </pic:nvPicPr>
                  <pic:blipFill rotWithShape="1">
                    <a:blip r:embed="rId14">
                      <a:extLst>
                        <a:ext uri="{28A0092B-C50C-407E-A947-70E740481C1C}">
                          <a14:useLocalDpi xmlns:a14="http://schemas.microsoft.com/office/drawing/2010/main" val="0"/>
                        </a:ext>
                      </a:extLst>
                    </a:blip>
                    <a:srcRect t="7955" b="5418"/>
                    <a:stretch/>
                  </pic:blipFill>
                  <pic:spPr bwMode="auto">
                    <a:xfrm>
                      <a:off x="0" y="0"/>
                      <a:ext cx="1870710" cy="807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5031">
        <w:rPr>
          <w:rFonts w:ascii="VIC" w:eastAsia="Times" w:hAnsi="VIC"/>
        </w:rPr>
        <w:t>Chair, Victorian Clinical Council</w:t>
      </w:r>
    </w:p>
    <w:sectPr w:rsidR="006809F6" w:rsidRPr="000E2268" w:rsidSect="00663D4D">
      <w:footerReference w:type="default" r:id="rId15"/>
      <w:headerReference w:type="first" r:id="rId16"/>
      <w:type w:val="continuous"/>
      <w:pgSz w:w="11906" w:h="16838" w:code="9"/>
      <w:pgMar w:top="2438" w:right="1021" w:bottom="1021" w:left="1021" w:header="539" w:footer="62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458" w:rsidRDefault="00974458" w:rsidP="002D711A">
      <w:pPr>
        <w:spacing w:after="0" w:line="240" w:lineRule="auto"/>
      </w:pPr>
      <w:r>
        <w:separator/>
      </w:r>
    </w:p>
  </w:endnote>
  <w:endnote w:type="continuationSeparator" w:id="0">
    <w:p w:rsidR="00974458" w:rsidRDefault="00974458"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IC">
    <w:panose1 w:val="00000500000000000000"/>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aleway">
    <w:charset w:val="00"/>
    <w:family w:val="swiss"/>
    <w:pitch w:val="variable"/>
    <w:sig w:usb0="A00002FF" w:usb1="5000205B" w:usb2="00000000" w:usb3="00000000" w:csb0="00000097"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D4D" w:rsidRPr="00663D4D" w:rsidRDefault="00A50159" w:rsidP="00C76302">
    <w:pPr>
      <w:pStyle w:val="Footer"/>
      <w:spacing w:before="120" w:after="120" w:line="280" w:lineRule="exact"/>
      <w:jc w:val="right"/>
      <w:rPr>
        <w:sz w:val="20"/>
        <w:szCs w:val="20"/>
      </w:rPr>
    </w:pPr>
    <w:sdt>
      <w:sdtPr>
        <w:rPr>
          <w:noProof w:val="0"/>
        </w:rPr>
        <w:id w:val="1538702247"/>
        <w:docPartObj>
          <w:docPartGallery w:val="Page Numbers (Bottom of Page)"/>
          <w:docPartUnique/>
        </w:docPartObj>
      </w:sdtPr>
      <w:sdtEndPr>
        <w:rPr>
          <w:noProof/>
          <w:sz w:val="20"/>
          <w:szCs w:val="20"/>
        </w:rPr>
      </w:sdtEndPr>
      <w:sdtContent>
        <w:r w:rsidR="00663D4D" w:rsidRPr="00663D4D">
          <w:rPr>
            <w:noProof w:val="0"/>
            <w:sz w:val="20"/>
            <w:szCs w:val="20"/>
          </w:rPr>
          <w:fldChar w:fldCharType="begin"/>
        </w:r>
        <w:r w:rsidR="00663D4D" w:rsidRPr="00663D4D">
          <w:rPr>
            <w:sz w:val="20"/>
            <w:szCs w:val="20"/>
          </w:rPr>
          <w:instrText xml:space="preserve"> PAGE   \* MERGEFORMAT </w:instrText>
        </w:r>
        <w:r w:rsidR="00663D4D" w:rsidRPr="00663D4D">
          <w:rPr>
            <w:noProof w:val="0"/>
            <w:sz w:val="20"/>
            <w:szCs w:val="20"/>
          </w:rPr>
          <w:fldChar w:fldCharType="separate"/>
        </w:r>
        <w:r w:rsidR="00D81693">
          <w:rPr>
            <w:sz w:val="20"/>
            <w:szCs w:val="20"/>
          </w:rPr>
          <w:t>4</w:t>
        </w:r>
        <w:r w:rsidR="00663D4D" w:rsidRPr="00663D4D">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458" w:rsidRDefault="00974458" w:rsidP="00E33E08">
      <w:pPr>
        <w:spacing w:before="0" w:after="0" w:line="240" w:lineRule="auto"/>
      </w:pPr>
    </w:p>
  </w:footnote>
  <w:footnote w:type="continuationSeparator" w:id="0">
    <w:p w:rsidR="00974458" w:rsidRDefault="00974458"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F7" w:rsidRDefault="006D6A98">
    <w:pPr>
      <w:pStyle w:val="Header"/>
    </w:pPr>
    <w:r>
      <w:rPr>
        <w:noProof/>
      </w:rPr>
      <w:drawing>
        <wp:anchor distT="0" distB="0" distL="114300" distR="114300" simplePos="0" relativeHeight="251659264" behindDoc="1" locked="0" layoutInCell="1" allowOverlap="1" wp14:anchorId="20B1F99C" wp14:editId="66C18B65">
          <wp:simplePos x="0" y="0"/>
          <wp:positionH relativeFrom="column">
            <wp:posOffset>-447675</wp:posOffset>
          </wp:positionH>
          <wp:positionV relativeFrom="paragraph">
            <wp:posOffset>-342265</wp:posOffset>
          </wp:positionV>
          <wp:extent cx="3143250" cy="191736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C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3250" cy="19173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05C21"/>
    <w:multiLevelType w:val="hybridMultilevel"/>
    <w:tmpl w:val="53EA9A54"/>
    <w:lvl w:ilvl="0" w:tplc="68F28580">
      <w:numFmt w:val="bullet"/>
      <w:lvlText w:val="•"/>
      <w:lvlJc w:val="left"/>
      <w:pPr>
        <w:ind w:left="1080" w:hanging="720"/>
      </w:pPr>
      <w:rPr>
        <w:rFonts w:ascii="VIC" w:eastAsiaTheme="minorEastAsia" w:hAnsi="VIC"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16A43"/>
    <w:multiLevelType w:val="hybridMultilevel"/>
    <w:tmpl w:val="ACEECCE6"/>
    <w:lvl w:ilvl="0" w:tplc="4F3AFBB4">
      <w:start w:val="1"/>
      <w:numFmt w:val="decimal"/>
      <w:lvlText w:val="%1."/>
      <w:lvlJc w:val="left"/>
      <w:pPr>
        <w:tabs>
          <w:tab w:val="num" w:pos="720"/>
        </w:tabs>
        <w:ind w:left="720" w:hanging="360"/>
      </w:pPr>
    </w:lvl>
    <w:lvl w:ilvl="1" w:tplc="CDDE5616" w:tentative="1">
      <w:start w:val="1"/>
      <w:numFmt w:val="decimal"/>
      <w:lvlText w:val="%2."/>
      <w:lvlJc w:val="left"/>
      <w:pPr>
        <w:tabs>
          <w:tab w:val="num" w:pos="1440"/>
        </w:tabs>
        <w:ind w:left="1440" w:hanging="360"/>
      </w:pPr>
    </w:lvl>
    <w:lvl w:ilvl="2" w:tplc="F8A2F3EA" w:tentative="1">
      <w:start w:val="1"/>
      <w:numFmt w:val="decimal"/>
      <w:lvlText w:val="%3."/>
      <w:lvlJc w:val="left"/>
      <w:pPr>
        <w:tabs>
          <w:tab w:val="num" w:pos="2160"/>
        </w:tabs>
        <w:ind w:left="2160" w:hanging="360"/>
      </w:pPr>
    </w:lvl>
    <w:lvl w:ilvl="3" w:tplc="E076948E" w:tentative="1">
      <w:start w:val="1"/>
      <w:numFmt w:val="decimal"/>
      <w:lvlText w:val="%4."/>
      <w:lvlJc w:val="left"/>
      <w:pPr>
        <w:tabs>
          <w:tab w:val="num" w:pos="2880"/>
        </w:tabs>
        <w:ind w:left="2880" w:hanging="360"/>
      </w:pPr>
    </w:lvl>
    <w:lvl w:ilvl="4" w:tplc="A9B89254" w:tentative="1">
      <w:start w:val="1"/>
      <w:numFmt w:val="decimal"/>
      <w:lvlText w:val="%5."/>
      <w:lvlJc w:val="left"/>
      <w:pPr>
        <w:tabs>
          <w:tab w:val="num" w:pos="3600"/>
        </w:tabs>
        <w:ind w:left="3600" w:hanging="360"/>
      </w:pPr>
    </w:lvl>
    <w:lvl w:ilvl="5" w:tplc="36969C78" w:tentative="1">
      <w:start w:val="1"/>
      <w:numFmt w:val="decimal"/>
      <w:lvlText w:val="%6."/>
      <w:lvlJc w:val="left"/>
      <w:pPr>
        <w:tabs>
          <w:tab w:val="num" w:pos="4320"/>
        </w:tabs>
        <w:ind w:left="4320" w:hanging="360"/>
      </w:pPr>
    </w:lvl>
    <w:lvl w:ilvl="6" w:tplc="160C138E" w:tentative="1">
      <w:start w:val="1"/>
      <w:numFmt w:val="decimal"/>
      <w:lvlText w:val="%7."/>
      <w:lvlJc w:val="left"/>
      <w:pPr>
        <w:tabs>
          <w:tab w:val="num" w:pos="5040"/>
        </w:tabs>
        <w:ind w:left="5040" w:hanging="360"/>
      </w:pPr>
    </w:lvl>
    <w:lvl w:ilvl="7" w:tplc="7DEE9CFA" w:tentative="1">
      <w:start w:val="1"/>
      <w:numFmt w:val="decimal"/>
      <w:lvlText w:val="%8."/>
      <w:lvlJc w:val="left"/>
      <w:pPr>
        <w:tabs>
          <w:tab w:val="num" w:pos="5760"/>
        </w:tabs>
        <w:ind w:left="5760" w:hanging="360"/>
      </w:pPr>
    </w:lvl>
    <w:lvl w:ilvl="8" w:tplc="CF7A2D9C" w:tentative="1">
      <w:start w:val="1"/>
      <w:numFmt w:val="decimal"/>
      <w:lvlText w:val="%9."/>
      <w:lvlJc w:val="left"/>
      <w:pPr>
        <w:tabs>
          <w:tab w:val="num" w:pos="6480"/>
        </w:tabs>
        <w:ind w:left="6480" w:hanging="360"/>
      </w:pPr>
    </w:lvl>
  </w:abstractNum>
  <w:abstractNum w:abstractNumId="2" w15:restartNumberingAfterBreak="0">
    <w:nsid w:val="14582F5C"/>
    <w:multiLevelType w:val="hybridMultilevel"/>
    <w:tmpl w:val="F7028A12"/>
    <w:lvl w:ilvl="0" w:tplc="68F28580">
      <w:numFmt w:val="bullet"/>
      <w:lvlText w:val="•"/>
      <w:lvlJc w:val="left"/>
      <w:pPr>
        <w:ind w:left="1080" w:hanging="720"/>
      </w:pPr>
      <w:rPr>
        <w:rFonts w:ascii="VIC" w:eastAsiaTheme="minorEastAsia" w:hAnsi="VIC"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A23EC"/>
    <w:multiLevelType w:val="multilevel"/>
    <w:tmpl w:val="B9EAB5D8"/>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1D0E5843"/>
    <w:multiLevelType w:val="hybridMultilevel"/>
    <w:tmpl w:val="31620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7"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46ED2CF1"/>
    <w:multiLevelType w:val="hybridMultilevel"/>
    <w:tmpl w:val="A1C6B298"/>
    <w:lvl w:ilvl="0" w:tplc="1E4CD172">
      <w:start w:val="1"/>
      <w:numFmt w:val="bullet"/>
      <w:lvlText w:val="•"/>
      <w:lvlJc w:val="left"/>
      <w:pPr>
        <w:tabs>
          <w:tab w:val="num" w:pos="720"/>
        </w:tabs>
        <w:ind w:left="720" w:hanging="360"/>
      </w:pPr>
      <w:rPr>
        <w:rFonts w:ascii="Arial" w:hAnsi="Arial" w:hint="default"/>
      </w:rPr>
    </w:lvl>
    <w:lvl w:ilvl="1" w:tplc="8C3ECF06" w:tentative="1">
      <w:start w:val="1"/>
      <w:numFmt w:val="bullet"/>
      <w:lvlText w:val="•"/>
      <w:lvlJc w:val="left"/>
      <w:pPr>
        <w:tabs>
          <w:tab w:val="num" w:pos="1440"/>
        </w:tabs>
        <w:ind w:left="1440" w:hanging="360"/>
      </w:pPr>
      <w:rPr>
        <w:rFonts w:ascii="Arial" w:hAnsi="Arial" w:hint="default"/>
      </w:rPr>
    </w:lvl>
    <w:lvl w:ilvl="2" w:tplc="D92C20A0" w:tentative="1">
      <w:start w:val="1"/>
      <w:numFmt w:val="bullet"/>
      <w:lvlText w:val="•"/>
      <w:lvlJc w:val="left"/>
      <w:pPr>
        <w:tabs>
          <w:tab w:val="num" w:pos="2160"/>
        </w:tabs>
        <w:ind w:left="2160" w:hanging="360"/>
      </w:pPr>
      <w:rPr>
        <w:rFonts w:ascii="Arial" w:hAnsi="Arial" w:hint="default"/>
      </w:rPr>
    </w:lvl>
    <w:lvl w:ilvl="3" w:tplc="1AC09786" w:tentative="1">
      <w:start w:val="1"/>
      <w:numFmt w:val="bullet"/>
      <w:lvlText w:val="•"/>
      <w:lvlJc w:val="left"/>
      <w:pPr>
        <w:tabs>
          <w:tab w:val="num" w:pos="2880"/>
        </w:tabs>
        <w:ind w:left="2880" w:hanging="360"/>
      </w:pPr>
      <w:rPr>
        <w:rFonts w:ascii="Arial" w:hAnsi="Arial" w:hint="default"/>
      </w:rPr>
    </w:lvl>
    <w:lvl w:ilvl="4" w:tplc="6B4A62DA" w:tentative="1">
      <w:start w:val="1"/>
      <w:numFmt w:val="bullet"/>
      <w:lvlText w:val="•"/>
      <w:lvlJc w:val="left"/>
      <w:pPr>
        <w:tabs>
          <w:tab w:val="num" w:pos="3600"/>
        </w:tabs>
        <w:ind w:left="3600" w:hanging="360"/>
      </w:pPr>
      <w:rPr>
        <w:rFonts w:ascii="Arial" w:hAnsi="Arial" w:hint="default"/>
      </w:rPr>
    </w:lvl>
    <w:lvl w:ilvl="5" w:tplc="9DAEA2CE" w:tentative="1">
      <w:start w:val="1"/>
      <w:numFmt w:val="bullet"/>
      <w:lvlText w:val="•"/>
      <w:lvlJc w:val="left"/>
      <w:pPr>
        <w:tabs>
          <w:tab w:val="num" w:pos="4320"/>
        </w:tabs>
        <w:ind w:left="4320" w:hanging="360"/>
      </w:pPr>
      <w:rPr>
        <w:rFonts w:ascii="Arial" w:hAnsi="Arial" w:hint="default"/>
      </w:rPr>
    </w:lvl>
    <w:lvl w:ilvl="6" w:tplc="24624E88" w:tentative="1">
      <w:start w:val="1"/>
      <w:numFmt w:val="bullet"/>
      <w:lvlText w:val="•"/>
      <w:lvlJc w:val="left"/>
      <w:pPr>
        <w:tabs>
          <w:tab w:val="num" w:pos="5040"/>
        </w:tabs>
        <w:ind w:left="5040" w:hanging="360"/>
      </w:pPr>
      <w:rPr>
        <w:rFonts w:ascii="Arial" w:hAnsi="Arial" w:hint="default"/>
      </w:rPr>
    </w:lvl>
    <w:lvl w:ilvl="7" w:tplc="34225C06" w:tentative="1">
      <w:start w:val="1"/>
      <w:numFmt w:val="bullet"/>
      <w:lvlText w:val="•"/>
      <w:lvlJc w:val="left"/>
      <w:pPr>
        <w:tabs>
          <w:tab w:val="num" w:pos="5760"/>
        </w:tabs>
        <w:ind w:left="5760" w:hanging="360"/>
      </w:pPr>
      <w:rPr>
        <w:rFonts w:ascii="Arial" w:hAnsi="Arial" w:hint="default"/>
      </w:rPr>
    </w:lvl>
    <w:lvl w:ilvl="8" w:tplc="E2CC63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9C5C97"/>
    <w:multiLevelType w:val="hybridMultilevel"/>
    <w:tmpl w:val="477CB5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5AD287B"/>
    <w:multiLevelType w:val="hybridMultilevel"/>
    <w:tmpl w:val="5794583A"/>
    <w:lvl w:ilvl="0" w:tplc="0C5A1B3A">
      <w:start w:val="1"/>
      <w:numFmt w:val="bullet"/>
      <w:lvlText w:val=""/>
      <w:lvlJc w:val="left"/>
      <w:pPr>
        <w:tabs>
          <w:tab w:val="num" w:pos="720"/>
        </w:tabs>
        <w:ind w:left="720" w:hanging="360"/>
      </w:pPr>
      <w:rPr>
        <w:rFonts w:ascii="Symbol" w:hAnsi="Symbol" w:hint="default"/>
      </w:rPr>
    </w:lvl>
    <w:lvl w:ilvl="1" w:tplc="04FC700E" w:tentative="1">
      <w:start w:val="1"/>
      <w:numFmt w:val="bullet"/>
      <w:lvlText w:val=""/>
      <w:lvlJc w:val="left"/>
      <w:pPr>
        <w:tabs>
          <w:tab w:val="num" w:pos="1440"/>
        </w:tabs>
        <w:ind w:left="1440" w:hanging="360"/>
      </w:pPr>
      <w:rPr>
        <w:rFonts w:ascii="Symbol" w:hAnsi="Symbol" w:hint="default"/>
      </w:rPr>
    </w:lvl>
    <w:lvl w:ilvl="2" w:tplc="2CAC4400" w:tentative="1">
      <w:start w:val="1"/>
      <w:numFmt w:val="bullet"/>
      <w:lvlText w:val=""/>
      <w:lvlJc w:val="left"/>
      <w:pPr>
        <w:tabs>
          <w:tab w:val="num" w:pos="2160"/>
        </w:tabs>
        <w:ind w:left="2160" w:hanging="360"/>
      </w:pPr>
      <w:rPr>
        <w:rFonts w:ascii="Symbol" w:hAnsi="Symbol" w:hint="default"/>
      </w:rPr>
    </w:lvl>
    <w:lvl w:ilvl="3" w:tplc="2E1C3EE4" w:tentative="1">
      <w:start w:val="1"/>
      <w:numFmt w:val="bullet"/>
      <w:lvlText w:val=""/>
      <w:lvlJc w:val="left"/>
      <w:pPr>
        <w:tabs>
          <w:tab w:val="num" w:pos="2880"/>
        </w:tabs>
        <w:ind w:left="2880" w:hanging="360"/>
      </w:pPr>
      <w:rPr>
        <w:rFonts w:ascii="Symbol" w:hAnsi="Symbol" w:hint="default"/>
      </w:rPr>
    </w:lvl>
    <w:lvl w:ilvl="4" w:tplc="142E93B4" w:tentative="1">
      <w:start w:val="1"/>
      <w:numFmt w:val="bullet"/>
      <w:lvlText w:val=""/>
      <w:lvlJc w:val="left"/>
      <w:pPr>
        <w:tabs>
          <w:tab w:val="num" w:pos="3600"/>
        </w:tabs>
        <w:ind w:left="3600" w:hanging="360"/>
      </w:pPr>
      <w:rPr>
        <w:rFonts w:ascii="Symbol" w:hAnsi="Symbol" w:hint="default"/>
      </w:rPr>
    </w:lvl>
    <w:lvl w:ilvl="5" w:tplc="CCD0DFAA" w:tentative="1">
      <w:start w:val="1"/>
      <w:numFmt w:val="bullet"/>
      <w:lvlText w:val=""/>
      <w:lvlJc w:val="left"/>
      <w:pPr>
        <w:tabs>
          <w:tab w:val="num" w:pos="4320"/>
        </w:tabs>
        <w:ind w:left="4320" w:hanging="360"/>
      </w:pPr>
      <w:rPr>
        <w:rFonts w:ascii="Symbol" w:hAnsi="Symbol" w:hint="default"/>
      </w:rPr>
    </w:lvl>
    <w:lvl w:ilvl="6" w:tplc="2AC07024" w:tentative="1">
      <w:start w:val="1"/>
      <w:numFmt w:val="bullet"/>
      <w:lvlText w:val=""/>
      <w:lvlJc w:val="left"/>
      <w:pPr>
        <w:tabs>
          <w:tab w:val="num" w:pos="5040"/>
        </w:tabs>
        <w:ind w:left="5040" w:hanging="360"/>
      </w:pPr>
      <w:rPr>
        <w:rFonts w:ascii="Symbol" w:hAnsi="Symbol" w:hint="default"/>
      </w:rPr>
    </w:lvl>
    <w:lvl w:ilvl="7" w:tplc="A0288BD2" w:tentative="1">
      <w:start w:val="1"/>
      <w:numFmt w:val="bullet"/>
      <w:lvlText w:val=""/>
      <w:lvlJc w:val="left"/>
      <w:pPr>
        <w:tabs>
          <w:tab w:val="num" w:pos="5760"/>
        </w:tabs>
        <w:ind w:left="5760" w:hanging="360"/>
      </w:pPr>
      <w:rPr>
        <w:rFonts w:ascii="Symbol" w:hAnsi="Symbol" w:hint="default"/>
      </w:rPr>
    </w:lvl>
    <w:lvl w:ilvl="8" w:tplc="5B0EB6C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1084D67"/>
    <w:multiLevelType w:val="hybridMultilevel"/>
    <w:tmpl w:val="6178D030"/>
    <w:lvl w:ilvl="0" w:tplc="71344BC6">
      <w:start w:val="1"/>
      <w:numFmt w:val="bullet"/>
      <w:lvlText w:val=""/>
      <w:lvlJc w:val="left"/>
      <w:pPr>
        <w:tabs>
          <w:tab w:val="num" w:pos="720"/>
        </w:tabs>
        <w:ind w:left="720" w:hanging="360"/>
      </w:pPr>
      <w:rPr>
        <w:rFonts w:ascii="Wingdings 3" w:hAnsi="Wingdings 3" w:hint="default"/>
      </w:rPr>
    </w:lvl>
    <w:lvl w:ilvl="1" w:tplc="716CBFB2" w:tentative="1">
      <w:start w:val="1"/>
      <w:numFmt w:val="bullet"/>
      <w:lvlText w:val=""/>
      <w:lvlJc w:val="left"/>
      <w:pPr>
        <w:tabs>
          <w:tab w:val="num" w:pos="1440"/>
        </w:tabs>
        <w:ind w:left="1440" w:hanging="360"/>
      </w:pPr>
      <w:rPr>
        <w:rFonts w:ascii="Wingdings 3" w:hAnsi="Wingdings 3" w:hint="default"/>
      </w:rPr>
    </w:lvl>
    <w:lvl w:ilvl="2" w:tplc="8954FDF6">
      <w:start w:val="1"/>
      <w:numFmt w:val="bullet"/>
      <w:lvlText w:val=""/>
      <w:lvlJc w:val="left"/>
      <w:pPr>
        <w:tabs>
          <w:tab w:val="num" w:pos="2160"/>
        </w:tabs>
        <w:ind w:left="2160" w:hanging="360"/>
      </w:pPr>
      <w:rPr>
        <w:rFonts w:ascii="Wingdings 3" w:hAnsi="Wingdings 3" w:hint="default"/>
      </w:rPr>
    </w:lvl>
    <w:lvl w:ilvl="3" w:tplc="4A92294E" w:tentative="1">
      <w:start w:val="1"/>
      <w:numFmt w:val="bullet"/>
      <w:lvlText w:val=""/>
      <w:lvlJc w:val="left"/>
      <w:pPr>
        <w:tabs>
          <w:tab w:val="num" w:pos="2880"/>
        </w:tabs>
        <w:ind w:left="2880" w:hanging="360"/>
      </w:pPr>
      <w:rPr>
        <w:rFonts w:ascii="Wingdings 3" w:hAnsi="Wingdings 3" w:hint="default"/>
      </w:rPr>
    </w:lvl>
    <w:lvl w:ilvl="4" w:tplc="055254B2" w:tentative="1">
      <w:start w:val="1"/>
      <w:numFmt w:val="bullet"/>
      <w:lvlText w:val=""/>
      <w:lvlJc w:val="left"/>
      <w:pPr>
        <w:tabs>
          <w:tab w:val="num" w:pos="3600"/>
        </w:tabs>
        <w:ind w:left="3600" w:hanging="360"/>
      </w:pPr>
      <w:rPr>
        <w:rFonts w:ascii="Wingdings 3" w:hAnsi="Wingdings 3" w:hint="default"/>
      </w:rPr>
    </w:lvl>
    <w:lvl w:ilvl="5" w:tplc="A086B7C8" w:tentative="1">
      <w:start w:val="1"/>
      <w:numFmt w:val="bullet"/>
      <w:lvlText w:val=""/>
      <w:lvlJc w:val="left"/>
      <w:pPr>
        <w:tabs>
          <w:tab w:val="num" w:pos="4320"/>
        </w:tabs>
        <w:ind w:left="4320" w:hanging="360"/>
      </w:pPr>
      <w:rPr>
        <w:rFonts w:ascii="Wingdings 3" w:hAnsi="Wingdings 3" w:hint="default"/>
      </w:rPr>
    </w:lvl>
    <w:lvl w:ilvl="6" w:tplc="219A512E" w:tentative="1">
      <w:start w:val="1"/>
      <w:numFmt w:val="bullet"/>
      <w:lvlText w:val=""/>
      <w:lvlJc w:val="left"/>
      <w:pPr>
        <w:tabs>
          <w:tab w:val="num" w:pos="5040"/>
        </w:tabs>
        <w:ind w:left="5040" w:hanging="360"/>
      </w:pPr>
      <w:rPr>
        <w:rFonts w:ascii="Wingdings 3" w:hAnsi="Wingdings 3" w:hint="default"/>
      </w:rPr>
    </w:lvl>
    <w:lvl w:ilvl="7" w:tplc="A3F2E9B4" w:tentative="1">
      <w:start w:val="1"/>
      <w:numFmt w:val="bullet"/>
      <w:lvlText w:val=""/>
      <w:lvlJc w:val="left"/>
      <w:pPr>
        <w:tabs>
          <w:tab w:val="num" w:pos="5760"/>
        </w:tabs>
        <w:ind w:left="5760" w:hanging="360"/>
      </w:pPr>
      <w:rPr>
        <w:rFonts w:ascii="Wingdings 3" w:hAnsi="Wingdings 3" w:hint="default"/>
      </w:rPr>
    </w:lvl>
    <w:lvl w:ilvl="8" w:tplc="49BE962E"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CBA67D3"/>
    <w:multiLevelType w:val="hybridMultilevel"/>
    <w:tmpl w:val="B6EAB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9"/>
  </w:num>
  <w:num w:numId="2">
    <w:abstractNumId w:val="9"/>
  </w:num>
  <w:num w:numId="3">
    <w:abstractNumId w:val="9"/>
  </w:num>
  <w:num w:numId="4">
    <w:abstractNumId w:val="16"/>
  </w:num>
  <w:num w:numId="5">
    <w:abstractNumId w:val="5"/>
  </w:num>
  <w:num w:numId="6">
    <w:abstractNumId w:val="8"/>
  </w:num>
  <w:num w:numId="7">
    <w:abstractNumId w:val="15"/>
  </w:num>
  <w:num w:numId="8">
    <w:abstractNumId w:val="7"/>
  </w:num>
  <w:num w:numId="9">
    <w:abstractNumId w:val="7"/>
  </w:num>
  <w:num w:numId="10">
    <w:abstractNumId w:val="6"/>
  </w:num>
  <w:num w:numId="11">
    <w:abstractNumId w:val="3"/>
  </w:num>
  <w:num w:numId="12">
    <w:abstractNumId w:val="14"/>
  </w:num>
  <w:num w:numId="13">
    <w:abstractNumId w:val="11"/>
  </w:num>
  <w:num w:numId="14">
    <w:abstractNumId w:val="4"/>
  </w:num>
  <w:num w:numId="15">
    <w:abstractNumId w:val="2"/>
  </w:num>
  <w:num w:numId="16">
    <w:abstractNumId w:val="0"/>
  </w:num>
  <w:num w:numId="17">
    <w:abstractNumId w:val="1"/>
  </w:num>
  <w:num w:numId="18">
    <w:abstractNumId w:val="7"/>
  </w:num>
  <w:num w:numId="19">
    <w:abstractNumId w:val="12"/>
  </w:num>
  <w:num w:numId="20">
    <w:abstractNumId w:val="13"/>
  </w:num>
  <w:num w:numId="21">
    <w:abstractNumId w:val="7"/>
  </w:num>
  <w:num w:numId="22">
    <w:abstractNumId w:val="10"/>
  </w:num>
  <w:num w:numId="23">
    <w:abstractNumId w:val="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F6"/>
    <w:rsid w:val="00010A16"/>
    <w:rsid w:val="00012F6F"/>
    <w:rsid w:val="00014213"/>
    <w:rsid w:val="00014B55"/>
    <w:rsid w:val="00020E3E"/>
    <w:rsid w:val="00023BF3"/>
    <w:rsid w:val="00026811"/>
    <w:rsid w:val="00036152"/>
    <w:rsid w:val="0004185E"/>
    <w:rsid w:val="00052AB6"/>
    <w:rsid w:val="00053181"/>
    <w:rsid w:val="00056988"/>
    <w:rsid w:val="00072279"/>
    <w:rsid w:val="00073407"/>
    <w:rsid w:val="00075E6C"/>
    <w:rsid w:val="00081C12"/>
    <w:rsid w:val="00087D42"/>
    <w:rsid w:val="000905F7"/>
    <w:rsid w:val="000B29AD"/>
    <w:rsid w:val="000C1046"/>
    <w:rsid w:val="000C6372"/>
    <w:rsid w:val="000D0BD7"/>
    <w:rsid w:val="000D7841"/>
    <w:rsid w:val="000E392D"/>
    <w:rsid w:val="000E39B6"/>
    <w:rsid w:val="000E3D05"/>
    <w:rsid w:val="000F3EB3"/>
    <w:rsid w:val="000F4288"/>
    <w:rsid w:val="000F7165"/>
    <w:rsid w:val="00102379"/>
    <w:rsid w:val="00103722"/>
    <w:rsid w:val="001065D6"/>
    <w:rsid w:val="001068D5"/>
    <w:rsid w:val="00121252"/>
    <w:rsid w:val="00124609"/>
    <w:rsid w:val="001254CE"/>
    <w:rsid w:val="001307D4"/>
    <w:rsid w:val="0013637A"/>
    <w:rsid w:val="001422CC"/>
    <w:rsid w:val="00145346"/>
    <w:rsid w:val="00155FB0"/>
    <w:rsid w:val="001617B6"/>
    <w:rsid w:val="00165E66"/>
    <w:rsid w:val="00193138"/>
    <w:rsid w:val="00196143"/>
    <w:rsid w:val="001A24FC"/>
    <w:rsid w:val="001A4F3D"/>
    <w:rsid w:val="001A75B7"/>
    <w:rsid w:val="001C6993"/>
    <w:rsid w:val="001C7BAE"/>
    <w:rsid w:val="001E31FA"/>
    <w:rsid w:val="001E48F9"/>
    <w:rsid w:val="001E64F6"/>
    <w:rsid w:val="001E7AEB"/>
    <w:rsid w:val="001F3F3C"/>
    <w:rsid w:val="00204B82"/>
    <w:rsid w:val="00212987"/>
    <w:rsid w:val="002133CA"/>
    <w:rsid w:val="00222BEB"/>
    <w:rsid w:val="00225E60"/>
    <w:rsid w:val="00230BBB"/>
    <w:rsid w:val="0023202C"/>
    <w:rsid w:val="00234619"/>
    <w:rsid w:val="00235BE2"/>
    <w:rsid w:val="00245043"/>
    <w:rsid w:val="0026028E"/>
    <w:rsid w:val="00284FA2"/>
    <w:rsid w:val="00292D36"/>
    <w:rsid w:val="00294A5A"/>
    <w:rsid w:val="00297281"/>
    <w:rsid w:val="00297A47"/>
    <w:rsid w:val="002A5891"/>
    <w:rsid w:val="002B03F1"/>
    <w:rsid w:val="002B5C34"/>
    <w:rsid w:val="002B5E2B"/>
    <w:rsid w:val="002B6DAA"/>
    <w:rsid w:val="002C04F1"/>
    <w:rsid w:val="002C0C5B"/>
    <w:rsid w:val="002C4F62"/>
    <w:rsid w:val="002D70F7"/>
    <w:rsid w:val="002D711A"/>
    <w:rsid w:val="002D7336"/>
    <w:rsid w:val="002E3396"/>
    <w:rsid w:val="002E6454"/>
    <w:rsid w:val="002F2953"/>
    <w:rsid w:val="0031149C"/>
    <w:rsid w:val="0036778F"/>
    <w:rsid w:val="0038771C"/>
    <w:rsid w:val="003A430B"/>
    <w:rsid w:val="003A541A"/>
    <w:rsid w:val="003A6923"/>
    <w:rsid w:val="003C2C67"/>
    <w:rsid w:val="003C2D4C"/>
    <w:rsid w:val="003C3B3A"/>
    <w:rsid w:val="003C5BA4"/>
    <w:rsid w:val="003E3E26"/>
    <w:rsid w:val="003F1295"/>
    <w:rsid w:val="003F5102"/>
    <w:rsid w:val="003F5933"/>
    <w:rsid w:val="003F76FC"/>
    <w:rsid w:val="004002EB"/>
    <w:rsid w:val="00407A79"/>
    <w:rsid w:val="00422DDC"/>
    <w:rsid w:val="004231B5"/>
    <w:rsid w:val="004236C8"/>
    <w:rsid w:val="00427681"/>
    <w:rsid w:val="00433DB7"/>
    <w:rsid w:val="0045347E"/>
    <w:rsid w:val="00453750"/>
    <w:rsid w:val="00456941"/>
    <w:rsid w:val="00460BD5"/>
    <w:rsid w:val="004702EA"/>
    <w:rsid w:val="00471E28"/>
    <w:rsid w:val="00475218"/>
    <w:rsid w:val="0048259C"/>
    <w:rsid w:val="00482D02"/>
    <w:rsid w:val="00484326"/>
    <w:rsid w:val="00490369"/>
    <w:rsid w:val="004A6F16"/>
    <w:rsid w:val="004A7519"/>
    <w:rsid w:val="004B64B1"/>
    <w:rsid w:val="004C14AF"/>
    <w:rsid w:val="004D01AC"/>
    <w:rsid w:val="004D3518"/>
    <w:rsid w:val="004D62D6"/>
    <w:rsid w:val="004D6898"/>
    <w:rsid w:val="004D6D95"/>
    <w:rsid w:val="004E62E1"/>
    <w:rsid w:val="004F3F4E"/>
    <w:rsid w:val="00510167"/>
    <w:rsid w:val="00513E86"/>
    <w:rsid w:val="005306A2"/>
    <w:rsid w:val="0053416C"/>
    <w:rsid w:val="00541C2F"/>
    <w:rsid w:val="00552DE4"/>
    <w:rsid w:val="00563527"/>
    <w:rsid w:val="0057407A"/>
    <w:rsid w:val="0058124E"/>
    <w:rsid w:val="005875A3"/>
    <w:rsid w:val="005934B7"/>
    <w:rsid w:val="005953EA"/>
    <w:rsid w:val="005A3416"/>
    <w:rsid w:val="005B061F"/>
    <w:rsid w:val="005B27FE"/>
    <w:rsid w:val="005B76DF"/>
    <w:rsid w:val="005B79CB"/>
    <w:rsid w:val="005E08D7"/>
    <w:rsid w:val="005E4C16"/>
    <w:rsid w:val="005E5947"/>
    <w:rsid w:val="005F61DF"/>
    <w:rsid w:val="0060163A"/>
    <w:rsid w:val="006023F9"/>
    <w:rsid w:val="00610559"/>
    <w:rsid w:val="00614076"/>
    <w:rsid w:val="00632F2E"/>
    <w:rsid w:val="006332F6"/>
    <w:rsid w:val="006413F2"/>
    <w:rsid w:val="0064433A"/>
    <w:rsid w:val="00653357"/>
    <w:rsid w:val="006534B2"/>
    <w:rsid w:val="0065615D"/>
    <w:rsid w:val="00657011"/>
    <w:rsid w:val="00663D4D"/>
    <w:rsid w:val="006650B5"/>
    <w:rsid w:val="006651B1"/>
    <w:rsid w:val="00665778"/>
    <w:rsid w:val="00676E5F"/>
    <w:rsid w:val="00680577"/>
    <w:rsid w:val="006809F6"/>
    <w:rsid w:val="00680C66"/>
    <w:rsid w:val="006945CA"/>
    <w:rsid w:val="006A3309"/>
    <w:rsid w:val="006A3A5A"/>
    <w:rsid w:val="006A5B34"/>
    <w:rsid w:val="006C77A9"/>
    <w:rsid w:val="006D4720"/>
    <w:rsid w:val="006D662D"/>
    <w:rsid w:val="006D6829"/>
    <w:rsid w:val="006D6A98"/>
    <w:rsid w:val="006E6CDF"/>
    <w:rsid w:val="006F37F2"/>
    <w:rsid w:val="006F6693"/>
    <w:rsid w:val="00707FE8"/>
    <w:rsid w:val="00714AAE"/>
    <w:rsid w:val="00724962"/>
    <w:rsid w:val="00724A0F"/>
    <w:rsid w:val="00726D2F"/>
    <w:rsid w:val="00727ECC"/>
    <w:rsid w:val="00736732"/>
    <w:rsid w:val="00740019"/>
    <w:rsid w:val="007459E7"/>
    <w:rsid w:val="00746426"/>
    <w:rsid w:val="00750BF9"/>
    <w:rsid w:val="00750CBE"/>
    <w:rsid w:val="007650D2"/>
    <w:rsid w:val="00766B5A"/>
    <w:rsid w:val="00770617"/>
    <w:rsid w:val="00772209"/>
    <w:rsid w:val="007770A5"/>
    <w:rsid w:val="007834F2"/>
    <w:rsid w:val="00791020"/>
    <w:rsid w:val="0079634E"/>
    <w:rsid w:val="007A04D2"/>
    <w:rsid w:val="007A4444"/>
    <w:rsid w:val="007A5F82"/>
    <w:rsid w:val="007C6309"/>
    <w:rsid w:val="007C70BF"/>
    <w:rsid w:val="007D5F9E"/>
    <w:rsid w:val="007E098F"/>
    <w:rsid w:val="007E3BA2"/>
    <w:rsid w:val="007E6EF5"/>
    <w:rsid w:val="007E6F9B"/>
    <w:rsid w:val="007F1A4C"/>
    <w:rsid w:val="007F706C"/>
    <w:rsid w:val="007F723F"/>
    <w:rsid w:val="008022C3"/>
    <w:rsid w:val="008041E6"/>
    <w:rsid w:val="008065D2"/>
    <w:rsid w:val="00815A8A"/>
    <w:rsid w:val="0082194C"/>
    <w:rsid w:val="008222FF"/>
    <w:rsid w:val="008241FF"/>
    <w:rsid w:val="008411E9"/>
    <w:rsid w:val="00841617"/>
    <w:rsid w:val="0084200F"/>
    <w:rsid w:val="00843B2C"/>
    <w:rsid w:val="00844F16"/>
    <w:rsid w:val="00855FF9"/>
    <w:rsid w:val="0086277A"/>
    <w:rsid w:val="008668A8"/>
    <w:rsid w:val="008703D8"/>
    <w:rsid w:val="008768AD"/>
    <w:rsid w:val="00880AC4"/>
    <w:rsid w:val="008816EE"/>
    <w:rsid w:val="00881AE4"/>
    <w:rsid w:val="00897157"/>
    <w:rsid w:val="00897447"/>
    <w:rsid w:val="008A4900"/>
    <w:rsid w:val="008A55FE"/>
    <w:rsid w:val="008A58D2"/>
    <w:rsid w:val="008A6727"/>
    <w:rsid w:val="008B146D"/>
    <w:rsid w:val="008B42AD"/>
    <w:rsid w:val="008B5666"/>
    <w:rsid w:val="008C154D"/>
    <w:rsid w:val="008C2C15"/>
    <w:rsid w:val="008D0281"/>
    <w:rsid w:val="008E2348"/>
    <w:rsid w:val="008F6D45"/>
    <w:rsid w:val="00914634"/>
    <w:rsid w:val="00916AD5"/>
    <w:rsid w:val="00922944"/>
    <w:rsid w:val="00923A36"/>
    <w:rsid w:val="00936479"/>
    <w:rsid w:val="00937A10"/>
    <w:rsid w:val="00941A74"/>
    <w:rsid w:val="00953A2C"/>
    <w:rsid w:val="00966115"/>
    <w:rsid w:val="00974458"/>
    <w:rsid w:val="00976686"/>
    <w:rsid w:val="009834C0"/>
    <w:rsid w:val="00986AAC"/>
    <w:rsid w:val="0099008A"/>
    <w:rsid w:val="00995526"/>
    <w:rsid w:val="009A1DA2"/>
    <w:rsid w:val="009A3704"/>
    <w:rsid w:val="009A4739"/>
    <w:rsid w:val="009A674F"/>
    <w:rsid w:val="009A6D22"/>
    <w:rsid w:val="009B0656"/>
    <w:rsid w:val="009B199C"/>
    <w:rsid w:val="009B61F1"/>
    <w:rsid w:val="009B62E0"/>
    <w:rsid w:val="009C3D88"/>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35855"/>
    <w:rsid w:val="00A46288"/>
    <w:rsid w:val="00A46BA8"/>
    <w:rsid w:val="00A47634"/>
    <w:rsid w:val="00A50159"/>
    <w:rsid w:val="00A612FE"/>
    <w:rsid w:val="00A70B49"/>
    <w:rsid w:val="00A92D94"/>
    <w:rsid w:val="00AA26B8"/>
    <w:rsid w:val="00AA51EA"/>
    <w:rsid w:val="00AB5A0E"/>
    <w:rsid w:val="00AB74B7"/>
    <w:rsid w:val="00AC0B87"/>
    <w:rsid w:val="00AC2624"/>
    <w:rsid w:val="00AC32A8"/>
    <w:rsid w:val="00AD7E4E"/>
    <w:rsid w:val="00AF4D58"/>
    <w:rsid w:val="00AF6666"/>
    <w:rsid w:val="00AF7BC5"/>
    <w:rsid w:val="00B81B44"/>
    <w:rsid w:val="00B9053B"/>
    <w:rsid w:val="00BA0C37"/>
    <w:rsid w:val="00BA3782"/>
    <w:rsid w:val="00BB066F"/>
    <w:rsid w:val="00BB4D98"/>
    <w:rsid w:val="00BB4EBF"/>
    <w:rsid w:val="00BB59E0"/>
    <w:rsid w:val="00BC3422"/>
    <w:rsid w:val="00BC63AA"/>
    <w:rsid w:val="00BC6E19"/>
    <w:rsid w:val="00BD11C2"/>
    <w:rsid w:val="00BD2CAE"/>
    <w:rsid w:val="00BD5018"/>
    <w:rsid w:val="00BE5ADC"/>
    <w:rsid w:val="00BF4F96"/>
    <w:rsid w:val="00C015B9"/>
    <w:rsid w:val="00C022F9"/>
    <w:rsid w:val="00C032EA"/>
    <w:rsid w:val="00C06EB5"/>
    <w:rsid w:val="00C1145F"/>
    <w:rsid w:val="00C11CD1"/>
    <w:rsid w:val="00C32D49"/>
    <w:rsid w:val="00C33AD3"/>
    <w:rsid w:val="00C35D53"/>
    <w:rsid w:val="00C361A0"/>
    <w:rsid w:val="00C41B3C"/>
    <w:rsid w:val="00C43F06"/>
    <w:rsid w:val="00C51C01"/>
    <w:rsid w:val="00C6262B"/>
    <w:rsid w:val="00C637E1"/>
    <w:rsid w:val="00C67EAC"/>
    <w:rsid w:val="00C70D50"/>
    <w:rsid w:val="00C72252"/>
    <w:rsid w:val="00C76302"/>
    <w:rsid w:val="00C907D7"/>
    <w:rsid w:val="00C92338"/>
    <w:rsid w:val="00CA05DC"/>
    <w:rsid w:val="00CA7B47"/>
    <w:rsid w:val="00CB3976"/>
    <w:rsid w:val="00CD0307"/>
    <w:rsid w:val="00CD3C79"/>
    <w:rsid w:val="00CD3D1B"/>
    <w:rsid w:val="00D02663"/>
    <w:rsid w:val="00D0633E"/>
    <w:rsid w:val="00D12E74"/>
    <w:rsid w:val="00D2312F"/>
    <w:rsid w:val="00D23B04"/>
    <w:rsid w:val="00D269C1"/>
    <w:rsid w:val="00D270C6"/>
    <w:rsid w:val="00D41230"/>
    <w:rsid w:val="00D41B2F"/>
    <w:rsid w:val="00D44953"/>
    <w:rsid w:val="00D542F3"/>
    <w:rsid w:val="00D54513"/>
    <w:rsid w:val="00D54AAE"/>
    <w:rsid w:val="00D5644B"/>
    <w:rsid w:val="00D56E25"/>
    <w:rsid w:val="00D57E89"/>
    <w:rsid w:val="00D6560D"/>
    <w:rsid w:val="00D65D77"/>
    <w:rsid w:val="00D718D7"/>
    <w:rsid w:val="00D814B7"/>
    <w:rsid w:val="00D81693"/>
    <w:rsid w:val="00D90688"/>
    <w:rsid w:val="00DA3AAD"/>
    <w:rsid w:val="00DA3F36"/>
    <w:rsid w:val="00DB312B"/>
    <w:rsid w:val="00DC5654"/>
    <w:rsid w:val="00DC658F"/>
    <w:rsid w:val="00DC674A"/>
    <w:rsid w:val="00DE2C13"/>
    <w:rsid w:val="00DE60CC"/>
    <w:rsid w:val="00DF2454"/>
    <w:rsid w:val="00E03516"/>
    <w:rsid w:val="00E03F35"/>
    <w:rsid w:val="00E131C8"/>
    <w:rsid w:val="00E26B32"/>
    <w:rsid w:val="00E31CD4"/>
    <w:rsid w:val="00E31E60"/>
    <w:rsid w:val="00E33E08"/>
    <w:rsid w:val="00E407B6"/>
    <w:rsid w:val="00E41EF1"/>
    <w:rsid w:val="00E42942"/>
    <w:rsid w:val="00E64600"/>
    <w:rsid w:val="00E65A0A"/>
    <w:rsid w:val="00E71BDF"/>
    <w:rsid w:val="00E75CCB"/>
    <w:rsid w:val="00E8245B"/>
    <w:rsid w:val="00E82C21"/>
    <w:rsid w:val="00E82F59"/>
    <w:rsid w:val="00E83CA7"/>
    <w:rsid w:val="00E92192"/>
    <w:rsid w:val="00E95A71"/>
    <w:rsid w:val="00EB7014"/>
    <w:rsid w:val="00EC5CDE"/>
    <w:rsid w:val="00EC7F2A"/>
    <w:rsid w:val="00ED3077"/>
    <w:rsid w:val="00ED487E"/>
    <w:rsid w:val="00ED64F1"/>
    <w:rsid w:val="00EE33A1"/>
    <w:rsid w:val="00EE7A0D"/>
    <w:rsid w:val="00F0222C"/>
    <w:rsid w:val="00F044F8"/>
    <w:rsid w:val="00F06647"/>
    <w:rsid w:val="00F12312"/>
    <w:rsid w:val="00F161DD"/>
    <w:rsid w:val="00F17CE1"/>
    <w:rsid w:val="00F2115C"/>
    <w:rsid w:val="00F22ABA"/>
    <w:rsid w:val="00F25919"/>
    <w:rsid w:val="00F25F4B"/>
    <w:rsid w:val="00F27C9D"/>
    <w:rsid w:val="00F36B12"/>
    <w:rsid w:val="00F60F9F"/>
    <w:rsid w:val="00F61246"/>
    <w:rsid w:val="00F6250C"/>
    <w:rsid w:val="00F64F08"/>
    <w:rsid w:val="00F70055"/>
    <w:rsid w:val="00F734F5"/>
    <w:rsid w:val="00F73B5B"/>
    <w:rsid w:val="00F90EA5"/>
    <w:rsid w:val="00F91F5A"/>
    <w:rsid w:val="00F966B1"/>
    <w:rsid w:val="00F97D48"/>
    <w:rsid w:val="00FA0311"/>
    <w:rsid w:val="00FA0DC5"/>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7AEDBDD-BE23-42EF-B70A-C6F7FDAA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iPriority="99"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9B0656"/>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4EA8"/>
      <w:spacing w:val="-1"/>
      <w:sz w:val="48"/>
      <w:szCs w:val="28"/>
    </w:rPr>
  </w:style>
  <w:style w:type="paragraph" w:styleId="Heading2">
    <w:name w:val="heading 2"/>
    <w:basedOn w:val="Normal"/>
    <w:next w:val="Normalfollowingheading"/>
    <w:link w:val="Heading2Char"/>
    <w:qFormat/>
    <w:rsid w:val="009B0656"/>
    <w:pPr>
      <w:keepNext/>
      <w:keepLines/>
      <w:spacing w:before="280" w:after="60" w:line="240" w:lineRule="auto"/>
      <w:outlineLvl w:val="1"/>
    </w:pPr>
    <w:rPr>
      <w:rFonts w:asciiTheme="majorHAnsi" w:eastAsiaTheme="majorEastAsia" w:hAnsiTheme="majorHAnsi" w:cstheme="majorBidi"/>
      <w:b/>
      <w:bCs/>
      <w:caps/>
      <w:color w:val="004EA8"/>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9B0656"/>
    <w:rPr>
      <w:rFonts w:asciiTheme="majorHAnsi" w:eastAsiaTheme="majorEastAsia" w:hAnsiTheme="majorHAnsi" w:cstheme="majorBidi"/>
      <w:b/>
      <w:bCs/>
      <w:color w:val="004EA8"/>
      <w:spacing w:val="-1"/>
      <w:sz w:val="48"/>
      <w:szCs w:val="28"/>
    </w:rPr>
  </w:style>
  <w:style w:type="character" w:customStyle="1" w:styleId="Heading2Char">
    <w:name w:val="Heading 2 Char"/>
    <w:basedOn w:val="DefaultParagraphFont"/>
    <w:link w:val="Heading2"/>
    <w:rsid w:val="009B0656"/>
    <w:rPr>
      <w:rFonts w:asciiTheme="majorHAnsi" w:eastAsiaTheme="majorEastAsia" w:hAnsiTheme="majorHAnsi" w:cstheme="majorBidi"/>
      <w:b/>
      <w:bCs/>
      <w:caps/>
      <w:color w:val="004EA8"/>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9B0656"/>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followingheading"/>
    <w:uiPriority w:val="1"/>
    <w:qFormat/>
    <w:rsid w:val="00F6250C"/>
    <w:pPr>
      <w:spacing w:before="120" w:after="120"/>
    </w:pPr>
    <w:rPr>
      <w:rFonts w:eastAsiaTheme="minorHAnsi" w:cstheme="minorHAnsi"/>
      <w:szCs w:val="21"/>
      <w:lang w:eastAsia="en-US"/>
    </w:r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B0656"/>
    <w:pPr>
      <w:keepNext/>
      <w:keepLines/>
      <w:spacing w:before="0" w:after="0" w:line="260" w:lineRule="atLeast"/>
    </w:pPr>
    <w:rPr>
      <w:rFonts w:eastAsiaTheme="minorHAnsi"/>
      <w:b/>
      <w:color w:val="004EA8"/>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9B0656"/>
    <w:pPr>
      <w:tabs>
        <w:tab w:val="left" w:pos="1080"/>
      </w:tabs>
      <w:spacing w:before="280" w:after="210" w:line="260" w:lineRule="atLeast"/>
    </w:pPr>
    <w:rPr>
      <w:b/>
      <w:bCs/>
      <w:color w:val="004EA8"/>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9B0656"/>
    <w:pPr>
      <w:spacing w:before="280" w:after="60"/>
    </w:pPr>
    <w:rPr>
      <w:b/>
      <w:color w:val="004EA8"/>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9B0656"/>
    <w:pPr>
      <w:spacing w:before="100" w:after="100"/>
    </w:pPr>
    <w:rPr>
      <w:color w:val="004EA8"/>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customStyle="1" w:styleId="Body">
    <w:name w:val="Body"/>
    <w:basedOn w:val="Normal"/>
    <w:uiPriority w:val="99"/>
    <w:rsid w:val="00E131C8"/>
    <w:pPr>
      <w:suppressAutoHyphens/>
      <w:autoSpaceDE w:val="0"/>
      <w:autoSpaceDN w:val="0"/>
      <w:adjustRightInd w:val="0"/>
      <w:spacing w:before="0" w:after="170" w:line="260" w:lineRule="atLeast"/>
      <w:textAlignment w:val="center"/>
    </w:pPr>
    <w:rPr>
      <w:rFonts w:ascii="Raleway" w:eastAsiaTheme="minorHAnsi" w:hAnsi="Raleway" w:cs="Raleway"/>
      <w:color w:val="000000"/>
      <w:lang w:val="en-GB" w:eastAsia="en-US"/>
    </w:rPr>
  </w:style>
  <w:style w:type="character" w:customStyle="1" w:styleId="UnresolvedMention1">
    <w:name w:val="Unresolved Mention1"/>
    <w:basedOn w:val="DefaultParagraphFont"/>
    <w:uiPriority w:val="99"/>
    <w:semiHidden/>
    <w:unhideWhenUsed/>
    <w:rsid w:val="001A75B7"/>
    <w:rPr>
      <w:color w:val="605E5C"/>
      <w:shd w:val="clear" w:color="auto" w:fill="E1DFDD"/>
    </w:rPr>
  </w:style>
  <w:style w:type="character" w:styleId="CommentReference">
    <w:name w:val="annotation reference"/>
    <w:basedOn w:val="DefaultParagraphFont"/>
    <w:uiPriority w:val="99"/>
    <w:semiHidden/>
    <w:unhideWhenUsed/>
    <w:rsid w:val="002133CA"/>
    <w:rPr>
      <w:sz w:val="16"/>
      <w:szCs w:val="16"/>
    </w:rPr>
  </w:style>
  <w:style w:type="paragraph" w:styleId="CommentText">
    <w:name w:val="annotation text"/>
    <w:basedOn w:val="Normal"/>
    <w:link w:val="CommentTextChar"/>
    <w:uiPriority w:val="99"/>
    <w:unhideWhenUsed/>
    <w:rsid w:val="002133CA"/>
    <w:pPr>
      <w:spacing w:line="240" w:lineRule="auto"/>
    </w:pPr>
  </w:style>
  <w:style w:type="character" w:customStyle="1" w:styleId="CommentTextChar">
    <w:name w:val="Comment Text Char"/>
    <w:basedOn w:val="DefaultParagraphFont"/>
    <w:link w:val="CommentText"/>
    <w:uiPriority w:val="99"/>
    <w:rsid w:val="002133CA"/>
  </w:style>
  <w:style w:type="paragraph" w:styleId="CommentSubject">
    <w:name w:val="annotation subject"/>
    <w:basedOn w:val="CommentText"/>
    <w:next w:val="CommentText"/>
    <w:link w:val="CommentSubjectChar"/>
    <w:uiPriority w:val="1"/>
    <w:semiHidden/>
    <w:unhideWhenUsed/>
    <w:rsid w:val="004C14AF"/>
    <w:rPr>
      <w:b/>
      <w:bCs/>
    </w:rPr>
  </w:style>
  <w:style w:type="character" w:customStyle="1" w:styleId="CommentSubjectChar">
    <w:name w:val="Comment Subject Char"/>
    <w:basedOn w:val="CommentTextChar"/>
    <w:link w:val="CommentSubject"/>
    <w:uiPriority w:val="1"/>
    <w:semiHidden/>
    <w:rsid w:val="004C14AF"/>
    <w:rPr>
      <w:b/>
      <w:bCs/>
    </w:rPr>
  </w:style>
  <w:style w:type="paragraph" w:styleId="NormalWeb">
    <w:name w:val="Normal (Web)"/>
    <w:basedOn w:val="Normal"/>
    <w:uiPriority w:val="99"/>
    <w:semiHidden/>
    <w:unhideWhenUsed/>
    <w:rsid w:val="00FA0DC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1"/>
    <w:semiHidden/>
    <w:unhideWhenUsed/>
    <w:rsid w:val="00653357"/>
    <w:rPr>
      <w:color w:val="00758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823065">
      <w:bodyDiv w:val="1"/>
      <w:marLeft w:val="0"/>
      <w:marRight w:val="0"/>
      <w:marTop w:val="0"/>
      <w:marBottom w:val="0"/>
      <w:divBdr>
        <w:top w:val="none" w:sz="0" w:space="0" w:color="auto"/>
        <w:left w:val="none" w:sz="0" w:space="0" w:color="auto"/>
        <w:bottom w:val="none" w:sz="0" w:space="0" w:color="auto"/>
        <w:right w:val="none" w:sz="0" w:space="0" w:color="auto"/>
      </w:divBdr>
    </w:div>
    <w:div w:id="1344864693">
      <w:bodyDiv w:val="1"/>
      <w:marLeft w:val="0"/>
      <w:marRight w:val="0"/>
      <w:marTop w:val="0"/>
      <w:marBottom w:val="0"/>
      <w:divBdr>
        <w:top w:val="none" w:sz="0" w:space="0" w:color="auto"/>
        <w:left w:val="none" w:sz="0" w:space="0" w:color="auto"/>
        <w:bottom w:val="none" w:sz="0" w:space="0" w:color="auto"/>
        <w:right w:val="none" w:sz="0" w:space="0" w:color="auto"/>
      </w:divBdr>
      <w:divsChild>
        <w:div w:id="1922596324">
          <w:marLeft w:val="806"/>
          <w:marRight w:val="0"/>
          <w:marTop w:val="200"/>
          <w:marBottom w:val="0"/>
          <w:divBdr>
            <w:top w:val="none" w:sz="0" w:space="0" w:color="auto"/>
            <w:left w:val="none" w:sz="0" w:space="0" w:color="auto"/>
            <w:bottom w:val="none" w:sz="0" w:space="0" w:color="auto"/>
            <w:right w:val="none" w:sz="0" w:space="0" w:color="auto"/>
          </w:divBdr>
        </w:div>
      </w:divsChild>
    </w:div>
    <w:div w:id="1417433795">
      <w:bodyDiv w:val="1"/>
      <w:marLeft w:val="0"/>
      <w:marRight w:val="0"/>
      <w:marTop w:val="0"/>
      <w:marBottom w:val="0"/>
      <w:divBdr>
        <w:top w:val="none" w:sz="0" w:space="0" w:color="auto"/>
        <w:left w:val="none" w:sz="0" w:space="0" w:color="auto"/>
        <w:bottom w:val="none" w:sz="0" w:space="0" w:color="auto"/>
        <w:right w:val="none" w:sz="0" w:space="0" w:color="auto"/>
      </w:divBdr>
      <w:divsChild>
        <w:div w:id="1039621713">
          <w:marLeft w:val="878"/>
          <w:marRight w:val="0"/>
          <w:marTop w:val="150"/>
          <w:marBottom w:val="0"/>
          <w:divBdr>
            <w:top w:val="none" w:sz="0" w:space="0" w:color="auto"/>
            <w:left w:val="none" w:sz="0" w:space="0" w:color="auto"/>
            <w:bottom w:val="none" w:sz="0" w:space="0" w:color="auto"/>
            <w:right w:val="none" w:sz="0" w:space="0" w:color="auto"/>
          </w:divBdr>
        </w:div>
        <w:div w:id="1331905382">
          <w:marLeft w:val="878"/>
          <w:marRight w:val="0"/>
          <w:marTop w:val="150"/>
          <w:marBottom w:val="0"/>
          <w:divBdr>
            <w:top w:val="none" w:sz="0" w:space="0" w:color="auto"/>
            <w:left w:val="none" w:sz="0" w:space="0" w:color="auto"/>
            <w:bottom w:val="none" w:sz="0" w:space="0" w:color="auto"/>
            <w:right w:val="none" w:sz="0" w:space="0" w:color="auto"/>
          </w:divBdr>
        </w:div>
        <w:div w:id="774593165">
          <w:marLeft w:val="878"/>
          <w:marRight w:val="0"/>
          <w:marTop w:val="150"/>
          <w:marBottom w:val="0"/>
          <w:divBdr>
            <w:top w:val="none" w:sz="0" w:space="0" w:color="auto"/>
            <w:left w:val="none" w:sz="0" w:space="0" w:color="auto"/>
            <w:bottom w:val="none" w:sz="0" w:space="0" w:color="auto"/>
            <w:right w:val="none" w:sz="0" w:space="0" w:color="auto"/>
          </w:divBdr>
        </w:div>
        <w:div w:id="25377241">
          <w:marLeft w:val="878"/>
          <w:marRight w:val="0"/>
          <w:marTop w:val="150"/>
          <w:marBottom w:val="0"/>
          <w:divBdr>
            <w:top w:val="none" w:sz="0" w:space="0" w:color="auto"/>
            <w:left w:val="none" w:sz="0" w:space="0" w:color="auto"/>
            <w:bottom w:val="none" w:sz="0" w:space="0" w:color="auto"/>
            <w:right w:val="none" w:sz="0" w:space="0" w:color="auto"/>
          </w:divBdr>
        </w:div>
      </w:divsChild>
    </w:div>
    <w:div w:id="1723164715">
      <w:bodyDiv w:val="1"/>
      <w:marLeft w:val="0"/>
      <w:marRight w:val="0"/>
      <w:marTop w:val="0"/>
      <w:marBottom w:val="0"/>
      <w:divBdr>
        <w:top w:val="none" w:sz="0" w:space="0" w:color="auto"/>
        <w:left w:val="none" w:sz="0" w:space="0" w:color="auto"/>
        <w:bottom w:val="none" w:sz="0" w:space="0" w:color="auto"/>
        <w:right w:val="none" w:sz="0" w:space="0" w:color="auto"/>
      </w:divBdr>
      <w:divsChild>
        <w:div w:id="1148010241">
          <w:marLeft w:val="274"/>
          <w:marRight w:val="0"/>
          <w:marTop w:val="0"/>
          <w:marBottom w:val="0"/>
          <w:divBdr>
            <w:top w:val="none" w:sz="0" w:space="0" w:color="auto"/>
            <w:left w:val="none" w:sz="0" w:space="0" w:color="auto"/>
            <w:bottom w:val="none" w:sz="0" w:space="0" w:color="auto"/>
            <w:right w:val="none" w:sz="0" w:space="0" w:color="auto"/>
          </w:divBdr>
        </w:div>
        <w:div w:id="893542864">
          <w:marLeft w:val="274"/>
          <w:marRight w:val="0"/>
          <w:marTop w:val="0"/>
          <w:marBottom w:val="0"/>
          <w:divBdr>
            <w:top w:val="none" w:sz="0" w:space="0" w:color="auto"/>
            <w:left w:val="none" w:sz="0" w:space="0" w:color="auto"/>
            <w:bottom w:val="none" w:sz="0" w:space="0" w:color="auto"/>
            <w:right w:val="none" w:sz="0" w:space="0" w:color="auto"/>
          </w:divBdr>
        </w:div>
        <w:div w:id="1523473587">
          <w:marLeft w:val="274"/>
          <w:marRight w:val="0"/>
          <w:marTop w:val="0"/>
          <w:marBottom w:val="0"/>
          <w:divBdr>
            <w:top w:val="none" w:sz="0" w:space="0" w:color="auto"/>
            <w:left w:val="none" w:sz="0" w:space="0" w:color="auto"/>
            <w:bottom w:val="none" w:sz="0" w:space="0" w:color="auto"/>
            <w:right w:val="none" w:sz="0" w:space="0" w:color="auto"/>
          </w:divBdr>
        </w:div>
        <w:div w:id="1365445183">
          <w:marLeft w:val="274"/>
          <w:marRight w:val="0"/>
          <w:marTop w:val="0"/>
          <w:marBottom w:val="0"/>
          <w:divBdr>
            <w:top w:val="none" w:sz="0" w:space="0" w:color="auto"/>
            <w:left w:val="none" w:sz="0" w:space="0" w:color="auto"/>
            <w:bottom w:val="none" w:sz="0" w:space="0" w:color="auto"/>
            <w:right w:val="none" w:sz="0" w:space="0" w:color="auto"/>
          </w:divBdr>
        </w:div>
        <w:div w:id="129171634">
          <w:marLeft w:val="274"/>
          <w:marRight w:val="0"/>
          <w:marTop w:val="0"/>
          <w:marBottom w:val="0"/>
          <w:divBdr>
            <w:top w:val="none" w:sz="0" w:space="0" w:color="auto"/>
            <w:left w:val="none" w:sz="0" w:space="0" w:color="auto"/>
            <w:bottom w:val="none" w:sz="0" w:space="0" w:color="auto"/>
            <w:right w:val="none" w:sz="0" w:space="0" w:color="auto"/>
          </w:divBdr>
        </w:div>
        <w:div w:id="1240751209">
          <w:marLeft w:val="274"/>
          <w:marRight w:val="0"/>
          <w:marTop w:val="0"/>
          <w:marBottom w:val="0"/>
          <w:divBdr>
            <w:top w:val="none" w:sz="0" w:space="0" w:color="auto"/>
            <w:left w:val="none" w:sz="0" w:space="0" w:color="auto"/>
            <w:bottom w:val="none" w:sz="0" w:space="0" w:color="auto"/>
            <w:right w:val="none" w:sz="0" w:space="0" w:color="auto"/>
          </w:divBdr>
        </w:div>
        <w:div w:id="501042279">
          <w:marLeft w:val="274"/>
          <w:marRight w:val="0"/>
          <w:marTop w:val="0"/>
          <w:marBottom w:val="0"/>
          <w:divBdr>
            <w:top w:val="none" w:sz="0" w:space="0" w:color="auto"/>
            <w:left w:val="none" w:sz="0" w:space="0" w:color="auto"/>
            <w:bottom w:val="none" w:sz="0" w:space="0" w:color="auto"/>
            <w:right w:val="none" w:sz="0" w:space="0" w:color="auto"/>
          </w:divBdr>
        </w:div>
        <w:div w:id="17658910">
          <w:marLeft w:val="274"/>
          <w:marRight w:val="0"/>
          <w:marTop w:val="0"/>
          <w:marBottom w:val="0"/>
          <w:divBdr>
            <w:top w:val="none" w:sz="0" w:space="0" w:color="auto"/>
            <w:left w:val="none" w:sz="0" w:space="0" w:color="auto"/>
            <w:bottom w:val="none" w:sz="0" w:space="0" w:color="auto"/>
            <w:right w:val="none" w:sz="0" w:space="0" w:color="auto"/>
          </w:divBdr>
        </w:div>
        <w:div w:id="298995384">
          <w:marLeft w:val="274"/>
          <w:marRight w:val="0"/>
          <w:marTop w:val="0"/>
          <w:marBottom w:val="0"/>
          <w:divBdr>
            <w:top w:val="none" w:sz="0" w:space="0" w:color="auto"/>
            <w:left w:val="none" w:sz="0" w:space="0" w:color="auto"/>
            <w:bottom w:val="none" w:sz="0" w:space="0" w:color="auto"/>
            <w:right w:val="none" w:sz="0" w:space="0" w:color="auto"/>
          </w:divBdr>
        </w:div>
        <w:div w:id="1976132905">
          <w:marLeft w:val="274"/>
          <w:marRight w:val="0"/>
          <w:marTop w:val="0"/>
          <w:marBottom w:val="0"/>
          <w:divBdr>
            <w:top w:val="none" w:sz="0" w:space="0" w:color="auto"/>
            <w:left w:val="none" w:sz="0" w:space="0" w:color="auto"/>
            <w:bottom w:val="none" w:sz="0" w:space="0" w:color="auto"/>
            <w:right w:val="none" w:sz="0" w:space="0" w:color="auto"/>
          </w:divBdr>
        </w:div>
      </w:divsChild>
    </w:div>
    <w:div w:id="2078555819">
      <w:bodyDiv w:val="1"/>
      <w:marLeft w:val="0"/>
      <w:marRight w:val="0"/>
      <w:marTop w:val="0"/>
      <w:marBottom w:val="0"/>
      <w:divBdr>
        <w:top w:val="none" w:sz="0" w:space="0" w:color="auto"/>
        <w:left w:val="none" w:sz="0" w:space="0" w:color="auto"/>
        <w:bottom w:val="none" w:sz="0" w:space="0" w:color="auto"/>
        <w:right w:val="none" w:sz="0" w:space="0" w:color="auto"/>
      </w:divBdr>
      <w:divsChild>
        <w:div w:id="1516188855">
          <w:marLeft w:val="403"/>
          <w:marRight w:val="0"/>
          <w:marTop w:val="0"/>
          <w:marBottom w:val="90"/>
          <w:divBdr>
            <w:top w:val="none" w:sz="0" w:space="0" w:color="auto"/>
            <w:left w:val="none" w:sz="0" w:space="0" w:color="auto"/>
            <w:bottom w:val="none" w:sz="0" w:space="0" w:color="auto"/>
            <w:right w:val="none" w:sz="0" w:space="0" w:color="auto"/>
          </w:divBdr>
        </w:div>
        <w:div w:id="964778739">
          <w:marLeft w:val="403"/>
          <w:marRight w:val="0"/>
          <w:marTop w:val="0"/>
          <w:marBottom w:val="90"/>
          <w:divBdr>
            <w:top w:val="none" w:sz="0" w:space="0" w:color="auto"/>
            <w:left w:val="none" w:sz="0" w:space="0" w:color="auto"/>
            <w:bottom w:val="none" w:sz="0" w:space="0" w:color="auto"/>
            <w:right w:val="none" w:sz="0" w:space="0" w:color="auto"/>
          </w:divBdr>
        </w:div>
        <w:div w:id="305208832">
          <w:marLeft w:val="403"/>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onerscourt.vic.gov.au/sites/default/files/2018-12/mettalokamalindahalwala_585715.pdf" TargetMode="Externa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gmapubs.onlinelibrary.wiley.com/doi/full/10.1111/j.1547-5069.2009.01330.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tersafercare.vic.gov.au/sites/default/files/2019-02/Partnering%20in%20healthcare%20framework%202019_WEB.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4sportal.safetyandquality.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ja.com.au/system/files/issues/209_11/10.5694mja18.00755.pdf"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2.%20Councils%20and%20boards\VCC_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1432ADE2CE4C1AB5A7E612D8A6592A"/>
        <w:category>
          <w:name w:val="General"/>
          <w:gallery w:val="placeholder"/>
        </w:category>
        <w:types>
          <w:type w:val="bbPlcHdr"/>
        </w:types>
        <w:behaviors>
          <w:behavior w:val="content"/>
        </w:behaviors>
        <w:guid w:val="{8E3EC5E8-EE33-4726-8E5D-AB2209FFB527}"/>
      </w:docPartPr>
      <w:docPartBody>
        <w:p w:rsidR="006E4229" w:rsidRDefault="006E4229">
          <w:pPr>
            <w:pStyle w:val="7C1432ADE2CE4C1AB5A7E612D8A6592A"/>
          </w:pPr>
          <w:r w:rsidRPr="008037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IC">
    <w:panose1 w:val="00000500000000000000"/>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aleway">
    <w:charset w:val="00"/>
    <w:family w:val="swiss"/>
    <w:pitch w:val="variable"/>
    <w:sig w:usb0="A00002FF" w:usb1="5000205B" w:usb2="00000000" w:usb3="00000000" w:csb0="00000097"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229"/>
    <w:rsid w:val="000464A6"/>
    <w:rsid w:val="00173F46"/>
    <w:rsid w:val="006E4229"/>
    <w:rsid w:val="00BD672E"/>
    <w:rsid w:val="00D04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7C1432ADE2CE4C1AB5A7E612D8A6592A">
    <w:name w:val="7C1432ADE2CE4C1AB5A7E612D8A65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01714-9AAE-4D91-A79F-2FD19515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VCC_Blank.dotx</Template>
  <TotalTime>27</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Communique | Meeting 1 2019</vt:lpstr>
    </vt:vector>
  </TitlesOfParts>
  <Company>Department of Treasury and Finance</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 | Meeting 1 2019</dc:title>
  <dc:creator>Lauren Robb (DHHS)</dc:creator>
  <cp:lastModifiedBy>Freya Jones (DHHS)</cp:lastModifiedBy>
  <cp:revision>7</cp:revision>
  <cp:lastPrinted>2018-05-20T09:23:00Z</cp:lastPrinted>
  <dcterms:created xsi:type="dcterms:W3CDTF">2019-05-06T02:21:00Z</dcterms:created>
  <dcterms:modified xsi:type="dcterms:W3CDTF">2019-05-06T22:30:00Z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