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CF" w:rsidRPr="000F3ECF" w:rsidRDefault="00727ECC" w:rsidP="001F3F3C">
      <w:pPr>
        <w:pStyle w:val="Title"/>
        <w:rPr>
          <w:rFonts w:ascii="VIC" w:eastAsiaTheme="majorEastAsia" w:hAnsi="VIC" w:cstheme="majorBidi"/>
          <w:b w:val="0"/>
          <w:bCs/>
          <w:color w:val="004EA8"/>
          <w:spacing w:val="-1"/>
          <w:sz w:val="40"/>
          <w:szCs w:val="28"/>
        </w:rPr>
      </w:pPr>
      <w:bookmarkStart w:id="0" w:name="_Hlk11398356"/>
      <w:r w:rsidRPr="000F3ECF">
        <w:rPr>
          <w:rFonts w:ascii="VIC" w:eastAsiaTheme="majorEastAsia" w:hAnsi="VIC" w:cstheme="majorBidi"/>
          <w:b w:val="0"/>
          <w:bCs/>
          <w:color w:val="004EA8"/>
          <w:spacing w:val="-1"/>
          <w:sz w:val="40"/>
          <w:szCs w:val="28"/>
        </w:rPr>
        <w:t xml:space="preserve">Communique | Meeting </w:t>
      </w:r>
      <w:r w:rsidR="00203DEF" w:rsidRPr="000F3ECF">
        <w:rPr>
          <w:rFonts w:ascii="VIC" w:eastAsiaTheme="majorEastAsia" w:hAnsi="VIC" w:cstheme="majorBidi"/>
          <w:b w:val="0"/>
          <w:bCs/>
          <w:color w:val="004EA8"/>
          <w:spacing w:val="-1"/>
          <w:sz w:val="40"/>
          <w:szCs w:val="28"/>
        </w:rPr>
        <w:t>2</w:t>
      </w:r>
      <w:r w:rsidRPr="000F3ECF">
        <w:rPr>
          <w:rFonts w:ascii="VIC" w:eastAsiaTheme="majorEastAsia" w:hAnsi="VIC" w:cstheme="majorBidi"/>
          <w:b w:val="0"/>
          <w:bCs/>
          <w:color w:val="004EA8"/>
          <w:spacing w:val="-1"/>
          <w:sz w:val="40"/>
          <w:szCs w:val="28"/>
        </w:rPr>
        <w:t xml:space="preserve"> 201</w:t>
      </w:r>
      <w:r w:rsidR="00A56460" w:rsidRPr="000F3ECF">
        <w:rPr>
          <w:rFonts w:ascii="VIC" w:eastAsiaTheme="majorEastAsia" w:hAnsi="VIC" w:cstheme="majorBidi"/>
          <w:b w:val="0"/>
          <w:bCs/>
          <w:color w:val="004EA8"/>
          <w:spacing w:val="-1"/>
          <w:sz w:val="40"/>
          <w:szCs w:val="28"/>
        </w:rPr>
        <w:t xml:space="preserve">9 </w:t>
      </w:r>
    </w:p>
    <w:p w:rsidR="00E131C8" w:rsidRPr="000F3ECF" w:rsidRDefault="00203DEF" w:rsidP="001F3F3C">
      <w:pPr>
        <w:pStyle w:val="Title"/>
        <w:rPr>
          <w:b w:val="0"/>
          <w:color w:val="004EA8"/>
        </w:rPr>
      </w:pPr>
      <w:r w:rsidRPr="000F3ECF">
        <w:rPr>
          <w:rFonts w:ascii="VIC SemiBold" w:eastAsiaTheme="majorEastAsia" w:hAnsi="VIC SemiBold" w:cstheme="majorBidi"/>
          <w:b w:val="0"/>
          <w:bCs/>
          <w:color w:val="004EA8"/>
          <w:spacing w:val="-1"/>
          <w:sz w:val="40"/>
          <w:szCs w:val="28"/>
        </w:rPr>
        <w:t>‘Count me in’: measure development and public reporting</w:t>
      </w:r>
    </w:p>
    <w:bookmarkEnd w:id="0"/>
    <w:p w:rsidR="001916FE" w:rsidRPr="00401591" w:rsidRDefault="006809F6" w:rsidP="00401591">
      <w:pPr>
        <w:pStyle w:val="Normalfollowingheading"/>
        <w:rPr>
          <w:rFonts w:ascii="VIC" w:hAnsi="VIC"/>
        </w:rPr>
        <w:sectPr w:rsidR="001916FE" w:rsidRPr="00401591" w:rsidSect="00663D4D">
          <w:footerReference w:type="default" r:id="rId8"/>
          <w:headerReference w:type="first" r:id="rId9"/>
          <w:type w:val="continuous"/>
          <w:pgSz w:w="11906" w:h="16838" w:code="9"/>
          <w:pgMar w:top="2438" w:right="1021" w:bottom="1021" w:left="1021" w:header="539" w:footer="624" w:gutter="0"/>
          <w:cols w:space="284"/>
          <w:titlePg/>
          <w:docGrid w:linePitch="360"/>
        </w:sectPr>
      </w:pPr>
      <w:r>
        <w:rPr>
          <w:rFonts w:ascii="VIC" w:hAnsi="VIC"/>
        </w:rPr>
        <w:t xml:space="preserve">The Victorian Clinical Council (the council) </w:t>
      </w:r>
      <w:r w:rsidR="009B444E">
        <w:rPr>
          <w:rFonts w:ascii="VIC" w:hAnsi="VIC"/>
        </w:rPr>
        <w:t xml:space="preserve">partnered with the </w:t>
      </w:r>
      <w:r w:rsidR="009B444E" w:rsidRPr="00D72DD5">
        <w:rPr>
          <w:rFonts w:ascii="VIC" w:hAnsi="VIC" w:cs="Arial"/>
        </w:rPr>
        <w:t>Victorian Agency for Health Information</w:t>
      </w:r>
      <w:r w:rsidR="009B444E">
        <w:rPr>
          <w:rFonts w:ascii="VIC" w:hAnsi="VIC" w:cs="Arial"/>
        </w:rPr>
        <w:t xml:space="preserve"> </w:t>
      </w:r>
      <w:r w:rsidR="009B444E" w:rsidRPr="00D72DD5">
        <w:rPr>
          <w:rFonts w:ascii="VIC" w:hAnsi="VIC" w:cs="Arial"/>
        </w:rPr>
        <w:t>(VAHI)</w:t>
      </w:r>
      <w:r w:rsidR="009B444E">
        <w:rPr>
          <w:rFonts w:ascii="VIC" w:hAnsi="VIC" w:cs="Arial"/>
        </w:rPr>
        <w:t xml:space="preserve"> to hold a forum on Thursday 6 June</w:t>
      </w:r>
      <w:r w:rsidR="00401591">
        <w:rPr>
          <w:rFonts w:ascii="VIC" w:hAnsi="VIC" w:cs="Arial"/>
        </w:rPr>
        <w:t xml:space="preserve"> </w:t>
      </w:r>
      <w:r w:rsidR="009B444E">
        <w:rPr>
          <w:rFonts w:ascii="VIC" w:hAnsi="VIC" w:cs="Arial"/>
        </w:rPr>
        <w:t xml:space="preserve">2019 to inform the 2019-20 workplan for measures development </w:t>
      </w:r>
      <w:r w:rsidR="00EC0AC4">
        <w:rPr>
          <w:rFonts w:ascii="VIC" w:hAnsi="VIC"/>
        </w:rPr>
        <w:t xml:space="preserve">for the health system </w:t>
      </w:r>
      <w:r w:rsidR="00AD0EBF">
        <w:rPr>
          <w:rFonts w:ascii="VIC" w:hAnsi="VIC"/>
        </w:rPr>
        <w:t>and</w:t>
      </w:r>
      <w:r w:rsidR="00EC0AC4" w:rsidRPr="00EC0AC4">
        <w:rPr>
          <w:rFonts w:ascii="VIC" w:hAnsi="VIC"/>
        </w:rPr>
        <w:t xml:space="preserve"> </w:t>
      </w:r>
      <w:r w:rsidR="009B444E">
        <w:rPr>
          <w:rFonts w:ascii="VIC" w:hAnsi="VIC"/>
        </w:rPr>
        <w:t xml:space="preserve">VAHI’s </w:t>
      </w:r>
      <w:r w:rsidR="00EC0AC4" w:rsidRPr="00EC0AC4">
        <w:rPr>
          <w:rFonts w:ascii="VIC" w:hAnsi="VIC"/>
        </w:rPr>
        <w:t>public reporting</w:t>
      </w:r>
      <w:r w:rsidR="009B444E">
        <w:rPr>
          <w:rFonts w:ascii="VIC" w:hAnsi="VIC"/>
        </w:rPr>
        <w:t xml:space="preserve"> program</w:t>
      </w:r>
      <w:r w:rsidR="00401591">
        <w:rPr>
          <w:rFonts w:ascii="VIC" w:hAnsi="VIC"/>
        </w:rPr>
        <w:t xml:space="preserve">. </w:t>
      </w:r>
    </w:p>
    <w:p w:rsidR="00A3541F" w:rsidRPr="001916FE" w:rsidRDefault="00A3541F" w:rsidP="001916FE">
      <w:pPr>
        <w:pStyle w:val="Heading2"/>
        <w:rPr>
          <w:rFonts w:ascii="VIC SemiBold" w:hAnsi="VIC SemiBold"/>
          <w:b w:val="0"/>
        </w:rPr>
      </w:pPr>
      <w:r w:rsidRPr="001916FE">
        <w:rPr>
          <w:rFonts w:ascii="VIC SemiBold" w:hAnsi="VIC SemiBold"/>
          <w:b w:val="0"/>
        </w:rPr>
        <w:t>Purpose</w:t>
      </w:r>
    </w:p>
    <w:p w:rsidR="00A3541F" w:rsidRPr="00D72DD5" w:rsidRDefault="000F3ECF" w:rsidP="00A3541F">
      <w:pPr>
        <w:pStyle w:val="DHHStablebullet"/>
        <w:numPr>
          <w:ilvl w:val="0"/>
          <w:numId w:val="0"/>
        </w:numPr>
        <w:rPr>
          <w:rFonts w:ascii="VIC" w:hAnsi="VIC" w:cs="Arial"/>
        </w:rPr>
      </w:pPr>
      <w:r>
        <w:rPr>
          <w:rFonts w:ascii="VIC" w:hAnsi="VIC" w:cs="Arial"/>
        </w:rPr>
        <w:t>Council members came together to provide</w:t>
      </w:r>
      <w:r w:rsidR="00A3541F" w:rsidRPr="00D72DD5">
        <w:rPr>
          <w:rFonts w:ascii="VIC" w:hAnsi="VIC" w:cs="Arial"/>
        </w:rPr>
        <w:t xml:space="preserve"> advice to VAHI on</w:t>
      </w:r>
      <w:r>
        <w:rPr>
          <w:rFonts w:ascii="VIC" w:hAnsi="VIC" w:cs="Arial"/>
        </w:rPr>
        <w:t>:</w:t>
      </w:r>
      <w:r w:rsidR="00A3541F" w:rsidRPr="00D72DD5">
        <w:rPr>
          <w:rFonts w:ascii="VIC" w:hAnsi="VIC" w:cs="Arial"/>
        </w:rPr>
        <w:t xml:space="preserve"> </w:t>
      </w:r>
    </w:p>
    <w:p w:rsidR="00A3541F" w:rsidRPr="00EC0AC4" w:rsidRDefault="00A3541F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</w:rPr>
      </w:pPr>
      <w:r w:rsidRPr="00EC0AC4">
        <w:rPr>
          <w:rFonts w:ascii="VIC" w:hAnsi="VIC"/>
        </w:rPr>
        <w:t>confirmation of high priority domains</w:t>
      </w:r>
    </w:p>
    <w:p w:rsidR="00A3541F" w:rsidRPr="00EC0AC4" w:rsidRDefault="00A3541F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</w:rPr>
      </w:pPr>
      <w:r w:rsidRPr="00EC0AC4">
        <w:rPr>
          <w:rFonts w:ascii="VIC" w:hAnsi="VIC"/>
        </w:rPr>
        <w:t>identification of measures that fill gaps in current reporting</w:t>
      </w:r>
    </w:p>
    <w:p w:rsidR="00782132" w:rsidRDefault="00A3541F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</w:rPr>
      </w:pPr>
      <w:r w:rsidRPr="00EC0AC4">
        <w:rPr>
          <w:rFonts w:ascii="VIC" w:hAnsi="VIC"/>
        </w:rPr>
        <w:t>shaping the agenda for future public reporting.</w:t>
      </w:r>
    </w:p>
    <w:p w:rsidR="00782132" w:rsidRPr="00782132" w:rsidRDefault="00782132" w:rsidP="00D14370">
      <w:pPr>
        <w:pStyle w:val="Normalfollowingheading"/>
        <w:spacing w:before="60"/>
        <w:rPr>
          <w:rFonts w:ascii="VIC" w:hAnsi="VIC"/>
        </w:rPr>
      </w:pPr>
      <w:r w:rsidRPr="00782132">
        <w:rPr>
          <w:rFonts w:ascii="VIC" w:hAnsi="VIC"/>
        </w:rPr>
        <w:t xml:space="preserve">Associate Professor Jill Sewell, Chair of the </w:t>
      </w:r>
      <w:r w:rsidR="000F3ECF">
        <w:rPr>
          <w:rFonts w:ascii="VIC" w:hAnsi="VIC"/>
        </w:rPr>
        <w:t>c</w:t>
      </w:r>
      <w:r w:rsidR="000F3ECF" w:rsidRPr="00782132">
        <w:rPr>
          <w:rFonts w:ascii="VIC" w:hAnsi="VIC"/>
        </w:rPr>
        <w:t xml:space="preserve">ouncil </w:t>
      </w:r>
      <w:r w:rsidRPr="00782132">
        <w:rPr>
          <w:rFonts w:ascii="VIC" w:hAnsi="VIC"/>
        </w:rPr>
        <w:t>provided a</w:t>
      </w:r>
      <w:r w:rsidR="000F3ECF">
        <w:rPr>
          <w:rFonts w:ascii="VIC" w:hAnsi="VIC"/>
        </w:rPr>
        <w:t>n</w:t>
      </w:r>
      <w:r w:rsidRPr="00782132">
        <w:rPr>
          <w:rFonts w:ascii="VIC" w:hAnsi="VIC"/>
        </w:rPr>
        <w:t xml:space="preserve"> update </w:t>
      </w:r>
      <w:r w:rsidR="000F3ECF">
        <w:rPr>
          <w:rFonts w:ascii="VIC" w:hAnsi="VIC"/>
        </w:rPr>
        <w:t>on the</w:t>
      </w:r>
      <w:r w:rsidRPr="00782132">
        <w:rPr>
          <w:rFonts w:ascii="VIC" w:hAnsi="VIC"/>
        </w:rPr>
        <w:t xml:space="preserve"> progress of advice from previous meetings including </w:t>
      </w:r>
      <w:r w:rsidR="000F3ECF" w:rsidRPr="00782132">
        <w:rPr>
          <w:rFonts w:ascii="VIC" w:hAnsi="VIC"/>
        </w:rPr>
        <w:t>diversity and cultural safety and communicating for safety</w:t>
      </w:r>
      <w:r w:rsidRPr="00782132">
        <w:rPr>
          <w:rFonts w:ascii="VIC" w:hAnsi="VIC"/>
        </w:rPr>
        <w:t xml:space="preserve">. The </w:t>
      </w:r>
      <w:r w:rsidR="000F3ECF">
        <w:rPr>
          <w:rFonts w:ascii="VIC" w:hAnsi="VIC"/>
        </w:rPr>
        <w:t>c</w:t>
      </w:r>
      <w:r w:rsidR="000F3ECF" w:rsidRPr="00782132">
        <w:rPr>
          <w:rFonts w:ascii="VIC" w:hAnsi="VIC"/>
        </w:rPr>
        <w:t>ouncil</w:t>
      </w:r>
      <w:r w:rsidR="000F3ECF">
        <w:rPr>
          <w:rFonts w:ascii="VIC" w:hAnsi="VIC"/>
        </w:rPr>
        <w:t xml:space="preserve"> </w:t>
      </w:r>
      <w:r w:rsidR="00796884">
        <w:rPr>
          <w:rFonts w:ascii="VIC" w:hAnsi="VIC"/>
        </w:rPr>
        <w:t xml:space="preserve">was </w:t>
      </w:r>
      <w:r w:rsidRPr="00782132">
        <w:rPr>
          <w:rFonts w:ascii="VIC" w:hAnsi="VIC"/>
        </w:rPr>
        <w:t>also updated on the recruitment of 10 new members to fill existing and new positions</w:t>
      </w:r>
      <w:r w:rsidR="000F3ECF">
        <w:rPr>
          <w:rFonts w:ascii="VIC" w:hAnsi="VIC"/>
        </w:rPr>
        <w:t xml:space="preserve"> and</w:t>
      </w:r>
      <w:r w:rsidRPr="00782132">
        <w:rPr>
          <w:rFonts w:ascii="VIC" w:hAnsi="VIC"/>
        </w:rPr>
        <w:t xml:space="preserve"> </w:t>
      </w:r>
      <w:r w:rsidR="000F3ECF" w:rsidRPr="00782132">
        <w:rPr>
          <w:rFonts w:ascii="VIC" w:hAnsi="VIC"/>
        </w:rPr>
        <w:t>ensur</w:t>
      </w:r>
      <w:r w:rsidR="000F3ECF">
        <w:rPr>
          <w:rFonts w:ascii="VIC" w:hAnsi="VIC"/>
        </w:rPr>
        <w:t>e</w:t>
      </w:r>
      <w:r w:rsidR="000F3ECF" w:rsidRPr="00782132">
        <w:rPr>
          <w:rFonts w:ascii="VIC" w:hAnsi="VIC"/>
        </w:rPr>
        <w:t xml:space="preserve"> </w:t>
      </w:r>
      <w:r w:rsidRPr="00782132">
        <w:rPr>
          <w:rFonts w:ascii="VIC" w:hAnsi="VIC"/>
        </w:rPr>
        <w:t>a diverse and dynamic membership.</w:t>
      </w:r>
    </w:p>
    <w:p w:rsidR="00A3541F" w:rsidRPr="00727ECC" w:rsidRDefault="00A3541F" w:rsidP="00A3541F">
      <w:pPr>
        <w:pStyle w:val="Heading3"/>
        <w:rPr>
          <w:rFonts w:ascii="VIC SemiBold" w:hAnsi="VIC SemiBold"/>
          <w:b w:val="0"/>
        </w:rPr>
      </w:pPr>
      <w:r>
        <w:rPr>
          <w:rFonts w:ascii="VIC SemiBold" w:hAnsi="VIC SemiBold"/>
          <w:b w:val="0"/>
        </w:rPr>
        <w:t>Overview and context</w:t>
      </w:r>
    </w:p>
    <w:p w:rsidR="00A3541F" w:rsidRPr="00ED2E4E" w:rsidRDefault="00A3541F" w:rsidP="00297302">
      <w:pPr>
        <w:pStyle w:val="Bullet1"/>
        <w:numPr>
          <w:ilvl w:val="0"/>
          <w:numId w:val="4"/>
        </w:numPr>
        <w:rPr>
          <w:rFonts w:ascii="VIC" w:hAnsi="VIC"/>
        </w:rPr>
      </w:pPr>
      <w:r>
        <w:rPr>
          <w:rFonts w:ascii="VIC SemiBold" w:hAnsi="VIC SemiBold"/>
        </w:rPr>
        <w:t>Dr Lance Emerson</w:t>
      </w:r>
      <w:r w:rsidRPr="00CE0FDA">
        <w:rPr>
          <w:rFonts w:ascii="VIC" w:hAnsi="VIC"/>
        </w:rPr>
        <w:t xml:space="preserve">, </w:t>
      </w:r>
      <w:r>
        <w:rPr>
          <w:rFonts w:ascii="VIC" w:hAnsi="VIC"/>
        </w:rPr>
        <w:t>Chief Executive Officer, VAHI</w:t>
      </w:r>
    </w:p>
    <w:p w:rsidR="002342BE" w:rsidRPr="00A53261" w:rsidRDefault="00A3541F" w:rsidP="00A53261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 xml:space="preserve">Lance </w:t>
      </w:r>
      <w:r w:rsidR="000F3ECF">
        <w:rPr>
          <w:rFonts w:ascii="VIC" w:hAnsi="VIC"/>
        </w:rPr>
        <w:t>set the</w:t>
      </w:r>
      <w:r w:rsidR="00EC0AC4">
        <w:rPr>
          <w:rFonts w:ascii="VIC" w:hAnsi="VIC"/>
        </w:rPr>
        <w:t xml:space="preserve"> context for the meeting with an overview of the</w:t>
      </w:r>
      <w:r w:rsidR="000F3ECF">
        <w:rPr>
          <w:rFonts w:ascii="VIC" w:hAnsi="VIC"/>
        </w:rPr>
        <w:t>ir</w:t>
      </w:r>
      <w:r w:rsidR="00EC0AC4">
        <w:rPr>
          <w:rFonts w:ascii="VIC" w:hAnsi="VIC"/>
        </w:rPr>
        <w:t xml:space="preserve"> </w:t>
      </w:r>
      <w:r w:rsidR="000F3ECF">
        <w:rPr>
          <w:rFonts w:ascii="VIC" w:hAnsi="VIC"/>
        </w:rPr>
        <w:t xml:space="preserve">consultation process to develop </w:t>
      </w:r>
      <w:r w:rsidR="005105EA">
        <w:rPr>
          <w:rFonts w:ascii="VIC" w:hAnsi="VIC"/>
        </w:rPr>
        <w:t>measure</w:t>
      </w:r>
      <w:r w:rsidR="000F3ECF">
        <w:rPr>
          <w:rFonts w:ascii="VIC" w:hAnsi="VIC"/>
        </w:rPr>
        <w:t>s,</w:t>
      </w:r>
      <w:r w:rsidR="005105EA">
        <w:rPr>
          <w:rFonts w:ascii="VIC" w:hAnsi="VIC"/>
        </w:rPr>
        <w:t xml:space="preserve"> </w:t>
      </w:r>
      <w:r w:rsidR="000F3ECF">
        <w:rPr>
          <w:rFonts w:ascii="VIC" w:hAnsi="VIC"/>
        </w:rPr>
        <w:t>as well as</w:t>
      </w:r>
      <w:r w:rsidR="00EC0AC4">
        <w:rPr>
          <w:rFonts w:ascii="VIC" w:hAnsi="VIC"/>
        </w:rPr>
        <w:t xml:space="preserve"> the current </w:t>
      </w:r>
      <w:r w:rsidR="00247F45">
        <w:rPr>
          <w:rFonts w:ascii="VIC" w:hAnsi="VIC"/>
        </w:rPr>
        <w:t xml:space="preserve">reporting </w:t>
      </w:r>
      <w:r w:rsidR="00EC0AC4">
        <w:rPr>
          <w:rFonts w:ascii="VIC" w:hAnsi="VIC"/>
        </w:rPr>
        <w:t>environment</w:t>
      </w:r>
      <w:r w:rsidR="000F3ECF">
        <w:rPr>
          <w:rFonts w:ascii="VIC" w:hAnsi="VIC"/>
        </w:rPr>
        <w:t>.</w:t>
      </w:r>
      <w:r w:rsidR="000F3ECF">
        <w:t xml:space="preserve"> </w:t>
      </w:r>
      <w:r w:rsidR="000F3ECF" w:rsidRPr="00796884">
        <w:rPr>
          <w:rFonts w:ascii="VIC" w:hAnsi="VIC"/>
        </w:rPr>
        <w:t>Lance spoke about:</w:t>
      </w:r>
    </w:p>
    <w:p w:rsidR="00F545C5" w:rsidRPr="003649B7" w:rsidRDefault="00AB24D3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</w:rPr>
      </w:pPr>
      <w:r w:rsidRPr="003649B7">
        <w:rPr>
          <w:rFonts w:ascii="VIC" w:hAnsi="VIC"/>
        </w:rPr>
        <w:t>the Australian Health Performance Framework</w:t>
      </w:r>
    </w:p>
    <w:p w:rsidR="005F12DD" w:rsidRPr="003649B7" w:rsidRDefault="00AB24D3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</w:rPr>
      </w:pPr>
      <w:r w:rsidRPr="003649B7">
        <w:rPr>
          <w:rFonts w:ascii="VIC" w:hAnsi="VIC"/>
        </w:rPr>
        <w:t>c</w:t>
      </w:r>
      <w:r w:rsidR="00F545C5" w:rsidRPr="003649B7">
        <w:rPr>
          <w:rFonts w:ascii="VIC" w:hAnsi="VIC"/>
        </w:rPr>
        <w:t xml:space="preserve">urrent and future reporting and reforms including the development of </w:t>
      </w:r>
      <w:r w:rsidR="009979A8" w:rsidRPr="003649B7">
        <w:rPr>
          <w:rFonts w:ascii="VIC" w:hAnsi="VIC"/>
        </w:rPr>
        <w:t xml:space="preserve">a </w:t>
      </w:r>
      <w:r w:rsidR="000F3ECF" w:rsidRPr="003649B7">
        <w:rPr>
          <w:rFonts w:ascii="VIC" w:hAnsi="VIC"/>
        </w:rPr>
        <w:t xml:space="preserve">quality and safety </w:t>
      </w:r>
      <w:r w:rsidRPr="003649B7">
        <w:rPr>
          <w:rFonts w:ascii="VIC" w:hAnsi="VIC"/>
        </w:rPr>
        <w:t>measures</w:t>
      </w:r>
      <w:r w:rsidR="009979A8" w:rsidRPr="003649B7">
        <w:rPr>
          <w:rFonts w:ascii="VIC" w:hAnsi="VIC"/>
        </w:rPr>
        <w:t xml:space="preserve"> </w:t>
      </w:r>
      <w:r w:rsidRPr="003649B7">
        <w:rPr>
          <w:rFonts w:ascii="VIC" w:hAnsi="VIC"/>
        </w:rPr>
        <w:t xml:space="preserve">‘spine’. </w:t>
      </w:r>
    </w:p>
    <w:p w:rsidR="00A3541F" w:rsidRPr="00A3541F" w:rsidRDefault="00A3541F" w:rsidP="00A3541F">
      <w:pPr>
        <w:pStyle w:val="Heading3"/>
        <w:rPr>
          <w:rFonts w:ascii="VIC SemiBold" w:hAnsi="VIC SemiBold"/>
          <w:b w:val="0"/>
        </w:rPr>
      </w:pPr>
      <w:r w:rsidRPr="00A3541F">
        <w:rPr>
          <w:rFonts w:ascii="VIC SemiBold" w:hAnsi="VIC SemiBold"/>
          <w:b w:val="0"/>
        </w:rPr>
        <w:t>Priority domains</w:t>
      </w:r>
    </w:p>
    <w:p w:rsidR="00A3541F" w:rsidRDefault="00746A3C" w:rsidP="00297302">
      <w:pPr>
        <w:pStyle w:val="Bullet1"/>
        <w:numPr>
          <w:ilvl w:val="0"/>
          <w:numId w:val="4"/>
        </w:numPr>
        <w:rPr>
          <w:rFonts w:ascii="VIC SemiBold" w:hAnsi="VIC SemiBold"/>
        </w:rPr>
      </w:pPr>
      <w:r w:rsidRPr="00A3541F">
        <w:rPr>
          <w:rFonts w:ascii="VIC SemiBold" w:hAnsi="VIC SemiBold"/>
        </w:rPr>
        <w:t xml:space="preserve">Paula Wilton, Director, Clinical Analytics and Outcomes Research </w:t>
      </w:r>
    </w:p>
    <w:p w:rsidR="009979A8" w:rsidRPr="009979A8" w:rsidRDefault="00A3541F" w:rsidP="00CD60A6">
      <w:pPr>
        <w:pStyle w:val="Bullet1"/>
        <w:numPr>
          <w:ilvl w:val="0"/>
          <w:numId w:val="0"/>
        </w:numPr>
        <w:rPr>
          <w:rFonts w:ascii="VIC" w:hAnsi="VIC"/>
        </w:rPr>
      </w:pPr>
      <w:r w:rsidRPr="00A3541F">
        <w:rPr>
          <w:rFonts w:ascii="VIC" w:hAnsi="VIC"/>
        </w:rPr>
        <w:t xml:space="preserve">Paula </w:t>
      </w:r>
      <w:r w:rsidR="000F3ECF">
        <w:rPr>
          <w:rFonts w:ascii="VIC" w:hAnsi="VIC"/>
        </w:rPr>
        <w:t>spoke about</w:t>
      </w:r>
      <w:r w:rsidR="00216E30" w:rsidRPr="009452BA">
        <w:rPr>
          <w:rFonts w:ascii="VIC" w:hAnsi="VIC"/>
        </w:rPr>
        <w:t xml:space="preserve"> </w:t>
      </w:r>
      <w:r w:rsidR="00746A3C" w:rsidRPr="009452BA">
        <w:rPr>
          <w:rFonts w:ascii="VIC" w:hAnsi="VIC"/>
        </w:rPr>
        <w:t xml:space="preserve">the </w:t>
      </w:r>
      <w:r w:rsidR="009452BA" w:rsidRPr="009452BA">
        <w:rPr>
          <w:rFonts w:ascii="VIC" w:hAnsi="VIC"/>
        </w:rPr>
        <w:t xml:space="preserve">VAHI </w:t>
      </w:r>
      <w:r w:rsidR="00796884">
        <w:rPr>
          <w:rFonts w:ascii="VIC" w:hAnsi="VIC"/>
        </w:rPr>
        <w:t>and coun</w:t>
      </w:r>
      <w:r w:rsidR="00086DFD">
        <w:rPr>
          <w:rFonts w:ascii="VIC" w:hAnsi="VIC"/>
        </w:rPr>
        <w:t>cil</w:t>
      </w:r>
      <w:r w:rsidR="009452BA">
        <w:rPr>
          <w:rFonts w:ascii="VIC" w:hAnsi="VIC"/>
          <w:b/>
        </w:rPr>
        <w:t xml:space="preserve"> </w:t>
      </w:r>
      <w:r w:rsidR="00746A3C" w:rsidRPr="000F3ECF">
        <w:rPr>
          <w:rFonts w:ascii="VIC" w:hAnsi="VIC"/>
        </w:rPr>
        <w:t>prioritisation process</w:t>
      </w:r>
      <w:r w:rsidR="00746A3C" w:rsidRPr="00A3541F">
        <w:rPr>
          <w:rFonts w:ascii="VIC" w:hAnsi="VIC"/>
        </w:rPr>
        <w:t xml:space="preserve"> </w:t>
      </w:r>
      <w:r w:rsidR="000F3ECF">
        <w:rPr>
          <w:rFonts w:ascii="VIC" w:hAnsi="VIC"/>
        </w:rPr>
        <w:t>to</w:t>
      </w:r>
      <w:r w:rsidR="000F3ECF" w:rsidRPr="00A3541F">
        <w:rPr>
          <w:rFonts w:ascii="VIC" w:hAnsi="VIC"/>
        </w:rPr>
        <w:t xml:space="preserve"> </w:t>
      </w:r>
      <w:r w:rsidR="00746A3C" w:rsidRPr="00A3541F">
        <w:rPr>
          <w:rFonts w:ascii="VIC" w:hAnsi="VIC"/>
        </w:rPr>
        <w:t xml:space="preserve">identify </w:t>
      </w:r>
      <w:r w:rsidR="00A53261">
        <w:rPr>
          <w:rFonts w:ascii="VIC" w:hAnsi="VIC"/>
        </w:rPr>
        <w:t xml:space="preserve">clinical and population </w:t>
      </w:r>
      <w:r w:rsidR="00746A3C" w:rsidRPr="00A3541F">
        <w:rPr>
          <w:rFonts w:ascii="VIC" w:hAnsi="VIC"/>
        </w:rPr>
        <w:t>domains for measure development</w:t>
      </w:r>
      <w:r w:rsidR="00CD60A6">
        <w:rPr>
          <w:rFonts w:ascii="VIC" w:hAnsi="VIC"/>
        </w:rPr>
        <w:t>. A matrix was used to</w:t>
      </w:r>
      <w:r w:rsidR="00693918">
        <w:rPr>
          <w:rFonts w:ascii="VIC" w:hAnsi="VIC"/>
        </w:rPr>
        <w:t xml:space="preserve"> show</w:t>
      </w:r>
      <w:r w:rsidR="00CD60A6">
        <w:rPr>
          <w:rFonts w:ascii="VIC" w:hAnsi="VIC"/>
        </w:rPr>
        <w:t xml:space="preserve"> </w:t>
      </w:r>
      <w:r w:rsidR="00BA263D">
        <w:rPr>
          <w:rFonts w:ascii="VIC" w:hAnsi="VIC"/>
        </w:rPr>
        <w:t>analysis of</w:t>
      </w:r>
      <w:r w:rsidR="00CD60A6">
        <w:rPr>
          <w:rFonts w:ascii="VIC" w:hAnsi="VIC"/>
        </w:rPr>
        <w:t xml:space="preserve"> the domains according to </w:t>
      </w:r>
      <w:r w:rsidR="00CD60A6">
        <w:rPr>
          <w:rFonts w:ascii="VIC" w:hAnsi="VIC"/>
          <w:bCs/>
        </w:rPr>
        <w:t>s</w:t>
      </w:r>
      <w:r w:rsidR="009979A8">
        <w:rPr>
          <w:rFonts w:ascii="VIC" w:hAnsi="VIC"/>
          <w:bCs/>
        </w:rPr>
        <w:t>trategic d</w:t>
      </w:r>
      <w:r w:rsidR="009979A8" w:rsidRPr="009979A8">
        <w:rPr>
          <w:rFonts w:ascii="VIC" w:hAnsi="VIC"/>
          <w:bCs/>
        </w:rPr>
        <w:t>ocuments</w:t>
      </w:r>
      <w:r w:rsidR="00CD60A6">
        <w:rPr>
          <w:rFonts w:ascii="VIC" w:hAnsi="VIC"/>
          <w:bCs/>
        </w:rPr>
        <w:t xml:space="preserve">, </w:t>
      </w:r>
      <w:r w:rsidR="00AB24D3" w:rsidRPr="009979A8">
        <w:rPr>
          <w:rFonts w:ascii="VIC" w:hAnsi="VIC"/>
          <w:bCs/>
        </w:rPr>
        <w:t xml:space="preserve">burden of disease </w:t>
      </w:r>
      <w:r w:rsidR="00CD60A6">
        <w:rPr>
          <w:rFonts w:ascii="VIC" w:hAnsi="VIC"/>
          <w:bCs/>
        </w:rPr>
        <w:t xml:space="preserve">and </w:t>
      </w:r>
      <w:r w:rsidR="00AB24D3" w:rsidRPr="009979A8">
        <w:rPr>
          <w:rFonts w:ascii="VIC" w:hAnsi="VIC"/>
          <w:bCs/>
        </w:rPr>
        <w:t>clinical variation</w:t>
      </w:r>
      <w:r w:rsidR="00CD60A6">
        <w:rPr>
          <w:rFonts w:ascii="VIC" w:hAnsi="VIC"/>
          <w:bCs/>
        </w:rPr>
        <w:t>.</w:t>
      </w:r>
    </w:p>
    <w:p w:rsidR="00746A3C" w:rsidRDefault="00CD60A6" w:rsidP="00A3541F">
      <w:pPr>
        <w:pStyle w:val="Bullet1"/>
        <w:numPr>
          <w:ilvl w:val="0"/>
          <w:numId w:val="0"/>
        </w:numPr>
        <w:rPr>
          <w:rFonts w:ascii="VIC" w:hAnsi="VIC"/>
        </w:rPr>
      </w:pPr>
      <w:r w:rsidRPr="003649B7">
        <w:rPr>
          <w:rFonts w:ascii="VIC" w:hAnsi="VIC"/>
          <w:b/>
        </w:rPr>
        <w:t>The final</w:t>
      </w:r>
      <w:r w:rsidR="009979A8" w:rsidRPr="003649B7">
        <w:rPr>
          <w:rFonts w:ascii="VIC" w:hAnsi="VIC"/>
          <w:b/>
        </w:rPr>
        <w:t xml:space="preserve"> 1</w:t>
      </w:r>
      <w:r w:rsidR="00BA263D" w:rsidRPr="003649B7">
        <w:rPr>
          <w:rFonts w:ascii="VIC" w:hAnsi="VIC"/>
          <w:b/>
        </w:rPr>
        <w:t>0</w:t>
      </w:r>
      <w:r w:rsidR="009979A8" w:rsidRPr="003649B7">
        <w:rPr>
          <w:rFonts w:ascii="VIC" w:hAnsi="VIC"/>
          <w:b/>
        </w:rPr>
        <w:t xml:space="preserve"> domains</w:t>
      </w:r>
      <w:r w:rsidRPr="003649B7">
        <w:rPr>
          <w:rFonts w:ascii="VIC" w:hAnsi="VIC"/>
          <w:b/>
        </w:rPr>
        <w:t xml:space="preserve"> were</w:t>
      </w:r>
      <w:r w:rsidR="009979A8">
        <w:rPr>
          <w:rFonts w:ascii="VIC" w:hAnsi="VIC"/>
        </w:rPr>
        <w:t>: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Aboriginal and Torres Strait Islander/CALD health outcomes and cultural safety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 xml:space="preserve">Child and youth health 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Mental health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 xml:space="preserve">Palliative care 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 xml:space="preserve">Ambulance care 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Hospital Acquired Complications (HACs) includes respiratory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Critical care</w:t>
      </w:r>
    </w:p>
    <w:p w:rsidR="001916FE" w:rsidRP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 xml:space="preserve">Maternity and newborn </w:t>
      </w:r>
    </w:p>
    <w:p w:rsidR="001916FE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Surgery (includes musculoskeletal)</w:t>
      </w:r>
    </w:p>
    <w:p w:rsidR="009F0589" w:rsidRDefault="001916FE" w:rsidP="001916FE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Infection</w:t>
      </w:r>
    </w:p>
    <w:p w:rsidR="00086DFD" w:rsidRPr="00086DFD" w:rsidRDefault="00086DFD" w:rsidP="00086DFD">
      <w:pPr>
        <w:pStyle w:val="Bullet1"/>
        <w:numPr>
          <w:ilvl w:val="0"/>
          <w:numId w:val="0"/>
        </w:numPr>
        <w:rPr>
          <w:rFonts w:ascii="VIC" w:hAnsi="VIC"/>
        </w:rPr>
      </w:pPr>
      <w:r w:rsidRPr="00086DFD">
        <w:rPr>
          <w:rFonts w:ascii="VIC" w:hAnsi="VIC"/>
        </w:rPr>
        <w:t xml:space="preserve">Council members were then asked to discuss and to vote on the top four priority domains. </w:t>
      </w:r>
    </w:p>
    <w:p w:rsidR="00086DFD" w:rsidRPr="001916FE" w:rsidRDefault="00086DFD" w:rsidP="00086DFD">
      <w:pPr>
        <w:pStyle w:val="Bullet1"/>
        <w:numPr>
          <w:ilvl w:val="0"/>
          <w:numId w:val="0"/>
        </w:numPr>
        <w:spacing w:before="0" w:after="0"/>
        <w:rPr>
          <w:rFonts w:ascii="VIC" w:hAnsi="VIC"/>
          <w:lang w:val="en-US"/>
        </w:rPr>
      </w:pPr>
    </w:p>
    <w:p w:rsidR="001916FE" w:rsidRDefault="001916FE" w:rsidP="001916FE">
      <w:pPr>
        <w:pStyle w:val="Bullet1"/>
        <w:numPr>
          <w:ilvl w:val="0"/>
          <w:numId w:val="0"/>
        </w:numPr>
        <w:spacing w:before="0" w:after="0"/>
        <w:ind w:left="284" w:hanging="284"/>
        <w:rPr>
          <w:rFonts w:ascii="VIC" w:hAnsi="VIC"/>
          <w:lang w:val="en-US"/>
        </w:rPr>
      </w:pPr>
    </w:p>
    <w:p w:rsidR="001916FE" w:rsidRDefault="001916FE" w:rsidP="001916FE">
      <w:pPr>
        <w:pStyle w:val="Bullet1"/>
        <w:numPr>
          <w:ilvl w:val="0"/>
          <w:numId w:val="0"/>
        </w:numPr>
        <w:spacing w:before="0" w:after="0"/>
        <w:ind w:left="284" w:hanging="284"/>
        <w:rPr>
          <w:rFonts w:ascii="VIC" w:hAnsi="VIC"/>
          <w:lang w:val="en-US"/>
        </w:rPr>
        <w:sectPr w:rsidR="001916FE" w:rsidSect="001916FE">
          <w:type w:val="continuous"/>
          <w:pgSz w:w="11906" w:h="16838" w:code="9"/>
          <w:pgMar w:top="2438" w:right="1021" w:bottom="1021" w:left="1021" w:header="539" w:footer="624" w:gutter="0"/>
          <w:cols w:num="2" w:space="284"/>
          <w:titlePg/>
          <w:docGrid w:linePitch="360"/>
        </w:sectPr>
      </w:pPr>
    </w:p>
    <w:p w:rsidR="009F0589" w:rsidRDefault="009F0589" w:rsidP="00216E30">
      <w:pPr>
        <w:pStyle w:val="Bullet1"/>
        <w:numPr>
          <w:ilvl w:val="0"/>
          <w:numId w:val="0"/>
        </w:numPr>
        <w:rPr>
          <w:rFonts w:ascii="VIC" w:hAnsi="VIC"/>
        </w:rPr>
        <w:sectPr w:rsidR="009F0589" w:rsidSect="001916FE">
          <w:type w:val="continuous"/>
          <w:pgSz w:w="11906" w:h="16838" w:code="9"/>
          <w:pgMar w:top="2438" w:right="1021" w:bottom="1021" w:left="1021" w:header="539" w:footer="624" w:gutter="0"/>
          <w:cols w:num="2" w:space="284"/>
          <w:titlePg/>
          <w:docGrid w:linePitch="360"/>
        </w:sectPr>
      </w:pPr>
      <w:bookmarkStart w:id="1" w:name="_GoBack"/>
      <w:bookmarkEnd w:id="1"/>
    </w:p>
    <w:p w:rsidR="00A3541F" w:rsidRPr="00A3541F" w:rsidRDefault="00A3541F" w:rsidP="00A3541F">
      <w:pPr>
        <w:pStyle w:val="Heading3"/>
        <w:rPr>
          <w:rFonts w:ascii="VIC SemiBold" w:hAnsi="VIC SemiBold"/>
          <w:b w:val="0"/>
        </w:rPr>
      </w:pPr>
      <w:r w:rsidRPr="00A3541F">
        <w:rPr>
          <w:rFonts w:ascii="VIC SemiBold" w:hAnsi="VIC SemiBold"/>
          <w:b w:val="0"/>
        </w:rPr>
        <w:lastRenderedPageBreak/>
        <w:t>Measure development</w:t>
      </w:r>
    </w:p>
    <w:p w:rsidR="00782132" w:rsidRDefault="00216E30" w:rsidP="00216E30">
      <w:pPr>
        <w:pStyle w:val="Bullet1"/>
        <w:numPr>
          <w:ilvl w:val="0"/>
          <w:numId w:val="0"/>
        </w:numPr>
        <w:rPr>
          <w:rFonts w:ascii="VIC" w:hAnsi="VIC"/>
        </w:rPr>
      </w:pPr>
      <w:r w:rsidRPr="00796884">
        <w:rPr>
          <w:rFonts w:ascii="VIC SemiBold" w:hAnsi="VIC SemiBold"/>
        </w:rPr>
        <w:t>Kira Leeb</w:t>
      </w:r>
      <w:r w:rsidRPr="00216E30">
        <w:rPr>
          <w:rFonts w:ascii="VIC" w:hAnsi="VIC"/>
        </w:rPr>
        <w:t xml:space="preserve">, </w:t>
      </w:r>
      <w:r w:rsidR="00782132" w:rsidRPr="00782132">
        <w:rPr>
          <w:rFonts w:ascii="VIC" w:hAnsi="VIC"/>
        </w:rPr>
        <w:t xml:space="preserve">Executive Director Health and Systems Performance Reporting, VAHI </w:t>
      </w:r>
      <w:r w:rsidRPr="00216E30">
        <w:rPr>
          <w:rFonts w:ascii="VIC" w:hAnsi="VIC"/>
        </w:rPr>
        <w:t>present</w:t>
      </w:r>
      <w:r>
        <w:rPr>
          <w:rFonts w:ascii="VIC" w:hAnsi="VIC"/>
        </w:rPr>
        <w:t>ed</w:t>
      </w:r>
      <w:r w:rsidRPr="00216E30">
        <w:rPr>
          <w:rFonts w:ascii="VIC" w:hAnsi="VIC"/>
        </w:rPr>
        <w:t xml:space="preserve"> the </w:t>
      </w:r>
      <w:r w:rsidR="003649B7" w:rsidRPr="001916FE">
        <w:rPr>
          <w:rFonts w:ascii="VIC" w:hAnsi="VIC"/>
        </w:rPr>
        <w:t xml:space="preserve">top </w:t>
      </w:r>
      <w:r w:rsidRPr="001916FE">
        <w:rPr>
          <w:rFonts w:ascii="VIC" w:hAnsi="VIC"/>
        </w:rPr>
        <w:t>four priority domains</w:t>
      </w:r>
      <w:r w:rsidR="00215DE2">
        <w:rPr>
          <w:rFonts w:ascii="VIC" w:hAnsi="VIC"/>
          <w:b/>
        </w:rPr>
        <w:t xml:space="preserve"> </w:t>
      </w:r>
      <w:r w:rsidR="00215DE2" w:rsidRPr="00215DE2">
        <w:rPr>
          <w:rFonts w:ascii="VIC" w:hAnsi="VIC"/>
        </w:rPr>
        <w:t>as voted by the council members</w:t>
      </w:r>
      <w:r w:rsidR="00DA7E55">
        <w:rPr>
          <w:rFonts w:ascii="VIC" w:hAnsi="VIC"/>
        </w:rPr>
        <w:t>:</w:t>
      </w:r>
    </w:p>
    <w:p w:rsidR="00DA7E55" w:rsidRPr="001916FE" w:rsidRDefault="00DA7E55" w:rsidP="00DA7E55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Aboriginal and Torres Strait Islander/CALD health outcomes and cultural safety</w:t>
      </w:r>
    </w:p>
    <w:p w:rsidR="00DA7E55" w:rsidRPr="001916FE" w:rsidRDefault="00DA7E55" w:rsidP="00DA7E55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 xml:space="preserve">Child and youth health </w:t>
      </w:r>
    </w:p>
    <w:p w:rsidR="00DA7E55" w:rsidRPr="001916FE" w:rsidRDefault="00DA7E55" w:rsidP="00DA7E55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Mental health</w:t>
      </w:r>
    </w:p>
    <w:p w:rsidR="00DA7E55" w:rsidRPr="00DA7E55" w:rsidRDefault="00DA7E55" w:rsidP="00DA7E55">
      <w:pPr>
        <w:pStyle w:val="Bullet1"/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Palliative care</w:t>
      </w:r>
    </w:p>
    <w:p w:rsidR="00247F45" w:rsidRDefault="00682881" w:rsidP="00216E30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 xml:space="preserve">Kira then </w:t>
      </w:r>
      <w:r w:rsidR="001916FE">
        <w:rPr>
          <w:rFonts w:ascii="VIC" w:hAnsi="VIC"/>
        </w:rPr>
        <w:t xml:space="preserve">gave </w:t>
      </w:r>
      <w:r>
        <w:rPr>
          <w:rFonts w:ascii="VIC" w:hAnsi="VIC"/>
        </w:rPr>
        <w:t xml:space="preserve">an overview of the </w:t>
      </w:r>
      <w:r w:rsidRPr="001916FE">
        <w:rPr>
          <w:rFonts w:ascii="VIC" w:hAnsi="VIC"/>
        </w:rPr>
        <w:t>measure development process</w:t>
      </w:r>
      <w:r>
        <w:rPr>
          <w:rFonts w:ascii="VIC" w:hAnsi="VIC"/>
        </w:rPr>
        <w:t xml:space="preserve"> including:</w:t>
      </w:r>
    </w:p>
    <w:p w:rsidR="00682881" w:rsidRPr="00215DE2" w:rsidRDefault="00682881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the measure development lifecycle</w:t>
      </w:r>
    </w:p>
    <w:p w:rsidR="00682881" w:rsidRPr="00215DE2" w:rsidRDefault="00682881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key considerations and expected timeframes</w:t>
      </w:r>
    </w:p>
    <w:p w:rsidR="00682881" w:rsidRPr="00215DE2" w:rsidRDefault="00682881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the Australian Health Performance Framework.</w:t>
      </w:r>
    </w:p>
    <w:p w:rsidR="00782132" w:rsidRPr="001916FE" w:rsidRDefault="00782132" w:rsidP="00216E30">
      <w:pPr>
        <w:pStyle w:val="Bullet1"/>
        <w:numPr>
          <w:ilvl w:val="0"/>
          <w:numId w:val="0"/>
        </w:numPr>
        <w:rPr>
          <w:rFonts w:ascii="VIC SemiBold" w:hAnsi="VIC SemiBold"/>
        </w:rPr>
      </w:pPr>
      <w:r w:rsidRPr="001916FE">
        <w:rPr>
          <w:rFonts w:ascii="VIC SemiBold" w:hAnsi="VIC SemiBold"/>
        </w:rPr>
        <w:t>Workshop</w:t>
      </w:r>
    </w:p>
    <w:p w:rsidR="0072060C" w:rsidRDefault="00216E30" w:rsidP="0072060C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>Council members</w:t>
      </w:r>
      <w:r w:rsidRPr="00216E30">
        <w:rPr>
          <w:rFonts w:ascii="VIC" w:hAnsi="VIC"/>
        </w:rPr>
        <w:t xml:space="preserve"> </w:t>
      </w:r>
      <w:r w:rsidR="00210DA6">
        <w:rPr>
          <w:rFonts w:ascii="VIC" w:hAnsi="VIC"/>
        </w:rPr>
        <w:t xml:space="preserve">broke into groups to </w:t>
      </w:r>
      <w:r w:rsidR="0072060C" w:rsidRPr="0072060C">
        <w:rPr>
          <w:rFonts w:ascii="VIC" w:hAnsi="VIC"/>
        </w:rPr>
        <w:t>discuss</w:t>
      </w:r>
      <w:r w:rsidR="00210DA6">
        <w:rPr>
          <w:rFonts w:ascii="VIC" w:hAnsi="VIC"/>
        </w:rPr>
        <w:t xml:space="preserve"> </w:t>
      </w:r>
      <w:r w:rsidR="0072060C" w:rsidRPr="0072060C">
        <w:rPr>
          <w:rFonts w:ascii="VIC" w:hAnsi="VIC"/>
        </w:rPr>
        <w:t xml:space="preserve">how existing and proposed new measures relate to the </w:t>
      </w:r>
      <w:r w:rsidR="0072060C" w:rsidRPr="001916FE">
        <w:rPr>
          <w:rFonts w:ascii="VIC" w:hAnsi="VIC"/>
          <w:bCs/>
        </w:rPr>
        <w:t>Australian Health Performance Framework</w:t>
      </w:r>
      <w:r w:rsidR="0072060C" w:rsidRPr="0072060C">
        <w:rPr>
          <w:rFonts w:ascii="VIC" w:hAnsi="VIC"/>
        </w:rPr>
        <w:t xml:space="preserve"> and identify potential measurement gaps.</w:t>
      </w:r>
    </w:p>
    <w:p w:rsidR="00F47A36" w:rsidRDefault="00F47A36" w:rsidP="0072060C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>Each member received a domain information pack which included:</w:t>
      </w:r>
    </w:p>
    <w:p w:rsidR="00092690" w:rsidRPr="00215DE2" w:rsidRDefault="000849E9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 xml:space="preserve">relevant statistics on key issues and policies/ initiatives </w:t>
      </w:r>
    </w:p>
    <w:p w:rsidR="00092690" w:rsidRPr="00215DE2" w:rsidRDefault="00F47A36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1916FE">
        <w:rPr>
          <w:rFonts w:ascii="VIC" w:hAnsi="VIC"/>
          <w:lang w:val="en-US"/>
        </w:rPr>
        <w:t>a list of existing and new (proposed) measures</w:t>
      </w:r>
      <w:r w:rsidRPr="00215DE2">
        <w:rPr>
          <w:rFonts w:ascii="VIC" w:hAnsi="VIC"/>
          <w:lang w:val="en-US"/>
        </w:rPr>
        <w:t xml:space="preserve"> mapped to the relevant dimensions in the AHPF </w:t>
      </w:r>
    </w:p>
    <w:p w:rsidR="00092690" w:rsidRPr="00A53261" w:rsidRDefault="000849E9" w:rsidP="00A53261">
      <w:pPr>
        <w:pStyle w:val="Bullet1"/>
        <w:numPr>
          <w:ilvl w:val="0"/>
          <w:numId w:val="0"/>
        </w:numPr>
        <w:ind w:left="284" w:hanging="284"/>
        <w:rPr>
          <w:rFonts w:ascii="VIC" w:hAnsi="VIC"/>
        </w:rPr>
      </w:pPr>
      <w:r w:rsidRPr="00A53261">
        <w:rPr>
          <w:rFonts w:ascii="VIC" w:hAnsi="VIC"/>
        </w:rPr>
        <w:t>Key questions for feedback</w:t>
      </w:r>
      <w:r w:rsidR="00F47A36">
        <w:rPr>
          <w:rFonts w:ascii="VIC" w:hAnsi="VIC"/>
        </w:rPr>
        <w:t xml:space="preserve"> were</w:t>
      </w:r>
      <w:r w:rsidRPr="00A53261">
        <w:rPr>
          <w:rFonts w:ascii="VIC" w:hAnsi="VIC"/>
        </w:rPr>
        <w:t xml:space="preserve">: </w:t>
      </w:r>
    </w:p>
    <w:p w:rsidR="00092690" w:rsidRPr="00215DE2" w:rsidRDefault="000849E9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 xml:space="preserve">What are your overall views on the areas of alignment and gaps for the domain? </w:t>
      </w:r>
    </w:p>
    <w:p w:rsidR="00092690" w:rsidRPr="00215DE2" w:rsidRDefault="000849E9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Should we aim for a balanced scorecard or focus on measures that drive patient safety and consumer choice? What measures would best address this?</w:t>
      </w:r>
    </w:p>
    <w:p w:rsidR="00A53261" w:rsidRPr="00215DE2" w:rsidRDefault="000849E9" w:rsidP="00215DE2">
      <w:pPr>
        <w:pStyle w:val="Bullet1"/>
        <w:numPr>
          <w:ilvl w:val="0"/>
          <w:numId w:val="4"/>
        </w:numPr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 xml:space="preserve">Are there any other issues to consider? </w:t>
      </w:r>
    </w:p>
    <w:p w:rsidR="00782132" w:rsidRDefault="000849E9" w:rsidP="00216E30">
      <w:pPr>
        <w:pStyle w:val="Bullet1"/>
        <w:numPr>
          <w:ilvl w:val="0"/>
          <w:numId w:val="0"/>
        </w:numPr>
        <w:rPr>
          <w:rFonts w:ascii="VIC" w:hAnsi="VIC"/>
        </w:rPr>
      </w:pPr>
      <w:r w:rsidRPr="0072060C">
        <w:rPr>
          <w:rFonts w:ascii="VIC" w:hAnsi="VIC"/>
        </w:rPr>
        <w:t>Each group report</w:t>
      </w:r>
      <w:r w:rsidR="0072060C">
        <w:rPr>
          <w:rFonts w:ascii="VIC" w:hAnsi="VIC"/>
        </w:rPr>
        <w:t xml:space="preserve">ed </w:t>
      </w:r>
      <w:r w:rsidRPr="0072060C">
        <w:rPr>
          <w:rFonts w:ascii="VIC" w:hAnsi="VIC"/>
        </w:rPr>
        <w:t xml:space="preserve">their </w:t>
      </w:r>
      <w:r w:rsidRPr="001916FE">
        <w:rPr>
          <w:rFonts w:ascii="VIC" w:hAnsi="VIC"/>
          <w:bCs/>
        </w:rPr>
        <w:t>collective recommendations</w:t>
      </w:r>
      <w:r w:rsidRPr="001916FE">
        <w:rPr>
          <w:rFonts w:ascii="VIC" w:hAnsi="VIC"/>
        </w:rPr>
        <w:t xml:space="preserve"> </w:t>
      </w:r>
      <w:r w:rsidRPr="0072060C">
        <w:rPr>
          <w:rFonts w:ascii="VIC" w:hAnsi="VIC"/>
        </w:rPr>
        <w:t xml:space="preserve">on proposed areas for measure development for that </w:t>
      </w:r>
      <w:proofErr w:type="gramStart"/>
      <w:r w:rsidRPr="0072060C">
        <w:rPr>
          <w:rFonts w:ascii="VIC" w:hAnsi="VIC"/>
        </w:rPr>
        <w:t>particular domain</w:t>
      </w:r>
      <w:proofErr w:type="gramEnd"/>
      <w:r w:rsidRPr="0072060C">
        <w:rPr>
          <w:rFonts w:ascii="VIC" w:hAnsi="VIC"/>
        </w:rPr>
        <w:t xml:space="preserve">. </w:t>
      </w:r>
    </w:p>
    <w:p w:rsidR="00782132" w:rsidRPr="00782132" w:rsidRDefault="00033921" w:rsidP="00782132">
      <w:pPr>
        <w:pStyle w:val="Heading3"/>
        <w:rPr>
          <w:rFonts w:ascii="VIC SemiBold" w:hAnsi="VIC SemiBold"/>
          <w:b w:val="0"/>
        </w:rPr>
      </w:pPr>
      <w:r>
        <w:rPr>
          <w:rFonts w:ascii="VIC SemiBold" w:hAnsi="VIC SemiBold"/>
          <w:b w:val="0"/>
        </w:rPr>
        <w:br w:type="column"/>
      </w:r>
      <w:r w:rsidR="00782132" w:rsidRPr="00782132">
        <w:rPr>
          <w:rFonts w:ascii="VIC SemiBold" w:hAnsi="VIC SemiBold"/>
          <w:b w:val="0"/>
        </w:rPr>
        <w:t>Public reporting</w:t>
      </w:r>
    </w:p>
    <w:p w:rsidR="003C6466" w:rsidRDefault="00A3541F" w:rsidP="00216E30">
      <w:pPr>
        <w:pStyle w:val="Bullet1"/>
        <w:numPr>
          <w:ilvl w:val="0"/>
          <w:numId w:val="0"/>
        </w:numPr>
        <w:rPr>
          <w:rFonts w:ascii="VIC" w:hAnsi="VIC"/>
        </w:rPr>
      </w:pPr>
      <w:bookmarkStart w:id="2" w:name="_Hlk11404721"/>
      <w:r w:rsidRPr="00A3541F">
        <w:rPr>
          <w:rFonts w:ascii="VIC" w:hAnsi="VIC"/>
        </w:rPr>
        <w:t xml:space="preserve">Kira </w:t>
      </w:r>
      <w:bookmarkEnd w:id="2"/>
      <w:r w:rsidR="00210DA6">
        <w:rPr>
          <w:rFonts w:ascii="VIC" w:hAnsi="VIC"/>
        </w:rPr>
        <w:t>also shared:</w:t>
      </w:r>
    </w:p>
    <w:p w:rsidR="003C6466" w:rsidRPr="00215DE2" w:rsidRDefault="005653E5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a</w:t>
      </w:r>
      <w:r w:rsidR="003C6466" w:rsidRPr="00215DE2">
        <w:rPr>
          <w:rFonts w:ascii="VIC" w:hAnsi="VIC"/>
          <w:lang w:val="en-US"/>
        </w:rPr>
        <w:t xml:space="preserve"> summary of the evidence supporting public reporting </w:t>
      </w:r>
    </w:p>
    <w:p w:rsidR="005653E5" w:rsidRPr="00215DE2" w:rsidRDefault="005653E5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215DE2">
        <w:rPr>
          <w:rFonts w:ascii="VIC" w:hAnsi="VIC"/>
          <w:lang w:val="en-US"/>
        </w:rPr>
        <w:t>an international and national perspective</w:t>
      </w:r>
      <w:r w:rsidR="00210DA6">
        <w:rPr>
          <w:rFonts w:ascii="VIC" w:hAnsi="VIC"/>
          <w:lang w:val="en-US"/>
        </w:rPr>
        <w:t xml:space="preserve"> on public reporting</w:t>
      </w:r>
    </w:p>
    <w:p w:rsidR="009452BA" w:rsidRDefault="005653E5" w:rsidP="00F66CD6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9452BA">
        <w:rPr>
          <w:rFonts w:ascii="VIC" w:hAnsi="VIC"/>
          <w:lang w:val="en-US"/>
        </w:rPr>
        <w:t xml:space="preserve">an overview of information already publicly reported and VAHI initiatives </w:t>
      </w:r>
    </w:p>
    <w:p w:rsidR="005653E5" w:rsidRPr="009452BA" w:rsidRDefault="005653E5" w:rsidP="00F66CD6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9452BA">
        <w:rPr>
          <w:rFonts w:ascii="VIC" w:hAnsi="VIC"/>
          <w:lang w:val="en-US"/>
        </w:rPr>
        <w:t xml:space="preserve">the transition of the </w:t>
      </w:r>
      <w:r w:rsidRPr="001916FE">
        <w:rPr>
          <w:rFonts w:ascii="VIC" w:hAnsi="VIC"/>
          <w:lang w:val="en-US"/>
        </w:rPr>
        <w:t>Victorian Health Service Performance</w:t>
      </w:r>
      <w:r w:rsidRPr="009452BA">
        <w:rPr>
          <w:rFonts w:ascii="VIC" w:hAnsi="VIC"/>
          <w:lang w:val="en-US"/>
        </w:rPr>
        <w:t xml:space="preserve"> website to a new platform with improved content and structure</w:t>
      </w:r>
      <w:r w:rsidR="00210DA6">
        <w:rPr>
          <w:rFonts w:ascii="VIC" w:hAnsi="VIC"/>
          <w:lang w:val="en-US"/>
        </w:rPr>
        <w:t>.</w:t>
      </w:r>
      <w:r w:rsidRPr="009452BA">
        <w:rPr>
          <w:rFonts w:ascii="VIC" w:hAnsi="VIC"/>
          <w:lang w:val="en-US"/>
        </w:rPr>
        <w:t xml:space="preserve"> </w:t>
      </w:r>
    </w:p>
    <w:p w:rsidR="00210DA6" w:rsidRDefault="00A3541F" w:rsidP="005E62F2">
      <w:pPr>
        <w:rPr>
          <w:rFonts w:ascii="VIC" w:hAnsi="VIC"/>
        </w:rPr>
      </w:pPr>
      <w:r>
        <w:rPr>
          <w:rFonts w:ascii="VIC" w:hAnsi="VIC"/>
        </w:rPr>
        <w:t>Consumer representative</w:t>
      </w:r>
      <w:r w:rsidR="00216E30" w:rsidRPr="00216E30">
        <w:rPr>
          <w:rFonts w:ascii="VIC" w:hAnsi="VIC"/>
        </w:rPr>
        <w:t xml:space="preserve"> </w:t>
      </w:r>
      <w:r w:rsidR="00216E30" w:rsidRPr="00796884">
        <w:rPr>
          <w:rFonts w:ascii="VIC SemiBold" w:hAnsi="VIC SemiBold"/>
        </w:rPr>
        <w:t xml:space="preserve">Rebekah </w:t>
      </w:r>
      <w:proofErr w:type="spellStart"/>
      <w:r w:rsidR="00216E30" w:rsidRPr="00796884">
        <w:rPr>
          <w:rFonts w:ascii="VIC SemiBold" w:hAnsi="VIC SemiBold"/>
        </w:rPr>
        <w:t>Kaberry</w:t>
      </w:r>
      <w:proofErr w:type="spellEnd"/>
      <w:r>
        <w:rPr>
          <w:rFonts w:ascii="VIC" w:hAnsi="VIC"/>
        </w:rPr>
        <w:t xml:space="preserve"> </w:t>
      </w:r>
      <w:r w:rsidR="00297302">
        <w:rPr>
          <w:rFonts w:ascii="VIC" w:hAnsi="VIC"/>
        </w:rPr>
        <w:t xml:space="preserve">presented the </w:t>
      </w:r>
      <w:r w:rsidR="00297302" w:rsidRPr="001916FE">
        <w:rPr>
          <w:rFonts w:ascii="VIC" w:hAnsi="VIC"/>
        </w:rPr>
        <w:t>consumer perspective on public reporting</w:t>
      </w:r>
      <w:r w:rsidR="00297302">
        <w:rPr>
          <w:rFonts w:ascii="VIC" w:hAnsi="VIC"/>
        </w:rPr>
        <w:t xml:space="preserve">. Rebekah is a </w:t>
      </w:r>
      <w:r w:rsidR="00297302" w:rsidRPr="00297302">
        <w:rPr>
          <w:rFonts w:ascii="VIC" w:hAnsi="VIC"/>
        </w:rPr>
        <w:t xml:space="preserve">consumer representative for the Oral Health PROMs Working Group with International Consortium for Health Outcomes Measurement (ICHOM) ICHOM, the Victorian Surgical Consultative Council and the Board Safety and Quality.  </w:t>
      </w:r>
    </w:p>
    <w:p w:rsidR="005E62F2" w:rsidRPr="005E62F2" w:rsidRDefault="00297302" w:rsidP="005E62F2">
      <w:pPr>
        <w:rPr>
          <w:rFonts w:ascii="VIC" w:hAnsi="VIC"/>
        </w:rPr>
      </w:pPr>
      <w:r>
        <w:rPr>
          <w:rFonts w:ascii="VIC" w:hAnsi="VIC"/>
        </w:rPr>
        <w:t xml:space="preserve">Rebekah </w:t>
      </w:r>
      <w:r w:rsidR="00210DA6">
        <w:rPr>
          <w:rFonts w:ascii="VIC" w:hAnsi="VIC"/>
        </w:rPr>
        <w:t>spoke of the</w:t>
      </w:r>
      <w:r w:rsidR="005E62F2">
        <w:rPr>
          <w:rFonts w:ascii="VIC" w:hAnsi="VIC"/>
        </w:rPr>
        <w:t xml:space="preserve"> importance of increased transparency through public reporting of health service performance</w:t>
      </w:r>
      <w:r w:rsidR="00210DA6">
        <w:rPr>
          <w:rFonts w:ascii="VIC" w:hAnsi="VIC"/>
        </w:rPr>
        <w:t>.</w:t>
      </w:r>
    </w:p>
    <w:p w:rsidR="00EC0AC4" w:rsidRDefault="00210DA6" w:rsidP="0072060C">
      <w:pPr>
        <w:pStyle w:val="Bullet1"/>
        <w:numPr>
          <w:ilvl w:val="0"/>
          <w:numId w:val="0"/>
        </w:numPr>
        <w:rPr>
          <w:rFonts w:ascii="VIC" w:hAnsi="VIC"/>
        </w:rPr>
      </w:pPr>
      <w:r>
        <w:rPr>
          <w:rFonts w:ascii="VIC" w:hAnsi="VIC"/>
        </w:rPr>
        <w:t>The council also heard from</w:t>
      </w:r>
      <w:r w:rsidR="00A3541F">
        <w:rPr>
          <w:rFonts w:ascii="VIC" w:hAnsi="VIC"/>
        </w:rPr>
        <w:t xml:space="preserve"> </w:t>
      </w:r>
      <w:r w:rsidR="00A3541F" w:rsidRPr="001916FE">
        <w:rPr>
          <w:rFonts w:ascii="VIC" w:hAnsi="VIC"/>
        </w:rPr>
        <w:t>panel</w:t>
      </w:r>
      <w:r w:rsidR="00A3541F">
        <w:rPr>
          <w:rFonts w:ascii="VIC" w:hAnsi="VIC"/>
        </w:rPr>
        <w:t xml:space="preserve"> </w:t>
      </w:r>
      <w:r>
        <w:rPr>
          <w:rFonts w:ascii="VIC" w:hAnsi="VIC"/>
        </w:rPr>
        <w:t>members:</w:t>
      </w:r>
    </w:p>
    <w:p w:rsidR="00297302" w:rsidRPr="00215DE2" w:rsidRDefault="00297302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796884">
        <w:rPr>
          <w:rFonts w:ascii="VIC SemiBold" w:hAnsi="VIC SemiBold"/>
          <w:lang w:val="en-US"/>
        </w:rPr>
        <w:t>Dr Lance Emerson</w:t>
      </w:r>
      <w:r w:rsidR="004C69D9" w:rsidRPr="00215DE2">
        <w:rPr>
          <w:rFonts w:ascii="VIC" w:hAnsi="VIC"/>
          <w:lang w:val="en-US"/>
        </w:rPr>
        <w:t>, CEO, VAHI</w:t>
      </w:r>
      <w:r w:rsidRPr="00215DE2">
        <w:rPr>
          <w:rFonts w:ascii="VIC" w:hAnsi="VIC"/>
          <w:lang w:val="en-US"/>
        </w:rPr>
        <w:t xml:space="preserve"> </w:t>
      </w:r>
    </w:p>
    <w:p w:rsidR="00297302" w:rsidRPr="00215DE2" w:rsidRDefault="00210DA6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proofErr w:type="spellStart"/>
      <w:r>
        <w:rPr>
          <w:rFonts w:ascii="VIC SemiBold" w:hAnsi="VIC SemiBold"/>
          <w:lang w:val="en-US"/>
        </w:rPr>
        <w:t>Ms</w:t>
      </w:r>
      <w:proofErr w:type="spellEnd"/>
      <w:r>
        <w:rPr>
          <w:rFonts w:ascii="VIC SemiBold" w:hAnsi="VIC SemiBold"/>
          <w:lang w:val="en-US"/>
        </w:rPr>
        <w:t xml:space="preserve"> </w:t>
      </w:r>
      <w:r w:rsidR="00297302" w:rsidRPr="00796884">
        <w:rPr>
          <w:rFonts w:ascii="VIC SemiBold" w:hAnsi="VIC SemiBold"/>
          <w:lang w:val="en-US"/>
        </w:rPr>
        <w:t xml:space="preserve">Rebekah </w:t>
      </w:r>
      <w:proofErr w:type="spellStart"/>
      <w:r w:rsidR="00297302" w:rsidRPr="00796884">
        <w:rPr>
          <w:rFonts w:ascii="VIC SemiBold" w:hAnsi="VIC SemiBold"/>
          <w:lang w:val="en-US"/>
        </w:rPr>
        <w:t>Kaberry</w:t>
      </w:r>
      <w:proofErr w:type="spellEnd"/>
      <w:r w:rsidR="004C69D9" w:rsidRPr="00215DE2">
        <w:rPr>
          <w:rFonts w:ascii="VIC" w:hAnsi="VIC"/>
          <w:lang w:val="en-US"/>
        </w:rPr>
        <w:t>, Consumer</w:t>
      </w:r>
      <w:r w:rsidR="00297302" w:rsidRPr="00215DE2">
        <w:rPr>
          <w:rFonts w:ascii="VIC" w:hAnsi="VIC"/>
          <w:lang w:val="en-US"/>
        </w:rPr>
        <w:t xml:space="preserve"> </w:t>
      </w:r>
    </w:p>
    <w:p w:rsidR="00297302" w:rsidRPr="00215DE2" w:rsidRDefault="00297302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bookmarkStart w:id="3" w:name="_Hlk10209076"/>
      <w:r w:rsidRPr="00796884">
        <w:rPr>
          <w:rFonts w:ascii="VIC SemiBold" w:hAnsi="VIC SemiBold"/>
          <w:lang w:val="en-US"/>
        </w:rPr>
        <w:t>Professor Rod Hunt</w:t>
      </w:r>
      <w:r w:rsidRPr="00215DE2">
        <w:rPr>
          <w:rFonts w:ascii="VIC" w:hAnsi="VIC"/>
          <w:lang w:val="en-US"/>
        </w:rPr>
        <w:t xml:space="preserve">, </w:t>
      </w:r>
      <w:r w:rsidR="004644CA" w:rsidRPr="00215DE2">
        <w:rPr>
          <w:rFonts w:ascii="VIC" w:hAnsi="VIC"/>
          <w:lang w:val="en-US"/>
        </w:rPr>
        <w:t xml:space="preserve">Director of Neonatal Medicine, Royal Children’s Hospital and </w:t>
      </w:r>
      <w:r w:rsidRPr="00215DE2">
        <w:rPr>
          <w:rFonts w:ascii="VIC" w:hAnsi="VIC"/>
          <w:lang w:val="en-US"/>
        </w:rPr>
        <w:t>Chair Maternity and Newborn Clinical Network INSIGHT Committee</w:t>
      </w:r>
    </w:p>
    <w:p w:rsidR="00297302" w:rsidRPr="00215DE2" w:rsidRDefault="00983239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proofErr w:type="spellStart"/>
      <w:r w:rsidRPr="00796884">
        <w:rPr>
          <w:rFonts w:ascii="VIC SemiBold" w:hAnsi="VIC SemiBold"/>
          <w:lang w:val="en-US"/>
        </w:rPr>
        <w:t>Mr</w:t>
      </w:r>
      <w:proofErr w:type="spellEnd"/>
      <w:r w:rsidRPr="00796884">
        <w:rPr>
          <w:rFonts w:ascii="VIC SemiBold" w:hAnsi="VIC SemiBold"/>
          <w:lang w:val="en-US"/>
        </w:rPr>
        <w:t xml:space="preserve"> </w:t>
      </w:r>
      <w:r w:rsidR="00297302" w:rsidRPr="00796884">
        <w:rPr>
          <w:rFonts w:ascii="VIC SemiBold" w:hAnsi="VIC SemiBold"/>
          <w:lang w:val="en-US"/>
        </w:rPr>
        <w:t>Matthew Hadfield</w:t>
      </w:r>
      <w:r w:rsidR="00297302" w:rsidRPr="00215DE2">
        <w:rPr>
          <w:rFonts w:ascii="VIC" w:hAnsi="VIC"/>
          <w:lang w:val="en-US"/>
        </w:rPr>
        <w:t xml:space="preserve">, </w:t>
      </w:r>
      <w:r w:rsidRPr="00215DE2">
        <w:rPr>
          <w:rFonts w:ascii="VIC" w:hAnsi="VIC"/>
          <w:lang w:val="en-US"/>
        </w:rPr>
        <w:t xml:space="preserve">MB ChB (Hons), FRCS (England), FRACS (Vascular) Consultant Vascular Surgeon and </w:t>
      </w:r>
      <w:r w:rsidR="00297302" w:rsidRPr="00215DE2">
        <w:rPr>
          <w:rFonts w:ascii="VIC" w:hAnsi="VIC"/>
          <w:lang w:val="en-US"/>
        </w:rPr>
        <w:t>Deputy Chair</w:t>
      </w:r>
      <w:r w:rsidRPr="00215DE2">
        <w:rPr>
          <w:rFonts w:ascii="VIC" w:hAnsi="VIC"/>
          <w:lang w:val="en-US"/>
        </w:rPr>
        <w:t>, Victorian Clinical Council</w:t>
      </w:r>
      <w:r w:rsidR="00297302" w:rsidRPr="00215DE2">
        <w:rPr>
          <w:rFonts w:ascii="VIC" w:hAnsi="VIC"/>
          <w:lang w:val="en-US"/>
        </w:rPr>
        <w:t xml:space="preserve"> </w:t>
      </w:r>
    </w:p>
    <w:p w:rsidR="00297302" w:rsidRDefault="00297302" w:rsidP="00215DE2">
      <w:pPr>
        <w:pStyle w:val="Bullet1"/>
        <w:numPr>
          <w:ilvl w:val="0"/>
          <w:numId w:val="4"/>
        </w:numPr>
        <w:tabs>
          <w:tab w:val="num" w:pos="709"/>
        </w:tabs>
        <w:spacing w:before="0" w:after="0"/>
        <w:rPr>
          <w:rFonts w:ascii="VIC" w:hAnsi="VIC"/>
          <w:lang w:val="en-US"/>
        </w:rPr>
      </w:pPr>
      <w:r w:rsidRPr="00796884">
        <w:rPr>
          <w:rFonts w:ascii="VIC SemiBold" w:hAnsi="VIC SemiBold"/>
          <w:lang w:val="en-US"/>
        </w:rPr>
        <w:t>Ann Jorgensen</w:t>
      </w:r>
      <w:r w:rsidRPr="00215DE2">
        <w:rPr>
          <w:rFonts w:ascii="VIC" w:hAnsi="VIC"/>
          <w:lang w:val="en-US"/>
        </w:rPr>
        <w:t>, Consumer</w:t>
      </w:r>
      <w:bookmarkEnd w:id="3"/>
    </w:p>
    <w:p w:rsidR="00DA7E55" w:rsidRPr="00215DE2" w:rsidRDefault="00DA7E55" w:rsidP="00DA7E55">
      <w:pPr>
        <w:pStyle w:val="Bullet1"/>
        <w:numPr>
          <w:ilvl w:val="0"/>
          <w:numId w:val="0"/>
        </w:numPr>
        <w:spacing w:before="0" w:after="0"/>
        <w:ind w:left="284"/>
        <w:rPr>
          <w:rFonts w:ascii="VIC" w:hAnsi="VIC"/>
          <w:lang w:val="en-US"/>
        </w:rPr>
      </w:pPr>
    </w:p>
    <w:p w:rsidR="00210DA6" w:rsidRDefault="00210DA6" w:rsidP="00215DE2">
      <w:pPr>
        <w:pStyle w:val="Bullet1"/>
        <w:numPr>
          <w:ilvl w:val="0"/>
          <w:numId w:val="0"/>
        </w:numPr>
        <w:spacing w:after="0" w:line="240" w:lineRule="auto"/>
        <w:rPr>
          <w:rFonts w:ascii="VIC" w:hAnsi="VIC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7494AE" wp14:editId="153D3DEC">
            <wp:extent cx="2291080" cy="1288701"/>
            <wp:effectExtent l="0" t="0" r="0" b="698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28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5A" w:rsidRDefault="00F5755A">
      <w:pPr>
        <w:rPr>
          <w:rFonts w:ascii="VIC SemiBold" w:eastAsiaTheme="majorEastAsia" w:hAnsi="VIC SemiBold" w:cstheme="majorBidi"/>
          <w:bCs/>
          <w:caps/>
          <w:color w:val="004EA8"/>
          <w:sz w:val="24"/>
          <w:szCs w:val="26"/>
        </w:rPr>
      </w:pPr>
      <w:r>
        <w:rPr>
          <w:rFonts w:ascii="VIC SemiBold" w:hAnsi="VIC SemiBold"/>
          <w:b/>
        </w:rPr>
        <w:br w:type="page"/>
      </w:r>
    </w:p>
    <w:p w:rsidR="006809F6" w:rsidRPr="001916FE" w:rsidRDefault="006809F6" w:rsidP="006809F6">
      <w:pPr>
        <w:pStyle w:val="Heading2"/>
        <w:rPr>
          <w:rFonts w:ascii="VIC SemiBold" w:hAnsi="VIC SemiBold"/>
          <w:b w:val="0"/>
        </w:rPr>
      </w:pPr>
      <w:r w:rsidRPr="001916FE">
        <w:rPr>
          <w:rFonts w:ascii="VIC SemiBold" w:hAnsi="VIC SemiBold"/>
          <w:b w:val="0"/>
        </w:rPr>
        <w:lastRenderedPageBreak/>
        <w:t>CONCLUSION</w:t>
      </w:r>
    </w:p>
    <w:p w:rsidR="00796884" w:rsidRPr="00796884" w:rsidRDefault="00796884" w:rsidP="00796884">
      <w:pPr>
        <w:pStyle w:val="Bullet1"/>
        <w:numPr>
          <w:ilvl w:val="0"/>
          <w:numId w:val="0"/>
        </w:numPr>
        <w:spacing w:after="0" w:line="240" w:lineRule="auto"/>
        <w:rPr>
          <w:rFonts w:ascii="VIC" w:eastAsiaTheme="minorEastAsia" w:hAnsi="VIC" w:cstheme="minorBidi"/>
        </w:rPr>
      </w:pPr>
      <w:r w:rsidRPr="00796884">
        <w:rPr>
          <w:rFonts w:ascii="VIC" w:eastAsiaTheme="minorEastAsia" w:hAnsi="VIC" w:cstheme="minorBidi"/>
        </w:rPr>
        <w:t>Jill and Lance provided a summary of the key messages from the day and discussed the next steps including implementation of council ideas.</w:t>
      </w:r>
    </w:p>
    <w:p w:rsidR="00021367" w:rsidRDefault="00DE3553" w:rsidP="00796884">
      <w:pPr>
        <w:spacing w:before="120" w:after="120"/>
        <w:rPr>
          <w:rFonts w:ascii="VIC" w:eastAsia="Times New Roman" w:hAnsi="VIC" w:cs="Calibri"/>
          <w:color w:val="3366FF"/>
          <w:u w:val="dotted"/>
        </w:rPr>
      </w:pPr>
      <w:r>
        <w:rPr>
          <w:rFonts w:ascii="VIC" w:hAnsi="VIC"/>
        </w:rPr>
        <w:t>A</w:t>
      </w:r>
      <w:r w:rsidR="00021367">
        <w:rPr>
          <w:rFonts w:ascii="VIC" w:hAnsi="VIC"/>
        </w:rPr>
        <w:t xml:space="preserve"> summary of the key themes from the meeting</w:t>
      </w:r>
      <w:r>
        <w:rPr>
          <w:rFonts w:ascii="VIC" w:hAnsi="VIC"/>
        </w:rPr>
        <w:t xml:space="preserve"> will be published</w:t>
      </w:r>
      <w:r w:rsidR="00021367">
        <w:rPr>
          <w:rFonts w:ascii="VIC" w:hAnsi="VIC"/>
        </w:rPr>
        <w:t xml:space="preserve"> in the VAHI July newsletter which will be </w:t>
      </w:r>
      <w:r>
        <w:rPr>
          <w:rFonts w:ascii="VIC" w:hAnsi="VIC"/>
        </w:rPr>
        <w:t>available</w:t>
      </w:r>
      <w:r w:rsidR="00021367">
        <w:rPr>
          <w:rFonts w:ascii="VIC" w:hAnsi="VIC"/>
        </w:rPr>
        <w:t xml:space="preserve"> on the </w:t>
      </w:r>
      <w:hyperlink r:id="rId12" w:history="1">
        <w:r w:rsidR="002B2869">
          <w:rPr>
            <w:rFonts w:ascii="VIC" w:eastAsia="Times New Roman" w:hAnsi="VIC" w:cs="Calibri"/>
            <w:color w:val="3366FF"/>
            <w:u w:val="dotted"/>
          </w:rPr>
          <w:t>VAHI website</w:t>
        </w:r>
      </w:hyperlink>
      <w:r w:rsidR="00021367" w:rsidRPr="00021367">
        <w:rPr>
          <w:rFonts w:ascii="VIC" w:eastAsia="Times New Roman" w:hAnsi="VIC" w:cs="Calibri"/>
          <w:color w:val="3366FF"/>
          <w:u w:val="dotted"/>
        </w:rPr>
        <w:t>.</w:t>
      </w:r>
      <w:r>
        <w:rPr>
          <w:rFonts w:ascii="VIC" w:hAnsi="VIC"/>
        </w:rPr>
        <w:t xml:space="preserve"> </w:t>
      </w:r>
      <w:r w:rsidR="00021367">
        <w:rPr>
          <w:rFonts w:ascii="VIC" w:hAnsi="VIC"/>
        </w:rPr>
        <w:t xml:space="preserve">You can sign up </w:t>
      </w:r>
      <w:r>
        <w:rPr>
          <w:rFonts w:ascii="VIC" w:hAnsi="VIC"/>
        </w:rPr>
        <w:t>to receive</w:t>
      </w:r>
      <w:r w:rsidR="00021367">
        <w:rPr>
          <w:rFonts w:ascii="VIC" w:hAnsi="VIC"/>
        </w:rPr>
        <w:t xml:space="preserve"> the VAHI newsletter </w:t>
      </w:r>
      <w:hyperlink r:id="rId13" w:anchor="goto-subscribe-to-vahi-news" w:history="1">
        <w:hyperlink r:id="rId14" w:history="1">
          <w:r w:rsidR="00021367" w:rsidRPr="00021367">
            <w:rPr>
              <w:rFonts w:ascii="VIC" w:eastAsia="Times New Roman" w:hAnsi="VIC" w:cs="Calibri"/>
              <w:color w:val="3366FF"/>
              <w:u w:val="dotted"/>
            </w:rPr>
            <w:t>here</w:t>
          </w:r>
        </w:hyperlink>
      </w:hyperlink>
      <w:r w:rsidR="00021367" w:rsidRPr="00021367">
        <w:rPr>
          <w:rFonts w:ascii="VIC" w:eastAsia="Times New Roman" w:hAnsi="VIC" w:cs="Calibri"/>
          <w:color w:val="3366FF"/>
          <w:u w:val="dotted"/>
        </w:rPr>
        <w:t>.</w:t>
      </w:r>
    </w:p>
    <w:p w:rsidR="00DE3553" w:rsidRPr="001A75B7" w:rsidRDefault="00DE3553" w:rsidP="001A75B7">
      <w:pPr>
        <w:spacing w:before="0"/>
        <w:rPr>
          <w:rFonts w:ascii="VIC" w:hAnsi="VIC"/>
        </w:rPr>
      </w:pPr>
      <w:r w:rsidRPr="001A75B7">
        <w:rPr>
          <w:rFonts w:ascii="VIC" w:hAnsi="VIC"/>
        </w:rPr>
        <w:t>Outputs from t</w:t>
      </w:r>
      <w:r>
        <w:rPr>
          <w:rFonts w:ascii="VIC" w:hAnsi="VIC"/>
        </w:rPr>
        <w:t>he meeting</w:t>
      </w:r>
      <w:r w:rsidRPr="001A75B7">
        <w:rPr>
          <w:rFonts w:ascii="VIC" w:hAnsi="VIC"/>
        </w:rPr>
        <w:t xml:space="preserve"> will be used to develop formal advice </w:t>
      </w:r>
      <w:r w:rsidR="00210DA6">
        <w:rPr>
          <w:rFonts w:ascii="VIC" w:hAnsi="VIC"/>
        </w:rPr>
        <w:t xml:space="preserve">including </w:t>
      </w:r>
      <w:r w:rsidRPr="001A75B7">
        <w:rPr>
          <w:rFonts w:ascii="VIC" w:hAnsi="VIC"/>
        </w:rPr>
        <w:t xml:space="preserve">recommendations </w:t>
      </w:r>
      <w:r>
        <w:rPr>
          <w:rFonts w:ascii="VIC" w:hAnsi="VIC"/>
        </w:rPr>
        <w:t>for</w:t>
      </w:r>
      <w:r w:rsidRPr="001A75B7">
        <w:rPr>
          <w:rFonts w:ascii="VIC" w:hAnsi="VIC"/>
        </w:rPr>
        <w:t xml:space="preserve"> the department, Safer Care Victoria and the </w:t>
      </w:r>
      <w:r>
        <w:rPr>
          <w:rFonts w:ascii="VIC" w:hAnsi="VIC"/>
        </w:rPr>
        <w:t>VAHI regarding priority areas for measure development and public reporting.</w:t>
      </w:r>
    </w:p>
    <w:p w:rsidR="006809F6" w:rsidRDefault="001A75B7" w:rsidP="00036152">
      <w:pPr>
        <w:rPr>
          <w:rFonts w:ascii="VIC" w:hAnsi="VIC"/>
          <w:i/>
        </w:rPr>
      </w:pPr>
      <w:r w:rsidRPr="001A75B7">
        <w:rPr>
          <w:rFonts w:ascii="VIC" w:hAnsi="VIC"/>
        </w:rPr>
        <w:t xml:space="preserve">The next council meeting will be held </w:t>
      </w:r>
      <w:r w:rsidR="00796884" w:rsidRPr="001A75B7">
        <w:rPr>
          <w:rFonts w:ascii="VIC" w:hAnsi="VIC"/>
        </w:rPr>
        <w:t xml:space="preserve">Thursday </w:t>
      </w:r>
      <w:r w:rsidR="00796884">
        <w:rPr>
          <w:rFonts w:ascii="VIC" w:hAnsi="VIC"/>
        </w:rPr>
        <w:t xml:space="preserve">7 November </w:t>
      </w:r>
      <w:r w:rsidR="00796884" w:rsidRPr="001A75B7">
        <w:rPr>
          <w:rFonts w:ascii="VIC" w:hAnsi="VIC"/>
        </w:rPr>
        <w:t>2019 and</w:t>
      </w:r>
      <w:r w:rsidR="00EC0AC4">
        <w:rPr>
          <w:rFonts w:ascii="VIC" w:hAnsi="VIC"/>
        </w:rPr>
        <w:t xml:space="preserve"> </w:t>
      </w:r>
      <w:r w:rsidR="00A730E6">
        <w:rPr>
          <w:rFonts w:ascii="VIC" w:hAnsi="VIC"/>
        </w:rPr>
        <w:t>focus on</w:t>
      </w:r>
      <w:r w:rsidR="00EC0AC4">
        <w:rPr>
          <w:rFonts w:ascii="VIC" w:hAnsi="VIC"/>
        </w:rPr>
        <w:t xml:space="preserve"> </w:t>
      </w:r>
      <w:r w:rsidR="00EC0AC4" w:rsidRPr="00EC0AC4">
        <w:rPr>
          <w:rFonts w:ascii="VIC" w:hAnsi="VIC"/>
          <w:i/>
        </w:rPr>
        <w:t>‘Achieving consistency in healthcare</w:t>
      </w:r>
      <w:r w:rsidR="00EC0AC4">
        <w:rPr>
          <w:rFonts w:ascii="VIC" w:hAnsi="VIC"/>
          <w:i/>
        </w:rPr>
        <w:t>’</w:t>
      </w:r>
      <w:r w:rsidR="004C69D9">
        <w:rPr>
          <w:rFonts w:ascii="VIC" w:hAnsi="VIC"/>
          <w:i/>
        </w:rPr>
        <w:t xml:space="preserve">. </w:t>
      </w:r>
    </w:p>
    <w:p w:rsidR="00F5755A" w:rsidRDefault="00F5755A" w:rsidP="00036152">
      <w:pPr>
        <w:rPr>
          <w:rFonts w:ascii="VIC" w:hAnsi="VIC"/>
        </w:rPr>
      </w:pPr>
    </w:p>
    <w:p w:rsidR="00F5755A" w:rsidRDefault="00F5755A" w:rsidP="00036152">
      <w:pPr>
        <w:rPr>
          <w:rFonts w:ascii="VIC" w:hAnsi="VIC"/>
        </w:rPr>
      </w:pPr>
    </w:p>
    <w:p w:rsidR="00F5755A" w:rsidRPr="00A85031" w:rsidRDefault="00F5755A" w:rsidP="00F5755A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94613A" wp14:editId="2401E1B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027430" cy="1524000"/>
            <wp:effectExtent l="0" t="0" r="1270" b="0"/>
            <wp:wrapTight wrapText="bothSides">
              <wp:wrapPolygon edited="0">
                <wp:start x="0" y="0"/>
                <wp:lineTo x="0" y="21330"/>
                <wp:lineTo x="21226" y="21330"/>
                <wp:lineTo x="21226" y="0"/>
                <wp:lineTo x="0" y="0"/>
              </wp:wrapPolygon>
            </wp:wrapTight>
            <wp:docPr id="1" name="Picture 1" descr="Picture of Jill Sew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7691"/>
                    <a:stretch/>
                  </pic:blipFill>
                  <pic:spPr bwMode="auto">
                    <a:xfrm>
                      <a:off x="0" y="0"/>
                      <a:ext cx="10274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031">
        <w:rPr>
          <w:rFonts w:ascii="VIC" w:eastAsia="Times" w:hAnsi="VIC"/>
        </w:rPr>
        <w:t>Associate Professor Jill Sewell AM</w:t>
      </w:r>
    </w:p>
    <w:p w:rsidR="00F5755A" w:rsidRPr="000E2268" w:rsidRDefault="00F5755A" w:rsidP="00F5755A">
      <w:pPr>
        <w:spacing w:before="0" w:after="0" w:line="240" w:lineRule="auto"/>
        <w:rPr>
          <w:rFonts w:ascii="VIC" w:eastAsiaTheme="majorEastAsia" w:hAnsi="VIC" w:cstheme="majorBidi"/>
          <w:b/>
          <w:bCs/>
          <w:color w:val="000000" w:themeColor="text1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D50232" wp14:editId="58AF9440">
            <wp:simplePos x="0" y="0"/>
            <wp:positionH relativeFrom="column">
              <wp:posOffset>1128395</wp:posOffset>
            </wp:positionH>
            <wp:positionV relativeFrom="paragraph">
              <wp:posOffset>368935</wp:posOffset>
            </wp:positionV>
            <wp:extent cx="1870710" cy="807720"/>
            <wp:effectExtent l="0" t="0" r="0" b="0"/>
            <wp:wrapTight wrapText="bothSides">
              <wp:wrapPolygon edited="0">
                <wp:start x="0" y="0"/>
                <wp:lineTo x="0" y="20887"/>
                <wp:lineTo x="21336" y="20887"/>
                <wp:lineTo x="21336" y="0"/>
                <wp:lineTo x="0" y="0"/>
              </wp:wrapPolygon>
            </wp:wrapTight>
            <wp:docPr id="31" name="Picture 31" descr="Jill Sewwl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ill Sewwll signa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5" b="5418"/>
                    <a:stretch/>
                  </pic:blipFill>
                  <pic:spPr bwMode="auto">
                    <a:xfrm>
                      <a:off x="0" y="0"/>
                      <a:ext cx="187071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031">
        <w:rPr>
          <w:rFonts w:ascii="VIC" w:eastAsia="Times" w:hAnsi="VIC"/>
        </w:rPr>
        <w:t>Chair, Victorian Clinical Council</w:t>
      </w:r>
    </w:p>
    <w:p w:rsidR="00F5755A" w:rsidRPr="00F5755A" w:rsidRDefault="00F5755A" w:rsidP="00036152">
      <w:pPr>
        <w:rPr>
          <w:rFonts w:ascii="VIC" w:hAnsi="VIC"/>
        </w:rPr>
      </w:pPr>
    </w:p>
    <w:p w:rsidR="006809F6" w:rsidRPr="001916FE" w:rsidRDefault="00210DA6" w:rsidP="006809F6">
      <w:pPr>
        <w:pStyle w:val="Heading2"/>
        <w:rPr>
          <w:rFonts w:ascii="VIC SemiBold" w:hAnsi="VIC SemiBold"/>
          <w:b w:val="0"/>
        </w:rPr>
      </w:pPr>
      <w:r>
        <w:rPr>
          <w:rFonts w:ascii="VIC SemiBold" w:hAnsi="VIC SemiBold"/>
          <w:b w:val="0"/>
        </w:rPr>
        <w:br w:type="column"/>
      </w:r>
      <w:r w:rsidR="006809F6" w:rsidRPr="001916FE">
        <w:rPr>
          <w:rFonts w:ascii="VIC SemiBold" w:hAnsi="VIC SemiBold"/>
          <w:b w:val="0"/>
        </w:rPr>
        <w:t>RESOURCES</w:t>
      </w:r>
    </w:p>
    <w:p w:rsidR="00907F20" w:rsidRPr="00907F20" w:rsidRDefault="006C5DD1" w:rsidP="009F0589">
      <w:pPr>
        <w:pStyle w:val="Bullet1"/>
        <w:spacing w:before="0" w:after="0" w:line="240" w:lineRule="auto"/>
        <w:rPr>
          <w:rStyle w:val="Hyperlink"/>
          <w:rFonts w:ascii="VIC" w:hAnsi="VIC"/>
          <w:b/>
          <w:color w:val="auto"/>
        </w:rPr>
      </w:pPr>
      <w:bookmarkStart w:id="4" w:name="_Hlk11400317"/>
      <w:r w:rsidRPr="00D72DD5">
        <w:rPr>
          <w:rStyle w:val="Hyperlink"/>
          <w:rFonts w:ascii="VIC" w:hAnsi="VIC"/>
        </w:rPr>
        <w:t xml:space="preserve">The National Health Information and Performance Principal Committee (NHIPPC). </w:t>
      </w:r>
      <w:hyperlink r:id="rId17" w:history="1">
        <w:r w:rsidRPr="00D72DD5">
          <w:rPr>
            <w:rFonts w:ascii="VIC" w:hAnsi="VIC"/>
            <w:color w:val="3366FF"/>
            <w:u w:val="dotted"/>
          </w:rPr>
          <w:t>The Australian Health Performance Framework</w:t>
        </w:r>
      </w:hyperlink>
      <w:r w:rsidRPr="00D72DD5">
        <w:rPr>
          <w:rFonts w:ascii="VIC" w:hAnsi="VIC"/>
          <w:color w:val="3366FF"/>
          <w:u w:val="dotted"/>
        </w:rPr>
        <w:t xml:space="preserve">. </w:t>
      </w:r>
      <w:r w:rsidRPr="00D72DD5">
        <w:rPr>
          <w:rStyle w:val="Hyperlink"/>
          <w:rFonts w:ascii="VIC" w:hAnsi="VIC"/>
        </w:rPr>
        <w:t>Brisbane, Queensland; 2017</w:t>
      </w:r>
      <w:bookmarkEnd w:id="4"/>
    </w:p>
    <w:p w:rsidR="00907F20" w:rsidRPr="00907F20" w:rsidRDefault="00907F20" w:rsidP="009F0589">
      <w:pPr>
        <w:pStyle w:val="Bullet1"/>
        <w:spacing w:before="0" w:after="0" w:line="240" w:lineRule="auto"/>
        <w:rPr>
          <w:rStyle w:val="Hyperlink"/>
          <w:rFonts w:ascii="VIC" w:hAnsi="VIC"/>
          <w:b/>
          <w:color w:val="auto"/>
        </w:rPr>
      </w:pPr>
      <w:r w:rsidRPr="00907F20">
        <w:rPr>
          <w:rStyle w:val="Hyperlink"/>
          <w:rFonts w:ascii="VIC" w:hAnsi="VIC"/>
        </w:rPr>
        <w:t xml:space="preserve">Australian Commission on Safety and Quality in Health Care (ACSQHC). </w:t>
      </w:r>
      <w:hyperlink r:id="rId18" w:history="1">
        <w:r w:rsidRPr="00907F20">
          <w:rPr>
            <w:rFonts w:ascii="VIC" w:hAnsi="VIC"/>
            <w:color w:val="3366FF"/>
            <w:u w:val="dotted"/>
          </w:rPr>
          <w:t>Public reporting of safety and quality in public and private hospitals: Report on consumer and clinician focus groups and expert interviews.</w:t>
        </w:r>
      </w:hyperlink>
      <w:r w:rsidRPr="00907F20">
        <w:rPr>
          <w:rStyle w:val="Hyperlink"/>
          <w:rFonts w:ascii="VIC" w:hAnsi="VIC"/>
          <w:i/>
        </w:rPr>
        <w:t xml:space="preserve"> </w:t>
      </w:r>
      <w:r w:rsidRPr="00907F20">
        <w:rPr>
          <w:rStyle w:val="Hyperlink"/>
          <w:rFonts w:ascii="VIC" w:hAnsi="VIC"/>
        </w:rPr>
        <w:t>Sydney; 2019</w:t>
      </w:r>
    </w:p>
    <w:p w:rsidR="003A41FD" w:rsidRPr="003A41FD" w:rsidRDefault="00033921" w:rsidP="003A41FD">
      <w:pPr>
        <w:pStyle w:val="Bullet1"/>
        <w:spacing w:before="0" w:after="120" w:line="240" w:lineRule="auto"/>
        <w:rPr>
          <w:rFonts w:ascii="VIC" w:hAnsi="VIC"/>
        </w:rPr>
      </w:pPr>
      <w:hyperlink r:id="rId19" w:history="1">
        <w:r w:rsidR="00907F20" w:rsidRPr="006540F5">
          <w:rPr>
            <w:rStyle w:val="Hyperlink"/>
            <w:rFonts w:ascii="VIC" w:hAnsi="VIC"/>
          </w:rPr>
          <w:t>Canaway R</w:t>
        </w:r>
      </w:hyperlink>
      <w:r w:rsidR="00907F20" w:rsidRPr="006540F5">
        <w:rPr>
          <w:rStyle w:val="Hyperlink"/>
          <w:rFonts w:ascii="VIC" w:hAnsi="VIC"/>
        </w:rPr>
        <w:t xml:space="preserve">, </w:t>
      </w:r>
      <w:hyperlink r:id="rId20" w:history="1">
        <w:r w:rsidR="00907F20" w:rsidRPr="006540F5">
          <w:rPr>
            <w:rStyle w:val="Hyperlink"/>
            <w:rFonts w:ascii="VIC" w:hAnsi="VIC"/>
          </w:rPr>
          <w:t>Bismark M</w:t>
        </w:r>
      </w:hyperlink>
      <w:r w:rsidR="00907F20" w:rsidRPr="006540F5">
        <w:rPr>
          <w:rStyle w:val="Hyperlink"/>
          <w:rFonts w:ascii="VIC" w:hAnsi="VIC"/>
        </w:rPr>
        <w:t xml:space="preserve">, </w:t>
      </w:r>
      <w:hyperlink r:id="rId21" w:history="1">
        <w:r w:rsidR="00907F20" w:rsidRPr="006540F5">
          <w:rPr>
            <w:rStyle w:val="Hyperlink"/>
            <w:rFonts w:ascii="VIC" w:hAnsi="VIC"/>
          </w:rPr>
          <w:t>Dunt D</w:t>
        </w:r>
      </w:hyperlink>
      <w:r w:rsidR="00907F20" w:rsidRPr="006540F5">
        <w:rPr>
          <w:rStyle w:val="Hyperlink"/>
          <w:rFonts w:ascii="VIC" w:hAnsi="VIC"/>
        </w:rPr>
        <w:t xml:space="preserve">, </w:t>
      </w:r>
      <w:hyperlink r:id="rId22" w:history="1">
        <w:r w:rsidR="00907F20" w:rsidRPr="006540F5">
          <w:rPr>
            <w:rStyle w:val="Hyperlink"/>
            <w:rFonts w:ascii="VIC" w:hAnsi="VIC"/>
          </w:rPr>
          <w:t>Prang KH</w:t>
        </w:r>
      </w:hyperlink>
      <w:r w:rsidR="00907F20" w:rsidRPr="006540F5">
        <w:rPr>
          <w:rStyle w:val="Hyperlink"/>
          <w:rFonts w:ascii="VIC" w:hAnsi="VIC"/>
        </w:rPr>
        <w:t xml:space="preserve">, </w:t>
      </w:r>
      <w:hyperlink r:id="rId23" w:history="1">
        <w:r w:rsidR="00907F20" w:rsidRPr="006540F5">
          <w:rPr>
            <w:rStyle w:val="Hyperlink"/>
            <w:rFonts w:ascii="VIC" w:hAnsi="VIC"/>
          </w:rPr>
          <w:t>Kelaher M</w:t>
        </w:r>
      </w:hyperlink>
      <w:r w:rsidR="00907F20" w:rsidRPr="006540F5">
        <w:rPr>
          <w:rStyle w:val="Hyperlink"/>
          <w:rFonts w:ascii="VIC" w:hAnsi="VIC"/>
        </w:rPr>
        <w:t xml:space="preserve"> </w:t>
      </w:r>
      <w:r w:rsidR="00907F20">
        <w:rPr>
          <w:rStyle w:val="Hyperlink"/>
          <w:rFonts w:ascii="VIC" w:hAnsi="VIC"/>
        </w:rPr>
        <w:t>2018,</w:t>
      </w:r>
      <w:r w:rsidR="00907F20" w:rsidRPr="00E9252A">
        <w:rPr>
          <w:color w:val="3366FF"/>
          <w:u w:val="dotted"/>
        </w:rPr>
        <w:t xml:space="preserve"> </w:t>
      </w:r>
      <w:hyperlink r:id="rId24" w:history="1">
        <w:r w:rsidR="00907F20" w:rsidRPr="00E9252A">
          <w:rPr>
            <w:rFonts w:ascii="VIC" w:hAnsi="VIC"/>
            <w:color w:val="3366FF"/>
            <w:u w:val="dotted"/>
          </w:rPr>
          <w:t>‘What is meant by public?: Stakeholder views on strengthening impacts of public reporting of hospital performance data.’</w:t>
        </w:r>
      </w:hyperlink>
      <w:r w:rsidR="00907F20" w:rsidRPr="00E9252A">
        <w:rPr>
          <w:rFonts w:ascii="VIC" w:hAnsi="VIC"/>
          <w:color w:val="3366FF"/>
          <w:u w:val="dotted"/>
        </w:rPr>
        <w:t xml:space="preserve"> </w:t>
      </w:r>
      <w:hyperlink r:id="rId25" w:tooltip="Social science &amp; medicine (1982)." w:history="1">
        <w:r w:rsidR="00907F20" w:rsidRPr="00E9252A">
          <w:rPr>
            <w:rStyle w:val="Hyperlink"/>
            <w:rFonts w:ascii="VIC" w:hAnsi="VIC"/>
            <w:i/>
          </w:rPr>
          <w:t>Soc Sci Med.</w:t>
        </w:r>
      </w:hyperlink>
      <w:r w:rsidR="00907F20" w:rsidRPr="00E9252A">
        <w:rPr>
          <w:rStyle w:val="Hyperlink"/>
          <w:rFonts w:ascii="VIC" w:hAnsi="VIC"/>
          <w:i/>
        </w:rPr>
        <w:t xml:space="preserve"> </w:t>
      </w:r>
      <w:r w:rsidR="00907F20" w:rsidRPr="00D83D48">
        <w:rPr>
          <w:rStyle w:val="Hyperlink"/>
          <w:rFonts w:ascii="VIC" w:hAnsi="VIC"/>
        </w:rPr>
        <w:t>202:143-15</w:t>
      </w:r>
    </w:p>
    <w:p w:rsidR="00F5755A" w:rsidRDefault="00F5755A" w:rsidP="00F5755A">
      <w:pPr>
        <w:pStyle w:val="Bullet1"/>
        <w:numPr>
          <w:ilvl w:val="0"/>
          <w:numId w:val="0"/>
        </w:numPr>
        <w:spacing w:before="120"/>
        <w:rPr>
          <w:rFonts w:ascii="VIC" w:eastAsia="Times" w:hAnsi="VIC"/>
        </w:rPr>
      </w:pPr>
    </w:p>
    <w:p w:rsidR="00F5755A" w:rsidRDefault="00F5755A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210DA6" w:rsidRDefault="00210DA6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1916FE" w:rsidRDefault="001916FE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1916FE" w:rsidRDefault="001916FE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1916FE" w:rsidRDefault="001916FE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1916FE" w:rsidRDefault="001916FE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</w:pPr>
    </w:p>
    <w:p w:rsidR="001916FE" w:rsidRDefault="001916FE" w:rsidP="003A41FD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="Times" w:hAnsi="VIC"/>
        </w:rPr>
        <w:sectPr w:rsidR="001916FE" w:rsidSect="00033921">
          <w:type w:val="continuous"/>
          <w:pgSz w:w="11906" w:h="16838" w:code="9"/>
          <w:pgMar w:top="2438" w:right="1021" w:bottom="1021" w:left="1021" w:header="539" w:footer="624" w:gutter="0"/>
          <w:cols w:num="2" w:space="284"/>
          <w:docGrid w:linePitch="360"/>
        </w:sectPr>
      </w:pPr>
    </w:p>
    <w:p w:rsidR="006809F6" w:rsidRPr="000E2268" w:rsidRDefault="006809F6" w:rsidP="00210DA6">
      <w:pPr>
        <w:pStyle w:val="Bullet1"/>
        <w:numPr>
          <w:ilvl w:val="0"/>
          <w:numId w:val="0"/>
        </w:numPr>
        <w:spacing w:before="120"/>
        <w:ind w:left="284" w:hanging="284"/>
        <w:rPr>
          <w:rFonts w:ascii="VIC" w:eastAsiaTheme="majorEastAsia" w:hAnsi="VIC" w:cstheme="majorBidi"/>
          <w:b/>
          <w:bCs/>
          <w:color w:val="000000" w:themeColor="text1"/>
          <w:sz w:val="24"/>
          <w:szCs w:val="22"/>
        </w:rPr>
      </w:pPr>
    </w:p>
    <w:sectPr w:rsidR="006809F6" w:rsidRPr="000E2268" w:rsidSect="00663D4D">
      <w:type w:val="continuous"/>
      <w:pgSz w:w="11906" w:h="16838" w:code="9"/>
      <w:pgMar w:top="2438" w:right="1021" w:bottom="1021" w:left="1021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0F" w:rsidRDefault="00A8260F" w:rsidP="002D711A">
      <w:pPr>
        <w:spacing w:after="0" w:line="240" w:lineRule="auto"/>
      </w:pPr>
      <w:r>
        <w:separator/>
      </w:r>
    </w:p>
  </w:endnote>
  <w:endnote w:type="continuationSeparator" w:id="0">
    <w:p w:rsidR="00A8260F" w:rsidRDefault="00A8260F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D" w:rsidRPr="00663D4D" w:rsidRDefault="00033921" w:rsidP="00C76302">
    <w:pPr>
      <w:pStyle w:val="Footer"/>
      <w:spacing w:before="120" w:after="120" w:line="28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D81693">
          <w:rPr>
            <w:sz w:val="20"/>
            <w:szCs w:val="20"/>
          </w:rPr>
          <w:t>4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0F" w:rsidRDefault="00A8260F" w:rsidP="00E33E08">
      <w:pPr>
        <w:spacing w:before="0" w:after="0" w:line="240" w:lineRule="auto"/>
      </w:pPr>
    </w:p>
  </w:footnote>
  <w:footnote w:type="continuationSeparator" w:id="0">
    <w:p w:rsidR="00A8260F" w:rsidRDefault="00A8260F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6D6A9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B810DCE" wp14:editId="00FB74FA">
          <wp:simplePos x="0" y="0"/>
          <wp:positionH relativeFrom="column">
            <wp:posOffset>-447675</wp:posOffset>
          </wp:positionH>
          <wp:positionV relativeFrom="paragraph">
            <wp:posOffset>-342265</wp:posOffset>
          </wp:positionV>
          <wp:extent cx="3143250" cy="19173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191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623C1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91B0EFA"/>
    <w:multiLevelType w:val="hybridMultilevel"/>
    <w:tmpl w:val="77D4A638"/>
    <w:lvl w:ilvl="0" w:tplc="490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41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C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E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0D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8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F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D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917224F4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DHHSnumberdigitinden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5C2A15"/>
    <w:multiLevelType w:val="hybridMultilevel"/>
    <w:tmpl w:val="40EE5672"/>
    <w:lvl w:ilvl="0" w:tplc="EC62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8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0E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A16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8F5C4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C6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1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8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2E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3E1A6F"/>
    <w:multiLevelType w:val="hybridMultilevel"/>
    <w:tmpl w:val="B4FE191E"/>
    <w:lvl w:ilvl="0" w:tplc="E590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8B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0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0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A0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8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0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C27BDE"/>
    <w:multiLevelType w:val="hybridMultilevel"/>
    <w:tmpl w:val="A50C3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9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F6"/>
    <w:rsid w:val="000057BE"/>
    <w:rsid w:val="00010A16"/>
    <w:rsid w:val="00012F6F"/>
    <w:rsid w:val="00014213"/>
    <w:rsid w:val="00014B55"/>
    <w:rsid w:val="00020E3E"/>
    <w:rsid w:val="00021367"/>
    <w:rsid w:val="00023BF3"/>
    <w:rsid w:val="00026811"/>
    <w:rsid w:val="00033921"/>
    <w:rsid w:val="00036152"/>
    <w:rsid w:val="0004185E"/>
    <w:rsid w:val="00052AB6"/>
    <w:rsid w:val="00053181"/>
    <w:rsid w:val="00056988"/>
    <w:rsid w:val="000570BD"/>
    <w:rsid w:val="00072279"/>
    <w:rsid w:val="00073407"/>
    <w:rsid w:val="00075E6C"/>
    <w:rsid w:val="00081C12"/>
    <w:rsid w:val="000849E9"/>
    <w:rsid w:val="00086DFD"/>
    <w:rsid w:val="00087D42"/>
    <w:rsid w:val="000905F7"/>
    <w:rsid w:val="00092690"/>
    <w:rsid w:val="000B1D9D"/>
    <w:rsid w:val="000B29AD"/>
    <w:rsid w:val="000C1046"/>
    <w:rsid w:val="000C6372"/>
    <w:rsid w:val="000D0BD7"/>
    <w:rsid w:val="000D7841"/>
    <w:rsid w:val="000E392D"/>
    <w:rsid w:val="000E39B6"/>
    <w:rsid w:val="000E3D05"/>
    <w:rsid w:val="000F3EB3"/>
    <w:rsid w:val="000F3ECF"/>
    <w:rsid w:val="000F4288"/>
    <w:rsid w:val="000F69E1"/>
    <w:rsid w:val="000F7165"/>
    <w:rsid w:val="00102379"/>
    <w:rsid w:val="00103722"/>
    <w:rsid w:val="00104DBA"/>
    <w:rsid w:val="001065D6"/>
    <w:rsid w:val="001068D5"/>
    <w:rsid w:val="00113EF4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1DBA"/>
    <w:rsid w:val="00165E66"/>
    <w:rsid w:val="001916FE"/>
    <w:rsid w:val="00193138"/>
    <w:rsid w:val="00194C04"/>
    <w:rsid w:val="00196143"/>
    <w:rsid w:val="001A24FC"/>
    <w:rsid w:val="001A4F3D"/>
    <w:rsid w:val="001A75B7"/>
    <w:rsid w:val="001C6993"/>
    <w:rsid w:val="001C7BAE"/>
    <w:rsid w:val="001E31FA"/>
    <w:rsid w:val="001E48F9"/>
    <w:rsid w:val="001E64F6"/>
    <w:rsid w:val="001E7AEB"/>
    <w:rsid w:val="001F3F3C"/>
    <w:rsid w:val="00203DEF"/>
    <w:rsid w:val="00204B82"/>
    <w:rsid w:val="00210DA6"/>
    <w:rsid w:val="00212987"/>
    <w:rsid w:val="002133CA"/>
    <w:rsid w:val="00215DE2"/>
    <w:rsid w:val="00216E30"/>
    <w:rsid w:val="00222BEB"/>
    <w:rsid w:val="00225E60"/>
    <w:rsid w:val="00230BBB"/>
    <w:rsid w:val="0023178C"/>
    <w:rsid w:val="0023202C"/>
    <w:rsid w:val="002342BE"/>
    <w:rsid w:val="00234619"/>
    <w:rsid w:val="00235BE2"/>
    <w:rsid w:val="00245043"/>
    <w:rsid w:val="00247F45"/>
    <w:rsid w:val="0026028E"/>
    <w:rsid w:val="0027180C"/>
    <w:rsid w:val="00284FA2"/>
    <w:rsid w:val="00292D36"/>
    <w:rsid w:val="00294A5A"/>
    <w:rsid w:val="002955DA"/>
    <w:rsid w:val="00297281"/>
    <w:rsid w:val="00297302"/>
    <w:rsid w:val="00297A47"/>
    <w:rsid w:val="002A5891"/>
    <w:rsid w:val="002B03F1"/>
    <w:rsid w:val="002B2869"/>
    <w:rsid w:val="002B5C34"/>
    <w:rsid w:val="002B5E2B"/>
    <w:rsid w:val="002B6DAA"/>
    <w:rsid w:val="002C04F1"/>
    <w:rsid w:val="002C0C5B"/>
    <w:rsid w:val="002C4F62"/>
    <w:rsid w:val="002D70F7"/>
    <w:rsid w:val="002D711A"/>
    <w:rsid w:val="002D7336"/>
    <w:rsid w:val="002E3396"/>
    <w:rsid w:val="002E6454"/>
    <w:rsid w:val="002F2953"/>
    <w:rsid w:val="0031149C"/>
    <w:rsid w:val="003649B7"/>
    <w:rsid w:val="0036778F"/>
    <w:rsid w:val="00381A1C"/>
    <w:rsid w:val="00385E5F"/>
    <w:rsid w:val="0038771C"/>
    <w:rsid w:val="003A41FD"/>
    <w:rsid w:val="003A430B"/>
    <w:rsid w:val="003A541A"/>
    <w:rsid w:val="003A6923"/>
    <w:rsid w:val="003C2C67"/>
    <w:rsid w:val="003C2D4C"/>
    <w:rsid w:val="003C3B3A"/>
    <w:rsid w:val="003C5BA4"/>
    <w:rsid w:val="003C6466"/>
    <w:rsid w:val="003E3E26"/>
    <w:rsid w:val="003F1295"/>
    <w:rsid w:val="003F5102"/>
    <w:rsid w:val="003F5933"/>
    <w:rsid w:val="003F76FC"/>
    <w:rsid w:val="004002EB"/>
    <w:rsid w:val="00401591"/>
    <w:rsid w:val="00401C05"/>
    <w:rsid w:val="00407A79"/>
    <w:rsid w:val="00422DDC"/>
    <w:rsid w:val="004231B5"/>
    <w:rsid w:val="004236C8"/>
    <w:rsid w:val="00427681"/>
    <w:rsid w:val="00433DB7"/>
    <w:rsid w:val="00442DF4"/>
    <w:rsid w:val="0045347E"/>
    <w:rsid w:val="00453750"/>
    <w:rsid w:val="00456941"/>
    <w:rsid w:val="00460BD5"/>
    <w:rsid w:val="004644CA"/>
    <w:rsid w:val="004702EA"/>
    <w:rsid w:val="00471E28"/>
    <w:rsid w:val="00475218"/>
    <w:rsid w:val="0048259C"/>
    <w:rsid w:val="00482D02"/>
    <w:rsid w:val="00484326"/>
    <w:rsid w:val="00490369"/>
    <w:rsid w:val="004A6F16"/>
    <w:rsid w:val="004A7519"/>
    <w:rsid w:val="004B333D"/>
    <w:rsid w:val="004B64B1"/>
    <w:rsid w:val="004C14AF"/>
    <w:rsid w:val="004C69D9"/>
    <w:rsid w:val="004D01AC"/>
    <w:rsid w:val="004D3518"/>
    <w:rsid w:val="004D62D6"/>
    <w:rsid w:val="004D6898"/>
    <w:rsid w:val="004D6D95"/>
    <w:rsid w:val="004E62E1"/>
    <w:rsid w:val="004F3F4E"/>
    <w:rsid w:val="00510167"/>
    <w:rsid w:val="005105EA"/>
    <w:rsid w:val="00513E86"/>
    <w:rsid w:val="005306A2"/>
    <w:rsid w:val="0053416C"/>
    <w:rsid w:val="00541C2F"/>
    <w:rsid w:val="00552DE4"/>
    <w:rsid w:val="00563527"/>
    <w:rsid w:val="005653E5"/>
    <w:rsid w:val="005719A4"/>
    <w:rsid w:val="0057407A"/>
    <w:rsid w:val="0058124E"/>
    <w:rsid w:val="005875A3"/>
    <w:rsid w:val="005934B7"/>
    <w:rsid w:val="005953EA"/>
    <w:rsid w:val="005A3416"/>
    <w:rsid w:val="005A7DD3"/>
    <w:rsid w:val="005B061F"/>
    <w:rsid w:val="005B27FE"/>
    <w:rsid w:val="005B76DF"/>
    <w:rsid w:val="005B79CB"/>
    <w:rsid w:val="005E08D7"/>
    <w:rsid w:val="005E4C16"/>
    <w:rsid w:val="005E5947"/>
    <w:rsid w:val="005E62F2"/>
    <w:rsid w:val="005F12DD"/>
    <w:rsid w:val="005F61DF"/>
    <w:rsid w:val="0060163A"/>
    <w:rsid w:val="006023F9"/>
    <w:rsid w:val="00610559"/>
    <w:rsid w:val="00614076"/>
    <w:rsid w:val="00632F2E"/>
    <w:rsid w:val="006332F6"/>
    <w:rsid w:val="006413F2"/>
    <w:rsid w:val="0064433A"/>
    <w:rsid w:val="00653357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809F6"/>
    <w:rsid w:val="00680C66"/>
    <w:rsid w:val="00682881"/>
    <w:rsid w:val="00685C72"/>
    <w:rsid w:val="00693918"/>
    <w:rsid w:val="006945CA"/>
    <w:rsid w:val="006A3309"/>
    <w:rsid w:val="006A3A5A"/>
    <w:rsid w:val="006A5B34"/>
    <w:rsid w:val="006C5DD1"/>
    <w:rsid w:val="006C77A9"/>
    <w:rsid w:val="006D4720"/>
    <w:rsid w:val="006D662D"/>
    <w:rsid w:val="006D6829"/>
    <w:rsid w:val="006D6A98"/>
    <w:rsid w:val="006E6CDF"/>
    <w:rsid w:val="006F37F2"/>
    <w:rsid w:val="006F6693"/>
    <w:rsid w:val="00707FE8"/>
    <w:rsid w:val="00714AAE"/>
    <w:rsid w:val="0072060C"/>
    <w:rsid w:val="00724962"/>
    <w:rsid w:val="00724A0F"/>
    <w:rsid w:val="00726D2F"/>
    <w:rsid w:val="00727ECC"/>
    <w:rsid w:val="00736732"/>
    <w:rsid w:val="00740019"/>
    <w:rsid w:val="007459E7"/>
    <w:rsid w:val="00746426"/>
    <w:rsid w:val="00746A3C"/>
    <w:rsid w:val="00750BF9"/>
    <w:rsid w:val="00750CBE"/>
    <w:rsid w:val="007650D2"/>
    <w:rsid w:val="00766B5A"/>
    <w:rsid w:val="00770617"/>
    <w:rsid w:val="00772209"/>
    <w:rsid w:val="007770A5"/>
    <w:rsid w:val="00782132"/>
    <w:rsid w:val="007834F2"/>
    <w:rsid w:val="00791020"/>
    <w:rsid w:val="0079634E"/>
    <w:rsid w:val="00796884"/>
    <w:rsid w:val="007A04D2"/>
    <w:rsid w:val="007A4444"/>
    <w:rsid w:val="007A5F82"/>
    <w:rsid w:val="007C6309"/>
    <w:rsid w:val="007C70BF"/>
    <w:rsid w:val="007D5F9E"/>
    <w:rsid w:val="007E098F"/>
    <w:rsid w:val="007E3BA2"/>
    <w:rsid w:val="007E6EF5"/>
    <w:rsid w:val="007E6F9B"/>
    <w:rsid w:val="007F1A4C"/>
    <w:rsid w:val="007F706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217"/>
    <w:rsid w:val="008816EE"/>
    <w:rsid w:val="00881AE4"/>
    <w:rsid w:val="00897157"/>
    <w:rsid w:val="00897447"/>
    <w:rsid w:val="008A4900"/>
    <w:rsid w:val="008A55FE"/>
    <w:rsid w:val="008A58D2"/>
    <w:rsid w:val="008A6727"/>
    <w:rsid w:val="008B146D"/>
    <w:rsid w:val="008B42AD"/>
    <w:rsid w:val="008B5666"/>
    <w:rsid w:val="008C154D"/>
    <w:rsid w:val="008C2C15"/>
    <w:rsid w:val="008D0281"/>
    <w:rsid w:val="008E2348"/>
    <w:rsid w:val="008F6D45"/>
    <w:rsid w:val="00907F20"/>
    <w:rsid w:val="00914634"/>
    <w:rsid w:val="00916AD5"/>
    <w:rsid w:val="00922944"/>
    <w:rsid w:val="00923A36"/>
    <w:rsid w:val="00936479"/>
    <w:rsid w:val="00937A10"/>
    <w:rsid w:val="00941A74"/>
    <w:rsid w:val="009452BA"/>
    <w:rsid w:val="00953A2C"/>
    <w:rsid w:val="00966115"/>
    <w:rsid w:val="00974458"/>
    <w:rsid w:val="00976686"/>
    <w:rsid w:val="00983239"/>
    <w:rsid w:val="009834C0"/>
    <w:rsid w:val="00986AAC"/>
    <w:rsid w:val="0099008A"/>
    <w:rsid w:val="00995526"/>
    <w:rsid w:val="009979A8"/>
    <w:rsid w:val="009A1DA2"/>
    <w:rsid w:val="009A3704"/>
    <w:rsid w:val="009A4739"/>
    <w:rsid w:val="009A674F"/>
    <w:rsid w:val="009A6D22"/>
    <w:rsid w:val="009B0656"/>
    <w:rsid w:val="009B199C"/>
    <w:rsid w:val="009B444E"/>
    <w:rsid w:val="009B61F1"/>
    <w:rsid w:val="009B62E0"/>
    <w:rsid w:val="009C3D88"/>
    <w:rsid w:val="009E1651"/>
    <w:rsid w:val="009E3858"/>
    <w:rsid w:val="009E467D"/>
    <w:rsid w:val="009E70DD"/>
    <w:rsid w:val="009F0589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541F"/>
    <w:rsid w:val="00A35855"/>
    <w:rsid w:val="00A46288"/>
    <w:rsid w:val="00A4670E"/>
    <w:rsid w:val="00A46BA8"/>
    <w:rsid w:val="00A47634"/>
    <w:rsid w:val="00A53261"/>
    <w:rsid w:val="00A56460"/>
    <w:rsid w:val="00A612FE"/>
    <w:rsid w:val="00A70B49"/>
    <w:rsid w:val="00A730E6"/>
    <w:rsid w:val="00A8260F"/>
    <w:rsid w:val="00A92D94"/>
    <w:rsid w:val="00AA26B8"/>
    <w:rsid w:val="00AA4208"/>
    <w:rsid w:val="00AA51EA"/>
    <w:rsid w:val="00AB24D3"/>
    <w:rsid w:val="00AB5A0E"/>
    <w:rsid w:val="00AB74B7"/>
    <w:rsid w:val="00AC0B87"/>
    <w:rsid w:val="00AC2624"/>
    <w:rsid w:val="00AC32A8"/>
    <w:rsid w:val="00AD0EBF"/>
    <w:rsid w:val="00AD7E4E"/>
    <w:rsid w:val="00AF39B5"/>
    <w:rsid w:val="00AF4D58"/>
    <w:rsid w:val="00AF6666"/>
    <w:rsid w:val="00AF7BC5"/>
    <w:rsid w:val="00B81B44"/>
    <w:rsid w:val="00B9053B"/>
    <w:rsid w:val="00BA0C37"/>
    <w:rsid w:val="00BA263D"/>
    <w:rsid w:val="00BA3782"/>
    <w:rsid w:val="00BB066F"/>
    <w:rsid w:val="00BB4D98"/>
    <w:rsid w:val="00BB4EBF"/>
    <w:rsid w:val="00BB59E0"/>
    <w:rsid w:val="00BC3422"/>
    <w:rsid w:val="00BC63AA"/>
    <w:rsid w:val="00BC6E19"/>
    <w:rsid w:val="00BD11C2"/>
    <w:rsid w:val="00BD2CAE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12B70"/>
    <w:rsid w:val="00C32D49"/>
    <w:rsid w:val="00C33AD3"/>
    <w:rsid w:val="00C35D53"/>
    <w:rsid w:val="00C361A0"/>
    <w:rsid w:val="00C41B3C"/>
    <w:rsid w:val="00C43F06"/>
    <w:rsid w:val="00C45D67"/>
    <w:rsid w:val="00C51C01"/>
    <w:rsid w:val="00C6262B"/>
    <w:rsid w:val="00C637E1"/>
    <w:rsid w:val="00C67EAC"/>
    <w:rsid w:val="00C70D50"/>
    <w:rsid w:val="00C72252"/>
    <w:rsid w:val="00C76302"/>
    <w:rsid w:val="00C87301"/>
    <w:rsid w:val="00C907D7"/>
    <w:rsid w:val="00C92338"/>
    <w:rsid w:val="00CA05DC"/>
    <w:rsid w:val="00CA7B47"/>
    <w:rsid w:val="00CB3976"/>
    <w:rsid w:val="00CC03A5"/>
    <w:rsid w:val="00CD0307"/>
    <w:rsid w:val="00CD3C79"/>
    <w:rsid w:val="00CD3D1B"/>
    <w:rsid w:val="00CD60A6"/>
    <w:rsid w:val="00CD71F5"/>
    <w:rsid w:val="00D02663"/>
    <w:rsid w:val="00D0633E"/>
    <w:rsid w:val="00D12E74"/>
    <w:rsid w:val="00D14370"/>
    <w:rsid w:val="00D2312F"/>
    <w:rsid w:val="00D23B04"/>
    <w:rsid w:val="00D269C1"/>
    <w:rsid w:val="00D270C6"/>
    <w:rsid w:val="00D40126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81693"/>
    <w:rsid w:val="00D90688"/>
    <w:rsid w:val="00DA3AAD"/>
    <w:rsid w:val="00DA3F36"/>
    <w:rsid w:val="00DA7E55"/>
    <w:rsid w:val="00DB312B"/>
    <w:rsid w:val="00DC5654"/>
    <w:rsid w:val="00DC658F"/>
    <w:rsid w:val="00DC674A"/>
    <w:rsid w:val="00DE2C13"/>
    <w:rsid w:val="00DE3553"/>
    <w:rsid w:val="00DE60CC"/>
    <w:rsid w:val="00DF2454"/>
    <w:rsid w:val="00E03516"/>
    <w:rsid w:val="00E03F35"/>
    <w:rsid w:val="00E131C8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103C"/>
    <w:rsid w:val="00E92192"/>
    <w:rsid w:val="00E95A71"/>
    <w:rsid w:val="00EB7014"/>
    <w:rsid w:val="00EC0AC4"/>
    <w:rsid w:val="00EC5CDE"/>
    <w:rsid w:val="00EC7F2A"/>
    <w:rsid w:val="00ED3077"/>
    <w:rsid w:val="00ED487E"/>
    <w:rsid w:val="00ED64F1"/>
    <w:rsid w:val="00EE33A1"/>
    <w:rsid w:val="00EE7A0D"/>
    <w:rsid w:val="00F0222C"/>
    <w:rsid w:val="00F044F8"/>
    <w:rsid w:val="00F06647"/>
    <w:rsid w:val="00F078D1"/>
    <w:rsid w:val="00F12312"/>
    <w:rsid w:val="00F161DD"/>
    <w:rsid w:val="00F17CE1"/>
    <w:rsid w:val="00F2115C"/>
    <w:rsid w:val="00F22ABA"/>
    <w:rsid w:val="00F25919"/>
    <w:rsid w:val="00F25F4B"/>
    <w:rsid w:val="00F27C9D"/>
    <w:rsid w:val="00F36B12"/>
    <w:rsid w:val="00F47A36"/>
    <w:rsid w:val="00F545C5"/>
    <w:rsid w:val="00F5755A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0DC5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886CE"/>
  <w15:docId w15:val="{67AEDBDD-BE23-42EF-B70A-C6F7FDAA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9B0656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9B0656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9B0656"/>
    <w:rPr>
      <w:rFonts w:asciiTheme="majorHAnsi" w:eastAsiaTheme="majorEastAsia" w:hAnsiTheme="majorHAnsi" w:cstheme="majorBidi"/>
      <w:b/>
      <w:bCs/>
      <w:color w:val="004EA8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9B0656"/>
    <w:rPr>
      <w:rFonts w:asciiTheme="majorHAnsi" w:eastAsiaTheme="majorEastAsia" w:hAnsiTheme="majorHAnsi" w:cstheme="majorBidi"/>
      <w:b/>
      <w:bCs/>
      <w:caps/>
      <w:color w:val="004EA8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5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9B0656"/>
    <w:pPr>
      <w:framePr w:wrap="around"/>
      <w:numPr>
        <w:numId w:val="6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6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6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6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B0656"/>
    <w:pPr>
      <w:keepNext/>
      <w:keepLines/>
      <w:spacing w:before="0" w:after="0" w:line="260" w:lineRule="atLeast"/>
    </w:pPr>
    <w:rPr>
      <w:rFonts w:eastAsiaTheme="minorHAnsi"/>
      <w:b/>
      <w:color w:val="004EA8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9B0656"/>
    <w:pPr>
      <w:tabs>
        <w:tab w:val="left" w:pos="1080"/>
      </w:tabs>
      <w:spacing w:before="280" w:after="210" w:line="260" w:lineRule="atLeast"/>
    </w:pPr>
    <w:rPr>
      <w:b/>
      <w:bCs/>
      <w:color w:val="004EA8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9B0656"/>
    <w:pPr>
      <w:spacing w:before="280" w:after="60"/>
    </w:pPr>
    <w:rPr>
      <w:b/>
      <w:color w:val="004EA8"/>
    </w:rPr>
  </w:style>
  <w:style w:type="paragraph" w:styleId="NoSpacing">
    <w:name w:val="No Spacing"/>
    <w:link w:val="NoSpacingChar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9B0656"/>
    <w:pPr>
      <w:spacing w:before="100" w:after="100"/>
    </w:pPr>
    <w:rPr>
      <w:color w:val="004EA8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5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3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133CA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4C1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4C14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1"/>
    <w:semiHidden/>
    <w:unhideWhenUsed/>
    <w:rsid w:val="00653357"/>
    <w:rPr>
      <w:color w:val="007586" w:themeColor="followedHyperlink"/>
      <w:u w:val="single"/>
    </w:rPr>
  </w:style>
  <w:style w:type="paragraph" w:customStyle="1" w:styleId="DHHSbullet1">
    <w:name w:val="DHHS bullet 1"/>
    <w:basedOn w:val="Normal"/>
    <w:qFormat/>
    <w:rsid w:val="00EC0AC4"/>
    <w:pPr>
      <w:numPr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2">
    <w:name w:val="DHHS bullet 2"/>
    <w:basedOn w:val="Normal"/>
    <w:uiPriority w:val="2"/>
    <w:qFormat/>
    <w:rsid w:val="00EC0AC4"/>
    <w:pPr>
      <w:numPr>
        <w:ilvl w:val="2"/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tablebullet">
    <w:name w:val="DHHS table bullet"/>
    <w:basedOn w:val="Normal"/>
    <w:uiPriority w:val="3"/>
    <w:qFormat/>
    <w:rsid w:val="00EC0AC4"/>
    <w:pPr>
      <w:numPr>
        <w:ilvl w:val="6"/>
        <w:numId w:val="7"/>
      </w:numPr>
      <w:spacing w:before="80" w:after="60" w:line="240" w:lineRule="auto"/>
    </w:pPr>
    <w:rPr>
      <w:rFonts w:ascii="Arial" w:eastAsia="Times New Roman" w:hAnsi="Arial" w:cs="Times New Roman"/>
      <w:lang w:eastAsia="en-US"/>
    </w:rPr>
  </w:style>
  <w:style w:type="paragraph" w:customStyle="1" w:styleId="DHHSbulletindent">
    <w:name w:val="DHHS bullet indent"/>
    <w:basedOn w:val="Normal"/>
    <w:uiPriority w:val="4"/>
    <w:rsid w:val="00EC0AC4"/>
    <w:pPr>
      <w:numPr>
        <w:ilvl w:val="4"/>
        <w:numId w:val="7"/>
      </w:numPr>
      <w:spacing w:before="0" w:after="4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bullet1lastline">
    <w:name w:val="DHHS bullet 1 last line"/>
    <w:basedOn w:val="DHHSbullet1"/>
    <w:qFormat/>
    <w:rsid w:val="00EC0AC4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C0AC4"/>
    <w:pPr>
      <w:numPr>
        <w:ilvl w:val="3"/>
      </w:numPr>
      <w:spacing w:after="120"/>
    </w:pPr>
  </w:style>
  <w:style w:type="numbering" w:customStyle="1" w:styleId="ZZBullets">
    <w:name w:val="ZZ Bullets"/>
    <w:rsid w:val="00EC0AC4"/>
    <w:pPr>
      <w:numPr>
        <w:numId w:val="7"/>
      </w:numPr>
    </w:pPr>
  </w:style>
  <w:style w:type="paragraph" w:customStyle="1" w:styleId="DHHSbulletindentlastline">
    <w:name w:val="DHHS bullet indent last line"/>
    <w:basedOn w:val="Normal"/>
    <w:uiPriority w:val="4"/>
    <w:rsid w:val="00EC0AC4"/>
    <w:pPr>
      <w:numPr>
        <w:ilvl w:val="5"/>
        <w:numId w:val="7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numbering" w:customStyle="1" w:styleId="ZZNumbers">
    <w:name w:val="ZZ Numbers"/>
    <w:rsid w:val="00EC0AC4"/>
    <w:pPr>
      <w:numPr>
        <w:numId w:val="8"/>
      </w:numPr>
    </w:pPr>
  </w:style>
  <w:style w:type="paragraph" w:customStyle="1" w:styleId="DHHSnumberdigit">
    <w:name w:val="DHHS number digit"/>
    <w:basedOn w:val="Normal"/>
    <w:uiPriority w:val="4"/>
    <w:rsid w:val="00EC0AC4"/>
    <w:pPr>
      <w:numPr>
        <w:numId w:val="8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numberloweralphaindent">
    <w:name w:val="DHHS number lower alpha indent"/>
    <w:basedOn w:val="Normal"/>
    <w:uiPriority w:val="4"/>
    <w:qFormat/>
    <w:rsid w:val="00EC0AC4"/>
    <w:pPr>
      <w:numPr>
        <w:ilvl w:val="3"/>
        <w:numId w:val="8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EC0AC4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EC0AC4"/>
    <w:pPr>
      <w:numPr>
        <w:ilvl w:val="2"/>
        <w:numId w:val="8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numberlowerroman">
    <w:name w:val="DHHS number lower roman"/>
    <w:basedOn w:val="Normal"/>
    <w:uiPriority w:val="4"/>
    <w:qFormat/>
    <w:rsid w:val="00EC0AC4"/>
    <w:pPr>
      <w:numPr>
        <w:ilvl w:val="4"/>
        <w:numId w:val="8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customStyle="1" w:styleId="DHHSnumberlowerromanindent">
    <w:name w:val="DHHS number lower roman indent"/>
    <w:basedOn w:val="Normal"/>
    <w:uiPriority w:val="4"/>
    <w:qFormat/>
    <w:rsid w:val="00EC0AC4"/>
    <w:pPr>
      <w:numPr>
        <w:ilvl w:val="5"/>
        <w:numId w:val="8"/>
      </w:num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paragraph" w:styleId="ListBullet">
    <w:name w:val="List Bullet"/>
    <w:basedOn w:val="Normal"/>
    <w:uiPriority w:val="2"/>
    <w:qFormat/>
    <w:rsid w:val="00746A3C"/>
    <w:pPr>
      <w:numPr>
        <w:numId w:val="9"/>
      </w:numPr>
      <w:adjustRightInd w:val="0"/>
      <w:snapToGrid w:val="0"/>
      <w:spacing w:before="0"/>
    </w:pPr>
    <w:rPr>
      <w:rFonts w:eastAsia="MS Mincho" w:cstheme="minorHAnsi"/>
      <w:color w:val="000000" w:themeColor="tex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16E3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297302"/>
  </w:style>
  <w:style w:type="paragraph" w:customStyle="1" w:styleId="DHHSbody">
    <w:name w:val="DHHS body"/>
    <w:qFormat/>
    <w:rsid w:val="00297302"/>
    <w:pPr>
      <w:spacing w:before="0" w:after="120" w:line="270" w:lineRule="atLeast"/>
    </w:pPr>
    <w:rPr>
      <w:rFonts w:ascii="Arial" w:eastAsia="Times" w:hAnsi="Arial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136">
          <w:marLeft w:val="403"/>
          <w:marRight w:val="0"/>
          <w:marTop w:val="107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86">
          <w:marLeft w:val="403"/>
          <w:marRight w:val="0"/>
          <w:marTop w:val="107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4868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865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75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558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683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85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311">
          <w:marLeft w:val="403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16">
          <w:marLeft w:val="403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1713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382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16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241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715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18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842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61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719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854">
          <w:marLeft w:val="1195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57">
          <w:marLeft w:val="259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04">
          <w:marLeft w:val="259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380">
          <w:marLeft w:val="259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304">
          <w:marLeft w:val="259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954">
          <w:marLeft w:val="259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09">
          <w:marLeft w:val="259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104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224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574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911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452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587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911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8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985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751">
          <w:marLeft w:val="403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079">
          <w:marLeft w:val="403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558">
          <w:marLeft w:val="1195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878">
          <w:marLeft w:val="1195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57">
          <w:marLeft w:val="1195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855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739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32">
          <w:marLeft w:val="40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269">
          <w:marLeft w:val="403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850">
          <w:marLeft w:val="403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ettersafercare.vic.gov.au/newsletter" TargetMode="External"/><Relationship Id="rId18" Type="http://schemas.openxmlformats.org/officeDocument/2006/relationships/hyperlink" Target="https://www.safetyandquality.gov.au/wp-content/uploads/2019/04/Public-reporting-of-safety-and-quality-in-public-and-private-hospitals-report-on-consumer-and-clinician-focus-groups-and-expert-interview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Dunt%20D%5BAuthor%5D&amp;cauthor=true&amp;cauthor_uid=295248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ttersafercare.vic.gov.au/VAHINewsletter" TargetMode="External"/><Relationship Id="rId17" Type="http://schemas.openxmlformats.org/officeDocument/2006/relationships/hyperlink" Target="https://www.coaghealthcouncil.gov.au/Portals/0/OOS318_Attachment%201.pdf" TargetMode="External"/><Relationship Id="rId25" Type="http://schemas.openxmlformats.org/officeDocument/2006/relationships/hyperlink" Target="https://www.ncbi.nlm.nih.gov/pubmed/2952487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ncbi.nlm.nih.gov/pubmed/?term=Bismark%20M%5BAuthor%5D&amp;cauthor=true&amp;cauthor_uid=295248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7ab3b372-9bd4-40c3-b0e5-2136862a632f" TargetMode="External"/><Relationship Id="rId24" Type="http://schemas.openxmlformats.org/officeDocument/2006/relationships/hyperlink" Target="https://www.ncbi.nlm.nih.gov/pubmed/2952487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ncbi.nlm.nih.gov/pubmed/?term=Kelaher%20M%5BAuthor%5D&amp;cauthor=true&amp;cauthor_uid=2952487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ncbi.nlm.nih.gov/pubmed/?term=Canaway%20R%5BAuthor%5D&amp;cauthor=true&amp;cauthor_uid=2952487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bettersafercare.vic.gov.au/newsletter" TargetMode="External"/><Relationship Id="rId22" Type="http://schemas.openxmlformats.org/officeDocument/2006/relationships/hyperlink" Target="https://www.ncbi.nlm.nih.gov/pubmed/?term=Prang%20KH%5BAuthor%5D&amp;cauthor=true&amp;cauthor_uid=2952487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2.%20Councils%20and%20boards\VCC_Blank.dotx" TargetMode="External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1A8C-2E5B-443A-B6DC-D70395F3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VCC_Blank.dotx</Template>
  <TotalTime>1</TotalTime>
  <Pages>3</Pages>
  <Words>1075</Words>
  <Characters>6129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| Meeting 2 2019 ‘Count me in’: measure development and public reporting</vt:lpstr>
    </vt:vector>
  </TitlesOfParts>
  <Company>Department of Treasury and Finance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| Meeting 2 2019 ‘Count me in’: measure development and public reporting</dc:title>
  <dc:creator>Lauren Robb (DHHS)</dc:creator>
  <cp:lastModifiedBy>Freya Jones (DHHS)</cp:lastModifiedBy>
  <cp:revision>2</cp:revision>
  <cp:lastPrinted>2019-06-24T22:49:00Z</cp:lastPrinted>
  <dcterms:created xsi:type="dcterms:W3CDTF">2019-06-28T03:25:00Z</dcterms:created>
  <dcterms:modified xsi:type="dcterms:W3CDTF">2019-06-28T03:25:00Z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