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787D40" w14:paraId="2C13EBC4" w14:textId="77777777" w:rsidTr="003D32E6">
        <w:trPr>
          <w:trHeight w:val="57"/>
        </w:trPr>
        <w:tc>
          <w:tcPr>
            <w:tcW w:w="6804" w:type="dxa"/>
            <w:shd w:val="clear" w:color="auto" w:fill="auto"/>
            <w:tcMar>
              <w:top w:w="312" w:type="dxa"/>
            </w:tcMar>
          </w:tcPr>
          <w:p w14:paraId="1C315844" w14:textId="4A368439" w:rsidR="00787D40" w:rsidRPr="00996870" w:rsidRDefault="00787D40" w:rsidP="00996870">
            <w:pPr>
              <w:pStyle w:val="Date"/>
              <w:framePr w:hSpace="0" w:wrap="auto" w:vAnchor="margin" w:hAnchor="text" w:xAlign="left" w:yAlign="inline"/>
              <w:suppressOverlap w:val="0"/>
            </w:pPr>
            <w:r w:rsidRPr="00996870">
              <w:t>Ju</w:t>
            </w:r>
            <w:r w:rsidR="008553CD">
              <w:t>ne</w:t>
            </w:r>
            <w:r w:rsidRPr="00996870">
              <w:t xml:space="preserve"> 2019</w:t>
            </w:r>
          </w:p>
        </w:tc>
      </w:tr>
      <w:tr w:rsidR="00787D40" w14:paraId="067FA2AE" w14:textId="77777777" w:rsidTr="003D32E6">
        <w:trPr>
          <w:trHeight w:val="2948"/>
        </w:trPr>
        <w:tc>
          <w:tcPr>
            <w:tcW w:w="6804" w:type="dxa"/>
            <w:shd w:val="clear" w:color="auto" w:fill="auto"/>
            <w:tcMar>
              <w:top w:w="312" w:type="dxa"/>
            </w:tcMar>
          </w:tcPr>
          <w:p w14:paraId="1348877C" w14:textId="5E3716AC" w:rsidR="00787D40" w:rsidRPr="00996870" w:rsidRDefault="00787D40" w:rsidP="00787D40">
            <w:pPr>
              <w:pStyle w:val="Title"/>
              <w:framePr w:hSpace="0" w:wrap="auto" w:vAnchor="margin" w:hAnchor="text" w:xAlign="left" w:yAlign="inline"/>
              <w:suppressOverlap w:val="0"/>
              <w:rPr>
                <w:rFonts w:ascii="VIC SemiBold" w:hAnsi="VIC SemiBold"/>
                <w:b w:val="0"/>
              </w:rPr>
            </w:pPr>
            <w:r w:rsidRPr="00996870">
              <w:rPr>
                <w:rFonts w:ascii="VIC SemiBold" w:hAnsi="VIC SemiBold"/>
                <w:b w:val="0"/>
              </w:rPr>
              <w:t xml:space="preserve">Consumer representatives on adverse event reviews </w:t>
            </w:r>
          </w:p>
          <w:p w14:paraId="60826C3F" w14:textId="229CE0E1" w:rsidR="00787D40" w:rsidRPr="00996870" w:rsidRDefault="00787D40" w:rsidP="00787D40">
            <w:pPr>
              <w:pStyle w:val="Subtitle"/>
              <w:framePr w:hSpace="0" w:wrap="auto" w:vAnchor="margin" w:hAnchor="text" w:xAlign="left" w:yAlign="inline"/>
              <w:suppressOverlap w:val="0"/>
              <w:rPr>
                <w:rFonts w:ascii="VIC Medium" w:hAnsi="VIC Medium"/>
              </w:rPr>
            </w:pPr>
            <w:bookmarkStart w:id="0" w:name="_Hlk12460021"/>
            <w:r w:rsidRPr="00996870">
              <w:rPr>
                <w:rFonts w:ascii="VIC Medium" w:hAnsi="VIC Medium"/>
              </w:rPr>
              <w:t xml:space="preserve">A guide for </w:t>
            </w:r>
            <w:bookmarkEnd w:id="0"/>
            <w:r w:rsidRPr="00996870">
              <w:rPr>
                <w:rFonts w:ascii="VIC Medium" w:hAnsi="VIC Medium"/>
              </w:rPr>
              <w:t>health services</w:t>
            </w:r>
          </w:p>
        </w:tc>
      </w:tr>
    </w:tbl>
    <w:p w14:paraId="4BFF9FC2" w14:textId="77777777" w:rsidR="00A46288" w:rsidRDefault="00A46288" w:rsidP="00A46288">
      <w:pPr>
        <w:pStyle w:val="NoSpacing"/>
      </w:pPr>
    </w:p>
    <w:p w14:paraId="28A0B9BB" w14:textId="77777777" w:rsidR="00A46288" w:rsidRDefault="00A46288" w:rsidP="00996870">
      <w:pPr>
        <w:sectPr w:rsidR="00A46288" w:rsidSect="00257461">
          <w:headerReference w:type="even" r:id="rId8"/>
          <w:headerReference w:type="default" r:id="rId9"/>
          <w:footerReference w:type="even" r:id="rId10"/>
          <w:footerReference w:type="default" r:id="rId11"/>
          <w:headerReference w:type="first" r:id="rId12"/>
          <w:footerReference w:type="first" r:id="rId13"/>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06" w:type="dxa"/>
        <w:tblLook w:val="0600" w:firstRow="0" w:lastRow="0" w:firstColumn="0" w:lastColumn="0" w:noHBand="1" w:noVBand="1"/>
      </w:tblPr>
      <w:tblGrid>
        <w:gridCol w:w="4253"/>
        <w:gridCol w:w="3827"/>
        <w:gridCol w:w="2126"/>
      </w:tblGrid>
      <w:tr w:rsidR="008116D8" w:rsidRPr="00736C0C" w14:paraId="283B725D" w14:textId="77777777" w:rsidTr="00074F25">
        <w:trPr>
          <w:trHeight w:val="2041"/>
        </w:trPr>
        <w:tc>
          <w:tcPr>
            <w:tcW w:w="4253" w:type="dxa"/>
            <w:tcMar>
              <w:left w:w="113" w:type="dxa"/>
            </w:tcMar>
          </w:tcPr>
          <w:p w14:paraId="3902161F" w14:textId="1DF9A92B" w:rsidR="008116D8" w:rsidRPr="008116D8" w:rsidRDefault="008116D8" w:rsidP="00996870">
            <w:r w:rsidRPr="00996870">
              <w:rPr>
                <w:sz w:val="24"/>
              </w:rPr>
              <w:lastRenderedPageBreak/>
              <w:t xml:space="preserve">To receive this publication in an accessible format phone </w:t>
            </w:r>
            <w:r w:rsidR="00996870">
              <w:rPr>
                <w:sz w:val="24"/>
              </w:rPr>
              <w:br/>
            </w:r>
            <w:r w:rsidRPr="00996870">
              <w:rPr>
                <w:sz w:val="24"/>
              </w:rPr>
              <w:t xml:space="preserve">03 9096 1384, using the National Relay Service 13 36 </w:t>
            </w:r>
            <w:r w:rsidRPr="00996870">
              <w:rPr>
                <w:spacing w:val="-2"/>
                <w:sz w:val="24"/>
              </w:rPr>
              <w:t xml:space="preserve">77 if required, or email </w:t>
            </w:r>
            <w:r w:rsidR="00996870" w:rsidRPr="00996870">
              <w:rPr>
                <w:color w:val="4D92C0"/>
                <w:spacing w:val="-4"/>
                <w:sz w:val="24"/>
              </w:rPr>
              <w:t>info@safercare.vic.gov.au</w:t>
            </w:r>
          </w:p>
        </w:tc>
        <w:tc>
          <w:tcPr>
            <w:tcW w:w="3827" w:type="dxa"/>
          </w:tcPr>
          <w:p w14:paraId="20177F47" w14:textId="77777777" w:rsidR="008116D8" w:rsidRPr="00996870" w:rsidRDefault="008116D8" w:rsidP="00996870">
            <w:pPr>
              <w:rPr>
                <w:sz w:val="16"/>
                <w:szCs w:val="18"/>
              </w:rPr>
            </w:pPr>
            <w:r w:rsidRPr="00996870">
              <w:rPr>
                <w:sz w:val="16"/>
                <w:szCs w:val="18"/>
              </w:rPr>
              <w:t xml:space="preserve">Authorised and </w:t>
            </w:r>
            <w:r w:rsidRPr="00996870">
              <w:rPr>
                <w:spacing w:val="-2"/>
                <w:sz w:val="16"/>
                <w:szCs w:val="18"/>
              </w:rPr>
              <w:t>published by the Victorian</w:t>
            </w:r>
            <w:r w:rsidRPr="00996870">
              <w:rPr>
                <w:sz w:val="16"/>
                <w:szCs w:val="18"/>
              </w:rPr>
              <w:t xml:space="preserve"> Government, 1 Treasury Place, Melbourne.</w:t>
            </w:r>
          </w:p>
          <w:p w14:paraId="70818175" w14:textId="22E08040" w:rsidR="00996870" w:rsidRPr="00996870" w:rsidRDefault="008116D8" w:rsidP="00996870">
            <w:pPr>
              <w:rPr>
                <w:sz w:val="16"/>
                <w:szCs w:val="18"/>
              </w:rPr>
            </w:pPr>
            <w:r w:rsidRPr="00996870">
              <w:rPr>
                <w:sz w:val="16"/>
                <w:szCs w:val="18"/>
              </w:rPr>
              <w:t xml:space="preserve">© State of Victoria, Australia, Safer Care Victoria, </w:t>
            </w:r>
            <w:r w:rsidR="00996870" w:rsidRPr="00996870">
              <w:rPr>
                <w:sz w:val="16"/>
                <w:szCs w:val="18"/>
              </w:rPr>
              <w:t>Ju2019.</w:t>
            </w:r>
          </w:p>
          <w:p w14:paraId="20846845" w14:textId="77777777" w:rsidR="006E4D30" w:rsidRDefault="006E4D30" w:rsidP="00996870">
            <w:pPr>
              <w:rPr>
                <w:sz w:val="16"/>
                <w:szCs w:val="18"/>
              </w:rPr>
            </w:pPr>
            <w:r w:rsidRPr="006E4D30">
              <w:rPr>
                <w:sz w:val="16"/>
                <w:szCs w:val="18"/>
              </w:rPr>
              <w:t xml:space="preserve">ISBN 978-1-925947-08-3 (pdf/online/MS word) </w:t>
            </w:r>
          </w:p>
          <w:p w14:paraId="047212FE" w14:textId="0ADECDA8" w:rsidR="008116D8" w:rsidRPr="00736C0C" w:rsidRDefault="008116D8" w:rsidP="00996870">
            <w:r w:rsidRPr="00996870">
              <w:rPr>
                <w:sz w:val="16"/>
                <w:szCs w:val="18"/>
              </w:rPr>
              <w:t xml:space="preserve">Available at </w:t>
            </w:r>
            <w:hyperlink r:id="rId14" w:history="1">
              <w:r w:rsidRPr="00996870">
                <w:rPr>
                  <w:sz w:val="16"/>
                  <w:szCs w:val="18"/>
                </w:rPr>
                <w:t>www.safercare.vic</w:t>
              </w:r>
            </w:hyperlink>
            <w:r w:rsidRPr="00996870">
              <w:rPr>
                <w:sz w:val="16"/>
                <w:szCs w:val="18"/>
              </w:rPr>
              <w:t>.gov.au</w:t>
            </w:r>
            <w:r w:rsidRPr="00996870">
              <w:rPr>
                <w:color w:val="4382B9"/>
                <w:sz w:val="13"/>
              </w:rPr>
              <w:t xml:space="preserve"> </w:t>
            </w:r>
          </w:p>
        </w:tc>
        <w:tc>
          <w:tcPr>
            <w:tcW w:w="2126" w:type="dxa"/>
          </w:tcPr>
          <w:p w14:paraId="7E6A02E4" w14:textId="77777777" w:rsidR="00DC23D3" w:rsidRDefault="00DC23D3" w:rsidP="00DC23D3">
            <w:pPr>
              <w:spacing w:after="120"/>
            </w:pPr>
            <w:r>
              <w:drawing>
                <wp:inline distT="0" distB="0" distL="0" distR="0" wp14:anchorId="5D0D42B0" wp14:editId="3C75E006">
                  <wp:extent cx="882015" cy="818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ckwithconsumerslogo.gif"/>
                          <pic:cNvPicPr/>
                        </pic:nvPicPr>
                        <pic:blipFill rotWithShape="1">
                          <a:blip r:embed="rId15" cstate="print">
                            <a:extLst>
                              <a:ext uri="{28A0092B-C50C-407E-A947-70E740481C1C}">
                                <a14:useLocalDpi xmlns:a14="http://schemas.microsoft.com/office/drawing/2010/main" val="0"/>
                              </a:ext>
                            </a:extLst>
                          </a:blip>
                          <a:srcRect t="7218"/>
                          <a:stretch/>
                        </pic:blipFill>
                        <pic:spPr bwMode="auto">
                          <a:xfrm>
                            <a:off x="0" y="0"/>
                            <a:ext cx="890361" cy="826099"/>
                          </a:xfrm>
                          <a:prstGeom prst="rect">
                            <a:avLst/>
                          </a:prstGeom>
                          <a:ln>
                            <a:noFill/>
                          </a:ln>
                          <a:extLst>
                            <a:ext uri="{53640926-AAD7-44D8-BBD7-CCE9431645EC}">
                              <a14:shadowObscured xmlns:a14="http://schemas.microsoft.com/office/drawing/2010/main"/>
                            </a:ext>
                          </a:extLst>
                        </pic:spPr>
                      </pic:pic>
                    </a:graphicData>
                  </a:graphic>
                </wp:inline>
              </w:drawing>
            </w:r>
          </w:p>
          <w:p w14:paraId="274F4CA1" w14:textId="43FDD286" w:rsidR="007936A6" w:rsidRPr="00736C0C" w:rsidRDefault="008116D8" w:rsidP="00DC23D3">
            <w:pPr>
              <w:spacing w:after="120"/>
            </w:pPr>
            <w:r w:rsidRPr="00736C0C">
              <w:rPr>
                <w:lang w:val="en-US"/>
              </w:rPr>
              <w:drawing>
                <wp:inline distT="0" distB="0" distL="0" distR="0" wp14:anchorId="64D96F11" wp14:editId="0486C814">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0B9F2444" w14:textId="77777777" w:rsidR="0086277A" w:rsidRDefault="007C4073" w:rsidP="00996870">
      <w:r>
        <w:fldChar w:fldCharType="begin"/>
      </w:r>
      <w:r>
        <w:instrText xml:space="preserve"> Macrobutton NoMacro  </w:instrText>
      </w:r>
      <w:r>
        <w:fldChar w:fldCharType="end"/>
      </w:r>
      <w:r>
        <w:rPr>
          <w:lang w:val="en-US"/>
        </w:rPr>
        <w:drawing>
          <wp:anchor distT="0" distB="0" distL="114300" distR="114300" simplePos="0" relativeHeight="251661312" behindDoc="1" locked="1" layoutInCell="1" allowOverlap="1" wp14:anchorId="41B66621" wp14:editId="0D78E90B">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733F0D4E" w14:textId="77777777" w:rsidR="0086277A" w:rsidRDefault="0086277A" w:rsidP="00996870">
      <w:pPr>
        <w:sectPr w:rsidR="0086277A" w:rsidSect="007C4073">
          <w:headerReference w:type="first" r:id="rId18"/>
          <w:footerReference w:type="first" r:id="rId19"/>
          <w:pgSz w:w="11906" w:h="16838" w:code="9"/>
          <w:pgMar w:top="3402" w:right="851" w:bottom="1361" w:left="851" w:header="539" w:footer="624" w:gutter="0"/>
          <w:cols w:num="2" w:space="284"/>
          <w:docGrid w:linePitch="360"/>
        </w:sectPr>
      </w:pPr>
    </w:p>
    <w:p w14:paraId="54EE69E9" w14:textId="77777777" w:rsidR="0064798F" w:rsidRPr="00996870" w:rsidRDefault="005672EC" w:rsidP="00996870">
      <w:pPr>
        <w:pStyle w:val="Heading1numbered"/>
        <w:framePr w:wrap="around"/>
      </w:pPr>
      <w:r w:rsidRPr="00996870">
        <w:lastRenderedPageBreak/>
        <w:t>About this guide</w:t>
      </w:r>
    </w:p>
    <w:p w14:paraId="59620428" w14:textId="77777777" w:rsidR="009D02FC" w:rsidRPr="00996870" w:rsidRDefault="009D02FC" w:rsidP="00996870">
      <w:pPr>
        <w:spacing w:before="0" w:after="0" w:line="240" w:lineRule="auto"/>
        <w:rPr>
          <w:sz w:val="2"/>
        </w:rPr>
        <w:sectPr w:rsidR="009D02FC" w:rsidRPr="00996870" w:rsidSect="00265EC8">
          <w:pgSz w:w="11906" w:h="16838" w:code="9"/>
          <w:pgMar w:top="3402" w:right="851" w:bottom="1361" w:left="851" w:header="539" w:footer="624" w:gutter="0"/>
          <w:pgNumType w:start="1"/>
          <w:cols w:space="284"/>
          <w:docGrid w:linePitch="360"/>
        </w:sectPr>
      </w:pPr>
    </w:p>
    <w:p w14:paraId="20465DAE" w14:textId="77777777" w:rsidR="0075652D" w:rsidRPr="00996870" w:rsidRDefault="0075652D" w:rsidP="00996870">
      <w:pPr>
        <w:pStyle w:val="Heading3"/>
        <w:spacing w:before="0"/>
      </w:pPr>
      <w:bookmarkStart w:id="1" w:name="_Toc8302949"/>
      <w:bookmarkStart w:id="2" w:name="_Toc9275112"/>
      <w:r w:rsidRPr="00996870">
        <w:t>Who is this guide for?</w:t>
      </w:r>
      <w:bookmarkEnd w:id="1"/>
      <w:bookmarkEnd w:id="2"/>
    </w:p>
    <w:p w14:paraId="7B590B22" w14:textId="77777777" w:rsidR="00996870" w:rsidRDefault="0075652D" w:rsidP="00996870">
      <w:pPr>
        <w:pStyle w:val="Normalfollowingheading"/>
        <w:rPr>
          <w:rFonts w:eastAsia="Times New Roman"/>
        </w:rPr>
      </w:pPr>
      <w:bookmarkStart w:id="3" w:name="_Hlk12460965"/>
      <w:r w:rsidRPr="00795736">
        <w:rPr>
          <w:rFonts w:eastAsia="Times New Roman"/>
        </w:rPr>
        <w:t>Th</w:t>
      </w:r>
      <w:r w:rsidR="004F0A84">
        <w:rPr>
          <w:rFonts w:eastAsia="Times New Roman"/>
        </w:rPr>
        <w:t>is</w:t>
      </w:r>
      <w:r w:rsidRPr="00795736">
        <w:rPr>
          <w:rFonts w:eastAsia="Times New Roman"/>
        </w:rPr>
        <w:t xml:space="preserve"> guide </w:t>
      </w:r>
      <w:r w:rsidR="00FF1A2D">
        <w:rPr>
          <w:rFonts w:eastAsia="Times New Roman"/>
        </w:rPr>
        <w:t xml:space="preserve">has been prepared to support the participation of consumer representatives in reviewing adverse patient safety events in the Victorian health system. </w:t>
      </w:r>
    </w:p>
    <w:p w14:paraId="4684AC4F" w14:textId="3A2A1449" w:rsidR="0075652D" w:rsidRPr="00795736" w:rsidRDefault="00FF1A2D" w:rsidP="00996870">
      <w:pPr>
        <w:pStyle w:val="Normalfollowingheading"/>
        <w:rPr>
          <w:rFonts w:eastAsia="Times New Roman"/>
        </w:rPr>
      </w:pPr>
      <w:r>
        <w:rPr>
          <w:rFonts w:eastAsia="Times New Roman"/>
        </w:rPr>
        <w:t xml:space="preserve">The guide </w:t>
      </w:r>
      <w:r w:rsidR="0075652D" w:rsidRPr="00795736">
        <w:rPr>
          <w:rFonts w:eastAsia="Times New Roman"/>
        </w:rPr>
        <w:t xml:space="preserve">is </w:t>
      </w:r>
      <w:r>
        <w:rPr>
          <w:rFonts w:eastAsia="Times New Roman"/>
        </w:rPr>
        <w:t xml:space="preserve">intended </w:t>
      </w:r>
      <w:r w:rsidR="0075652D" w:rsidRPr="00795736">
        <w:rPr>
          <w:rFonts w:eastAsia="Times New Roman"/>
        </w:rPr>
        <w:t xml:space="preserve">for </w:t>
      </w:r>
      <w:r>
        <w:rPr>
          <w:rFonts w:eastAsia="Times New Roman"/>
        </w:rPr>
        <w:t xml:space="preserve">use by </w:t>
      </w:r>
      <w:r w:rsidR="0075652D" w:rsidRPr="00795736">
        <w:rPr>
          <w:rFonts w:eastAsia="Times New Roman"/>
        </w:rPr>
        <w:t xml:space="preserve">anyone involved </w:t>
      </w:r>
      <w:r w:rsidR="0075652D" w:rsidRPr="00072ABF">
        <w:rPr>
          <w:rFonts w:eastAsia="Times New Roman"/>
        </w:rPr>
        <w:t>in reviewing and learning from adverse patient safety events</w:t>
      </w:r>
      <w:r w:rsidR="00D050C5">
        <w:rPr>
          <w:rFonts w:eastAsia="Times New Roman"/>
        </w:rPr>
        <w:t xml:space="preserve"> (adverse events)</w:t>
      </w:r>
      <w:r w:rsidR="00A46E60">
        <w:rPr>
          <w:rFonts w:eastAsia="Times New Roman"/>
        </w:rPr>
        <w:t xml:space="preserve"> </w:t>
      </w:r>
      <w:r w:rsidR="0075652D" w:rsidRPr="00881D4F">
        <w:rPr>
          <w:rFonts w:eastAsia="Times New Roman"/>
        </w:rPr>
        <w:t>including</w:t>
      </w:r>
      <w:r w:rsidR="0075652D" w:rsidRPr="00795736">
        <w:rPr>
          <w:rFonts w:eastAsia="Times New Roman"/>
        </w:rPr>
        <w:t>:</w:t>
      </w:r>
    </w:p>
    <w:p w14:paraId="6AD33334" w14:textId="25E0C37F" w:rsidR="0075652D" w:rsidRPr="00996870" w:rsidRDefault="003C3720" w:rsidP="00996870">
      <w:pPr>
        <w:pStyle w:val="Bullet1"/>
      </w:pPr>
      <w:r w:rsidRPr="00996870">
        <w:t xml:space="preserve">consumer representatives </w:t>
      </w:r>
      <w:r w:rsidR="00152642" w:rsidRPr="00996870">
        <w:t>who are interested in improving patient safety</w:t>
      </w:r>
    </w:p>
    <w:p w14:paraId="4360504B" w14:textId="59F3B3A2" w:rsidR="0075652D" w:rsidRPr="00996870" w:rsidRDefault="00FF1A2D" w:rsidP="00996870">
      <w:pPr>
        <w:pStyle w:val="Bullet1"/>
      </w:pPr>
      <w:r w:rsidRPr="00996870">
        <w:t xml:space="preserve">health service </w:t>
      </w:r>
      <w:r w:rsidR="00152642" w:rsidRPr="00996870">
        <w:t xml:space="preserve">executives </w:t>
      </w:r>
      <w:r w:rsidR="00BF411A" w:rsidRPr="00996870">
        <w:t xml:space="preserve">who </w:t>
      </w:r>
      <w:r w:rsidR="00803EDD" w:rsidRPr="00996870">
        <w:t>have clinical governance oversight</w:t>
      </w:r>
      <w:r w:rsidR="00BF411A" w:rsidRPr="00996870">
        <w:t xml:space="preserve"> of adverse events and a responsibility to create safe health services</w:t>
      </w:r>
    </w:p>
    <w:p w14:paraId="60F53791" w14:textId="19ADB87B" w:rsidR="0075652D" w:rsidRPr="00996870" w:rsidRDefault="00FF1A2D" w:rsidP="00996870">
      <w:pPr>
        <w:pStyle w:val="Bullet1"/>
      </w:pPr>
      <w:r w:rsidRPr="00996870">
        <w:t xml:space="preserve">health service </w:t>
      </w:r>
      <w:r w:rsidR="00152642" w:rsidRPr="00996870">
        <w:t xml:space="preserve">managers and leaders </w:t>
      </w:r>
      <w:r w:rsidR="00BF411A" w:rsidRPr="00996870">
        <w:t xml:space="preserve">who are </w:t>
      </w:r>
      <w:r w:rsidR="00152642" w:rsidRPr="00996870">
        <w:t xml:space="preserve">responsible for </w:t>
      </w:r>
      <w:r w:rsidR="0041364C" w:rsidRPr="00996870">
        <w:t xml:space="preserve">reviewing and implementing </w:t>
      </w:r>
      <w:r w:rsidR="005F4981" w:rsidRPr="00996870">
        <w:t xml:space="preserve">recommendations </w:t>
      </w:r>
      <w:r w:rsidR="00A11BF8" w:rsidRPr="00996870">
        <w:t xml:space="preserve">following </w:t>
      </w:r>
      <w:r w:rsidR="00152642" w:rsidRPr="00996870">
        <w:t>adverse events</w:t>
      </w:r>
      <w:r w:rsidRPr="00996870">
        <w:t>.</w:t>
      </w:r>
    </w:p>
    <w:p w14:paraId="7CA63EFD" w14:textId="2B9DE816" w:rsidR="005A0B83" w:rsidRDefault="00996870" w:rsidP="00996870">
      <w:pPr>
        <w:rPr>
          <w:rFonts w:eastAsia="Times New Roman"/>
          <w:highlight w:val="yellow"/>
        </w:rPr>
      </w:pPr>
      <w:bookmarkStart w:id="4" w:name="_Toc9275115"/>
      <w:bookmarkEnd w:id="3"/>
      <w:r>
        <w:rPr>
          <w:highlight w:val="yellow"/>
        </w:rPr>
        <w:br w:type="column"/>
      </w:r>
    </w:p>
    <w:bookmarkEnd w:id="4"/>
    <w:p w14:paraId="10CB5C69" w14:textId="77777777" w:rsidR="009D02FC" w:rsidRDefault="009D02FC" w:rsidP="00996870">
      <w:pPr>
        <w:pStyle w:val="NormalWeb"/>
        <w:sectPr w:rsidR="009D02FC" w:rsidSect="009D02FC">
          <w:type w:val="continuous"/>
          <w:pgSz w:w="11906" w:h="16838" w:code="9"/>
          <w:pgMar w:top="3402" w:right="851" w:bottom="1361" w:left="851" w:header="539" w:footer="624" w:gutter="0"/>
          <w:pgNumType w:start="1"/>
          <w:cols w:num="2" w:space="284"/>
          <w:docGrid w:linePitch="360"/>
        </w:sectPr>
      </w:pPr>
    </w:p>
    <w:p w14:paraId="23A13367" w14:textId="77777777" w:rsidR="00123F16" w:rsidRDefault="00123F16" w:rsidP="00996870">
      <w:r>
        <w:br w:type="page"/>
      </w:r>
    </w:p>
    <w:p w14:paraId="7A3DAED6" w14:textId="55F87785" w:rsidR="0075652D" w:rsidRDefault="00123F16" w:rsidP="00996870">
      <w:pPr>
        <w:pStyle w:val="Heading1numbered"/>
        <w:framePr w:w="10231" w:wrap="around"/>
      </w:pPr>
      <w:r>
        <w:lastRenderedPageBreak/>
        <w:t xml:space="preserve">Why have </w:t>
      </w:r>
      <w:r w:rsidR="00425284">
        <w:t>consumer representative</w:t>
      </w:r>
      <w:r w:rsidR="00AC17EC">
        <w:t>s</w:t>
      </w:r>
      <w:r>
        <w:t xml:space="preserve"> on review </w:t>
      </w:r>
      <w:r w:rsidR="00425284">
        <w:t>teams?</w:t>
      </w:r>
    </w:p>
    <w:p w14:paraId="26CA1B2B" w14:textId="071B7818" w:rsidR="000E5AB4" w:rsidRDefault="00655191" w:rsidP="00996870">
      <w:pPr>
        <w:spacing w:before="120" w:after="120" w:line="260" w:lineRule="atLeast"/>
      </w:pPr>
      <w:r>
        <w:t>Serious a</w:t>
      </w:r>
      <w:r w:rsidR="00DF5DBE">
        <w:t xml:space="preserve">dverse </w:t>
      </w:r>
      <w:r w:rsidR="00F16FE0">
        <w:t xml:space="preserve">patient safety </w:t>
      </w:r>
      <w:r w:rsidR="00DF5DBE">
        <w:t>events</w:t>
      </w:r>
      <w:r w:rsidR="00F16FE0">
        <w:t xml:space="preserve"> in Victoria</w:t>
      </w:r>
      <w:r w:rsidR="00DF5DBE">
        <w:t>, including sentinel events</w:t>
      </w:r>
      <w:r w:rsidR="00881D4F">
        <w:rPr>
          <w:rStyle w:val="FootnoteReference"/>
        </w:rPr>
        <w:footnoteReference w:id="1"/>
      </w:r>
      <w:r w:rsidR="00DF5DBE">
        <w:t xml:space="preserve">, are reviewed by multidisciplinary teams </w:t>
      </w:r>
      <w:r w:rsidR="003C3720">
        <w:t xml:space="preserve">and </w:t>
      </w:r>
      <w:r w:rsidR="00DF5DBE">
        <w:t>analyse</w:t>
      </w:r>
      <w:r w:rsidR="003C3720">
        <w:t xml:space="preserve">d </w:t>
      </w:r>
      <w:r w:rsidR="00DF5DBE">
        <w:t>from different, informed perspectives.</w:t>
      </w:r>
      <w:r w:rsidR="002E4B4F">
        <w:t xml:space="preserve"> </w:t>
      </w:r>
      <w:r w:rsidR="00F16FE0">
        <w:t>In</w:t>
      </w:r>
      <w:r w:rsidR="005E2C1D">
        <w:t>cluding</w:t>
      </w:r>
      <w:r w:rsidR="00F16FE0">
        <w:t xml:space="preserve"> consumer representatives</w:t>
      </w:r>
      <w:r w:rsidR="005E2C1D">
        <w:t xml:space="preserve"> on review teams</w:t>
      </w:r>
      <w:r w:rsidR="000E5AB4">
        <w:t xml:space="preserve"> can provide the process with a valuable patient-focused </w:t>
      </w:r>
      <w:r w:rsidR="00A366A0">
        <w:t>perspective</w:t>
      </w:r>
      <w:r w:rsidR="00F16FE0">
        <w:t>.</w:t>
      </w:r>
    </w:p>
    <w:p w14:paraId="098AA0DB" w14:textId="68F62DCF" w:rsidR="00F16FE0" w:rsidRPr="00996870" w:rsidRDefault="000E5AB4" w:rsidP="00996870">
      <w:pPr>
        <w:spacing w:before="120" w:after="120" w:line="260" w:lineRule="atLeast"/>
      </w:pPr>
      <w:r w:rsidRPr="00996870">
        <w:t>However, health services in Victoria have</w:t>
      </w:r>
      <w:r w:rsidR="00044F52" w:rsidRPr="00996870">
        <w:t xml:space="preserve"> </w:t>
      </w:r>
      <w:r w:rsidRPr="00996870">
        <w:t xml:space="preserve">been slow to embrace the idea of consumer participation in reviewing adverse events. </w:t>
      </w:r>
      <w:r w:rsidR="00123F16" w:rsidRPr="00996870">
        <w:t xml:space="preserve">In </w:t>
      </w:r>
      <w:r w:rsidR="00996870">
        <w:br/>
      </w:r>
      <w:r w:rsidR="00123F16" w:rsidRPr="00996870">
        <w:t>2017-18</w:t>
      </w:r>
      <w:r w:rsidR="00425284" w:rsidRPr="00996870">
        <w:t xml:space="preserve">, </w:t>
      </w:r>
      <w:r w:rsidR="00FF5054" w:rsidRPr="00996870">
        <w:t xml:space="preserve">just </w:t>
      </w:r>
      <w:r w:rsidR="00123F16" w:rsidRPr="00996870">
        <w:t>17</w:t>
      </w:r>
      <w:r w:rsidR="00B57FA9" w:rsidRPr="00996870">
        <w:t xml:space="preserve"> per cent</w:t>
      </w:r>
      <w:r w:rsidR="00123F16" w:rsidRPr="00996870">
        <w:t xml:space="preserve"> of sent</w:t>
      </w:r>
      <w:r w:rsidR="00425284" w:rsidRPr="00996870">
        <w:t>inel event</w:t>
      </w:r>
      <w:r w:rsidR="00123F16" w:rsidRPr="00996870">
        <w:t xml:space="preserve"> reviews </w:t>
      </w:r>
      <w:r w:rsidRPr="00996870">
        <w:t xml:space="preserve">in Victoria </w:t>
      </w:r>
      <w:r w:rsidR="00AC17EC" w:rsidRPr="00996870">
        <w:t>(</w:t>
      </w:r>
      <w:r w:rsidR="00FF5054" w:rsidRPr="00996870">
        <w:t>21 out of 122 reviews)</w:t>
      </w:r>
      <w:r w:rsidR="00123F16" w:rsidRPr="00996870">
        <w:t xml:space="preserve"> </w:t>
      </w:r>
      <w:r w:rsidR="00F403F8" w:rsidRPr="00996870">
        <w:t xml:space="preserve">had </w:t>
      </w:r>
      <w:r w:rsidR="00123F16" w:rsidRPr="00996870">
        <w:t xml:space="preserve">a </w:t>
      </w:r>
      <w:r w:rsidR="00425284" w:rsidRPr="00996870">
        <w:t>consumer representative on the review team.</w:t>
      </w:r>
    </w:p>
    <w:p w14:paraId="7FAF4F74" w14:textId="4B0C0C97" w:rsidR="00123F16" w:rsidRDefault="00996870" w:rsidP="00996870">
      <w:pPr>
        <w:spacing w:before="120" w:after="120" w:line="260" w:lineRule="atLeast"/>
      </w:pPr>
      <w:r>
        <w:t>A</w:t>
      </w:r>
      <w:r w:rsidR="00F16FE0">
        <w:t xml:space="preserve">s part of its mission to promote </w:t>
      </w:r>
      <w:r w:rsidR="000E5AB4">
        <w:t xml:space="preserve">safer and higher quality care across the </w:t>
      </w:r>
      <w:r w:rsidR="00044F52">
        <w:t xml:space="preserve">health </w:t>
      </w:r>
      <w:r w:rsidR="000E5AB4">
        <w:t xml:space="preserve">system, </w:t>
      </w:r>
      <w:r>
        <w:t xml:space="preserve">Safer Care Victoria (SCV) </w:t>
      </w:r>
      <w:r w:rsidR="00FE1D9F">
        <w:t>i</w:t>
      </w:r>
      <w:r w:rsidR="00AC17EC">
        <w:t>s committed to promoting a high</w:t>
      </w:r>
      <w:r w:rsidR="00821B33">
        <w:t>er</w:t>
      </w:r>
      <w:r w:rsidR="00AC17EC">
        <w:t xml:space="preserve"> rate of consumer </w:t>
      </w:r>
      <w:r w:rsidR="005E2C1D">
        <w:t>representation</w:t>
      </w:r>
      <w:r w:rsidR="00821B33">
        <w:t xml:space="preserve"> on review teams</w:t>
      </w:r>
      <w:r w:rsidR="005E2C1D">
        <w:t>.</w:t>
      </w:r>
    </w:p>
    <w:p w14:paraId="7AFF8754" w14:textId="3A18153A" w:rsidR="003B52B6" w:rsidRDefault="005E2C1D" w:rsidP="00996870">
      <w:pPr>
        <w:spacing w:before="120" w:after="120" w:line="260" w:lineRule="atLeast"/>
      </w:pPr>
      <w:bookmarkStart w:id="5" w:name="_Hlk12529676"/>
      <w:r>
        <w:t>C</w:t>
      </w:r>
      <w:r w:rsidR="00044F52">
        <w:t>onsumer representati</w:t>
      </w:r>
      <w:r>
        <w:t>on</w:t>
      </w:r>
      <w:r w:rsidR="00044F52">
        <w:t xml:space="preserve"> </w:t>
      </w:r>
      <w:r w:rsidR="003B52B6">
        <w:t>can bring multiple benefits to the review process, including:</w:t>
      </w:r>
    </w:p>
    <w:p w14:paraId="0969E0C2" w14:textId="7ECBEF9A" w:rsidR="003B52B6" w:rsidRDefault="00996870" w:rsidP="00996870">
      <w:pPr>
        <w:pStyle w:val="Bullet1"/>
      </w:pPr>
      <w:r>
        <w:t>h</w:t>
      </w:r>
      <w:r w:rsidR="003B52B6">
        <w:t xml:space="preserve">elping to ensure </w:t>
      </w:r>
      <w:r w:rsidR="00425284" w:rsidRPr="005E2C1D">
        <w:t xml:space="preserve">the patient </w:t>
      </w:r>
      <w:r w:rsidR="003B52B6">
        <w:t>remains at</w:t>
      </w:r>
      <w:r w:rsidR="00425284" w:rsidRPr="005E2C1D">
        <w:t xml:space="preserve"> </w:t>
      </w:r>
      <w:r w:rsidR="003B52B6">
        <w:t xml:space="preserve">the </w:t>
      </w:r>
      <w:r w:rsidR="00425284" w:rsidRPr="005E2C1D">
        <w:t xml:space="preserve">centre of the </w:t>
      </w:r>
      <w:r w:rsidR="003B52B6">
        <w:t>process</w:t>
      </w:r>
    </w:p>
    <w:p w14:paraId="01523197" w14:textId="40AECEDD" w:rsidR="003B52B6" w:rsidRDefault="00996870" w:rsidP="00996870">
      <w:pPr>
        <w:pStyle w:val="Bullet1"/>
      </w:pPr>
      <w:r>
        <w:t>a</w:t>
      </w:r>
      <w:r w:rsidR="00425284" w:rsidRPr="005E2C1D">
        <w:t>dvocat</w:t>
      </w:r>
      <w:r w:rsidR="003B52B6">
        <w:t>ing</w:t>
      </w:r>
      <w:r w:rsidR="00425284" w:rsidRPr="005E2C1D">
        <w:t xml:space="preserve"> for </w:t>
      </w:r>
      <w:r w:rsidR="003B52B6">
        <w:t xml:space="preserve">patient-centred </w:t>
      </w:r>
      <w:r w:rsidR="00425284" w:rsidRPr="005E2C1D">
        <w:t>recommendations</w:t>
      </w:r>
    </w:p>
    <w:p w14:paraId="468E66F6" w14:textId="58B65E9B" w:rsidR="003B52B6" w:rsidRDefault="00996870" w:rsidP="00996870">
      <w:pPr>
        <w:pStyle w:val="Bullet1"/>
      </w:pPr>
      <w:r>
        <w:t>p</w:t>
      </w:r>
      <w:r w:rsidR="00425284" w:rsidRPr="005E2C1D">
        <w:t>rovid</w:t>
      </w:r>
      <w:r w:rsidR="003B52B6">
        <w:t>ing</w:t>
      </w:r>
      <w:r w:rsidR="00425284" w:rsidRPr="005E2C1D">
        <w:t xml:space="preserve"> assurance that the voice</w:t>
      </w:r>
      <w:r w:rsidR="003B52B6">
        <w:t>s</w:t>
      </w:r>
      <w:r w:rsidR="00425284" w:rsidRPr="005E2C1D">
        <w:t xml:space="preserve"> of</w:t>
      </w:r>
      <w:r w:rsidR="00554075" w:rsidRPr="005E2C1D">
        <w:t xml:space="preserve"> </w:t>
      </w:r>
      <w:r w:rsidR="00425284" w:rsidRPr="005E2C1D">
        <w:t>patient</w:t>
      </w:r>
      <w:r w:rsidR="003B52B6">
        <w:t>s,</w:t>
      </w:r>
      <w:r w:rsidR="00425284" w:rsidRPr="005E2C1D">
        <w:t xml:space="preserve"> families</w:t>
      </w:r>
      <w:r w:rsidR="003B52B6">
        <w:t xml:space="preserve"> and </w:t>
      </w:r>
      <w:r w:rsidR="00425284" w:rsidRPr="005E2C1D">
        <w:t xml:space="preserve">carers </w:t>
      </w:r>
      <w:r w:rsidR="003B52B6">
        <w:t>are</w:t>
      </w:r>
      <w:r w:rsidR="00425284" w:rsidRPr="005E2C1D">
        <w:t xml:space="preserve"> </w:t>
      </w:r>
      <w:r w:rsidR="003B52B6">
        <w:t>heard</w:t>
      </w:r>
      <w:r w:rsidR="00425284" w:rsidRPr="005E2C1D">
        <w:t xml:space="preserve"> throughout the process</w:t>
      </w:r>
    </w:p>
    <w:p w14:paraId="16FA81F6" w14:textId="3D9662AB" w:rsidR="00425284" w:rsidRPr="005E2C1D" w:rsidRDefault="00996870" w:rsidP="00996870">
      <w:pPr>
        <w:pStyle w:val="Bullet1"/>
      </w:pPr>
      <w:r>
        <w:t>i</w:t>
      </w:r>
      <w:r w:rsidR="00425284" w:rsidRPr="005E2C1D">
        <w:t>nterviewing affected patients</w:t>
      </w:r>
      <w:r w:rsidR="003B52B6">
        <w:t xml:space="preserve">, </w:t>
      </w:r>
      <w:r w:rsidR="00425284" w:rsidRPr="005E2C1D">
        <w:t>families</w:t>
      </w:r>
      <w:r w:rsidR="003B52B6">
        <w:t xml:space="preserve"> and </w:t>
      </w:r>
      <w:r w:rsidR="00425284" w:rsidRPr="005E2C1D">
        <w:t>carers</w:t>
      </w:r>
      <w:r w:rsidR="002867FE">
        <w:t>.</w:t>
      </w:r>
    </w:p>
    <w:bookmarkEnd w:id="5"/>
    <w:p w14:paraId="3D579D4A" w14:textId="7B358DF2" w:rsidR="00123F16" w:rsidRDefault="00123F16" w:rsidP="00996870">
      <w:pPr>
        <w:spacing w:before="120" w:after="120" w:line="260" w:lineRule="atLeast"/>
      </w:pPr>
      <w:r>
        <w:t xml:space="preserve">Published literature </w:t>
      </w:r>
      <w:r w:rsidR="0041364C">
        <w:t>about</w:t>
      </w:r>
      <w:r>
        <w:t xml:space="preserve"> </w:t>
      </w:r>
      <w:r w:rsidR="00425284">
        <w:t>consumer representatives</w:t>
      </w:r>
      <w:r>
        <w:t xml:space="preserve"> on review t</w:t>
      </w:r>
      <w:r w:rsidR="00554075">
        <w:t>e</w:t>
      </w:r>
      <w:r>
        <w:t xml:space="preserve">ams is limited. </w:t>
      </w:r>
      <w:r w:rsidR="000530C4">
        <w:t xml:space="preserve">However, </w:t>
      </w:r>
      <w:r w:rsidR="00087D1F">
        <w:t>SCV</w:t>
      </w:r>
      <w:r w:rsidR="000530C4">
        <w:t xml:space="preserve">’s advocacy </w:t>
      </w:r>
      <w:r w:rsidR="00A41A16">
        <w:t xml:space="preserve">for consumer representation </w:t>
      </w:r>
      <w:r w:rsidR="000530C4">
        <w:t xml:space="preserve">is supported by the experience of </w:t>
      </w:r>
      <w:r w:rsidR="00A43D2E">
        <w:t>comparable</w:t>
      </w:r>
      <w:r w:rsidR="003C3720">
        <w:t xml:space="preserve"> </w:t>
      </w:r>
      <w:r w:rsidR="00087D1F">
        <w:t>c</w:t>
      </w:r>
      <w:r>
        <w:t xml:space="preserve">ountries </w:t>
      </w:r>
      <w:r w:rsidR="0041364C">
        <w:t xml:space="preserve">that are </w:t>
      </w:r>
      <w:r>
        <w:t xml:space="preserve">considered leaders in </w:t>
      </w:r>
      <w:r w:rsidR="00425284">
        <w:t xml:space="preserve">quality </w:t>
      </w:r>
      <w:r w:rsidR="000530C4">
        <w:t xml:space="preserve">care </w:t>
      </w:r>
      <w:r w:rsidR="00425284">
        <w:t>and safety</w:t>
      </w:r>
      <w:r w:rsidR="000530C4">
        <w:t>,</w:t>
      </w:r>
      <w:r w:rsidR="00840168">
        <w:t xml:space="preserve"> </w:t>
      </w:r>
      <w:r w:rsidR="00425284">
        <w:t>including</w:t>
      </w:r>
      <w:r>
        <w:t xml:space="preserve"> N</w:t>
      </w:r>
      <w:r w:rsidR="00425284">
        <w:t xml:space="preserve">ew </w:t>
      </w:r>
      <w:r>
        <w:t>Z</w:t>
      </w:r>
      <w:r w:rsidR="00425284">
        <w:t>ealand</w:t>
      </w:r>
      <w:r w:rsidR="00554075">
        <w:t xml:space="preserve"> and</w:t>
      </w:r>
      <w:r>
        <w:t xml:space="preserve"> Canada</w:t>
      </w:r>
      <w:r w:rsidR="003C3720">
        <w:t>,</w:t>
      </w:r>
      <w:r w:rsidR="001E7DAC">
        <w:t xml:space="preserve"> </w:t>
      </w:r>
      <w:r w:rsidR="003C3720">
        <w:t>wh</w:t>
      </w:r>
      <w:r w:rsidR="000530C4">
        <w:t xml:space="preserve">ich both </w:t>
      </w:r>
      <w:r w:rsidR="00554075">
        <w:t>have a strong</w:t>
      </w:r>
      <w:r>
        <w:t xml:space="preserve"> commitment </w:t>
      </w:r>
      <w:r w:rsidR="001C7F86">
        <w:t xml:space="preserve">to </w:t>
      </w:r>
      <w:r w:rsidR="00425284">
        <w:t xml:space="preserve">consumer </w:t>
      </w:r>
      <w:r>
        <w:t>involvement.</w:t>
      </w:r>
      <w:r w:rsidR="00996870">
        <w:br w:type="column"/>
      </w:r>
      <w:r w:rsidR="00063F78">
        <w:rPr>
          <w:lang w:val="en-US"/>
        </w:rPr>
        <mc:AlternateContent>
          <mc:Choice Requires="wps">
            <w:drawing>
              <wp:inline distT="0" distB="0" distL="0" distR="0" wp14:anchorId="77939E2C" wp14:editId="15FEBD15">
                <wp:extent cx="3149600" cy="2106930"/>
                <wp:effectExtent l="0" t="0" r="12700" b="266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106930"/>
                        </a:xfrm>
                        <a:prstGeom prst="rect">
                          <a:avLst/>
                        </a:prstGeom>
                        <a:solidFill>
                          <a:schemeClr val="bg2"/>
                        </a:solidFill>
                        <a:ln w="6350">
                          <a:solidFill>
                            <a:schemeClr val="bg2"/>
                          </a:solidFill>
                          <a:miter lim="800000"/>
                          <a:headEnd/>
                          <a:tailEnd/>
                        </a:ln>
                      </wps:spPr>
                      <wps:txbx>
                        <w:txbxContent>
                          <w:p w14:paraId="5E27F484" w14:textId="1706F5CC" w:rsidR="00807C76" w:rsidRPr="004D6898" w:rsidRDefault="00807C76" w:rsidP="002D0735">
                            <w:pPr>
                              <w:pStyle w:val="PulloutHeading"/>
                            </w:pPr>
                            <w:r>
                              <w:t>Who are consumer representatives?</w:t>
                            </w:r>
                          </w:p>
                          <w:p w14:paraId="49B5A8A8" w14:textId="372E0B23" w:rsidR="00807C76" w:rsidRPr="00453C7C" w:rsidRDefault="00807C76" w:rsidP="00996870">
                            <w:pPr>
                              <w:pStyle w:val="PulloutText"/>
                            </w:pPr>
                            <w:r>
                              <w:t>Consumer representatives can be a beneficial source of advice and insight for health services when they conduct reviews into adverse events.</w:t>
                            </w:r>
                          </w:p>
                          <w:p w14:paraId="5F2B1B99" w14:textId="3B43E815" w:rsidR="00807C76" w:rsidRDefault="00807C76" w:rsidP="00996870">
                            <w:pPr>
                              <w:pStyle w:val="PulloutText"/>
                            </w:pPr>
                            <w:r>
                              <w:t>Consumer representatives reflect and represent the consumer voice. They may not have lived experience of the type of adverse event being reviewed, but they can provide an objective consumer view and ask questions from this perspective.</w:t>
                            </w:r>
                          </w:p>
                          <w:p w14:paraId="259C6DFF" w14:textId="7C14E447" w:rsidR="00807C76" w:rsidRPr="00A43D2E" w:rsidRDefault="00807C76" w:rsidP="00996870">
                            <w:pPr>
                              <w:pStyle w:val="PulloutText"/>
                            </w:pPr>
                            <w:r>
                              <w:t>I</w:t>
                            </w:r>
                            <w:r w:rsidRPr="00453C7C">
                              <w:t xml:space="preserve">ndividuals </w:t>
                            </w:r>
                            <w:r>
                              <w:t>can often be motivated to become</w:t>
                            </w:r>
                            <w:r w:rsidRPr="00453C7C">
                              <w:t xml:space="preserve"> consumer representative</w:t>
                            </w:r>
                            <w:r>
                              <w:t>s</w:t>
                            </w:r>
                            <w:r w:rsidRPr="00453C7C">
                              <w:t xml:space="preserve"> after receiving care </w:t>
                            </w:r>
                            <w:r>
                              <w:t>from a health service. Being a carer or a relative of a patient can also be a motivating factor</w:t>
                            </w:r>
                            <w:r w:rsidRPr="00453C7C">
                              <w:t>.</w:t>
                            </w:r>
                            <w:r w:rsidRPr="00A43D2E">
                              <w:t xml:space="preserve"> </w:t>
                            </w:r>
                          </w:p>
                          <w:p w14:paraId="21F0D960" w14:textId="3C0A88F9" w:rsidR="00807C76" w:rsidRDefault="00807C76" w:rsidP="00996870">
                            <w:pPr>
                              <w:pStyle w:val="PulloutText"/>
                            </w:pPr>
                            <w:r>
                              <w:t xml:space="preserve">To act as a consumer representative, an individual must be </w:t>
                            </w:r>
                            <w:r w:rsidRPr="00DF5DBE">
                              <w:rPr>
                                <w:b/>
                              </w:rPr>
                              <w:t>independent of the event being reviewed</w:t>
                            </w:r>
                            <w:r>
                              <w:rPr>
                                <w:b/>
                              </w:rPr>
                              <w:t>.</w:t>
                            </w:r>
                            <w:r>
                              <w:t xml:space="preserve"> That is, they cannot be the affected patient, or a relative or carer of a person who has been directly affected by the event under review.</w:t>
                            </w:r>
                          </w:p>
                          <w:p w14:paraId="7BA2BAAC" w14:textId="59BE7632" w:rsidR="00807C76" w:rsidRPr="008A77B3" w:rsidRDefault="00807C76" w:rsidP="00996870">
                            <w:pPr>
                              <w:pStyle w:val="PulloutText"/>
                            </w:pPr>
                            <w:r>
                              <w:t>While it is an important part of the review process to interview the affected patient/family/carer, this is different to having a review team member who is a consumer representative.</w:t>
                            </w:r>
                          </w:p>
                        </w:txbxContent>
                      </wps:txbx>
                      <wps:bodyPr rot="0" vert="horz" wrap="square" lIns="180000" tIns="180000" rIns="144000" bIns="36000" anchor="t" anchorCtr="0">
                        <a:spAutoFit/>
                      </wps:bodyPr>
                    </wps:wsp>
                  </a:graphicData>
                </a:graphic>
              </wp:inline>
            </w:drawing>
          </mc:Choice>
          <mc:Fallback>
            <w:pict>
              <v:shapetype w14:anchorId="77939E2C" id="_x0000_t202" coordsize="21600,21600" o:spt="202" path="m,l,21600r21600,l21600,xe">
                <v:stroke joinstyle="miter"/>
                <v:path gradientshapeok="t" o:connecttype="rect"/>
              </v:shapetype>
              <v:shape id="Text Box 2" o:spid="_x0000_s1026" type="#_x0000_t202" style="width:248pt;height:1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" fillcolor="#edf5f7 [3214]" strokecolor="#edf5f7 [3214]" strokeweight=".5pt">
                <v:textbox style="mso-fit-shape-to-text:t" inset="5mm,5mm,4mm,1mm">
                  <w:txbxContent>
                    <w:p w14:paraId="5E27F484" w14:textId="1706F5CC" w:rsidR="00807C76" w:rsidRPr="004D6898" w:rsidRDefault="00807C76" w:rsidP="002D0735">
                      <w:pPr>
                        <w:pStyle w:val="PulloutHeading"/>
                      </w:pPr>
                      <w:r>
                        <w:t>Who are consumer representatives?</w:t>
                      </w:r>
                    </w:p>
                    <w:p w14:paraId="49B5A8A8" w14:textId="372E0B23" w:rsidR="00807C76" w:rsidRPr="00453C7C" w:rsidRDefault="00807C76" w:rsidP="00996870">
                      <w:pPr>
                        <w:pStyle w:val="PulloutText"/>
                      </w:pPr>
                      <w:r>
                        <w:t>Consumer representatives can be a beneficial source of advice and insight for health services when they conduct reviews into adverse events.</w:t>
                      </w:r>
                    </w:p>
                    <w:p w14:paraId="5F2B1B99" w14:textId="3B43E815" w:rsidR="00807C76" w:rsidRDefault="00807C76" w:rsidP="00996870">
                      <w:pPr>
                        <w:pStyle w:val="PulloutText"/>
                      </w:pPr>
                      <w:r>
                        <w:t>Consumer representatives reflect and represent the consumer voice. They may not have lived experience of the type of adverse event being reviewed, but they can provide an objective consumer view and ask questions from this perspective.</w:t>
                      </w:r>
                    </w:p>
                    <w:p w14:paraId="259C6DFF" w14:textId="7C14E447" w:rsidR="00807C76" w:rsidRPr="00A43D2E" w:rsidRDefault="00807C76" w:rsidP="00996870">
                      <w:pPr>
                        <w:pStyle w:val="PulloutText"/>
                      </w:pPr>
                      <w:r>
                        <w:t>I</w:t>
                      </w:r>
                      <w:r w:rsidRPr="00453C7C">
                        <w:t xml:space="preserve">ndividuals </w:t>
                      </w:r>
                      <w:r>
                        <w:t>can often be motivated to become</w:t>
                      </w:r>
                      <w:r w:rsidRPr="00453C7C">
                        <w:t xml:space="preserve"> consumer representative</w:t>
                      </w:r>
                      <w:r>
                        <w:t>s</w:t>
                      </w:r>
                      <w:r w:rsidRPr="00453C7C">
                        <w:t xml:space="preserve"> after receiving care </w:t>
                      </w:r>
                      <w:r>
                        <w:t>from a health service. Being a carer or a relative of a patient can also be a motivating factor</w:t>
                      </w:r>
                      <w:r w:rsidRPr="00453C7C">
                        <w:t>.</w:t>
                      </w:r>
                      <w:r w:rsidRPr="00A43D2E">
                        <w:t xml:space="preserve"> </w:t>
                      </w:r>
                    </w:p>
                    <w:p w14:paraId="21F0D960" w14:textId="3C0A88F9" w:rsidR="00807C76" w:rsidRDefault="00807C76" w:rsidP="00996870">
                      <w:pPr>
                        <w:pStyle w:val="PulloutText"/>
                      </w:pPr>
                      <w:r>
                        <w:t xml:space="preserve">To act as a consumer representative, an individual must be </w:t>
                      </w:r>
                      <w:r w:rsidRPr="00DF5DBE">
                        <w:rPr>
                          <w:b/>
                        </w:rPr>
                        <w:t>independent of the event being reviewed</w:t>
                      </w:r>
                      <w:r>
                        <w:rPr>
                          <w:b/>
                        </w:rPr>
                        <w:t>.</w:t>
                      </w:r>
                      <w:r>
                        <w:t xml:space="preserve"> That is, they cannot be the affected patient, or a relative or carer of a person who has been directly affected by the event under review.</w:t>
                      </w:r>
                    </w:p>
                    <w:p w14:paraId="7BA2BAAC" w14:textId="59BE7632" w:rsidR="00807C76" w:rsidRPr="008A77B3" w:rsidRDefault="00807C76" w:rsidP="00996870">
                      <w:pPr>
                        <w:pStyle w:val="PulloutText"/>
                      </w:pPr>
                      <w:r>
                        <w:t>While it is an important part of the review process to interview the affected patient/family/carer, this is different to having a review team member who is a consumer representative.</w:t>
                      </w:r>
                    </w:p>
                  </w:txbxContent>
                </v:textbox>
                <w10:anchorlock/>
              </v:shape>
            </w:pict>
          </mc:Fallback>
        </mc:AlternateContent>
      </w:r>
    </w:p>
    <w:p w14:paraId="509386C8" w14:textId="46A688E3" w:rsidR="002D0735" w:rsidRDefault="002D0735">
      <w:pPr>
        <w:rPr>
          <w:rFonts w:cs="Helvetica"/>
          <w:color w:val="000000" w:themeColor="text1"/>
          <w:szCs w:val="26"/>
        </w:rPr>
      </w:pPr>
      <w:r>
        <w:rPr>
          <w:rFonts w:cs="Helvetica"/>
          <w:color w:val="000000" w:themeColor="text1"/>
          <w:szCs w:val="26"/>
        </w:rPr>
        <w:br w:type="page"/>
      </w:r>
    </w:p>
    <w:p w14:paraId="78C42731" w14:textId="08BFB078" w:rsidR="0075652D" w:rsidRDefault="005A0B83" w:rsidP="002D0735">
      <w:pPr>
        <w:pStyle w:val="Heading1numbered"/>
        <w:framePr w:w="10321" w:wrap="around"/>
        <w:rPr>
          <w:rFonts w:eastAsia="Times New Roman"/>
        </w:rPr>
      </w:pPr>
      <w:bookmarkStart w:id="6" w:name="_Toc9275118"/>
      <w:r>
        <w:rPr>
          <w:rFonts w:eastAsia="Times New Roman"/>
        </w:rPr>
        <w:lastRenderedPageBreak/>
        <w:t xml:space="preserve">Building a </w:t>
      </w:r>
      <w:r w:rsidR="00425284">
        <w:rPr>
          <w:rFonts w:eastAsia="Times New Roman"/>
        </w:rPr>
        <w:t>consumer representative</w:t>
      </w:r>
      <w:r>
        <w:rPr>
          <w:rFonts w:eastAsia="Times New Roman"/>
        </w:rPr>
        <w:t xml:space="preserve"> pool</w:t>
      </w:r>
    </w:p>
    <w:p w14:paraId="143F3C7F" w14:textId="7FA4B8C1" w:rsidR="003C3720" w:rsidRDefault="001F6479" w:rsidP="002D0735">
      <w:pPr>
        <w:pStyle w:val="Normalfollowingheading"/>
      </w:pPr>
      <w:r>
        <w:t xml:space="preserve">Health services that wish to include consumer representatives on their review teams are advised to generate </w:t>
      </w:r>
      <w:r w:rsidR="003C3720">
        <w:t xml:space="preserve">a pool of </w:t>
      </w:r>
      <w:r>
        <w:t xml:space="preserve">potential </w:t>
      </w:r>
      <w:r w:rsidR="003C3720">
        <w:t xml:space="preserve">representatives as a proactive </w:t>
      </w:r>
      <w:r w:rsidR="005E2C1D">
        <w:t>step</w:t>
      </w:r>
      <w:r w:rsidR="00046E98">
        <w:t>,</w:t>
      </w:r>
      <w:r w:rsidR="005E2C1D">
        <w:t xml:space="preserve"> and</w:t>
      </w:r>
      <w:r w:rsidR="003C3720">
        <w:t xml:space="preserve"> refer to this list when </w:t>
      </w:r>
      <w:r>
        <w:t>the need arises</w:t>
      </w:r>
      <w:r w:rsidR="003C3720">
        <w:t>.</w:t>
      </w:r>
    </w:p>
    <w:p w14:paraId="24C5BD6E" w14:textId="575E888F" w:rsidR="009729B1" w:rsidRPr="002D0735" w:rsidRDefault="009729B1" w:rsidP="002D0735">
      <w:pPr>
        <w:pStyle w:val="Heading2"/>
      </w:pPr>
      <w:bookmarkStart w:id="7" w:name="_Toc514232177"/>
      <w:bookmarkStart w:id="8" w:name="_Toc514607541"/>
      <w:bookmarkEnd w:id="6"/>
      <w:r w:rsidRPr="002D0735">
        <w:t>Selection criteria</w:t>
      </w:r>
    </w:p>
    <w:p w14:paraId="5100F79B" w14:textId="75FA359D" w:rsidR="009A09FD" w:rsidRPr="002D0735" w:rsidRDefault="009A09FD" w:rsidP="002D0735">
      <w:pPr>
        <w:pStyle w:val="Heading4"/>
      </w:pPr>
      <w:r w:rsidRPr="002D0735">
        <w:t xml:space="preserve">Characteristics of </w:t>
      </w:r>
      <w:r w:rsidR="0075652D" w:rsidRPr="002D0735">
        <w:t>consumer representatives</w:t>
      </w:r>
      <w:r w:rsidRPr="002D0735">
        <w:t xml:space="preserve"> should include</w:t>
      </w:r>
      <w:r w:rsidR="006B0466" w:rsidRPr="002D0735">
        <w:t>:</w:t>
      </w:r>
    </w:p>
    <w:p w14:paraId="74CF3BD1" w14:textId="6894C4B3" w:rsidR="00046E98" w:rsidRDefault="002867FE" w:rsidP="002D0735">
      <w:pPr>
        <w:pStyle w:val="Bullet1"/>
      </w:pPr>
      <w:r>
        <w:t>t</w:t>
      </w:r>
      <w:r w:rsidR="00046E98">
        <w:t xml:space="preserve">he perspective of </w:t>
      </w:r>
      <w:r w:rsidR="00046E98" w:rsidRPr="00CC1F49">
        <w:t xml:space="preserve">a patient, family </w:t>
      </w:r>
      <w:r w:rsidR="00046E98">
        <w:t>or</w:t>
      </w:r>
      <w:r w:rsidR="00046E98" w:rsidRPr="00CC1F49">
        <w:t xml:space="preserve"> carer</w:t>
      </w:r>
    </w:p>
    <w:p w14:paraId="2D27DC90" w14:textId="59C259A7" w:rsidR="009A09FD" w:rsidRPr="00CC1F49" w:rsidRDefault="009A09FD" w:rsidP="002D0735">
      <w:pPr>
        <w:pStyle w:val="Bullet1"/>
      </w:pPr>
      <w:r>
        <w:t>a</w:t>
      </w:r>
      <w:r w:rsidRPr="00CC1F49">
        <w:t>vailab</w:t>
      </w:r>
      <w:r w:rsidR="001F6479">
        <w:t>ility to work on a review team at relatively short notice</w:t>
      </w:r>
    </w:p>
    <w:p w14:paraId="6D453F53" w14:textId="3B041E4C" w:rsidR="009A09FD" w:rsidRPr="00CC1F49" w:rsidRDefault="001F6479" w:rsidP="002D0735">
      <w:pPr>
        <w:pStyle w:val="Bullet1"/>
      </w:pPr>
      <w:r>
        <w:t xml:space="preserve">an </w:t>
      </w:r>
      <w:r w:rsidR="001C13A2">
        <w:t>i</w:t>
      </w:r>
      <w:r w:rsidR="009A09FD" w:rsidRPr="00CC1F49">
        <w:t>nterest</w:t>
      </w:r>
      <w:r w:rsidR="009A09FD">
        <w:t xml:space="preserve"> in </w:t>
      </w:r>
      <w:r w:rsidR="00C65713">
        <w:t>c</w:t>
      </w:r>
      <w:r w:rsidR="009729B1">
        <w:t xml:space="preserve">reating </w:t>
      </w:r>
      <w:r w:rsidR="009A09FD">
        <w:t>safer systems</w:t>
      </w:r>
      <w:r w:rsidR="00046E98">
        <w:t>.</w:t>
      </w:r>
    </w:p>
    <w:bookmarkEnd w:id="7"/>
    <w:bookmarkEnd w:id="8"/>
    <w:p w14:paraId="59C98396" w14:textId="0FF64C37" w:rsidR="00036690" w:rsidRDefault="00036690" w:rsidP="00996870">
      <w:r>
        <w:t>A pool of consumer representatives should reflect the diversity of the patient</w:t>
      </w:r>
      <w:r w:rsidR="00835EE0">
        <w:t>s</w:t>
      </w:r>
      <w:r>
        <w:t xml:space="preserve"> using the health service</w:t>
      </w:r>
      <w:r w:rsidR="00835EE0">
        <w:t>,</w:t>
      </w:r>
      <w:r>
        <w:t xml:space="preserve"> </w:t>
      </w:r>
      <w:r w:rsidR="00835EE0">
        <w:t xml:space="preserve">including </w:t>
      </w:r>
      <w:r>
        <w:t>ag</w:t>
      </w:r>
      <w:r w:rsidR="00835EE0">
        <w:t>e</w:t>
      </w:r>
      <w:r>
        <w:t xml:space="preserve">, cultural background, </w:t>
      </w:r>
      <w:r w:rsidR="002D0735">
        <w:br/>
      </w:r>
      <w:r>
        <w:t>socio</w:t>
      </w:r>
      <w:r w:rsidR="00835EE0">
        <w:t>-</w:t>
      </w:r>
      <w:r>
        <w:t>economic status and education.</w:t>
      </w:r>
    </w:p>
    <w:p w14:paraId="2C634DC6" w14:textId="76D686B6" w:rsidR="009A09FD" w:rsidRDefault="009A09FD" w:rsidP="00996870">
      <w:r>
        <w:t>Forming a small pool of</w:t>
      </w:r>
      <w:r w:rsidR="00A11BF8">
        <w:t xml:space="preserve"> </w:t>
      </w:r>
      <w:r>
        <w:t xml:space="preserve">consumer representatives </w:t>
      </w:r>
      <w:r w:rsidR="00A11BF8">
        <w:t xml:space="preserve">will provide the </w:t>
      </w:r>
      <w:r>
        <w:t xml:space="preserve">opportunity to </w:t>
      </w:r>
      <w:r w:rsidR="00835EE0">
        <w:t xml:space="preserve">develop </w:t>
      </w:r>
      <w:r w:rsidR="00036690">
        <w:t>relationships</w:t>
      </w:r>
      <w:r w:rsidR="00835EE0">
        <w:t>,</w:t>
      </w:r>
      <w:r w:rsidR="00036690">
        <w:t xml:space="preserve"> and</w:t>
      </w:r>
      <w:r w:rsidR="00AF1312">
        <w:t xml:space="preserve"> </w:t>
      </w:r>
      <w:r>
        <w:t xml:space="preserve">enable </w:t>
      </w:r>
      <w:r w:rsidR="00AF1312">
        <w:t>all</w:t>
      </w:r>
      <w:r>
        <w:t xml:space="preserve"> </w:t>
      </w:r>
      <w:r w:rsidR="007C3985">
        <w:t>parties</w:t>
      </w:r>
      <w:r>
        <w:t xml:space="preserve"> to </w:t>
      </w:r>
      <w:r w:rsidR="00835EE0">
        <w:t>gain</w:t>
      </w:r>
      <w:r>
        <w:t xml:space="preserve"> experience </w:t>
      </w:r>
      <w:r w:rsidR="00AF1312">
        <w:t xml:space="preserve">of reviews </w:t>
      </w:r>
      <w:r>
        <w:t>together.</w:t>
      </w:r>
    </w:p>
    <w:p w14:paraId="63457E9A" w14:textId="1EFADED1" w:rsidR="00C30C31" w:rsidRDefault="009A09FD" w:rsidP="00996870">
      <w:r>
        <w:t xml:space="preserve">There are several ways health services can source consumer representatives who have </w:t>
      </w:r>
      <w:r w:rsidR="00AF1312">
        <w:t>sufficient</w:t>
      </w:r>
      <w:r>
        <w:t xml:space="preserve"> interest</w:t>
      </w:r>
      <w:r w:rsidR="00A11BF8">
        <w:t xml:space="preserve"> and skills to undertake this</w:t>
      </w:r>
      <w:r>
        <w:t xml:space="preserve"> work.</w:t>
      </w:r>
      <w:r w:rsidR="00AF1312">
        <w:t xml:space="preserve"> They </w:t>
      </w:r>
      <w:r w:rsidR="007C3985">
        <w:t>can advertise a</w:t>
      </w:r>
      <w:r>
        <w:t xml:space="preserve">n expression of interest </w:t>
      </w:r>
      <w:r w:rsidR="007C3985">
        <w:t xml:space="preserve">(EOI) </w:t>
      </w:r>
      <w:r>
        <w:t xml:space="preserve">to </w:t>
      </w:r>
      <w:r w:rsidR="007C3985">
        <w:t>their</w:t>
      </w:r>
      <w:r>
        <w:t xml:space="preserve"> existing consumer representative group</w:t>
      </w:r>
      <w:r w:rsidR="00835EE0">
        <w:t>,</w:t>
      </w:r>
      <w:r>
        <w:t xml:space="preserve"> outlining the role of consumer representatives on review teams</w:t>
      </w:r>
      <w:r w:rsidR="000E0702">
        <w:t>.</w:t>
      </w:r>
      <w:r>
        <w:t xml:space="preserve"> Many health services </w:t>
      </w:r>
      <w:r w:rsidR="00B453BA">
        <w:t xml:space="preserve">also </w:t>
      </w:r>
      <w:r>
        <w:t>have a Consumer Advisory Committee (CAC) or a consumer representation pool</w:t>
      </w:r>
      <w:r w:rsidR="00B453BA">
        <w:t>,</w:t>
      </w:r>
      <w:r>
        <w:t xml:space="preserve"> where th</w:t>
      </w:r>
      <w:r w:rsidR="00835EE0">
        <w:t>e</w:t>
      </w:r>
      <w:r>
        <w:t xml:space="preserve"> EOI could be advertised.</w:t>
      </w:r>
    </w:p>
    <w:p w14:paraId="1206C923" w14:textId="5C8A30BB" w:rsidR="009729B1" w:rsidRDefault="009A09FD" w:rsidP="00996870">
      <w:r>
        <w:t xml:space="preserve">When building a pool of </w:t>
      </w:r>
      <w:r w:rsidR="0075652D" w:rsidRPr="0075652D">
        <w:t xml:space="preserve">consumer </w:t>
      </w:r>
      <w:r w:rsidR="009729B1" w:rsidRPr="0075652D">
        <w:t>representatives,</w:t>
      </w:r>
      <w:r w:rsidR="0075652D" w:rsidRPr="0075652D">
        <w:t xml:space="preserve"> </w:t>
      </w:r>
      <w:r w:rsidR="00DB6234">
        <w:t xml:space="preserve">health services should </w:t>
      </w:r>
      <w:r w:rsidRPr="005345A4">
        <w:t xml:space="preserve">maintain a </w:t>
      </w:r>
      <w:r w:rsidRPr="009729B1">
        <w:rPr>
          <w:b/>
        </w:rPr>
        <w:t>register for consumer review members</w:t>
      </w:r>
      <w:r w:rsidRPr="005345A4">
        <w:t xml:space="preserve">. This register </w:t>
      </w:r>
      <w:r w:rsidR="009729B1">
        <w:t xml:space="preserve">can </w:t>
      </w:r>
      <w:r w:rsidRPr="005345A4">
        <w:t>list any factors or circumstances</w:t>
      </w:r>
      <w:r w:rsidR="009729B1">
        <w:t xml:space="preserve"> that</w:t>
      </w:r>
      <w:r w:rsidR="00835EE0">
        <w:t>, if they formed part of a review, the</w:t>
      </w:r>
      <w:r w:rsidR="009729B1">
        <w:t xml:space="preserve"> consumer representative does not want to be approached </w:t>
      </w:r>
      <w:r w:rsidR="00835EE0">
        <w:t xml:space="preserve">to participate in that </w:t>
      </w:r>
      <w:r w:rsidR="009729B1">
        <w:t>review</w:t>
      </w:r>
      <w:r w:rsidR="008C3FA2">
        <w:t>.</w:t>
      </w:r>
    </w:p>
    <w:p w14:paraId="295F037B" w14:textId="77777777" w:rsidR="009A09FD" w:rsidRPr="005345A4" w:rsidRDefault="009A09FD" w:rsidP="00996870">
      <w:r w:rsidRPr="005345A4">
        <w:t>Examples include (but are not limited to):</w:t>
      </w:r>
    </w:p>
    <w:p w14:paraId="3D154F44" w14:textId="78A19F00" w:rsidR="009A09FD" w:rsidRPr="00BC5C72" w:rsidRDefault="000E0702" w:rsidP="002D0735">
      <w:pPr>
        <w:pStyle w:val="Bullet1"/>
      </w:pPr>
      <w:r>
        <w:t>m</w:t>
      </w:r>
      <w:r w:rsidRPr="00BC5C72">
        <w:t>edical conditions (</w:t>
      </w:r>
      <w:r>
        <w:t>e.g.</w:t>
      </w:r>
      <w:r w:rsidRPr="00BC5C72">
        <w:t xml:space="preserve"> dementia or cancer)</w:t>
      </w:r>
    </w:p>
    <w:p w14:paraId="758EA56A" w14:textId="0636D42D" w:rsidR="009A09FD" w:rsidRPr="00BC5C72" w:rsidRDefault="000E0702" w:rsidP="002D0735">
      <w:pPr>
        <w:pStyle w:val="Bullet1"/>
      </w:pPr>
      <w:r w:rsidRPr="00BC5C72">
        <w:t>clinical services (</w:t>
      </w:r>
      <w:r>
        <w:t>e.g.</w:t>
      </w:r>
      <w:r w:rsidRPr="00BC5C72">
        <w:t xml:space="preserve"> mental </w:t>
      </w:r>
      <w:r w:rsidR="00602BEC">
        <w:t xml:space="preserve">health </w:t>
      </w:r>
      <w:r w:rsidRPr="00BC5C72">
        <w:t>unit</w:t>
      </w:r>
      <w:r w:rsidR="00722CBD">
        <w:t xml:space="preserve"> or</w:t>
      </w:r>
      <w:r w:rsidRPr="00BC5C72">
        <w:t xml:space="preserve"> maternity)</w:t>
      </w:r>
    </w:p>
    <w:p w14:paraId="7C6CB8CF" w14:textId="6C840646" w:rsidR="009A09FD" w:rsidRPr="00BC5C72" w:rsidRDefault="000E0702" w:rsidP="002D0735">
      <w:pPr>
        <w:pStyle w:val="Bullet1"/>
      </w:pPr>
      <w:r w:rsidRPr="00BC5C72">
        <w:t>causes or mechanisms of harm or death (</w:t>
      </w:r>
      <w:r>
        <w:t>e.g.</w:t>
      </w:r>
      <w:r w:rsidRPr="00BC5C72">
        <w:t xml:space="preserve"> suicide or falls)</w:t>
      </w:r>
    </w:p>
    <w:p w14:paraId="71FACD37" w14:textId="36516600" w:rsidR="009A09FD" w:rsidRPr="00BC5C72" w:rsidRDefault="000E0702" w:rsidP="002D0735">
      <w:pPr>
        <w:pStyle w:val="Bullet1"/>
      </w:pPr>
      <w:r w:rsidRPr="00BC5C72">
        <w:t>clinical events (</w:t>
      </w:r>
      <w:r>
        <w:t>e.g.</w:t>
      </w:r>
      <w:r w:rsidRPr="00BC5C72">
        <w:t xml:space="preserve"> stillbirths or end-of-life care)</w:t>
      </w:r>
    </w:p>
    <w:p w14:paraId="3D9FA619" w14:textId="0C20AD20" w:rsidR="009A09FD" w:rsidRPr="00BC5C72" w:rsidRDefault="000E0702" w:rsidP="002D0735">
      <w:pPr>
        <w:pStyle w:val="Bullet1"/>
      </w:pPr>
      <w:r w:rsidRPr="00BC5C72">
        <w:t>demographic characteristics (e.g. deaths of children</w:t>
      </w:r>
      <w:r w:rsidR="00722CBD">
        <w:t xml:space="preserve"> or</w:t>
      </w:r>
      <w:r w:rsidRPr="00BC5C72">
        <w:t xml:space="preserve"> frail elderly)</w:t>
      </w:r>
    </w:p>
    <w:p w14:paraId="30B3F54F" w14:textId="4B2203F9" w:rsidR="009A09FD" w:rsidRDefault="000E0702" w:rsidP="002D0735">
      <w:pPr>
        <w:pStyle w:val="Bullet1"/>
      </w:pPr>
      <w:r w:rsidRPr="00BC5C72">
        <w:t>patient circumstances (</w:t>
      </w:r>
      <w:r>
        <w:t>e.g.</w:t>
      </w:r>
      <w:r w:rsidRPr="00BC5C72">
        <w:t xml:space="preserve"> patients originally injured by domestic violence).</w:t>
      </w:r>
    </w:p>
    <w:p w14:paraId="02D6A494" w14:textId="37377D93" w:rsidR="008C3FA2" w:rsidRDefault="008C3FA2" w:rsidP="00996870">
      <w:r w:rsidRPr="005345A4">
        <w:t>If a consumer ha</w:t>
      </w:r>
      <w:r w:rsidR="00907F76">
        <w:t>s</w:t>
      </w:r>
      <w:r w:rsidRPr="005345A4">
        <w:t xml:space="preserve"> factors </w:t>
      </w:r>
      <w:r w:rsidR="00C80222" w:rsidRPr="005345A4">
        <w:t xml:space="preserve">listed </w:t>
      </w:r>
      <w:r w:rsidRPr="005345A4">
        <w:t xml:space="preserve">that are present (or likely to be found to be present) in the review at hand, </w:t>
      </w:r>
      <w:r w:rsidR="00907F76">
        <w:t>they</w:t>
      </w:r>
      <w:r w:rsidRPr="005345A4">
        <w:t xml:space="preserve"> should not be approached to participate. For example, if a person has listed self-harm as an opt</w:t>
      </w:r>
      <w:r w:rsidR="00B21613">
        <w:t>-</w:t>
      </w:r>
      <w:r w:rsidRPr="005345A4">
        <w:t xml:space="preserve">out factor, they should not be approached to participate in a </w:t>
      </w:r>
      <w:r w:rsidR="00602BEC">
        <w:t>review</w:t>
      </w:r>
      <w:r w:rsidRPr="005345A4">
        <w:t xml:space="preserve"> where suicide is the actual or possible cause of death.</w:t>
      </w:r>
    </w:p>
    <w:p w14:paraId="37E44D31" w14:textId="745185B4" w:rsidR="00DB6234" w:rsidRDefault="00B177A5" w:rsidP="00996870">
      <w:r>
        <w:t>C</w:t>
      </w:r>
      <w:r w:rsidRPr="00E340D8">
        <w:t>onfidentiality agreement</w:t>
      </w:r>
      <w:r>
        <w:t xml:space="preserve">s and </w:t>
      </w:r>
      <w:r w:rsidR="00BE3EF5">
        <w:t>financial</w:t>
      </w:r>
      <w:r>
        <w:t xml:space="preserve"> details </w:t>
      </w:r>
      <w:r w:rsidR="00907F76">
        <w:t xml:space="preserve">(for remuneration purposes) </w:t>
      </w:r>
      <w:r>
        <w:t xml:space="preserve">can be collected </w:t>
      </w:r>
      <w:r w:rsidR="00DB6234">
        <w:t xml:space="preserve">when </w:t>
      </w:r>
      <w:r w:rsidR="00BE3EF5">
        <w:t xml:space="preserve">forming the pool of </w:t>
      </w:r>
      <w:r w:rsidR="00907F76">
        <w:t>consumer representatives</w:t>
      </w:r>
      <w:r w:rsidR="00BE3EF5">
        <w:t>.</w:t>
      </w:r>
      <w:bookmarkStart w:id="9" w:name="_GoBack"/>
      <w:bookmarkEnd w:id="9"/>
    </w:p>
    <w:p w14:paraId="2C8A5CFA" w14:textId="587150BD" w:rsidR="00C80222" w:rsidRDefault="00DB6234" w:rsidP="00996870">
      <w:r>
        <w:t>I</w:t>
      </w:r>
      <w:r w:rsidR="00C80222" w:rsidRPr="00453C7C">
        <w:t xml:space="preserve">n </w:t>
      </w:r>
      <w:r>
        <w:t xml:space="preserve">some </w:t>
      </w:r>
      <w:r w:rsidR="00C80222" w:rsidRPr="00453C7C">
        <w:t>rural</w:t>
      </w:r>
      <w:r>
        <w:t xml:space="preserve"> and </w:t>
      </w:r>
      <w:r w:rsidR="00C80222" w:rsidRPr="00453C7C">
        <w:t>regional areas,</w:t>
      </w:r>
      <w:r>
        <w:t xml:space="preserve"> where population density is </w:t>
      </w:r>
      <w:r w:rsidR="0018083E">
        <w:t>low,</w:t>
      </w:r>
      <w:r>
        <w:t xml:space="preserve"> and communities tend to be tightknit, it may be more difficult to f</w:t>
      </w:r>
      <w:r w:rsidR="00453C7C" w:rsidRPr="00453C7C">
        <w:t>orm a</w:t>
      </w:r>
      <w:r>
        <w:t>n adequate</w:t>
      </w:r>
      <w:r w:rsidR="00453C7C" w:rsidRPr="00453C7C">
        <w:t xml:space="preserve"> pool of </w:t>
      </w:r>
      <w:r>
        <w:t xml:space="preserve">suitable </w:t>
      </w:r>
      <w:r w:rsidR="00453C7C" w:rsidRPr="00453C7C">
        <w:t xml:space="preserve">consumer representatives. </w:t>
      </w:r>
      <w:r>
        <w:t>To overcome such issues</w:t>
      </w:r>
      <w:r w:rsidR="00EB4F11">
        <w:t xml:space="preserve"> – and </w:t>
      </w:r>
      <w:r w:rsidR="0018083E">
        <w:t>to</w:t>
      </w:r>
      <w:r w:rsidRPr="00453C7C">
        <w:t xml:space="preserve"> minimise the possibility of the consumer personally knowing individuals affected by the event</w:t>
      </w:r>
      <w:r w:rsidR="00EB4F11">
        <w:t xml:space="preserve"> – </w:t>
      </w:r>
      <w:r>
        <w:t>rural and regional h</w:t>
      </w:r>
      <w:r w:rsidR="00C80222" w:rsidRPr="00453C7C">
        <w:t xml:space="preserve">ealth </w:t>
      </w:r>
      <w:r w:rsidR="00EB4F11">
        <w:t>s</w:t>
      </w:r>
      <w:r w:rsidR="00C80222" w:rsidRPr="00453C7C">
        <w:t xml:space="preserve">ervices may consider approaching consumer </w:t>
      </w:r>
      <w:r w:rsidR="00453C7C" w:rsidRPr="00453C7C">
        <w:t xml:space="preserve">representatives </w:t>
      </w:r>
      <w:r w:rsidR="00C80222" w:rsidRPr="00453C7C">
        <w:t>from other health services in the region</w:t>
      </w:r>
      <w:r>
        <w:t>.</w:t>
      </w:r>
    </w:p>
    <w:p w14:paraId="632E17EC" w14:textId="77777777" w:rsidR="002D0735" w:rsidRDefault="002D0735">
      <w:pPr>
        <w:rPr>
          <w:rFonts w:ascii="VIC SemiBold" w:eastAsiaTheme="majorEastAsia" w:hAnsi="VIC SemiBold" w:cstheme="majorBidi"/>
          <w:bCs/>
          <w:color w:val="000000" w:themeColor="text1"/>
          <w:sz w:val="24"/>
          <w:szCs w:val="22"/>
        </w:rPr>
      </w:pPr>
      <w:r>
        <w:br w:type="page"/>
      </w:r>
    </w:p>
    <w:p w14:paraId="51551BC5" w14:textId="0E335AC6" w:rsidR="003C3720" w:rsidRPr="002D0735" w:rsidRDefault="003C3720" w:rsidP="002D0735">
      <w:pPr>
        <w:pStyle w:val="Heading2"/>
      </w:pPr>
      <w:r w:rsidRPr="002D0735">
        <w:lastRenderedPageBreak/>
        <w:t xml:space="preserve">Appointment with </w:t>
      </w:r>
      <w:r w:rsidR="008F2636" w:rsidRPr="002D0735">
        <w:t>a</w:t>
      </w:r>
      <w:r w:rsidRPr="002D0735">
        <w:t xml:space="preserve"> health service</w:t>
      </w:r>
    </w:p>
    <w:p w14:paraId="45416607" w14:textId="77777777" w:rsidR="002D0735" w:rsidRDefault="003C3720" w:rsidP="002D0735">
      <w:pPr>
        <w:pStyle w:val="Normalfollowingheading"/>
      </w:pPr>
      <w:r w:rsidRPr="00C13552">
        <w:t>For insurance purposes, consumer</w:t>
      </w:r>
      <w:r>
        <w:t xml:space="preserve"> representatives</w:t>
      </w:r>
      <w:r w:rsidRPr="00C13552">
        <w:t xml:space="preserve"> need</w:t>
      </w:r>
      <w:r w:rsidRPr="00C13552">
        <w:rPr>
          <w:rFonts w:ascii="Cambria" w:hAnsi="Cambria" w:cs="Cambria"/>
        </w:rPr>
        <w:t xml:space="preserve"> </w:t>
      </w:r>
      <w:r w:rsidRPr="00C13552">
        <w:t xml:space="preserve">to have a formal </w:t>
      </w:r>
      <w:r w:rsidR="008F2636">
        <w:t>written agreement</w:t>
      </w:r>
      <w:r w:rsidRPr="00C13552">
        <w:t xml:space="preserve"> with a health service </w:t>
      </w:r>
      <w:r>
        <w:t>before undertaking a review</w:t>
      </w:r>
      <w:r w:rsidRPr="00C13552">
        <w:t>.</w:t>
      </w:r>
    </w:p>
    <w:p w14:paraId="41972969" w14:textId="77777777" w:rsidR="002D0735" w:rsidRDefault="003C3720" w:rsidP="002D0735">
      <w:pPr>
        <w:pStyle w:val="Normalfollowingheading"/>
      </w:pPr>
      <w:r w:rsidRPr="00C13552">
        <w:t xml:space="preserve">This </w:t>
      </w:r>
      <w:r w:rsidR="008F2636">
        <w:t>provision is designed t</w:t>
      </w:r>
      <w:r w:rsidRPr="00C13552">
        <w:t xml:space="preserve">o protect </w:t>
      </w:r>
      <w:r w:rsidR="008F2636">
        <w:t xml:space="preserve">both </w:t>
      </w:r>
      <w:r>
        <w:t>the consumer representative and the health service.</w:t>
      </w:r>
    </w:p>
    <w:p w14:paraId="420D93B2" w14:textId="4AA36C98" w:rsidR="0075652D" w:rsidRPr="0075652D" w:rsidRDefault="003C3720" w:rsidP="002D0735">
      <w:pPr>
        <w:pStyle w:val="Normalfollowingheading"/>
      </w:pPr>
      <w:r>
        <w:rPr>
          <w:lang w:val="en-US"/>
        </w:rPr>
        <mc:AlternateContent>
          <mc:Choice Requires="wps">
            <w:drawing>
              <wp:inline distT="0" distB="0" distL="0" distR="0" wp14:anchorId="5D336EFD" wp14:editId="1E78ABD6">
                <wp:extent cx="3149600" cy="1649730"/>
                <wp:effectExtent l="0" t="0" r="12700"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1649730"/>
                        </a:xfrm>
                        <a:prstGeom prst="rect">
                          <a:avLst/>
                        </a:prstGeom>
                        <a:solidFill>
                          <a:schemeClr val="bg2"/>
                        </a:solidFill>
                        <a:ln w="6350">
                          <a:solidFill>
                            <a:schemeClr val="bg2"/>
                          </a:solidFill>
                          <a:miter lim="800000"/>
                          <a:headEnd/>
                          <a:tailEnd/>
                        </a:ln>
                      </wps:spPr>
                      <wps:txbx>
                        <w:txbxContent>
                          <w:p w14:paraId="4AD0B4FC" w14:textId="1BE5D559" w:rsidR="00807C76" w:rsidRPr="002D0735" w:rsidRDefault="00807C76" w:rsidP="002D0735">
                            <w:pPr>
                              <w:pStyle w:val="PulloutHeading"/>
                            </w:pPr>
                            <w:r w:rsidRPr="002D0735">
                              <w:t>How to generate a consumer pool</w:t>
                            </w:r>
                          </w:p>
                          <w:p w14:paraId="54AD9269" w14:textId="113B7ECB" w:rsidR="00807C76" w:rsidRPr="007936A6" w:rsidRDefault="00807C76" w:rsidP="007936A6">
                            <w:pPr>
                              <w:pStyle w:val="PulloutText"/>
                            </w:pPr>
                            <w:r w:rsidRPr="0018083E">
                              <w:t>Send out an EOI to existing consumer</w:t>
                            </w:r>
                            <w:r>
                              <w:t>.</w:t>
                            </w:r>
                            <w:r w:rsidRPr="0018083E">
                              <w:t xml:space="preserve"> </w:t>
                            </w:r>
                            <w:r w:rsidRPr="007936A6">
                              <w:t>groups such as a Consumer Advisory Committee (CAC).</w:t>
                            </w:r>
                          </w:p>
                          <w:p w14:paraId="2A88B701" w14:textId="1EA85E21" w:rsidR="00807C76" w:rsidRPr="007936A6" w:rsidRDefault="00807C76" w:rsidP="007936A6">
                            <w:pPr>
                              <w:pStyle w:val="PulloutText"/>
                            </w:pPr>
                            <w:r w:rsidRPr="007936A6">
                              <w:t>Collate a register of consumers interested in undertaking review work.</w:t>
                            </w:r>
                          </w:p>
                          <w:p w14:paraId="1E63AFA3" w14:textId="134D4DAA" w:rsidR="00807C76" w:rsidRPr="007936A6" w:rsidRDefault="00807C76" w:rsidP="007936A6">
                            <w:pPr>
                              <w:pStyle w:val="PulloutText"/>
                            </w:pPr>
                            <w:r w:rsidRPr="007936A6">
                              <w:t>Compile a list of ‘opt-out’ criteria.</w:t>
                            </w:r>
                          </w:p>
                          <w:p w14:paraId="25988B34" w14:textId="6CDB105F" w:rsidR="00807C76" w:rsidRPr="0018083E" w:rsidRDefault="00807C76" w:rsidP="007936A6">
                            <w:pPr>
                              <w:pStyle w:val="PulloutText"/>
                            </w:pPr>
                            <w:r w:rsidRPr="007936A6">
                              <w:t>Refer to the register when forming the review team</w:t>
                            </w:r>
                            <w:r>
                              <w:t>.</w:t>
                            </w:r>
                          </w:p>
                        </w:txbxContent>
                      </wps:txbx>
                      <wps:bodyPr rot="0" vert="horz" wrap="square" lIns="180000" tIns="180000" rIns="144000" bIns="36000" anchor="t" anchorCtr="0">
                        <a:spAutoFit/>
                      </wps:bodyPr>
                    </wps:wsp>
                  </a:graphicData>
                </a:graphic>
              </wp:inline>
            </w:drawing>
          </mc:Choice>
          <mc:Fallback>
            <w:pict>
              <v:shape w14:anchorId="5D336EFD" id="_x0000_s1027" type="#_x0000_t202" style="width:248pt;height:1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" fillcolor="#edf5f7 [3214]" strokecolor="#edf5f7 [3214]" strokeweight=".5pt">
                <v:textbox style="mso-fit-shape-to-text:t" inset="5mm,5mm,4mm,1mm">
                  <w:txbxContent>
                    <w:p w14:paraId="4AD0B4FC" w14:textId="1BE5D559" w:rsidR="00807C76" w:rsidRPr="002D0735" w:rsidRDefault="00807C76" w:rsidP="002D0735">
                      <w:pPr>
                        <w:pStyle w:val="PulloutHeading"/>
                      </w:pPr>
                      <w:r w:rsidRPr="002D0735">
                        <w:t>How to generate a consumer pool</w:t>
                      </w:r>
                    </w:p>
                    <w:p w14:paraId="54AD9269" w14:textId="113B7ECB" w:rsidR="00807C76" w:rsidRPr="007936A6" w:rsidRDefault="00807C76" w:rsidP="007936A6">
                      <w:pPr>
                        <w:pStyle w:val="PulloutText"/>
                      </w:pPr>
                      <w:r w:rsidRPr="0018083E">
                        <w:t>Send out an EOI to existing consumer</w:t>
                      </w:r>
                      <w:r>
                        <w:t>.</w:t>
                      </w:r>
                      <w:r w:rsidRPr="0018083E">
                        <w:t xml:space="preserve"> </w:t>
                      </w:r>
                      <w:r w:rsidRPr="007936A6">
                        <w:t>groups such as a Consumer Advisory Committee (CAC).</w:t>
                      </w:r>
                    </w:p>
                    <w:p w14:paraId="2A88B701" w14:textId="1EA85E21" w:rsidR="00807C76" w:rsidRPr="007936A6" w:rsidRDefault="00807C76" w:rsidP="007936A6">
                      <w:pPr>
                        <w:pStyle w:val="PulloutText"/>
                      </w:pPr>
                      <w:r w:rsidRPr="007936A6">
                        <w:t>Collate a register of consumers interested in undertaking review work.</w:t>
                      </w:r>
                    </w:p>
                    <w:p w14:paraId="1E63AFA3" w14:textId="134D4DAA" w:rsidR="00807C76" w:rsidRPr="007936A6" w:rsidRDefault="00807C76" w:rsidP="007936A6">
                      <w:pPr>
                        <w:pStyle w:val="PulloutText"/>
                      </w:pPr>
                      <w:r w:rsidRPr="007936A6">
                        <w:t>Compile a list of ‘opt-out’ criteria.</w:t>
                      </w:r>
                    </w:p>
                    <w:p w14:paraId="25988B34" w14:textId="6CDB105F" w:rsidR="00807C76" w:rsidRPr="0018083E" w:rsidRDefault="00807C76" w:rsidP="007936A6">
                      <w:pPr>
                        <w:pStyle w:val="PulloutText"/>
                      </w:pPr>
                      <w:r w:rsidRPr="007936A6">
                        <w:t>Refer to the register when forming the review team</w:t>
                      </w:r>
                      <w:r>
                        <w:t>.</w:t>
                      </w:r>
                    </w:p>
                  </w:txbxContent>
                </v:textbox>
                <w10:anchorlock/>
              </v:shape>
            </w:pict>
          </mc:Fallback>
        </mc:AlternateContent>
      </w:r>
    </w:p>
    <w:p w14:paraId="5E8C5CCC" w14:textId="77777777" w:rsidR="002D0735" w:rsidRDefault="002D0735">
      <w:r>
        <w:br w:type="page"/>
      </w:r>
    </w:p>
    <w:p w14:paraId="6638F689" w14:textId="056A6AB5" w:rsidR="00CF6A86" w:rsidRDefault="00CF6A86" w:rsidP="002D0735">
      <w:pPr>
        <w:pStyle w:val="Heading1numbered"/>
        <w:framePr w:w="10241" w:wrap="around"/>
      </w:pPr>
      <w:r>
        <w:lastRenderedPageBreak/>
        <w:t xml:space="preserve">Selecting a </w:t>
      </w:r>
      <w:r w:rsidR="00907F76">
        <w:t>consumer representative</w:t>
      </w:r>
      <w:r>
        <w:t xml:space="preserve"> for a review</w:t>
      </w:r>
    </w:p>
    <w:p w14:paraId="3256C082" w14:textId="77777777" w:rsidR="00CF6A86" w:rsidRDefault="00CF6A86" w:rsidP="002D0735">
      <w:pPr>
        <w:pStyle w:val="Heading1numbered"/>
        <w:framePr w:w="10241" w:wrap="around"/>
        <w:sectPr w:rsidR="00CF6A86" w:rsidSect="005A0B83">
          <w:type w:val="continuous"/>
          <w:pgSz w:w="11906" w:h="16838" w:code="9"/>
          <w:pgMar w:top="3402" w:right="851" w:bottom="1361" w:left="851" w:header="539" w:footer="624" w:gutter="0"/>
          <w:cols w:num="2" w:space="284"/>
          <w:docGrid w:linePitch="360"/>
        </w:sectPr>
      </w:pPr>
    </w:p>
    <w:p w14:paraId="1418210D" w14:textId="5399894A" w:rsidR="00CF6A86" w:rsidRDefault="00A04305" w:rsidP="00996870">
      <w:r>
        <w:t>T</w:t>
      </w:r>
      <w:r w:rsidR="00CF6A86" w:rsidRPr="005345A4">
        <w:t xml:space="preserve">he content and context of </w:t>
      </w:r>
      <w:r w:rsidR="00CF6A86">
        <w:t xml:space="preserve">a </w:t>
      </w:r>
      <w:r w:rsidR="00CF6A86" w:rsidRPr="005345A4">
        <w:t xml:space="preserve">review </w:t>
      </w:r>
      <w:r>
        <w:t xml:space="preserve">must be considered </w:t>
      </w:r>
      <w:r w:rsidR="00CF6A86" w:rsidRPr="005345A4">
        <w:t xml:space="preserve">when </w:t>
      </w:r>
      <w:r w:rsidR="00CF6A86">
        <w:t>ap</w:t>
      </w:r>
      <w:r w:rsidR="00CF6A86" w:rsidRPr="005345A4">
        <w:t>proach</w:t>
      </w:r>
      <w:r w:rsidR="00CF6A86">
        <w:t xml:space="preserve">ing a </w:t>
      </w:r>
      <w:r w:rsidR="00907F76">
        <w:t>consumer representative</w:t>
      </w:r>
      <w:r w:rsidR="00CF6A86">
        <w:t xml:space="preserve"> to</w:t>
      </w:r>
      <w:r w:rsidR="00CF6A86" w:rsidRPr="005345A4">
        <w:t xml:space="preserve"> participat</w:t>
      </w:r>
      <w:r w:rsidR="00CF6A86">
        <w:t>e</w:t>
      </w:r>
      <w:r w:rsidR="00AE27AE">
        <w:t xml:space="preserve"> in it</w:t>
      </w:r>
      <w:r w:rsidR="00CF6A86" w:rsidRPr="005345A4">
        <w:t>.</w:t>
      </w:r>
    </w:p>
    <w:p w14:paraId="5148997C" w14:textId="5E7AA8C3" w:rsidR="00CF6A86" w:rsidRDefault="00A04305" w:rsidP="00996870">
      <w:r>
        <w:t>A</w:t>
      </w:r>
      <w:r w:rsidR="00CF6A86" w:rsidRPr="005345A4">
        <w:t xml:space="preserve"> consumer who </w:t>
      </w:r>
      <w:r w:rsidR="00CF6A86">
        <w:t>has made themselves available for reviews</w:t>
      </w:r>
      <w:r w:rsidR="00907F76">
        <w:t xml:space="preserve"> through the EOI process</w:t>
      </w:r>
      <w:r w:rsidR="00CF6A86">
        <w:t xml:space="preserve"> </w:t>
      </w:r>
      <w:r w:rsidR="00CF6A86" w:rsidRPr="005345A4">
        <w:t xml:space="preserve">may not be comfortable with, or suited to, the content to be discussed in all reviews. </w:t>
      </w:r>
      <w:r w:rsidR="00AE27AE">
        <w:t>I</w:t>
      </w:r>
      <w:r w:rsidR="00CF6A86" w:rsidRPr="005345A4">
        <w:t xml:space="preserve">t is </w:t>
      </w:r>
      <w:r w:rsidR="00AE27AE">
        <w:t xml:space="preserve">therefore </w:t>
      </w:r>
      <w:r w:rsidR="00CF6A86" w:rsidRPr="005345A4">
        <w:t>important to have both a proactive filtering mechanism</w:t>
      </w:r>
      <w:r w:rsidR="00C33AEF">
        <w:t>,</w:t>
      </w:r>
      <w:r w:rsidR="00CF6A86" w:rsidRPr="005345A4">
        <w:t xml:space="preserve"> and a back-up withdrawal mechanism</w:t>
      </w:r>
      <w:r w:rsidR="00C33AEF">
        <w:t>,</w:t>
      </w:r>
      <w:r w:rsidR="00CF6A86" w:rsidRPr="005345A4">
        <w:t xml:space="preserve"> to prevent </w:t>
      </w:r>
      <w:r>
        <w:t>people</w:t>
      </w:r>
      <w:r w:rsidR="00CF6A86" w:rsidRPr="005345A4">
        <w:t xml:space="preserve"> participating in reviews that cause</w:t>
      </w:r>
      <w:r w:rsidR="00C80222">
        <w:t xml:space="preserve"> </w:t>
      </w:r>
      <w:r>
        <w:t xml:space="preserve">them </w:t>
      </w:r>
      <w:r w:rsidR="00CF6A86" w:rsidRPr="005345A4">
        <w:t>undue distress.</w:t>
      </w:r>
    </w:p>
    <w:p w14:paraId="20EA9EE3" w14:textId="3FBFB0A0" w:rsidR="00C80222" w:rsidRDefault="00C80222" w:rsidP="00996870">
      <w:r>
        <w:t xml:space="preserve">When a consumer representative </w:t>
      </w:r>
      <w:r w:rsidR="00A04305">
        <w:t xml:space="preserve">is approached </w:t>
      </w:r>
      <w:r>
        <w:t xml:space="preserve">to participate in a review, they should be provided </w:t>
      </w:r>
      <w:r w:rsidR="00A72496">
        <w:t>with a brief overview of the event to assist their decision</w:t>
      </w:r>
      <w:r w:rsidR="002D0735">
        <w:t xml:space="preserve"> </w:t>
      </w:r>
      <w:r w:rsidR="00A72496">
        <w:t>making.</w:t>
      </w:r>
      <w:r w:rsidR="00E957A1">
        <w:t xml:space="preserve"> The </w:t>
      </w:r>
      <w:r w:rsidR="00A04305">
        <w:t>f</w:t>
      </w:r>
      <w:r w:rsidR="00E957A1">
        <w:t>acilitator responsible for assembling the review team is best placed to approach the consumer representative.</w:t>
      </w:r>
    </w:p>
    <w:p w14:paraId="5C91D5D5" w14:textId="4434CF6C" w:rsidR="005828B4" w:rsidRDefault="005828B4" w:rsidP="002D0735">
      <w:pPr>
        <w:pStyle w:val="Heading3"/>
      </w:pPr>
      <w:r>
        <w:t>Clarify expectations</w:t>
      </w:r>
    </w:p>
    <w:p w14:paraId="69350B60" w14:textId="336A3867" w:rsidR="00CF6A86" w:rsidRPr="00E340D8" w:rsidRDefault="00CF6A86" w:rsidP="002D0735">
      <w:pPr>
        <w:pStyle w:val="Normalfollowingheading"/>
      </w:pPr>
      <w:r w:rsidRPr="00E340D8">
        <w:t xml:space="preserve">To help a consumer assess whether the review will be </w:t>
      </w:r>
      <w:r w:rsidR="00A04305">
        <w:t>appropriate for</w:t>
      </w:r>
      <w:r w:rsidRPr="00E340D8">
        <w:t xml:space="preserve"> them, </w:t>
      </w:r>
      <w:r>
        <w:t xml:space="preserve">they should be </w:t>
      </w:r>
      <w:r w:rsidR="00AE27AE">
        <w:t>informed</w:t>
      </w:r>
      <w:r w:rsidR="00314694">
        <w:t xml:space="preserve"> of:</w:t>
      </w:r>
    </w:p>
    <w:p w14:paraId="33026035" w14:textId="300BE341" w:rsidR="00CF6A86" w:rsidRPr="00BF411A" w:rsidRDefault="00314694" w:rsidP="002D0735">
      <w:pPr>
        <w:pStyle w:val="Bullet1"/>
      </w:pPr>
      <w:r>
        <w:t xml:space="preserve">the </w:t>
      </w:r>
      <w:r w:rsidR="002867FE">
        <w:t>l</w:t>
      </w:r>
      <w:r w:rsidR="00CF6A86" w:rsidRPr="00BF411A">
        <w:t>ocation of meetings</w:t>
      </w:r>
    </w:p>
    <w:p w14:paraId="7D318E2B" w14:textId="7ADE0C9C" w:rsidR="00CF6A86" w:rsidRPr="00BF411A" w:rsidRDefault="002867FE" w:rsidP="002D0735">
      <w:pPr>
        <w:pStyle w:val="Bullet1"/>
      </w:pPr>
      <w:r>
        <w:t>t</w:t>
      </w:r>
      <w:r w:rsidR="00907F76" w:rsidRPr="00BF411A">
        <w:t xml:space="preserve">ravel </w:t>
      </w:r>
      <w:r w:rsidR="00A04305">
        <w:t>(</w:t>
      </w:r>
      <w:r w:rsidR="00EC39FC" w:rsidRPr="00BF411A">
        <w:t>e.g.</w:t>
      </w:r>
      <w:r w:rsidR="00907F76" w:rsidRPr="00BF411A">
        <w:t xml:space="preserve"> public transport acce</w:t>
      </w:r>
      <w:r w:rsidR="00063D20">
        <w:t>s</w:t>
      </w:r>
      <w:r w:rsidR="00907F76" w:rsidRPr="00BF411A">
        <w:t>s</w:t>
      </w:r>
      <w:r w:rsidR="00063D20">
        <w:t xml:space="preserve"> or</w:t>
      </w:r>
      <w:r w:rsidR="00907F76" w:rsidRPr="00BF411A">
        <w:t>, parking options)</w:t>
      </w:r>
    </w:p>
    <w:p w14:paraId="7127FB4F" w14:textId="3AA49A6E" w:rsidR="00CF6A86" w:rsidRPr="00BF411A" w:rsidRDefault="00907F76" w:rsidP="002D0735">
      <w:pPr>
        <w:pStyle w:val="Bullet1"/>
      </w:pPr>
      <w:r w:rsidRPr="00BF411A">
        <w:t xml:space="preserve">access </w:t>
      </w:r>
      <w:r w:rsidR="00AE27AE">
        <w:t>(</w:t>
      </w:r>
      <w:r w:rsidR="00EC39FC" w:rsidRPr="00BF411A">
        <w:t>e.g.</w:t>
      </w:r>
      <w:r w:rsidRPr="00BF411A">
        <w:t xml:space="preserve"> </w:t>
      </w:r>
      <w:r w:rsidR="00AE27AE">
        <w:t xml:space="preserve">whether there is </w:t>
      </w:r>
      <w:r w:rsidRPr="00BF411A">
        <w:t>wheelchair access</w:t>
      </w:r>
      <w:r w:rsidR="00AE27AE">
        <w:t xml:space="preserve"> or </w:t>
      </w:r>
      <w:r w:rsidR="0018083E">
        <w:t xml:space="preserve">whether </w:t>
      </w:r>
      <w:r w:rsidR="0018083E" w:rsidRPr="00BF411A">
        <w:t>stairs</w:t>
      </w:r>
      <w:r w:rsidRPr="00BF411A">
        <w:t xml:space="preserve"> </w:t>
      </w:r>
      <w:r w:rsidR="00AE27AE">
        <w:t>must be used</w:t>
      </w:r>
      <w:r w:rsidRPr="00BF411A">
        <w:t>)</w:t>
      </w:r>
    </w:p>
    <w:p w14:paraId="25E0F0EC" w14:textId="57C54720" w:rsidR="00907F76" w:rsidRDefault="00AE27AE" w:rsidP="002D0735">
      <w:pPr>
        <w:pStyle w:val="Bullet1"/>
      </w:pPr>
      <w:r>
        <w:t xml:space="preserve">whether </w:t>
      </w:r>
      <w:r w:rsidR="00907F76" w:rsidRPr="00AE27AE">
        <w:t xml:space="preserve">remuneration will be offered, </w:t>
      </w:r>
      <w:r>
        <w:t xml:space="preserve">and </w:t>
      </w:r>
      <w:r w:rsidR="00907F76" w:rsidRPr="00AE27AE">
        <w:t>how and when this will be claimed</w:t>
      </w:r>
      <w:r>
        <w:t xml:space="preserve"> or </w:t>
      </w:r>
      <w:r w:rsidR="00907F76" w:rsidRPr="00AE27AE">
        <w:t>paid</w:t>
      </w:r>
    </w:p>
    <w:p w14:paraId="2DDFA428" w14:textId="5967F8C7" w:rsidR="00AE27AE" w:rsidRDefault="002867FE" w:rsidP="002D0735">
      <w:pPr>
        <w:pStyle w:val="Bullet1"/>
      </w:pPr>
      <w:r>
        <w:t>w</w:t>
      </w:r>
      <w:r w:rsidR="00AE27AE">
        <w:t>hether expenses will be paid upfront and/or reimbursed, when and by what means.</w:t>
      </w:r>
    </w:p>
    <w:p w14:paraId="6462823A" w14:textId="615A803E" w:rsidR="00CF6A86" w:rsidRDefault="00453C7C" w:rsidP="00996870">
      <w:pPr>
        <w:pStyle w:val="Bullet1"/>
        <w:numPr>
          <w:ilvl w:val="0"/>
          <w:numId w:val="0"/>
        </w:numPr>
      </w:pPr>
      <w:r>
        <w:br w:type="column"/>
      </w:r>
      <w:r w:rsidR="00A72496">
        <w:t>C</w:t>
      </w:r>
      <w:r w:rsidR="00CF6A86" w:rsidRPr="00E340D8">
        <w:t>onsumer</w:t>
      </w:r>
      <w:r w:rsidR="00A72496">
        <w:t>s should be asked</w:t>
      </w:r>
      <w:r w:rsidR="00CF6A86" w:rsidRPr="00E340D8">
        <w:t xml:space="preserve"> whether they have any other needs or requirements. For example, </w:t>
      </w:r>
      <w:r w:rsidR="00AE27AE">
        <w:t xml:space="preserve">they may prefer </w:t>
      </w:r>
      <w:r w:rsidR="00CF6A86" w:rsidRPr="00E340D8">
        <w:t xml:space="preserve">hard copies of documents </w:t>
      </w:r>
      <w:r w:rsidR="00AE27AE">
        <w:t xml:space="preserve">over </w:t>
      </w:r>
      <w:r w:rsidR="0018083E">
        <w:t>soft copies</w:t>
      </w:r>
      <w:r w:rsidR="00AE27AE">
        <w:t xml:space="preserve">, or they may have caring responsibilities that affect their </w:t>
      </w:r>
      <w:r w:rsidR="00973669">
        <w:t>availability for meetings at certain times</w:t>
      </w:r>
      <w:r w:rsidR="00CF6A86" w:rsidRPr="00E340D8">
        <w:t>.</w:t>
      </w:r>
    </w:p>
    <w:p w14:paraId="4A1E309C" w14:textId="77777777" w:rsidR="005828B4" w:rsidRPr="00E340D8" w:rsidRDefault="005828B4" w:rsidP="00996870">
      <w:r w:rsidRPr="00E340D8">
        <w:t xml:space="preserve">A complete understanding of the expected workload and time commitment is important to help consumers assess their capacity to commit to a review. </w:t>
      </w:r>
      <w:r>
        <w:t>T</w:t>
      </w:r>
      <w:r w:rsidRPr="00E340D8">
        <w:t xml:space="preserve">he following workload-related information (where relevant) </w:t>
      </w:r>
      <w:r>
        <w:t xml:space="preserve">should be provided to consumers </w:t>
      </w:r>
      <w:r w:rsidRPr="00E340D8">
        <w:t>when approach</w:t>
      </w:r>
      <w:r>
        <w:t xml:space="preserve">ed </w:t>
      </w:r>
      <w:r w:rsidRPr="00E340D8">
        <w:t>about participating:</w:t>
      </w:r>
    </w:p>
    <w:p w14:paraId="033BB275" w14:textId="66898C4A" w:rsidR="005828B4" w:rsidRPr="00BF411A" w:rsidRDefault="002D0735" w:rsidP="002D0735">
      <w:pPr>
        <w:pStyle w:val="Bullet1"/>
      </w:pPr>
      <w:r>
        <w:t>A</w:t>
      </w:r>
      <w:r w:rsidR="009A5CFE">
        <w:t xml:space="preserve"> schedule of </w:t>
      </w:r>
      <w:r w:rsidR="00481F00">
        <w:t xml:space="preserve">meetings, </w:t>
      </w:r>
      <w:r w:rsidR="009A5CFE">
        <w:t>including</w:t>
      </w:r>
      <w:r w:rsidR="00481F00">
        <w:t xml:space="preserve"> </w:t>
      </w:r>
      <w:r w:rsidR="005828B4" w:rsidRPr="00BF411A">
        <w:t xml:space="preserve">dates, times and </w:t>
      </w:r>
      <w:r w:rsidR="00481F00">
        <w:t xml:space="preserve">likely </w:t>
      </w:r>
      <w:r w:rsidR="005828B4" w:rsidRPr="00BF411A">
        <w:t>duration</w:t>
      </w:r>
      <w:r w:rsidR="009A5CFE">
        <w:t>s</w:t>
      </w:r>
      <w:r>
        <w:t>.</w:t>
      </w:r>
    </w:p>
    <w:p w14:paraId="2439E78E" w14:textId="1DF2DF13" w:rsidR="005828B4" w:rsidRPr="00BF411A" w:rsidRDefault="002D0735" w:rsidP="002D0735">
      <w:pPr>
        <w:pStyle w:val="Bullet1"/>
      </w:pPr>
      <w:r>
        <w:t>P</w:t>
      </w:r>
      <w:r w:rsidR="005828B4" w:rsidRPr="00BF411A">
        <w:t>otential for extra meetings beyond the planned schedule</w:t>
      </w:r>
      <w:r>
        <w:t>.</w:t>
      </w:r>
    </w:p>
    <w:p w14:paraId="5C74FD24" w14:textId="571BD7B1" w:rsidR="005828B4" w:rsidRPr="00BF411A" w:rsidRDefault="002D0735" w:rsidP="002D0735">
      <w:pPr>
        <w:pStyle w:val="Bullet1"/>
      </w:pPr>
      <w:r>
        <w:t>O</w:t>
      </w:r>
      <w:r w:rsidR="005828B4" w:rsidRPr="00BF411A">
        <w:t xml:space="preserve">ut-of-session work </w:t>
      </w:r>
      <w:r w:rsidR="009A5CFE">
        <w:t xml:space="preserve">requirements </w:t>
      </w:r>
      <w:r w:rsidR="00481F00">
        <w:t>(such as</w:t>
      </w:r>
      <w:r w:rsidR="005828B4" w:rsidRPr="00BF411A">
        <w:t xml:space="preserve"> reading, site visits, or discussions/feedback via email)</w:t>
      </w:r>
      <w:r>
        <w:t>.</w:t>
      </w:r>
    </w:p>
    <w:p w14:paraId="0F2034A9" w14:textId="2BCF6A68" w:rsidR="005828B4" w:rsidRPr="00BF411A" w:rsidRDefault="002D0735" w:rsidP="002D0735">
      <w:pPr>
        <w:pStyle w:val="Bullet1"/>
      </w:pPr>
      <w:r>
        <w:t>W</w:t>
      </w:r>
      <w:r w:rsidR="009A5CFE">
        <w:t xml:space="preserve">hether </w:t>
      </w:r>
      <w:r w:rsidR="005828B4" w:rsidRPr="00BF411A">
        <w:t xml:space="preserve">videoconference </w:t>
      </w:r>
      <w:r w:rsidR="009A5CFE">
        <w:t xml:space="preserve">participation </w:t>
      </w:r>
      <w:r w:rsidR="005828B4" w:rsidRPr="00BF411A">
        <w:t>is an option.</w:t>
      </w:r>
    </w:p>
    <w:p w14:paraId="322AD22D" w14:textId="00F8E1A1" w:rsidR="00E26CFD" w:rsidRDefault="00E26CFD" w:rsidP="00996870">
      <w:r>
        <w:t xml:space="preserve">Effective </w:t>
      </w:r>
      <w:r w:rsidR="009A5CFE">
        <w:t xml:space="preserve">selection </w:t>
      </w:r>
      <w:r>
        <w:t>processes for consumer</w:t>
      </w:r>
      <w:r w:rsidR="009A5CFE">
        <w:t xml:space="preserve"> representative</w:t>
      </w:r>
      <w:r>
        <w:t>s will reduce the likelihood of</w:t>
      </w:r>
      <w:r w:rsidR="00907F76">
        <w:t xml:space="preserve"> </w:t>
      </w:r>
      <w:r w:rsidR="009A5CFE">
        <w:t>anyone</w:t>
      </w:r>
      <w:r>
        <w:t xml:space="preserve"> withdrawing on</w:t>
      </w:r>
      <w:r w:rsidR="00907F76">
        <w:t>c</w:t>
      </w:r>
      <w:r>
        <w:t xml:space="preserve">e </w:t>
      </w:r>
      <w:r w:rsidR="009A5CFE">
        <w:t>a</w:t>
      </w:r>
      <w:r>
        <w:t xml:space="preserve"> review has commenced. </w:t>
      </w:r>
      <w:r w:rsidR="009A5CFE">
        <w:t>To this end, health services should</w:t>
      </w:r>
      <w:r w:rsidR="005828B4">
        <w:t>:</w:t>
      </w:r>
    </w:p>
    <w:p w14:paraId="2FCDD06E" w14:textId="4EA1E055" w:rsidR="00B177A5" w:rsidRPr="00BF411A" w:rsidRDefault="00B177A5" w:rsidP="002D0735">
      <w:pPr>
        <w:pStyle w:val="Bullet1"/>
      </w:pPr>
      <w:r w:rsidRPr="00BF411A">
        <w:t>us</w:t>
      </w:r>
      <w:r w:rsidR="009A5CFE">
        <w:t>e</w:t>
      </w:r>
      <w:r w:rsidRPr="00BF411A">
        <w:t xml:space="preserve"> a </w:t>
      </w:r>
      <w:r w:rsidR="00907F76" w:rsidRPr="00BF411A">
        <w:t>consumer representative</w:t>
      </w:r>
      <w:r w:rsidR="00E26CFD" w:rsidRPr="00BF411A">
        <w:t xml:space="preserve"> register</w:t>
      </w:r>
      <w:r w:rsidRPr="00BF411A">
        <w:t xml:space="preserve"> </w:t>
      </w:r>
      <w:r w:rsidR="00907F76" w:rsidRPr="00BF411A">
        <w:t>with opt-out criteria</w:t>
      </w:r>
    </w:p>
    <w:p w14:paraId="05C1DBC3" w14:textId="1E702B2F" w:rsidR="00B177A5" w:rsidRPr="00BF411A" w:rsidRDefault="00907F76" w:rsidP="002D0735">
      <w:pPr>
        <w:pStyle w:val="Bullet1"/>
      </w:pPr>
      <w:r w:rsidRPr="00BF411A">
        <w:t>p</w:t>
      </w:r>
      <w:r w:rsidR="00B177A5" w:rsidRPr="00BF411A">
        <w:t>rovid</w:t>
      </w:r>
      <w:r w:rsidR="009A5CFE">
        <w:t>e</w:t>
      </w:r>
      <w:r w:rsidR="00B177A5" w:rsidRPr="00BF411A">
        <w:t xml:space="preserve"> clear </w:t>
      </w:r>
      <w:r w:rsidR="00E26CFD" w:rsidRPr="00BF411A">
        <w:t>support</w:t>
      </w:r>
      <w:r w:rsidR="00B177A5" w:rsidRPr="00BF411A">
        <w:t xml:space="preserve"> </w:t>
      </w:r>
      <w:r w:rsidR="009A5CFE">
        <w:t xml:space="preserve">mechanisms </w:t>
      </w:r>
      <w:r w:rsidR="00B177A5" w:rsidRPr="00BF411A">
        <w:t>for</w:t>
      </w:r>
      <w:r w:rsidR="00E26CFD" w:rsidRPr="00BF411A">
        <w:t xml:space="preserve"> </w:t>
      </w:r>
      <w:r w:rsidRPr="00BF411A">
        <w:t>consumer representatives</w:t>
      </w:r>
      <w:r w:rsidR="009A5CFE">
        <w:t>, such as</w:t>
      </w:r>
      <w:r w:rsidR="00E26CFD" w:rsidRPr="00BF411A">
        <w:t xml:space="preserve"> access to peer support and counsellin</w:t>
      </w:r>
      <w:r w:rsidR="008C64B7" w:rsidRPr="00BF411A">
        <w:t>g</w:t>
      </w:r>
    </w:p>
    <w:p w14:paraId="79188C79" w14:textId="503564AB" w:rsidR="00E26CFD" w:rsidRPr="00BF411A" w:rsidRDefault="009A5CFE" w:rsidP="002D0735">
      <w:pPr>
        <w:pStyle w:val="Bullet1"/>
      </w:pPr>
      <w:r>
        <w:t>encourage other team members to engage positively and communicate</w:t>
      </w:r>
      <w:r w:rsidR="00E26CFD" w:rsidRPr="00BF411A">
        <w:t xml:space="preserve"> respectful</w:t>
      </w:r>
      <w:r>
        <w:t xml:space="preserve">ly </w:t>
      </w:r>
      <w:r w:rsidR="00E26CFD" w:rsidRPr="00BF411A">
        <w:t>with consumers in meetings</w:t>
      </w:r>
      <w:r w:rsidR="00907F76" w:rsidRPr="00BF411A">
        <w:t>.</w:t>
      </w:r>
    </w:p>
    <w:p w14:paraId="493A7C01" w14:textId="77777777" w:rsidR="002D0735" w:rsidRDefault="002D0735">
      <w:pPr>
        <w:rPr>
          <w:rFonts w:ascii="VIC SemiBold" w:eastAsiaTheme="majorEastAsia" w:hAnsi="VIC SemiBold" w:cstheme="majorBidi"/>
          <w:bCs/>
          <w:iCs/>
          <w:color w:val="000000" w:themeColor="text1"/>
        </w:rPr>
      </w:pPr>
      <w:r>
        <w:br w:type="page"/>
      </w:r>
    </w:p>
    <w:p w14:paraId="308634D8" w14:textId="4F31EC13" w:rsidR="00E957A1" w:rsidRPr="004D6898" w:rsidRDefault="00E957A1" w:rsidP="002D0735">
      <w:pPr>
        <w:pStyle w:val="Heading3"/>
      </w:pPr>
      <w:r>
        <w:lastRenderedPageBreak/>
        <w:t>Payment</w:t>
      </w:r>
    </w:p>
    <w:p w14:paraId="7D2B6C5A" w14:textId="77777777" w:rsidR="002E4CA0" w:rsidRDefault="00E957A1" w:rsidP="002D0735">
      <w:pPr>
        <w:pStyle w:val="Normalfollowingheading"/>
      </w:pPr>
      <w:r w:rsidRPr="00BF411A">
        <w:t>Consumer representatives are active members of review team</w:t>
      </w:r>
      <w:r w:rsidR="00DA089A">
        <w:t>s,</w:t>
      </w:r>
      <w:r w:rsidRPr="00BF411A">
        <w:t xml:space="preserve"> and</w:t>
      </w:r>
      <w:r w:rsidR="00DA089A">
        <w:t xml:space="preserve"> therefore</w:t>
      </w:r>
      <w:r w:rsidRPr="00BF411A">
        <w:t xml:space="preserve"> should be renumerated for the</w:t>
      </w:r>
      <w:r w:rsidR="00DA089A">
        <w:t>ir</w:t>
      </w:r>
      <w:r w:rsidRPr="00BF411A">
        <w:t xml:space="preserve"> contribution</w:t>
      </w:r>
      <w:r w:rsidR="00DA089A">
        <w:t>s</w:t>
      </w:r>
      <w:r w:rsidRPr="00BF411A">
        <w:t xml:space="preserve">. </w:t>
      </w:r>
    </w:p>
    <w:p w14:paraId="27A5FE90" w14:textId="0430F0C7" w:rsidR="00E957A1" w:rsidRPr="00BF411A" w:rsidRDefault="00E957A1" w:rsidP="002D0735">
      <w:pPr>
        <w:pStyle w:val="Normalfollowingheading"/>
      </w:pPr>
      <w:r w:rsidRPr="00BF411A">
        <w:t xml:space="preserve">Guidance on providing payment to consumer representative can be found at </w:t>
      </w:r>
      <w:r w:rsidR="00314694" w:rsidRPr="00314694">
        <w:rPr>
          <w:b/>
        </w:rPr>
        <w:t>safercare.vic.gov.au.</w:t>
      </w:r>
    </w:p>
    <w:p w14:paraId="40E5E34F" w14:textId="4A0A7852" w:rsidR="00E957A1" w:rsidRDefault="00E957A1" w:rsidP="002E4CA0">
      <w:pPr>
        <w:pStyle w:val="Heading3"/>
        <w:rPr>
          <w:rFonts w:ascii="VIC" w:hAnsi="VIC" w:cs="Helvetica"/>
          <w:szCs w:val="26"/>
        </w:rPr>
      </w:pPr>
      <w:r w:rsidRPr="00C73C0C">
        <w:t>Re</w:t>
      </w:r>
      <w:r w:rsidR="00DA089A">
        <w:t>i</w:t>
      </w:r>
      <w:r w:rsidRPr="00C73C0C">
        <w:t>m</w:t>
      </w:r>
      <w:r w:rsidR="00DA089A">
        <w:t>bursement</w:t>
      </w:r>
    </w:p>
    <w:p w14:paraId="1065E81C" w14:textId="45515CA1" w:rsidR="00E957A1" w:rsidRPr="00BF411A" w:rsidRDefault="00DA089A" w:rsidP="002E4CA0">
      <w:pPr>
        <w:pStyle w:val="Normalfollowingheading"/>
      </w:pPr>
      <w:r>
        <w:t>SCV e</w:t>
      </w:r>
      <w:r w:rsidR="00300C61">
        <w:t>xpects</w:t>
      </w:r>
      <w:r>
        <w:t xml:space="preserve"> health services to </w:t>
      </w:r>
      <w:r w:rsidR="00300C61">
        <w:t xml:space="preserve">offer to </w:t>
      </w:r>
      <w:r>
        <w:t>reimburse c</w:t>
      </w:r>
      <w:r w:rsidR="00E957A1" w:rsidRPr="00BF411A">
        <w:t>onsumer representatives for any out</w:t>
      </w:r>
      <w:r>
        <w:t>-</w:t>
      </w:r>
      <w:r w:rsidR="00E957A1" w:rsidRPr="00BF411A">
        <w:t>of</w:t>
      </w:r>
      <w:r>
        <w:t>-</w:t>
      </w:r>
      <w:r w:rsidR="00E957A1" w:rsidRPr="00BF411A">
        <w:t>pocket expenses</w:t>
      </w:r>
      <w:r w:rsidR="002E4CA0">
        <w:t>,</w:t>
      </w:r>
      <w:r w:rsidR="00E957A1" w:rsidRPr="00BF411A">
        <w:t xml:space="preserve"> </w:t>
      </w:r>
      <w:r>
        <w:t>such as</w:t>
      </w:r>
      <w:r w:rsidR="00E957A1" w:rsidRPr="00BF411A">
        <w:t xml:space="preserve"> car parking</w:t>
      </w:r>
      <w:r>
        <w:t xml:space="preserve"> and public </w:t>
      </w:r>
      <w:r w:rsidR="00E957A1" w:rsidRPr="00BF411A">
        <w:t>transport</w:t>
      </w:r>
      <w:r>
        <w:t>.</w:t>
      </w:r>
    </w:p>
    <w:p w14:paraId="37088A7D" w14:textId="44E2C4C4" w:rsidR="00FE25D0" w:rsidRDefault="00CF6A86" w:rsidP="00996870">
      <w:r>
        <w:rPr>
          <w:lang w:val="en-US"/>
        </w:rPr>
        <mc:AlternateContent>
          <mc:Choice Requires="wps">
            <w:drawing>
              <wp:inline distT="0" distB="0" distL="0" distR="0" wp14:anchorId="61645C47" wp14:editId="6234ED4D">
                <wp:extent cx="3149600" cy="3351530"/>
                <wp:effectExtent l="0" t="0" r="1270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3351530"/>
                        </a:xfrm>
                        <a:prstGeom prst="rect">
                          <a:avLst/>
                        </a:prstGeom>
                        <a:solidFill>
                          <a:schemeClr val="bg2"/>
                        </a:solidFill>
                        <a:ln w="6350">
                          <a:solidFill>
                            <a:schemeClr val="bg2"/>
                          </a:solidFill>
                          <a:miter lim="800000"/>
                          <a:headEnd/>
                          <a:tailEnd/>
                        </a:ln>
                      </wps:spPr>
                      <wps:txbx>
                        <w:txbxContent>
                          <w:p w14:paraId="37B49390" w14:textId="7DB80AA3" w:rsidR="00807C76" w:rsidRDefault="00807C76" w:rsidP="002D0735">
                            <w:pPr>
                              <w:pStyle w:val="PulloutHeading"/>
                            </w:pPr>
                            <w:r w:rsidRPr="00916DDA">
                              <w:t>Engaging a consumer representative</w:t>
                            </w:r>
                          </w:p>
                          <w:p w14:paraId="187D16B0" w14:textId="17A92D21" w:rsidR="00807C76" w:rsidRPr="0018083E" w:rsidRDefault="00807C76" w:rsidP="007936A6">
                            <w:pPr>
                              <w:pStyle w:val="PulloutText"/>
                            </w:pPr>
                            <w:r w:rsidRPr="0018083E">
                              <w:t>Provide an overview of the adverse event</w:t>
                            </w:r>
                            <w:r>
                              <w:t>.</w:t>
                            </w:r>
                          </w:p>
                          <w:p w14:paraId="7725B7E8" w14:textId="3D249125" w:rsidR="00807C76" w:rsidRPr="0018083E" w:rsidRDefault="00807C76" w:rsidP="007936A6">
                            <w:pPr>
                              <w:pStyle w:val="PulloutText"/>
                            </w:pPr>
                            <w:r w:rsidRPr="0018083E">
                              <w:t>Clarify expectations around time commitment and workload</w:t>
                            </w:r>
                            <w:r>
                              <w:t>.</w:t>
                            </w:r>
                          </w:p>
                          <w:p w14:paraId="442AB66E" w14:textId="40898531" w:rsidR="00807C76" w:rsidRPr="0018083E" w:rsidRDefault="00807C76" w:rsidP="007936A6">
                            <w:pPr>
                              <w:pStyle w:val="PulloutText"/>
                            </w:pPr>
                            <w:r w:rsidRPr="0018083E">
                              <w:t xml:space="preserve">Answer </w:t>
                            </w:r>
                            <w:r w:rsidR="002E4CA0">
                              <w:t xml:space="preserve">any </w:t>
                            </w:r>
                            <w:r w:rsidRPr="0018083E">
                              <w:t>questions the consumer representative may have</w:t>
                            </w:r>
                            <w:r>
                              <w:t>.</w:t>
                            </w:r>
                          </w:p>
                          <w:p w14:paraId="3982ED34" w14:textId="5C16DF5C" w:rsidR="00807C76" w:rsidRPr="0018083E" w:rsidRDefault="00807C76" w:rsidP="007936A6">
                            <w:pPr>
                              <w:pStyle w:val="PulloutText"/>
                            </w:pPr>
                            <w:r w:rsidRPr="0018083E">
                              <w:t>Provide information about payment and remuneration</w:t>
                            </w:r>
                            <w:r>
                              <w:t>.</w:t>
                            </w:r>
                          </w:p>
                          <w:p w14:paraId="6B947E8E" w14:textId="67F9709A" w:rsidR="00807C76" w:rsidRPr="0018083E" w:rsidRDefault="00807C76" w:rsidP="007936A6">
                            <w:pPr>
                              <w:pStyle w:val="PulloutText"/>
                            </w:pPr>
                            <w:r w:rsidRPr="0018083E">
                              <w:t>Enable the consumer to access any support services available to other health service staff</w:t>
                            </w:r>
                            <w:r>
                              <w:t>.</w:t>
                            </w:r>
                          </w:p>
                        </w:txbxContent>
                      </wps:txbx>
                      <wps:bodyPr rot="0" vert="horz" wrap="square" lIns="180000" tIns="180000" rIns="144000" bIns="36000" anchor="t" anchorCtr="0">
                        <a:spAutoFit/>
                      </wps:bodyPr>
                    </wps:wsp>
                  </a:graphicData>
                </a:graphic>
              </wp:inline>
            </w:drawing>
          </mc:Choice>
          <mc:Fallback>
            <w:pict>
              <v:shape w14:anchorId="61645C47" id="_x0000_s1028" type="#_x0000_t202" style="width:248pt;height:2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" fillcolor="#edf5f7 [3214]" strokecolor="#edf5f7 [3214]" strokeweight=".5pt">
                <v:textbox style="mso-fit-shape-to-text:t" inset="5mm,5mm,4mm,1mm">
                  <w:txbxContent>
                    <w:p w14:paraId="37B49390" w14:textId="7DB80AA3" w:rsidR="00807C76" w:rsidRDefault="00807C76" w:rsidP="002D0735">
                      <w:pPr>
                        <w:pStyle w:val="PulloutHeading"/>
                      </w:pPr>
                      <w:r w:rsidRPr="00916DDA">
                        <w:t>Engaging a consumer representative</w:t>
                      </w:r>
                    </w:p>
                    <w:p w14:paraId="187D16B0" w14:textId="17A92D21" w:rsidR="00807C76" w:rsidRPr="0018083E" w:rsidRDefault="00807C76" w:rsidP="007936A6">
                      <w:pPr>
                        <w:pStyle w:val="PulloutText"/>
                      </w:pPr>
                      <w:r w:rsidRPr="0018083E">
                        <w:t>Provide an overview of the adverse event</w:t>
                      </w:r>
                      <w:r>
                        <w:t>.</w:t>
                      </w:r>
                    </w:p>
                    <w:p w14:paraId="7725B7E8" w14:textId="3D249125" w:rsidR="00807C76" w:rsidRPr="0018083E" w:rsidRDefault="00807C76" w:rsidP="007936A6">
                      <w:pPr>
                        <w:pStyle w:val="PulloutText"/>
                      </w:pPr>
                      <w:r w:rsidRPr="0018083E">
                        <w:t>Clarify expectations around time commitment and workload</w:t>
                      </w:r>
                      <w:r>
                        <w:t>.</w:t>
                      </w:r>
                    </w:p>
                    <w:p w14:paraId="442AB66E" w14:textId="40898531" w:rsidR="00807C76" w:rsidRPr="0018083E" w:rsidRDefault="00807C76" w:rsidP="007936A6">
                      <w:pPr>
                        <w:pStyle w:val="PulloutText"/>
                      </w:pPr>
                      <w:r w:rsidRPr="0018083E">
                        <w:t xml:space="preserve">Answer </w:t>
                      </w:r>
                      <w:r w:rsidR="002E4CA0">
                        <w:t xml:space="preserve">any </w:t>
                      </w:r>
                      <w:r w:rsidRPr="0018083E">
                        <w:t>questions the consumer representative may have</w:t>
                      </w:r>
                      <w:r>
                        <w:t>.</w:t>
                      </w:r>
                    </w:p>
                    <w:p w14:paraId="3982ED34" w14:textId="5C16DF5C" w:rsidR="00807C76" w:rsidRPr="0018083E" w:rsidRDefault="00807C76" w:rsidP="007936A6">
                      <w:pPr>
                        <w:pStyle w:val="PulloutText"/>
                      </w:pPr>
                      <w:r w:rsidRPr="0018083E">
                        <w:t>Provide information about payment and remuneration</w:t>
                      </w:r>
                      <w:r>
                        <w:t>.</w:t>
                      </w:r>
                    </w:p>
                    <w:p w14:paraId="6B947E8E" w14:textId="67F9709A" w:rsidR="00807C76" w:rsidRPr="0018083E" w:rsidRDefault="00807C76" w:rsidP="007936A6">
                      <w:pPr>
                        <w:pStyle w:val="PulloutText"/>
                      </w:pPr>
                      <w:r w:rsidRPr="0018083E">
                        <w:t>Enable the consumer to access any support services available to other health service staff</w:t>
                      </w:r>
                      <w:r>
                        <w:t>.</w:t>
                      </w:r>
                    </w:p>
                  </w:txbxContent>
                </v:textbox>
                <w10:anchorlock/>
              </v:shape>
            </w:pict>
          </mc:Fallback>
        </mc:AlternateContent>
      </w:r>
    </w:p>
    <w:p w14:paraId="5F085DF5" w14:textId="278E5C48" w:rsidR="002E4CA0" w:rsidRDefault="002E4CA0">
      <w:pPr>
        <w:rPr>
          <w:color w:val="404040"/>
        </w:rPr>
      </w:pPr>
      <w:r>
        <w:rPr>
          <w:color w:val="404040"/>
        </w:rPr>
        <w:br w:type="page"/>
      </w:r>
    </w:p>
    <w:p w14:paraId="20AE9DE6" w14:textId="77777777" w:rsidR="003C7395" w:rsidRDefault="008A77B3" w:rsidP="002E4CA0">
      <w:pPr>
        <w:pStyle w:val="Heading1numbered"/>
        <w:framePr w:wrap="around"/>
      </w:pPr>
      <w:r>
        <w:lastRenderedPageBreak/>
        <w:t>Prior to the review</w:t>
      </w:r>
    </w:p>
    <w:p w14:paraId="0D1F4644" w14:textId="3BEB78FF" w:rsidR="00E61661" w:rsidRDefault="00CF6A86" w:rsidP="00996870">
      <w:r>
        <w:t>C</w:t>
      </w:r>
      <w:r w:rsidR="00E61661" w:rsidRPr="0074494B">
        <w:t>onsumer</w:t>
      </w:r>
      <w:r w:rsidR="00E61661">
        <w:t xml:space="preserve"> representatives</w:t>
      </w:r>
      <w:r w:rsidR="00E61661" w:rsidRPr="0074494B">
        <w:t xml:space="preserve"> should be assured (and measures should be put in place to ensure) </w:t>
      </w:r>
      <w:r w:rsidR="003534B0">
        <w:t xml:space="preserve">that </w:t>
      </w:r>
      <w:r w:rsidR="00E61661" w:rsidRPr="0074494B">
        <w:t xml:space="preserve">they will not experience negative repercussions because of </w:t>
      </w:r>
      <w:r w:rsidR="00E61661">
        <w:t>their</w:t>
      </w:r>
      <w:r w:rsidR="00E61661" w:rsidRPr="0074494B">
        <w:t xml:space="preserve"> decision</w:t>
      </w:r>
      <w:r w:rsidR="00E61661">
        <w:t xml:space="preserve"> to participate</w:t>
      </w:r>
      <w:r w:rsidR="003534B0">
        <w:t xml:space="preserve"> in a review</w:t>
      </w:r>
      <w:r w:rsidR="002E4CA0">
        <w:t xml:space="preserve"> or not. This includes when</w:t>
      </w:r>
      <w:r w:rsidR="00B135C6">
        <w:t xml:space="preserve"> performing their duties on the review team, or as</w:t>
      </w:r>
      <w:r w:rsidR="00E61661" w:rsidRPr="0074494B">
        <w:t xml:space="preserve"> a community member and potential user of th</w:t>
      </w:r>
      <w:r w:rsidR="00E55F9F">
        <w:t xml:space="preserve">e </w:t>
      </w:r>
      <w:r w:rsidR="00B135C6">
        <w:t xml:space="preserve">health </w:t>
      </w:r>
      <w:r w:rsidR="00E61661" w:rsidRPr="0074494B">
        <w:t>service.</w:t>
      </w:r>
    </w:p>
    <w:p w14:paraId="7566C18A" w14:textId="77777777" w:rsidR="005828B4" w:rsidRDefault="005828B4" w:rsidP="002E4CA0">
      <w:pPr>
        <w:pStyle w:val="Heading2"/>
      </w:pPr>
      <w:r>
        <w:t>Key contacts</w:t>
      </w:r>
    </w:p>
    <w:p w14:paraId="4BB5C3C2" w14:textId="37DF1B96" w:rsidR="002E4CA0" w:rsidRDefault="0011152C" w:rsidP="002E4CA0">
      <w:pPr>
        <w:pStyle w:val="Normalfollowingheading"/>
      </w:pPr>
      <w:r>
        <w:t xml:space="preserve">A description of review team member roles is in </w:t>
      </w:r>
      <w:r w:rsidRPr="002E4CA0">
        <w:rPr>
          <w:b/>
        </w:rPr>
        <w:t>Appendix 1</w:t>
      </w:r>
      <w:r>
        <w:t>.</w:t>
      </w:r>
    </w:p>
    <w:p w14:paraId="021BCA97" w14:textId="7C686348" w:rsidR="005828B4" w:rsidRDefault="00E957A1" w:rsidP="002E4CA0">
      <w:pPr>
        <w:pStyle w:val="Normalfollowingheading"/>
      </w:pPr>
      <w:r>
        <w:t>The facilitator should be the primary contact for the consumer representative to discuss logistics</w:t>
      </w:r>
      <w:r w:rsidR="00B135C6">
        <w:t xml:space="preserve"> and other issues</w:t>
      </w:r>
      <w:r>
        <w:t>.</w:t>
      </w:r>
    </w:p>
    <w:p w14:paraId="7F37B547" w14:textId="6A1B6B6B" w:rsidR="005828B4" w:rsidRPr="009E6448" w:rsidRDefault="005828B4" w:rsidP="00996870">
      <w:r>
        <w:t>M</w:t>
      </w:r>
      <w:r w:rsidRPr="00E340D8">
        <w:t>ake time before the first meeting to discuss confidentiality</w:t>
      </w:r>
      <w:r w:rsidR="002A3FD9">
        <w:t>,</w:t>
      </w:r>
      <w:r w:rsidRPr="00E340D8">
        <w:t xml:space="preserve"> and any questions or concerns the</w:t>
      </w:r>
      <w:r>
        <w:t xml:space="preserve"> consumer may</w:t>
      </w:r>
      <w:r w:rsidRPr="00E340D8">
        <w:t xml:space="preserve"> have. Under some circumstances it may be appropriate to make changes to a confidentiality agreement</w:t>
      </w:r>
      <w:r w:rsidR="002E4CA0">
        <w:t>. F</w:t>
      </w:r>
      <w:r w:rsidRPr="00E340D8">
        <w:t xml:space="preserve">or example, specifying the name of a person </w:t>
      </w:r>
      <w:r w:rsidR="002A3FD9">
        <w:t>with</w:t>
      </w:r>
      <w:r w:rsidRPr="00E340D8">
        <w:t xml:space="preserve"> whom the</w:t>
      </w:r>
      <w:r w:rsidR="002A3FD9">
        <w:t xml:space="preserve"> consumer representative is</w:t>
      </w:r>
      <w:r w:rsidRPr="00E340D8">
        <w:t xml:space="preserve"> permitted to raise any concerns about the review process, or a peer from whom they </w:t>
      </w:r>
      <w:r w:rsidR="00300C61">
        <w:t>may</w:t>
      </w:r>
      <w:r w:rsidRPr="00E340D8">
        <w:t xml:space="preserve"> seek support. This should only be done with the </w:t>
      </w:r>
      <w:r w:rsidR="002A3FD9">
        <w:t xml:space="preserve">mutual </w:t>
      </w:r>
      <w:r w:rsidRPr="00E340D8">
        <w:t>agreement of the consumer, the health service</w:t>
      </w:r>
      <w:r w:rsidR="002A3FD9">
        <w:t>,</w:t>
      </w:r>
      <w:r w:rsidRPr="00E340D8">
        <w:t xml:space="preserve"> and any named people.</w:t>
      </w:r>
    </w:p>
    <w:p w14:paraId="17326E5E" w14:textId="77777777" w:rsidR="005828B4" w:rsidRPr="00073853" w:rsidRDefault="005828B4" w:rsidP="002E4CA0">
      <w:pPr>
        <w:pStyle w:val="Heading3"/>
      </w:pPr>
      <w:r>
        <w:t>Consumer representative support person</w:t>
      </w:r>
    </w:p>
    <w:p w14:paraId="04C0C33A" w14:textId="260217E1" w:rsidR="005828B4" w:rsidRDefault="005828B4" w:rsidP="002E4CA0">
      <w:pPr>
        <w:pStyle w:val="Normalfollowingheading"/>
      </w:pPr>
      <w:r>
        <w:t xml:space="preserve">It is recommended </w:t>
      </w:r>
      <w:r w:rsidR="002A3FD9">
        <w:t xml:space="preserve">that </w:t>
      </w:r>
      <w:r>
        <w:t>a health service staff member</w:t>
      </w:r>
      <w:r w:rsidR="002A3FD9">
        <w:t xml:space="preserve"> who is external to the review team</w:t>
      </w:r>
      <w:r>
        <w:t xml:space="preserve"> </w:t>
      </w:r>
      <w:r w:rsidR="002A3FD9">
        <w:t xml:space="preserve">be nominated </w:t>
      </w:r>
      <w:r>
        <w:t>to provide peer support to the consumer representative</w:t>
      </w:r>
      <w:r w:rsidR="00300C61">
        <w:t xml:space="preserve"> (‘support person’)</w:t>
      </w:r>
      <w:r>
        <w:t>.</w:t>
      </w:r>
    </w:p>
    <w:p w14:paraId="720E2896" w14:textId="23F2EAF1" w:rsidR="005828B4" w:rsidRDefault="005828B4" w:rsidP="00996870">
      <w:r>
        <w:t xml:space="preserve">Their role </w:t>
      </w:r>
      <w:r w:rsidR="002A3FD9">
        <w:t xml:space="preserve">should </w:t>
      </w:r>
      <w:r>
        <w:t>include:</w:t>
      </w:r>
    </w:p>
    <w:p w14:paraId="12D50389" w14:textId="2CB823EF" w:rsidR="005828B4" w:rsidRPr="00BF411A" w:rsidRDefault="005828B4" w:rsidP="002E4CA0">
      <w:pPr>
        <w:pStyle w:val="Bullet1"/>
      </w:pPr>
      <w:r w:rsidRPr="00BF411A">
        <w:t>offering support and helpful ideas to overcome barriers</w:t>
      </w:r>
    </w:p>
    <w:p w14:paraId="10F561E9" w14:textId="55957F20" w:rsidR="005828B4" w:rsidRPr="00BF411A" w:rsidRDefault="002A3FD9" w:rsidP="002E4CA0">
      <w:pPr>
        <w:pStyle w:val="Bullet1"/>
      </w:pPr>
      <w:r>
        <w:t xml:space="preserve">offering </w:t>
      </w:r>
      <w:r w:rsidR="005828B4" w:rsidRPr="00BF411A">
        <w:t xml:space="preserve">to </w:t>
      </w:r>
      <w:r>
        <w:t xml:space="preserve">raise any </w:t>
      </w:r>
      <w:r w:rsidR="005828B4" w:rsidRPr="00BF411A">
        <w:t>of the consumer representative</w:t>
      </w:r>
      <w:r w:rsidR="00300C61">
        <w:t>’s concerns</w:t>
      </w:r>
      <w:r w:rsidR="005828B4" w:rsidRPr="00BF411A">
        <w:t xml:space="preserve"> </w:t>
      </w:r>
      <w:r>
        <w:t>with</w:t>
      </w:r>
      <w:r w:rsidR="005828B4" w:rsidRPr="00BF411A">
        <w:t xml:space="preserve"> the executive sponsor.</w:t>
      </w:r>
    </w:p>
    <w:p w14:paraId="1D873983" w14:textId="77777777" w:rsidR="002A3FD9" w:rsidRDefault="00E957A1" w:rsidP="00996870">
      <w:pPr>
        <w:pStyle w:val="Heading3"/>
      </w:pPr>
      <w:r>
        <w:rPr>
          <w:lang w:val="en-US"/>
        </w:rPr>
        <mc:AlternateContent>
          <mc:Choice Requires="wps">
            <w:drawing>
              <wp:inline distT="0" distB="0" distL="0" distR="0" wp14:anchorId="627E8B31" wp14:editId="01BBE59A">
                <wp:extent cx="3209925" cy="546100"/>
                <wp:effectExtent l="0" t="0" r="28575" b="247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546100"/>
                        </a:xfrm>
                        <a:prstGeom prst="rect">
                          <a:avLst/>
                        </a:prstGeom>
                        <a:solidFill>
                          <a:schemeClr val="bg2"/>
                        </a:solidFill>
                        <a:ln w="6350">
                          <a:solidFill>
                            <a:schemeClr val="bg2"/>
                          </a:solidFill>
                          <a:miter lim="800000"/>
                          <a:headEnd/>
                          <a:tailEnd/>
                        </a:ln>
                      </wps:spPr>
                      <wps:txbx>
                        <w:txbxContent>
                          <w:p w14:paraId="7F222049" w14:textId="7C3C2DD9" w:rsidR="00807C76" w:rsidRPr="00E957A1" w:rsidRDefault="00807C76" w:rsidP="002D0735">
                            <w:pPr>
                              <w:pStyle w:val="PulloutHeading"/>
                            </w:pPr>
                            <w:r>
                              <w:t>C</w:t>
                            </w:r>
                            <w:r w:rsidRPr="00E957A1">
                              <w:t>ontacts</w:t>
                            </w:r>
                            <w:r>
                              <w:t xml:space="preserve"> for consumer representatives</w:t>
                            </w:r>
                          </w:p>
                          <w:p w14:paraId="58636CD8" w14:textId="50351192" w:rsidR="00807C76" w:rsidRPr="007936A6" w:rsidRDefault="00807C76" w:rsidP="007936A6">
                            <w:pPr>
                              <w:pStyle w:val="PulloutText"/>
                            </w:pPr>
                            <w:r w:rsidRPr="0018083E">
                              <w:t>The facilitator provides the consumer representative with logistical support and information</w:t>
                            </w:r>
                            <w:r>
                              <w:t>.</w:t>
                            </w:r>
                          </w:p>
                          <w:p w14:paraId="5BC3B0BC" w14:textId="753AAD6C" w:rsidR="00807C76" w:rsidRPr="0018083E" w:rsidRDefault="00807C76" w:rsidP="007936A6">
                            <w:pPr>
                              <w:pStyle w:val="PulloutText"/>
                            </w:pPr>
                            <w:r>
                              <w:t xml:space="preserve">A </w:t>
                            </w:r>
                            <w:r w:rsidRPr="0018083E">
                              <w:t xml:space="preserve">support person </w:t>
                            </w:r>
                            <w:r>
                              <w:t xml:space="preserve">who </w:t>
                            </w:r>
                            <w:r w:rsidRPr="0018083E">
                              <w:t>is independent of the review team</w:t>
                            </w:r>
                            <w:r>
                              <w:t xml:space="preserve"> should be appointed.</w:t>
                            </w:r>
                          </w:p>
                        </w:txbxContent>
                      </wps:txbx>
                      <wps:bodyPr rot="0" vert="horz" wrap="square" lIns="180000" tIns="180000" rIns="144000" bIns="36000" anchor="t" anchorCtr="0">
                        <a:spAutoFit/>
                      </wps:bodyPr>
                    </wps:wsp>
                  </a:graphicData>
                </a:graphic>
              </wp:inline>
            </w:drawing>
          </mc:Choice>
          <mc:Fallback>
            <w:pict>
              <v:shape w14:anchorId="627E8B31" id="_x0000_s1029" type="#_x0000_t202" style="width:252.7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" fillcolor="#edf5f7 [3214]" strokecolor="#edf5f7 [3214]" strokeweight=".5pt">
                <v:textbox style="mso-fit-shape-to-text:t" inset="5mm,5mm,4mm,1mm">
                  <w:txbxContent>
                    <w:p w14:paraId="7F222049" w14:textId="7C3C2DD9" w:rsidR="00807C76" w:rsidRPr="00E957A1" w:rsidRDefault="00807C76" w:rsidP="002D0735">
                      <w:pPr>
                        <w:pStyle w:val="PulloutHeading"/>
                      </w:pPr>
                      <w:r>
                        <w:t>C</w:t>
                      </w:r>
                      <w:r w:rsidRPr="00E957A1">
                        <w:t>ontacts</w:t>
                      </w:r>
                      <w:r>
                        <w:t xml:space="preserve"> for consumer representatives</w:t>
                      </w:r>
                    </w:p>
                    <w:p w14:paraId="58636CD8" w14:textId="50351192" w:rsidR="00807C76" w:rsidRPr="007936A6" w:rsidRDefault="00807C76" w:rsidP="007936A6">
                      <w:pPr>
                        <w:pStyle w:val="PulloutText"/>
                      </w:pPr>
                      <w:r w:rsidRPr="0018083E">
                        <w:t>The facilitator provides the consumer representative with logistical support and information</w:t>
                      </w:r>
                      <w:r>
                        <w:t>.</w:t>
                      </w:r>
                    </w:p>
                    <w:p w14:paraId="5BC3B0BC" w14:textId="753AAD6C" w:rsidR="00807C76" w:rsidRPr="0018083E" w:rsidRDefault="00807C76" w:rsidP="007936A6">
                      <w:pPr>
                        <w:pStyle w:val="PulloutText"/>
                      </w:pPr>
                      <w:r>
                        <w:t xml:space="preserve">A </w:t>
                      </w:r>
                      <w:r w:rsidRPr="0018083E">
                        <w:t xml:space="preserve">support person </w:t>
                      </w:r>
                      <w:r>
                        <w:t xml:space="preserve">who </w:t>
                      </w:r>
                      <w:r w:rsidRPr="0018083E">
                        <w:t>is independent of the review team</w:t>
                      </w:r>
                      <w:r>
                        <w:t xml:space="preserve"> should be appointed.</w:t>
                      </w:r>
                    </w:p>
                  </w:txbxContent>
                </v:textbox>
                <w10:anchorlock/>
              </v:shape>
            </w:pict>
          </mc:Fallback>
        </mc:AlternateContent>
      </w:r>
    </w:p>
    <w:p w14:paraId="26FED45C" w14:textId="67B60E42" w:rsidR="008C64B7" w:rsidRPr="004D6898" w:rsidRDefault="008C64B7" w:rsidP="00996870">
      <w:pPr>
        <w:pStyle w:val="Heading3"/>
      </w:pPr>
      <w:r>
        <w:t>Before</w:t>
      </w:r>
      <w:r w:rsidR="00411985">
        <w:t xml:space="preserve"> the first meeting</w:t>
      </w:r>
    </w:p>
    <w:p w14:paraId="19258ADE" w14:textId="633AC05F" w:rsidR="008C64B7" w:rsidRPr="00BF411A" w:rsidRDefault="008E7B67" w:rsidP="002E4CA0">
      <w:pPr>
        <w:pStyle w:val="Bullet1"/>
      </w:pPr>
      <w:r w:rsidRPr="00BF411A">
        <w:t>A</w:t>
      </w:r>
      <w:r w:rsidR="008C64B7" w:rsidRPr="00BF411A">
        <w:t>llocate a primary contact person (</w:t>
      </w:r>
      <w:r w:rsidR="00523D3B">
        <w:t xml:space="preserve">the </w:t>
      </w:r>
      <w:r w:rsidR="008C64B7" w:rsidRPr="00BF411A">
        <w:t>facilitator</w:t>
      </w:r>
      <w:proofErr w:type="gramStart"/>
      <w:r w:rsidR="008C64B7" w:rsidRPr="00BF411A">
        <w:t>)</w:t>
      </w:r>
      <w:r w:rsidR="00523D3B">
        <w:t>,</w:t>
      </w:r>
      <w:r w:rsidR="008C64B7" w:rsidRPr="00BF411A">
        <w:t xml:space="preserve"> and</w:t>
      </w:r>
      <w:proofErr w:type="gramEnd"/>
      <w:r w:rsidR="008C64B7" w:rsidRPr="00BF411A">
        <w:t xml:space="preserve"> </w:t>
      </w:r>
      <w:r w:rsidR="00523D3B">
        <w:t xml:space="preserve">have them </w:t>
      </w:r>
      <w:r w:rsidR="008C64B7" w:rsidRPr="00BF411A">
        <w:t xml:space="preserve">contact the consumer representative </w:t>
      </w:r>
      <w:r w:rsidRPr="00BF411A">
        <w:t>two</w:t>
      </w:r>
      <w:r w:rsidR="002A3FD9">
        <w:t xml:space="preserve"> or </w:t>
      </w:r>
      <w:r w:rsidRPr="00BF411A">
        <w:t xml:space="preserve">three </w:t>
      </w:r>
      <w:r w:rsidR="008C64B7" w:rsidRPr="00BF411A">
        <w:t>days prior to the first meeting</w:t>
      </w:r>
      <w:r w:rsidR="00523D3B">
        <w:t>.</w:t>
      </w:r>
    </w:p>
    <w:p w14:paraId="504D1807" w14:textId="74D06973" w:rsidR="008C64B7" w:rsidRPr="00BF411A" w:rsidRDefault="008E7B67" w:rsidP="002E4CA0">
      <w:pPr>
        <w:pStyle w:val="Bullet1"/>
      </w:pPr>
      <w:r w:rsidRPr="00BF411A">
        <w:t>C</w:t>
      </w:r>
      <w:r w:rsidR="008C64B7" w:rsidRPr="00BF411A">
        <w:t>onfirm the consumer representative has received all information and resources relevant to the review</w:t>
      </w:r>
      <w:r w:rsidR="00523D3B">
        <w:t>.</w:t>
      </w:r>
    </w:p>
    <w:p w14:paraId="389F92EB" w14:textId="6FF7C3F0" w:rsidR="008C64B7" w:rsidRPr="00BF411A" w:rsidRDefault="008E7B67" w:rsidP="002E4CA0">
      <w:pPr>
        <w:pStyle w:val="Bullet1"/>
      </w:pPr>
      <w:r w:rsidRPr="00BF411A">
        <w:t>P</w:t>
      </w:r>
      <w:r w:rsidR="008C64B7" w:rsidRPr="00BF411A">
        <w:t xml:space="preserve">rovide key contact details for the review team (including phone and email contact details for the </w:t>
      </w:r>
      <w:r w:rsidR="00E3389F">
        <w:t xml:space="preserve">support person, </w:t>
      </w:r>
      <w:r w:rsidR="008C64B7" w:rsidRPr="00BF411A">
        <w:t>facilitator, team leader and executive sponsor)</w:t>
      </w:r>
      <w:r w:rsidR="00523D3B">
        <w:t>.</w:t>
      </w:r>
    </w:p>
    <w:p w14:paraId="5CD41B0F" w14:textId="5FF2DCDE" w:rsidR="008C64B7" w:rsidRPr="00BF411A" w:rsidRDefault="008E7B67" w:rsidP="002E4CA0">
      <w:pPr>
        <w:pStyle w:val="Bullet1"/>
      </w:pPr>
      <w:r w:rsidRPr="00BF411A">
        <w:t>A</w:t>
      </w:r>
      <w:r w:rsidR="008C64B7" w:rsidRPr="00BF411A">
        <w:t xml:space="preserve">nswer potential </w:t>
      </w:r>
      <w:r w:rsidR="0018083E" w:rsidRPr="00BF411A">
        <w:t>questions about</w:t>
      </w:r>
      <w:r w:rsidR="008C64B7" w:rsidRPr="00BF411A">
        <w:t xml:space="preserve"> logistics, process</w:t>
      </w:r>
      <w:r w:rsidR="00523D3B">
        <w:t xml:space="preserve"> and</w:t>
      </w:r>
      <w:r w:rsidR="008C64B7" w:rsidRPr="00BF411A">
        <w:t xml:space="preserve"> documentation</w:t>
      </w:r>
      <w:r w:rsidR="00523D3B">
        <w:t>.</w:t>
      </w:r>
    </w:p>
    <w:p w14:paraId="501EF88C" w14:textId="762FABBF" w:rsidR="008C64B7" w:rsidRPr="00BF411A" w:rsidRDefault="008E7B67" w:rsidP="002E4CA0">
      <w:pPr>
        <w:pStyle w:val="Bullet1"/>
      </w:pPr>
      <w:r w:rsidRPr="00BF411A">
        <w:t>O</w:t>
      </w:r>
      <w:r w:rsidR="008C64B7" w:rsidRPr="00BF411A">
        <w:t xml:space="preserve">utline the process for </w:t>
      </w:r>
      <w:r w:rsidR="0018083E">
        <w:t xml:space="preserve">escalating </w:t>
      </w:r>
      <w:r w:rsidR="0018083E" w:rsidRPr="00BF411A">
        <w:t>concerns</w:t>
      </w:r>
      <w:r w:rsidR="008C64B7" w:rsidRPr="00BF411A">
        <w:t xml:space="preserve"> </w:t>
      </w:r>
      <w:r w:rsidR="002A3FD9">
        <w:t xml:space="preserve">that may arise for </w:t>
      </w:r>
      <w:r w:rsidR="008C64B7" w:rsidRPr="00BF411A">
        <w:t>the consumer representative during the review</w:t>
      </w:r>
      <w:r w:rsidR="00523D3B">
        <w:t>.</w:t>
      </w:r>
    </w:p>
    <w:p w14:paraId="5051EE2C" w14:textId="707EFD00" w:rsidR="008C3FA2" w:rsidRPr="00BF411A" w:rsidRDefault="008E7B67" w:rsidP="002E4CA0">
      <w:pPr>
        <w:pStyle w:val="Bullet1"/>
      </w:pPr>
      <w:r w:rsidRPr="00BF411A">
        <w:t>P</w:t>
      </w:r>
      <w:r w:rsidR="008C64B7" w:rsidRPr="00BF411A">
        <w:t>rovide information about, and access to, the health service’s employee assistance program</w:t>
      </w:r>
      <w:r w:rsidR="002A3FD9">
        <w:t>,</w:t>
      </w:r>
      <w:r w:rsidR="008C64B7" w:rsidRPr="00BF411A">
        <w:t xml:space="preserve"> or equivalent</w:t>
      </w:r>
      <w:r w:rsidR="00523D3B">
        <w:t>.</w:t>
      </w:r>
    </w:p>
    <w:p w14:paraId="4D00C4FC" w14:textId="4B4F5C6B" w:rsidR="005828B4" w:rsidRDefault="005828B4" w:rsidP="002E4CA0">
      <w:pPr>
        <w:pStyle w:val="Heading2"/>
      </w:pPr>
      <w:r w:rsidRPr="009E6448">
        <w:t>Access to review material</w:t>
      </w:r>
    </w:p>
    <w:p w14:paraId="647D76E3" w14:textId="780DB8B7" w:rsidR="005828B4" w:rsidRDefault="005828B4" w:rsidP="002E4CA0">
      <w:pPr>
        <w:pStyle w:val="Normalfollowingheading"/>
      </w:pPr>
      <w:r w:rsidRPr="005828B4">
        <w:t>All team members</w:t>
      </w:r>
      <w:r w:rsidR="002A3FD9">
        <w:t>,</w:t>
      </w:r>
      <w:r w:rsidRPr="005828B4">
        <w:t xml:space="preserve"> including consumer representatives</w:t>
      </w:r>
      <w:r w:rsidR="002A3FD9">
        <w:t>,</w:t>
      </w:r>
      <w:r w:rsidRPr="005828B4">
        <w:t xml:space="preserve"> require access to review materials. It is important to discuss how review materials can be best distributed </w:t>
      </w:r>
      <w:r w:rsidR="002A3FD9">
        <w:t xml:space="preserve">to </w:t>
      </w:r>
      <w:r w:rsidRPr="005828B4">
        <w:t>ensur</w:t>
      </w:r>
      <w:r w:rsidR="002A3FD9">
        <w:t>e</w:t>
      </w:r>
      <w:r w:rsidRPr="005828B4">
        <w:t xml:space="preserve"> they are accessible and secure.</w:t>
      </w:r>
    </w:p>
    <w:p w14:paraId="33BDAC78" w14:textId="4D082859" w:rsidR="00E26CFD" w:rsidRDefault="008C64B7" w:rsidP="002E4CA0">
      <w:pPr>
        <w:pStyle w:val="Heading2"/>
      </w:pPr>
      <w:r>
        <w:rPr>
          <w:rFonts w:ascii="VIC" w:hAnsi="VIC"/>
        </w:rPr>
        <w:br w:type="column"/>
      </w:r>
      <w:r w:rsidR="00E26CFD" w:rsidRPr="008C64B7">
        <w:lastRenderedPageBreak/>
        <w:t>Withdrawal from reviews</w:t>
      </w:r>
    </w:p>
    <w:p w14:paraId="6D79FCF5" w14:textId="77777777" w:rsidR="002E4CA0" w:rsidRDefault="00E26CFD" w:rsidP="002E4CA0">
      <w:pPr>
        <w:pStyle w:val="Normalfollowingheading"/>
      </w:pPr>
      <w:r>
        <w:t xml:space="preserve">Sometimes a consumer </w:t>
      </w:r>
      <w:r w:rsidR="00E55F9F">
        <w:t>representative participating in</w:t>
      </w:r>
      <w:r>
        <w:t xml:space="preserve"> a review may be unable to </w:t>
      </w:r>
      <w:r w:rsidR="004167E5">
        <w:t xml:space="preserve">see it through to </w:t>
      </w:r>
      <w:r>
        <w:t>complet</w:t>
      </w:r>
      <w:r w:rsidR="004167E5">
        <w:t>ion.</w:t>
      </w:r>
      <w:r>
        <w:t xml:space="preserve"> This </w:t>
      </w:r>
      <w:r w:rsidR="002A3FD9">
        <w:t>can occur for</w:t>
      </w:r>
      <w:r>
        <w:t xml:space="preserve"> a variety of reasons – both related and unrelated to their experience on the review. Examples of unrelated reasons </w:t>
      </w:r>
      <w:r w:rsidR="004167E5">
        <w:t>include</w:t>
      </w:r>
      <w:r>
        <w:t xml:space="preserve"> illness or injury, unexpected caring responsibilities or bereavement.</w:t>
      </w:r>
      <w:r w:rsidR="004167E5">
        <w:t xml:space="preserve"> O</w:t>
      </w:r>
      <w:r>
        <w:t>ccasionally</w:t>
      </w:r>
      <w:r w:rsidR="004167E5">
        <w:t>,</w:t>
      </w:r>
      <w:r>
        <w:t xml:space="preserve"> </w:t>
      </w:r>
      <w:r w:rsidR="004167E5">
        <w:t xml:space="preserve">such situations can </w:t>
      </w:r>
      <w:r>
        <w:t>be accommodated with changes t</w:t>
      </w:r>
      <w:r w:rsidR="004167E5">
        <w:t>o</w:t>
      </w:r>
      <w:r>
        <w:t xml:space="preserve"> support ongoing participation.</w:t>
      </w:r>
    </w:p>
    <w:p w14:paraId="0E8E3C02" w14:textId="1A9A9D88" w:rsidR="00E26CFD" w:rsidRDefault="00E26CFD" w:rsidP="002E4CA0">
      <w:pPr>
        <w:pStyle w:val="Normalfollowingheading"/>
      </w:pPr>
      <w:r>
        <w:t xml:space="preserve">Examples of related reasons include feeling distressed by the content of the </w:t>
      </w:r>
      <w:r w:rsidR="00E55F9F">
        <w:t>event</w:t>
      </w:r>
      <w:r>
        <w:t xml:space="preserve"> itself, feeling distressed by the review process, or being unable to </w:t>
      </w:r>
      <w:r w:rsidR="004167E5">
        <w:t>cope with</w:t>
      </w:r>
      <w:r>
        <w:t xml:space="preserve"> the required workload.</w:t>
      </w:r>
    </w:p>
    <w:p w14:paraId="01A0C5FD" w14:textId="4B4A15AD" w:rsidR="00E26CFD" w:rsidRDefault="00073853" w:rsidP="00996870">
      <w:pPr>
        <w:rPr>
          <w:rFonts w:cs="Helvetica"/>
          <w:color w:val="000000" w:themeColor="text1"/>
          <w:szCs w:val="26"/>
        </w:rPr>
      </w:pPr>
      <w:r>
        <w:t xml:space="preserve">Making consumers aware of support options, and </w:t>
      </w:r>
      <w:r w:rsidR="00E32057">
        <w:t xml:space="preserve">using </w:t>
      </w:r>
      <w:r>
        <w:t xml:space="preserve">them </w:t>
      </w:r>
      <w:r w:rsidR="00E32057">
        <w:t>effectively</w:t>
      </w:r>
      <w:r>
        <w:t xml:space="preserve">, </w:t>
      </w:r>
      <w:r w:rsidR="00E32057">
        <w:t>can</w:t>
      </w:r>
      <w:r>
        <w:t xml:space="preserve"> reduce the chance</w:t>
      </w:r>
      <w:r w:rsidR="00E32057">
        <w:t>s</w:t>
      </w:r>
      <w:r>
        <w:t xml:space="preserve"> of a situation escalating to the point </w:t>
      </w:r>
      <w:r w:rsidR="00E32057">
        <w:t>where</w:t>
      </w:r>
      <w:r>
        <w:t xml:space="preserve"> a consumer feels the</w:t>
      </w:r>
      <w:r w:rsidR="00B50737">
        <w:t>y</w:t>
      </w:r>
      <w:r w:rsidR="00E32057">
        <w:t xml:space="preserve"> need to </w:t>
      </w:r>
      <w:r>
        <w:t>withdraw from a review</w:t>
      </w:r>
      <w:r w:rsidR="008E7B67">
        <w:t>.</w:t>
      </w:r>
    </w:p>
    <w:p w14:paraId="71CEF0C6" w14:textId="2CB55DF8" w:rsidR="00E26CFD" w:rsidRDefault="00E26CFD" w:rsidP="00996870">
      <w:r>
        <w:t xml:space="preserve">However, it is also important to tell consumers before the review begins that they do ultimately have the right to withdraw if they believe this is the best option, and </w:t>
      </w:r>
      <w:r w:rsidR="008E7B67">
        <w:t xml:space="preserve">to </w:t>
      </w:r>
      <w:r w:rsidR="00B50737">
        <w:t>tell</w:t>
      </w:r>
      <w:r w:rsidR="008E7B67">
        <w:t xml:space="preserve"> them </w:t>
      </w:r>
      <w:r w:rsidR="00E32057">
        <w:t>the procedures for doing so.</w:t>
      </w:r>
    </w:p>
    <w:p w14:paraId="55EC4606" w14:textId="644733C9" w:rsidR="002E4CA0" w:rsidRDefault="00907F76" w:rsidP="00996870">
      <w:r>
        <w:t>W</w:t>
      </w:r>
      <w:r w:rsidRPr="0074494B">
        <w:t>ithdrawing from a</w:t>
      </w:r>
      <w:r>
        <w:t xml:space="preserve"> previous</w:t>
      </w:r>
      <w:r w:rsidRPr="0074494B">
        <w:t xml:space="preserve"> review </w:t>
      </w:r>
      <w:r>
        <w:t>should</w:t>
      </w:r>
      <w:r w:rsidRPr="0074494B">
        <w:t xml:space="preserve"> not preclude </w:t>
      </w:r>
      <w:r>
        <w:t>consumer representatives</w:t>
      </w:r>
      <w:r w:rsidRPr="0074494B">
        <w:t xml:space="preserve"> from being considered for future reviews.</w:t>
      </w:r>
    </w:p>
    <w:p w14:paraId="7B216978" w14:textId="742E6EA7" w:rsidR="009D02FC" w:rsidRDefault="002E4CA0" w:rsidP="00996870">
      <w:r>
        <w:br w:type="column"/>
      </w:r>
      <w:r w:rsidR="009D02FC">
        <w:br w:type="page"/>
      </w:r>
    </w:p>
    <w:p w14:paraId="4BD8170E" w14:textId="77777777" w:rsidR="00C30C31" w:rsidRDefault="00C30C31" w:rsidP="00996870">
      <w:pPr>
        <w:sectPr w:rsidR="00C30C31" w:rsidSect="00265EC8">
          <w:type w:val="continuous"/>
          <w:pgSz w:w="11906" w:h="16838" w:code="9"/>
          <w:pgMar w:top="3402" w:right="851" w:bottom="1361" w:left="851" w:header="539" w:footer="624" w:gutter="0"/>
          <w:cols w:num="2" w:space="284"/>
          <w:docGrid w:linePitch="360"/>
        </w:sectPr>
      </w:pPr>
    </w:p>
    <w:p w14:paraId="3BF954AB" w14:textId="285404C0" w:rsidR="00C30C31" w:rsidRPr="007F6DD6" w:rsidRDefault="00123F16" w:rsidP="002E4CA0">
      <w:pPr>
        <w:pStyle w:val="Heading1numbered"/>
        <w:framePr w:w="10221" w:wrap="around"/>
      </w:pPr>
      <w:r>
        <w:lastRenderedPageBreak/>
        <w:t>During</w:t>
      </w:r>
      <w:r w:rsidR="00E66815">
        <w:t xml:space="preserve"> and after</w:t>
      </w:r>
      <w:r>
        <w:t xml:space="preserve"> the review</w:t>
      </w:r>
    </w:p>
    <w:p w14:paraId="4F17FDAA" w14:textId="481F6FF0" w:rsidR="00AF01D0" w:rsidRDefault="00E61661" w:rsidP="00996870">
      <w:r>
        <w:t>It is expect</w:t>
      </w:r>
      <w:r w:rsidR="009909A6">
        <w:t>ed</w:t>
      </w:r>
      <w:r>
        <w:t xml:space="preserve"> that health service</w:t>
      </w:r>
      <w:r w:rsidR="00B37C83">
        <w:t>s</w:t>
      </w:r>
      <w:r>
        <w:t xml:space="preserve"> and </w:t>
      </w:r>
      <w:r w:rsidR="004C118C">
        <w:t xml:space="preserve">review </w:t>
      </w:r>
      <w:r>
        <w:t xml:space="preserve">team members </w:t>
      </w:r>
      <w:r w:rsidR="004C118C">
        <w:t xml:space="preserve">demonstrate respect </w:t>
      </w:r>
      <w:r w:rsidR="00B37C83">
        <w:t xml:space="preserve">to </w:t>
      </w:r>
      <w:r w:rsidR="00F34BB3">
        <w:t>consumer representatives</w:t>
      </w:r>
      <w:r w:rsidR="00B50737">
        <w:t>,</w:t>
      </w:r>
      <w:r w:rsidR="00B37C83">
        <w:t xml:space="preserve"> and listen attentively to them</w:t>
      </w:r>
      <w:r w:rsidR="00AF01D0">
        <w:t>.</w:t>
      </w:r>
    </w:p>
    <w:p w14:paraId="25E2FF66" w14:textId="4875179F" w:rsidR="004C118C" w:rsidRDefault="004C118C" w:rsidP="00996870">
      <w:r>
        <w:t xml:space="preserve">It is important to be mindful of medical jargon and </w:t>
      </w:r>
      <w:r w:rsidR="00B37C83">
        <w:t xml:space="preserve">to </w:t>
      </w:r>
      <w:r>
        <w:t>explain terminology</w:t>
      </w:r>
      <w:r w:rsidR="00B50737">
        <w:t>, health service processes</w:t>
      </w:r>
      <w:r>
        <w:t xml:space="preserve"> and aspects of care that may be unclear to the consumer representative.</w:t>
      </w:r>
    </w:p>
    <w:p w14:paraId="33E8C24B" w14:textId="58292184" w:rsidR="00E61661" w:rsidRPr="00613D7E" w:rsidRDefault="004C118C" w:rsidP="00996870">
      <w:pPr>
        <w:rPr>
          <w:rFonts w:cs="Helvetica"/>
          <w:color w:val="000000" w:themeColor="text1"/>
          <w:szCs w:val="26"/>
        </w:rPr>
      </w:pPr>
      <w:r>
        <w:t>The</w:t>
      </w:r>
      <w:r w:rsidR="00B50737">
        <w:t xml:space="preserve"> </w:t>
      </w:r>
      <w:r w:rsidR="00916DDA">
        <w:t>facilitator, team lead</w:t>
      </w:r>
      <w:r w:rsidR="00BF411A">
        <w:t>er</w:t>
      </w:r>
      <w:r w:rsidR="00916DDA">
        <w:t xml:space="preserve"> and </w:t>
      </w:r>
      <w:r w:rsidR="00F34BB3" w:rsidRPr="0074494B">
        <w:t>executive</w:t>
      </w:r>
      <w:r w:rsidR="00D565A0">
        <w:t xml:space="preserve"> sponsor</w:t>
      </w:r>
      <w:r w:rsidR="00F34BB3" w:rsidRPr="0074494B">
        <w:t xml:space="preserve"> </w:t>
      </w:r>
      <w:r>
        <w:t xml:space="preserve">are </w:t>
      </w:r>
      <w:r w:rsidR="00916DDA">
        <w:t xml:space="preserve">all </w:t>
      </w:r>
      <w:r>
        <w:t>well</w:t>
      </w:r>
      <w:r w:rsidR="00AF01D0">
        <w:t xml:space="preserve"> </w:t>
      </w:r>
      <w:r>
        <w:t>positioned to ensure an inclusive environment for consumer representatives, by</w:t>
      </w:r>
      <w:r w:rsidR="008E7B67">
        <w:t>:</w:t>
      </w:r>
    </w:p>
    <w:p w14:paraId="457E7BBF" w14:textId="038238B0" w:rsidR="00F34BB3" w:rsidRPr="00BF411A" w:rsidRDefault="00F34BB3" w:rsidP="00AF01D0">
      <w:pPr>
        <w:pStyle w:val="Bullet1"/>
      </w:pPr>
      <w:bookmarkStart w:id="10" w:name="_Hlk9160798"/>
      <w:r w:rsidRPr="00BF411A">
        <w:t>inviting the</w:t>
      </w:r>
      <w:r w:rsidR="00B37C83">
        <w:t>m</w:t>
      </w:r>
      <w:r w:rsidRPr="00BF411A">
        <w:t xml:space="preserve"> </w:t>
      </w:r>
      <w:r w:rsidR="00B37C83">
        <w:t xml:space="preserve">along to </w:t>
      </w:r>
      <w:r w:rsidRPr="00BF411A">
        <w:t>site visits, walk</w:t>
      </w:r>
      <w:r w:rsidR="00AF01D0">
        <w:t xml:space="preserve"> </w:t>
      </w:r>
      <w:r w:rsidRPr="00BF411A">
        <w:t>arounds</w:t>
      </w:r>
      <w:r w:rsidR="00B37C83">
        <w:t xml:space="preserve"> and other activities that will </w:t>
      </w:r>
      <w:r w:rsidRPr="00BF411A">
        <w:t>help orient them to the physical environment relevant to the event</w:t>
      </w:r>
    </w:p>
    <w:p w14:paraId="5AA28847" w14:textId="5AAC2AEC" w:rsidR="00613D7E" w:rsidRPr="00BF411A" w:rsidRDefault="004C118C" w:rsidP="00AF01D0">
      <w:pPr>
        <w:pStyle w:val="Bullet1"/>
      </w:pPr>
      <w:r w:rsidRPr="00BF411A">
        <w:t>i</w:t>
      </w:r>
      <w:r w:rsidR="00F1539C" w:rsidRPr="00BF411A">
        <w:t>ntroduc</w:t>
      </w:r>
      <w:r w:rsidRPr="00BF411A">
        <w:t>ing</w:t>
      </w:r>
      <w:r w:rsidR="00F1539C" w:rsidRPr="00BF411A">
        <w:t xml:space="preserve"> the</w:t>
      </w:r>
      <w:r w:rsidR="00B37C83">
        <w:t>m</w:t>
      </w:r>
      <w:r w:rsidR="00F34BB3" w:rsidRPr="00BF411A">
        <w:t xml:space="preserve"> </w:t>
      </w:r>
      <w:r w:rsidR="00F1539C" w:rsidRPr="00BF411A">
        <w:t>to the review team at the first meeting</w:t>
      </w:r>
    </w:p>
    <w:p w14:paraId="2852FC30" w14:textId="49E82112" w:rsidR="00613D7E" w:rsidRPr="00BF411A" w:rsidRDefault="00F1539C" w:rsidP="00AF01D0">
      <w:pPr>
        <w:pStyle w:val="Bullet1"/>
      </w:pPr>
      <w:r w:rsidRPr="00BF411A">
        <w:t>clarify</w:t>
      </w:r>
      <w:r w:rsidR="008E7B67" w:rsidRPr="00BF411A">
        <w:t>ing</w:t>
      </w:r>
      <w:r w:rsidRPr="00BF411A">
        <w:t xml:space="preserve"> their role and the value they </w:t>
      </w:r>
      <w:r w:rsidR="00B37C83">
        <w:t xml:space="preserve">will </w:t>
      </w:r>
      <w:r w:rsidRPr="00BF411A">
        <w:t>ad</w:t>
      </w:r>
      <w:r w:rsidR="00613D7E" w:rsidRPr="00BF411A">
        <w:t>d</w:t>
      </w:r>
    </w:p>
    <w:p w14:paraId="2046E5AE" w14:textId="42E37A09" w:rsidR="00916DDA" w:rsidRPr="00BF411A" w:rsidRDefault="00916DDA" w:rsidP="00AF01D0">
      <w:pPr>
        <w:pStyle w:val="Bullet1"/>
      </w:pPr>
      <w:r w:rsidRPr="00BF411A">
        <w:t>inv</w:t>
      </w:r>
      <w:r w:rsidR="00B37C83">
        <w:t xml:space="preserve">iting their input </w:t>
      </w:r>
      <w:r w:rsidRPr="00BF411A">
        <w:t>on specific points</w:t>
      </w:r>
    </w:p>
    <w:p w14:paraId="065AD986" w14:textId="35C56E30" w:rsidR="00F34BB3" w:rsidRPr="00BF411A" w:rsidRDefault="00F34BB3" w:rsidP="00AF01D0">
      <w:pPr>
        <w:pStyle w:val="Bullet1"/>
      </w:pPr>
      <w:r w:rsidRPr="00BF411A">
        <w:t>being aware of the power imbalances that may come with the consumer representative often being the only non-clinical, non-organisational member on the team.</w:t>
      </w:r>
    </w:p>
    <w:p w14:paraId="7B0D73A5" w14:textId="77777777" w:rsidR="00AF01D0" w:rsidRDefault="00916DDA" w:rsidP="00996870">
      <w:r>
        <w:t xml:space="preserve">It is important the consumer representative is adequately supported and made to feel they can fully contribute. </w:t>
      </w:r>
    </w:p>
    <w:p w14:paraId="207294CD" w14:textId="4E1A778D" w:rsidR="00F1539C" w:rsidRPr="00F1539C" w:rsidRDefault="00AF01D0" w:rsidP="00996870">
      <w:r>
        <w:br w:type="column"/>
      </w:r>
      <w:r w:rsidR="00F1539C">
        <w:t>The</w:t>
      </w:r>
      <w:r w:rsidR="00B37C83">
        <w:t>y</w:t>
      </w:r>
      <w:r w:rsidR="00F34BB3">
        <w:t xml:space="preserve"> can</w:t>
      </w:r>
      <w:r w:rsidR="00916DDA">
        <w:t xml:space="preserve"> and should be encouraged to</w:t>
      </w:r>
      <w:r w:rsidR="00BD01AB">
        <w:t>:</w:t>
      </w:r>
    </w:p>
    <w:p w14:paraId="66C33005" w14:textId="65598D5A" w:rsidR="004C118C" w:rsidRPr="00BF411A" w:rsidRDefault="004C118C" w:rsidP="00AF01D0">
      <w:pPr>
        <w:pStyle w:val="Bullet1"/>
      </w:pPr>
      <w:r w:rsidRPr="00BF411A">
        <w:t>challenge assumptions and provide a patient, family and/or carer perspective</w:t>
      </w:r>
    </w:p>
    <w:p w14:paraId="69162ED1" w14:textId="40A5A385" w:rsidR="004C118C" w:rsidRPr="00BF411A" w:rsidRDefault="00B37C83" w:rsidP="00AF01D0">
      <w:pPr>
        <w:pStyle w:val="Bullet1"/>
      </w:pPr>
      <w:r>
        <w:t xml:space="preserve">help other review team members to see the event through the lens of </w:t>
      </w:r>
      <w:r w:rsidR="00663DB7">
        <w:t xml:space="preserve">a </w:t>
      </w:r>
      <w:r w:rsidR="00663DB7" w:rsidRPr="00BF411A">
        <w:t>service</w:t>
      </w:r>
      <w:r>
        <w:t xml:space="preserve"> </w:t>
      </w:r>
      <w:r w:rsidR="004C118C" w:rsidRPr="00BF411A">
        <w:t>user</w:t>
      </w:r>
    </w:p>
    <w:p w14:paraId="130F038F" w14:textId="799FAF43" w:rsidR="00F1539C" w:rsidRPr="00BF411A" w:rsidRDefault="00F1539C" w:rsidP="00AF01D0">
      <w:pPr>
        <w:pStyle w:val="Bullet1"/>
      </w:pPr>
      <w:r w:rsidRPr="00BF411A">
        <w:t>identify additional information of a non-clinical nature to inform the review (generate new lines of inquiry)</w:t>
      </w:r>
    </w:p>
    <w:p w14:paraId="4208538D" w14:textId="7E13A901" w:rsidR="004C118C" w:rsidRPr="00BF411A" w:rsidRDefault="004C118C" w:rsidP="00AF01D0">
      <w:pPr>
        <w:pStyle w:val="Bullet1"/>
      </w:pPr>
      <w:r w:rsidRPr="00BF411A">
        <w:t xml:space="preserve">actively participate in interviewing </w:t>
      </w:r>
      <w:r w:rsidR="0031042B" w:rsidRPr="00BF411A">
        <w:t xml:space="preserve">staff, </w:t>
      </w:r>
      <w:r w:rsidRPr="00BF411A">
        <w:t>patients, families or carers</w:t>
      </w:r>
      <w:r w:rsidR="00F34BB3" w:rsidRPr="00BF411A">
        <w:t>*</w:t>
      </w:r>
    </w:p>
    <w:p w14:paraId="69D60FE0" w14:textId="53477B61" w:rsidR="00F1539C" w:rsidRPr="00BF411A" w:rsidRDefault="00F1539C" w:rsidP="00AF01D0">
      <w:pPr>
        <w:pStyle w:val="Bullet1"/>
      </w:pPr>
      <w:r w:rsidRPr="00BF411A">
        <w:t xml:space="preserve">help develop recommendations that are </w:t>
      </w:r>
      <w:r w:rsidR="00B37C83">
        <w:t>consumer</w:t>
      </w:r>
      <w:r w:rsidRPr="00BF411A">
        <w:t>-centred and in line with community expectations</w:t>
      </w:r>
      <w:r w:rsidR="00411985" w:rsidRPr="00BF411A">
        <w:t>.</w:t>
      </w:r>
    </w:p>
    <w:p w14:paraId="7018DA0B" w14:textId="6AA1CAA2" w:rsidR="004C118C" w:rsidRDefault="004C118C" w:rsidP="00AF01D0">
      <w:r w:rsidRPr="00F34BB3">
        <w:t>*Interviews should be undertaken with t</w:t>
      </w:r>
      <w:r w:rsidR="00F34BB3" w:rsidRPr="00F34BB3">
        <w:t>w</w:t>
      </w:r>
      <w:r w:rsidRPr="00F34BB3">
        <w:t>o interviewers</w:t>
      </w:r>
      <w:r w:rsidR="00B37C83">
        <w:t>,</w:t>
      </w:r>
      <w:r w:rsidRPr="00F34BB3">
        <w:t xml:space="preserve"> and consumer representatives should be supported and trained to undertake review interviews.</w:t>
      </w:r>
    </w:p>
    <w:bookmarkEnd w:id="10"/>
    <w:p w14:paraId="1DB0F797" w14:textId="4B7D974F" w:rsidR="003863AA" w:rsidRPr="0074494B" w:rsidRDefault="004C7026" w:rsidP="007936A6">
      <w:pPr>
        <w:pStyle w:val="Heading2"/>
      </w:pPr>
      <w:r>
        <w:t>Support for</w:t>
      </w:r>
      <w:r w:rsidR="007D720E">
        <w:t xml:space="preserve"> consumer representatives</w:t>
      </w:r>
      <w:r>
        <w:t xml:space="preserve"> </w:t>
      </w:r>
    </w:p>
    <w:p w14:paraId="2A6531CB" w14:textId="77777777" w:rsidR="00AF01D0" w:rsidRDefault="00907B41" w:rsidP="00AF01D0">
      <w:pPr>
        <w:pStyle w:val="Normalfollowingheading"/>
      </w:pPr>
      <w:r w:rsidRPr="00907B41">
        <w:t xml:space="preserve">Consumer representatives are involved in reviews to challenge assumptions, reframe discussions, provide a service-user viewpoint and generate new lines of </w:t>
      </w:r>
      <w:r w:rsidR="007A3534">
        <w:t>i</w:t>
      </w:r>
      <w:r w:rsidRPr="00907B41">
        <w:t>nquiry that may otherwise not have been considered.</w:t>
      </w:r>
      <w:r>
        <w:t xml:space="preserve"> At times this role can be difficult or distressing to the</w:t>
      </w:r>
      <w:r w:rsidR="007A3534">
        <w:t xml:space="preserve"> consumer representative</w:t>
      </w:r>
      <w:r>
        <w:t>.</w:t>
      </w:r>
      <w:r w:rsidRPr="00907B41">
        <w:t xml:space="preserve"> </w:t>
      </w:r>
    </w:p>
    <w:p w14:paraId="41167A74" w14:textId="0733F943" w:rsidR="007A3534" w:rsidRDefault="00E23FDA" w:rsidP="00AF01D0">
      <w:pPr>
        <w:pStyle w:val="Normalfollowingheading"/>
      </w:pPr>
      <w:r>
        <w:t>Challenges</w:t>
      </w:r>
      <w:r w:rsidR="00907B41">
        <w:t xml:space="preserve"> may include</w:t>
      </w:r>
      <w:r w:rsidR="007A3534">
        <w:t>:</w:t>
      </w:r>
    </w:p>
    <w:p w14:paraId="342E9E84" w14:textId="75D3B635" w:rsidR="007A3534" w:rsidRDefault="007A3534" w:rsidP="00AF01D0">
      <w:pPr>
        <w:pStyle w:val="Bullet1"/>
      </w:pPr>
      <w:r w:rsidRPr="0074494B">
        <w:t>not feeling heard in meetings</w:t>
      </w:r>
    </w:p>
    <w:p w14:paraId="0DFDB8EA" w14:textId="2520EF65" w:rsidR="007A3534" w:rsidRDefault="007A3534" w:rsidP="00AF01D0">
      <w:pPr>
        <w:pStyle w:val="Bullet1"/>
      </w:pPr>
      <w:r w:rsidRPr="0074494B">
        <w:t>not having their questions answered sufficiently</w:t>
      </w:r>
    </w:p>
    <w:p w14:paraId="0B2A084E" w14:textId="614DA53E" w:rsidR="007A3534" w:rsidRDefault="007A3534" w:rsidP="00AF01D0">
      <w:pPr>
        <w:pStyle w:val="Bullet1"/>
      </w:pPr>
      <w:r w:rsidRPr="0074494B">
        <w:t>feeling their input is being overlooked or dismissed</w:t>
      </w:r>
    </w:p>
    <w:p w14:paraId="07FFB44E" w14:textId="1452E843" w:rsidR="007A3534" w:rsidRDefault="007A3534" w:rsidP="00AF01D0">
      <w:pPr>
        <w:pStyle w:val="Bullet1"/>
      </w:pPr>
      <w:r>
        <w:t xml:space="preserve">feeling </w:t>
      </w:r>
      <w:r w:rsidRPr="0074494B">
        <w:t>that requests for additional information are not being carried out</w:t>
      </w:r>
    </w:p>
    <w:p w14:paraId="479F0EBF" w14:textId="4BA51EB1" w:rsidR="007A3534" w:rsidRDefault="007A3534" w:rsidP="00AF01D0">
      <w:pPr>
        <w:pStyle w:val="Bullet1"/>
      </w:pPr>
      <w:r>
        <w:t xml:space="preserve">feeling </w:t>
      </w:r>
      <w:r w:rsidRPr="007A3534">
        <w:t>they are not being treated fairly and/or respectfully</w:t>
      </w:r>
      <w:r>
        <w:t>.</w:t>
      </w:r>
    </w:p>
    <w:p w14:paraId="62B85A4F" w14:textId="77777777" w:rsidR="00AF01D0" w:rsidRDefault="00AF01D0">
      <w:r>
        <w:br w:type="page"/>
      </w:r>
    </w:p>
    <w:p w14:paraId="2FB74021" w14:textId="2796E412" w:rsidR="002F2C27" w:rsidRDefault="007A3534" w:rsidP="00AF01D0">
      <w:r>
        <w:lastRenderedPageBreak/>
        <w:t>Consumer representatives</w:t>
      </w:r>
      <w:r w:rsidR="00907B41">
        <w:t xml:space="preserve"> need to be </w:t>
      </w:r>
      <w:r w:rsidR="008A77B3">
        <w:t xml:space="preserve">provided with guidance </w:t>
      </w:r>
      <w:r w:rsidR="00907B41">
        <w:t xml:space="preserve">and support </w:t>
      </w:r>
      <w:r w:rsidR="008A77B3">
        <w:t xml:space="preserve">on what </w:t>
      </w:r>
      <w:r>
        <w:t xml:space="preserve">to </w:t>
      </w:r>
      <w:r w:rsidR="008A77B3">
        <w:t xml:space="preserve">do if they have any </w:t>
      </w:r>
      <w:r w:rsidR="008A77B3" w:rsidRPr="0074494B">
        <w:t>concerns about any aspect of their participation in the review</w:t>
      </w:r>
      <w:r w:rsidR="008A77B3">
        <w:t>.</w:t>
      </w:r>
    </w:p>
    <w:p w14:paraId="13772B22" w14:textId="3DFC9246" w:rsidR="00907B41" w:rsidRPr="007936A6" w:rsidRDefault="007936A6" w:rsidP="007936A6">
      <w:pPr>
        <w:pStyle w:val="Tablechartdiagramheading"/>
      </w:pPr>
      <w:r w:rsidRPr="007936A6">
        <w:t>Recommended escalation process</w:t>
      </w:r>
    </w:p>
    <w:p w14:paraId="5B09E413" w14:textId="6004A286" w:rsidR="00D66580" w:rsidRDefault="00D050C5" w:rsidP="00AF01D0">
      <w:r>
        <w:rPr>
          <w:lang w:val="en-US"/>
        </w:rPr>
        <w:drawing>
          <wp:inline distT="0" distB="0" distL="0" distR="0" wp14:anchorId="2CDBEA3D" wp14:editId="3C98CBE5">
            <wp:extent cx="3155950" cy="183705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D976EE3" w14:textId="599C4815" w:rsidR="00907B41" w:rsidRDefault="007936A6" w:rsidP="00AF01D0">
      <w:r>
        <w:t>D</w:t>
      </w:r>
      <w:r w:rsidR="00907B41">
        <w:t xml:space="preserve">etails </w:t>
      </w:r>
      <w:r w:rsidR="00FF08B5">
        <w:t xml:space="preserve">of the escalation process </w:t>
      </w:r>
      <w:r w:rsidR="00907B41">
        <w:t>should be provided in writing to the consumer representative</w:t>
      </w:r>
      <w:r w:rsidR="00FF08B5">
        <w:t>.</w:t>
      </w:r>
    </w:p>
    <w:p w14:paraId="795DDAB4" w14:textId="233C97D8" w:rsidR="002F2C27" w:rsidRPr="0058575A" w:rsidRDefault="002F2C27" w:rsidP="00996870">
      <w:r w:rsidRPr="0058575A">
        <w:t xml:space="preserve">If during the review the consumer representative becomes aware of a serious safety concern within the organisation that is not being appreciated or addressed by the organisation, they </w:t>
      </w:r>
      <w:r w:rsidR="00907B41">
        <w:t>should speak directly to the executive sponsor of the review</w:t>
      </w:r>
      <w:r w:rsidR="00E23FDA">
        <w:t>.</w:t>
      </w:r>
    </w:p>
    <w:p w14:paraId="304024CA" w14:textId="3F55BCAF" w:rsidR="003863AA" w:rsidRPr="0074494B" w:rsidRDefault="003863AA" w:rsidP="00996870">
      <w:r w:rsidRPr="0074494B">
        <w:t xml:space="preserve">At any time during the review the </w:t>
      </w:r>
      <w:r w:rsidR="00C65713">
        <w:t>consumer representative</w:t>
      </w:r>
      <w:r w:rsidRPr="0074494B">
        <w:t xml:space="preserve"> </w:t>
      </w:r>
      <w:r w:rsidR="003F5A57">
        <w:t>may</w:t>
      </w:r>
      <w:r w:rsidRPr="0074494B">
        <w:t xml:space="preserve"> speak to their nomina</w:t>
      </w:r>
      <w:r w:rsidR="00BB519C" w:rsidRPr="00BB519C">
        <w:t>ted support person</w:t>
      </w:r>
      <w:r w:rsidR="00BB519C" w:rsidRPr="0074494B">
        <w:t xml:space="preserve"> </w:t>
      </w:r>
      <w:r w:rsidRPr="0074494B">
        <w:t>for general advice</w:t>
      </w:r>
      <w:r w:rsidR="003F5A57">
        <w:t>, within the bounds of their confidentiality agreement</w:t>
      </w:r>
      <w:r w:rsidRPr="0074494B">
        <w:t>.</w:t>
      </w:r>
    </w:p>
    <w:p w14:paraId="27D025E3" w14:textId="60D754E3" w:rsidR="003863AA" w:rsidRDefault="00AF01D0" w:rsidP="007936A6">
      <w:pPr>
        <w:pStyle w:val="Heading3"/>
      </w:pPr>
      <w:bookmarkStart w:id="11" w:name="_Toc9275129"/>
      <w:r>
        <w:br w:type="column"/>
      </w:r>
      <w:r w:rsidR="003863AA" w:rsidRPr="007936A6">
        <w:rPr>
          <w:rStyle w:val="Strong"/>
          <w:b w:val="0"/>
        </w:rPr>
        <w:t>Wellbeing</w:t>
      </w:r>
      <w:r w:rsidR="003863AA" w:rsidRPr="007936A6">
        <w:rPr>
          <w:b/>
        </w:rPr>
        <w:t xml:space="preserve"> </w:t>
      </w:r>
      <w:r w:rsidR="003863AA">
        <w:t>and emotional support</w:t>
      </w:r>
      <w:bookmarkEnd w:id="11"/>
    </w:p>
    <w:p w14:paraId="774A3A65" w14:textId="4E95F321" w:rsidR="003863AA" w:rsidRPr="005900FB" w:rsidRDefault="003863AA" w:rsidP="00AF01D0">
      <w:pPr>
        <w:pStyle w:val="Normalfollowingheading"/>
      </w:pPr>
      <w:r w:rsidRPr="005345A4">
        <w:t>All consumer</w:t>
      </w:r>
      <w:r w:rsidR="00453C7C">
        <w:t xml:space="preserve"> representatives</w:t>
      </w:r>
      <w:r w:rsidRPr="005345A4">
        <w:t xml:space="preserve"> </w:t>
      </w:r>
      <w:r w:rsidR="00453C7C">
        <w:t>have</w:t>
      </w:r>
      <w:r w:rsidRPr="005345A4">
        <w:t xml:space="preserve"> different coping styles and resilience</w:t>
      </w:r>
      <w:r w:rsidR="0024297A">
        <w:t xml:space="preserve"> levels</w:t>
      </w:r>
      <w:r w:rsidRPr="005345A4">
        <w:t xml:space="preserve">. For example, while some </w:t>
      </w:r>
      <w:r w:rsidR="0024297A">
        <w:t xml:space="preserve">may find </w:t>
      </w:r>
      <w:r w:rsidRPr="005345A4">
        <w:t>participat</w:t>
      </w:r>
      <w:r w:rsidR="0024297A">
        <w:t>ion</w:t>
      </w:r>
      <w:r w:rsidRPr="005345A4">
        <w:t xml:space="preserve"> in a review </w:t>
      </w:r>
      <w:r w:rsidR="0024297A">
        <w:t>that</w:t>
      </w:r>
      <w:r w:rsidRPr="005345A4">
        <w:t xml:space="preserve"> mirrors an event in their </w:t>
      </w:r>
      <w:r w:rsidR="0024297A">
        <w:t xml:space="preserve">own </w:t>
      </w:r>
      <w:r w:rsidRPr="005345A4">
        <w:t>life</w:t>
      </w:r>
      <w:r w:rsidR="0024297A">
        <w:t xml:space="preserve"> </w:t>
      </w:r>
      <w:r w:rsidR="0024297A" w:rsidRPr="005345A4">
        <w:t xml:space="preserve">too </w:t>
      </w:r>
      <w:r w:rsidR="00663DB7" w:rsidRPr="005345A4">
        <w:t>distressing</w:t>
      </w:r>
      <w:r w:rsidR="00663DB7">
        <w:t>,</w:t>
      </w:r>
      <w:r w:rsidR="00663DB7" w:rsidRPr="005345A4">
        <w:t xml:space="preserve"> others</w:t>
      </w:r>
      <w:r w:rsidRPr="005345A4">
        <w:t xml:space="preserve"> may find it meaningful and constructive</w:t>
      </w:r>
      <w:r w:rsidR="0024297A">
        <w:t>,</w:t>
      </w:r>
      <w:r w:rsidR="00C65713" w:rsidRPr="005345A4">
        <w:t xml:space="preserve"> and</w:t>
      </w:r>
      <w:r w:rsidRPr="005345A4">
        <w:t xml:space="preserve"> bring great value to the team through their knowledge.</w:t>
      </w:r>
    </w:p>
    <w:p w14:paraId="75AF3916" w14:textId="0FAD5224" w:rsidR="003863AA" w:rsidRDefault="003863AA" w:rsidP="00996870">
      <w:r w:rsidRPr="008A1A68">
        <w:t>Before the review process begins</w:t>
      </w:r>
      <w:r w:rsidR="00BB519C">
        <w:t>,</w:t>
      </w:r>
      <w:r w:rsidRPr="008A1A68">
        <w:t xml:space="preserve"> the </w:t>
      </w:r>
      <w:r w:rsidR="00C65713">
        <w:t>consumer representative</w:t>
      </w:r>
      <w:r w:rsidRPr="008A1A68">
        <w:t xml:space="preserve"> should be made aware of the support options available</w:t>
      </w:r>
      <w:r w:rsidR="009046E0">
        <w:t>.</w:t>
      </w:r>
    </w:p>
    <w:p w14:paraId="10980F5F" w14:textId="556D6562" w:rsidR="00E66815" w:rsidRDefault="00E66815" w:rsidP="00AF01D0">
      <w:pPr>
        <w:pStyle w:val="Heading2"/>
      </w:pPr>
      <w:r w:rsidRPr="00E66815">
        <w:t>After the review</w:t>
      </w:r>
    </w:p>
    <w:p w14:paraId="651E3A2B" w14:textId="105DB690" w:rsidR="0061382E" w:rsidRDefault="00E66815" w:rsidP="00AF01D0">
      <w:pPr>
        <w:pStyle w:val="Normalfollowingheading"/>
      </w:pPr>
      <w:r w:rsidRPr="008A1A68">
        <w:t xml:space="preserve">It is expected that </w:t>
      </w:r>
      <w:r>
        <w:t>consumer representative</w:t>
      </w:r>
      <w:r w:rsidR="0031042B">
        <w:t>s</w:t>
      </w:r>
      <w:r w:rsidRPr="008A1A68">
        <w:t xml:space="preserve"> </w:t>
      </w:r>
      <w:r>
        <w:t>will have</w:t>
      </w:r>
      <w:r w:rsidRPr="008A1A68">
        <w:t xml:space="preserve"> access to any counselling, support or other wellbeing services available to</w:t>
      </w:r>
      <w:r>
        <w:t xml:space="preserve"> health service</w:t>
      </w:r>
      <w:r w:rsidRPr="008A1A68">
        <w:t xml:space="preserve"> employees.</w:t>
      </w:r>
      <w:r w:rsidR="000F17E5">
        <w:t xml:space="preserve"> Th</w:t>
      </w:r>
      <w:r w:rsidR="0031042B">
        <w:t>e</w:t>
      </w:r>
      <w:r w:rsidR="000F17E5">
        <w:t xml:space="preserve"> </w:t>
      </w:r>
      <w:r w:rsidR="0031042B">
        <w:t xml:space="preserve">consumer representative </w:t>
      </w:r>
      <w:r w:rsidR="000F17E5">
        <w:t xml:space="preserve">should be </w:t>
      </w:r>
      <w:r w:rsidR="0031042B">
        <w:t>reminded of this</w:t>
      </w:r>
      <w:r w:rsidR="000F17E5">
        <w:t xml:space="preserve"> after the review</w:t>
      </w:r>
      <w:r w:rsidR="005515E9">
        <w:t>,</w:t>
      </w:r>
      <w:r w:rsidR="000F17E5">
        <w:t xml:space="preserve"> via a verbal debrief</w:t>
      </w:r>
      <w:r w:rsidR="0024297A">
        <w:t>ing</w:t>
      </w:r>
      <w:r w:rsidR="000F17E5">
        <w:t xml:space="preserve">. </w:t>
      </w:r>
      <w:r w:rsidRPr="008A1A68">
        <w:t xml:space="preserve">  </w:t>
      </w:r>
    </w:p>
    <w:p w14:paraId="6224DF5D" w14:textId="2BF61251" w:rsidR="002F2C27" w:rsidRDefault="0061382E" w:rsidP="00996870">
      <w:r>
        <w:t xml:space="preserve">Consumer representatives should be supported by the health service to develop their incident review skills if they are interested </w:t>
      </w:r>
      <w:r w:rsidR="0024297A">
        <w:t>– f</w:t>
      </w:r>
      <w:r>
        <w:t>or example</w:t>
      </w:r>
      <w:r w:rsidR="0024297A">
        <w:t>,</w:t>
      </w:r>
      <w:r>
        <w:t xml:space="preserve"> </w:t>
      </w:r>
      <w:r w:rsidR="00BD01AB">
        <w:t>by encouraging them to</w:t>
      </w:r>
      <w:r>
        <w:t xml:space="preserve"> attend training or workshops.</w:t>
      </w:r>
    </w:p>
    <w:p w14:paraId="2EB303FD" w14:textId="77777777" w:rsidR="002F2684" w:rsidRDefault="002F2684" w:rsidP="00996870">
      <w:r>
        <w:br w:type="page"/>
      </w:r>
    </w:p>
    <w:p w14:paraId="24ACDC1A" w14:textId="77777777" w:rsidR="002F2684" w:rsidRDefault="002F2684" w:rsidP="00996870">
      <w:pPr>
        <w:sectPr w:rsidR="002F2684" w:rsidSect="002F2684">
          <w:type w:val="continuous"/>
          <w:pgSz w:w="11906" w:h="16838" w:code="9"/>
          <w:pgMar w:top="3402" w:right="851" w:bottom="1361" w:left="851" w:header="539" w:footer="624" w:gutter="0"/>
          <w:cols w:num="2" w:space="284"/>
          <w:docGrid w:linePitch="360"/>
        </w:sectPr>
      </w:pPr>
    </w:p>
    <w:p w14:paraId="24A3921C" w14:textId="63673F62" w:rsidR="00411985" w:rsidRPr="0033378B" w:rsidRDefault="00411985" w:rsidP="00AF01D0">
      <w:pPr>
        <w:pStyle w:val="Heading1numbered"/>
        <w:framePr w:w="10131" w:wrap="around"/>
        <w:rPr>
          <w:rFonts w:eastAsiaTheme="minorEastAsia"/>
        </w:rPr>
      </w:pPr>
      <w:r w:rsidRPr="00411985">
        <w:lastRenderedPageBreak/>
        <w:t>Appendix 1</w:t>
      </w:r>
      <w:r w:rsidR="0033378B" w:rsidRPr="0033378B">
        <w:rPr>
          <w:rFonts w:eastAsiaTheme="minorEastAsia"/>
        </w:rPr>
        <w:t xml:space="preserve"> </w:t>
      </w:r>
      <w:r w:rsidR="0033378B">
        <w:rPr>
          <w:rFonts w:eastAsiaTheme="minorEastAsia"/>
        </w:rPr>
        <w:t>Review team member roles</w:t>
      </w:r>
    </w:p>
    <w:p w14:paraId="30B874A0" w14:textId="2CB7354F" w:rsidR="00411985" w:rsidRDefault="00597261" w:rsidP="00AF01D0">
      <w:pPr>
        <w:pStyle w:val="Normalfollowingheading"/>
        <w:rPr>
          <w:b/>
          <w:bCs/>
          <w:iCs/>
        </w:rPr>
      </w:pPr>
      <w:r>
        <w:t>Having a</w:t>
      </w:r>
      <w:r w:rsidR="00411985" w:rsidRPr="00123F16">
        <w:t xml:space="preserve"> balanced and effective team is a key </w:t>
      </w:r>
      <w:r>
        <w:t>element of</w:t>
      </w:r>
      <w:r w:rsidR="00411985" w:rsidRPr="00123F16">
        <w:t xml:space="preserve"> a productive review.</w:t>
      </w:r>
      <w:r w:rsidR="00453C7C">
        <w:t xml:space="preserve"> Review teams should be formed in conjunction with </w:t>
      </w:r>
      <w:r w:rsidR="00453C7C" w:rsidRPr="00453C7C">
        <w:t>the executive sponso</w:t>
      </w:r>
      <w:r w:rsidR="009C28AF">
        <w:t>r</w:t>
      </w:r>
      <w:r w:rsidR="00807C76">
        <w:t xml:space="preserve"> and/or team leade</w:t>
      </w:r>
      <w:r w:rsidR="00453C7C" w:rsidRPr="00453C7C">
        <w:t>r.</w:t>
      </w:r>
    </w:p>
    <w:p w14:paraId="2F5EEEF9" w14:textId="77777777" w:rsidR="00411985" w:rsidRPr="003F2ED2" w:rsidRDefault="00411985" w:rsidP="00AF01D0">
      <w:pPr>
        <w:pStyle w:val="Heading3"/>
      </w:pPr>
      <w:r w:rsidRPr="003F2ED2">
        <w:t>Executive sponsor</w:t>
      </w:r>
    </w:p>
    <w:p w14:paraId="68029FEB" w14:textId="0B84DA04" w:rsidR="00411985" w:rsidRDefault="008E0A2B" w:rsidP="00AF01D0">
      <w:pPr>
        <w:pStyle w:val="Normalfollowingheading"/>
      </w:pPr>
      <w:r>
        <w:t>The executive sponsor is a</w:t>
      </w:r>
      <w:r w:rsidR="00411985">
        <w:t xml:space="preserve"> member of the health service</w:t>
      </w:r>
      <w:r w:rsidR="00BD01AB">
        <w:t>’</w:t>
      </w:r>
      <w:r w:rsidR="00411985">
        <w:t>s executive who is not an active member of the review team</w:t>
      </w:r>
      <w:r>
        <w:t>, and therefore does not</w:t>
      </w:r>
      <w:r w:rsidR="00411985">
        <w:t xml:space="preserve"> participate in review meetings.</w:t>
      </w:r>
    </w:p>
    <w:p w14:paraId="47BDF5ED" w14:textId="4D89AA0B" w:rsidR="00411985" w:rsidRDefault="00411985" w:rsidP="00996870">
      <w:r>
        <w:t>Their role includes</w:t>
      </w:r>
      <w:r w:rsidR="00BD01AB">
        <w:t>:</w:t>
      </w:r>
    </w:p>
    <w:p w14:paraId="5D907317" w14:textId="03C1440A" w:rsidR="00411985" w:rsidRPr="00BF411A" w:rsidRDefault="00411985" w:rsidP="00AF01D0">
      <w:pPr>
        <w:pStyle w:val="Bullet1"/>
      </w:pPr>
      <w:r w:rsidRPr="00BF411A">
        <w:t>support</w:t>
      </w:r>
      <w:r w:rsidR="00A43D2E" w:rsidRPr="00BF411A">
        <w:t>ing</w:t>
      </w:r>
      <w:r w:rsidRPr="00BF411A">
        <w:t xml:space="preserve"> resource allocation to the review</w:t>
      </w:r>
    </w:p>
    <w:p w14:paraId="0CFE4A63" w14:textId="6A339E07" w:rsidR="00A43D2E" w:rsidRPr="00BF411A" w:rsidRDefault="00BD01AB" w:rsidP="00AF01D0">
      <w:pPr>
        <w:pStyle w:val="Bullet1"/>
      </w:pPr>
      <w:r w:rsidRPr="00BF411A">
        <w:t xml:space="preserve">being </w:t>
      </w:r>
      <w:r w:rsidR="00411985" w:rsidRPr="00BF411A">
        <w:t xml:space="preserve">available </w:t>
      </w:r>
      <w:r w:rsidR="00A43D2E" w:rsidRPr="00BF411A">
        <w:t xml:space="preserve">as a </w:t>
      </w:r>
      <w:r w:rsidR="008E0A2B">
        <w:t xml:space="preserve">contact </w:t>
      </w:r>
      <w:r w:rsidR="00A43D2E" w:rsidRPr="00BF411A">
        <w:t xml:space="preserve">point </w:t>
      </w:r>
      <w:r w:rsidR="008E0A2B">
        <w:t>for</w:t>
      </w:r>
      <w:r w:rsidR="00A43D2E" w:rsidRPr="00BF411A">
        <w:t xml:space="preserve"> escalation</w:t>
      </w:r>
      <w:r w:rsidR="008E0A2B">
        <w:t xml:space="preserve"> of issues</w:t>
      </w:r>
    </w:p>
    <w:p w14:paraId="099C2C13" w14:textId="655B5981" w:rsidR="00411985" w:rsidRPr="00BF411A" w:rsidRDefault="00B21A48" w:rsidP="00AF01D0">
      <w:pPr>
        <w:pStyle w:val="Bullet1"/>
      </w:pPr>
      <w:r w:rsidRPr="00BF411A">
        <w:t>reduc</w:t>
      </w:r>
      <w:r w:rsidR="00A43D2E" w:rsidRPr="00BF411A">
        <w:t>ing</w:t>
      </w:r>
      <w:r w:rsidRPr="00BF411A">
        <w:t xml:space="preserve"> </w:t>
      </w:r>
      <w:r w:rsidR="00411985" w:rsidRPr="00BF411A">
        <w:t xml:space="preserve">barriers </w:t>
      </w:r>
      <w:r w:rsidR="008E0A2B">
        <w:t xml:space="preserve">to progress </w:t>
      </w:r>
      <w:r w:rsidR="00411985" w:rsidRPr="00BF411A">
        <w:t>during the review process</w:t>
      </w:r>
    </w:p>
    <w:p w14:paraId="47538BE6" w14:textId="7C859E86" w:rsidR="00411985" w:rsidRPr="00BF411A" w:rsidRDefault="00411985" w:rsidP="00AF01D0">
      <w:pPr>
        <w:pStyle w:val="Bullet1"/>
      </w:pPr>
      <w:r w:rsidRPr="00BF411A">
        <w:t>support</w:t>
      </w:r>
      <w:r w:rsidR="00B21A48" w:rsidRPr="00BF411A">
        <w:t>ing</w:t>
      </w:r>
      <w:r w:rsidRPr="00BF411A">
        <w:t xml:space="preserve"> the review team to complete the review, including </w:t>
      </w:r>
      <w:r w:rsidR="00B21A48" w:rsidRPr="00BF411A">
        <w:t>formulating</w:t>
      </w:r>
      <w:r w:rsidRPr="00BF411A">
        <w:t xml:space="preserve"> recommendations and shar</w:t>
      </w:r>
      <w:r w:rsidR="00B21A48" w:rsidRPr="00BF411A">
        <w:t>ing</w:t>
      </w:r>
      <w:r w:rsidRPr="00BF411A">
        <w:t xml:space="preserve"> learning.</w:t>
      </w:r>
    </w:p>
    <w:p w14:paraId="6B2ADCD4" w14:textId="77777777" w:rsidR="00411985" w:rsidRPr="003F2ED2" w:rsidRDefault="00411985" w:rsidP="00AF01D0">
      <w:pPr>
        <w:pStyle w:val="Heading3"/>
      </w:pPr>
      <w:r>
        <w:t>T</w:t>
      </w:r>
      <w:r w:rsidRPr="003F2ED2">
        <w:t xml:space="preserve">eam </w:t>
      </w:r>
      <w:r>
        <w:t>l</w:t>
      </w:r>
      <w:r w:rsidRPr="003F2ED2">
        <w:t>eader</w:t>
      </w:r>
    </w:p>
    <w:p w14:paraId="6666AEE5" w14:textId="02AC756B" w:rsidR="00411985" w:rsidRDefault="00453C7C" w:rsidP="00AF01D0">
      <w:pPr>
        <w:pStyle w:val="Normalfollowingheading"/>
      </w:pPr>
      <w:r>
        <w:t>The team leader is often an</w:t>
      </w:r>
      <w:r w:rsidR="000E61E3">
        <w:t xml:space="preserve"> employee of the health service</w:t>
      </w:r>
      <w:r w:rsidR="00411985">
        <w:t xml:space="preserve"> (</w:t>
      </w:r>
      <w:r w:rsidR="008E0A2B">
        <w:t xml:space="preserve">such as a </w:t>
      </w:r>
      <w:r w:rsidR="00411985">
        <w:t xml:space="preserve">manager, nurse, midwife, </w:t>
      </w:r>
      <w:r w:rsidR="00663DB7">
        <w:t>engineer,</w:t>
      </w:r>
      <w:r w:rsidR="00411985">
        <w:t xml:space="preserve"> doctor</w:t>
      </w:r>
      <w:r w:rsidR="004A17DE">
        <w:t xml:space="preserve"> or</w:t>
      </w:r>
      <w:r w:rsidR="00411985" w:rsidRPr="0031042B">
        <w:t xml:space="preserve"> </w:t>
      </w:r>
      <w:r w:rsidR="00411985">
        <w:t>consumer representative).</w:t>
      </w:r>
    </w:p>
    <w:p w14:paraId="0C506707" w14:textId="09BC3E27" w:rsidR="00411985" w:rsidRDefault="00411985" w:rsidP="00996870">
      <w:r>
        <w:t>Their role in the review includes</w:t>
      </w:r>
      <w:r w:rsidR="00B21A48">
        <w:t>:</w:t>
      </w:r>
    </w:p>
    <w:p w14:paraId="038D373C" w14:textId="2AA8EE10" w:rsidR="00411985" w:rsidRPr="00BF411A" w:rsidRDefault="00411985" w:rsidP="00AF01D0">
      <w:pPr>
        <w:pStyle w:val="Bullet1"/>
      </w:pPr>
      <w:r w:rsidRPr="00BF411A">
        <w:t>chairing the review team meetings</w:t>
      </w:r>
    </w:p>
    <w:p w14:paraId="5B8CBB68" w14:textId="2908A327" w:rsidR="00411985" w:rsidRPr="00BF411A" w:rsidRDefault="00411985" w:rsidP="00AF01D0">
      <w:pPr>
        <w:pStyle w:val="Bullet1"/>
      </w:pPr>
      <w:r w:rsidRPr="00BF411A">
        <w:t xml:space="preserve">informing the team of the ‘rules of engagement’ </w:t>
      </w:r>
      <w:r w:rsidR="008E0A2B">
        <w:t xml:space="preserve">(for example, confirming </w:t>
      </w:r>
      <w:r w:rsidRPr="00BF411A">
        <w:t xml:space="preserve">every team member has a voice, </w:t>
      </w:r>
      <w:r w:rsidR="008E0A2B">
        <w:t xml:space="preserve">and must </w:t>
      </w:r>
      <w:r w:rsidRPr="00BF411A">
        <w:t>active</w:t>
      </w:r>
      <w:r w:rsidR="008E0A2B">
        <w:t>ly</w:t>
      </w:r>
      <w:r w:rsidRPr="00BF411A">
        <w:t xml:space="preserve"> listen</w:t>
      </w:r>
      <w:r w:rsidR="008E0A2B">
        <w:t xml:space="preserve"> to others</w:t>
      </w:r>
      <w:r w:rsidRPr="00BF411A">
        <w:t>)</w:t>
      </w:r>
    </w:p>
    <w:p w14:paraId="40FE70FA" w14:textId="6A9E75C3" w:rsidR="00411985" w:rsidRPr="00BF411A" w:rsidRDefault="00411985" w:rsidP="00AF01D0">
      <w:pPr>
        <w:pStyle w:val="Bullet1"/>
      </w:pPr>
      <w:r w:rsidRPr="00BF411A">
        <w:t xml:space="preserve">ensuring </w:t>
      </w:r>
      <w:r w:rsidR="008E0A2B">
        <w:t xml:space="preserve">adherence to </w:t>
      </w:r>
      <w:r w:rsidRPr="00BF411A">
        <w:t>the methodology of the review</w:t>
      </w:r>
    </w:p>
    <w:p w14:paraId="7C410BBF" w14:textId="5C18A3DD" w:rsidR="00411985" w:rsidRPr="00BF411A" w:rsidRDefault="00411985" w:rsidP="00AF01D0">
      <w:pPr>
        <w:pStyle w:val="Bullet1"/>
      </w:pPr>
      <w:r w:rsidRPr="00BF411A">
        <w:t xml:space="preserve">ensuring any issues arising from the review are </w:t>
      </w:r>
      <w:r w:rsidR="008E0A2B">
        <w:t>escalated</w:t>
      </w:r>
      <w:r w:rsidRPr="00BF411A">
        <w:t xml:space="preserve"> accordingly.</w:t>
      </w:r>
    </w:p>
    <w:p w14:paraId="666C91ED" w14:textId="0AF77536" w:rsidR="00411985" w:rsidRPr="003F2ED2" w:rsidRDefault="00AF01D0" w:rsidP="00AF01D0">
      <w:pPr>
        <w:pStyle w:val="Heading3"/>
      </w:pPr>
      <w:r>
        <w:br w:type="column"/>
      </w:r>
      <w:r w:rsidR="004A17DE">
        <w:t>F</w:t>
      </w:r>
      <w:r w:rsidR="00411985" w:rsidRPr="00453C7C">
        <w:t>acilitator</w:t>
      </w:r>
    </w:p>
    <w:p w14:paraId="44F294C6" w14:textId="77777777" w:rsidR="007936A6" w:rsidRDefault="00411985" w:rsidP="007936A6">
      <w:pPr>
        <w:pStyle w:val="Normalfollowingheading"/>
        <w:spacing w:after="120" w:line="260" w:lineRule="atLeast"/>
      </w:pPr>
      <w:r>
        <w:t>The facilitator is often a quality and safety professional.</w:t>
      </w:r>
      <w:r w:rsidR="007936A6">
        <w:t xml:space="preserve"> </w:t>
      </w:r>
    </w:p>
    <w:p w14:paraId="6B6564A6" w14:textId="5B86297D" w:rsidR="00411985" w:rsidRDefault="00411985" w:rsidP="007936A6">
      <w:pPr>
        <w:pStyle w:val="Normalfollowingheading"/>
        <w:spacing w:after="120" w:line="260" w:lineRule="atLeast"/>
      </w:pPr>
      <w:r>
        <w:t>Their role in the review includes</w:t>
      </w:r>
      <w:r w:rsidR="00B21A48">
        <w:t>:</w:t>
      </w:r>
    </w:p>
    <w:p w14:paraId="2BD32E37" w14:textId="0BBE0AA9" w:rsidR="00411985" w:rsidRPr="00BF411A" w:rsidRDefault="00411985" w:rsidP="007936A6">
      <w:pPr>
        <w:pStyle w:val="Bullet1"/>
        <w:spacing w:line="260" w:lineRule="atLeast"/>
      </w:pPr>
      <w:r w:rsidRPr="00BF411A">
        <w:t>coordinating formation of the team in conjunction with the</w:t>
      </w:r>
      <w:r w:rsidR="009C28AF">
        <w:t xml:space="preserve"> executive sponsor and/or</w:t>
      </w:r>
      <w:r w:rsidRPr="00BF411A">
        <w:t xml:space="preserve"> team leader</w:t>
      </w:r>
    </w:p>
    <w:p w14:paraId="5FA0BBD6" w14:textId="7ED5B9CB" w:rsidR="00411985" w:rsidRPr="00BF411A" w:rsidRDefault="00411985" w:rsidP="007936A6">
      <w:pPr>
        <w:pStyle w:val="Bullet1"/>
        <w:spacing w:line="260" w:lineRule="atLeast"/>
      </w:pPr>
      <w:r w:rsidRPr="00BF411A">
        <w:t>coordinating logistics of the review such as team meetings</w:t>
      </w:r>
      <w:r w:rsidR="008E0A2B">
        <w:t xml:space="preserve"> and schedules</w:t>
      </w:r>
    </w:p>
    <w:p w14:paraId="3452E200" w14:textId="56E9A40E" w:rsidR="00411985" w:rsidRPr="00BF411A" w:rsidRDefault="00411985" w:rsidP="007936A6">
      <w:pPr>
        <w:pStyle w:val="Bullet1"/>
        <w:spacing w:line="260" w:lineRule="atLeast"/>
      </w:pPr>
      <w:r w:rsidRPr="00BF411A">
        <w:t>gathering relevant information (e.g. patient histories, policies and procedures</w:t>
      </w:r>
      <w:r w:rsidR="00DA130E">
        <w:t xml:space="preserve"> and</w:t>
      </w:r>
      <w:r w:rsidRPr="00BF411A">
        <w:t xml:space="preserve"> interviews)</w:t>
      </w:r>
      <w:r w:rsidR="00DA130E">
        <w:t>.</w:t>
      </w:r>
    </w:p>
    <w:p w14:paraId="6AB4EAFF" w14:textId="5D21D578" w:rsidR="00411985" w:rsidRPr="00BF411A" w:rsidRDefault="00411985" w:rsidP="007936A6">
      <w:pPr>
        <w:pStyle w:val="Bullet1"/>
        <w:spacing w:line="260" w:lineRule="atLeast"/>
      </w:pPr>
      <w:r w:rsidRPr="00BF411A">
        <w:t>sharing relevant information with review team members</w:t>
      </w:r>
    </w:p>
    <w:p w14:paraId="39A8200A" w14:textId="42827C11" w:rsidR="00411985" w:rsidRPr="00BF411A" w:rsidRDefault="00FA0DBA" w:rsidP="007936A6">
      <w:pPr>
        <w:pStyle w:val="Bullet1"/>
        <w:spacing w:line="260" w:lineRule="atLeast"/>
      </w:pPr>
      <w:r>
        <w:t>c</w:t>
      </w:r>
      <w:r w:rsidR="00411985" w:rsidRPr="00BF411A">
        <w:t>ollati</w:t>
      </w:r>
      <w:r w:rsidR="00DA130E">
        <w:t>ng</w:t>
      </w:r>
      <w:r w:rsidR="00411985" w:rsidRPr="00BF411A">
        <w:t xml:space="preserve"> the review report.</w:t>
      </w:r>
    </w:p>
    <w:p w14:paraId="01E1EC97" w14:textId="77777777" w:rsidR="00411985" w:rsidRPr="003F2ED2" w:rsidRDefault="00411985" w:rsidP="00AF01D0">
      <w:pPr>
        <w:pStyle w:val="Heading3"/>
      </w:pPr>
      <w:r w:rsidRPr="00453C7C">
        <w:t>Team member</w:t>
      </w:r>
    </w:p>
    <w:p w14:paraId="533DFEDF" w14:textId="77EB2D33" w:rsidR="00411985" w:rsidRDefault="00411985" w:rsidP="007936A6">
      <w:pPr>
        <w:pStyle w:val="Normalfollowingheading"/>
        <w:spacing w:line="260" w:lineRule="atLeast"/>
      </w:pPr>
      <w:r>
        <w:t>Team members are individuals who may or may not be employed by the health service. They can hold any rol</w:t>
      </w:r>
      <w:r w:rsidR="008E0A2B">
        <w:t xml:space="preserve">e, including </w:t>
      </w:r>
      <w:r>
        <w:t>manager, nurse, midwife, engineer,</w:t>
      </w:r>
      <w:r w:rsidR="008E0A2B">
        <w:t xml:space="preserve"> </w:t>
      </w:r>
      <w:r>
        <w:t>doctor</w:t>
      </w:r>
      <w:r w:rsidR="008E0A2B">
        <w:t xml:space="preserve"> or</w:t>
      </w:r>
      <w:r>
        <w:t xml:space="preserve"> consumer representative.</w:t>
      </w:r>
    </w:p>
    <w:p w14:paraId="0C679CB1" w14:textId="2E221397" w:rsidR="00411985" w:rsidRDefault="00411985" w:rsidP="007936A6">
      <w:pPr>
        <w:spacing w:line="260" w:lineRule="atLeast"/>
      </w:pPr>
      <w:r>
        <w:t>Their role in the review includes</w:t>
      </w:r>
      <w:r w:rsidR="00B21A48">
        <w:t>:</w:t>
      </w:r>
    </w:p>
    <w:p w14:paraId="7DF2D716" w14:textId="7E0A84BF" w:rsidR="00411985" w:rsidRPr="00BF411A" w:rsidRDefault="00411985" w:rsidP="007936A6">
      <w:pPr>
        <w:pStyle w:val="Bullet1"/>
        <w:spacing w:line="260" w:lineRule="atLeast"/>
      </w:pPr>
      <w:r w:rsidRPr="00BF411A">
        <w:t>actively participating in the review process (</w:t>
      </w:r>
      <w:r w:rsidR="008E0A2B">
        <w:t xml:space="preserve">including </w:t>
      </w:r>
      <w:r w:rsidRPr="00BF411A">
        <w:t xml:space="preserve">reading </w:t>
      </w:r>
      <w:r w:rsidR="008E0A2B">
        <w:t xml:space="preserve">and analysing </w:t>
      </w:r>
      <w:r w:rsidRPr="00BF411A">
        <w:t>relevant information</w:t>
      </w:r>
      <w:r w:rsidR="008E0A2B">
        <w:t>)</w:t>
      </w:r>
    </w:p>
    <w:p w14:paraId="68326E50" w14:textId="5E27274A" w:rsidR="00411985" w:rsidRPr="00BF411A" w:rsidRDefault="00411985" w:rsidP="007936A6">
      <w:pPr>
        <w:pStyle w:val="Bullet1"/>
        <w:spacing w:line="260" w:lineRule="atLeast"/>
      </w:pPr>
      <w:r w:rsidRPr="00BF411A">
        <w:t>adhering to the agreed rules of engagement of the team</w:t>
      </w:r>
    </w:p>
    <w:p w14:paraId="71BECEB2" w14:textId="1F1B3C18" w:rsidR="00411985" w:rsidRPr="00BF411A" w:rsidRDefault="00411985" w:rsidP="007936A6">
      <w:pPr>
        <w:pStyle w:val="Bullet1"/>
        <w:spacing w:line="260" w:lineRule="atLeast"/>
      </w:pPr>
      <w:r w:rsidRPr="00BF411A">
        <w:t>bringing their expertise to the review team (clinical, management, health service, consumer etc.)</w:t>
      </w:r>
      <w:r w:rsidR="00B21A48" w:rsidRPr="00BF411A">
        <w:t>.</w:t>
      </w:r>
    </w:p>
    <w:p w14:paraId="400C887C" w14:textId="77777777" w:rsidR="00411985" w:rsidRDefault="00411985" w:rsidP="007936A6">
      <w:pPr>
        <w:spacing w:line="260" w:lineRule="atLeast"/>
      </w:pPr>
      <w:r>
        <w:t>Additional responsibilities of specific team members include:</w:t>
      </w:r>
    </w:p>
    <w:p w14:paraId="3BDCE6C5" w14:textId="47B230C0" w:rsidR="00411985" w:rsidRPr="001B4092" w:rsidRDefault="00411985" w:rsidP="007936A6">
      <w:pPr>
        <w:pStyle w:val="Bullet1"/>
        <w:spacing w:line="260" w:lineRule="atLeast"/>
      </w:pPr>
      <w:r w:rsidRPr="0075323F">
        <w:rPr>
          <w:b/>
        </w:rPr>
        <w:t>Consumer representatives</w:t>
      </w:r>
      <w:r w:rsidR="00A16300" w:rsidRPr="0075323F">
        <w:rPr>
          <w:b/>
        </w:rPr>
        <w:t>:</w:t>
      </w:r>
      <w:r w:rsidR="00A16300">
        <w:t xml:space="preserve"> </w:t>
      </w:r>
      <w:r w:rsidR="004A4713">
        <w:t>p</w:t>
      </w:r>
      <w:r w:rsidRPr="001B4092">
        <w:t>rovi</w:t>
      </w:r>
      <w:r>
        <w:t>de</w:t>
      </w:r>
      <w:r w:rsidRPr="001B4092">
        <w:t xml:space="preserve"> a patient, family or carer perspective</w:t>
      </w:r>
      <w:r w:rsidR="007936A6">
        <w:t>.</w:t>
      </w:r>
    </w:p>
    <w:p w14:paraId="72EC6284" w14:textId="5FDBEAF0" w:rsidR="00727C45" w:rsidRPr="00411985" w:rsidRDefault="00411985" w:rsidP="007936A6">
      <w:pPr>
        <w:pStyle w:val="Bullet1"/>
        <w:spacing w:line="260" w:lineRule="atLeast"/>
      </w:pPr>
      <w:r w:rsidRPr="001B4092">
        <w:rPr>
          <w:b/>
        </w:rPr>
        <w:t>External members</w:t>
      </w:r>
      <w:r w:rsidR="00A16300">
        <w:rPr>
          <w:b/>
        </w:rPr>
        <w:t>:</w:t>
      </w:r>
      <w:r w:rsidRPr="001B4092">
        <w:t xml:space="preserve"> </w:t>
      </w:r>
      <w:r w:rsidRPr="0073505E">
        <w:t>provid</w:t>
      </w:r>
      <w:r>
        <w:t>e</w:t>
      </w:r>
      <w:r w:rsidRPr="0073505E">
        <w:t xml:space="preserve"> a </w:t>
      </w:r>
      <w:r>
        <w:t>clear and</w:t>
      </w:r>
      <w:r w:rsidRPr="0073505E">
        <w:t xml:space="preserve"> objective </w:t>
      </w:r>
      <w:r>
        <w:t>perspective on the information presented. They do not have current employment or an association with the health service where the event occurred.</w:t>
      </w:r>
    </w:p>
    <w:p w14:paraId="4450A512" w14:textId="77777777" w:rsidR="00727C45" w:rsidRDefault="00727C45" w:rsidP="00996870">
      <w:r>
        <w:rPr>
          <w:lang w:val="en-US"/>
        </w:rPr>
        <w:lastRenderedPageBreak/>
        <w:drawing>
          <wp:anchor distT="0" distB="0" distL="114300" distR="114300" simplePos="0" relativeHeight="251663360" behindDoc="1" locked="0" layoutInCell="1" allowOverlap="1" wp14:anchorId="222BFD0D" wp14:editId="0C97A2FC">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123F16">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C077D" w14:textId="77777777" w:rsidR="00807C76" w:rsidRDefault="00807C76" w:rsidP="00996870">
      <w:r>
        <w:separator/>
      </w:r>
    </w:p>
  </w:endnote>
  <w:endnote w:type="continuationSeparator" w:id="0">
    <w:p w14:paraId="349709D8" w14:textId="77777777" w:rsidR="00807C76" w:rsidRDefault="00807C76" w:rsidP="0099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A1CD" w14:textId="3E91DF9A" w:rsidR="00807C76" w:rsidRDefault="00807C76" w:rsidP="00996870">
    <w:pPr>
      <w:pStyle w:val="FooterEven"/>
      <w:framePr w:wrap="around"/>
    </w:pPr>
    <w:r>
      <w:rPr>
        <w:noProof w:val="0"/>
      </w:rPr>
      <w:fldChar w:fldCharType="begin"/>
    </w:r>
    <w:r>
      <w:instrText xml:space="preserve"> PAGE   \* MERGEFORMAT </w:instrText>
    </w:r>
    <w:r>
      <w:rPr>
        <w:noProof w:val="0"/>
      </w:rPr>
      <w:fldChar w:fldCharType="separate"/>
    </w:r>
    <w:r>
      <w:t>16</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rsidR="00B97B16">
          <w:t>Consumer representative involvement in adverse event reviews: a guide for health services</w:t>
        </w:r>
      </w:sdtContent>
    </w:sdt>
    <w:r>
      <w:t xml:space="preserve"> </w:t>
    </w:r>
    <w:r>
      <w:rPr>
        <w:lang w:val="en-US"/>
      </w:rPr>
      <w:drawing>
        <wp:anchor distT="0" distB="0" distL="114300" distR="114300" simplePos="0" relativeHeight="251657216" behindDoc="0" locked="0" layoutInCell="1" allowOverlap="1" wp14:anchorId="365E13EF" wp14:editId="522F95A2">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2A401E26" w14:textId="77777777" w:rsidR="00807C76" w:rsidRPr="002A5891" w:rsidRDefault="00807C76" w:rsidP="00996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68E9" w14:textId="48936395" w:rsidR="00807C76" w:rsidRDefault="00AB6DB4" w:rsidP="00996870">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B97B16">
          <w:t>Consumer representative involvement in adverse event reviews: a guide for health services</w:t>
        </w:r>
      </w:sdtContent>
    </w:sdt>
    <w:r w:rsidR="00807C76">
      <w:t> </w:t>
    </w:r>
    <w:r w:rsidR="00807C76">
      <w:t> </w:t>
    </w:r>
    <w:r w:rsidR="00807C76" w:rsidRPr="0097403D">
      <w:rPr>
        <w:b/>
      </w:rPr>
      <w:t>Safer Care Victoria</w:t>
    </w:r>
    <w:r w:rsidR="00807C76">
      <w:t> </w:t>
    </w:r>
    <w:r w:rsidR="00807C76">
      <w:t> </w:t>
    </w:r>
    <w:r w:rsidR="00807C76">
      <w:rPr>
        <w:noProof w:val="0"/>
      </w:rPr>
      <w:fldChar w:fldCharType="begin"/>
    </w:r>
    <w:r w:rsidR="00807C76">
      <w:instrText xml:space="preserve"> PAGE   \* MERGEFORMAT </w:instrText>
    </w:r>
    <w:r w:rsidR="00807C76">
      <w:rPr>
        <w:noProof w:val="0"/>
      </w:rPr>
      <w:fldChar w:fldCharType="separate"/>
    </w:r>
    <w:r w:rsidR="00807C76">
      <w:t>17</w:t>
    </w:r>
    <w:r w:rsidR="00807C76">
      <w:fldChar w:fldCharType="end"/>
    </w:r>
  </w:p>
  <w:p w14:paraId="0FA07A34" w14:textId="77777777" w:rsidR="00807C76" w:rsidRPr="002A5891" w:rsidRDefault="00807C76" w:rsidP="00996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8F03" w14:textId="77777777" w:rsidR="00807C76" w:rsidRDefault="00807C76" w:rsidP="009968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5AAB" w14:textId="77777777" w:rsidR="00807C76" w:rsidRDefault="00807C76" w:rsidP="00996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FBAE4" w14:textId="77777777" w:rsidR="00807C76" w:rsidRDefault="00807C76" w:rsidP="00996870"/>
  </w:footnote>
  <w:footnote w:type="continuationSeparator" w:id="0">
    <w:p w14:paraId="1732F0F2" w14:textId="77777777" w:rsidR="00807C76" w:rsidRDefault="00807C76" w:rsidP="00996870"/>
  </w:footnote>
  <w:footnote w:id="1">
    <w:p w14:paraId="0AB7DE5B" w14:textId="47CB3D4D" w:rsidR="00807C76" w:rsidRDefault="00807C76" w:rsidP="00996870">
      <w:pPr>
        <w:pStyle w:val="FootnoteText"/>
      </w:pPr>
      <w:r w:rsidRPr="00881D4F">
        <w:rPr>
          <w:rStyle w:val="FootnoteReference"/>
          <w:sz w:val="18"/>
          <w:szCs w:val="18"/>
        </w:rPr>
        <w:footnoteRef/>
      </w:r>
      <w:r w:rsidRPr="00881D4F">
        <w:t xml:space="preserve"> Sentinel events</w:t>
      </w:r>
      <w:r>
        <w:t xml:space="preserve"> are adverse events which meet specific criteria - being unexpected events that result in death or serious harm to a patient while in the care of a health service. In Victoria sentinel events must be reported to Safer Care Victoria.</w:t>
      </w:r>
    </w:p>
    <w:p w14:paraId="5AFB91AE" w14:textId="0010B0D5" w:rsidR="00996870" w:rsidRDefault="00996870" w:rsidP="00996870">
      <w:pPr>
        <w:pStyle w:val="FootnoteText"/>
      </w:pPr>
    </w:p>
    <w:p w14:paraId="1B5C8F15" w14:textId="77777777" w:rsidR="00996870" w:rsidRPr="00881D4F" w:rsidRDefault="00996870" w:rsidP="0099687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FDD32" w14:textId="138F4D1E" w:rsidR="00807C76" w:rsidRDefault="00807C76" w:rsidP="00996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700F" w14:textId="08736EFF" w:rsidR="00807C76" w:rsidRDefault="00807C76" w:rsidP="00996870">
    <w:pPr>
      <w:pStyle w:val="Header"/>
    </w:pPr>
    <w:r>
      <w:rPr>
        <w:lang w:val="en-US"/>
      </w:rPr>
      <w:drawing>
        <wp:anchor distT="0" distB="0" distL="114300" distR="114300" simplePos="0" relativeHeight="251656192" behindDoc="1" locked="0" layoutInCell="1" allowOverlap="1" wp14:anchorId="77C1A938" wp14:editId="5B85C832">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78E9" w14:textId="0750CC84" w:rsidR="00807C76" w:rsidRDefault="00807C76" w:rsidP="0023694D">
    <w:pPr>
      <w:pStyle w:val="NoSpacing"/>
    </w:pPr>
    <w:r>
      <w:rPr>
        <w:noProof/>
        <w:lang w:val="en-US" w:eastAsia="en-US"/>
      </w:rPr>
      <w:drawing>
        <wp:anchor distT="0" distB="0" distL="114300" distR="114300" simplePos="0" relativeHeight="251658240" behindDoc="1" locked="0" layoutInCell="1" allowOverlap="1" wp14:anchorId="068C5194" wp14:editId="5022598E">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9DE6" w14:textId="77777777" w:rsidR="00807C76" w:rsidRDefault="00807C76"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D2091B"/>
    <w:multiLevelType w:val="hybridMultilevel"/>
    <w:tmpl w:val="F44CA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90D32"/>
    <w:multiLevelType w:val="hybridMultilevel"/>
    <w:tmpl w:val="C544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F14837"/>
    <w:multiLevelType w:val="hybridMultilevel"/>
    <w:tmpl w:val="4C06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20C62"/>
    <w:multiLevelType w:val="hybridMultilevel"/>
    <w:tmpl w:val="57F60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35718"/>
    <w:multiLevelType w:val="hybridMultilevel"/>
    <w:tmpl w:val="62B4F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CE7AAC"/>
    <w:multiLevelType w:val="hybridMultilevel"/>
    <w:tmpl w:val="C6FE74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C6318C2"/>
    <w:multiLevelType w:val="hybridMultilevel"/>
    <w:tmpl w:val="FA5666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DE277C1"/>
    <w:multiLevelType w:val="hybridMultilevel"/>
    <w:tmpl w:val="15E8C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32C0F"/>
    <w:multiLevelType w:val="hybridMultilevel"/>
    <w:tmpl w:val="D5E6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pStyle w:val="Heading2numbered"/>
      <w:suff w:val="space"/>
      <w:lvlText w:val="%1.%2"/>
      <w:lvlJc w:val="left"/>
      <w:pPr>
        <w:ind w:left="709"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2" w15:restartNumberingAfterBreak="0">
    <w:nsid w:val="393A12AA"/>
    <w:multiLevelType w:val="multilevel"/>
    <w:tmpl w:val="D896873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395A6CB3"/>
    <w:multiLevelType w:val="hybridMultilevel"/>
    <w:tmpl w:val="DB84D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284D81"/>
    <w:multiLevelType w:val="hybridMultilevel"/>
    <w:tmpl w:val="F26A5A42"/>
    <w:lvl w:ilvl="0" w:tplc="B010E53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31D9E"/>
    <w:multiLevelType w:val="hybridMultilevel"/>
    <w:tmpl w:val="C37E3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5329F6"/>
    <w:multiLevelType w:val="hybridMultilevel"/>
    <w:tmpl w:val="E11C7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D721C"/>
    <w:multiLevelType w:val="hybridMultilevel"/>
    <w:tmpl w:val="DF20631A"/>
    <w:lvl w:ilvl="0" w:tplc="35626596">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0" w15:restartNumberingAfterBreak="0">
    <w:nsid w:val="45365CCB"/>
    <w:multiLevelType w:val="hybridMultilevel"/>
    <w:tmpl w:val="413E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57571"/>
    <w:multiLevelType w:val="hybridMultilevel"/>
    <w:tmpl w:val="6C1E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57471F"/>
    <w:multiLevelType w:val="hybridMultilevel"/>
    <w:tmpl w:val="C57A6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F93B80"/>
    <w:multiLevelType w:val="hybridMultilevel"/>
    <w:tmpl w:val="DCA6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11CA3"/>
    <w:multiLevelType w:val="hybridMultilevel"/>
    <w:tmpl w:val="BBBCC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84CD8"/>
    <w:multiLevelType w:val="hybridMultilevel"/>
    <w:tmpl w:val="D97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A3965"/>
    <w:multiLevelType w:val="hybridMultilevel"/>
    <w:tmpl w:val="264ED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EC4408"/>
    <w:multiLevelType w:val="hybridMultilevel"/>
    <w:tmpl w:val="5B04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F0CBB"/>
    <w:multiLevelType w:val="hybridMultilevel"/>
    <w:tmpl w:val="36F4B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D1589"/>
    <w:multiLevelType w:val="hybridMultilevel"/>
    <w:tmpl w:val="9B2A3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5B2F3A"/>
    <w:multiLevelType w:val="hybridMultilevel"/>
    <w:tmpl w:val="7FFA3D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13928"/>
    <w:multiLevelType w:val="hybridMultilevel"/>
    <w:tmpl w:val="C338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C947AE"/>
    <w:multiLevelType w:val="hybridMultilevel"/>
    <w:tmpl w:val="5E3471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EB03E3E"/>
    <w:multiLevelType w:val="hybridMultilevel"/>
    <w:tmpl w:val="3438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1B651E"/>
    <w:multiLevelType w:val="hybridMultilevel"/>
    <w:tmpl w:val="F906E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3D3A44"/>
    <w:multiLevelType w:val="hybridMultilevel"/>
    <w:tmpl w:val="FBAC7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9F5271"/>
    <w:multiLevelType w:val="hybridMultilevel"/>
    <w:tmpl w:val="1EE6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4830ED"/>
    <w:multiLevelType w:val="hybridMultilevel"/>
    <w:tmpl w:val="52608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A80F11"/>
    <w:multiLevelType w:val="hybridMultilevel"/>
    <w:tmpl w:val="4894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591360"/>
    <w:multiLevelType w:val="hybridMultilevel"/>
    <w:tmpl w:val="E996D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3905B2"/>
    <w:multiLevelType w:val="hybridMultilevel"/>
    <w:tmpl w:val="4C06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186E24"/>
    <w:multiLevelType w:val="multilevel"/>
    <w:tmpl w:val="4F0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BD5759"/>
    <w:multiLevelType w:val="hybridMultilevel"/>
    <w:tmpl w:val="60062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EE1604"/>
    <w:multiLevelType w:val="hybridMultilevel"/>
    <w:tmpl w:val="7AC8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607872"/>
    <w:multiLevelType w:val="hybridMultilevel"/>
    <w:tmpl w:val="F7BC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FA1590"/>
    <w:multiLevelType w:val="hybridMultilevel"/>
    <w:tmpl w:val="15F6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5434A"/>
    <w:multiLevelType w:val="hybridMultilevel"/>
    <w:tmpl w:val="654EBBBE"/>
    <w:lvl w:ilvl="0" w:tplc="E466D616">
      <w:start w:val="1"/>
      <w:numFmt w:val="bullet"/>
      <w:lvlText w:val="•"/>
      <w:lvlJc w:val="left"/>
      <w:pPr>
        <w:tabs>
          <w:tab w:val="num" w:pos="720"/>
        </w:tabs>
        <w:ind w:left="720" w:hanging="360"/>
      </w:pPr>
      <w:rPr>
        <w:rFonts w:ascii="Arial" w:hAnsi="Arial" w:hint="default"/>
      </w:rPr>
    </w:lvl>
    <w:lvl w:ilvl="1" w:tplc="80804AF0">
      <w:start w:val="1"/>
      <w:numFmt w:val="bullet"/>
      <w:lvlText w:val="•"/>
      <w:lvlJc w:val="left"/>
      <w:pPr>
        <w:tabs>
          <w:tab w:val="num" w:pos="1440"/>
        </w:tabs>
        <w:ind w:left="1440" w:hanging="360"/>
      </w:pPr>
      <w:rPr>
        <w:rFonts w:ascii="Arial" w:hAnsi="Arial" w:hint="default"/>
      </w:rPr>
    </w:lvl>
    <w:lvl w:ilvl="2" w:tplc="6BC61E9A">
      <w:start w:val="1"/>
      <w:numFmt w:val="bullet"/>
      <w:lvlText w:val="•"/>
      <w:lvlJc w:val="left"/>
      <w:pPr>
        <w:tabs>
          <w:tab w:val="num" w:pos="2160"/>
        </w:tabs>
        <w:ind w:left="2160" w:hanging="360"/>
      </w:pPr>
      <w:rPr>
        <w:rFonts w:ascii="Arial" w:hAnsi="Arial" w:hint="default"/>
      </w:rPr>
    </w:lvl>
    <w:lvl w:ilvl="3" w:tplc="4716A160">
      <w:start w:val="1"/>
      <w:numFmt w:val="bullet"/>
      <w:lvlText w:val="•"/>
      <w:lvlJc w:val="left"/>
      <w:pPr>
        <w:tabs>
          <w:tab w:val="num" w:pos="2880"/>
        </w:tabs>
        <w:ind w:left="2880" w:hanging="360"/>
      </w:pPr>
      <w:rPr>
        <w:rFonts w:ascii="Arial" w:hAnsi="Arial" w:hint="default"/>
      </w:rPr>
    </w:lvl>
    <w:lvl w:ilvl="4" w:tplc="46709202" w:tentative="1">
      <w:start w:val="1"/>
      <w:numFmt w:val="bullet"/>
      <w:lvlText w:val="•"/>
      <w:lvlJc w:val="left"/>
      <w:pPr>
        <w:tabs>
          <w:tab w:val="num" w:pos="3600"/>
        </w:tabs>
        <w:ind w:left="3600" w:hanging="360"/>
      </w:pPr>
      <w:rPr>
        <w:rFonts w:ascii="Arial" w:hAnsi="Arial" w:hint="default"/>
      </w:rPr>
    </w:lvl>
    <w:lvl w:ilvl="5" w:tplc="DD80F320" w:tentative="1">
      <w:start w:val="1"/>
      <w:numFmt w:val="bullet"/>
      <w:lvlText w:val="•"/>
      <w:lvlJc w:val="left"/>
      <w:pPr>
        <w:tabs>
          <w:tab w:val="num" w:pos="4320"/>
        </w:tabs>
        <w:ind w:left="4320" w:hanging="360"/>
      </w:pPr>
      <w:rPr>
        <w:rFonts w:ascii="Arial" w:hAnsi="Arial" w:hint="default"/>
      </w:rPr>
    </w:lvl>
    <w:lvl w:ilvl="6" w:tplc="D284B202" w:tentative="1">
      <w:start w:val="1"/>
      <w:numFmt w:val="bullet"/>
      <w:lvlText w:val="•"/>
      <w:lvlJc w:val="left"/>
      <w:pPr>
        <w:tabs>
          <w:tab w:val="num" w:pos="5040"/>
        </w:tabs>
        <w:ind w:left="5040" w:hanging="360"/>
      </w:pPr>
      <w:rPr>
        <w:rFonts w:ascii="Arial" w:hAnsi="Arial" w:hint="default"/>
      </w:rPr>
    </w:lvl>
    <w:lvl w:ilvl="7" w:tplc="6E0E7AA8" w:tentative="1">
      <w:start w:val="1"/>
      <w:numFmt w:val="bullet"/>
      <w:lvlText w:val="•"/>
      <w:lvlJc w:val="left"/>
      <w:pPr>
        <w:tabs>
          <w:tab w:val="num" w:pos="5760"/>
        </w:tabs>
        <w:ind w:left="5760" w:hanging="360"/>
      </w:pPr>
      <w:rPr>
        <w:rFonts w:ascii="Arial" w:hAnsi="Arial" w:hint="default"/>
      </w:rPr>
    </w:lvl>
    <w:lvl w:ilvl="8" w:tplc="1134341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9F62BE8"/>
    <w:multiLevelType w:val="hybridMultilevel"/>
    <w:tmpl w:val="3D7E6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9" w15:restartNumberingAfterBreak="0">
    <w:nsid w:val="7DAB5DAE"/>
    <w:multiLevelType w:val="hybridMultilevel"/>
    <w:tmpl w:val="6A828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9"/>
  </w:num>
  <w:num w:numId="2">
    <w:abstractNumId w:val="19"/>
  </w:num>
  <w:num w:numId="3">
    <w:abstractNumId w:val="19"/>
  </w:num>
  <w:num w:numId="4">
    <w:abstractNumId w:val="50"/>
  </w:num>
  <w:num w:numId="5">
    <w:abstractNumId w:val="7"/>
  </w:num>
  <w:num w:numId="6">
    <w:abstractNumId w:val="18"/>
  </w:num>
  <w:num w:numId="7">
    <w:abstractNumId w:val="48"/>
  </w:num>
  <w:num w:numId="8">
    <w:abstractNumId w:val="12"/>
  </w:num>
  <w:num w:numId="9">
    <w:abstractNumId w:val="12"/>
  </w:num>
  <w:num w:numId="10">
    <w:abstractNumId w:val="11"/>
  </w:num>
  <w:num w:numId="11">
    <w:abstractNumId w:val="0"/>
  </w:num>
  <w:num w:numId="12">
    <w:abstractNumId w:val="36"/>
  </w:num>
  <w:num w:numId="13">
    <w:abstractNumId w:val="42"/>
  </w:num>
  <w:num w:numId="14">
    <w:abstractNumId w:val="24"/>
  </w:num>
  <w:num w:numId="15">
    <w:abstractNumId w:val="22"/>
  </w:num>
  <w:num w:numId="16">
    <w:abstractNumId w:val="40"/>
  </w:num>
  <w:num w:numId="17">
    <w:abstractNumId w:val="15"/>
  </w:num>
  <w:num w:numId="18">
    <w:abstractNumId w:val="49"/>
  </w:num>
  <w:num w:numId="19">
    <w:abstractNumId w:val="2"/>
  </w:num>
  <w:num w:numId="20">
    <w:abstractNumId w:val="10"/>
  </w:num>
  <w:num w:numId="21">
    <w:abstractNumId w:val="9"/>
  </w:num>
  <w:num w:numId="22">
    <w:abstractNumId w:val="32"/>
  </w:num>
  <w:num w:numId="23">
    <w:abstractNumId w:val="8"/>
  </w:num>
  <w:num w:numId="24">
    <w:abstractNumId w:val="39"/>
  </w:num>
  <w:num w:numId="25">
    <w:abstractNumId w:val="46"/>
  </w:num>
  <w:num w:numId="26">
    <w:abstractNumId w:val="33"/>
  </w:num>
  <w:num w:numId="27">
    <w:abstractNumId w:val="30"/>
  </w:num>
  <w:num w:numId="28">
    <w:abstractNumId w:val="17"/>
  </w:num>
  <w:num w:numId="29">
    <w:abstractNumId w:val="20"/>
  </w:num>
  <w:num w:numId="30">
    <w:abstractNumId w:val="5"/>
  </w:num>
  <w:num w:numId="31">
    <w:abstractNumId w:val="14"/>
  </w:num>
  <w:num w:numId="32">
    <w:abstractNumId w:val="41"/>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8"/>
  </w:num>
  <w:num w:numId="38">
    <w:abstractNumId w:val="6"/>
  </w:num>
  <w:num w:numId="39">
    <w:abstractNumId w:val="4"/>
  </w:num>
  <w:num w:numId="40">
    <w:abstractNumId w:val="47"/>
  </w:num>
  <w:num w:numId="41">
    <w:abstractNumId w:val="26"/>
  </w:num>
  <w:num w:numId="42">
    <w:abstractNumId w:val="16"/>
  </w:num>
  <w:num w:numId="43">
    <w:abstractNumId w:val="3"/>
  </w:num>
  <w:num w:numId="44">
    <w:abstractNumId w:val="44"/>
  </w:num>
  <w:num w:numId="45">
    <w:abstractNumId w:val="37"/>
  </w:num>
  <w:num w:numId="46">
    <w:abstractNumId w:val="38"/>
  </w:num>
  <w:num w:numId="47">
    <w:abstractNumId w:val="31"/>
  </w:num>
  <w:num w:numId="48">
    <w:abstractNumId w:val="43"/>
  </w:num>
  <w:num w:numId="49">
    <w:abstractNumId w:val="27"/>
  </w:num>
  <w:num w:numId="50">
    <w:abstractNumId w:val="25"/>
  </w:num>
  <w:num w:numId="51">
    <w:abstractNumId w:val="45"/>
  </w:num>
  <w:num w:numId="52">
    <w:abstractNumId w:val="23"/>
  </w:num>
  <w:num w:numId="53">
    <w:abstractNumId w:val="34"/>
  </w:num>
  <w:num w:numId="54">
    <w:abstractNumId w:val="35"/>
  </w:num>
  <w:num w:numId="55">
    <w:abstractNumId w:val="13"/>
  </w:num>
  <w:num w:numId="56">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FD"/>
    <w:rsid w:val="00012F6F"/>
    <w:rsid w:val="00014213"/>
    <w:rsid w:val="00014B55"/>
    <w:rsid w:val="00020E3E"/>
    <w:rsid w:val="00023BF3"/>
    <w:rsid w:val="00026811"/>
    <w:rsid w:val="00036690"/>
    <w:rsid w:val="0004185E"/>
    <w:rsid w:val="000442F0"/>
    <w:rsid w:val="00044F52"/>
    <w:rsid w:val="00046E98"/>
    <w:rsid w:val="000530C4"/>
    <w:rsid w:val="00056988"/>
    <w:rsid w:val="00063D20"/>
    <w:rsid w:val="00063F78"/>
    <w:rsid w:val="00066EAF"/>
    <w:rsid w:val="00072279"/>
    <w:rsid w:val="00073407"/>
    <w:rsid w:val="00073853"/>
    <w:rsid w:val="00074F25"/>
    <w:rsid w:val="00075E6C"/>
    <w:rsid w:val="00081C12"/>
    <w:rsid w:val="00087D1F"/>
    <w:rsid w:val="00087D42"/>
    <w:rsid w:val="000B29AD"/>
    <w:rsid w:val="000B665D"/>
    <w:rsid w:val="000C6372"/>
    <w:rsid w:val="000D5E99"/>
    <w:rsid w:val="000D7841"/>
    <w:rsid w:val="000E0702"/>
    <w:rsid w:val="000E392D"/>
    <w:rsid w:val="000E39B6"/>
    <w:rsid w:val="000E3D05"/>
    <w:rsid w:val="000E5AB4"/>
    <w:rsid w:val="000E61E3"/>
    <w:rsid w:val="000F17E5"/>
    <w:rsid w:val="000F4288"/>
    <w:rsid w:val="000F4558"/>
    <w:rsid w:val="000F7165"/>
    <w:rsid w:val="00102379"/>
    <w:rsid w:val="00103722"/>
    <w:rsid w:val="001065D6"/>
    <w:rsid w:val="001068D5"/>
    <w:rsid w:val="0011152C"/>
    <w:rsid w:val="00121252"/>
    <w:rsid w:val="00123F16"/>
    <w:rsid w:val="00124609"/>
    <w:rsid w:val="001254CE"/>
    <w:rsid w:val="001422CC"/>
    <w:rsid w:val="00145346"/>
    <w:rsid w:val="001476A6"/>
    <w:rsid w:val="00152642"/>
    <w:rsid w:val="00153D24"/>
    <w:rsid w:val="001617B6"/>
    <w:rsid w:val="00163364"/>
    <w:rsid w:val="00165E66"/>
    <w:rsid w:val="0018083E"/>
    <w:rsid w:val="001960C5"/>
    <w:rsid w:val="00196143"/>
    <w:rsid w:val="001A24FC"/>
    <w:rsid w:val="001B4092"/>
    <w:rsid w:val="001C13A2"/>
    <w:rsid w:val="001C7BAE"/>
    <w:rsid w:val="001C7F86"/>
    <w:rsid w:val="001E31FA"/>
    <w:rsid w:val="001E48F9"/>
    <w:rsid w:val="001E64F6"/>
    <w:rsid w:val="001E7AEB"/>
    <w:rsid w:val="001E7DAC"/>
    <w:rsid w:val="001F6479"/>
    <w:rsid w:val="00204B82"/>
    <w:rsid w:val="00207C81"/>
    <w:rsid w:val="00211C3F"/>
    <w:rsid w:val="00213B28"/>
    <w:rsid w:val="00222BEB"/>
    <w:rsid w:val="00225E60"/>
    <w:rsid w:val="002303E7"/>
    <w:rsid w:val="00230BBB"/>
    <w:rsid w:val="0023202C"/>
    <w:rsid w:val="00234619"/>
    <w:rsid w:val="0023694D"/>
    <w:rsid w:val="0024297A"/>
    <w:rsid w:val="00245043"/>
    <w:rsid w:val="00247A31"/>
    <w:rsid w:val="00255DD0"/>
    <w:rsid w:val="00257461"/>
    <w:rsid w:val="00257ADF"/>
    <w:rsid w:val="0026028E"/>
    <w:rsid w:val="00263221"/>
    <w:rsid w:val="00265EC8"/>
    <w:rsid w:val="00284FA2"/>
    <w:rsid w:val="00285C1A"/>
    <w:rsid w:val="002867FE"/>
    <w:rsid w:val="00292D36"/>
    <w:rsid w:val="00294A5A"/>
    <w:rsid w:val="00297281"/>
    <w:rsid w:val="00297A47"/>
    <w:rsid w:val="002A3FD9"/>
    <w:rsid w:val="002A4895"/>
    <w:rsid w:val="002A5891"/>
    <w:rsid w:val="002B03F1"/>
    <w:rsid w:val="002B5E2B"/>
    <w:rsid w:val="002B6DAA"/>
    <w:rsid w:val="002D0735"/>
    <w:rsid w:val="002D70F7"/>
    <w:rsid w:val="002D711A"/>
    <w:rsid w:val="002D7336"/>
    <w:rsid w:val="002E3396"/>
    <w:rsid w:val="002E4B4F"/>
    <w:rsid w:val="002E4CA0"/>
    <w:rsid w:val="002F2684"/>
    <w:rsid w:val="002F2953"/>
    <w:rsid w:val="002F2C27"/>
    <w:rsid w:val="00300C61"/>
    <w:rsid w:val="0031042B"/>
    <w:rsid w:val="0031149C"/>
    <w:rsid w:val="00314694"/>
    <w:rsid w:val="0033378B"/>
    <w:rsid w:val="0033530E"/>
    <w:rsid w:val="00340EEC"/>
    <w:rsid w:val="003534B0"/>
    <w:rsid w:val="0036258C"/>
    <w:rsid w:val="0036778F"/>
    <w:rsid w:val="003863AA"/>
    <w:rsid w:val="0038771C"/>
    <w:rsid w:val="003A430B"/>
    <w:rsid w:val="003A50B3"/>
    <w:rsid w:val="003A541A"/>
    <w:rsid w:val="003A6923"/>
    <w:rsid w:val="003B52B6"/>
    <w:rsid w:val="003B7B6F"/>
    <w:rsid w:val="003C2C67"/>
    <w:rsid w:val="003C2D4C"/>
    <w:rsid w:val="003C3720"/>
    <w:rsid w:val="003C3B3A"/>
    <w:rsid w:val="003C5BA4"/>
    <w:rsid w:val="003C7395"/>
    <w:rsid w:val="003D27D1"/>
    <w:rsid w:val="003E3E26"/>
    <w:rsid w:val="003E4C92"/>
    <w:rsid w:val="003E5DFC"/>
    <w:rsid w:val="003E608A"/>
    <w:rsid w:val="003F1295"/>
    <w:rsid w:val="003F5102"/>
    <w:rsid w:val="003F5A57"/>
    <w:rsid w:val="003F76FC"/>
    <w:rsid w:val="004002EB"/>
    <w:rsid w:val="00407A79"/>
    <w:rsid w:val="00411985"/>
    <w:rsid w:val="0041364C"/>
    <w:rsid w:val="004167E5"/>
    <w:rsid w:val="0041785B"/>
    <w:rsid w:val="00422DD8"/>
    <w:rsid w:val="00422DDC"/>
    <w:rsid w:val="004231B5"/>
    <w:rsid w:val="004236C8"/>
    <w:rsid w:val="00425284"/>
    <w:rsid w:val="00427681"/>
    <w:rsid w:val="00433DB7"/>
    <w:rsid w:val="004354C5"/>
    <w:rsid w:val="00453750"/>
    <w:rsid w:val="00453C7C"/>
    <w:rsid w:val="00456941"/>
    <w:rsid w:val="00465BF2"/>
    <w:rsid w:val="004702EA"/>
    <w:rsid w:val="00481F00"/>
    <w:rsid w:val="0048259C"/>
    <w:rsid w:val="0048299F"/>
    <w:rsid w:val="00482D02"/>
    <w:rsid w:val="00484326"/>
    <w:rsid w:val="00490369"/>
    <w:rsid w:val="004A17DE"/>
    <w:rsid w:val="004A4713"/>
    <w:rsid w:val="004A7519"/>
    <w:rsid w:val="004B3DBC"/>
    <w:rsid w:val="004B64B1"/>
    <w:rsid w:val="004C118C"/>
    <w:rsid w:val="004C6C48"/>
    <w:rsid w:val="004C7026"/>
    <w:rsid w:val="004D01AC"/>
    <w:rsid w:val="004D3518"/>
    <w:rsid w:val="004D62D6"/>
    <w:rsid w:val="004D6898"/>
    <w:rsid w:val="004E0320"/>
    <w:rsid w:val="004E251D"/>
    <w:rsid w:val="004F0A84"/>
    <w:rsid w:val="004F3F4E"/>
    <w:rsid w:val="0050356B"/>
    <w:rsid w:val="00510167"/>
    <w:rsid w:val="00513E86"/>
    <w:rsid w:val="00523D3B"/>
    <w:rsid w:val="005306A2"/>
    <w:rsid w:val="0053416C"/>
    <w:rsid w:val="00540588"/>
    <w:rsid w:val="00541C2F"/>
    <w:rsid w:val="0054683E"/>
    <w:rsid w:val="005507CF"/>
    <w:rsid w:val="005515E9"/>
    <w:rsid w:val="00551B95"/>
    <w:rsid w:val="00552DE4"/>
    <w:rsid w:val="00554075"/>
    <w:rsid w:val="00563527"/>
    <w:rsid w:val="005672EC"/>
    <w:rsid w:val="005704A2"/>
    <w:rsid w:val="0057407A"/>
    <w:rsid w:val="0058124E"/>
    <w:rsid w:val="005828B4"/>
    <w:rsid w:val="0058575A"/>
    <w:rsid w:val="005864AF"/>
    <w:rsid w:val="005875A3"/>
    <w:rsid w:val="005953EA"/>
    <w:rsid w:val="00597261"/>
    <w:rsid w:val="005A0B83"/>
    <w:rsid w:val="005A3337"/>
    <w:rsid w:val="005A3416"/>
    <w:rsid w:val="005A6325"/>
    <w:rsid w:val="005B27FE"/>
    <w:rsid w:val="005B76DF"/>
    <w:rsid w:val="005B79CB"/>
    <w:rsid w:val="005C3747"/>
    <w:rsid w:val="005C732A"/>
    <w:rsid w:val="005E08D7"/>
    <w:rsid w:val="005E2B6E"/>
    <w:rsid w:val="005E2C1D"/>
    <w:rsid w:val="005E4C16"/>
    <w:rsid w:val="005E5947"/>
    <w:rsid w:val="005F15F1"/>
    <w:rsid w:val="005F4981"/>
    <w:rsid w:val="005F61DF"/>
    <w:rsid w:val="0060163A"/>
    <w:rsid w:val="006023F9"/>
    <w:rsid w:val="00602BEC"/>
    <w:rsid w:val="00610559"/>
    <w:rsid w:val="0061382E"/>
    <w:rsid w:val="00613D7E"/>
    <w:rsid w:val="00614076"/>
    <w:rsid w:val="0062421C"/>
    <w:rsid w:val="006253A3"/>
    <w:rsid w:val="006263F0"/>
    <w:rsid w:val="00632F2E"/>
    <w:rsid w:val="006332F6"/>
    <w:rsid w:val="00635CC1"/>
    <w:rsid w:val="006413F2"/>
    <w:rsid w:val="0064798F"/>
    <w:rsid w:val="006534B2"/>
    <w:rsid w:val="00655191"/>
    <w:rsid w:val="0065615D"/>
    <w:rsid w:val="00657011"/>
    <w:rsid w:val="00663DB7"/>
    <w:rsid w:val="006650B5"/>
    <w:rsid w:val="006651B1"/>
    <w:rsid w:val="00665778"/>
    <w:rsid w:val="00676E5F"/>
    <w:rsid w:val="00677F34"/>
    <w:rsid w:val="006900A5"/>
    <w:rsid w:val="0069041D"/>
    <w:rsid w:val="00692BBF"/>
    <w:rsid w:val="006939AC"/>
    <w:rsid w:val="006945CA"/>
    <w:rsid w:val="006A3309"/>
    <w:rsid w:val="006A3A5A"/>
    <w:rsid w:val="006A5B34"/>
    <w:rsid w:val="006B0466"/>
    <w:rsid w:val="006C77A9"/>
    <w:rsid w:val="006D4720"/>
    <w:rsid w:val="006E4D30"/>
    <w:rsid w:val="006E6CDF"/>
    <w:rsid w:val="006F37F2"/>
    <w:rsid w:val="006F6693"/>
    <w:rsid w:val="00707FE8"/>
    <w:rsid w:val="00714AAE"/>
    <w:rsid w:val="007206F7"/>
    <w:rsid w:val="00722CBD"/>
    <w:rsid w:val="00724962"/>
    <w:rsid w:val="00724A0F"/>
    <w:rsid w:val="00725546"/>
    <w:rsid w:val="00726D2F"/>
    <w:rsid w:val="00727C45"/>
    <w:rsid w:val="00736732"/>
    <w:rsid w:val="00740019"/>
    <w:rsid w:val="0074056F"/>
    <w:rsid w:val="00746426"/>
    <w:rsid w:val="00750BF9"/>
    <w:rsid w:val="00750CBE"/>
    <w:rsid w:val="0075323F"/>
    <w:rsid w:val="0075652D"/>
    <w:rsid w:val="007650D2"/>
    <w:rsid w:val="00766B5A"/>
    <w:rsid w:val="00772209"/>
    <w:rsid w:val="007770A5"/>
    <w:rsid w:val="007834F2"/>
    <w:rsid w:val="00787D40"/>
    <w:rsid w:val="00791020"/>
    <w:rsid w:val="007936A6"/>
    <w:rsid w:val="007A04D2"/>
    <w:rsid w:val="007A08F5"/>
    <w:rsid w:val="007A3534"/>
    <w:rsid w:val="007A5F82"/>
    <w:rsid w:val="007C3985"/>
    <w:rsid w:val="007C4073"/>
    <w:rsid w:val="007D1726"/>
    <w:rsid w:val="007D5B28"/>
    <w:rsid w:val="007D5F9E"/>
    <w:rsid w:val="007D720E"/>
    <w:rsid w:val="007D778C"/>
    <w:rsid w:val="007E098F"/>
    <w:rsid w:val="007E3BA2"/>
    <w:rsid w:val="007F05A8"/>
    <w:rsid w:val="007F1A4C"/>
    <w:rsid w:val="007F364C"/>
    <w:rsid w:val="007F723F"/>
    <w:rsid w:val="008022C3"/>
    <w:rsid w:val="00803EDD"/>
    <w:rsid w:val="008041E6"/>
    <w:rsid w:val="008065D2"/>
    <w:rsid w:val="00807C76"/>
    <w:rsid w:val="008116D8"/>
    <w:rsid w:val="008136B4"/>
    <w:rsid w:val="00815A8A"/>
    <w:rsid w:val="0082194C"/>
    <w:rsid w:val="00821B33"/>
    <w:rsid w:val="008222FF"/>
    <w:rsid w:val="008241FF"/>
    <w:rsid w:val="00835AE5"/>
    <w:rsid w:val="00835EE0"/>
    <w:rsid w:val="00840168"/>
    <w:rsid w:val="008411E9"/>
    <w:rsid w:val="00841617"/>
    <w:rsid w:val="0084200F"/>
    <w:rsid w:val="00843B2C"/>
    <w:rsid w:val="00844F16"/>
    <w:rsid w:val="00852BF5"/>
    <w:rsid w:val="008553CD"/>
    <w:rsid w:val="00855FF9"/>
    <w:rsid w:val="0086277A"/>
    <w:rsid w:val="008668A8"/>
    <w:rsid w:val="008768AD"/>
    <w:rsid w:val="00880AC4"/>
    <w:rsid w:val="00881D4F"/>
    <w:rsid w:val="00897447"/>
    <w:rsid w:val="008A39CF"/>
    <w:rsid w:val="008A4900"/>
    <w:rsid w:val="008A55FE"/>
    <w:rsid w:val="008A77B3"/>
    <w:rsid w:val="008B146D"/>
    <w:rsid w:val="008B42AD"/>
    <w:rsid w:val="008B5666"/>
    <w:rsid w:val="008C3FA2"/>
    <w:rsid w:val="008C64B7"/>
    <w:rsid w:val="008D0281"/>
    <w:rsid w:val="008D5BA3"/>
    <w:rsid w:val="008E0A2B"/>
    <w:rsid w:val="008E1F7C"/>
    <w:rsid w:val="008E2348"/>
    <w:rsid w:val="008E7B67"/>
    <w:rsid w:val="008F2636"/>
    <w:rsid w:val="008F6D45"/>
    <w:rsid w:val="009046E0"/>
    <w:rsid w:val="00907B41"/>
    <w:rsid w:val="00907F76"/>
    <w:rsid w:val="00916DDA"/>
    <w:rsid w:val="00916F7B"/>
    <w:rsid w:val="00922944"/>
    <w:rsid w:val="00931199"/>
    <w:rsid w:val="00936479"/>
    <w:rsid w:val="00937A10"/>
    <w:rsid w:val="00966115"/>
    <w:rsid w:val="00970B45"/>
    <w:rsid w:val="009729B1"/>
    <w:rsid w:val="00973669"/>
    <w:rsid w:val="009834C0"/>
    <w:rsid w:val="00986AAC"/>
    <w:rsid w:val="009909A6"/>
    <w:rsid w:val="009945B6"/>
    <w:rsid w:val="00995526"/>
    <w:rsid w:val="00996870"/>
    <w:rsid w:val="009A09FD"/>
    <w:rsid w:val="009A1DA2"/>
    <w:rsid w:val="009A3704"/>
    <w:rsid w:val="009A4739"/>
    <w:rsid w:val="009A5CFE"/>
    <w:rsid w:val="009A674F"/>
    <w:rsid w:val="009A6D22"/>
    <w:rsid w:val="009B199C"/>
    <w:rsid w:val="009B61F1"/>
    <w:rsid w:val="009B62E0"/>
    <w:rsid w:val="009C28AF"/>
    <w:rsid w:val="009C3564"/>
    <w:rsid w:val="009C3D88"/>
    <w:rsid w:val="009D02FC"/>
    <w:rsid w:val="009D159B"/>
    <w:rsid w:val="009D2C65"/>
    <w:rsid w:val="009E1651"/>
    <w:rsid w:val="009E3858"/>
    <w:rsid w:val="009E3B32"/>
    <w:rsid w:val="009E467D"/>
    <w:rsid w:val="009E6448"/>
    <w:rsid w:val="009E70DD"/>
    <w:rsid w:val="009F2ED9"/>
    <w:rsid w:val="009F3231"/>
    <w:rsid w:val="009F5C58"/>
    <w:rsid w:val="00A023A0"/>
    <w:rsid w:val="00A04305"/>
    <w:rsid w:val="00A05EBC"/>
    <w:rsid w:val="00A064F0"/>
    <w:rsid w:val="00A11BF8"/>
    <w:rsid w:val="00A13768"/>
    <w:rsid w:val="00A1562B"/>
    <w:rsid w:val="00A16300"/>
    <w:rsid w:val="00A170F4"/>
    <w:rsid w:val="00A21408"/>
    <w:rsid w:val="00A21CFD"/>
    <w:rsid w:val="00A24A37"/>
    <w:rsid w:val="00A25B78"/>
    <w:rsid w:val="00A366A0"/>
    <w:rsid w:val="00A41A16"/>
    <w:rsid w:val="00A43D2E"/>
    <w:rsid w:val="00A43EBC"/>
    <w:rsid w:val="00A46288"/>
    <w:rsid w:val="00A46BA8"/>
    <w:rsid w:val="00A46E60"/>
    <w:rsid w:val="00A47634"/>
    <w:rsid w:val="00A612FE"/>
    <w:rsid w:val="00A70B49"/>
    <w:rsid w:val="00A72496"/>
    <w:rsid w:val="00A92D94"/>
    <w:rsid w:val="00AA26B8"/>
    <w:rsid w:val="00AB6DB4"/>
    <w:rsid w:val="00AB711C"/>
    <w:rsid w:val="00AC0B87"/>
    <w:rsid w:val="00AC17EC"/>
    <w:rsid w:val="00AC2624"/>
    <w:rsid w:val="00AC32A8"/>
    <w:rsid w:val="00AD45B9"/>
    <w:rsid w:val="00AD7E4E"/>
    <w:rsid w:val="00AE27AE"/>
    <w:rsid w:val="00AF01D0"/>
    <w:rsid w:val="00AF1312"/>
    <w:rsid w:val="00AF4D58"/>
    <w:rsid w:val="00AF50CF"/>
    <w:rsid w:val="00AF6666"/>
    <w:rsid w:val="00AF7BC5"/>
    <w:rsid w:val="00B135C6"/>
    <w:rsid w:val="00B177A5"/>
    <w:rsid w:val="00B21613"/>
    <w:rsid w:val="00B21A48"/>
    <w:rsid w:val="00B359A1"/>
    <w:rsid w:val="00B36909"/>
    <w:rsid w:val="00B37C83"/>
    <w:rsid w:val="00B453BA"/>
    <w:rsid w:val="00B50737"/>
    <w:rsid w:val="00B57FA9"/>
    <w:rsid w:val="00B81B44"/>
    <w:rsid w:val="00B9053B"/>
    <w:rsid w:val="00B97B16"/>
    <w:rsid w:val="00BA0C37"/>
    <w:rsid w:val="00BA3782"/>
    <w:rsid w:val="00BB251C"/>
    <w:rsid w:val="00BB4D98"/>
    <w:rsid w:val="00BB4EBF"/>
    <w:rsid w:val="00BB519C"/>
    <w:rsid w:val="00BB59E0"/>
    <w:rsid w:val="00BC3422"/>
    <w:rsid w:val="00BC3BC4"/>
    <w:rsid w:val="00BC6E19"/>
    <w:rsid w:val="00BD01AB"/>
    <w:rsid w:val="00BD11C2"/>
    <w:rsid w:val="00BD5018"/>
    <w:rsid w:val="00BE3EF5"/>
    <w:rsid w:val="00BE5ADC"/>
    <w:rsid w:val="00BF3854"/>
    <w:rsid w:val="00BF411A"/>
    <w:rsid w:val="00BF4F96"/>
    <w:rsid w:val="00C015B9"/>
    <w:rsid w:val="00C022F9"/>
    <w:rsid w:val="00C032EA"/>
    <w:rsid w:val="00C06EB5"/>
    <w:rsid w:val="00C1145F"/>
    <w:rsid w:val="00C11CD1"/>
    <w:rsid w:val="00C30C31"/>
    <w:rsid w:val="00C32D49"/>
    <w:rsid w:val="00C33AD3"/>
    <w:rsid w:val="00C33AEF"/>
    <w:rsid w:val="00C41B3C"/>
    <w:rsid w:val="00C43F06"/>
    <w:rsid w:val="00C51C01"/>
    <w:rsid w:val="00C637E1"/>
    <w:rsid w:val="00C65713"/>
    <w:rsid w:val="00C67EAC"/>
    <w:rsid w:val="00C70D50"/>
    <w:rsid w:val="00C72252"/>
    <w:rsid w:val="00C73C0C"/>
    <w:rsid w:val="00C80222"/>
    <w:rsid w:val="00C907D7"/>
    <w:rsid w:val="00C92338"/>
    <w:rsid w:val="00C954FA"/>
    <w:rsid w:val="00CA05DC"/>
    <w:rsid w:val="00CA7B47"/>
    <w:rsid w:val="00CB3976"/>
    <w:rsid w:val="00CB5275"/>
    <w:rsid w:val="00CC0EF4"/>
    <w:rsid w:val="00CD0307"/>
    <w:rsid w:val="00CD3D1B"/>
    <w:rsid w:val="00CF6A86"/>
    <w:rsid w:val="00D02663"/>
    <w:rsid w:val="00D050C5"/>
    <w:rsid w:val="00D0633E"/>
    <w:rsid w:val="00D12E74"/>
    <w:rsid w:val="00D139E3"/>
    <w:rsid w:val="00D2312F"/>
    <w:rsid w:val="00D23B04"/>
    <w:rsid w:val="00D269C1"/>
    <w:rsid w:val="00D41B2F"/>
    <w:rsid w:val="00D44953"/>
    <w:rsid w:val="00D542F3"/>
    <w:rsid w:val="00D54513"/>
    <w:rsid w:val="00D54AAE"/>
    <w:rsid w:val="00D5644B"/>
    <w:rsid w:val="00D565A0"/>
    <w:rsid w:val="00D56E25"/>
    <w:rsid w:val="00D57E89"/>
    <w:rsid w:val="00D6560D"/>
    <w:rsid w:val="00D65D77"/>
    <w:rsid w:val="00D66580"/>
    <w:rsid w:val="00D718D7"/>
    <w:rsid w:val="00D775D4"/>
    <w:rsid w:val="00D814B7"/>
    <w:rsid w:val="00D90688"/>
    <w:rsid w:val="00DA089A"/>
    <w:rsid w:val="00DA130E"/>
    <w:rsid w:val="00DA3528"/>
    <w:rsid w:val="00DA3AAD"/>
    <w:rsid w:val="00DB1478"/>
    <w:rsid w:val="00DB312B"/>
    <w:rsid w:val="00DB6234"/>
    <w:rsid w:val="00DC1551"/>
    <w:rsid w:val="00DC2249"/>
    <w:rsid w:val="00DC23D3"/>
    <w:rsid w:val="00DC5654"/>
    <w:rsid w:val="00DC658F"/>
    <w:rsid w:val="00DC674A"/>
    <w:rsid w:val="00DD326D"/>
    <w:rsid w:val="00DE60CC"/>
    <w:rsid w:val="00DF5DBE"/>
    <w:rsid w:val="00E03CDF"/>
    <w:rsid w:val="00E056CC"/>
    <w:rsid w:val="00E060B7"/>
    <w:rsid w:val="00E1616F"/>
    <w:rsid w:val="00E213A3"/>
    <w:rsid w:val="00E23FDA"/>
    <w:rsid w:val="00E26B32"/>
    <w:rsid w:val="00E26CFD"/>
    <w:rsid w:val="00E31CD4"/>
    <w:rsid w:val="00E31E60"/>
    <w:rsid w:val="00E32057"/>
    <w:rsid w:val="00E3389F"/>
    <w:rsid w:val="00E33E08"/>
    <w:rsid w:val="00E37FBB"/>
    <w:rsid w:val="00E407B6"/>
    <w:rsid w:val="00E41EF1"/>
    <w:rsid w:val="00E42942"/>
    <w:rsid w:val="00E443C4"/>
    <w:rsid w:val="00E51D54"/>
    <w:rsid w:val="00E55F46"/>
    <w:rsid w:val="00E55F9F"/>
    <w:rsid w:val="00E57BAC"/>
    <w:rsid w:val="00E61661"/>
    <w:rsid w:val="00E63564"/>
    <w:rsid w:val="00E65A0A"/>
    <w:rsid w:val="00E66815"/>
    <w:rsid w:val="00E71BDF"/>
    <w:rsid w:val="00E75CCB"/>
    <w:rsid w:val="00E77E60"/>
    <w:rsid w:val="00E8245B"/>
    <w:rsid w:val="00E82C21"/>
    <w:rsid w:val="00E82F59"/>
    <w:rsid w:val="00E83CA7"/>
    <w:rsid w:val="00E92192"/>
    <w:rsid w:val="00E957A1"/>
    <w:rsid w:val="00E95A71"/>
    <w:rsid w:val="00E97FD6"/>
    <w:rsid w:val="00EA6445"/>
    <w:rsid w:val="00EA7B1C"/>
    <w:rsid w:val="00EB14D2"/>
    <w:rsid w:val="00EB4F11"/>
    <w:rsid w:val="00EB7014"/>
    <w:rsid w:val="00EC39FC"/>
    <w:rsid w:val="00EC5CDE"/>
    <w:rsid w:val="00EC6A4A"/>
    <w:rsid w:val="00ED3077"/>
    <w:rsid w:val="00ED487E"/>
    <w:rsid w:val="00ED64F1"/>
    <w:rsid w:val="00ED6E5D"/>
    <w:rsid w:val="00ED7F06"/>
    <w:rsid w:val="00EE33A1"/>
    <w:rsid w:val="00EE7A0D"/>
    <w:rsid w:val="00F0222C"/>
    <w:rsid w:val="00F12312"/>
    <w:rsid w:val="00F1539C"/>
    <w:rsid w:val="00F16FE0"/>
    <w:rsid w:val="00F17CE1"/>
    <w:rsid w:val="00F2115C"/>
    <w:rsid w:val="00F22ABA"/>
    <w:rsid w:val="00F25F4B"/>
    <w:rsid w:val="00F34BB3"/>
    <w:rsid w:val="00F36B12"/>
    <w:rsid w:val="00F403F8"/>
    <w:rsid w:val="00F501E2"/>
    <w:rsid w:val="00F60F9F"/>
    <w:rsid w:val="00F64F08"/>
    <w:rsid w:val="00F70055"/>
    <w:rsid w:val="00F734F5"/>
    <w:rsid w:val="00F73B5B"/>
    <w:rsid w:val="00F90EA5"/>
    <w:rsid w:val="00F91F5A"/>
    <w:rsid w:val="00F966B1"/>
    <w:rsid w:val="00F97D48"/>
    <w:rsid w:val="00FA0311"/>
    <w:rsid w:val="00FA0DBA"/>
    <w:rsid w:val="00FA1489"/>
    <w:rsid w:val="00FA4F54"/>
    <w:rsid w:val="00FB2646"/>
    <w:rsid w:val="00FD50F0"/>
    <w:rsid w:val="00FD640F"/>
    <w:rsid w:val="00FD6B4C"/>
    <w:rsid w:val="00FE0553"/>
    <w:rsid w:val="00FE1D9F"/>
    <w:rsid w:val="00FE25D0"/>
    <w:rsid w:val="00FE2973"/>
    <w:rsid w:val="00FE6CB3"/>
    <w:rsid w:val="00FF08B5"/>
    <w:rsid w:val="00FF1A2D"/>
    <w:rsid w:val="00FF4E99"/>
    <w:rsid w:val="00FF5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F6236"/>
  <w15:docId w15:val="{80F1702C-CDD0-4482-AFC1-4F1A38A3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996870"/>
    <w:rPr>
      <w:rFonts w:ascii="VIC" w:hAnsi="VIC"/>
      <w:noProof/>
      <w:lang w:eastAsia="en-US"/>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D0735"/>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996870"/>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2D0735"/>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2D0735"/>
    <w:rPr>
      <w:rFonts w:ascii="VIC SemiBold" w:eastAsiaTheme="majorEastAsia" w:hAnsi="VIC SemiBold" w:cstheme="majorBidi"/>
      <w:bCs/>
      <w:caps/>
      <w:noProof/>
      <w:color w:val="007586" w:themeColor="text2"/>
      <w:sz w:val="24"/>
      <w:szCs w:val="26"/>
      <w:lang w:eastAsia="en-US"/>
    </w:rPr>
  </w:style>
  <w:style w:type="paragraph" w:customStyle="1" w:styleId="Bullet1">
    <w:name w:val="Bullet 1"/>
    <w:uiPriority w:val="1"/>
    <w:qFormat/>
    <w:rsid w:val="00996870"/>
    <w:pPr>
      <w:numPr>
        <w:numId w:val="9"/>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996870"/>
    <w:pPr>
      <w:framePr w:wrap="around"/>
    </w:pPr>
    <w:rPr>
      <w:rFonts w:ascii="VIC SemiBold" w:hAnsi="VIC SemiBold"/>
      <w:b w:val="0"/>
    </w:r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996870"/>
    <w:rPr>
      <w:rFonts w:ascii="VIC SemiBold" w:eastAsiaTheme="majorEastAsia" w:hAnsi="VIC SemiBold" w:cstheme="majorBidi"/>
      <w:bCs/>
      <w:noProof/>
      <w:color w:val="000000" w:themeColor="text1"/>
      <w:sz w:val="24"/>
      <w:szCs w:val="22"/>
      <w:lang w:eastAsia="en-US"/>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2D0735"/>
    <w:rPr>
      <w:rFonts w:ascii="VIC SemiBold" w:eastAsiaTheme="majorEastAsia" w:hAnsi="VIC SemiBold" w:cstheme="majorBidi"/>
      <w:bCs/>
      <w:iCs/>
      <w:noProof/>
      <w:color w:val="000000" w:themeColor="text1"/>
      <w:lang w:eastAsia="en-US"/>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7936A6"/>
    <w:pPr>
      <w:tabs>
        <w:tab w:val="left" w:pos="1080"/>
      </w:tabs>
      <w:spacing w:before="280" w:after="210" w:line="260" w:lineRule="atLeast"/>
    </w:pPr>
    <w:rPr>
      <w:rFonts w:ascii="VIC SemiBold" w:hAnsi="VIC SemiBold"/>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E1651"/>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2D0735"/>
    <w:pPr>
      <w:spacing w:before="0" w:line="216" w:lineRule="auto"/>
    </w:pPr>
    <w:rPr>
      <w:rFonts w:ascii="VIC SemiBold" w:hAnsi="VIC SemiBold"/>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rsid w:val="005F15F1"/>
    <w:pPr>
      <w:spacing w:before="0" w:after="0" w:line="260" w:lineRule="atLeast"/>
    </w:pPr>
    <w:rPr>
      <w:rFonts w:eastAsia="Times New Roman" w:cs="Times New Roman"/>
      <w:color w:val="000000" w:themeColor="text1"/>
      <w:szCs w:val="24"/>
    </w:rPr>
  </w:style>
  <w:style w:type="paragraph" w:styleId="CommentText">
    <w:name w:val="annotation text"/>
    <w:basedOn w:val="Normal"/>
    <w:link w:val="CommentTextChar"/>
    <w:uiPriority w:val="1"/>
    <w:unhideWhenUsed/>
    <w:rsid w:val="00E26CFD"/>
    <w:pPr>
      <w:spacing w:line="240" w:lineRule="auto"/>
    </w:pPr>
  </w:style>
  <w:style w:type="character" w:customStyle="1" w:styleId="CommentTextChar">
    <w:name w:val="Comment Text Char"/>
    <w:basedOn w:val="DefaultParagraphFont"/>
    <w:link w:val="CommentText"/>
    <w:uiPriority w:val="1"/>
    <w:rsid w:val="00E26CFD"/>
  </w:style>
  <w:style w:type="character" w:styleId="CommentReference">
    <w:name w:val="annotation reference"/>
    <w:basedOn w:val="DefaultParagraphFont"/>
    <w:uiPriority w:val="1"/>
    <w:semiHidden/>
    <w:unhideWhenUsed/>
    <w:rsid w:val="00E26CFD"/>
    <w:rPr>
      <w:sz w:val="16"/>
      <w:szCs w:val="16"/>
    </w:rPr>
  </w:style>
  <w:style w:type="paragraph" w:styleId="CommentSubject">
    <w:name w:val="annotation subject"/>
    <w:basedOn w:val="CommentText"/>
    <w:next w:val="CommentText"/>
    <w:link w:val="CommentSubjectChar"/>
    <w:uiPriority w:val="1"/>
    <w:semiHidden/>
    <w:unhideWhenUsed/>
    <w:rsid w:val="004C118C"/>
    <w:rPr>
      <w:b/>
      <w:bCs/>
    </w:rPr>
  </w:style>
  <w:style w:type="character" w:customStyle="1" w:styleId="CommentSubjectChar">
    <w:name w:val="Comment Subject Char"/>
    <w:basedOn w:val="CommentTextChar"/>
    <w:link w:val="CommentSubject"/>
    <w:uiPriority w:val="1"/>
    <w:semiHidden/>
    <w:rsid w:val="004C118C"/>
    <w:rPr>
      <w:b/>
      <w:bCs/>
    </w:rPr>
  </w:style>
  <w:style w:type="paragraph" w:styleId="Revision">
    <w:name w:val="Revision"/>
    <w:hidden/>
    <w:uiPriority w:val="99"/>
    <w:semiHidden/>
    <w:rsid w:val="001C7F86"/>
    <w:pPr>
      <w:spacing w:before="0" w:after="0" w:line="240" w:lineRule="auto"/>
    </w:pPr>
  </w:style>
  <w:style w:type="character" w:styleId="Strong">
    <w:name w:val="Strong"/>
    <w:basedOn w:val="DefaultParagraphFont"/>
    <w:uiPriority w:val="1"/>
    <w:qFormat/>
    <w:rsid w:val="007936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 w:id="1259875266">
      <w:bodyDiv w:val="1"/>
      <w:marLeft w:val="0"/>
      <w:marRight w:val="0"/>
      <w:marTop w:val="0"/>
      <w:marBottom w:val="0"/>
      <w:divBdr>
        <w:top w:val="none" w:sz="0" w:space="0" w:color="auto"/>
        <w:left w:val="none" w:sz="0" w:space="0" w:color="auto"/>
        <w:bottom w:val="none" w:sz="0" w:space="0" w:color="auto"/>
        <w:right w:val="none" w:sz="0" w:space="0" w:color="auto"/>
      </w:divBdr>
    </w:div>
    <w:div w:id="17379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afercare.vic" TargetMode="External"/><Relationship Id="rId22" Type="http://schemas.openxmlformats.org/officeDocument/2006/relationships/diagramQuickStyle" Target="diagrams/quickStyle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Safer%20Care%20Victoria\Common%20folder%20(for%20all%20SCV)\Branding%20toolkit\SCV%20templates\1.%20Safer%20Care%20Victoria\Report%20no%20imag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106BE-A354-4660-BA6F-16D7CD5B1440}"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AU"/>
        </a:p>
      </dgm:t>
    </dgm:pt>
    <dgm:pt modelId="{194195A7-E729-4A26-B9FC-930BFE810451}">
      <dgm:prSet phldrT="[Text]" custT="1"/>
      <dgm:spPr/>
      <dgm:t>
        <a:bodyPr/>
        <a:lstStyle/>
        <a:p>
          <a:r>
            <a:rPr lang="en-AU" sz="1300"/>
            <a:t>1</a:t>
          </a:r>
        </a:p>
      </dgm:t>
    </dgm:pt>
    <dgm:pt modelId="{003C5B4E-4B28-43EA-8EB9-D5363FD831C8}" type="parTrans" cxnId="{AAD573C0-B917-48DC-8221-E08A74A9E399}">
      <dgm:prSet/>
      <dgm:spPr/>
      <dgm:t>
        <a:bodyPr/>
        <a:lstStyle/>
        <a:p>
          <a:endParaRPr lang="en-AU"/>
        </a:p>
      </dgm:t>
    </dgm:pt>
    <dgm:pt modelId="{86AA41AD-E2DF-4D69-A50D-10F3EB53811C}" type="sibTrans" cxnId="{AAD573C0-B917-48DC-8221-E08A74A9E399}">
      <dgm:prSet/>
      <dgm:spPr/>
      <dgm:t>
        <a:bodyPr/>
        <a:lstStyle/>
        <a:p>
          <a:endParaRPr lang="en-AU"/>
        </a:p>
      </dgm:t>
    </dgm:pt>
    <dgm:pt modelId="{20D195A9-A41B-48AD-BF3F-DE94599D527F}">
      <dgm:prSet phldrT="[Text]" custT="1"/>
      <dgm:spPr/>
      <dgm:t>
        <a:bodyPr/>
        <a:lstStyle/>
        <a:p>
          <a:r>
            <a:rPr lang="en-AU" sz="1000">
              <a:latin typeface="VIC" panose="00000500000000000000" pitchFamily="2" charset="0"/>
            </a:rPr>
            <a:t>Team facilitator </a:t>
          </a:r>
        </a:p>
      </dgm:t>
    </dgm:pt>
    <dgm:pt modelId="{EE9DFA78-B6FC-453F-9D79-BB2D5433B4DF}" type="parTrans" cxnId="{ED025CE5-BBB3-4E9C-8481-81F05316D006}">
      <dgm:prSet/>
      <dgm:spPr/>
      <dgm:t>
        <a:bodyPr/>
        <a:lstStyle/>
        <a:p>
          <a:endParaRPr lang="en-AU"/>
        </a:p>
      </dgm:t>
    </dgm:pt>
    <dgm:pt modelId="{327F07BB-9AA8-493A-925C-C80FE669C89A}" type="sibTrans" cxnId="{ED025CE5-BBB3-4E9C-8481-81F05316D006}">
      <dgm:prSet/>
      <dgm:spPr/>
      <dgm:t>
        <a:bodyPr/>
        <a:lstStyle/>
        <a:p>
          <a:endParaRPr lang="en-AU"/>
        </a:p>
      </dgm:t>
    </dgm:pt>
    <dgm:pt modelId="{F8394B64-6D6A-4C4C-9D85-30F02F9CDBF5}">
      <dgm:prSet phldrT="[Text]" custT="1"/>
      <dgm:spPr/>
      <dgm:t>
        <a:bodyPr/>
        <a:lstStyle/>
        <a:p>
          <a:r>
            <a:rPr lang="en-AU" sz="1300"/>
            <a:t>2</a:t>
          </a:r>
        </a:p>
      </dgm:t>
    </dgm:pt>
    <dgm:pt modelId="{F7A08C5E-0F5D-4B4C-8761-5F16D4BE7732}" type="parTrans" cxnId="{1F5D6FB0-B51E-44FE-8148-E7CD10BBA4D2}">
      <dgm:prSet/>
      <dgm:spPr/>
      <dgm:t>
        <a:bodyPr/>
        <a:lstStyle/>
        <a:p>
          <a:endParaRPr lang="en-AU"/>
        </a:p>
      </dgm:t>
    </dgm:pt>
    <dgm:pt modelId="{96A89D4A-97EB-45BC-A4DB-E0804D2E669E}" type="sibTrans" cxnId="{1F5D6FB0-B51E-44FE-8148-E7CD10BBA4D2}">
      <dgm:prSet/>
      <dgm:spPr/>
      <dgm:t>
        <a:bodyPr/>
        <a:lstStyle/>
        <a:p>
          <a:endParaRPr lang="en-AU"/>
        </a:p>
      </dgm:t>
    </dgm:pt>
    <dgm:pt modelId="{0BAD1B23-9212-4AEB-B76A-29CD980FE1EB}">
      <dgm:prSet phldrT="[Text]" custT="1"/>
      <dgm:spPr/>
      <dgm:t>
        <a:bodyPr/>
        <a:lstStyle/>
        <a:p>
          <a:r>
            <a:rPr lang="en-AU" sz="1000">
              <a:latin typeface="VIC" panose="00000500000000000000" pitchFamily="2" charset="0"/>
            </a:rPr>
            <a:t>Team lead</a:t>
          </a:r>
        </a:p>
      </dgm:t>
    </dgm:pt>
    <dgm:pt modelId="{D485D329-E419-4323-9CC7-4E5EC684D69E}" type="parTrans" cxnId="{90CDF18F-E8A4-4607-A2FD-05438F98D2CF}">
      <dgm:prSet/>
      <dgm:spPr/>
      <dgm:t>
        <a:bodyPr/>
        <a:lstStyle/>
        <a:p>
          <a:endParaRPr lang="en-AU"/>
        </a:p>
      </dgm:t>
    </dgm:pt>
    <dgm:pt modelId="{88A12F16-4E1F-45C6-A315-7CB2C70604AC}" type="sibTrans" cxnId="{90CDF18F-E8A4-4607-A2FD-05438F98D2CF}">
      <dgm:prSet/>
      <dgm:spPr/>
      <dgm:t>
        <a:bodyPr/>
        <a:lstStyle/>
        <a:p>
          <a:endParaRPr lang="en-AU"/>
        </a:p>
      </dgm:t>
    </dgm:pt>
    <dgm:pt modelId="{074C0B68-D94D-4EBA-8314-1E60E0DECD1F}">
      <dgm:prSet phldrT="[Text]" custT="1"/>
      <dgm:spPr/>
      <dgm:t>
        <a:bodyPr/>
        <a:lstStyle/>
        <a:p>
          <a:r>
            <a:rPr lang="en-AU" sz="1300"/>
            <a:t>4</a:t>
          </a:r>
        </a:p>
      </dgm:t>
    </dgm:pt>
    <dgm:pt modelId="{4BB03D18-6C98-45B3-8A64-A96E9FD89705}" type="parTrans" cxnId="{AE47B07A-4548-4A20-BD70-7B52DF256CAF}">
      <dgm:prSet/>
      <dgm:spPr/>
      <dgm:t>
        <a:bodyPr/>
        <a:lstStyle/>
        <a:p>
          <a:endParaRPr lang="en-AU"/>
        </a:p>
      </dgm:t>
    </dgm:pt>
    <dgm:pt modelId="{632BF0B4-1AB0-4905-86C1-E37727744A73}" type="sibTrans" cxnId="{AE47B07A-4548-4A20-BD70-7B52DF256CAF}">
      <dgm:prSet/>
      <dgm:spPr/>
      <dgm:t>
        <a:bodyPr/>
        <a:lstStyle/>
        <a:p>
          <a:endParaRPr lang="en-AU"/>
        </a:p>
      </dgm:t>
    </dgm:pt>
    <dgm:pt modelId="{4CDE1163-6641-4980-9184-BBA22823C631}">
      <dgm:prSet phldrT="[Text]" custT="1"/>
      <dgm:spPr/>
      <dgm:t>
        <a:bodyPr/>
        <a:lstStyle/>
        <a:p>
          <a:r>
            <a:rPr lang="en-AU" sz="900">
              <a:latin typeface="VIC" panose="00000500000000000000" pitchFamily="2" charset="0"/>
            </a:rPr>
            <a:t>Executive sponsor</a:t>
          </a:r>
        </a:p>
      </dgm:t>
    </dgm:pt>
    <dgm:pt modelId="{5D2784B1-F18E-4091-A1D2-FD1FB3399E7F}" type="parTrans" cxnId="{2338FD5F-6317-4EE1-94AC-7CCBAB01AE93}">
      <dgm:prSet/>
      <dgm:spPr/>
      <dgm:t>
        <a:bodyPr/>
        <a:lstStyle/>
        <a:p>
          <a:endParaRPr lang="en-AU"/>
        </a:p>
      </dgm:t>
    </dgm:pt>
    <dgm:pt modelId="{0B6FD139-8889-42AE-94F8-5BA9D4256285}" type="sibTrans" cxnId="{2338FD5F-6317-4EE1-94AC-7CCBAB01AE93}">
      <dgm:prSet/>
      <dgm:spPr/>
      <dgm:t>
        <a:bodyPr/>
        <a:lstStyle/>
        <a:p>
          <a:endParaRPr lang="en-AU"/>
        </a:p>
      </dgm:t>
    </dgm:pt>
    <dgm:pt modelId="{F23AC632-DA38-4FC3-AEE5-8314110E9054}">
      <dgm:prSet custT="1"/>
      <dgm:spPr/>
      <dgm:t>
        <a:bodyPr/>
        <a:lstStyle/>
        <a:p>
          <a:r>
            <a:rPr lang="en-AU" sz="1300"/>
            <a:t>3</a:t>
          </a:r>
        </a:p>
      </dgm:t>
    </dgm:pt>
    <dgm:pt modelId="{7F113FBD-C840-4B2B-A1C1-D11424405B38}" type="parTrans" cxnId="{17EA9600-DAE6-4097-97C3-21DCE5D9DFBE}">
      <dgm:prSet/>
      <dgm:spPr/>
      <dgm:t>
        <a:bodyPr/>
        <a:lstStyle/>
        <a:p>
          <a:endParaRPr lang="en-AU"/>
        </a:p>
      </dgm:t>
    </dgm:pt>
    <dgm:pt modelId="{10BD6338-DA9A-44AB-9834-D6A6D790CBE7}" type="sibTrans" cxnId="{17EA9600-DAE6-4097-97C3-21DCE5D9DFBE}">
      <dgm:prSet/>
      <dgm:spPr/>
      <dgm:t>
        <a:bodyPr/>
        <a:lstStyle/>
        <a:p>
          <a:endParaRPr lang="en-AU"/>
        </a:p>
      </dgm:t>
    </dgm:pt>
    <dgm:pt modelId="{420D72D0-1CBD-401C-948A-38F4AD38BAAD}">
      <dgm:prSet custT="1"/>
      <dgm:spPr/>
      <dgm:t>
        <a:bodyPr/>
        <a:lstStyle/>
        <a:p>
          <a:r>
            <a:rPr lang="en-AU" sz="1000">
              <a:latin typeface="VIC" panose="00000500000000000000" pitchFamily="2" charset="0"/>
            </a:rPr>
            <a:t>Support person</a:t>
          </a:r>
        </a:p>
      </dgm:t>
    </dgm:pt>
    <dgm:pt modelId="{DF5B8F8E-43C7-46DA-9B2D-7E1089E3667D}" type="parTrans" cxnId="{307EF3CF-0FFD-465D-86B0-B97C8DDD74EF}">
      <dgm:prSet/>
      <dgm:spPr/>
      <dgm:t>
        <a:bodyPr/>
        <a:lstStyle/>
        <a:p>
          <a:endParaRPr lang="en-AU"/>
        </a:p>
      </dgm:t>
    </dgm:pt>
    <dgm:pt modelId="{D69A0B38-F900-4A6D-BE7D-9C8CE1ABCFC2}" type="sibTrans" cxnId="{307EF3CF-0FFD-465D-86B0-B97C8DDD74EF}">
      <dgm:prSet/>
      <dgm:spPr/>
      <dgm:t>
        <a:bodyPr/>
        <a:lstStyle/>
        <a:p>
          <a:endParaRPr lang="en-AU"/>
        </a:p>
      </dgm:t>
    </dgm:pt>
    <dgm:pt modelId="{E772655F-9B32-477F-A1C1-5C61BBA509D0}" type="pres">
      <dgm:prSet presAssocID="{257106BE-A354-4660-BA6F-16D7CD5B1440}" presName="rootnode" presStyleCnt="0">
        <dgm:presLayoutVars>
          <dgm:chMax/>
          <dgm:chPref/>
          <dgm:dir/>
          <dgm:animLvl val="lvl"/>
        </dgm:presLayoutVars>
      </dgm:prSet>
      <dgm:spPr/>
    </dgm:pt>
    <dgm:pt modelId="{B3E2CB2C-FB17-4F35-BF0E-A033076EBFA8}" type="pres">
      <dgm:prSet presAssocID="{194195A7-E729-4A26-B9FC-930BFE810451}" presName="composite" presStyleCnt="0"/>
      <dgm:spPr/>
    </dgm:pt>
    <dgm:pt modelId="{13E99DC9-0CB1-452F-A0C6-65C82DA0D2B2}" type="pres">
      <dgm:prSet presAssocID="{194195A7-E729-4A26-B9FC-930BFE810451}" presName="bentUpArrow1" presStyleLbl="alignImgPlace1" presStyleIdx="0" presStyleCnt="3"/>
      <dgm:spPr/>
    </dgm:pt>
    <dgm:pt modelId="{9B8A7829-29B9-431C-92D0-063C4F22768C}" type="pres">
      <dgm:prSet presAssocID="{194195A7-E729-4A26-B9FC-930BFE810451}" presName="ParentText" presStyleLbl="node1" presStyleIdx="0" presStyleCnt="4" custScaleY="69967">
        <dgm:presLayoutVars>
          <dgm:chMax val="1"/>
          <dgm:chPref val="1"/>
          <dgm:bulletEnabled val="1"/>
        </dgm:presLayoutVars>
      </dgm:prSet>
      <dgm:spPr/>
    </dgm:pt>
    <dgm:pt modelId="{84D96DB0-6ED4-474C-BEEF-CAEF34F61F23}" type="pres">
      <dgm:prSet presAssocID="{194195A7-E729-4A26-B9FC-930BFE810451}" presName="ChildText" presStyleLbl="revTx" presStyleIdx="0" presStyleCnt="4" custScaleX="219696" custLinFactNeighborX="84603">
        <dgm:presLayoutVars>
          <dgm:chMax val="0"/>
          <dgm:chPref val="0"/>
          <dgm:bulletEnabled val="1"/>
        </dgm:presLayoutVars>
      </dgm:prSet>
      <dgm:spPr/>
    </dgm:pt>
    <dgm:pt modelId="{31654499-7B6F-49C5-9491-FDB0833ECA6A}" type="pres">
      <dgm:prSet presAssocID="{86AA41AD-E2DF-4D69-A50D-10F3EB53811C}" presName="sibTrans" presStyleCnt="0"/>
      <dgm:spPr/>
    </dgm:pt>
    <dgm:pt modelId="{C032DA6A-5317-4331-AEB5-3F7B16768D19}" type="pres">
      <dgm:prSet presAssocID="{F8394B64-6D6A-4C4C-9D85-30F02F9CDBF5}" presName="composite" presStyleCnt="0"/>
      <dgm:spPr/>
    </dgm:pt>
    <dgm:pt modelId="{3314BAAD-9994-4A51-8B7B-4942197E9F7B}" type="pres">
      <dgm:prSet presAssocID="{F8394B64-6D6A-4C4C-9D85-30F02F9CDBF5}" presName="bentUpArrow1" presStyleLbl="alignImgPlace1" presStyleIdx="1" presStyleCnt="3"/>
      <dgm:spPr/>
    </dgm:pt>
    <dgm:pt modelId="{2A552958-25B1-4672-BC45-6AA7F4E91BB9}" type="pres">
      <dgm:prSet presAssocID="{F8394B64-6D6A-4C4C-9D85-30F02F9CDBF5}" presName="ParentText" presStyleLbl="node1" presStyleIdx="1" presStyleCnt="4" custScaleY="69967" custLinFactNeighborX="-20333">
        <dgm:presLayoutVars>
          <dgm:chMax val="1"/>
          <dgm:chPref val="1"/>
          <dgm:bulletEnabled val="1"/>
        </dgm:presLayoutVars>
      </dgm:prSet>
      <dgm:spPr/>
    </dgm:pt>
    <dgm:pt modelId="{D2751182-D3B7-48A4-8FCD-B03812EEE92F}" type="pres">
      <dgm:prSet presAssocID="{F8394B64-6D6A-4C4C-9D85-30F02F9CDBF5}" presName="ChildText" presStyleLbl="revTx" presStyleIdx="1" presStyleCnt="4" custScaleX="143380" custLinFactNeighborX="-1485" custLinFactNeighborY="1908">
        <dgm:presLayoutVars>
          <dgm:chMax val="0"/>
          <dgm:chPref val="0"/>
          <dgm:bulletEnabled val="1"/>
        </dgm:presLayoutVars>
      </dgm:prSet>
      <dgm:spPr/>
    </dgm:pt>
    <dgm:pt modelId="{406A889D-B862-48F7-B7E8-68464F23050B}" type="pres">
      <dgm:prSet presAssocID="{96A89D4A-97EB-45BC-A4DB-E0804D2E669E}" presName="sibTrans" presStyleCnt="0"/>
      <dgm:spPr/>
    </dgm:pt>
    <dgm:pt modelId="{ADA4B907-307C-4CD0-9D17-03CAD6AC2E1A}" type="pres">
      <dgm:prSet presAssocID="{F23AC632-DA38-4FC3-AEE5-8314110E9054}" presName="composite" presStyleCnt="0"/>
      <dgm:spPr/>
    </dgm:pt>
    <dgm:pt modelId="{87E39093-84BF-4BDC-B05C-F649CEB23428}" type="pres">
      <dgm:prSet presAssocID="{F23AC632-DA38-4FC3-AEE5-8314110E9054}" presName="bentUpArrow1" presStyleLbl="alignImgPlace1" presStyleIdx="2" presStyleCnt="3"/>
      <dgm:spPr/>
    </dgm:pt>
    <dgm:pt modelId="{EB0D659B-654B-4653-9D6A-1108850EC555}" type="pres">
      <dgm:prSet presAssocID="{F23AC632-DA38-4FC3-AEE5-8314110E9054}" presName="ParentText" presStyleLbl="node1" presStyleIdx="2" presStyleCnt="4" custScaleY="67967" custLinFactNeighborX="-4143">
        <dgm:presLayoutVars>
          <dgm:chMax val="1"/>
          <dgm:chPref val="1"/>
          <dgm:bulletEnabled val="1"/>
        </dgm:presLayoutVars>
      </dgm:prSet>
      <dgm:spPr/>
    </dgm:pt>
    <dgm:pt modelId="{2EAD9E50-1FE6-4DC6-816C-1E088DF28395}" type="pres">
      <dgm:prSet presAssocID="{F23AC632-DA38-4FC3-AEE5-8314110E9054}" presName="ChildText" presStyleLbl="revTx" presStyleIdx="2" presStyleCnt="4" custScaleX="157253" custLinFactNeighborX="29424" custLinFactNeighborY="9763">
        <dgm:presLayoutVars>
          <dgm:chMax val="0"/>
          <dgm:chPref val="0"/>
          <dgm:bulletEnabled val="1"/>
        </dgm:presLayoutVars>
      </dgm:prSet>
      <dgm:spPr/>
    </dgm:pt>
    <dgm:pt modelId="{B81EE0B6-F9D8-402C-BD6F-6C7C05FCEA1C}" type="pres">
      <dgm:prSet presAssocID="{10BD6338-DA9A-44AB-9834-D6A6D790CBE7}" presName="sibTrans" presStyleCnt="0"/>
      <dgm:spPr/>
    </dgm:pt>
    <dgm:pt modelId="{D2D1E5C3-80E6-4616-9055-14C734D5C7ED}" type="pres">
      <dgm:prSet presAssocID="{074C0B68-D94D-4EBA-8314-1E60E0DECD1F}" presName="composite" presStyleCnt="0"/>
      <dgm:spPr/>
    </dgm:pt>
    <dgm:pt modelId="{33613558-D3A2-44D4-BD3E-BD21D926D225}" type="pres">
      <dgm:prSet presAssocID="{074C0B68-D94D-4EBA-8314-1E60E0DECD1F}" presName="ParentText" presStyleLbl="node1" presStyleIdx="3" presStyleCnt="4" custScaleY="69967" custLinFactNeighborX="-17094" custLinFactNeighborY="-1542">
        <dgm:presLayoutVars>
          <dgm:chMax val="1"/>
          <dgm:chPref val="1"/>
          <dgm:bulletEnabled val="1"/>
        </dgm:presLayoutVars>
      </dgm:prSet>
      <dgm:spPr/>
    </dgm:pt>
    <dgm:pt modelId="{228DEDB4-E981-4334-B882-DBDD0724FF01}" type="pres">
      <dgm:prSet presAssocID="{074C0B68-D94D-4EBA-8314-1E60E0DECD1F}" presName="FinalChildText" presStyleLbl="revTx" presStyleIdx="3" presStyleCnt="4" custScaleX="154195" custLinFactNeighborX="15417">
        <dgm:presLayoutVars>
          <dgm:chMax val="0"/>
          <dgm:chPref val="0"/>
          <dgm:bulletEnabled val="1"/>
        </dgm:presLayoutVars>
      </dgm:prSet>
      <dgm:spPr/>
    </dgm:pt>
  </dgm:ptLst>
  <dgm:cxnLst>
    <dgm:cxn modelId="{17EA9600-DAE6-4097-97C3-21DCE5D9DFBE}" srcId="{257106BE-A354-4660-BA6F-16D7CD5B1440}" destId="{F23AC632-DA38-4FC3-AEE5-8314110E9054}" srcOrd="2" destOrd="0" parTransId="{7F113FBD-C840-4B2B-A1C1-D11424405B38}" sibTransId="{10BD6338-DA9A-44AB-9834-D6A6D790CBE7}"/>
    <dgm:cxn modelId="{FDA35F03-1C2C-4D01-9AAC-705F30AA9B2E}" type="presOf" srcId="{F8394B64-6D6A-4C4C-9D85-30F02F9CDBF5}" destId="{2A552958-25B1-4672-BC45-6AA7F4E91BB9}" srcOrd="0" destOrd="0" presId="urn:microsoft.com/office/officeart/2005/8/layout/StepDownProcess"/>
    <dgm:cxn modelId="{E2DDA406-867E-43D0-A386-5C0DF4E4A2FA}" type="presOf" srcId="{074C0B68-D94D-4EBA-8314-1E60E0DECD1F}" destId="{33613558-D3A2-44D4-BD3E-BD21D926D225}" srcOrd="0" destOrd="0" presId="urn:microsoft.com/office/officeart/2005/8/layout/StepDownProcess"/>
    <dgm:cxn modelId="{4FF6B237-6A60-47B7-A189-AA3598DB453F}" type="presOf" srcId="{257106BE-A354-4660-BA6F-16D7CD5B1440}" destId="{E772655F-9B32-477F-A1C1-5C61BBA509D0}" srcOrd="0" destOrd="0" presId="urn:microsoft.com/office/officeart/2005/8/layout/StepDownProcess"/>
    <dgm:cxn modelId="{62039840-0604-498A-B96C-A3D3ECDF043E}" type="presOf" srcId="{194195A7-E729-4A26-B9FC-930BFE810451}" destId="{9B8A7829-29B9-431C-92D0-063C4F22768C}" srcOrd="0" destOrd="0" presId="urn:microsoft.com/office/officeart/2005/8/layout/StepDownProcess"/>
    <dgm:cxn modelId="{2338FD5F-6317-4EE1-94AC-7CCBAB01AE93}" srcId="{074C0B68-D94D-4EBA-8314-1E60E0DECD1F}" destId="{4CDE1163-6641-4980-9184-BBA22823C631}" srcOrd="0" destOrd="0" parTransId="{5D2784B1-F18E-4091-A1D2-FD1FB3399E7F}" sibTransId="{0B6FD139-8889-42AE-94F8-5BA9D4256285}"/>
    <dgm:cxn modelId="{06CF3F4B-115C-465B-A9E9-8B88E18583CE}" type="presOf" srcId="{420D72D0-1CBD-401C-948A-38F4AD38BAAD}" destId="{2EAD9E50-1FE6-4DC6-816C-1E088DF28395}" srcOrd="0" destOrd="0" presId="urn:microsoft.com/office/officeart/2005/8/layout/StepDownProcess"/>
    <dgm:cxn modelId="{596FD577-984E-41D3-8032-275E17B1736A}" type="presOf" srcId="{20D195A9-A41B-48AD-BF3F-DE94599D527F}" destId="{84D96DB0-6ED4-474C-BEEF-CAEF34F61F23}" srcOrd="0" destOrd="0" presId="urn:microsoft.com/office/officeart/2005/8/layout/StepDownProcess"/>
    <dgm:cxn modelId="{AE47B07A-4548-4A20-BD70-7B52DF256CAF}" srcId="{257106BE-A354-4660-BA6F-16D7CD5B1440}" destId="{074C0B68-D94D-4EBA-8314-1E60E0DECD1F}" srcOrd="3" destOrd="0" parTransId="{4BB03D18-6C98-45B3-8A64-A96E9FD89705}" sibTransId="{632BF0B4-1AB0-4905-86C1-E37727744A73}"/>
    <dgm:cxn modelId="{90CDF18F-E8A4-4607-A2FD-05438F98D2CF}" srcId="{F8394B64-6D6A-4C4C-9D85-30F02F9CDBF5}" destId="{0BAD1B23-9212-4AEB-B76A-29CD980FE1EB}" srcOrd="0" destOrd="0" parTransId="{D485D329-E419-4323-9CC7-4E5EC684D69E}" sibTransId="{88A12F16-4E1F-45C6-A315-7CB2C70604AC}"/>
    <dgm:cxn modelId="{1F5D6FB0-B51E-44FE-8148-E7CD10BBA4D2}" srcId="{257106BE-A354-4660-BA6F-16D7CD5B1440}" destId="{F8394B64-6D6A-4C4C-9D85-30F02F9CDBF5}" srcOrd="1" destOrd="0" parTransId="{F7A08C5E-0F5D-4B4C-8761-5F16D4BE7732}" sibTransId="{96A89D4A-97EB-45BC-A4DB-E0804D2E669E}"/>
    <dgm:cxn modelId="{174BCAB8-4877-407B-8D28-B147B5D073D5}" type="presOf" srcId="{F23AC632-DA38-4FC3-AEE5-8314110E9054}" destId="{EB0D659B-654B-4653-9D6A-1108850EC555}" srcOrd="0" destOrd="0" presId="urn:microsoft.com/office/officeart/2005/8/layout/StepDownProcess"/>
    <dgm:cxn modelId="{A87046BA-6C00-40B4-8201-60B7662845AE}" type="presOf" srcId="{0BAD1B23-9212-4AEB-B76A-29CD980FE1EB}" destId="{D2751182-D3B7-48A4-8FCD-B03812EEE92F}" srcOrd="0" destOrd="0" presId="urn:microsoft.com/office/officeart/2005/8/layout/StepDownProcess"/>
    <dgm:cxn modelId="{AAD573C0-B917-48DC-8221-E08A74A9E399}" srcId="{257106BE-A354-4660-BA6F-16D7CD5B1440}" destId="{194195A7-E729-4A26-B9FC-930BFE810451}" srcOrd="0" destOrd="0" parTransId="{003C5B4E-4B28-43EA-8EB9-D5363FD831C8}" sibTransId="{86AA41AD-E2DF-4D69-A50D-10F3EB53811C}"/>
    <dgm:cxn modelId="{EEC8FCC3-4E02-4612-B407-D449E82E8FD9}" type="presOf" srcId="{4CDE1163-6641-4980-9184-BBA22823C631}" destId="{228DEDB4-E981-4334-B882-DBDD0724FF01}" srcOrd="0" destOrd="0" presId="urn:microsoft.com/office/officeart/2005/8/layout/StepDownProcess"/>
    <dgm:cxn modelId="{307EF3CF-0FFD-465D-86B0-B97C8DDD74EF}" srcId="{F23AC632-DA38-4FC3-AEE5-8314110E9054}" destId="{420D72D0-1CBD-401C-948A-38F4AD38BAAD}" srcOrd="0" destOrd="0" parTransId="{DF5B8F8E-43C7-46DA-9B2D-7E1089E3667D}" sibTransId="{D69A0B38-F900-4A6D-BE7D-9C8CE1ABCFC2}"/>
    <dgm:cxn modelId="{ED025CE5-BBB3-4E9C-8481-81F05316D006}" srcId="{194195A7-E729-4A26-B9FC-930BFE810451}" destId="{20D195A9-A41B-48AD-BF3F-DE94599D527F}" srcOrd="0" destOrd="0" parTransId="{EE9DFA78-B6FC-453F-9D79-BB2D5433B4DF}" sibTransId="{327F07BB-9AA8-493A-925C-C80FE669C89A}"/>
    <dgm:cxn modelId="{5C210CB4-7E4C-4984-AA80-6F0A6F020423}" type="presParOf" srcId="{E772655F-9B32-477F-A1C1-5C61BBA509D0}" destId="{B3E2CB2C-FB17-4F35-BF0E-A033076EBFA8}" srcOrd="0" destOrd="0" presId="urn:microsoft.com/office/officeart/2005/8/layout/StepDownProcess"/>
    <dgm:cxn modelId="{3B2861BD-520E-4C6D-9799-18677874E3BA}" type="presParOf" srcId="{B3E2CB2C-FB17-4F35-BF0E-A033076EBFA8}" destId="{13E99DC9-0CB1-452F-A0C6-65C82DA0D2B2}" srcOrd="0" destOrd="0" presId="urn:microsoft.com/office/officeart/2005/8/layout/StepDownProcess"/>
    <dgm:cxn modelId="{12E6B408-8C94-4592-998F-BB672498DC35}" type="presParOf" srcId="{B3E2CB2C-FB17-4F35-BF0E-A033076EBFA8}" destId="{9B8A7829-29B9-431C-92D0-063C4F22768C}" srcOrd="1" destOrd="0" presId="urn:microsoft.com/office/officeart/2005/8/layout/StepDownProcess"/>
    <dgm:cxn modelId="{3B769FBD-9F14-48CF-898D-AEE9497C331E}" type="presParOf" srcId="{B3E2CB2C-FB17-4F35-BF0E-A033076EBFA8}" destId="{84D96DB0-6ED4-474C-BEEF-CAEF34F61F23}" srcOrd="2" destOrd="0" presId="urn:microsoft.com/office/officeart/2005/8/layout/StepDownProcess"/>
    <dgm:cxn modelId="{427807CD-259F-4491-B7C9-1EDCF4EFFC23}" type="presParOf" srcId="{E772655F-9B32-477F-A1C1-5C61BBA509D0}" destId="{31654499-7B6F-49C5-9491-FDB0833ECA6A}" srcOrd="1" destOrd="0" presId="urn:microsoft.com/office/officeart/2005/8/layout/StepDownProcess"/>
    <dgm:cxn modelId="{5F472E46-E69A-463E-B9D0-4CBC7DE0D0C0}" type="presParOf" srcId="{E772655F-9B32-477F-A1C1-5C61BBA509D0}" destId="{C032DA6A-5317-4331-AEB5-3F7B16768D19}" srcOrd="2" destOrd="0" presId="urn:microsoft.com/office/officeart/2005/8/layout/StepDownProcess"/>
    <dgm:cxn modelId="{EC368B8D-2E62-4C9F-82BA-593FAC484C83}" type="presParOf" srcId="{C032DA6A-5317-4331-AEB5-3F7B16768D19}" destId="{3314BAAD-9994-4A51-8B7B-4942197E9F7B}" srcOrd="0" destOrd="0" presId="urn:microsoft.com/office/officeart/2005/8/layout/StepDownProcess"/>
    <dgm:cxn modelId="{E5F2EE53-F777-48B7-98B8-3FD1E8F17AA9}" type="presParOf" srcId="{C032DA6A-5317-4331-AEB5-3F7B16768D19}" destId="{2A552958-25B1-4672-BC45-6AA7F4E91BB9}" srcOrd="1" destOrd="0" presId="urn:microsoft.com/office/officeart/2005/8/layout/StepDownProcess"/>
    <dgm:cxn modelId="{6580B172-A8CF-4756-BBA2-3DBCECCEFE4E}" type="presParOf" srcId="{C032DA6A-5317-4331-AEB5-3F7B16768D19}" destId="{D2751182-D3B7-48A4-8FCD-B03812EEE92F}" srcOrd="2" destOrd="0" presId="urn:microsoft.com/office/officeart/2005/8/layout/StepDownProcess"/>
    <dgm:cxn modelId="{AA4B3BB6-2600-47A4-B4D9-D82A781643FC}" type="presParOf" srcId="{E772655F-9B32-477F-A1C1-5C61BBA509D0}" destId="{406A889D-B862-48F7-B7E8-68464F23050B}" srcOrd="3" destOrd="0" presId="urn:microsoft.com/office/officeart/2005/8/layout/StepDownProcess"/>
    <dgm:cxn modelId="{371FC829-A004-4ED7-9D69-B5A5A1878F16}" type="presParOf" srcId="{E772655F-9B32-477F-A1C1-5C61BBA509D0}" destId="{ADA4B907-307C-4CD0-9D17-03CAD6AC2E1A}" srcOrd="4" destOrd="0" presId="urn:microsoft.com/office/officeart/2005/8/layout/StepDownProcess"/>
    <dgm:cxn modelId="{A29064E2-C15D-42FA-8757-8EDF67EE2963}" type="presParOf" srcId="{ADA4B907-307C-4CD0-9D17-03CAD6AC2E1A}" destId="{87E39093-84BF-4BDC-B05C-F649CEB23428}" srcOrd="0" destOrd="0" presId="urn:microsoft.com/office/officeart/2005/8/layout/StepDownProcess"/>
    <dgm:cxn modelId="{E365EBC6-B2B4-4B1F-A2A1-35933174D990}" type="presParOf" srcId="{ADA4B907-307C-4CD0-9D17-03CAD6AC2E1A}" destId="{EB0D659B-654B-4653-9D6A-1108850EC555}" srcOrd="1" destOrd="0" presId="urn:microsoft.com/office/officeart/2005/8/layout/StepDownProcess"/>
    <dgm:cxn modelId="{9BC1ABF0-36BD-4580-97DF-D1F8DFF5CE43}" type="presParOf" srcId="{ADA4B907-307C-4CD0-9D17-03CAD6AC2E1A}" destId="{2EAD9E50-1FE6-4DC6-816C-1E088DF28395}" srcOrd="2" destOrd="0" presId="urn:microsoft.com/office/officeart/2005/8/layout/StepDownProcess"/>
    <dgm:cxn modelId="{E4D92D2B-9A18-48A4-BCD9-D49CC6F404B0}" type="presParOf" srcId="{E772655F-9B32-477F-A1C1-5C61BBA509D0}" destId="{B81EE0B6-F9D8-402C-BD6F-6C7C05FCEA1C}" srcOrd="5" destOrd="0" presId="urn:microsoft.com/office/officeart/2005/8/layout/StepDownProcess"/>
    <dgm:cxn modelId="{0B341C2F-2649-499E-AAB2-075F5AF933FE}" type="presParOf" srcId="{E772655F-9B32-477F-A1C1-5C61BBA509D0}" destId="{D2D1E5C3-80E6-4616-9055-14C734D5C7ED}" srcOrd="6" destOrd="0" presId="urn:microsoft.com/office/officeart/2005/8/layout/StepDownProcess"/>
    <dgm:cxn modelId="{878BFF6A-3A1D-4067-B971-4574FD63A4FE}" type="presParOf" srcId="{D2D1E5C3-80E6-4616-9055-14C734D5C7ED}" destId="{33613558-D3A2-44D4-BD3E-BD21D926D225}" srcOrd="0" destOrd="0" presId="urn:microsoft.com/office/officeart/2005/8/layout/StepDownProcess"/>
    <dgm:cxn modelId="{928457A6-540D-42F1-9AF6-1D38DDDEDB86}" type="presParOf" srcId="{D2D1E5C3-80E6-4616-9055-14C734D5C7ED}" destId="{228DEDB4-E981-4334-B882-DBDD0724FF01}" srcOrd="1" destOrd="0" presId="urn:microsoft.com/office/officeart/2005/8/layout/StepDown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E99DC9-0CB1-452F-A0C6-65C82DA0D2B2}">
      <dsp:nvSpPr>
        <dsp:cNvPr id="0" name=""/>
        <dsp:cNvSpPr/>
      </dsp:nvSpPr>
      <dsp:spPr>
        <a:xfrm rot="5400000">
          <a:off x="99531" y="436260"/>
          <a:ext cx="371842" cy="42332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B8A7829-29B9-431C-92D0-063C4F22768C}">
      <dsp:nvSpPr>
        <dsp:cNvPr id="0" name=""/>
        <dsp:cNvSpPr/>
      </dsp:nvSpPr>
      <dsp:spPr>
        <a:xfrm>
          <a:off x="1015" y="89861"/>
          <a:ext cx="625963" cy="30656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1</a:t>
          </a:r>
        </a:p>
      </dsp:txBody>
      <dsp:txXfrm>
        <a:off x="15983" y="104829"/>
        <a:ext cx="596027" cy="276627"/>
      </dsp:txXfrm>
    </dsp:sp>
    <dsp:sp modelId="{84D96DB0-6ED4-474C-BEEF-CAEF34F61F23}">
      <dsp:nvSpPr>
        <dsp:cNvPr id="0" name=""/>
        <dsp:cNvSpPr/>
      </dsp:nvSpPr>
      <dsp:spPr>
        <a:xfrm>
          <a:off x="739679" y="65854"/>
          <a:ext cx="1000201" cy="3541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VIC" panose="00000500000000000000" pitchFamily="2" charset="0"/>
            </a:rPr>
            <a:t>Team facilitator </a:t>
          </a:r>
        </a:p>
      </dsp:txBody>
      <dsp:txXfrm>
        <a:off x="739679" y="65854"/>
        <a:ext cx="1000201" cy="354135"/>
      </dsp:txXfrm>
    </dsp:sp>
    <dsp:sp modelId="{3314BAAD-9994-4A51-8B7B-4942197E9F7B}">
      <dsp:nvSpPr>
        <dsp:cNvPr id="0" name=""/>
        <dsp:cNvSpPr/>
      </dsp:nvSpPr>
      <dsp:spPr>
        <a:xfrm rot="5400000">
          <a:off x="749305" y="886664"/>
          <a:ext cx="371842" cy="42332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A552958-25B1-4672-BC45-6AA7F4E91BB9}">
      <dsp:nvSpPr>
        <dsp:cNvPr id="0" name=""/>
        <dsp:cNvSpPr/>
      </dsp:nvSpPr>
      <dsp:spPr>
        <a:xfrm>
          <a:off x="523513" y="540265"/>
          <a:ext cx="625963" cy="30656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2</a:t>
          </a:r>
        </a:p>
      </dsp:txBody>
      <dsp:txXfrm>
        <a:off x="538481" y="555233"/>
        <a:ext cx="596027" cy="276627"/>
      </dsp:txXfrm>
    </dsp:sp>
    <dsp:sp modelId="{D2751182-D3B7-48A4-8FCD-B03812EEE92F}">
      <dsp:nvSpPr>
        <dsp:cNvPr id="0" name=""/>
        <dsp:cNvSpPr/>
      </dsp:nvSpPr>
      <dsp:spPr>
        <a:xfrm>
          <a:off x="1171245" y="523014"/>
          <a:ext cx="652760" cy="3541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VIC" panose="00000500000000000000" pitchFamily="2" charset="0"/>
            </a:rPr>
            <a:t>Team lead</a:t>
          </a:r>
        </a:p>
      </dsp:txBody>
      <dsp:txXfrm>
        <a:off x="1171245" y="523014"/>
        <a:ext cx="652760" cy="354135"/>
      </dsp:txXfrm>
    </dsp:sp>
    <dsp:sp modelId="{87E39093-84BF-4BDC-B05C-F649CEB23428}">
      <dsp:nvSpPr>
        <dsp:cNvPr id="0" name=""/>
        <dsp:cNvSpPr/>
      </dsp:nvSpPr>
      <dsp:spPr>
        <a:xfrm rot="5400000">
          <a:off x="1399080" y="1337068"/>
          <a:ext cx="371842" cy="423329"/>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B0D659B-654B-4653-9D6A-1108850EC555}">
      <dsp:nvSpPr>
        <dsp:cNvPr id="0" name=""/>
        <dsp:cNvSpPr/>
      </dsp:nvSpPr>
      <dsp:spPr>
        <a:xfrm>
          <a:off x="1274631" y="995050"/>
          <a:ext cx="625963" cy="297800"/>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3</a:t>
          </a:r>
        </a:p>
      </dsp:txBody>
      <dsp:txXfrm>
        <a:off x="1289171" y="1009590"/>
        <a:ext cx="596883" cy="268720"/>
      </dsp:txXfrm>
    </dsp:sp>
    <dsp:sp modelId="{2EAD9E50-1FE6-4DC6-816C-1E088DF28395}">
      <dsp:nvSpPr>
        <dsp:cNvPr id="0" name=""/>
        <dsp:cNvSpPr/>
      </dsp:nvSpPr>
      <dsp:spPr>
        <a:xfrm>
          <a:off x="1930158" y="1001235"/>
          <a:ext cx="715919" cy="3541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VIC" panose="00000500000000000000" pitchFamily="2" charset="0"/>
            </a:rPr>
            <a:t>Support person</a:t>
          </a:r>
        </a:p>
      </dsp:txBody>
      <dsp:txXfrm>
        <a:off x="1930158" y="1001235"/>
        <a:ext cx="715919" cy="354135"/>
      </dsp:txXfrm>
    </dsp:sp>
    <dsp:sp modelId="{33613558-D3A2-44D4-BD3E-BD21D926D225}">
      <dsp:nvSpPr>
        <dsp:cNvPr id="0" name=""/>
        <dsp:cNvSpPr/>
      </dsp:nvSpPr>
      <dsp:spPr>
        <a:xfrm>
          <a:off x="1843337" y="1434316"/>
          <a:ext cx="625963" cy="306563"/>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4</a:t>
          </a:r>
        </a:p>
      </dsp:txBody>
      <dsp:txXfrm>
        <a:off x="1858305" y="1449284"/>
        <a:ext cx="596027" cy="276627"/>
      </dsp:txXfrm>
    </dsp:sp>
    <dsp:sp modelId="{228DEDB4-E981-4334-B882-DBDD0724FF01}">
      <dsp:nvSpPr>
        <dsp:cNvPr id="0" name=""/>
        <dsp:cNvSpPr/>
      </dsp:nvSpPr>
      <dsp:spPr>
        <a:xfrm>
          <a:off x="2453952" y="1417065"/>
          <a:ext cx="701997" cy="3541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VIC" panose="00000500000000000000" pitchFamily="2" charset="0"/>
            </a:rPr>
            <a:t>Executive sponsor</a:t>
          </a:r>
        </a:p>
      </dsp:txBody>
      <dsp:txXfrm>
        <a:off x="2453952" y="1417065"/>
        <a:ext cx="701997" cy="354135"/>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10EB-1E54-494A-9156-2E3249C9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no image.dotx</Template>
  <TotalTime>9</TotalTime>
  <Pages>14</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Consumer representative involvement in adverse event reviews: a guide for health services</vt:lpstr>
    </vt:vector>
  </TitlesOfParts>
  <Company>Department of Treasury and Finance</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representative involvement in adverse event reviews: a guide for health services</dc:title>
  <dc:creator>Isabella Ryan (DHHS)</dc:creator>
  <cp:lastModifiedBy>Freya Jones (DHHS)</cp:lastModifiedBy>
  <cp:revision>3</cp:revision>
  <cp:lastPrinted>2019-07-04T03:02:00Z</cp:lastPrinted>
  <dcterms:created xsi:type="dcterms:W3CDTF">2019-06-27T07:26:00Z</dcterms:created>
  <dcterms:modified xsi:type="dcterms:W3CDTF">2019-07-04T03:17:00Z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