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F968" w14:textId="2AA8C4CC" w:rsidR="00BC3DE1" w:rsidRPr="00A65B86" w:rsidRDefault="00A65B86" w:rsidP="00BA6563">
      <w:pPr>
        <w:pStyle w:val="Title"/>
        <w:rPr>
          <w:rFonts w:ascii="VIC SemiBold" w:hAnsi="VIC SemiBold"/>
          <w:b w:val="0"/>
        </w:rPr>
      </w:pPr>
      <w:r w:rsidRPr="00A65B86">
        <w:rPr>
          <w:rFonts w:ascii="VIC SemiBold" w:hAnsi="VIC SemiBold"/>
          <w:b w:val="0"/>
        </w:rPr>
        <w:t>Equity and inclusion</w:t>
      </w:r>
    </w:p>
    <w:p w14:paraId="02E310D4" w14:textId="70D7D267" w:rsidR="00BC3DE1" w:rsidRDefault="00BC3DE1" w:rsidP="00BA6563">
      <w:pPr>
        <w:pStyle w:val="Title"/>
        <w:rPr>
          <w:rFonts w:asciiTheme="minorHAnsi" w:hAnsiTheme="minorHAnsi" w:cstheme="minorHAnsi"/>
          <w:bCs/>
          <w:color w:val="5AA962"/>
          <w:sz w:val="20"/>
          <w:szCs w:val="20"/>
        </w:rPr>
      </w:pPr>
    </w:p>
    <w:p w14:paraId="7CFCC553" w14:textId="77777777" w:rsidR="00A65B86" w:rsidRDefault="00A65B86" w:rsidP="00A65B86">
      <w:pPr>
        <w:pStyle w:val="Heading2"/>
        <w:rPr>
          <w:rFonts w:ascii="VIC SemiBold" w:hAnsi="VIC SemiBold"/>
          <w:b w:val="0"/>
        </w:rPr>
        <w:sectPr w:rsidR="00A65B86" w:rsidSect="009B69AE">
          <w:footerReference w:type="default" r:id="rId8"/>
          <w:headerReference w:type="first" r:id="rId9"/>
          <w:type w:val="continuous"/>
          <w:pgSz w:w="11906" w:h="16838" w:code="9"/>
          <w:pgMar w:top="2438" w:right="1021" w:bottom="284" w:left="1021" w:header="539" w:footer="624" w:gutter="0"/>
          <w:cols w:space="284"/>
          <w:titlePg/>
          <w:docGrid w:linePitch="360"/>
        </w:sectPr>
      </w:pPr>
    </w:p>
    <w:p w14:paraId="3AA831A5" w14:textId="234A0DF4" w:rsidR="00A65B86" w:rsidRDefault="00A65B86" w:rsidP="00A65B86">
      <w:pPr>
        <w:pStyle w:val="Heading2"/>
        <w:rPr>
          <w:rFonts w:ascii="VIC SemiBold" w:hAnsi="VIC SemiBold"/>
          <w:b w:val="0"/>
        </w:rPr>
      </w:pPr>
      <w:r w:rsidRPr="00CC14B3">
        <w:rPr>
          <w:rFonts w:ascii="VIC" w:hAnsi="VIC" w:cs="VIC-Bold"/>
          <w:bCs w:val="0"/>
          <w:noProof/>
        </w:rPr>
        <mc:AlternateContent>
          <mc:Choice Requires="wps">
            <w:drawing>
              <wp:anchor distT="45720" distB="45720" distL="114300" distR="114300" simplePos="0" relativeHeight="251661312" behindDoc="0" locked="0" layoutInCell="1" allowOverlap="1" wp14:anchorId="41BD4A5D" wp14:editId="4F9DE99D">
                <wp:simplePos x="0" y="0"/>
                <wp:positionH relativeFrom="margin">
                  <wp:align>right</wp:align>
                </wp:positionH>
                <wp:positionV relativeFrom="paragraph">
                  <wp:posOffset>393700</wp:posOffset>
                </wp:positionV>
                <wp:extent cx="3054350" cy="140462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4620"/>
                        </a:xfrm>
                        <a:prstGeom prst="rect">
                          <a:avLst/>
                        </a:prstGeom>
                        <a:solidFill>
                          <a:srgbClr val="5AAA64"/>
                        </a:solidFill>
                        <a:ln w="9525">
                          <a:noFill/>
                          <a:miter lim="800000"/>
                          <a:headEnd/>
                          <a:tailEnd/>
                        </a:ln>
                      </wps:spPr>
                      <wps:txbx>
                        <w:txbxContent>
                          <w:p w14:paraId="1094F6FD" w14:textId="071C7EC3" w:rsidR="00A65B86" w:rsidRPr="00CC14B3" w:rsidRDefault="00A65B86" w:rsidP="00A65B86">
                            <w:pPr>
                              <w:rPr>
                                <w:rFonts w:ascii="VIC" w:hAnsi="VIC"/>
                                <w:color w:val="FFFFFF" w:themeColor="background1"/>
                              </w:rPr>
                            </w:pPr>
                            <w:r w:rsidRPr="00CC14B3">
                              <w:rPr>
                                <w:rFonts w:ascii="VIC" w:hAnsi="VIC"/>
                                <w:color w:val="FFFFFF" w:themeColor="background1"/>
                              </w:rPr>
                              <w:t xml:space="preserve">‘I </w:t>
                            </w:r>
                            <w:r>
                              <w:rPr>
                                <w:rFonts w:ascii="VIC" w:hAnsi="VIC"/>
                                <w:color w:val="FFFFFF" w:themeColor="background1"/>
                              </w:rPr>
                              <w:t>receive care that is safe, effective and responsive to my needs.</w:t>
                            </w:r>
                            <w:r w:rsidRPr="00CC14B3">
                              <w:rPr>
                                <w:rFonts w:ascii="VIC" w:hAnsi="VIC"/>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D4A5D" id="_x0000_t202" coordsize="21600,21600" o:spt="202" path="m,l,21600r21600,l21600,xe">
                <v:stroke joinstyle="miter"/>
                <v:path gradientshapeok="t" o:connecttype="rect"/>
              </v:shapetype>
              <v:shape id="Text Box 2" o:spid="_x0000_s1026" type="#_x0000_t202" style="position:absolute;margin-left:189.3pt;margin-top:31pt;width:24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" fillcolor="#5aaa64" stroked="f">
                <v:textbox style="mso-fit-shape-to-text:t">
                  <w:txbxContent>
                    <w:p w14:paraId="1094F6FD" w14:textId="071C7EC3" w:rsidR="00A65B86" w:rsidRPr="00CC14B3" w:rsidRDefault="00A65B86" w:rsidP="00A65B86">
                      <w:pPr>
                        <w:rPr>
                          <w:rFonts w:ascii="VIC" w:hAnsi="VIC"/>
                          <w:color w:val="FFFFFF" w:themeColor="background1"/>
                        </w:rPr>
                      </w:pPr>
                      <w:r w:rsidRPr="00CC14B3">
                        <w:rPr>
                          <w:rFonts w:ascii="VIC" w:hAnsi="VIC"/>
                          <w:color w:val="FFFFFF" w:themeColor="background1"/>
                        </w:rPr>
                        <w:t xml:space="preserve">‘I </w:t>
                      </w:r>
                      <w:r>
                        <w:rPr>
                          <w:rFonts w:ascii="VIC" w:hAnsi="VIC"/>
                          <w:color w:val="FFFFFF" w:themeColor="background1"/>
                        </w:rPr>
                        <w:t>receive care that is safe, effective and responsive to my needs.</w:t>
                      </w:r>
                      <w:r w:rsidRPr="00CC14B3">
                        <w:rPr>
                          <w:rFonts w:ascii="VIC" w:hAnsi="VIC"/>
                          <w:color w:val="FFFFFF" w:themeColor="background1"/>
                        </w:rPr>
                        <w:t>’</w:t>
                      </w:r>
                    </w:p>
                  </w:txbxContent>
                </v:textbox>
                <w10:wrap type="square" anchorx="margin"/>
              </v:shape>
            </w:pict>
          </mc:Fallback>
        </mc:AlternateContent>
      </w:r>
      <w:r w:rsidRPr="00A65B86">
        <w:rPr>
          <w:rFonts w:ascii="VIC SemiBold" w:hAnsi="VIC SemiBold"/>
          <w:b w:val="0"/>
        </w:rPr>
        <w:t>How to use this resource</w:t>
      </w:r>
    </w:p>
    <w:p w14:paraId="2D772689" w14:textId="77777777" w:rsidR="007950D8" w:rsidRDefault="007950D8" w:rsidP="007950D8">
      <w:pPr>
        <w:pStyle w:val="Normalfollowingheading"/>
        <w:rPr>
          <w:rFonts w:ascii="VIC" w:hAnsi="VIC"/>
        </w:rPr>
      </w:pPr>
      <w:r w:rsidRPr="008A435E">
        <w:rPr>
          <w:rFonts w:ascii="VIC" w:hAnsi="VIC"/>
        </w:rPr>
        <w:t>This fact sheet has been developed to help health services</w:t>
      </w:r>
      <w:r>
        <w:rPr>
          <w:rFonts w:ascii="VIC" w:hAnsi="VIC"/>
        </w:rPr>
        <w:t xml:space="preserve"> </w:t>
      </w:r>
      <w:r w:rsidRPr="008A435E">
        <w:rPr>
          <w:rFonts w:ascii="VIC" w:hAnsi="VIC"/>
        </w:rPr>
        <w:t xml:space="preserve">meet their requirements under the </w:t>
      </w:r>
      <w:r w:rsidRPr="00146A86">
        <w:rPr>
          <w:rFonts w:ascii="VIC Medium" w:hAnsi="VIC Medium"/>
        </w:rPr>
        <w:t>National Safety and Quality Health Service (NSQHS) Standards</w:t>
      </w:r>
      <w:r>
        <w:rPr>
          <w:rFonts w:ascii="VIC" w:hAnsi="VIC"/>
        </w:rPr>
        <w:t>.</w:t>
      </w:r>
    </w:p>
    <w:p w14:paraId="4F0E2079" w14:textId="77777777" w:rsidR="007950D8" w:rsidRPr="004E2B74" w:rsidRDefault="007950D8" w:rsidP="007950D8">
      <w:pPr>
        <w:rPr>
          <w:rFonts w:ascii="VIC" w:hAnsi="VIC"/>
        </w:rPr>
      </w:pPr>
      <w:r w:rsidRPr="004E2B74">
        <w:rPr>
          <w:rFonts w:ascii="VIC" w:hAnsi="VIC"/>
        </w:rPr>
        <w:t>The second edition of the Standards features a greater focus on partnering with consumers</w:t>
      </w:r>
      <w:r>
        <w:rPr>
          <w:rFonts w:ascii="VIC" w:hAnsi="VIC"/>
        </w:rPr>
        <w:t xml:space="preserve">. </w:t>
      </w:r>
    </w:p>
    <w:p w14:paraId="6C009F77" w14:textId="77777777" w:rsidR="007950D8" w:rsidRDefault="007950D8" w:rsidP="007950D8">
      <w:pPr>
        <w:pStyle w:val="Normalfollowingheading"/>
        <w:rPr>
          <w:rFonts w:ascii="VIC" w:hAnsi="VIC"/>
        </w:rPr>
      </w:pPr>
      <w:r>
        <w:rPr>
          <w:rFonts w:ascii="VIC" w:hAnsi="VIC"/>
        </w:rPr>
        <w:t xml:space="preserve">To help you meet these updated requirements and achieve national accreditation, we’ve made sure our </w:t>
      </w:r>
      <w:r w:rsidRPr="00146A86">
        <w:rPr>
          <w:rFonts w:ascii="VIC Medium" w:hAnsi="VIC Medium"/>
        </w:rPr>
        <w:t>Partnering in healthcare framework</w:t>
      </w:r>
      <w:r>
        <w:rPr>
          <w:rFonts w:ascii="VIC" w:hAnsi="VIC"/>
        </w:rPr>
        <w:t xml:space="preserve"> aligns to each of the NSQHS Standards.</w:t>
      </w:r>
    </w:p>
    <w:p w14:paraId="6EF28C71" w14:textId="77777777" w:rsidR="007950D8" w:rsidRDefault="007950D8" w:rsidP="007950D8">
      <w:pPr>
        <w:pStyle w:val="Normalfollowingheading"/>
        <w:rPr>
          <w:rFonts w:ascii="VIC" w:hAnsi="VIC"/>
        </w:rPr>
      </w:pPr>
      <w:r>
        <w:rPr>
          <w:rFonts w:ascii="VIC" w:hAnsi="VIC"/>
        </w:rPr>
        <w:t>Use this resource to find:</w:t>
      </w:r>
    </w:p>
    <w:p w14:paraId="6A02C0C3" w14:textId="77777777" w:rsidR="007950D8" w:rsidRPr="008A435E" w:rsidRDefault="007950D8" w:rsidP="007950D8">
      <w:pPr>
        <w:pStyle w:val="Bullet1"/>
        <w:numPr>
          <w:ilvl w:val="0"/>
          <w:numId w:val="8"/>
        </w:numPr>
        <w:rPr>
          <w:rFonts w:ascii="VIC" w:hAnsi="VIC"/>
        </w:rPr>
      </w:pPr>
      <w:r w:rsidRPr="008A435E">
        <w:rPr>
          <w:rFonts w:ascii="VIC" w:hAnsi="VIC"/>
        </w:rPr>
        <w:t>information on this specific Partnering in healthcare framework domain</w:t>
      </w:r>
    </w:p>
    <w:p w14:paraId="06A9E078" w14:textId="77777777" w:rsidR="007950D8" w:rsidRDefault="007950D8" w:rsidP="007950D8">
      <w:pPr>
        <w:pStyle w:val="Bullet1"/>
        <w:numPr>
          <w:ilvl w:val="0"/>
          <w:numId w:val="8"/>
        </w:numPr>
        <w:rPr>
          <w:rFonts w:ascii="VIC" w:hAnsi="VIC"/>
        </w:rPr>
      </w:pPr>
      <w:r w:rsidRPr="008A435E">
        <w:rPr>
          <w:rFonts w:ascii="VIC" w:hAnsi="VIC"/>
        </w:rPr>
        <w:t xml:space="preserve">how </w:t>
      </w:r>
      <w:r>
        <w:rPr>
          <w:rFonts w:ascii="VIC" w:hAnsi="VIC"/>
        </w:rPr>
        <w:t xml:space="preserve">this domain aligns </w:t>
      </w:r>
      <w:r w:rsidRPr="008A435E">
        <w:rPr>
          <w:rFonts w:ascii="VIC" w:hAnsi="VIC"/>
        </w:rPr>
        <w:t>with each of the eight NSQHS Standards</w:t>
      </w:r>
    </w:p>
    <w:p w14:paraId="3E151716" w14:textId="77777777" w:rsidR="007950D8" w:rsidRPr="008A435E" w:rsidRDefault="007950D8" w:rsidP="007950D8">
      <w:pPr>
        <w:pStyle w:val="Bullet1"/>
        <w:numPr>
          <w:ilvl w:val="0"/>
          <w:numId w:val="8"/>
        </w:numPr>
        <w:rPr>
          <w:rFonts w:ascii="VIC" w:hAnsi="VIC"/>
        </w:rPr>
      </w:pPr>
      <w:r>
        <w:rPr>
          <w:rFonts w:ascii="VIC" w:hAnsi="VIC"/>
        </w:rPr>
        <w:t>a set of core actions from the NSQHS workbook that your health service can take to achieve accreditation</w:t>
      </w:r>
    </w:p>
    <w:p w14:paraId="79C68CB0" w14:textId="7348678E" w:rsidR="00A65B86" w:rsidRPr="007950D8" w:rsidRDefault="007950D8" w:rsidP="007950D8">
      <w:pPr>
        <w:pStyle w:val="Bullet1"/>
        <w:numPr>
          <w:ilvl w:val="0"/>
          <w:numId w:val="8"/>
        </w:numPr>
        <w:rPr>
          <w:rFonts w:ascii="VIC" w:hAnsi="VIC"/>
        </w:rPr>
      </w:pPr>
      <w:r w:rsidRPr="000316B3">
        <w:rPr>
          <w:noProof/>
        </w:rPr>
        <mc:AlternateContent>
          <mc:Choice Requires="wps">
            <w:drawing>
              <wp:anchor distT="45720" distB="45720" distL="114300" distR="114300" simplePos="0" relativeHeight="251659264" behindDoc="0" locked="0" layoutInCell="1" allowOverlap="1" wp14:anchorId="252EA10C" wp14:editId="0DB34595">
                <wp:simplePos x="0" y="0"/>
                <wp:positionH relativeFrom="margin">
                  <wp:posOffset>-635</wp:posOffset>
                </wp:positionH>
                <wp:positionV relativeFrom="paragraph">
                  <wp:posOffset>584200</wp:posOffset>
                </wp:positionV>
                <wp:extent cx="2898775" cy="94234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942340"/>
                        </a:xfrm>
                        <a:prstGeom prst="rect">
                          <a:avLst/>
                        </a:prstGeom>
                        <a:solidFill>
                          <a:schemeClr val="accent2">
                            <a:lumMod val="20000"/>
                            <a:lumOff val="80000"/>
                          </a:schemeClr>
                        </a:solidFill>
                        <a:ln w="9525">
                          <a:noFill/>
                          <a:miter lim="800000"/>
                          <a:headEnd/>
                          <a:tailEnd/>
                        </a:ln>
                      </wps:spPr>
                      <wps:txbx>
                        <w:txbxContent>
                          <w:p w14:paraId="361A7EDC" w14:textId="77777777" w:rsidR="00A65B86" w:rsidRPr="00AF2077" w:rsidRDefault="00A65B86" w:rsidP="00A65B86">
                            <w:pPr>
                              <w:pStyle w:val="IntroductoryText"/>
                              <w:rPr>
                                <w:rFonts w:ascii="VIC SemiBold" w:hAnsi="VIC SemiBold"/>
                                <w:b w:val="0"/>
                              </w:rPr>
                            </w:pPr>
                            <w:r w:rsidRPr="00AF2077">
                              <w:rPr>
                                <w:rFonts w:ascii="VIC" w:hAnsi="VIC"/>
                                <w:b w:val="0"/>
                              </w:rPr>
                              <w:t>For more information about the NSQHS Standards (second edition) visit</w:t>
                            </w:r>
                            <w:r w:rsidRPr="00AF2077">
                              <w:rPr>
                                <w:rFonts w:ascii="VIC SemiBold" w:hAnsi="VIC SemiBold"/>
                                <w:b w:val="0"/>
                              </w:rPr>
                              <w:t xml:space="preserve"> </w:t>
                            </w:r>
                            <w:r>
                              <w:rPr>
                                <w:rFonts w:ascii="VIC SemiBold" w:hAnsi="VIC SemiBold"/>
                                <w:b w:val="0"/>
                              </w:rPr>
                              <w:br/>
                            </w:r>
                            <w:hyperlink r:id="rId10" w:history="1">
                              <w:r w:rsidRPr="00AF2077">
                                <w:rPr>
                                  <w:rStyle w:val="Hyperlink"/>
                                  <w:rFonts w:ascii="VIC SemiBold" w:hAnsi="VIC SemiBold"/>
                                  <w:b w:val="0"/>
                                </w:rPr>
                                <w:t>www.safetyandquality.gov.au</w:t>
                              </w:r>
                            </w:hyperlink>
                          </w:p>
                          <w:p w14:paraId="3181887A" w14:textId="77777777" w:rsidR="00A65B86" w:rsidRPr="00AF2077" w:rsidRDefault="00A65B86" w:rsidP="00A65B86">
                            <w:pPr>
                              <w:pStyle w:val="IntroductoryText"/>
                              <w:rPr>
                                <w:rFonts w:ascii="VIC SemiBold" w:hAnsi="VIC Semi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A10C" id="_x0000_s1027" type="#_x0000_t202" style="position:absolute;left:0;text-align:left;margin-left:-.05pt;margin-top:46pt;width:228.25pt;height:7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" fillcolor="#e5f1f3 [661]" stroked="f">
                <v:textbox>
                  <w:txbxContent>
                    <w:p w14:paraId="361A7EDC" w14:textId="77777777" w:rsidR="00A65B86" w:rsidRPr="00AF2077" w:rsidRDefault="00A65B86" w:rsidP="00A65B86">
                      <w:pPr>
                        <w:pStyle w:val="IntroductoryText"/>
                        <w:rPr>
                          <w:rFonts w:ascii="VIC SemiBold" w:hAnsi="VIC SemiBold"/>
                          <w:b w:val="0"/>
                        </w:rPr>
                      </w:pPr>
                      <w:r w:rsidRPr="00AF2077">
                        <w:rPr>
                          <w:rFonts w:ascii="VIC" w:hAnsi="VIC"/>
                          <w:b w:val="0"/>
                        </w:rPr>
                        <w:t>For more information about the NSQHS Standards (second edition) visit</w:t>
                      </w:r>
                      <w:r w:rsidRPr="00AF2077">
                        <w:rPr>
                          <w:rFonts w:ascii="VIC SemiBold" w:hAnsi="VIC SemiBold"/>
                          <w:b w:val="0"/>
                        </w:rPr>
                        <w:t xml:space="preserve"> </w:t>
                      </w:r>
                      <w:r>
                        <w:rPr>
                          <w:rFonts w:ascii="VIC SemiBold" w:hAnsi="VIC SemiBold"/>
                          <w:b w:val="0"/>
                        </w:rPr>
                        <w:br/>
                      </w:r>
                      <w:hyperlink r:id="rId11" w:history="1">
                        <w:r w:rsidRPr="00AF2077">
                          <w:rPr>
                            <w:rStyle w:val="Hyperlink"/>
                            <w:rFonts w:ascii="VIC SemiBold" w:hAnsi="VIC SemiBold"/>
                            <w:b w:val="0"/>
                          </w:rPr>
                          <w:t>www.safetyandquality.gov.au</w:t>
                        </w:r>
                      </w:hyperlink>
                    </w:p>
                    <w:p w14:paraId="3181887A" w14:textId="77777777" w:rsidR="00A65B86" w:rsidRPr="00AF2077" w:rsidRDefault="00A65B86" w:rsidP="00A65B86">
                      <w:pPr>
                        <w:pStyle w:val="IntroductoryText"/>
                        <w:rPr>
                          <w:rFonts w:ascii="VIC SemiBold" w:hAnsi="VIC SemiBold"/>
                        </w:rPr>
                      </w:pPr>
                    </w:p>
                  </w:txbxContent>
                </v:textbox>
                <w10:wrap type="topAndBottom" anchorx="margin"/>
              </v:shape>
            </w:pict>
          </mc:Fallback>
        </mc:AlternateContent>
      </w:r>
      <w:r w:rsidRPr="008A435E">
        <w:rPr>
          <w:rFonts w:ascii="VIC" w:hAnsi="VIC"/>
        </w:rPr>
        <w:t>examples of evidence to demonstrate the relationship between the standards and th</w:t>
      </w:r>
      <w:r>
        <w:rPr>
          <w:rFonts w:ascii="VIC" w:hAnsi="VIC"/>
        </w:rPr>
        <w:t>is</w:t>
      </w:r>
      <w:r w:rsidRPr="008A435E">
        <w:rPr>
          <w:rFonts w:ascii="VIC" w:hAnsi="VIC"/>
        </w:rPr>
        <w:t xml:space="preserve"> domain.</w:t>
      </w:r>
    </w:p>
    <w:p w14:paraId="66A2606F" w14:textId="698D782E" w:rsidR="00A65B86" w:rsidRPr="00A65B86" w:rsidRDefault="00A65B86" w:rsidP="00A65B86">
      <w:pPr>
        <w:pStyle w:val="Heading3"/>
        <w:rPr>
          <w:rFonts w:ascii="VIC SemiBold" w:hAnsi="VIC SemiBold"/>
          <w:b w:val="0"/>
        </w:rPr>
      </w:pPr>
      <w:r>
        <w:br w:type="column"/>
      </w:r>
      <w:r w:rsidRPr="00A65B86">
        <w:rPr>
          <w:rFonts w:ascii="VIC SemiBold" w:hAnsi="VIC SemiBold"/>
          <w:b w:val="0"/>
        </w:rPr>
        <w:t>About the domain</w:t>
      </w:r>
    </w:p>
    <w:p w14:paraId="1E30FB04" w14:textId="4CB61E15" w:rsidR="003F1E99" w:rsidRPr="00A65B86" w:rsidRDefault="00A85746" w:rsidP="00A65B86">
      <w:pPr>
        <w:rPr>
          <w:rFonts w:ascii="VIC" w:hAnsi="VIC"/>
        </w:rPr>
      </w:pPr>
      <w:r w:rsidRPr="00A65B86">
        <w:rPr>
          <w:rFonts w:ascii="VIC" w:hAnsi="VIC"/>
        </w:rPr>
        <w:t>R</w:t>
      </w:r>
      <w:r w:rsidR="00BA6563" w:rsidRPr="00A65B86">
        <w:rPr>
          <w:rFonts w:ascii="VIC" w:hAnsi="VIC"/>
        </w:rPr>
        <w:t>esponding to diverse needs is complex. People want to be engaged and empowered in their healthcare experience and journey. Some groups and communities are often under</w:t>
      </w:r>
      <w:r w:rsidR="00101122">
        <w:rPr>
          <w:rFonts w:ascii="VIC" w:hAnsi="VIC"/>
        </w:rPr>
        <w:t>-</w:t>
      </w:r>
      <w:r w:rsidR="00BA6563" w:rsidRPr="00A65B86">
        <w:rPr>
          <w:rFonts w:ascii="VIC" w:hAnsi="VIC"/>
        </w:rPr>
        <w:t>represented in healthcare participation opportunities and structures and over-represented in clinical risk.</w:t>
      </w:r>
    </w:p>
    <w:p w14:paraId="16DC4E71" w14:textId="00D77B0F" w:rsidR="003F1E99" w:rsidRPr="00A65B86" w:rsidRDefault="00BA6563" w:rsidP="00A65B86">
      <w:pPr>
        <w:rPr>
          <w:rFonts w:ascii="VIC" w:hAnsi="VIC"/>
        </w:rPr>
      </w:pPr>
      <w:r w:rsidRPr="00A65B86">
        <w:rPr>
          <w:rFonts w:ascii="VIC" w:hAnsi="VIC"/>
        </w:rPr>
        <w:t>Informed by the World Health Organization</w:t>
      </w:r>
      <w:r w:rsidR="007748C2">
        <w:rPr>
          <w:rFonts w:ascii="VIC" w:hAnsi="VIC"/>
        </w:rPr>
        <w:t>’s definition</w:t>
      </w:r>
      <w:r w:rsidRPr="00A65B86">
        <w:rPr>
          <w:rFonts w:ascii="VIC" w:hAnsi="VIC"/>
        </w:rPr>
        <w:t xml:space="preserve">, equity is the absence of avoidable or remediable differences among groups of people, whether they are defined socially, culturally, linguistically, economically, demographically or geographically (HPH Task Force, 2014). </w:t>
      </w:r>
    </w:p>
    <w:p w14:paraId="584E43D4" w14:textId="4D8CF674" w:rsidR="007748C2" w:rsidRDefault="00BA6563" w:rsidP="00A65B86">
      <w:pPr>
        <w:rPr>
          <w:rFonts w:ascii="VIC" w:hAnsi="VIC"/>
        </w:rPr>
      </w:pPr>
      <w:r w:rsidRPr="00A65B86">
        <w:rPr>
          <w:rFonts w:ascii="VIC" w:hAnsi="VIC"/>
        </w:rPr>
        <w:t>Equity in healthcare means that all people receive care of equal quality that is safe, effective and person centred. An equitable approach does not mean that everyone receives the same care, but that all people have their healthcare needs equally well met, including through removing differences in the quality, safety and accessibility of opportunities, services and rights between groups of people.</w:t>
      </w:r>
      <w:r w:rsidR="00C51DF4" w:rsidRPr="00A65B86">
        <w:rPr>
          <w:rFonts w:ascii="VIC" w:hAnsi="VIC"/>
        </w:rPr>
        <w:t xml:space="preserve"> </w:t>
      </w:r>
    </w:p>
    <w:p w14:paraId="33D7A332" w14:textId="7DA2BEA5" w:rsidR="007748C2" w:rsidRDefault="007748C2" w:rsidP="007748C2">
      <w:pPr>
        <w:pStyle w:val="IntroductoryText"/>
        <w:rPr>
          <w:rFonts w:ascii="VIC" w:hAnsi="VIC"/>
        </w:rPr>
      </w:pPr>
      <w:r w:rsidRPr="00AF2077">
        <w:rPr>
          <w:rFonts w:ascii="VIC" w:hAnsi="VIC"/>
          <w:b w:val="0"/>
        </w:rPr>
        <w:t xml:space="preserve">For more about the Partnering in healthcare framework, email us at </w:t>
      </w:r>
      <w:r w:rsidRPr="003F0F96">
        <w:rPr>
          <w:rFonts w:ascii="VIC SemiBold" w:hAnsi="VIC SemiBold"/>
          <w:b w:val="0"/>
          <w:color w:val="auto"/>
        </w:rPr>
        <w:t>partnering@safercare.vic.gov.au</w:t>
      </w:r>
    </w:p>
    <w:p w14:paraId="7BE4A27F" w14:textId="77777777" w:rsidR="007748C2" w:rsidRDefault="007748C2" w:rsidP="00A65B86">
      <w:pPr>
        <w:rPr>
          <w:rFonts w:ascii="VIC" w:hAnsi="VIC"/>
        </w:rPr>
      </w:pPr>
    </w:p>
    <w:p w14:paraId="7524CEB3" w14:textId="58A1F559" w:rsidR="007748C2" w:rsidRPr="007748C2" w:rsidRDefault="007748C2" w:rsidP="00A65B86">
      <w:pPr>
        <w:rPr>
          <w:rFonts w:ascii="VIC" w:hAnsi="VIC"/>
        </w:rPr>
        <w:sectPr w:rsidR="007748C2" w:rsidRPr="007748C2" w:rsidSect="00A65B86">
          <w:type w:val="continuous"/>
          <w:pgSz w:w="11906" w:h="16838" w:code="9"/>
          <w:pgMar w:top="2438" w:right="1021" w:bottom="284" w:left="1021" w:header="539" w:footer="624" w:gutter="0"/>
          <w:cols w:num="2" w:space="284"/>
          <w:titlePg/>
          <w:docGrid w:linePitch="360"/>
        </w:sectPr>
      </w:pPr>
    </w:p>
    <w:p w14:paraId="0B30F300" w14:textId="082B0328" w:rsidR="00A65B86" w:rsidRPr="00A65B86" w:rsidRDefault="00A65B86" w:rsidP="00A65B86">
      <w:r>
        <w:br w:type="page"/>
      </w:r>
    </w:p>
    <w:tbl>
      <w:tblPr>
        <w:tblStyle w:val="TableGrid"/>
        <w:tblW w:w="4973" w:type="pct"/>
        <w:tblLook w:val="06A0" w:firstRow="1" w:lastRow="0" w:firstColumn="1" w:lastColumn="0" w:noHBand="1" w:noVBand="1"/>
      </w:tblPr>
      <w:tblGrid>
        <w:gridCol w:w="3947"/>
        <w:gridCol w:w="2932"/>
        <w:gridCol w:w="2932"/>
      </w:tblGrid>
      <w:tr w:rsidR="00D62029" w14:paraId="19FD485F" w14:textId="77777777" w:rsidTr="0087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578ABFED" w14:textId="03E2B5B5" w:rsidR="00D62029" w:rsidRPr="007748C2" w:rsidRDefault="00D62029" w:rsidP="007748C2">
            <w:pPr>
              <w:pStyle w:val="Heading2"/>
              <w:numPr>
                <w:ilvl w:val="0"/>
                <w:numId w:val="19"/>
              </w:numPr>
              <w:ind w:left="316"/>
              <w:outlineLvl w:val="1"/>
              <w:rPr>
                <w:rFonts w:ascii="VIC SemiBold" w:hAnsi="VIC SemiBold"/>
              </w:rPr>
            </w:pPr>
            <w:r w:rsidRPr="007748C2">
              <w:rPr>
                <w:rFonts w:ascii="VIC SemiBold" w:hAnsi="VIC SemiBold"/>
              </w:rPr>
              <w:lastRenderedPageBreak/>
              <w:t>CLINICAL GOVERNANCE STANDARD</w:t>
            </w:r>
          </w:p>
        </w:tc>
        <w:tc>
          <w:tcPr>
            <w:tcW w:w="1494" w:type="pct"/>
          </w:tcPr>
          <w:p w14:paraId="00F1D625" w14:textId="77777777" w:rsidR="00D62029" w:rsidRPr="007748C2" w:rsidRDefault="00D62029"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7748C2">
              <w:rPr>
                <w:rFonts w:ascii="VIC SemiBold" w:hAnsi="VIC SemiBold"/>
                <w:szCs w:val="28"/>
              </w:rPr>
              <w:t>ITEM</w:t>
            </w:r>
          </w:p>
        </w:tc>
        <w:tc>
          <w:tcPr>
            <w:tcW w:w="1494" w:type="pct"/>
          </w:tcPr>
          <w:p w14:paraId="58B10442" w14:textId="77777777" w:rsidR="00D62029" w:rsidRPr="007748C2" w:rsidRDefault="00D62029"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7748C2">
              <w:rPr>
                <w:rFonts w:ascii="VIC SemiBold" w:hAnsi="VIC SemiBold"/>
              </w:rPr>
              <w:t>ACTION</w:t>
            </w:r>
          </w:p>
        </w:tc>
      </w:tr>
      <w:tr w:rsidR="00D62029" w:rsidRPr="001324D2" w14:paraId="356E3A6B" w14:textId="77777777" w:rsidTr="008703D8">
        <w:tc>
          <w:tcPr>
            <w:cnfStyle w:val="001000000000" w:firstRow="0" w:lastRow="0" w:firstColumn="1" w:lastColumn="0" w:oddVBand="0" w:evenVBand="0" w:oddHBand="0" w:evenHBand="0" w:firstRowFirstColumn="0" w:firstRowLastColumn="0" w:lastRowFirstColumn="0" w:lastRowLastColumn="0"/>
            <w:tcW w:w="2012" w:type="pct"/>
            <w:vMerge w:val="restart"/>
          </w:tcPr>
          <w:p w14:paraId="24CE3523" w14:textId="570D437B" w:rsidR="00D62029" w:rsidRPr="007748C2" w:rsidRDefault="007748C2" w:rsidP="00D62029">
            <w:pPr>
              <w:rPr>
                <w:rFonts w:ascii="VIC Medium" w:hAnsi="VIC Medium"/>
                <w:b w:val="0"/>
                <w:sz w:val="20"/>
              </w:rPr>
            </w:pPr>
            <w:r w:rsidRPr="007748C2">
              <w:rPr>
                <w:rFonts w:ascii="VIC Medium" w:hAnsi="VIC Medium"/>
                <w:b w:val="0"/>
                <w:bCs/>
                <w:sz w:val="20"/>
              </w:rPr>
              <w:t xml:space="preserve">Governance, leadership </w:t>
            </w:r>
            <w:r>
              <w:rPr>
                <w:rFonts w:ascii="VIC Medium" w:hAnsi="VIC Medium"/>
                <w:b w:val="0"/>
                <w:bCs/>
                <w:sz w:val="20"/>
              </w:rPr>
              <w:t>and</w:t>
            </w:r>
            <w:r w:rsidRPr="007748C2">
              <w:rPr>
                <w:rFonts w:ascii="VIC Medium" w:hAnsi="VIC Medium"/>
                <w:b w:val="0"/>
                <w:bCs/>
                <w:sz w:val="20"/>
              </w:rPr>
              <w:t xml:space="preserve"> culture</w:t>
            </w:r>
            <w:r w:rsidR="00D62029" w:rsidRPr="007748C2">
              <w:rPr>
                <w:rFonts w:ascii="VIC Medium" w:hAnsi="VIC Medium"/>
                <w:b w:val="0"/>
                <w:sz w:val="20"/>
              </w:rPr>
              <w:t xml:space="preserve"> </w:t>
            </w:r>
          </w:p>
        </w:tc>
        <w:tc>
          <w:tcPr>
            <w:tcW w:w="1494" w:type="pct"/>
          </w:tcPr>
          <w:p w14:paraId="15D94447"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7748C2">
              <w:rPr>
                <w:rFonts w:ascii="VIC" w:hAnsi="VIC"/>
                <w:sz w:val="18"/>
                <w:szCs w:val="28"/>
              </w:rPr>
              <w:t>Governance, leadership and culture</w:t>
            </w:r>
          </w:p>
        </w:tc>
        <w:tc>
          <w:tcPr>
            <w:tcW w:w="1494" w:type="pct"/>
          </w:tcPr>
          <w:p w14:paraId="4B1D12FC"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7748C2">
              <w:rPr>
                <w:rFonts w:ascii="VIC" w:hAnsi="VIC"/>
                <w:sz w:val="18"/>
              </w:rPr>
              <w:t xml:space="preserve">1.1, </w:t>
            </w:r>
            <w:r w:rsidRPr="007748C2">
              <w:rPr>
                <w:rFonts w:ascii="VIC SemiBold" w:hAnsi="VIC SemiBold"/>
                <w:sz w:val="18"/>
              </w:rPr>
              <w:t>1.2*</w:t>
            </w:r>
            <w:r w:rsidRPr="007748C2">
              <w:rPr>
                <w:rFonts w:ascii="VIC" w:hAnsi="VIC"/>
                <w:sz w:val="18"/>
              </w:rPr>
              <w:t xml:space="preserve"> </w:t>
            </w:r>
          </w:p>
        </w:tc>
      </w:tr>
      <w:tr w:rsidR="00D62029" w:rsidRPr="001324D2" w14:paraId="0A90FB40" w14:textId="77777777" w:rsidTr="008703D8">
        <w:tc>
          <w:tcPr>
            <w:cnfStyle w:val="001000000000" w:firstRow="0" w:lastRow="0" w:firstColumn="1" w:lastColumn="0" w:oddVBand="0" w:evenVBand="0" w:oddHBand="0" w:evenHBand="0" w:firstRowFirstColumn="0" w:firstRowLastColumn="0" w:lastRowFirstColumn="0" w:lastRowLastColumn="0"/>
            <w:tcW w:w="2012" w:type="pct"/>
            <w:vMerge/>
          </w:tcPr>
          <w:p w14:paraId="60C3F1C9" w14:textId="77777777" w:rsidR="00D62029" w:rsidRPr="007748C2" w:rsidRDefault="00D62029" w:rsidP="00D62029">
            <w:pPr>
              <w:rPr>
                <w:rFonts w:ascii="VIC Medium" w:hAnsi="VIC Medium"/>
                <w:b w:val="0"/>
                <w:sz w:val="20"/>
              </w:rPr>
            </w:pPr>
          </w:p>
        </w:tc>
        <w:tc>
          <w:tcPr>
            <w:tcW w:w="1494" w:type="pct"/>
          </w:tcPr>
          <w:p w14:paraId="581FA0D5" w14:textId="77777777" w:rsidR="00D62029" w:rsidRPr="007748C2" w:rsidRDefault="00D62029" w:rsidP="00D62029">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Organisational Leadership</w:t>
            </w:r>
          </w:p>
        </w:tc>
        <w:tc>
          <w:tcPr>
            <w:tcW w:w="1494" w:type="pct"/>
          </w:tcPr>
          <w:p w14:paraId="5069EC09"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 xml:space="preserve">1.3, </w:t>
            </w:r>
            <w:r w:rsidRPr="007748C2">
              <w:rPr>
                <w:rFonts w:ascii="VIC SemiBold" w:hAnsi="VIC SemiBold"/>
                <w:sz w:val="18"/>
              </w:rPr>
              <w:t>1.4*</w:t>
            </w:r>
            <w:r w:rsidRPr="007748C2">
              <w:rPr>
                <w:rFonts w:ascii="VIC" w:hAnsi="VIC"/>
                <w:sz w:val="18"/>
              </w:rPr>
              <w:t>, 1.5</w:t>
            </w:r>
          </w:p>
        </w:tc>
      </w:tr>
      <w:tr w:rsidR="00D62029" w:rsidRPr="001324D2" w14:paraId="5426F234" w14:textId="77777777" w:rsidTr="008703D8">
        <w:tc>
          <w:tcPr>
            <w:cnfStyle w:val="001000000000" w:firstRow="0" w:lastRow="0" w:firstColumn="1" w:lastColumn="0" w:oddVBand="0" w:evenVBand="0" w:oddHBand="0" w:evenHBand="0" w:firstRowFirstColumn="0" w:firstRowLastColumn="0" w:lastRowFirstColumn="0" w:lastRowLastColumn="0"/>
            <w:tcW w:w="2012" w:type="pct"/>
            <w:vMerge/>
          </w:tcPr>
          <w:p w14:paraId="770381E4" w14:textId="77777777" w:rsidR="00D62029" w:rsidRPr="007748C2" w:rsidRDefault="00D62029" w:rsidP="00D62029">
            <w:pPr>
              <w:rPr>
                <w:rFonts w:ascii="VIC Medium" w:hAnsi="VIC Medium"/>
                <w:b w:val="0"/>
                <w:sz w:val="20"/>
              </w:rPr>
            </w:pPr>
          </w:p>
        </w:tc>
        <w:tc>
          <w:tcPr>
            <w:tcW w:w="1494" w:type="pct"/>
          </w:tcPr>
          <w:p w14:paraId="5C9AF825" w14:textId="77777777" w:rsidR="00D62029" w:rsidRPr="007748C2" w:rsidRDefault="00D62029" w:rsidP="00D62029">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 xml:space="preserve">Clinical Leadership  </w:t>
            </w:r>
          </w:p>
        </w:tc>
        <w:tc>
          <w:tcPr>
            <w:tcW w:w="1494" w:type="pct"/>
          </w:tcPr>
          <w:p w14:paraId="402E8812"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1.6</w:t>
            </w:r>
          </w:p>
        </w:tc>
      </w:tr>
      <w:tr w:rsidR="00D62029" w:rsidRPr="001324D2" w14:paraId="14DC7331" w14:textId="77777777" w:rsidTr="008703D8">
        <w:tc>
          <w:tcPr>
            <w:cnfStyle w:val="001000000000" w:firstRow="0" w:lastRow="0" w:firstColumn="1" w:lastColumn="0" w:oddVBand="0" w:evenVBand="0" w:oddHBand="0" w:evenHBand="0" w:firstRowFirstColumn="0" w:firstRowLastColumn="0" w:lastRowFirstColumn="0" w:lastRowLastColumn="0"/>
            <w:tcW w:w="2012" w:type="pct"/>
            <w:vMerge w:val="restart"/>
          </w:tcPr>
          <w:p w14:paraId="7526A2A8" w14:textId="2E57C545" w:rsidR="00D62029" w:rsidRPr="007748C2" w:rsidRDefault="007748C2" w:rsidP="00D62029">
            <w:pPr>
              <w:rPr>
                <w:rFonts w:ascii="VIC Medium" w:hAnsi="VIC Medium"/>
                <w:b w:val="0"/>
                <w:sz w:val="20"/>
              </w:rPr>
            </w:pPr>
            <w:r w:rsidRPr="007748C2">
              <w:rPr>
                <w:rFonts w:ascii="VIC Medium" w:hAnsi="VIC Medium"/>
                <w:b w:val="0"/>
                <w:sz w:val="20"/>
              </w:rPr>
              <w:t>Patient safety and quality systems</w:t>
            </w:r>
          </w:p>
        </w:tc>
        <w:tc>
          <w:tcPr>
            <w:tcW w:w="1494" w:type="pct"/>
          </w:tcPr>
          <w:p w14:paraId="663B0B34"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Measurement and quality improvement</w:t>
            </w:r>
          </w:p>
        </w:tc>
        <w:tc>
          <w:tcPr>
            <w:tcW w:w="1494" w:type="pct"/>
          </w:tcPr>
          <w:p w14:paraId="0229B39E"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1.8, 1.9</w:t>
            </w:r>
          </w:p>
        </w:tc>
      </w:tr>
      <w:tr w:rsidR="00D62029" w14:paraId="696041B9"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683BDA85" w14:textId="77777777" w:rsidR="00D62029" w:rsidRPr="007748C2" w:rsidRDefault="00D62029" w:rsidP="00D62029">
            <w:pPr>
              <w:rPr>
                <w:rFonts w:ascii="VIC Medium" w:hAnsi="VIC Medium"/>
                <w:b w:val="0"/>
                <w:sz w:val="20"/>
              </w:rPr>
            </w:pPr>
          </w:p>
        </w:tc>
        <w:tc>
          <w:tcPr>
            <w:tcW w:w="1494" w:type="pct"/>
          </w:tcPr>
          <w:p w14:paraId="5B3B083E"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Risk Management</w:t>
            </w:r>
          </w:p>
        </w:tc>
        <w:tc>
          <w:tcPr>
            <w:tcW w:w="1494" w:type="pct"/>
          </w:tcPr>
          <w:p w14:paraId="02B809E5"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1.10</w:t>
            </w:r>
          </w:p>
        </w:tc>
      </w:tr>
      <w:tr w:rsidR="00D62029" w:rsidRPr="001324D2" w14:paraId="784C0F9F"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2CC64481" w14:textId="77777777" w:rsidR="00D62029" w:rsidRPr="007748C2" w:rsidRDefault="00D62029" w:rsidP="00D62029">
            <w:pPr>
              <w:rPr>
                <w:rFonts w:ascii="VIC Medium" w:hAnsi="VIC Medium"/>
                <w:b w:val="0"/>
                <w:sz w:val="20"/>
              </w:rPr>
            </w:pPr>
          </w:p>
        </w:tc>
        <w:tc>
          <w:tcPr>
            <w:tcW w:w="1494" w:type="pct"/>
          </w:tcPr>
          <w:p w14:paraId="4D3EE1BA"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Incident management systems and open disclosure</w:t>
            </w:r>
          </w:p>
        </w:tc>
        <w:tc>
          <w:tcPr>
            <w:tcW w:w="1494" w:type="pct"/>
          </w:tcPr>
          <w:p w14:paraId="006686BF"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1.11, 1.12</w:t>
            </w:r>
          </w:p>
        </w:tc>
      </w:tr>
      <w:tr w:rsidR="00D62029" w14:paraId="69B57EB6"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1900367C" w14:textId="77777777" w:rsidR="00D62029" w:rsidRPr="007748C2" w:rsidRDefault="00D62029" w:rsidP="00D62029">
            <w:pPr>
              <w:rPr>
                <w:rFonts w:ascii="VIC Medium" w:hAnsi="VIC Medium"/>
                <w:b w:val="0"/>
                <w:sz w:val="20"/>
              </w:rPr>
            </w:pPr>
          </w:p>
        </w:tc>
        <w:tc>
          <w:tcPr>
            <w:tcW w:w="1494" w:type="pct"/>
          </w:tcPr>
          <w:p w14:paraId="3836EE51"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Feedback and complaints management</w:t>
            </w:r>
          </w:p>
        </w:tc>
        <w:tc>
          <w:tcPr>
            <w:tcW w:w="1494" w:type="pct"/>
          </w:tcPr>
          <w:p w14:paraId="2E6166E7"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1.13, 1.14</w:t>
            </w:r>
          </w:p>
        </w:tc>
      </w:tr>
      <w:tr w:rsidR="00D62029" w14:paraId="508B5B57"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72CB014D" w14:textId="77777777" w:rsidR="00D62029" w:rsidRPr="007748C2" w:rsidRDefault="00D62029" w:rsidP="00D62029">
            <w:pPr>
              <w:rPr>
                <w:rFonts w:ascii="VIC Medium" w:hAnsi="VIC Medium"/>
                <w:b w:val="0"/>
                <w:sz w:val="20"/>
              </w:rPr>
            </w:pPr>
          </w:p>
        </w:tc>
        <w:tc>
          <w:tcPr>
            <w:tcW w:w="1494" w:type="pct"/>
          </w:tcPr>
          <w:p w14:paraId="70FDEA78"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Diversity and high-risk groups</w:t>
            </w:r>
          </w:p>
        </w:tc>
        <w:tc>
          <w:tcPr>
            <w:tcW w:w="1494" w:type="pct"/>
          </w:tcPr>
          <w:p w14:paraId="5818F567"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1.15</w:t>
            </w:r>
          </w:p>
        </w:tc>
      </w:tr>
      <w:tr w:rsidR="00D62029" w14:paraId="6D6C4CB6"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0D3BFA2A" w14:textId="0E980D23" w:rsidR="00D62029" w:rsidRPr="007748C2" w:rsidRDefault="007748C2" w:rsidP="00D62029">
            <w:pPr>
              <w:rPr>
                <w:rFonts w:ascii="VIC Medium" w:hAnsi="VIC Medium"/>
                <w:b w:val="0"/>
                <w:sz w:val="20"/>
              </w:rPr>
            </w:pPr>
            <w:r w:rsidRPr="007748C2">
              <w:rPr>
                <w:rFonts w:ascii="VIC Medium" w:hAnsi="VIC Medium"/>
                <w:b w:val="0"/>
                <w:sz w:val="20"/>
              </w:rPr>
              <w:t>Clinical performance and effectiveness</w:t>
            </w:r>
          </w:p>
        </w:tc>
        <w:tc>
          <w:tcPr>
            <w:tcW w:w="1494" w:type="pct"/>
          </w:tcPr>
          <w:p w14:paraId="50F8E3C4"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Safety and quality training</w:t>
            </w:r>
          </w:p>
        </w:tc>
        <w:tc>
          <w:tcPr>
            <w:tcW w:w="1494" w:type="pct"/>
          </w:tcPr>
          <w:p w14:paraId="7746AD1E"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 xml:space="preserve">1.19, </w:t>
            </w:r>
            <w:r w:rsidRPr="007748C2">
              <w:rPr>
                <w:rFonts w:ascii="VIC SemiBold" w:hAnsi="VIC SemiBold"/>
                <w:sz w:val="18"/>
              </w:rPr>
              <w:t>1.21*</w:t>
            </w:r>
          </w:p>
        </w:tc>
      </w:tr>
      <w:tr w:rsidR="00D62029" w14:paraId="0F906BCE" w14:textId="77777777" w:rsidTr="00BA4FF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6EC7C2D9" w14:textId="32E2A106" w:rsidR="00D62029" w:rsidRPr="007748C2" w:rsidRDefault="007748C2" w:rsidP="00D62029">
            <w:pPr>
              <w:rPr>
                <w:rFonts w:ascii="VIC Medium" w:hAnsi="VIC Medium"/>
                <w:b w:val="0"/>
                <w:sz w:val="20"/>
              </w:rPr>
            </w:pPr>
            <w:r w:rsidRPr="007748C2">
              <w:rPr>
                <w:rFonts w:ascii="VIC Medium" w:hAnsi="VIC Medium"/>
                <w:b w:val="0"/>
                <w:sz w:val="20"/>
              </w:rPr>
              <w:t>Safe enviro</w:t>
            </w:r>
            <w:r>
              <w:rPr>
                <w:rFonts w:ascii="VIC Medium" w:hAnsi="VIC Medium"/>
                <w:b w:val="0"/>
                <w:sz w:val="20"/>
              </w:rPr>
              <w:t>n</w:t>
            </w:r>
            <w:r w:rsidRPr="007748C2">
              <w:rPr>
                <w:rFonts w:ascii="VIC Medium" w:hAnsi="VIC Medium"/>
                <w:b w:val="0"/>
                <w:sz w:val="20"/>
              </w:rPr>
              <w:t>ments for the delivery of care</w:t>
            </w:r>
          </w:p>
        </w:tc>
        <w:tc>
          <w:tcPr>
            <w:tcW w:w="1494" w:type="pct"/>
          </w:tcPr>
          <w:p w14:paraId="008AEBDB" w14:textId="77777777"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w:hAnsi="VIC"/>
                <w:sz w:val="18"/>
              </w:rPr>
            </w:pPr>
            <w:r w:rsidRPr="007748C2">
              <w:rPr>
                <w:rFonts w:ascii="VIC" w:hAnsi="VIC"/>
                <w:sz w:val="18"/>
              </w:rPr>
              <w:t>Safe environment</w:t>
            </w:r>
          </w:p>
        </w:tc>
        <w:tc>
          <w:tcPr>
            <w:tcW w:w="1494" w:type="pct"/>
          </w:tcPr>
          <w:p w14:paraId="6C86EF1F" w14:textId="087F378D" w:rsidR="00D62029" w:rsidRPr="007748C2" w:rsidRDefault="00D62029" w:rsidP="00D62029">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7748C2">
              <w:rPr>
                <w:rFonts w:ascii="VIC SemiBold" w:hAnsi="VIC SemiBold"/>
                <w:sz w:val="18"/>
              </w:rPr>
              <w:t>1.30*, 1.31*, 1.32*</w:t>
            </w:r>
          </w:p>
        </w:tc>
      </w:tr>
      <w:tr w:rsidR="00D62029" w14:paraId="7A044196" w14:textId="77777777" w:rsidTr="00D6202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6F66E4D7" w14:textId="07B28573" w:rsidR="007748C2" w:rsidRPr="00494802" w:rsidRDefault="007748C2" w:rsidP="007748C2">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sidR="009E06FA">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3653A4F3" w14:textId="45FDE942" w:rsidR="00BA6563" w:rsidRPr="007748C2" w:rsidRDefault="007748C2" w:rsidP="007748C2">
            <w:pPr>
              <w:pStyle w:val="Bullet1"/>
              <w:rPr>
                <w:rFonts w:ascii="VIC" w:hAnsi="VIC"/>
                <w:b w:val="0"/>
                <w:color w:val="auto"/>
                <w:sz w:val="18"/>
              </w:rPr>
            </w:pPr>
            <w:r>
              <w:rPr>
                <w:rFonts w:ascii="VIC" w:hAnsi="VIC"/>
                <w:b w:val="0"/>
                <w:color w:val="auto"/>
                <w:sz w:val="18"/>
              </w:rPr>
              <w:t>e</w:t>
            </w:r>
            <w:r w:rsidR="00BA6563" w:rsidRPr="007748C2">
              <w:rPr>
                <w:rFonts w:ascii="VIC" w:hAnsi="VIC"/>
                <w:b w:val="0"/>
                <w:color w:val="auto"/>
                <w:sz w:val="18"/>
              </w:rPr>
              <w:t>xamples of actions taken to meet the needs of high-risk patients (for example,</w:t>
            </w:r>
            <w:r w:rsidR="00BA6563" w:rsidRPr="007748C2">
              <w:rPr>
                <w:rFonts w:ascii="Cambria" w:hAnsi="Cambria" w:cs="Cambria"/>
                <w:b w:val="0"/>
                <w:color w:val="auto"/>
                <w:sz w:val="18"/>
              </w:rPr>
              <w:t> </w:t>
            </w:r>
            <w:r w:rsidR="00BA6563" w:rsidRPr="007748C2">
              <w:rPr>
                <w:rFonts w:ascii="VIC" w:hAnsi="VIC"/>
                <w:b w:val="0"/>
                <w:color w:val="auto"/>
                <w:sz w:val="18"/>
              </w:rPr>
              <w:t xml:space="preserve">cultural awareness events) </w:t>
            </w:r>
          </w:p>
          <w:p w14:paraId="41EBDAF7" w14:textId="1090781D" w:rsidR="00BA6563" w:rsidRPr="007748C2" w:rsidRDefault="007748C2" w:rsidP="007748C2">
            <w:pPr>
              <w:pStyle w:val="Bullet1"/>
              <w:rPr>
                <w:rFonts w:ascii="VIC" w:hAnsi="VIC"/>
                <w:b w:val="0"/>
                <w:color w:val="auto"/>
                <w:sz w:val="18"/>
              </w:rPr>
            </w:pPr>
            <w:r>
              <w:rPr>
                <w:rFonts w:ascii="VIC" w:hAnsi="VIC"/>
                <w:b w:val="0"/>
                <w:color w:val="auto"/>
                <w:sz w:val="18"/>
              </w:rPr>
              <w:t>c</w:t>
            </w:r>
            <w:r w:rsidR="00BA6563" w:rsidRPr="007748C2">
              <w:rPr>
                <w:rFonts w:ascii="VIC" w:hAnsi="VIC"/>
                <w:b w:val="0"/>
                <w:color w:val="auto"/>
                <w:sz w:val="18"/>
              </w:rPr>
              <w:t>onsumer information that is available in different formats and languages that reflect the diversity of the patient population</w:t>
            </w:r>
          </w:p>
          <w:p w14:paraId="7D9937F2" w14:textId="71449BAE" w:rsidR="00687CD6" w:rsidRPr="00BA6563" w:rsidRDefault="007748C2" w:rsidP="007748C2">
            <w:pPr>
              <w:pStyle w:val="Bullet1"/>
            </w:pPr>
            <w:r>
              <w:rPr>
                <w:rFonts w:ascii="VIC" w:hAnsi="VIC"/>
                <w:b w:val="0"/>
                <w:color w:val="auto"/>
                <w:sz w:val="18"/>
              </w:rPr>
              <w:t>m</w:t>
            </w:r>
            <w:r w:rsidR="00BA6563" w:rsidRPr="007748C2">
              <w:rPr>
                <w:rFonts w:ascii="VIC" w:hAnsi="VIC"/>
                <w:b w:val="0"/>
                <w:color w:val="auto"/>
                <w:sz w:val="18"/>
              </w:rPr>
              <w:t>embership of committees with consumer representation that reflect the diversity of the patient population</w:t>
            </w:r>
            <w:r>
              <w:rPr>
                <w:rFonts w:ascii="VIC" w:hAnsi="VIC"/>
                <w:b w:val="0"/>
                <w:color w:val="auto"/>
                <w:sz w:val="18"/>
              </w:rPr>
              <w:t>.</w:t>
            </w:r>
          </w:p>
        </w:tc>
      </w:tr>
    </w:tbl>
    <w:p w14:paraId="10550F4E" w14:textId="5526CDCE" w:rsidR="007748C2" w:rsidRDefault="007748C2" w:rsidP="005953EA">
      <w:pPr>
        <w:rPr>
          <w:b/>
        </w:rPr>
      </w:pPr>
    </w:p>
    <w:p w14:paraId="06285A8F" w14:textId="6C1A00A7" w:rsidR="00CD3C79" w:rsidRDefault="007748C2" w:rsidP="005953EA">
      <w:pPr>
        <w:rPr>
          <w:b/>
        </w:rPr>
      </w:pPr>
      <w:r>
        <w:rPr>
          <w:b/>
        </w:rPr>
        <w:br w:type="page"/>
      </w:r>
    </w:p>
    <w:tbl>
      <w:tblPr>
        <w:tblStyle w:val="TableGrid"/>
        <w:tblW w:w="4973" w:type="pct"/>
        <w:tblLook w:val="06A0" w:firstRow="1" w:lastRow="0" w:firstColumn="1" w:lastColumn="0" w:noHBand="1" w:noVBand="1"/>
      </w:tblPr>
      <w:tblGrid>
        <w:gridCol w:w="3947"/>
        <w:gridCol w:w="2932"/>
        <w:gridCol w:w="2932"/>
      </w:tblGrid>
      <w:tr w:rsidR="00147178" w14:paraId="4E835BE5" w14:textId="77777777" w:rsidTr="00704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2A38E7E6" w14:textId="1B126AA6" w:rsidR="00147178" w:rsidRPr="007748C2" w:rsidRDefault="00147178" w:rsidP="007748C2">
            <w:pPr>
              <w:pStyle w:val="Heading2"/>
              <w:numPr>
                <w:ilvl w:val="0"/>
                <w:numId w:val="19"/>
              </w:numPr>
              <w:ind w:left="316"/>
              <w:outlineLvl w:val="1"/>
              <w:rPr>
                <w:rFonts w:ascii="VIC SemiBold" w:hAnsi="VIC SemiBold"/>
              </w:rPr>
            </w:pPr>
            <w:r w:rsidRPr="007748C2">
              <w:rPr>
                <w:rFonts w:ascii="VIC SemiBold" w:hAnsi="VIC SemiBold"/>
              </w:rPr>
              <w:lastRenderedPageBreak/>
              <w:t>PARTNERING WITH CONSUMER</w:t>
            </w:r>
            <w:r w:rsidR="00687CD6" w:rsidRPr="007748C2">
              <w:rPr>
                <w:rFonts w:ascii="VIC SemiBold" w:hAnsi="VIC SemiBold"/>
              </w:rPr>
              <w:t>S</w:t>
            </w:r>
            <w:r w:rsidRPr="007748C2">
              <w:rPr>
                <w:rFonts w:ascii="VIC SemiBold" w:hAnsi="VIC SemiBold"/>
              </w:rPr>
              <w:t xml:space="preserve"> STANDARD</w:t>
            </w:r>
          </w:p>
        </w:tc>
        <w:tc>
          <w:tcPr>
            <w:tcW w:w="1494" w:type="pct"/>
          </w:tcPr>
          <w:p w14:paraId="64251DBF" w14:textId="77777777" w:rsidR="00147178" w:rsidRPr="007748C2" w:rsidRDefault="00147178"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7748C2">
              <w:rPr>
                <w:rFonts w:ascii="VIC SemiBold" w:hAnsi="VIC SemiBold"/>
                <w:szCs w:val="28"/>
              </w:rPr>
              <w:t>ITEM</w:t>
            </w:r>
          </w:p>
        </w:tc>
        <w:tc>
          <w:tcPr>
            <w:tcW w:w="1494" w:type="pct"/>
          </w:tcPr>
          <w:p w14:paraId="7EF31541" w14:textId="77777777" w:rsidR="00147178" w:rsidRPr="007748C2" w:rsidRDefault="00147178"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7748C2">
              <w:rPr>
                <w:rFonts w:ascii="VIC SemiBold" w:hAnsi="VIC SemiBold"/>
              </w:rPr>
              <w:t>ACTION</w:t>
            </w:r>
          </w:p>
        </w:tc>
      </w:tr>
      <w:tr w:rsidR="00147178" w:rsidRPr="001324D2" w14:paraId="6CD9FF02" w14:textId="77777777" w:rsidTr="007047EF">
        <w:tc>
          <w:tcPr>
            <w:cnfStyle w:val="001000000000" w:firstRow="0" w:lastRow="0" w:firstColumn="1" w:lastColumn="0" w:oddVBand="0" w:evenVBand="0" w:oddHBand="0" w:evenHBand="0" w:firstRowFirstColumn="0" w:firstRowLastColumn="0" w:lastRowFirstColumn="0" w:lastRowLastColumn="0"/>
            <w:tcW w:w="2012" w:type="pct"/>
            <w:vMerge w:val="restart"/>
          </w:tcPr>
          <w:p w14:paraId="20692EA5" w14:textId="37F36E1B" w:rsidR="00147178" w:rsidRPr="007748C2" w:rsidRDefault="007748C2" w:rsidP="00147178">
            <w:pPr>
              <w:rPr>
                <w:rFonts w:ascii="VIC Medium" w:hAnsi="VIC Medium"/>
                <w:b w:val="0"/>
                <w:sz w:val="20"/>
                <w:szCs w:val="28"/>
              </w:rPr>
            </w:pPr>
            <w:r w:rsidRPr="007748C2">
              <w:rPr>
                <w:rFonts w:ascii="VIC Medium" w:hAnsi="VIC Medium"/>
                <w:b w:val="0"/>
                <w:sz w:val="20"/>
              </w:rPr>
              <w:t>Clinical governance and quality improvement systems to support partnering with consumers</w:t>
            </w:r>
          </w:p>
        </w:tc>
        <w:tc>
          <w:tcPr>
            <w:tcW w:w="1494" w:type="pct"/>
          </w:tcPr>
          <w:p w14:paraId="7E2F2A3B"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Integrating clinical governance</w:t>
            </w:r>
          </w:p>
        </w:tc>
        <w:tc>
          <w:tcPr>
            <w:tcW w:w="1494" w:type="pct"/>
          </w:tcPr>
          <w:p w14:paraId="727425C6"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7748C2">
              <w:rPr>
                <w:rFonts w:ascii="VIC SemiBold" w:hAnsi="VIC SemiBold"/>
                <w:sz w:val="18"/>
                <w:szCs w:val="28"/>
              </w:rPr>
              <w:t>2.1*</w:t>
            </w:r>
          </w:p>
        </w:tc>
      </w:tr>
      <w:tr w:rsidR="00147178" w:rsidRPr="001324D2" w14:paraId="2E5F6438" w14:textId="77777777" w:rsidTr="007047EF">
        <w:tc>
          <w:tcPr>
            <w:cnfStyle w:val="001000000000" w:firstRow="0" w:lastRow="0" w:firstColumn="1" w:lastColumn="0" w:oddVBand="0" w:evenVBand="0" w:oddHBand="0" w:evenHBand="0" w:firstRowFirstColumn="0" w:firstRowLastColumn="0" w:lastRowFirstColumn="0" w:lastRowLastColumn="0"/>
            <w:tcW w:w="2012" w:type="pct"/>
            <w:vMerge/>
          </w:tcPr>
          <w:p w14:paraId="0218E717" w14:textId="77777777" w:rsidR="00147178" w:rsidRPr="007748C2" w:rsidRDefault="00147178" w:rsidP="00147178">
            <w:pPr>
              <w:rPr>
                <w:rFonts w:ascii="VIC Medium" w:hAnsi="VIC Medium"/>
                <w:b w:val="0"/>
                <w:sz w:val="20"/>
              </w:rPr>
            </w:pPr>
          </w:p>
        </w:tc>
        <w:tc>
          <w:tcPr>
            <w:tcW w:w="1494" w:type="pct"/>
          </w:tcPr>
          <w:p w14:paraId="10661E79"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Applying quality improvement systems</w:t>
            </w:r>
          </w:p>
        </w:tc>
        <w:tc>
          <w:tcPr>
            <w:tcW w:w="1494" w:type="pct"/>
          </w:tcPr>
          <w:p w14:paraId="38ABB584"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7748C2">
              <w:rPr>
                <w:rFonts w:ascii="VIC SemiBold" w:hAnsi="VIC SemiBold"/>
                <w:sz w:val="18"/>
                <w:szCs w:val="28"/>
              </w:rPr>
              <w:t>2.2*</w:t>
            </w:r>
          </w:p>
        </w:tc>
      </w:tr>
      <w:tr w:rsidR="00147178" w:rsidRPr="001324D2" w14:paraId="21C39F71" w14:textId="77777777" w:rsidTr="007047EF">
        <w:tc>
          <w:tcPr>
            <w:cnfStyle w:val="001000000000" w:firstRow="0" w:lastRow="0" w:firstColumn="1" w:lastColumn="0" w:oddVBand="0" w:evenVBand="0" w:oddHBand="0" w:evenHBand="0" w:firstRowFirstColumn="0" w:firstRowLastColumn="0" w:lastRowFirstColumn="0" w:lastRowLastColumn="0"/>
            <w:tcW w:w="2012" w:type="pct"/>
            <w:vMerge w:val="restart"/>
          </w:tcPr>
          <w:p w14:paraId="1C9474F7" w14:textId="29E64941" w:rsidR="00147178" w:rsidRPr="007748C2" w:rsidRDefault="007748C2" w:rsidP="00147178">
            <w:pPr>
              <w:rPr>
                <w:rFonts w:ascii="VIC Medium" w:hAnsi="VIC Medium"/>
                <w:b w:val="0"/>
                <w:sz w:val="20"/>
                <w:szCs w:val="28"/>
              </w:rPr>
            </w:pPr>
            <w:r w:rsidRPr="007748C2">
              <w:rPr>
                <w:rFonts w:ascii="VIC Medium" w:hAnsi="VIC Medium"/>
                <w:b w:val="0"/>
                <w:sz w:val="20"/>
              </w:rPr>
              <w:t>Partnering with patients in their own care</w:t>
            </w:r>
          </w:p>
        </w:tc>
        <w:tc>
          <w:tcPr>
            <w:tcW w:w="1494" w:type="pct"/>
          </w:tcPr>
          <w:p w14:paraId="0657D930"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Healthcare rights and informed consent</w:t>
            </w:r>
          </w:p>
        </w:tc>
        <w:tc>
          <w:tcPr>
            <w:tcW w:w="1494" w:type="pct"/>
          </w:tcPr>
          <w:p w14:paraId="7333B56A"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 xml:space="preserve">2.3, 2.4, </w:t>
            </w:r>
            <w:r w:rsidRPr="007748C2">
              <w:rPr>
                <w:rFonts w:ascii="VIC SemiBold" w:hAnsi="VIC SemiBold"/>
                <w:sz w:val="18"/>
                <w:szCs w:val="28"/>
              </w:rPr>
              <w:t>2.5*</w:t>
            </w:r>
          </w:p>
        </w:tc>
      </w:tr>
      <w:tr w:rsidR="00147178" w14:paraId="5673DCBB"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68C8764F" w14:textId="77777777" w:rsidR="00147178" w:rsidRPr="007748C2" w:rsidRDefault="00147178" w:rsidP="00147178">
            <w:pPr>
              <w:rPr>
                <w:rFonts w:ascii="VIC Medium" w:hAnsi="VIC Medium"/>
                <w:b w:val="0"/>
                <w:sz w:val="20"/>
              </w:rPr>
            </w:pPr>
          </w:p>
        </w:tc>
        <w:tc>
          <w:tcPr>
            <w:tcW w:w="1494" w:type="pct"/>
          </w:tcPr>
          <w:p w14:paraId="6D6FA0BE"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Sharing decisions and planning care</w:t>
            </w:r>
          </w:p>
        </w:tc>
        <w:tc>
          <w:tcPr>
            <w:tcW w:w="1494" w:type="pct"/>
          </w:tcPr>
          <w:p w14:paraId="6E769660" w14:textId="77777777" w:rsidR="00147178" w:rsidRPr="007748C2" w:rsidRDefault="00147178" w:rsidP="00147178">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2.6, 2.7</w:t>
            </w:r>
          </w:p>
        </w:tc>
      </w:tr>
      <w:tr w:rsidR="005A44D3" w14:paraId="63D9A0D3"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35E7D584" w14:textId="2CA828DE" w:rsidR="005A44D3" w:rsidRPr="007748C2" w:rsidRDefault="007748C2" w:rsidP="005A44D3">
            <w:pPr>
              <w:rPr>
                <w:rFonts w:ascii="VIC Medium" w:hAnsi="VIC Medium"/>
                <w:b w:val="0"/>
                <w:sz w:val="20"/>
                <w:szCs w:val="28"/>
              </w:rPr>
            </w:pPr>
            <w:r w:rsidRPr="007748C2">
              <w:rPr>
                <w:rFonts w:ascii="VIC Medium" w:hAnsi="VIC Medium"/>
                <w:b w:val="0"/>
                <w:sz w:val="20"/>
              </w:rPr>
              <w:t>Health literacy</w:t>
            </w:r>
          </w:p>
        </w:tc>
        <w:tc>
          <w:tcPr>
            <w:tcW w:w="1494" w:type="pct"/>
          </w:tcPr>
          <w:p w14:paraId="19F6EBCB" w14:textId="77777777" w:rsidR="005A44D3" w:rsidRPr="007748C2" w:rsidRDefault="005A44D3" w:rsidP="005A44D3">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7748C2">
              <w:rPr>
                <w:rFonts w:ascii="VIC" w:hAnsi="VIC"/>
                <w:sz w:val="18"/>
              </w:rPr>
              <w:t>Communication that supports effective partnerships</w:t>
            </w:r>
          </w:p>
        </w:tc>
        <w:tc>
          <w:tcPr>
            <w:tcW w:w="1494" w:type="pct"/>
          </w:tcPr>
          <w:p w14:paraId="30C07F1F" w14:textId="77777777" w:rsidR="005A44D3" w:rsidRPr="007748C2" w:rsidRDefault="005A44D3" w:rsidP="005A44D3">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SemiBold" w:hAnsi="VIC SemiBold"/>
                <w:sz w:val="18"/>
                <w:szCs w:val="28"/>
              </w:rPr>
              <w:t>2.8*</w:t>
            </w:r>
            <w:r w:rsidRPr="007748C2">
              <w:rPr>
                <w:rFonts w:ascii="VIC" w:hAnsi="VIC"/>
                <w:sz w:val="18"/>
                <w:szCs w:val="28"/>
              </w:rPr>
              <w:t>,</w:t>
            </w:r>
            <w:r w:rsidRPr="007748C2">
              <w:rPr>
                <w:rFonts w:ascii="VIC" w:hAnsi="VIC"/>
                <w:b/>
                <w:sz w:val="18"/>
                <w:szCs w:val="28"/>
              </w:rPr>
              <w:t xml:space="preserve"> </w:t>
            </w:r>
            <w:r w:rsidRPr="007748C2">
              <w:rPr>
                <w:rFonts w:ascii="VIC" w:hAnsi="VIC"/>
                <w:sz w:val="18"/>
                <w:szCs w:val="28"/>
              </w:rPr>
              <w:t>2.9, 2.10,</w:t>
            </w:r>
          </w:p>
        </w:tc>
      </w:tr>
      <w:tr w:rsidR="005A44D3" w14:paraId="04CBCEA8"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2EFBB351" w14:textId="5E0F92AC" w:rsidR="005A44D3" w:rsidRPr="007748C2" w:rsidRDefault="007748C2" w:rsidP="005A44D3">
            <w:pPr>
              <w:rPr>
                <w:rFonts w:ascii="VIC Medium" w:hAnsi="VIC Medium"/>
                <w:b w:val="0"/>
                <w:sz w:val="20"/>
                <w:szCs w:val="28"/>
              </w:rPr>
            </w:pPr>
            <w:r w:rsidRPr="007748C2">
              <w:rPr>
                <w:rFonts w:ascii="VIC Medium" w:hAnsi="VIC Medium"/>
                <w:b w:val="0"/>
                <w:sz w:val="20"/>
                <w:szCs w:val="28"/>
              </w:rPr>
              <w:t>Partnering with consumers in organisational design and governance</w:t>
            </w:r>
          </w:p>
        </w:tc>
        <w:tc>
          <w:tcPr>
            <w:tcW w:w="1494" w:type="pct"/>
          </w:tcPr>
          <w:p w14:paraId="091AFD26" w14:textId="77777777" w:rsidR="005A44D3" w:rsidRPr="007748C2" w:rsidRDefault="005A44D3" w:rsidP="005A44D3">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7748C2">
              <w:rPr>
                <w:rFonts w:ascii="VIC" w:hAnsi="VIC"/>
                <w:sz w:val="18"/>
              </w:rPr>
              <w:t>Partnerships in healthcare governance planning, design, measurement and evaluation</w:t>
            </w:r>
          </w:p>
        </w:tc>
        <w:tc>
          <w:tcPr>
            <w:tcW w:w="1494" w:type="pct"/>
          </w:tcPr>
          <w:p w14:paraId="6B6E62A9" w14:textId="77777777" w:rsidR="005A44D3" w:rsidRPr="007748C2" w:rsidRDefault="005A44D3" w:rsidP="005A44D3">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 xml:space="preserve">2.11, 2.12, </w:t>
            </w:r>
            <w:r w:rsidRPr="007748C2">
              <w:rPr>
                <w:rFonts w:ascii="VIC SemiBold" w:hAnsi="VIC SemiBold"/>
                <w:sz w:val="18"/>
                <w:szCs w:val="28"/>
              </w:rPr>
              <w:t>2.13*</w:t>
            </w:r>
            <w:r w:rsidRPr="007748C2">
              <w:rPr>
                <w:rFonts w:ascii="VIC" w:hAnsi="VIC"/>
                <w:sz w:val="18"/>
                <w:szCs w:val="28"/>
              </w:rPr>
              <w:t>, 2.14</w:t>
            </w:r>
          </w:p>
        </w:tc>
      </w:tr>
      <w:tr w:rsidR="00147178" w14:paraId="60BA173D"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4ABFE615" w14:textId="0038376A" w:rsidR="007748C2" w:rsidRPr="00494802" w:rsidRDefault="007748C2" w:rsidP="007748C2">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sidR="009E06FA">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494222C1" w14:textId="0397F6B8" w:rsidR="00BA6563" w:rsidRPr="007748C2" w:rsidRDefault="007748C2" w:rsidP="007748C2">
            <w:pPr>
              <w:pStyle w:val="Bullet1"/>
              <w:rPr>
                <w:rFonts w:ascii="VIC" w:hAnsi="VIC"/>
                <w:b w:val="0"/>
                <w:color w:val="auto"/>
                <w:sz w:val="18"/>
              </w:rPr>
            </w:pPr>
            <w:r>
              <w:rPr>
                <w:rFonts w:ascii="VIC" w:hAnsi="VIC"/>
                <w:b w:val="0"/>
                <w:color w:val="auto"/>
                <w:sz w:val="18"/>
              </w:rPr>
              <w:t>p</w:t>
            </w:r>
            <w:r w:rsidR="00BA6563" w:rsidRPr="007748C2">
              <w:rPr>
                <w:rFonts w:ascii="VIC" w:hAnsi="VIC"/>
                <w:b w:val="0"/>
                <w:color w:val="auto"/>
                <w:sz w:val="18"/>
              </w:rPr>
              <w:t>atient information packages or resources about advocacy, power of attorney and legal guardianship that are available for consumers in different formats and languages, consistent with the patient profile</w:t>
            </w:r>
          </w:p>
          <w:p w14:paraId="093C2952" w14:textId="0B813D18" w:rsidR="00BA6563" w:rsidRPr="007748C2" w:rsidRDefault="007748C2" w:rsidP="007748C2">
            <w:pPr>
              <w:pStyle w:val="Bullet1"/>
              <w:rPr>
                <w:rFonts w:ascii="VIC" w:hAnsi="VIC"/>
                <w:b w:val="0"/>
                <w:color w:val="auto"/>
                <w:sz w:val="18"/>
              </w:rPr>
            </w:pPr>
            <w:r>
              <w:rPr>
                <w:rFonts w:ascii="VIC" w:hAnsi="VIC"/>
                <w:b w:val="0"/>
                <w:color w:val="auto"/>
                <w:sz w:val="18"/>
              </w:rPr>
              <w:t>f</w:t>
            </w:r>
            <w:r w:rsidR="00BA6563" w:rsidRPr="007748C2">
              <w:rPr>
                <w:rFonts w:ascii="VIC" w:hAnsi="VIC"/>
                <w:b w:val="0"/>
                <w:color w:val="auto"/>
                <w:sz w:val="18"/>
              </w:rPr>
              <w:t>eedback from patients and consumers about awareness of the charter of rights</w:t>
            </w:r>
          </w:p>
          <w:p w14:paraId="16CD6576" w14:textId="5E00D430" w:rsidR="005A44D3" w:rsidRPr="007748C2" w:rsidRDefault="007748C2" w:rsidP="007748C2">
            <w:pPr>
              <w:pStyle w:val="Bullet1"/>
              <w:rPr>
                <w:rFonts w:ascii="VIC" w:hAnsi="VIC"/>
                <w:b w:val="0"/>
                <w:color w:val="auto"/>
                <w:sz w:val="18"/>
              </w:rPr>
            </w:pPr>
            <w:r>
              <w:rPr>
                <w:rFonts w:ascii="VIC" w:hAnsi="VIC"/>
                <w:b w:val="0"/>
                <w:color w:val="auto"/>
                <w:sz w:val="18"/>
              </w:rPr>
              <w:t>e</w:t>
            </w:r>
            <w:r w:rsidR="00BA6563" w:rsidRPr="007748C2">
              <w:rPr>
                <w:rFonts w:ascii="VIC" w:hAnsi="VIC"/>
                <w:b w:val="0"/>
                <w:color w:val="auto"/>
                <w:sz w:val="18"/>
              </w:rPr>
              <w:t>xamples of programs that have been implemented to deal with the healthcare needs of Aboriginal and Torres Strait Islander people</w:t>
            </w:r>
            <w:r>
              <w:rPr>
                <w:rFonts w:ascii="VIC" w:hAnsi="VIC"/>
                <w:b w:val="0"/>
                <w:color w:val="auto"/>
                <w:sz w:val="18"/>
              </w:rPr>
              <w:t>.</w:t>
            </w:r>
          </w:p>
        </w:tc>
      </w:tr>
    </w:tbl>
    <w:p w14:paraId="5E1A61EA" w14:textId="6BE01CD6" w:rsidR="00BA4FF9" w:rsidRDefault="00BA4FF9" w:rsidP="005953EA">
      <w:pPr>
        <w:rPr>
          <w:b/>
        </w:rPr>
      </w:pPr>
    </w:p>
    <w:tbl>
      <w:tblPr>
        <w:tblStyle w:val="TableGrid"/>
        <w:tblW w:w="4973" w:type="pct"/>
        <w:tblLook w:val="06A0" w:firstRow="1" w:lastRow="0" w:firstColumn="1" w:lastColumn="0" w:noHBand="1" w:noVBand="1"/>
      </w:tblPr>
      <w:tblGrid>
        <w:gridCol w:w="3947"/>
        <w:gridCol w:w="2932"/>
        <w:gridCol w:w="2932"/>
      </w:tblGrid>
      <w:tr w:rsidR="0037682C" w14:paraId="2F5E0272" w14:textId="77777777" w:rsidTr="00704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37171A52" w14:textId="47786746" w:rsidR="0037682C" w:rsidRPr="007748C2" w:rsidRDefault="0037682C" w:rsidP="007748C2">
            <w:pPr>
              <w:pStyle w:val="Heading2"/>
              <w:numPr>
                <w:ilvl w:val="0"/>
                <w:numId w:val="19"/>
              </w:numPr>
              <w:ind w:left="316"/>
              <w:outlineLvl w:val="1"/>
              <w:rPr>
                <w:rFonts w:ascii="VIC SemiBold" w:hAnsi="VIC SemiBold"/>
              </w:rPr>
            </w:pPr>
            <w:r w:rsidRPr="007748C2">
              <w:rPr>
                <w:rFonts w:ascii="VIC SemiBold" w:hAnsi="VIC SemiBold"/>
              </w:rPr>
              <w:t>PREVENTING AND CONTROLLING HEALTHCARE</w:t>
            </w:r>
            <w:r w:rsidR="007748C2">
              <w:rPr>
                <w:rFonts w:ascii="VIC SemiBold" w:hAnsi="VIC SemiBold"/>
              </w:rPr>
              <w:t>-</w:t>
            </w:r>
            <w:r w:rsidRPr="007748C2">
              <w:rPr>
                <w:rFonts w:ascii="VIC SemiBold" w:hAnsi="VIC SemiBold"/>
              </w:rPr>
              <w:t>ASSOCIATED INFECTION STANDARD</w:t>
            </w:r>
          </w:p>
        </w:tc>
        <w:tc>
          <w:tcPr>
            <w:tcW w:w="1494" w:type="pct"/>
          </w:tcPr>
          <w:p w14:paraId="0C598047" w14:textId="77777777" w:rsidR="0037682C" w:rsidRPr="007748C2" w:rsidRDefault="0037682C"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7748C2">
              <w:rPr>
                <w:rFonts w:ascii="VIC SemiBold" w:hAnsi="VIC SemiBold"/>
                <w:szCs w:val="28"/>
              </w:rPr>
              <w:t>ITEM</w:t>
            </w:r>
          </w:p>
        </w:tc>
        <w:tc>
          <w:tcPr>
            <w:tcW w:w="1494" w:type="pct"/>
          </w:tcPr>
          <w:p w14:paraId="609AD804" w14:textId="77777777" w:rsidR="0037682C" w:rsidRPr="007748C2" w:rsidRDefault="0037682C"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7748C2">
              <w:rPr>
                <w:rFonts w:ascii="VIC SemiBold" w:hAnsi="VIC SemiBold"/>
              </w:rPr>
              <w:t>ACTION</w:t>
            </w:r>
          </w:p>
        </w:tc>
      </w:tr>
      <w:tr w:rsidR="0037682C" w:rsidRPr="001324D2" w14:paraId="2CB08906" w14:textId="77777777" w:rsidTr="007047EF">
        <w:tc>
          <w:tcPr>
            <w:cnfStyle w:val="001000000000" w:firstRow="0" w:lastRow="0" w:firstColumn="1" w:lastColumn="0" w:oddVBand="0" w:evenVBand="0" w:oddHBand="0" w:evenHBand="0" w:firstRowFirstColumn="0" w:firstRowLastColumn="0" w:lastRowFirstColumn="0" w:lastRowLastColumn="0"/>
            <w:tcW w:w="2012" w:type="pct"/>
          </w:tcPr>
          <w:p w14:paraId="4490A5F5" w14:textId="22AA431A" w:rsidR="0037682C" w:rsidRPr="007748C2" w:rsidRDefault="007748C2" w:rsidP="0037682C">
            <w:pPr>
              <w:rPr>
                <w:rFonts w:ascii="VIC Medium" w:hAnsi="VIC Medium"/>
                <w:b w:val="0"/>
                <w:szCs w:val="28"/>
              </w:rPr>
            </w:pPr>
            <w:r w:rsidRPr="007748C2">
              <w:rPr>
                <w:rFonts w:ascii="VIC Medium" w:hAnsi="VIC Medium"/>
                <w:b w:val="0"/>
                <w:sz w:val="20"/>
              </w:rPr>
              <w:t>Clinical governance and quality improvement to prevent and control healthcare</w:t>
            </w:r>
            <w:r w:rsidR="00BA6563" w:rsidRPr="007748C2">
              <w:rPr>
                <w:rFonts w:ascii="VIC Medium" w:hAnsi="VIC Medium"/>
                <w:b w:val="0"/>
                <w:sz w:val="20"/>
              </w:rPr>
              <w:t xml:space="preserve"> </w:t>
            </w:r>
            <w:r w:rsidRPr="007748C2">
              <w:rPr>
                <w:rFonts w:ascii="VIC Medium" w:hAnsi="VIC Medium"/>
                <w:b w:val="0"/>
                <w:sz w:val="20"/>
              </w:rPr>
              <w:t>associated infections, and support antimicrobial stewardship</w:t>
            </w:r>
          </w:p>
        </w:tc>
        <w:tc>
          <w:tcPr>
            <w:tcW w:w="1494" w:type="pct"/>
          </w:tcPr>
          <w:p w14:paraId="7C3B79F9" w14:textId="428CD219" w:rsidR="0037682C" w:rsidRPr="007748C2" w:rsidRDefault="0037682C" w:rsidP="0037682C">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Partnering with consumers</w:t>
            </w:r>
          </w:p>
        </w:tc>
        <w:tc>
          <w:tcPr>
            <w:tcW w:w="1494" w:type="pct"/>
          </w:tcPr>
          <w:p w14:paraId="10C33AB9" w14:textId="49DE6660" w:rsidR="0037682C" w:rsidRPr="007748C2" w:rsidRDefault="0037682C" w:rsidP="0037682C">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rPr>
              <w:t>3.3</w:t>
            </w:r>
          </w:p>
        </w:tc>
      </w:tr>
      <w:tr w:rsidR="0037682C" w14:paraId="0D3095C1"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78E046D7" w14:textId="273A3CB8" w:rsidR="007748C2" w:rsidRPr="00494802" w:rsidRDefault="007748C2" w:rsidP="007748C2">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sidR="009E06FA">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22D0AC24" w14:textId="170B9BA8" w:rsidR="00BA6563" w:rsidRPr="007748C2" w:rsidRDefault="007748C2" w:rsidP="007748C2">
            <w:pPr>
              <w:pStyle w:val="Bullet1"/>
              <w:rPr>
                <w:rFonts w:ascii="VIC" w:hAnsi="VIC"/>
                <w:b w:val="0"/>
                <w:color w:val="auto"/>
                <w:sz w:val="18"/>
              </w:rPr>
            </w:pPr>
            <w:r>
              <w:rPr>
                <w:rFonts w:ascii="VIC" w:hAnsi="VIC"/>
                <w:b w:val="0"/>
                <w:color w:val="auto"/>
                <w:sz w:val="18"/>
              </w:rPr>
              <w:t>e</w:t>
            </w:r>
            <w:r w:rsidR="00BA6563" w:rsidRPr="007748C2">
              <w:rPr>
                <w:rFonts w:ascii="VIC" w:hAnsi="VIC"/>
                <w:b w:val="0"/>
                <w:color w:val="auto"/>
                <w:sz w:val="18"/>
              </w:rPr>
              <w:t>xamples of resources to support patients’ decision-making about infection prevention and control risks that have been developed with consumer partnership</w:t>
            </w:r>
          </w:p>
          <w:p w14:paraId="3A689AA0" w14:textId="659760EE" w:rsidR="00BA6563" w:rsidRPr="007748C2" w:rsidRDefault="007748C2" w:rsidP="007748C2">
            <w:pPr>
              <w:pStyle w:val="Bullet1"/>
              <w:rPr>
                <w:rFonts w:ascii="VIC" w:hAnsi="VIC"/>
                <w:b w:val="0"/>
                <w:color w:val="auto"/>
                <w:sz w:val="18"/>
              </w:rPr>
            </w:pPr>
            <w:r>
              <w:rPr>
                <w:rFonts w:ascii="VIC" w:hAnsi="VIC"/>
                <w:b w:val="0"/>
                <w:color w:val="auto"/>
                <w:sz w:val="18"/>
              </w:rPr>
              <w:t>r</w:t>
            </w:r>
            <w:r w:rsidR="00BA6563" w:rsidRPr="007748C2">
              <w:rPr>
                <w:rFonts w:ascii="VIC" w:hAnsi="VIC"/>
                <w:b w:val="0"/>
                <w:color w:val="auto"/>
                <w:sz w:val="18"/>
              </w:rPr>
              <w:t>ecords of interviews with clinicians that show that they understand the health service organisation’s processes for partnering with consumers</w:t>
            </w:r>
          </w:p>
          <w:p w14:paraId="3F9D3615" w14:textId="59EA3784" w:rsidR="0037682C" w:rsidRPr="00BA6563" w:rsidRDefault="007748C2" w:rsidP="007748C2">
            <w:pPr>
              <w:pStyle w:val="Bullet1"/>
            </w:pPr>
            <w:r>
              <w:rPr>
                <w:rFonts w:ascii="VIC" w:hAnsi="VIC"/>
                <w:b w:val="0"/>
                <w:color w:val="auto"/>
                <w:sz w:val="18"/>
              </w:rPr>
              <w:t>r</w:t>
            </w:r>
            <w:r w:rsidR="00BA6563" w:rsidRPr="007748C2">
              <w:rPr>
                <w:rFonts w:ascii="VIC" w:hAnsi="VIC"/>
                <w:b w:val="0"/>
                <w:color w:val="auto"/>
                <w:sz w:val="18"/>
              </w:rPr>
              <w:t>esults of evaluation of consumer resources used in the health service organisation.</w:t>
            </w:r>
          </w:p>
        </w:tc>
      </w:tr>
    </w:tbl>
    <w:p w14:paraId="0FBF406C" w14:textId="06664061" w:rsidR="0037682C" w:rsidRDefault="0037682C" w:rsidP="005953EA">
      <w:pPr>
        <w:rPr>
          <w:b/>
        </w:rPr>
      </w:pPr>
    </w:p>
    <w:tbl>
      <w:tblPr>
        <w:tblStyle w:val="TableGrid"/>
        <w:tblW w:w="4973" w:type="pct"/>
        <w:tblLook w:val="06A0" w:firstRow="1" w:lastRow="0" w:firstColumn="1" w:lastColumn="0" w:noHBand="1" w:noVBand="1"/>
      </w:tblPr>
      <w:tblGrid>
        <w:gridCol w:w="3947"/>
        <w:gridCol w:w="2932"/>
        <w:gridCol w:w="2932"/>
      </w:tblGrid>
      <w:tr w:rsidR="0037682C" w14:paraId="7F4D9CB4" w14:textId="77777777" w:rsidTr="00601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42FEA455" w14:textId="0267047C" w:rsidR="0037682C" w:rsidRPr="007748C2" w:rsidRDefault="0037682C" w:rsidP="007748C2">
            <w:pPr>
              <w:pStyle w:val="Heading2"/>
              <w:numPr>
                <w:ilvl w:val="0"/>
                <w:numId w:val="19"/>
              </w:numPr>
              <w:ind w:left="316"/>
              <w:outlineLvl w:val="1"/>
              <w:rPr>
                <w:rFonts w:ascii="VIC SemiBold" w:hAnsi="VIC SemiBold"/>
              </w:rPr>
            </w:pPr>
            <w:r w:rsidRPr="007748C2">
              <w:rPr>
                <w:rFonts w:ascii="VIC SemiBold" w:hAnsi="VIC SemiBold"/>
              </w:rPr>
              <w:lastRenderedPageBreak/>
              <w:t>MEDICATION SAFETY STANDARD</w:t>
            </w:r>
          </w:p>
        </w:tc>
        <w:tc>
          <w:tcPr>
            <w:tcW w:w="1494" w:type="pct"/>
          </w:tcPr>
          <w:p w14:paraId="3DF330A3" w14:textId="77777777" w:rsidR="0037682C" w:rsidRPr="007748C2" w:rsidRDefault="0037682C"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7748C2">
              <w:rPr>
                <w:rFonts w:ascii="VIC SemiBold" w:hAnsi="VIC SemiBold"/>
                <w:szCs w:val="28"/>
              </w:rPr>
              <w:t>ITEM</w:t>
            </w:r>
          </w:p>
        </w:tc>
        <w:tc>
          <w:tcPr>
            <w:tcW w:w="1494" w:type="pct"/>
          </w:tcPr>
          <w:p w14:paraId="359DBC4D" w14:textId="77777777" w:rsidR="0037682C" w:rsidRPr="007748C2" w:rsidRDefault="0037682C" w:rsidP="007748C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7748C2">
              <w:rPr>
                <w:rFonts w:ascii="VIC SemiBold" w:hAnsi="VIC SemiBold"/>
              </w:rPr>
              <w:t>ACTION</w:t>
            </w:r>
          </w:p>
        </w:tc>
      </w:tr>
      <w:tr w:rsidR="0037682C" w:rsidRPr="001324D2" w14:paraId="068D6A50" w14:textId="77777777" w:rsidTr="00601432">
        <w:tc>
          <w:tcPr>
            <w:cnfStyle w:val="001000000000" w:firstRow="0" w:lastRow="0" w:firstColumn="1" w:lastColumn="0" w:oddVBand="0" w:evenVBand="0" w:oddHBand="0" w:evenHBand="0" w:firstRowFirstColumn="0" w:firstRowLastColumn="0" w:lastRowFirstColumn="0" w:lastRowLastColumn="0"/>
            <w:tcW w:w="2012" w:type="pct"/>
          </w:tcPr>
          <w:p w14:paraId="5F819136" w14:textId="023C2C04" w:rsidR="0037682C" w:rsidRPr="007748C2" w:rsidRDefault="007748C2" w:rsidP="0037682C">
            <w:pPr>
              <w:rPr>
                <w:rFonts w:ascii="VIC Medium" w:hAnsi="VIC Medium"/>
                <w:b w:val="0"/>
                <w:szCs w:val="28"/>
              </w:rPr>
            </w:pPr>
            <w:r w:rsidRPr="007748C2">
              <w:rPr>
                <w:rFonts w:ascii="VIC Medium" w:hAnsi="VIC Medium"/>
                <w:b w:val="0"/>
                <w:sz w:val="20"/>
              </w:rPr>
              <w:t>Clinical governance and quality improvement to support medication management</w:t>
            </w:r>
          </w:p>
        </w:tc>
        <w:tc>
          <w:tcPr>
            <w:tcW w:w="1494" w:type="pct"/>
          </w:tcPr>
          <w:p w14:paraId="08ACAD25" w14:textId="033F16D5" w:rsidR="0037682C" w:rsidRPr="007748C2" w:rsidRDefault="0037682C" w:rsidP="0037682C">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Partnering with consumers</w:t>
            </w:r>
          </w:p>
        </w:tc>
        <w:tc>
          <w:tcPr>
            <w:tcW w:w="1494" w:type="pct"/>
          </w:tcPr>
          <w:p w14:paraId="637B26D3" w14:textId="035B982A" w:rsidR="0037682C" w:rsidRPr="007748C2" w:rsidRDefault="0037682C" w:rsidP="0037682C">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7748C2">
              <w:rPr>
                <w:rFonts w:ascii="VIC" w:hAnsi="VIC"/>
                <w:sz w:val="18"/>
                <w:szCs w:val="28"/>
              </w:rPr>
              <w:t>4.3</w:t>
            </w:r>
          </w:p>
        </w:tc>
      </w:tr>
      <w:tr w:rsidR="00601432" w14:paraId="746672F3" w14:textId="77777777" w:rsidTr="0060143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29B3D6FD" w14:textId="539F7437" w:rsidR="007748C2" w:rsidRPr="00494802" w:rsidRDefault="007748C2" w:rsidP="007748C2">
            <w:pPr>
              <w:pStyle w:val="Bullet1"/>
              <w:numPr>
                <w:ilvl w:val="0"/>
                <w:numId w:val="0"/>
              </w:numPr>
              <w:rPr>
                <w:rFonts w:ascii="VIC" w:hAnsi="VIC"/>
                <w:b w:val="0"/>
                <w:color w:val="auto"/>
                <w:sz w:val="18"/>
              </w:rPr>
            </w:pPr>
            <w:r w:rsidRPr="00B45E88">
              <w:rPr>
                <w:rFonts w:ascii="VIC SemiBold" w:hAnsi="VIC SemiBold"/>
                <w:b w:val="0"/>
                <w:bCs/>
                <w:sz w:val="18"/>
                <w:szCs w:val="18"/>
              </w:rPr>
              <w:t>Examples of evidence</w:t>
            </w:r>
            <w:r w:rsidR="009E06FA">
              <w:rPr>
                <w:rFonts w:ascii="VIC SemiBold" w:hAnsi="VIC SemiBold"/>
                <w:b w:val="0"/>
                <w:bCs/>
                <w:sz w:val="18"/>
                <w:szCs w:val="18"/>
              </w:rPr>
              <w:t xml:space="preserve"> from the NSQHS workbook,</w:t>
            </w:r>
            <w:r w:rsidRPr="00B45E88">
              <w:rPr>
                <w:rFonts w:ascii="VIC SemiBold" w:hAnsi="VIC SemiBold"/>
                <w:b w:val="0"/>
                <w:bCs/>
                <w:sz w:val="18"/>
                <w:szCs w:val="18"/>
              </w:rPr>
              <w:t xml:space="preserve"> 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7C3636D6" w14:textId="7730BC47" w:rsidR="004C47D2" w:rsidRPr="007748C2" w:rsidRDefault="007748C2" w:rsidP="007748C2">
            <w:pPr>
              <w:pStyle w:val="Bullet1"/>
              <w:rPr>
                <w:rFonts w:ascii="VIC" w:hAnsi="VIC"/>
                <w:b w:val="0"/>
                <w:color w:val="auto"/>
                <w:sz w:val="18"/>
              </w:rPr>
            </w:pPr>
            <w:r>
              <w:rPr>
                <w:rFonts w:ascii="VIC" w:hAnsi="VIC"/>
                <w:b w:val="0"/>
                <w:color w:val="auto"/>
                <w:sz w:val="18"/>
              </w:rPr>
              <w:t>p</w:t>
            </w:r>
            <w:r w:rsidR="004C47D2" w:rsidRPr="007748C2">
              <w:rPr>
                <w:rFonts w:ascii="VIC" w:hAnsi="VIC"/>
                <w:b w:val="0"/>
                <w:color w:val="auto"/>
                <w:sz w:val="18"/>
              </w:rPr>
              <w:t>olicy documents that describe the processes for gaining patient consent, or consulting with substitute decision-makers, for the administration of medicines</w:t>
            </w:r>
          </w:p>
          <w:p w14:paraId="46E2A3CE" w14:textId="23480A6C" w:rsidR="004C47D2" w:rsidRPr="007748C2" w:rsidRDefault="007748C2" w:rsidP="007748C2">
            <w:pPr>
              <w:pStyle w:val="Bullet1"/>
              <w:rPr>
                <w:rFonts w:ascii="VIC" w:hAnsi="VIC"/>
                <w:b w:val="0"/>
                <w:color w:val="auto"/>
                <w:sz w:val="18"/>
              </w:rPr>
            </w:pPr>
            <w:r>
              <w:rPr>
                <w:rFonts w:ascii="VIC" w:hAnsi="VIC"/>
                <w:b w:val="0"/>
                <w:color w:val="auto"/>
                <w:sz w:val="18"/>
              </w:rPr>
              <w:t>r</w:t>
            </w:r>
            <w:r w:rsidR="004C47D2" w:rsidRPr="007748C2">
              <w:rPr>
                <w:rFonts w:ascii="VIC" w:hAnsi="VIC"/>
                <w:b w:val="0"/>
                <w:color w:val="auto"/>
                <w:sz w:val="18"/>
              </w:rPr>
              <w:t>esults of patient experience surveys about medication management</w:t>
            </w:r>
          </w:p>
          <w:p w14:paraId="32C616D3" w14:textId="14F2021F" w:rsidR="00CB13B4" w:rsidRPr="007748C2" w:rsidRDefault="007748C2" w:rsidP="007748C2">
            <w:pPr>
              <w:pStyle w:val="Bullet1"/>
              <w:rPr>
                <w:rFonts w:ascii="VIC" w:hAnsi="VIC"/>
                <w:b w:val="0"/>
                <w:color w:val="auto"/>
                <w:sz w:val="18"/>
              </w:rPr>
            </w:pPr>
            <w:r>
              <w:rPr>
                <w:rFonts w:ascii="VIC" w:hAnsi="VIC"/>
                <w:b w:val="0"/>
                <w:color w:val="auto"/>
                <w:sz w:val="18"/>
              </w:rPr>
              <w:t>p</w:t>
            </w:r>
            <w:r w:rsidR="004C47D2" w:rsidRPr="007748C2">
              <w:rPr>
                <w:rFonts w:ascii="VIC" w:hAnsi="VIC"/>
                <w:b w:val="0"/>
                <w:color w:val="auto"/>
                <w:sz w:val="18"/>
              </w:rPr>
              <w:t>olicy documents about consumer engagement in medication management.</w:t>
            </w:r>
          </w:p>
        </w:tc>
      </w:tr>
    </w:tbl>
    <w:p w14:paraId="1BC08017" w14:textId="02DB7950" w:rsidR="0037682C" w:rsidRDefault="0037682C" w:rsidP="005953EA">
      <w:pPr>
        <w:rPr>
          <w:b/>
        </w:rPr>
      </w:pPr>
    </w:p>
    <w:tbl>
      <w:tblPr>
        <w:tblStyle w:val="TableGrid"/>
        <w:tblW w:w="4973" w:type="pct"/>
        <w:tblLook w:val="06A0" w:firstRow="1" w:lastRow="0" w:firstColumn="1" w:lastColumn="0" w:noHBand="1" w:noVBand="1"/>
      </w:tblPr>
      <w:tblGrid>
        <w:gridCol w:w="3947"/>
        <w:gridCol w:w="2932"/>
        <w:gridCol w:w="2932"/>
      </w:tblGrid>
      <w:tr w:rsidR="0037682C" w14:paraId="3BBD88A0" w14:textId="77777777" w:rsidTr="004C4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29901FF1" w14:textId="544C9944" w:rsidR="0037682C" w:rsidRPr="004D0191" w:rsidRDefault="0037682C" w:rsidP="004D0191">
            <w:pPr>
              <w:pStyle w:val="Heading2"/>
              <w:numPr>
                <w:ilvl w:val="0"/>
                <w:numId w:val="19"/>
              </w:numPr>
              <w:ind w:left="316"/>
              <w:outlineLvl w:val="1"/>
              <w:rPr>
                <w:rFonts w:ascii="VIC SemiBold" w:hAnsi="VIC SemiBold"/>
              </w:rPr>
            </w:pPr>
            <w:r w:rsidRPr="004D0191">
              <w:rPr>
                <w:rFonts w:ascii="VIC SemiBold" w:hAnsi="VIC SemiBold"/>
              </w:rPr>
              <w:t>COMPREHENSIVE CARE STANDARD</w:t>
            </w:r>
          </w:p>
        </w:tc>
        <w:tc>
          <w:tcPr>
            <w:tcW w:w="1494" w:type="pct"/>
          </w:tcPr>
          <w:p w14:paraId="19261A06" w14:textId="77777777" w:rsidR="0037682C" w:rsidRPr="004D0191" w:rsidRDefault="0037682C" w:rsidP="004D0191">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4D0191">
              <w:rPr>
                <w:rFonts w:ascii="VIC SemiBold" w:hAnsi="VIC SemiBold"/>
                <w:szCs w:val="28"/>
              </w:rPr>
              <w:t>ITEM</w:t>
            </w:r>
          </w:p>
        </w:tc>
        <w:tc>
          <w:tcPr>
            <w:tcW w:w="1494" w:type="pct"/>
          </w:tcPr>
          <w:p w14:paraId="65C117DE" w14:textId="77777777" w:rsidR="0037682C" w:rsidRPr="004D0191" w:rsidRDefault="0037682C" w:rsidP="004D0191">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4D0191">
              <w:rPr>
                <w:rFonts w:ascii="VIC SemiBold" w:hAnsi="VIC SemiBold"/>
              </w:rPr>
              <w:t>ACTION</w:t>
            </w:r>
          </w:p>
        </w:tc>
      </w:tr>
      <w:tr w:rsidR="00273A17" w:rsidRPr="001324D2" w14:paraId="02F29929" w14:textId="77777777" w:rsidTr="004C47D2">
        <w:tc>
          <w:tcPr>
            <w:cnfStyle w:val="001000000000" w:firstRow="0" w:lastRow="0" w:firstColumn="1" w:lastColumn="0" w:oddVBand="0" w:evenVBand="0" w:oddHBand="0" w:evenHBand="0" w:firstRowFirstColumn="0" w:firstRowLastColumn="0" w:lastRowFirstColumn="0" w:lastRowLastColumn="0"/>
            <w:tcW w:w="2012" w:type="pct"/>
            <w:vMerge w:val="restart"/>
          </w:tcPr>
          <w:p w14:paraId="1F30583B" w14:textId="6DF3F253" w:rsidR="00273A17" w:rsidRPr="004D0191" w:rsidRDefault="004D0191" w:rsidP="00273A17">
            <w:pPr>
              <w:rPr>
                <w:rFonts w:ascii="VIC Medium" w:hAnsi="VIC Medium"/>
                <w:b w:val="0"/>
                <w:sz w:val="20"/>
              </w:rPr>
            </w:pPr>
            <w:r w:rsidRPr="004D0191">
              <w:rPr>
                <w:rFonts w:ascii="VIC Medium" w:hAnsi="VIC Medium"/>
                <w:b w:val="0"/>
                <w:sz w:val="20"/>
              </w:rPr>
              <w:t>Clinical governance and quality improvement to support comprehensive care</w:t>
            </w:r>
          </w:p>
          <w:p w14:paraId="712F27F5" w14:textId="352880D5" w:rsidR="00273A17" w:rsidRPr="004D0191" w:rsidRDefault="004D0191" w:rsidP="00273A17">
            <w:pPr>
              <w:rPr>
                <w:rFonts w:ascii="VIC Medium" w:hAnsi="VIC Medium"/>
                <w:b w:val="0"/>
                <w:sz w:val="20"/>
              </w:rPr>
            </w:pPr>
            <w:r w:rsidRPr="004D0191">
              <w:rPr>
                <w:rFonts w:ascii="VIC Medium" w:hAnsi="VIC Medium"/>
                <w:b w:val="0"/>
                <w:sz w:val="20"/>
                <w:szCs w:val="28"/>
              </w:rPr>
              <w:t>Item</w:t>
            </w:r>
          </w:p>
        </w:tc>
        <w:tc>
          <w:tcPr>
            <w:tcW w:w="1494" w:type="pct"/>
          </w:tcPr>
          <w:p w14:paraId="391CC6EF" w14:textId="5CE450BB"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4D0191">
              <w:rPr>
                <w:rFonts w:ascii="VIC" w:hAnsi="VIC"/>
                <w:sz w:val="18"/>
                <w:szCs w:val="28"/>
              </w:rPr>
              <w:t>Partnering with consumers</w:t>
            </w:r>
          </w:p>
        </w:tc>
        <w:tc>
          <w:tcPr>
            <w:tcW w:w="1494" w:type="pct"/>
          </w:tcPr>
          <w:p w14:paraId="20088C14" w14:textId="3D0ADB94"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4D0191">
              <w:rPr>
                <w:rFonts w:ascii="VIC" w:hAnsi="VIC"/>
                <w:sz w:val="18"/>
                <w:szCs w:val="28"/>
              </w:rPr>
              <w:t xml:space="preserve">5.3   </w:t>
            </w:r>
            <w:r w:rsidRPr="004D0191">
              <w:rPr>
                <w:rFonts w:ascii="VIC" w:hAnsi="VIC"/>
                <w:b/>
                <w:sz w:val="18"/>
                <w:szCs w:val="28"/>
              </w:rPr>
              <w:t xml:space="preserve"> </w:t>
            </w:r>
          </w:p>
        </w:tc>
      </w:tr>
      <w:tr w:rsidR="00273A17" w:rsidRPr="001324D2" w14:paraId="4350B267" w14:textId="77777777" w:rsidTr="004C47D2">
        <w:tc>
          <w:tcPr>
            <w:cnfStyle w:val="001000000000" w:firstRow="0" w:lastRow="0" w:firstColumn="1" w:lastColumn="0" w:oddVBand="0" w:evenVBand="0" w:oddHBand="0" w:evenHBand="0" w:firstRowFirstColumn="0" w:firstRowLastColumn="0" w:lastRowFirstColumn="0" w:lastRowLastColumn="0"/>
            <w:tcW w:w="2012" w:type="pct"/>
            <w:vMerge/>
          </w:tcPr>
          <w:p w14:paraId="2FEA6EB8" w14:textId="77777777" w:rsidR="00273A17" w:rsidRPr="004D0191" w:rsidRDefault="00273A17" w:rsidP="00273A17">
            <w:pPr>
              <w:rPr>
                <w:rFonts w:ascii="VIC Medium" w:hAnsi="VIC Medium"/>
                <w:b w:val="0"/>
                <w:sz w:val="20"/>
              </w:rPr>
            </w:pPr>
          </w:p>
        </w:tc>
        <w:tc>
          <w:tcPr>
            <w:tcW w:w="1494" w:type="pct"/>
          </w:tcPr>
          <w:p w14:paraId="4FA664DB" w14:textId="7FCC0D99" w:rsidR="00273A17" w:rsidRPr="004D0191" w:rsidRDefault="00273A17" w:rsidP="00273A17">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Designing systems to deliver comprehensive care</w:t>
            </w:r>
          </w:p>
        </w:tc>
        <w:tc>
          <w:tcPr>
            <w:tcW w:w="1494" w:type="pct"/>
          </w:tcPr>
          <w:p w14:paraId="3D781880" w14:textId="7C2F7F06"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5.4*</w:t>
            </w:r>
          </w:p>
        </w:tc>
      </w:tr>
      <w:tr w:rsidR="00273A17" w:rsidRPr="001324D2" w14:paraId="1D297CF3" w14:textId="77777777" w:rsidTr="004C47D2">
        <w:tc>
          <w:tcPr>
            <w:cnfStyle w:val="001000000000" w:firstRow="0" w:lastRow="0" w:firstColumn="1" w:lastColumn="0" w:oddVBand="0" w:evenVBand="0" w:oddHBand="0" w:evenHBand="0" w:firstRowFirstColumn="0" w:firstRowLastColumn="0" w:lastRowFirstColumn="0" w:lastRowLastColumn="0"/>
            <w:tcW w:w="2012" w:type="pct"/>
            <w:vMerge w:val="restart"/>
          </w:tcPr>
          <w:p w14:paraId="34334D07" w14:textId="413CBA07" w:rsidR="00273A17" w:rsidRPr="004D0191" w:rsidRDefault="004D0191" w:rsidP="00273A17">
            <w:pPr>
              <w:rPr>
                <w:rFonts w:ascii="VIC Medium" w:hAnsi="VIC Medium"/>
                <w:b w:val="0"/>
                <w:sz w:val="20"/>
              </w:rPr>
            </w:pPr>
            <w:r w:rsidRPr="004D0191">
              <w:rPr>
                <w:rFonts w:ascii="VIC Medium" w:hAnsi="VIC Medium"/>
                <w:b w:val="0"/>
                <w:sz w:val="20"/>
              </w:rPr>
              <w:t>Developing the comprehensive care plan</w:t>
            </w:r>
          </w:p>
        </w:tc>
        <w:tc>
          <w:tcPr>
            <w:tcW w:w="1494" w:type="pct"/>
          </w:tcPr>
          <w:p w14:paraId="2F1EC3E2" w14:textId="15316F22"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Planning for comprehensive care</w:t>
            </w:r>
          </w:p>
        </w:tc>
        <w:tc>
          <w:tcPr>
            <w:tcW w:w="1494" w:type="pct"/>
          </w:tcPr>
          <w:p w14:paraId="4A4D93BC" w14:textId="6E996D26"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SemiBold" w:hAnsi="VIC SemiBold"/>
                <w:sz w:val="18"/>
                <w:szCs w:val="28"/>
              </w:rPr>
              <w:t>5.8*</w:t>
            </w:r>
            <w:r w:rsidRPr="004D0191">
              <w:rPr>
                <w:rFonts w:ascii="VIC" w:hAnsi="VIC"/>
                <w:sz w:val="18"/>
                <w:szCs w:val="28"/>
              </w:rPr>
              <w:t>,</w:t>
            </w:r>
            <w:r w:rsidRPr="004D0191">
              <w:rPr>
                <w:rFonts w:ascii="VIC" w:hAnsi="VIC"/>
                <w:b/>
                <w:sz w:val="18"/>
                <w:szCs w:val="28"/>
              </w:rPr>
              <w:t xml:space="preserve"> </w:t>
            </w:r>
            <w:r w:rsidRPr="004D0191">
              <w:rPr>
                <w:rFonts w:ascii="VIC" w:hAnsi="VIC"/>
                <w:sz w:val="18"/>
                <w:szCs w:val="28"/>
              </w:rPr>
              <w:t>5.9</w:t>
            </w:r>
          </w:p>
        </w:tc>
      </w:tr>
      <w:tr w:rsidR="00273A17" w14:paraId="0E810022"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5BAB2E19" w14:textId="77777777" w:rsidR="00273A17" w:rsidRPr="004D0191" w:rsidRDefault="00273A17" w:rsidP="00273A17">
            <w:pPr>
              <w:rPr>
                <w:rFonts w:ascii="VIC Medium" w:hAnsi="VIC Medium"/>
                <w:b w:val="0"/>
                <w:sz w:val="20"/>
              </w:rPr>
            </w:pPr>
          </w:p>
        </w:tc>
        <w:tc>
          <w:tcPr>
            <w:tcW w:w="1494" w:type="pct"/>
          </w:tcPr>
          <w:p w14:paraId="51145B49" w14:textId="6EF8DFE5"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Screening of risk</w:t>
            </w:r>
          </w:p>
        </w:tc>
        <w:tc>
          <w:tcPr>
            <w:tcW w:w="1494" w:type="pct"/>
          </w:tcPr>
          <w:p w14:paraId="14FED012" w14:textId="3F28E634"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5.10</w:t>
            </w:r>
          </w:p>
        </w:tc>
      </w:tr>
      <w:tr w:rsidR="00273A17" w:rsidRPr="001324D2" w14:paraId="7BEA56C6"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05EED7AB" w14:textId="77777777" w:rsidR="00273A17" w:rsidRPr="004D0191" w:rsidRDefault="00273A17" w:rsidP="00273A17">
            <w:pPr>
              <w:rPr>
                <w:rFonts w:ascii="VIC Medium" w:hAnsi="VIC Medium"/>
                <w:b w:val="0"/>
                <w:sz w:val="20"/>
              </w:rPr>
            </w:pPr>
          </w:p>
        </w:tc>
        <w:tc>
          <w:tcPr>
            <w:tcW w:w="1494" w:type="pct"/>
          </w:tcPr>
          <w:p w14:paraId="36D48141" w14:textId="61F143E0"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Developing the comprehensive care plan</w:t>
            </w:r>
          </w:p>
        </w:tc>
        <w:tc>
          <w:tcPr>
            <w:tcW w:w="1494" w:type="pct"/>
          </w:tcPr>
          <w:p w14:paraId="116F750E" w14:textId="63564B84"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5.13</w:t>
            </w:r>
          </w:p>
        </w:tc>
      </w:tr>
      <w:tr w:rsidR="00273A17" w14:paraId="67EDDCA5"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val="restart"/>
          </w:tcPr>
          <w:p w14:paraId="646E9F63" w14:textId="520A27C2" w:rsidR="00273A17" w:rsidRPr="004D0191" w:rsidRDefault="004D0191" w:rsidP="00273A17">
            <w:pPr>
              <w:rPr>
                <w:rFonts w:ascii="VIC Medium" w:hAnsi="VIC Medium"/>
                <w:b w:val="0"/>
                <w:sz w:val="20"/>
              </w:rPr>
            </w:pPr>
            <w:r w:rsidRPr="004D0191">
              <w:rPr>
                <w:rFonts w:ascii="VIC Medium" w:hAnsi="VIC Medium"/>
                <w:b w:val="0"/>
                <w:sz w:val="20"/>
              </w:rPr>
              <w:t>Delivering comprehensive care</w:t>
            </w:r>
          </w:p>
        </w:tc>
        <w:tc>
          <w:tcPr>
            <w:tcW w:w="1494" w:type="pct"/>
          </w:tcPr>
          <w:p w14:paraId="02E58B76" w14:textId="5B51E108"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Using the comprehensive care plan</w:t>
            </w:r>
          </w:p>
        </w:tc>
        <w:tc>
          <w:tcPr>
            <w:tcW w:w="1494" w:type="pct"/>
          </w:tcPr>
          <w:p w14:paraId="3B23CFF6" w14:textId="0C2A4246"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5.14</w:t>
            </w:r>
          </w:p>
        </w:tc>
      </w:tr>
      <w:tr w:rsidR="00273A17" w14:paraId="51BF2881"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54D4965B" w14:textId="77777777" w:rsidR="00273A17" w:rsidRPr="004D0191" w:rsidRDefault="00273A17" w:rsidP="00273A17">
            <w:pPr>
              <w:rPr>
                <w:rFonts w:ascii="VIC Medium" w:hAnsi="VIC Medium"/>
                <w:b w:val="0"/>
                <w:sz w:val="20"/>
              </w:rPr>
            </w:pPr>
          </w:p>
        </w:tc>
        <w:tc>
          <w:tcPr>
            <w:tcW w:w="1494" w:type="pct"/>
          </w:tcPr>
          <w:p w14:paraId="7A991438" w14:textId="4C3D402F"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Comprehensive care at the end of life</w:t>
            </w:r>
          </w:p>
        </w:tc>
        <w:tc>
          <w:tcPr>
            <w:tcW w:w="1494" w:type="pct"/>
          </w:tcPr>
          <w:p w14:paraId="5DA9AF83" w14:textId="002D1B12" w:rsidR="00273A17" w:rsidRPr="004D0191" w:rsidRDefault="00273A17"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5.17*,</w:t>
            </w:r>
            <w:r w:rsidR="00601432" w:rsidRPr="004D0191">
              <w:rPr>
                <w:rFonts w:ascii="VIC SemiBold" w:hAnsi="VIC SemiBold"/>
                <w:sz w:val="18"/>
                <w:szCs w:val="28"/>
              </w:rPr>
              <w:t xml:space="preserve"> </w:t>
            </w:r>
            <w:r w:rsidRPr="004D0191">
              <w:rPr>
                <w:rFonts w:ascii="VIC SemiBold" w:hAnsi="VIC SemiBold"/>
                <w:sz w:val="18"/>
                <w:szCs w:val="28"/>
              </w:rPr>
              <w:t>5.20*</w:t>
            </w:r>
          </w:p>
        </w:tc>
      </w:tr>
      <w:tr w:rsidR="004C47D2" w14:paraId="50B7BF6D"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val="restart"/>
          </w:tcPr>
          <w:p w14:paraId="2B369357" w14:textId="343C0ECE" w:rsidR="004C47D2" w:rsidRPr="004D0191" w:rsidRDefault="004D0191" w:rsidP="00273A17">
            <w:pPr>
              <w:rPr>
                <w:rFonts w:ascii="VIC Medium" w:hAnsi="VIC Medium"/>
                <w:b w:val="0"/>
                <w:sz w:val="20"/>
              </w:rPr>
            </w:pPr>
            <w:r w:rsidRPr="004D0191">
              <w:rPr>
                <w:rFonts w:ascii="VIC Medium" w:hAnsi="VIC Medium"/>
                <w:b w:val="0"/>
                <w:sz w:val="20"/>
              </w:rPr>
              <w:t>Minimising patient harm</w:t>
            </w:r>
          </w:p>
        </w:tc>
        <w:tc>
          <w:tcPr>
            <w:tcW w:w="1494" w:type="pct"/>
          </w:tcPr>
          <w:p w14:paraId="67BF2B92" w14:textId="77E8BA01"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Nutrition and hydration</w:t>
            </w:r>
          </w:p>
        </w:tc>
        <w:tc>
          <w:tcPr>
            <w:tcW w:w="1494" w:type="pct"/>
          </w:tcPr>
          <w:p w14:paraId="2BF77E5F" w14:textId="1FEFA08C"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5.28*</w:t>
            </w:r>
          </w:p>
        </w:tc>
      </w:tr>
      <w:tr w:rsidR="004C47D2" w14:paraId="32F5B8D3"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7BD60FBA" w14:textId="77777777" w:rsidR="004C47D2" w:rsidRPr="00A4055A" w:rsidRDefault="004C47D2" w:rsidP="00273A17">
            <w:pPr>
              <w:rPr>
                <w:b w:val="0"/>
              </w:rPr>
            </w:pPr>
          </w:p>
        </w:tc>
        <w:tc>
          <w:tcPr>
            <w:tcW w:w="1494" w:type="pct"/>
          </w:tcPr>
          <w:p w14:paraId="5E264762" w14:textId="5220EE68"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Preventing delirium and managing cognitive impairment</w:t>
            </w:r>
          </w:p>
        </w:tc>
        <w:tc>
          <w:tcPr>
            <w:tcW w:w="1494" w:type="pct"/>
          </w:tcPr>
          <w:p w14:paraId="7D8D5B55" w14:textId="09DFFDCF"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5.30*</w:t>
            </w:r>
          </w:p>
        </w:tc>
      </w:tr>
      <w:tr w:rsidR="004C47D2" w14:paraId="65014D59"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045CC96C" w14:textId="77777777" w:rsidR="004C47D2" w:rsidRPr="00A4055A" w:rsidRDefault="004C47D2" w:rsidP="00273A17">
            <w:pPr>
              <w:rPr>
                <w:b w:val="0"/>
              </w:rPr>
            </w:pPr>
          </w:p>
        </w:tc>
        <w:tc>
          <w:tcPr>
            <w:tcW w:w="1494" w:type="pct"/>
          </w:tcPr>
          <w:p w14:paraId="76A7D43A" w14:textId="59A31426"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Predicting, preventing and managing self-harm and suicide</w:t>
            </w:r>
          </w:p>
        </w:tc>
        <w:tc>
          <w:tcPr>
            <w:tcW w:w="1494" w:type="pct"/>
          </w:tcPr>
          <w:p w14:paraId="1F85A46B" w14:textId="6E61A7EA"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5.31*, 5.32*</w:t>
            </w:r>
          </w:p>
        </w:tc>
      </w:tr>
      <w:tr w:rsidR="004C47D2" w14:paraId="44850E27"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243BEF79" w14:textId="77777777" w:rsidR="004C47D2" w:rsidRPr="00A4055A" w:rsidRDefault="004C47D2" w:rsidP="00273A17">
            <w:pPr>
              <w:rPr>
                <w:b w:val="0"/>
              </w:rPr>
            </w:pPr>
          </w:p>
        </w:tc>
        <w:tc>
          <w:tcPr>
            <w:tcW w:w="1494" w:type="pct"/>
          </w:tcPr>
          <w:p w14:paraId="2A5EA909" w14:textId="1A8BE40A"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D0191">
              <w:rPr>
                <w:rFonts w:ascii="VIC" w:hAnsi="VIC"/>
                <w:sz w:val="18"/>
                <w:szCs w:val="28"/>
              </w:rPr>
              <w:t>Predicting, preventing and managing aggression and violence</w:t>
            </w:r>
          </w:p>
        </w:tc>
        <w:tc>
          <w:tcPr>
            <w:tcW w:w="1494" w:type="pct"/>
          </w:tcPr>
          <w:p w14:paraId="0C877AF7" w14:textId="1A3B420D"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5.33*, 5.34*</w:t>
            </w:r>
          </w:p>
        </w:tc>
      </w:tr>
      <w:tr w:rsidR="004C47D2" w14:paraId="783BDEAD"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063CAC53" w14:textId="77777777" w:rsidR="004C47D2" w:rsidRPr="00A4055A" w:rsidRDefault="004C47D2" w:rsidP="00273A17">
            <w:pPr>
              <w:rPr>
                <w:b w:val="0"/>
              </w:rPr>
            </w:pPr>
          </w:p>
        </w:tc>
        <w:tc>
          <w:tcPr>
            <w:tcW w:w="1494" w:type="pct"/>
          </w:tcPr>
          <w:p w14:paraId="60ABA6E5" w14:textId="04FD595B"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4D0191">
              <w:rPr>
                <w:rFonts w:ascii="VIC" w:hAnsi="VIC"/>
                <w:sz w:val="18"/>
                <w:szCs w:val="28"/>
              </w:rPr>
              <w:t>Minimising restrictive practices: restraint</w:t>
            </w:r>
          </w:p>
        </w:tc>
        <w:tc>
          <w:tcPr>
            <w:tcW w:w="1494" w:type="pct"/>
          </w:tcPr>
          <w:p w14:paraId="342E889E" w14:textId="14D0441D"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D0191">
              <w:rPr>
                <w:rFonts w:ascii="VIC SemiBold" w:hAnsi="VIC SemiBold"/>
                <w:sz w:val="18"/>
                <w:szCs w:val="28"/>
              </w:rPr>
              <w:t>5.35*</w:t>
            </w:r>
          </w:p>
        </w:tc>
      </w:tr>
      <w:tr w:rsidR="004C47D2" w14:paraId="55383476"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15446FBA" w14:textId="77777777" w:rsidR="004C47D2" w:rsidRPr="00A4055A" w:rsidRDefault="004C47D2" w:rsidP="00273A17">
            <w:pPr>
              <w:rPr>
                <w:b w:val="0"/>
              </w:rPr>
            </w:pPr>
          </w:p>
        </w:tc>
        <w:tc>
          <w:tcPr>
            <w:tcW w:w="1494" w:type="pct"/>
          </w:tcPr>
          <w:p w14:paraId="7D7EF661" w14:textId="2FFE4481" w:rsidR="004C47D2" w:rsidRPr="004D0191" w:rsidRDefault="004C47D2" w:rsidP="004C47D2">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4D0191">
              <w:rPr>
                <w:rFonts w:ascii="VIC" w:hAnsi="VIC"/>
                <w:sz w:val="18"/>
                <w:szCs w:val="28"/>
              </w:rPr>
              <w:t>Minimising restrictive practices: seclusion</w:t>
            </w:r>
          </w:p>
        </w:tc>
        <w:tc>
          <w:tcPr>
            <w:tcW w:w="1494" w:type="pct"/>
          </w:tcPr>
          <w:p w14:paraId="0ABECFD7" w14:textId="2BB001A1" w:rsidR="004C47D2" w:rsidRPr="004D0191"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4D0191">
              <w:rPr>
                <w:rFonts w:ascii="VIC SemiBold" w:hAnsi="VIC SemiBold"/>
                <w:sz w:val="18"/>
                <w:szCs w:val="28"/>
              </w:rPr>
              <w:t>5.36*</w:t>
            </w:r>
          </w:p>
        </w:tc>
      </w:tr>
      <w:tr w:rsidR="004C47D2" w14:paraId="1C1C1B45" w14:textId="77777777" w:rsidTr="004C47D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07E1F941" w14:textId="17C819B7" w:rsidR="004D0191" w:rsidRPr="00494802" w:rsidRDefault="004D0191" w:rsidP="004D0191">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sidR="009E06FA">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657ACA49" w14:textId="79FF833F" w:rsidR="004C47D2" w:rsidRPr="004D0191" w:rsidRDefault="004D0191" w:rsidP="004D0191">
            <w:pPr>
              <w:pStyle w:val="Bullet1"/>
              <w:rPr>
                <w:rFonts w:ascii="VIC" w:hAnsi="VIC"/>
                <w:b w:val="0"/>
                <w:color w:val="auto"/>
                <w:sz w:val="18"/>
              </w:rPr>
            </w:pPr>
            <w:r>
              <w:rPr>
                <w:rFonts w:ascii="VIC" w:hAnsi="VIC"/>
                <w:b w:val="0"/>
                <w:color w:val="auto"/>
                <w:sz w:val="18"/>
              </w:rPr>
              <w:t>f</w:t>
            </w:r>
            <w:r w:rsidR="004C47D2" w:rsidRPr="004D0191">
              <w:rPr>
                <w:rFonts w:ascii="VIC" w:hAnsi="VIC"/>
                <w:b w:val="0"/>
                <w:color w:val="auto"/>
                <w:sz w:val="18"/>
              </w:rPr>
              <w:t>eedback from consumers about how clinicians worked together to deliver care</w:t>
            </w:r>
          </w:p>
          <w:p w14:paraId="32AF4CF4" w14:textId="6F04E6B0" w:rsidR="004C47D2" w:rsidRPr="004D0191" w:rsidRDefault="004D0191" w:rsidP="004D0191">
            <w:pPr>
              <w:pStyle w:val="Bullet1"/>
              <w:rPr>
                <w:rFonts w:ascii="VIC" w:hAnsi="VIC"/>
                <w:b w:val="0"/>
                <w:color w:val="auto"/>
                <w:sz w:val="18"/>
              </w:rPr>
            </w:pPr>
            <w:r>
              <w:rPr>
                <w:rFonts w:ascii="VIC" w:hAnsi="VIC"/>
                <w:b w:val="0"/>
                <w:color w:val="auto"/>
                <w:sz w:val="18"/>
              </w:rPr>
              <w:t>f</w:t>
            </w:r>
            <w:r w:rsidR="004C47D2" w:rsidRPr="004D0191">
              <w:rPr>
                <w:rFonts w:ascii="VIC" w:hAnsi="VIC"/>
                <w:b w:val="0"/>
                <w:color w:val="auto"/>
                <w:sz w:val="18"/>
              </w:rPr>
              <w:t>eedback from patients and carers regarding their involvement in care, the extent to which their needs were met and participation in shared decision making</w:t>
            </w:r>
          </w:p>
          <w:p w14:paraId="7F7496C5" w14:textId="2FABF66A" w:rsidR="004C47D2" w:rsidRPr="004D0191" w:rsidRDefault="004D0191" w:rsidP="004D0191">
            <w:pPr>
              <w:pStyle w:val="Bullet1"/>
              <w:rPr>
                <w:rFonts w:ascii="VIC" w:hAnsi="VIC" w:cs="Segoe UI"/>
                <w:b w:val="0"/>
                <w:color w:val="auto"/>
                <w:sz w:val="18"/>
                <w:shd w:val="clear" w:color="auto" w:fill="FFFFFF"/>
                <w:lang w:eastAsia="en-AU"/>
              </w:rPr>
            </w:pPr>
            <w:r>
              <w:rPr>
                <w:rFonts w:ascii="VIC" w:hAnsi="VIC"/>
                <w:b w:val="0"/>
                <w:color w:val="auto"/>
                <w:sz w:val="18"/>
              </w:rPr>
              <w:t>c</w:t>
            </w:r>
            <w:r w:rsidR="004C47D2" w:rsidRPr="004D0191">
              <w:rPr>
                <w:rFonts w:ascii="VIC" w:hAnsi="VIC"/>
                <w:b w:val="0"/>
                <w:color w:val="auto"/>
                <w:sz w:val="18"/>
              </w:rPr>
              <w:t>onsumer and carer information packages or resources about advance care planning.</w:t>
            </w:r>
          </w:p>
          <w:p w14:paraId="0DA8B45D" w14:textId="36233352" w:rsidR="00CB13B4" w:rsidRPr="004C47D2" w:rsidRDefault="00CB13B4" w:rsidP="00CB13B4">
            <w:pPr>
              <w:pStyle w:val="ListParagraph"/>
              <w:spacing w:before="60" w:line="192" w:lineRule="atLeast"/>
              <w:rPr>
                <w:rFonts w:ascii="Calibri" w:eastAsia="Times New Roman" w:hAnsi="Calibri" w:cs="Segoe UI"/>
                <w:color w:val="333333"/>
                <w:shd w:val="clear" w:color="auto" w:fill="FFFFFF"/>
                <w:lang w:eastAsia="en-AU"/>
              </w:rPr>
            </w:pPr>
          </w:p>
        </w:tc>
      </w:tr>
    </w:tbl>
    <w:p w14:paraId="06103452" w14:textId="77777777" w:rsidR="00601432" w:rsidRDefault="00601432" w:rsidP="005953EA">
      <w:pPr>
        <w:rPr>
          <w:b/>
        </w:rPr>
      </w:pPr>
    </w:p>
    <w:tbl>
      <w:tblPr>
        <w:tblStyle w:val="TableGrid"/>
        <w:tblW w:w="4973" w:type="pct"/>
        <w:tblLook w:val="06A0" w:firstRow="1" w:lastRow="0" w:firstColumn="1" w:lastColumn="0" w:noHBand="1" w:noVBand="1"/>
      </w:tblPr>
      <w:tblGrid>
        <w:gridCol w:w="3947"/>
        <w:gridCol w:w="2932"/>
        <w:gridCol w:w="2932"/>
      </w:tblGrid>
      <w:tr w:rsidR="00273A17" w14:paraId="6D945978" w14:textId="77777777" w:rsidTr="00704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0D9481B6" w14:textId="0093AFC7" w:rsidR="00273A17" w:rsidRPr="0088684C" w:rsidRDefault="00273A17" w:rsidP="0088684C">
            <w:pPr>
              <w:pStyle w:val="Heading2"/>
              <w:numPr>
                <w:ilvl w:val="0"/>
                <w:numId w:val="19"/>
              </w:numPr>
              <w:ind w:left="316"/>
              <w:outlineLvl w:val="1"/>
              <w:rPr>
                <w:rFonts w:ascii="VIC SemiBold" w:hAnsi="VIC SemiBold"/>
              </w:rPr>
            </w:pPr>
            <w:r w:rsidRPr="0088684C">
              <w:rPr>
                <w:rFonts w:ascii="VIC SemiBold" w:hAnsi="VIC SemiBold"/>
              </w:rPr>
              <w:t>COMMUNICATING FOR SAFETY STANARD</w:t>
            </w:r>
          </w:p>
        </w:tc>
        <w:tc>
          <w:tcPr>
            <w:tcW w:w="1494" w:type="pct"/>
          </w:tcPr>
          <w:p w14:paraId="1540DC97" w14:textId="77777777" w:rsidR="00273A17" w:rsidRPr="0088684C" w:rsidRDefault="00273A17" w:rsidP="0088684C">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88684C">
              <w:rPr>
                <w:rFonts w:ascii="VIC SemiBold" w:hAnsi="VIC SemiBold"/>
                <w:szCs w:val="28"/>
              </w:rPr>
              <w:t>ITEM</w:t>
            </w:r>
          </w:p>
        </w:tc>
        <w:tc>
          <w:tcPr>
            <w:tcW w:w="1494" w:type="pct"/>
          </w:tcPr>
          <w:p w14:paraId="745B4C8B" w14:textId="77777777" w:rsidR="00273A17" w:rsidRPr="0088684C" w:rsidRDefault="00273A17" w:rsidP="0088684C">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88684C">
              <w:rPr>
                <w:rFonts w:ascii="VIC SemiBold" w:hAnsi="VIC SemiBold"/>
              </w:rPr>
              <w:t>ACTION</w:t>
            </w:r>
          </w:p>
        </w:tc>
      </w:tr>
      <w:tr w:rsidR="00CB13B4" w:rsidRPr="001324D2" w14:paraId="2B946231" w14:textId="77777777" w:rsidTr="007047EF">
        <w:tc>
          <w:tcPr>
            <w:cnfStyle w:val="001000000000" w:firstRow="0" w:lastRow="0" w:firstColumn="1" w:lastColumn="0" w:oddVBand="0" w:evenVBand="0" w:oddHBand="0" w:evenHBand="0" w:firstRowFirstColumn="0" w:firstRowLastColumn="0" w:lastRowFirstColumn="0" w:lastRowLastColumn="0"/>
            <w:tcW w:w="2012" w:type="pct"/>
            <w:vMerge w:val="restart"/>
          </w:tcPr>
          <w:p w14:paraId="01E0D643" w14:textId="2B346163" w:rsidR="00CB13B4" w:rsidRPr="0088684C" w:rsidRDefault="0088684C" w:rsidP="00273A17">
            <w:pPr>
              <w:rPr>
                <w:rFonts w:ascii="VIC Medium" w:hAnsi="VIC Medium"/>
                <w:b w:val="0"/>
                <w:sz w:val="20"/>
              </w:rPr>
            </w:pPr>
            <w:r w:rsidRPr="0088684C">
              <w:rPr>
                <w:rFonts w:ascii="VIC Medium" w:hAnsi="VIC Medium"/>
                <w:b w:val="0"/>
                <w:sz w:val="20"/>
              </w:rPr>
              <w:t>Clinical governance and quality improvement to support effective communication</w:t>
            </w:r>
          </w:p>
        </w:tc>
        <w:tc>
          <w:tcPr>
            <w:tcW w:w="1494" w:type="pct"/>
          </w:tcPr>
          <w:p w14:paraId="29887214" w14:textId="24EE2FB8" w:rsidR="00CB13B4" w:rsidRPr="00474900"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474900">
              <w:rPr>
                <w:rFonts w:ascii="VIC" w:hAnsi="VIC"/>
                <w:sz w:val="18"/>
                <w:szCs w:val="28"/>
              </w:rPr>
              <w:t>Partnering with consumers</w:t>
            </w:r>
          </w:p>
        </w:tc>
        <w:tc>
          <w:tcPr>
            <w:tcW w:w="1494" w:type="pct"/>
          </w:tcPr>
          <w:p w14:paraId="728D2369" w14:textId="5EC58E93" w:rsidR="00CB13B4" w:rsidRPr="00474900"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474900">
              <w:rPr>
                <w:rFonts w:ascii="VIC" w:hAnsi="VIC"/>
                <w:sz w:val="18"/>
              </w:rPr>
              <w:t>6.3</w:t>
            </w:r>
          </w:p>
        </w:tc>
      </w:tr>
      <w:tr w:rsidR="00CB13B4" w:rsidRPr="001324D2" w14:paraId="6F1002FE" w14:textId="77777777" w:rsidTr="007047EF">
        <w:tc>
          <w:tcPr>
            <w:cnfStyle w:val="001000000000" w:firstRow="0" w:lastRow="0" w:firstColumn="1" w:lastColumn="0" w:oddVBand="0" w:evenVBand="0" w:oddHBand="0" w:evenHBand="0" w:firstRowFirstColumn="0" w:firstRowLastColumn="0" w:lastRowFirstColumn="0" w:lastRowLastColumn="0"/>
            <w:tcW w:w="2012" w:type="pct"/>
            <w:vMerge/>
          </w:tcPr>
          <w:p w14:paraId="7DFBDA87" w14:textId="77777777" w:rsidR="00CB13B4" w:rsidRPr="0088684C" w:rsidRDefault="00CB13B4" w:rsidP="00273A17">
            <w:pPr>
              <w:rPr>
                <w:rFonts w:ascii="VIC Medium" w:hAnsi="VIC Medium"/>
                <w:b w:val="0"/>
                <w:sz w:val="20"/>
              </w:rPr>
            </w:pPr>
          </w:p>
        </w:tc>
        <w:tc>
          <w:tcPr>
            <w:tcW w:w="1494" w:type="pct"/>
          </w:tcPr>
          <w:p w14:paraId="41FB7231" w14:textId="4465020C" w:rsidR="00CB13B4" w:rsidRPr="00474900"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474900">
              <w:rPr>
                <w:rFonts w:ascii="VIC" w:hAnsi="VIC"/>
                <w:sz w:val="18"/>
                <w:szCs w:val="28"/>
              </w:rPr>
              <w:t>Organisational processes to support effective communication</w:t>
            </w:r>
          </w:p>
        </w:tc>
        <w:tc>
          <w:tcPr>
            <w:tcW w:w="1494" w:type="pct"/>
          </w:tcPr>
          <w:p w14:paraId="66589319" w14:textId="36A11BC5" w:rsidR="00CB13B4" w:rsidRPr="00474900" w:rsidRDefault="00CB13B4"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74900">
              <w:rPr>
                <w:rFonts w:ascii="VIC SemiBold" w:hAnsi="VIC SemiBold"/>
                <w:sz w:val="18"/>
              </w:rPr>
              <w:t>6.4*</w:t>
            </w:r>
          </w:p>
        </w:tc>
      </w:tr>
      <w:tr w:rsidR="004C47D2" w:rsidRPr="001324D2" w14:paraId="7622F484" w14:textId="77777777" w:rsidTr="007047EF">
        <w:tc>
          <w:tcPr>
            <w:cnfStyle w:val="001000000000" w:firstRow="0" w:lastRow="0" w:firstColumn="1" w:lastColumn="0" w:oddVBand="0" w:evenVBand="0" w:oddHBand="0" w:evenHBand="0" w:firstRowFirstColumn="0" w:firstRowLastColumn="0" w:lastRowFirstColumn="0" w:lastRowLastColumn="0"/>
            <w:tcW w:w="2012" w:type="pct"/>
          </w:tcPr>
          <w:p w14:paraId="4DE51A63" w14:textId="0716CAD5" w:rsidR="004C47D2" w:rsidRPr="0088684C" w:rsidRDefault="0088684C" w:rsidP="00273A17">
            <w:pPr>
              <w:rPr>
                <w:rFonts w:ascii="VIC Medium" w:hAnsi="VIC Medium"/>
                <w:b w:val="0"/>
                <w:sz w:val="20"/>
              </w:rPr>
            </w:pPr>
            <w:r w:rsidRPr="0088684C">
              <w:rPr>
                <w:rFonts w:ascii="VIC Medium" w:hAnsi="VIC Medium"/>
                <w:b w:val="0"/>
                <w:sz w:val="20"/>
              </w:rPr>
              <w:t>Communication at clinical handover</w:t>
            </w:r>
          </w:p>
        </w:tc>
        <w:tc>
          <w:tcPr>
            <w:tcW w:w="1494" w:type="pct"/>
          </w:tcPr>
          <w:p w14:paraId="693239DB" w14:textId="1D6FBA7F" w:rsidR="004C47D2" w:rsidRPr="00474900"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474900">
              <w:rPr>
                <w:rFonts w:ascii="VIC" w:hAnsi="VIC"/>
                <w:sz w:val="18"/>
                <w:szCs w:val="28"/>
              </w:rPr>
              <w:t>Clinical Handover</w:t>
            </w:r>
          </w:p>
        </w:tc>
        <w:tc>
          <w:tcPr>
            <w:tcW w:w="1494" w:type="pct"/>
          </w:tcPr>
          <w:p w14:paraId="46E263FE" w14:textId="28D2D374" w:rsidR="004C47D2" w:rsidRPr="00474900" w:rsidRDefault="004C47D2"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474900">
              <w:rPr>
                <w:rFonts w:ascii="VIC" w:hAnsi="VIC"/>
                <w:sz w:val="18"/>
              </w:rPr>
              <w:t>6.8</w:t>
            </w:r>
          </w:p>
        </w:tc>
      </w:tr>
      <w:tr w:rsidR="004C47D2" w:rsidRPr="001324D2" w14:paraId="63767733" w14:textId="77777777" w:rsidTr="007047EF">
        <w:tc>
          <w:tcPr>
            <w:cnfStyle w:val="001000000000" w:firstRow="0" w:lastRow="0" w:firstColumn="1" w:lastColumn="0" w:oddVBand="0" w:evenVBand="0" w:oddHBand="0" w:evenHBand="0" w:firstRowFirstColumn="0" w:firstRowLastColumn="0" w:lastRowFirstColumn="0" w:lastRowLastColumn="0"/>
            <w:tcW w:w="2012" w:type="pct"/>
          </w:tcPr>
          <w:p w14:paraId="15746953" w14:textId="0A4C6132" w:rsidR="004C47D2" w:rsidRPr="0088684C" w:rsidRDefault="0088684C" w:rsidP="00273A17">
            <w:pPr>
              <w:rPr>
                <w:rFonts w:ascii="VIC Medium" w:hAnsi="VIC Medium"/>
                <w:b w:val="0"/>
                <w:sz w:val="20"/>
              </w:rPr>
            </w:pPr>
            <w:r w:rsidRPr="0088684C">
              <w:rPr>
                <w:rFonts w:ascii="VIC Medium" w:hAnsi="VIC Medium"/>
                <w:b w:val="0"/>
                <w:sz w:val="20"/>
              </w:rPr>
              <w:t>Communication of critical information</w:t>
            </w:r>
          </w:p>
        </w:tc>
        <w:tc>
          <w:tcPr>
            <w:tcW w:w="1494" w:type="pct"/>
          </w:tcPr>
          <w:p w14:paraId="2DF95C8F" w14:textId="4379A5E7" w:rsidR="004C47D2" w:rsidRPr="00474900"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474900">
              <w:rPr>
                <w:rFonts w:ascii="VIC" w:hAnsi="VIC"/>
                <w:sz w:val="18"/>
                <w:szCs w:val="28"/>
              </w:rPr>
              <w:t>Communicating critical information</w:t>
            </w:r>
          </w:p>
        </w:tc>
        <w:tc>
          <w:tcPr>
            <w:tcW w:w="1494" w:type="pct"/>
          </w:tcPr>
          <w:p w14:paraId="5260B7C2" w14:textId="41B0CC79" w:rsidR="004C47D2" w:rsidRPr="00474900" w:rsidRDefault="004C47D2" w:rsidP="00273A17">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474900">
              <w:rPr>
                <w:rFonts w:ascii="VIC SemiBold" w:hAnsi="VIC SemiBold"/>
                <w:sz w:val="18"/>
              </w:rPr>
              <w:t>6.9, 6.10</w:t>
            </w:r>
          </w:p>
        </w:tc>
      </w:tr>
      <w:tr w:rsidR="00273A17" w14:paraId="6575AEE0"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51A6D24F" w14:textId="46548ABE" w:rsidR="00474900" w:rsidRPr="00494802" w:rsidRDefault="00474900" w:rsidP="00474900">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1DB3FDD0" w14:textId="3EB42DE1" w:rsidR="00CB13B4" w:rsidRPr="00474900" w:rsidRDefault="00474900" w:rsidP="00474900">
            <w:pPr>
              <w:pStyle w:val="Bullet1"/>
              <w:rPr>
                <w:rFonts w:ascii="VIC" w:hAnsi="VIC"/>
                <w:b w:val="0"/>
                <w:color w:val="auto"/>
                <w:sz w:val="18"/>
              </w:rPr>
            </w:pPr>
            <w:r>
              <w:rPr>
                <w:rFonts w:ascii="VIC" w:hAnsi="VIC"/>
                <w:b w:val="0"/>
                <w:color w:val="auto"/>
                <w:sz w:val="18"/>
              </w:rPr>
              <w:t>r</w:t>
            </w:r>
            <w:r w:rsidR="00CB13B4" w:rsidRPr="00474900">
              <w:rPr>
                <w:rFonts w:ascii="VIC" w:hAnsi="VIC"/>
                <w:b w:val="0"/>
                <w:color w:val="auto"/>
                <w:sz w:val="18"/>
              </w:rPr>
              <w:t>ecords of the use of interpreters and other support services for consumers who need help to communicate</w:t>
            </w:r>
          </w:p>
          <w:p w14:paraId="1D1CE989" w14:textId="38A5BD0B" w:rsidR="00CB13B4" w:rsidRPr="00474900" w:rsidRDefault="00474900" w:rsidP="00474900">
            <w:pPr>
              <w:pStyle w:val="Bullet1"/>
              <w:rPr>
                <w:rFonts w:ascii="VIC" w:hAnsi="VIC"/>
                <w:b w:val="0"/>
                <w:color w:val="auto"/>
                <w:sz w:val="18"/>
              </w:rPr>
            </w:pPr>
            <w:r>
              <w:rPr>
                <w:rFonts w:ascii="VIC" w:hAnsi="VIC"/>
                <w:b w:val="0"/>
                <w:color w:val="auto"/>
                <w:sz w:val="18"/>
              </w:rPr>
              <w:t>p</w:t>
            </w:r>
            <w:r w:rsidR="00CB13B4" w:rsidRPr="00474900">
              <w:rPr>
                <w:rFonts w:ascii="VIC" w:hAnsi="VIC"/>
                <w:b w:val="0"/>
                <w:color w:val="auto"/>
                <w:sz w:val="18"/>
              </w:rPr>
              <w:t>olicy documents about clinical communication that are based on principles of consumer engagement, health literacy and shared decision making</w:t>
            </w:r>
          </w:p>
          <w:p w14:paraId="76E90BC6" w14:textId="6C241762" w:rsidR="00CB13B4" w:rsidRPr="00474900" w:rsidRDefault="00474900" w:rsidP="00474900">
            <w:pPr>
              <w:pStyle w:val="Bullet1"/>
              <w:rPr>
                <w:rFonts w:ascii="VIC" w:hAnsi="VIC"/>
                <w:b w:val="0"/>
                <w:color w:val="auto"/>
                <w:sz w:val="18"/>
              </w:rPr>
            </w:pPr>
            <w:r>
              <w:rPr>
                <w:rFonts w:ascii="VIC" w:hAnsi="VIC"/>
                <w:b w:val="0"/>
                <w:color w:val="auto"/>
                <w:sz w:val="18"/>
              </w:rPr>
              <w:t>e</w:t>
            </w:r>
            <w:r w:rsidR="00CB13B4" w:rsidRPr="00474900">
              <w:rPr>
                <w:rFonts w:ascii="VIC" w:hAnsi="VIC"/>
                <w:b w:val="0"/>
                <w:color w:val="auto"/>
                <w:sz w:val="18"/>
              </w:rPr>
              <w:t>vidence of bedside clinical handover, if applicable, and the inclusion of patients, carers and families in the process.</w:t>
            </w:r>
          </w:p>
        </w:tc>
      </w:tr>
    </w:tbl>
    <w:p w14:paraId="31D32DE5" w14:textId="0B55CC60" w:rsidR="00273A17" w:rsidRDefault="00273A17" w:rsidP="005953EA">
      <w:pPr>
        <w:rPr>
          <w:b/>
        </w:rPr>
      </w:pPr>
    </w:p>
    <w:tbl>
      <w:tblPr>
        <w:tblStyle w:val="TableGrid"/>
        <w:tblW w:w="4973" w:type="pct"/>
        <w:tblLook w:val="06A0" w:firstRow="1" w:lastRow="0" w:firstColumn="1" w:lastColumn="0" w:noHBand="1" w:noVBand="1"/>
      </w:tblPr>
      <w:tblGrid>
        <w:gridCol w:w="3947"/>
        <w:gridCol w:w="2932"/>
        <w:gridCol w:w="2932"/>
      </w:tblGrid>
      <w:tr w:rsidR="00273A17" w14:paraId="4FD80FD7" w14:textId="77777777" w:rsidTr="00704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6E19D6BD" w14:textId="415437A5" w:rsidR="00273A17" w:rsidRPr="009E06FA" w:rsidRDefault="00273A17" w:rsidP="009E06FA">
            <w:pPr>
              <w:pStyle w:val="Heading2"/>
              <w:numPr>
                <w:ilvl w:val="0"/>
                <w:numId w:val="19"/>
              </w:numPr>
              <w:ind w:left="316"/>
              <w:outlineLvl w:val="1"/>
              <w:rPr>
                <w:rFonts w:ascii="VIC SemiBold" w:hAnsi="VIC SemiBold"/>
              </w:rPr>
            </w:pPr>
            <w:r w:rsidRPr="009E06FA">
              <w:rPr>
                <w:rFonts w:ascii="VIC SemiBold" w:hAnsi="VIC SemiBold"/>
              </w:rPr>
              <w:t>BLOOD MANAGEMENT STANDARD</w:t>
            </w:r>
          </w:p>
        </w:tc>
        <w:tc>
          <w:tcPr>
            <w:tcW w:w="1494" w:type="pct"/>
          </w:tcPr>
          <w:p w14:paraId="70501342" w14:textId="77777777" w:rsidR="00273A17" w:rsidRPr="009E06FA" w:rsidRDefault="00273A17" w:rsidP="009E06FA">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9E06FA">
              <w:rPr>
                <w:rFonts w:ascii="VIC SemiBold" w:hAnsi="VIC SemiBold"/>
                <w:szCs w:val="28"/>
              </w:rPr>
              <w:t>ITEM</w:t>
            </w:r>
          </w:p>
        </w:tc>
        <w:tc>
          <w:tcPr>
            <w:tcW w:w="1494" w:type="pct"/>
          </w:tcPr>
          <w:p w14:paraId="4AFFBBE5" w14:textId="77777777" w:rsidR="00273A17" w:rsidRPr="009E06FA" w:rsidRDefault="00273A17" w:rsidP="009E06FA">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9E06FA">
              <w:rPr>
                <w:rFonts w:ascii="VIC SemiBold" w:hAnsi="VIC SemiBold"/>
              </w:rPr>
              <w:t>ACTION</w:t>
            </w:r>
          </w:p>
        </w:tc>
      </w:tr>
      <w:tr w:rsidR="00273A17" w:rsidRPr="001324D2" w14:paraId="41C85D0C" w14:textId="77777777" w:rsidTr="007047EF">
        <w:tc>
          <w:tcPr>
            <w:cnfStyle w:val="001000000000" w:firstRow="0" w:lastRow="0" w:firstColumn="1" w:lastColumn="0" w:oddVBand="0" w:evenVBand="0" w:oddHBand="0" w:evenHBand="0" w:firstRowFirstColumn="0" w:firstRowLastColumn="0" w:lastRowFirstColumn="0" w:lastRowLastColumn="0"/>
            <w:tcW w:w="2012" w:type="pct"/>
          </w:tcPr>
          <w:p w14:paraId="2EE4882B" w14:textId="0BFD0DD8" w:rsidR="00273A17" w:rsidRPr="009E06FA" w:rsidRDefault="009E06FA" w:rsidP="00273A17">
            <w:pPr>
              <w:rPr>
                <w:rFonts w:ascii="VIC Medium" w:hAnsi="VIC Medium"/>
                <w:b w:val="0"/>
              </w:rPr>
            </w:pPr>
            <w:r w:rsidRPr="009E06FA">
              <w:rPr>
                <w:rFonts w:ascii="VIC Medium" w:hAnsi="VIC Medium"/>
                <w:b w:val="0"/>
                <w:sz w:val="20"/>
              </w:rPr>
              <w:t>Clinical governance and quality improvement to support blood management</w:t>
            </w:r>
          </w:p>
        </w:tc>
        <w:tc>
          <w:tcPr>
            <w:tcW w:w="1494" w:type="pct"/>
          </w:tcPr>
          <w:p w14:paraId="1048A407" w14:textId="55A062C6" w:rsidR="00273A17" w:rsidRPr="009E06FA"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9E06FA">
              <w:rPr>
                <w:rFonts w:ascii="VIC" w:hAnsi="VIC"/>
                <w:sz w:val="18"/>
                <w:szCs w:val="28"/>
              </w:rPr>
              <w:t>Partnering with consumers</w:t>
            </w:r>
          </w:p>
        </w:tc>
        <w:tc>
          <w:tcPr>
            <w:tcW w:w="1494" w:type="pct"/>
          </w:tcPr>
          <w:p w14:paraId="4DC9622E" w14:textId="0D423BFB" w:rsidR="00273A17" w:rsidRPr="009E06FA"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9E06FA">
              <w:rPr>
                <w:rFonts w:ascii="VIC" w:hAnsi="VIC"/>
                <w:sz w:val="18"/>
              </w:rPr>
              <w:t>7.3</w:t>
            </w:r>
          </w:p>
        </w:tc>
      </w:tr>
      <w:tr w:rsidR="00273A17" w14:paraId="0C309E9C" w14:textId="77777777" w:rsidTr="007047E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099E3DC7" w14:textId="77777777" w:rsidR="009E06FA" w:rsidRPr="00494802" w:rsidRDefault="009E06FA" w:rsidP="009E06FA">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6DA1DC3E" w14:textId="7F53A2DD" w:rsidR="00CB13B4" w:rsidRPr="009E06FA" w:rsidRDefault="009E06FA" w:rsidP="009E06FA">
            <w:pPr>
              <w:pStyle w:val="Bullet1"/>
              <w:rPr>
                <w:rFonts w:ascii="VIC" w:hAnsi="VIC"/>
                <w:b w:val="0"/>
                <w:color w:val="auto"/>
                <w:sz w:val="18"/>
              </w:rPr>
            </w:pPr>
            <w:r>
              <w:rPr>
                <w:rFonts w:ascii="VIC" w:hAnsi="VIC"/>
                <w:b w:val="0"/>
                <w:color w:val="auto"/>
                <w:sz w:val="18"/>
              </w:rPr>
              <w:t>p</w:t>
            </w:r>
            <w:r w:rsidR="00CB13B4" w:rsidRPr="009E06FA">
              <w:rPr>
                <w:rFonts w:ascii="VIC" w:hAnsi="VIC"/>
                <w:b w:val="0"/>
                <w:color w:val="auto"/>
                <w:sz w:val="18"/>
              </w:rPr>
              <w:t>atient feedback or reports from consumer focus groups about the format and content of patient information</w:t>
            </w:r>
          </w:p>
          <w:p w14:paraId="758B360C" w14:textId="689E64E5" w:rsidR="00CB13B4" w:rsidRPr="009E06FA" w:rsidRDefault="009E06FA" w:rsidP="009E06FA">
            <w:pPr>
              <w:pStyle w:val="Bullet1"/>
              <w:rPr>
                <w:rFonts w:ascii="VIC" w:hAnsi="VIC"/>
                <w:b w:val="0"/>
                <w:color w:val="auto"/>
                <w:sz w:val="18"/>
              </w:rPr>
            </w:pPr>
            <w:r>
              <w:rPr>
                <w:rFonts w:ascii="VIC" w:hAnsi="VIC"/>
                <w:b w:val="0"/>
                <w:color w:val="auto"/>
                <w:sz w:val="18"/>
              </w:rPr>
              <w:t>p</w:t>
            </w:r>
            <w:r w:rsidR="00CB13B4" w:rsidRPr="009E06FA">
              <w:rPr>
                <w:rFonts w:ascii="VIC" w:hAnsi="VIC"/>
                <w:b w:val="0"/>
                <w:color w:val="auto"/>
                <w:sz w:val="18"/>
              </w:rPr>
              <w:t>olicy documents to support patients who refuse blood and blood products</w:t>
            </w:r>
          </w:p>
          <w:p w14:paraId="2DD980D8" w14:textId="42106951" w:rsidR="00687CD6" w:rsidRPr="009E06FA" w:rsidRDefault="009E06FA" w:rsidP="009E06FA">
            <w:pPr>
              <w:pStyle w:val="Bullet1"/>
              <w:rPr>
                <w:rFonts w:ascii="VIC" w:hAnsi="VIC"/>
                <w:b w:val="0"/>
                <w:color w:val="auto"/>
                <w:sz w:val="18"/>
              </w:rPr>
            </w:pPr>
            <w:r>
              <w:rPr>
                <w:rFonts w:ascii="VIC" w:hAnsi="VIC"/>
                <w:b w:val="0"/>
                <w:color w:val="auto"/>
                <w:sz w:val="18"/>
              </w:rPr>
              <w:t>p</w:t>
            </w:r>
            <w:r w:rsidR="00CB13B4" w:rsidRPr="009E06FA">
              <w:rPr>
                <w:rFonts w:ascii="VIC" w:hAnsi="VIC"/>
                <w:b w:val="0"/>
                <w:color w:val="auto"/>
                <w:sz w:val="18"/>
              </w:rPr>
              <w:t>atient and carer information packages or resources that are developed with feedback from consumers</w:t>
            </w:r>
            <w:r>
              <w:rPr>
                <w:rFonts w:ascii="VIC" w:hAnsi="VIC"/>
                <w:b w:val="0"/>
                <w:color w:val="auto"/>
                <w:sz w:val="18"/>
              </w:rPr>
              <w:t xml:space="preserve"> </w:t>
            </w:r>
            <w:r w:rsidR="00CB13B4" w:rsidRPr="009E06FA">
              <w:rPr>
                <w:rFonts w:ascii="VIC" w:hAnsi="VIC"/>
                <w:b w:val="0"/>
                <w:color w:val="auto"/>
                <w:sz w:val="18"/>
              </w:rPr>
              <w:t>and are available in a variety of formats and languages for distribution by the workforce</w:t>
            </w:r>
            <w:r>
              <w:rPr>
                <w:rFonts w:ascii="VIC" w:hAnsi="VIC"/>
                <w:b w:val="0"/>
                <w:color w:val="auto"/>
                <w:sz w:val="18"/>
              </w:rPr>
              <w:t>.</w:t>
            </w:r>
          </w:p>
        </w:tc>
      </w:tr>
    </w:tbl>
    <w:p w14:paraId="758E45D4" w14:textId="79FCEC57" w:rsidR="00273A17" w:rsidRDefault="00273A17" w:rsidP="005953EA">
      <w:pPr>
        <w:rPr>
          <w:b/>
        </w:rPr>
      </w:pPr>
    </w:p>
    <w:tbl>
      <w:tblPr>
        <w:tblStyle w:val="TableGrid"/>
        <w:tblW w:w="4973" w:type="pct"/>
        <w:tblLook w:val="06A0" w:firstRow="1" w:lastRow="0" w:firstColumn="1" w:lastColumn="0" w:noHBand="1" w:noVBand="1"/>
      </w:tblPr>
      <w:tblGrid>
        <w:gridCol w:w="3947"/>
        <w:gridCol w:w="2932"/>
        <w:gridCol w:w="2932"/>
      </w:tblGrid>
      <w:tr w:rsidR="00273A17" w14:paraId="06B1B94E" w14:textId="77777777" w:rsidTr="00CB1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63A0AC5C" w14:textId="1001E839" w:rsidR="00273A17" w:rsidRPr="009E06FA" w:rsidRDefault="00273A17" w:rsidP="009E06FA">
            <w:pPr>
              <w:pStyle w:val="Heading2"/>
              <w:numPr>
                <w:ilvl w:val="0"/>
                <w:numId w:val="19"/>
              </w:numPr>
              <w:ind w:left="316"/>
              <w:outlineLvl w:val="1"/>
              <w:rPr>
                <w:rFonts w:ascii="VIC SemiBold" w:hAnsi="VIC SemiBold"/>
              </w:rPr>
            </w:pPr>
            <w:r w:rsidRPr="009E06FA">
              <w:rPr>
                <w:rFonts w:ascii="VIC SemiBold" w:hAnsi="VIC SemiBold"/>
              </w:rPr>
              <w:t>RECOGNISING AND RESPONDING TO ACUTE DETERIORATION STANDARD</w:t>
            </w:r>
          </w:p>
        </w:tc>
        <w:tc>
          <w:tcPr>
            <w:tcW w:w="1494" w:type="pct"/>
          </w:tcPr>
          <w:p w14:paraId="260133F1" w14:textId="77777777" w:rsidR="00273A17" w:rsidRPr="009E06FA" w:rsidRDefault="00273A17" w:rsidP="009E06FA">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9E06FA">
              <w:rPr>
                <w:rFonts w:ascii="VIC SemiBold" w:hAnsi="VIC SemiBold"/>
                <w:szCs w:val="28"/>
              </w:rPr>
              <w:t>ITEM</w:t>
            </w:r>
          </w:p>
        </w:tc>
        <w:tc>
          <w:tcPr>
            <w:tcW w:w="1494" w:type="pct"/>
          </w:tcPr>
          <w:p w14:paraId="17327B52" w14:textId="77777777" w:rsidR="00273A17" w:rsidRPr="009E06FA" w:rsidRDefault="00273A17" w:rsidP="009E06FA">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9E06FA">
              <w:rPr>
                <w:rFonts w:ascii="VIC SemiBold" w:hAnsi="VIC SemiBold"/>
              </w:rPr>
              <w:t>ACTION</w:t>
            </w:r>
          </w:p>
        </w:tc>
      </w:tr>
      <w:tr w:rsidR="00273A17" w:rsidRPr="001324D2" w14:paraId="1F86904B" w14:textId="77777777" w:rsidTr="00CB13B4">
        <w:tc>
          <w:tcPr>
            <w:cnfStyle w:val="001000000000" w:firstRow="0" w:lastRow="0" w:firstColumn="1" w:lastColumn="0" w:oddVBand="0" w:evenVBand="0" w:oddHBand="0" w:evenHBand="0" w:firstRowFirstColumn="0" w:firstRowLastColumn="0" w:lastRowFirstColumn="0" w:lastRowLastColumn="0"/>
            <w:tcW w:w="2012" w:type="pct"/>
          </w:tcPr>
          <w:p w14:paraId="6B1EA7DF" w14:textId="697AA6A1" w:rsidR="00273A17" w:rsidRPr="009E06FA" w:rsidRDefault="009E06FA" w:rsidP="00273A17">
            <w:pPr>
              <w:rPr>
                <w:rFonts w:ascii="VIC Medium" w:hAnsi="VIC Medium"/>
                <w:b w:val="0"/>
                <w:sz w:val="20"/>
              </w:rPr>
            </w:pPr>
            <w:r w:rsidRPr="009E06FA">
              <w:rPr>
                <w:rFonts w:ascii="VIC Medium" w:hAnsi="VIC Medium"/>
                <w:b w:val="0"/>
                <w:sz w:val="20"/>
              </w:rPr>
              <w:t>Clinical governance and quality improvement to support recognition and response systems</w:t>
            </w:r>
          </w:p>
        </w:tc>
        <w:tc>
          <w:tcPr>
            <w:tcW w:w="1494" w:type="pct"/>
          </w:tcPr>
          <w:p w14:paraId="121AFB3E" w14:textId="2D822391" w:rsidR="00273A17" w:rsidRPr="009E06FA"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9E06FA">
              <w:rPr>
                <w:rFonts w:ascii="VIC" w:hAnsi="VIC"/>
                <w:sz w:val="18"/>
                <w:szCs w:val="28"/>
              </w:rPr>
              <w:t>Partnering with consumers</w:t>
            </w:r>
          </w:p>
        </w:tc>
        <w:tc>
          <w:tcPr>
            <w:tcW w:w="1494" w:type="pct"/>
          </w:tcPr>
          <w:p w14:paraId="30253C49" w14:textId="03AD0424" w:rsidR="00273A17" w:rsidRPr="009E06FA" w:rsidRDefault="00273A17" w:rsidP="00273A17">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9E06FA">
              <w:rPr>
                <w:rFonts w:ascii="VIC" w:hAnsi="VIC"/>
                <w:sz w:val="18"/>
              </w:rPr>
              <w:t>8.3</w:t>
            </w:r>
          </w:p>
        </w:tc>
      </w:tr>
      <w:tr w:rsidR="00CB13B4" w:rsidRPr="001324D2" w14:paraId="77F2B92F" w14:textId="77777777" w:rsidTr="00CB13B4">
        <w:tc>
          <w:tcPr>
            <w:cnfStyle w:val="001000000000" w:firstRow="0" w:lastRow="0" w:firstColumn="1" w:lastColumn="0" w:oddVBand="0" w:evenVBand="0" w:oddHBand="0" w:evenHBand="0" w:firstRowFirstColumn="0" w:firstRowLastColumn="0" w:lastRowFirstColumn="0" w:lastRowLastColumn="0"/>
            <w:tcW w:w="2012" w:type="pct"/>
          </w:tcPr>
          <w:p w14:paraId="7BEB2F56" w14:textId="30ABE014" w:rsidR="00CB13B4" w:rsidRPr="009E06FA" w:rsidRDefault="009E06FA" w:rsidP="00273A17">
            <w:pPr>
              <w:rPr>
                <w:rFonts w:ascii="VIC Medium" w:hAnsi="VIC Medium"/>
                <w:b w:val="0"/>
                <w:sz w:val="20"/>
              </w:rPr>
            </w:pPr>
            <w:r w:rsidRPr="009E06FA">
              <w:rPr>
                <w:rFonts w:ascii="VIC Medium" w:hAnsi="VIC Medium"/>
                <w:b w:val="0"/>
                <w:sz w:val="20"/>
              </w:rPr>
              <w:t>Detecting and recognising acute deterioration, and escalating care</w:t>
            </w:r>
          </w:p>
        </w:tc>
        <w:tc>
          <w:tcPr>
            <w:tcW w:w="1494" w:type="pct"/>
          </w:tcPr>
          <w:p w14:paraId="0883EEF5" w14:textId="6C043355" w:rsidR="00CB13B4" w:rsidRPr="009E06FA"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9E06FA">
              <w:rPr>
                <w:rFonts w:ascii="VIC" w:hAnsi="VIC"/>
                <w:sz w:val="18"/>
                <w:szCs w:val="28"/>
              </w:rPr>
              <w:t>Escalating care</w:t>
            </w:r>
          </w:p>
        </w:tc>
        <w:tc>
          <w:tcPr>
            <w:tcW w:w="1494" w:type="pct"/>
          </w:tcPr>
          <w:p w14:paraId="4872D218" w14:textId="5B126899" w:rsidR="00CB13B4" w:rsidRPr="009E06FA" w:rsidRDefault="00CB13B4" w:rsidP="00273A17">
            <w:pPr>
              <w:cnfStyle w:val="000000000000" w:firstRow="0" w:lastRow="0" w:firstColumn="0" w:lastColumn="0" w:oddVBand="0" w:evenVBand="0" w:oddHBand="0" w:evenHBand="0" w:firstRowFirstColumn="0" w:firstRowLastColumn="0" w:lastRowFirstColumn="0" w:lastRowLastColumn="0"/>
              <w:rPr>
                <w:rFonts w:ascii="VIC" w:hAnsi="VIC"/>
                <w:sz w:val="18"/>
              </w:rPr>
            </w:pPr>
            <w:r w:rsidRPr="009E06FA">
              <w:rPr>
                <w:rFonts w:ascii="VIC" w:hAnsi="VIC"/>
                <w:sz w:val="18"/>
              </w:rPr>
              <w:t>8.7</w:t>
            </w:r>
          </w:p>
        </w:tc>
      </w:tr>
      <w:tr w:rsidR="00CB13B4" w14:paraId="098D8CC2" w14:textId="77777777" w:rsidTr="00CB13B4">
        <w:tblPrEx>
          <w:tblLook w:val="04A0" w:firstRow="1" w:lastRow="0" w:firstColumn="1" w:lastColumn="0" w:noHBand="0" w:noVBand="1"/>
        </w:tblPrEx>
        <w:trPr>
          <w:trHeight w:val="1729"/>
        </w:trPr>
        <w:tc>
          <w:tcPr>
            <w:cnfStyle w:val="001000000000" w:firstRow="0" w:lastRow="0" w:firstColumn="1" w:lastColumn="0" w:oddVBand="0" w:evenVBand="0" w:oddHBand="0" w:evenHBand="0" w:firstRowFirstColumn="0" w:firstRowLastColumn="0" w:lastRowFirstColumn="0" w:lastRowLastColumn="0"/>
            <w:tcW w:w="5000" w:type="pct"/>
            <w:gridSpan w:val="3"/>
          </w:tcPr>
          <w:p w14:paraId="2698C3F5" w14:textId="77777777" w:rsidR="009E06FA" w:rsidRPr="00494802" w:rsidRDefault="009E06FA" w:rsidP="009E06FA">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4F848AE4" w14:textId="12E06386" w:rsidR="00CB13B4" w:rsidRPr="009E06FA" w:rsidRDefault="009E06FA" w:rsidP="009E06FA">
            <w:pPr>
              <w:pStyle w:val="Bullet1"/>
              <w:rPr>
                <w:rFonts w:ascii="VIC" w:hAnsi="VIC"/>
                <w:b w:val="0"/>
                <w:color w:val="auto"/>
                <w:sz w:val="18"/>
              </w:rPr>
            </w:pPr>
            <w:r>
              <w:rPr>
                <w:rFonts w:ascii="VIC" w:hAnsi="VIC"/>
                <w:b w:val="0"/>
                <w:color w:val="auto"/>
                <w:sz w:val="18"/>
              </w:rPr>
              <w:t>p</w:t>
            </w:r>
            <w:r w:rsidR="00CB13B4" w:rsidRPr="009E06FA">
              <w:rPr>
                <w:rFonts w:ascii="VIC" w:hAnsi="VIC"/>
                <w:b w:val="0"/>
                <w:color w:val="auto"/>
                <w:sz w:val="18"/>
              </w:rPr>
              <w:t>olicy documents about gaining patient consent or consulting with substitute decision-makers for treatment in response to acute deterioration</w:t>
            </w:r>
          </w:p>
          <w:p w14:paraId="2AD119C8" w14:textId="2DA51F8C" w:rsidR="00CB13B4" w:rsidRPr="009E06FA" w:rsidRDefault="009E06FA" w:rsidP="009E06FA">
            <w:pPr>
              <w:pStyle w:val="Bullet1"/>
              <w:rPr>
                <w:rFonts w:ascii="VIC" w:hAnsi="VIC"/>
                <w:b w:val="0"/>
                <w:color w:val="auto"/>
                <w:sz w:val="18"/>
              </w:rPr>
            </w:pPr>
            <w:r>
              <w:rPr>
                <w:rFonts w:ascii="VIC" w:hAnsi="VIC"/>
                <w:b w:val="0"/>
                <w:color w:val="auto"/>
                <w:sz w:val="18"/>
              </w:rPr>
              <w:t>i</w:t>
            </w:r>
            <w:r w:rsidR="00CB13B4" w:rsidRPr="009E06FA">
              <w:rPr>
                <w:rFonts w:ascii="VIC" w:hAnsi="VIC"/>
                <w:b w:val="0"/>
                <w:color w:val="auto"/>
                <w:sz w:val="18"/>
              </w:rPr>
              <w:t>nformation resources for patients, carers and families about recognition and response systems</w:t>
            </w:r>
          </w:p>
          <w:p w14:paraId="044FEEEC" w14:textId="4B8F5671" w:rsidR="00CB13B4" w:rsidRPr="009E06FA" w:rsidRDefault="009E06FA" w:rsidP="009E06FA">
            <w:pPr>
              <w:pStyle w:val="Bullet1"/>
              <w:rPr>
                <w:rFonts w:ascii="VIC" w:hAnsi="VIC"/>
                <w:b w:val="0"/>
                <w:color w:val="auto"/>
                <w:sz w:val="18"/>
              </w:rPr>
            </w:pPr>
            <w:r>
              <w:rPr>
                <w:rFonts w:ascii="VIC" w:hAnsi="VIC"/>
                <w:b w:val="0"/>
                <w:color w:val="auto"/>
                <w:sz w:val="18"/>
              </w:rPr>
              <w:t>c</w:t>
            </w:r>
            <w:r w:rsidR="00CB13B4" w:rsidRPr="009E06FA">
              <w:rPr>
                <w:rFonts w:ascii="VIC" w:hAnsi="VIC"/>
                <w:b w:val="0"/>
                <w:color w:val="auto"/>
                <w:sz w:val="18"/>
              </w:rPr>
              <w:t>onsumer and carer resources that outline how they can directly escalate care</w:t>
            </w:r>
            <w:r>
              <w:rPr>
                <w:rFonts w:ascii="VIC" w:hAnsi="VIC"/>
                <w:b w:val="0"/>
                <w:color w:val="auto"/>
                <w:sz w:val="18"/>
              </w:rPr>
              <w:t>.</w:t>
            </w:r>
          </w:p>
        </w:tc>
      </w:tr>
    </w:tbl>
    <w:p w14:paraId="7703B0C0" w14:textId="6BF6D6AD" w:rsidR="00273A17" w:rsidRDefault="00273A17" w:rsidP="009B69AE">
      <w:pPr>
        <w:rPr>
          <w:b/>
        </w:rPr>
      </w:pPr>
    </w:p>
    <w:p w14:paraId="77969BE9" w14:textId="67E83D97" w:rsidR="005229BF" w:rsidRDefault="005229BF" w:rsidP="009B69AE">
      <w:pPr>
        <w:rPr>
          <w:b/>
        </w:rPr>
      </w:pPr>
    </w:p>
    <w:tbl>
      <w:tblPr>
        <w:tblStyle w:val="SCVInformationTable"/>
        <w:tblpPr w:leftFromText="181" w:rightFromText="181" w:vertAnchor="page" w:horzAnchor="margin" w:tblpY="13408"/>
        <w:tblW w:w="10065" w:type="dxa"/>
        <w:shd w:val="clear" w:color="auto" w:fill="F2F2F3"/>
        <w:tblLook w:val="0600" w:firstRow="0" w:lastRow="0" w:firstColumn="0" w:lastColumn="0" w:noHBand="1" w:noVBand="1"/>
      </w:tblPr>
      <w:tblGrid>
        <w:gridCol w:w="4571"/>
        <w:gridCol w:w="3529"/>
        <w:gridCol w:w="1965"/>
      </w:tblGrid>
      <w:sdt>
        <w:sdtPr>
          <w:rPr>
            <w:sz w:val="24"/>
          </w:rPr>
          <w:id w:val="-967040995"/>
          <w:placeholder>
            <w:docPart w:val="821DCBA74B7841D6B39CEECC4A996A6E"/>
          </w:placeholder>
        </w:sdtPr>
        <w:sdtEndPr>
          <w:rPr>
            <w:sz w:val="15"/>
            <w:szCs w:val="15"/>
          </w:rPr>
        </w:sdtEndPr>
        <w:sdtContent>
          <w:tr w:rsidR="007A3F9F" w:rsidRPr="00736C0C" w14:paraId="2B159B8B" w14:textId="77777777" w:rsidTr="007A3F9F">
            <w:trPr>
              <w:trHeight w:val="1644"/>
            </w:trPr>
            <w:tc>
              <w:tcPr>
                <w:tcW w:w="4571" w:type="dxa"/>
                <w:tcMar>
                  <w:left w:w="113" w:type="dxa"/>
                </w:tcMar>
              </w:tcPr>
              <w:p w14:paraId="3A15AF39" w14:textId="0BF0A28C" w:rsidR="007A3F9F" w:rsidRPr="00767035" w:rsidRDefault="007A3F9F" w:rsidP="00FC16B4">
                <w:pPr>
                  <w:spacing w:after="0" w:line="240" w:lineRule="exact"/>
                  <w:ind w:right="454"/>
                  <w:rPr>
                    <w:sz w:val="24"/>
                  </w:rPr>
                </w:pPr>
                <w:r w:rsidRPr="001B63E8">
                  <w:rPr>
                    <w:rFonts w:ascii="VIC" w:hAnsi="VIC"/>
                    <w:sz w:val="24"/>
                  </w:rPr>
                  <w:t xml:space="preserve">To receive this publication in an accessible format phone </w:t>
                </w:r>
                <w:r w:rsidR="00FE0E08">
                  <w:rPr>
                    <w:rFonts w:ascii="VIC" w:hAnsi="VIC"/>
                    <w:sz w:val="24"/>
                  </w:rPr>
                  <w:br/>
                </w:r>
                <w:r w:rsidRPr="001B63E8">
                  <w:rPr>
                    <w:rFonts w:ascii="VIC" w:hAnsi="VIC"/>
                    <w:sz w:val="24"/>
                  </w:rPr>
                  <w:t>03 9096 9008, using the National Relay Service 13</w:t>
                </w:r>
                <w:r w:rsidRPr="001B63E8">
                  <w:rPr>
                    <w:rFonts w:ascii="Cambria" w:hAnsi="Cambria" w:cs="Cambria"/>
                  </w:rPr>
                  <w:t> </w:t>
                </w:r>
                <w:r w:rsidRPr="001B63E8">
                  <w:rPr>
                    <w:rFonts w:ascii="VIC" w:hAnsi="VIC"/>
                    <w:sz w:val="24"/>
                  </w:rPr>
                  <w:t>36</w:t>
                </w:r>
                <w:r w:rsidRPr="001B63E8">
                  <w:rPr>
                    <w:rFonts w:ascii="Cambria" w:hAnsi="Cambria" w:cs="Cambria"/>
                    <w:sz w:val="24"/>
                  </w:rPr>
                  <w:t> </w:t>
                </w:r>
                <w:r w:rsidRPr="001B63E8">
                  <w:rPr>
                    <w:rFonts w:ascii="VIC" w:hAnsi="VIC"/>
                    <w:sz w:val="24"/>
                  </w:rPr>
                  <w:t xml:space="preserve">77 if required, or email </w:t>
                </w:r>
                <w:hyperlink r:id="rId12" w:history="1">
                  <w:r w:rsidRPr="005335D1">
                    <w:rPr>
                      <w:rStyle w:val="Hyperlink"/>
                      <w:rFonts w:ascii="VIC" w:hAnsi="VIC"/>
                      <w:color w:val="auto"/>
                      <w:sz w:val="24"/>
                    </w:rPr>
                    <w:t>partnering@safercare.vic.gov.au</w:t>
                  </w:r>
                </w:hyperlink>
              </w:p>
            </w:tc>
            <w:tc>
              <w:tcPr>
                <w:tcW w:w="3529" w:type="dxa"/>
              </w:tcPr>
              <w:p w14:paraId="6CEFF406" w14:textId="77777777" w:rsidR="007A3F9F" w:rsidRPr="001B63E8" w:rsidRDefault="007A3F9F" w:rsidP="00FC16B4">
                <w:pPr>
                  <w:spacing w:line="230" w:lineRule="auto"/>
                  <w:ind w:right="1020"/>
                  <w:rPr>
                    <w:rFonts w:ascii="VIC" w:hAnsi="VIC"/>
                    <w:sz w:val="13"/>
                    <w:szCs w:val="13"/>
                  </w:rPr>
                </w:pPr>
                <w:r w:rsidRPr="001B63E8">
                  <w:rPr>
                    <w:rFonts w:ascii="VIC" w:hAnsi="VIC"/>
                    <w:sz w:val="13"/>
                    <w:szCs w:val="13"/>
                  </w:rPr>
                  <w:t xml:space="preserve">Authorised and published by the Victorian Government, 1 Treasury </w:t>
                </w:r>
                <w:r w:rsidRPr="001B63E8">
                  <w:rPr>
                    <w:rFonts w:ascii="VIC" w:hAnsi="VIC"/>
                    <w:sz w:val="13"/>
                    <w:szCs w:val="13"/>
                  </w:rPr>
                  <w:br/>
                  <w:t>Place, Melbourne.</w:t>
                </w:r>
              </w:p>
              <w:p w14:paraId="4C716D9C" w14:textId="77777777" w:rsidR="007A3F9F" w:rsidRPr="001B63E8" w:rsidRDefault="007A3F9F" w:rsidP="00FC16B4">
                <w:pPr>
                  <w:spacing w:line="230" w:lineRule="auto"/>
                  <w:ind w:right="1020"/>
                  <w:rPr>
                    <w:rFonts w:ascii="VIC" w:hAnsi="VIC"/>
                    <w:sz w:val="13"/>
                    <w:szCs w:val="13"/>
                  </w:rPr>
                </w:pPr>
                <w:r w:rsidRPr="001B63E8">
                  <w:rPr>
                    <w:rFonts w:ascii="VIC" w:hAnsi="VIC"/>
                    <w:sz w:val="13"/>
                    <w:szCs w:val="13"/>
                  </w:rPr>
                  <w:t xml:space="preserve">© State of Victoria, Australia, Safer Care Victoria, </w:t>
                </w:r>
                <w:r>
                  <w:rPr>
                    <w:rFonts w:ascii="VIC" w:hAnsi="VIC"/>
                    <w:sz w:val="13"/>
                    <w:szCs w:val="13"/>
                  </w:rPr>
                  <w:t>August 2019</w:t>
                </w:r>
              </w:p>
              <w:p w14:paraId="3686D503" w14:textId="77777777" w:rsidR="007A3F9F" w:rsidRPr="007A4444" w:rsidRDefault="007A3F9F" w:rsidP="00FC16B4">
                <w:pPr>
                  <w:spacing w:line="230" w:lineRule="auto"/>
                  <w:ind w:right="1020"/>
                  <w:rPr>
                    <w:sz w:val="13"/>
                    <w:szCs w:val="13"/>
                  </w:rPr>
                </w:pPr>
                <w:r w:rsidRPr="001B63E8">
                  <w:rPr>
                    <w:rFonts w:ascii="VIC" w:hAnsi="VIC"/>
                    <w:sz w:val="13"/>
                    <w:szCs w:val="13"/>
                  </w:rPr>
                  <w:t xml:space="preserve">Available at </w:t>
                </w:r>
                <w:hyperlink r:id="rId13" w:history="1">
                  <w:r w:rsidRPr="001B63E8">
                    <w:rPr>
                      <w:rStyle w:val="Hyperlink"/>
                      <w:rFonts w:ascii="VIC" w:hAnsi="VIC"/>
                      <w:sz w:val="13"/>
                      <w:szCs w:val="13"/>
                    </w:rPr>
                    <w:t>www.safercare.vic</w:t>
                  </w:r>
                </w:hyperlink>
                <w:r w:rsidRPr="001B63E8">
                  <w:rPr>
                    <w:rFonts w:ascii="VIC" w:hAnsi="VIC"/>
                    <w:sz w:val="13"/>
                    <w:szCs w:val="13"/>
                  </w:rPr>
                  <w:t>.gov.au</w:t>
                </w:r>
              </w:p>
            </w:tc>
            <w:tc>
              <w:tcPr>
                <w:tcW w:w="1965" w:type="dxa"/>
              </w:tcPr>
              <w:p w14:paraId="6DA697AC" w14:textId="77777777" w:rsidR="007A3F9F" w:rsidRPr="00736C0C" w:rsidRDefault="007A3F9F" w:rsidP="00FC16B4">
                <w:pPr>
                  <w:rPr>
                    <w:szCs w:val="15"/>
                  </w:rPr>
                </w:pPr>
                <w:r>
                  <w:rPr>
                    <w:noProof/>
                    <w:szCs w:val="15"/>
                  </w:rPr>
                  <w:drawing>
                    <wp:inline distT="0" distB="0" distL="0" distR="0" wp14:anchorId="76FCF949" wp14:editId="61F464E5">
                      <wp:extent cx="972000" cy="55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sdtContent>
      </w:sdt>
    </w:tbl>
    <w:p w14:paraId="538FC51D" w14:textId="28F42AAB" w:rsidR="005229BF" w:rsidRPr="00BA4FF9" w:rsidRDefault="005229BF" w:rsidP="009B69AE">
      <w:pPr>
        <w:rPr>
          <w:b/>
        </w:rPr>
      </w:pPr>
      <w:bookmarkStart w:id="0" w:name="_GoBack"/>
      <w:bookmarkEnd w:id="0"/>
    </w:p>
    <w:sectPr w:rsidR="005229BF" w:rsidRPr="00BA4FF9" w:rsidSect="009B69AE">
      <w:type w:val="continuous"/>
      <w:pgSz w:w="11906" w:h="16838" w:code="9"/>
      <w:pgMar w:top="2438" w:right="1021" w:bottom="284"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A0A5" w14:textId="77777777" w:rsidR="00F742FB" w:rsidRDefault="00F742FB" w:rsidP="002D711A">
      <w:pPr>
        <w:spacing w:after="0" w:line="240" w:lineRule="auto"/>
      </w:pPr>
      <w:r>
        <w:separator/>
      </w:r>
    </w:p>
  </w:endnote>
  <w:endnote w:type="continuationSeparator" w:id="0">
    <w:p w14:paraId="0EC8FCBA" w14:textId="77777777" w:rsidR="00F742FB" w:rsidRDefault="00F742F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Bold">
    <w:altName w:val="VIC"/>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584C" w14:textId="77777777" w:rsidR="00663D4D" w:rsidRDefault="00663D4D">
    <w:pPr>
      <w:pStyle w:val="Footer"/>
      <w:jc w:val="right"/>
      <w:rPr>
        <w:noProof w:val="0"/>
        <w:sz w:val="20"/>
        <w:szCs w:val="20"/>
      </w:rPr>
    </w:pPr>
  </w:p>
  <w:p w14:paraId="42A514DB" w14:textId="77777777" w:rsidR="00663D4D" w:rsidRPr="009E06FA" w:rsidRDefault="00FE0E08" w:rsidP="00663D4D">
    <w:pPr>
      <w:pStyle w:val="Footer"/>
      <w:jc w:val="right"/>
      <w:rPr>
        <w:rFonts w:ascii="VIC" w:hAnsi="VIC"/>
        <w:sz w:val="14"/>
        <w:szCs w:val="20"/>
      </w:rPr>
    </w:pPr>
    <w:sdt>
      <w:sdtPr>
        <w:rPr>
          <w:rFonts w:ascii="VIC" w:hAnsi="VIC"/>
          <w:noProof w:val="0"/>
          <w:sz w:val="7"/>
        </w:rPr>
        <w:id w:val="1538702247"/>
        <w:docPartObj>
          <w:docPartGallery w:val="Page Numbers (Bottom of Page)"/>
          <w:docPartUnique/>
        </w:docPartObj>
      </w:sdtPr>
      <w:sdtEndPr>
        <w:rPr>
          <w:noProof/>
          <w:sz w:val="14"/>
          <w:szCs w:val="20"/>
        </w:rPr>
      </w:sdtEndPr>
      <w:sdtContent>
        <w:r w:rsidR="00663D4D" w:rsidRPr="009E06FA">
          <w:rPr>
            <w:rFonts w:ascii="VIC" w:hAnsi="VIC"/>
            <w:noProof w:val="0"/>
            <w:sz w:val="14"/>
            <w:szCs w:val="20"/>
          </w:rPr>
          <w:fldChar w:fldCharType="begin"/>
        </w:r>
        <w:r w:rsidR="00663D4D" w:rsidRPr="009E06FA">
          <w:rPr>
            <w:rFonts w:ascii="VIC" w:hAnsi="VIC"/>
            <w:sz w:val="14"/>
            <w:szCs w:val="20"/>
          </w:rPr>
          <w:instrText xml:space="preserve"> PAGE   \* MERGEFORMAT </w:instrText>
        </w:r>
        <w:r w:rsidR="00663D4D" w:rsidRPr="009E06FA">
          <w:rPr>
            <w:rFonts w:ascii="VIC" w:hAnsi="VIC"/>
            <w:noProof w:val="0"/>
            <w:sz w:val="14"/>
            <w:szCs w:val="20"/>
          </w:rPr>
          <w:fldChar w:fldCharType="separate"/>
        </w:r>
        <w:r w:rsidR="007E6EF5" w:rsidRPr="009E06FA">
          <w:rPr>
            <w:rFonts w:ascii="VIC" w:hAnsi="VIC"/>
            <w:sz w:val="14"/>
            <w:szCs w:val="20"/>
          </w:rPr>
          <w:t>2</w:t>
        </w:r>
        <w:r w:rsidR="00663D4D" w:rsidRPr="009E06FA">
          <w:rPr>
            <w:rFonts w:ascii="VIC" w:hAnsi="VIC"/>
            <w:sz w:val="14"/>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AD35" w14:textId="77777777" w:rsidR="00F742FB" w:rsidRDefault="00F742FB" w:rsidP="00E33E08">
      <w:pPr>
        <w:spacing w:before="0" w:after="0" w:line="240" w:lineRule="auto"/>
      </w:pPr>
    </w:p>
  </w:footnote>
  <w:footnote w:type="continuationSeparator" w:id="0">
    <w:p w14:paraId="0A747271" w14:textId="77777777" w:rsidR="00F742FB" w:rsidRDefault="00F742F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77B5" w14:textId="5C4EF48C" w:rsidR="00A65B86" w:rsidRDefault="00A65B86" w:rsidP="00A65B86">
    <w:pPr>
      <w:pStyle w:val="Header"/>
      <w:jc w:val="right"/>
      <w:rPr>
        <w:rFonts w:ascii="VIC" w:hAnsi="VIC"/>
        <w:sz w:val="18"/>
      </w:rPr>
    </w:pPr>
    <w:r>
      <w:rPr>
        <w:rFonts w:ascii="VIC" w:hAnsi="VIC"/>
        <w:noProof/>
        <w:sz w:val="18"/>
      </w:rPr>
      <w:drawing>
        <wp:anchor distT="0" distB="0" distL="114300" distR="114300" simplePos="0" relativeHeight="251663360" behindDoc="1" locked="0" layoutInCell="1" allowOverlap="1" wp14:anchorId="0B33A466" wp14:editId="5C088DAD">
          <wp:simplePos x="0" y="0"/>
          <wp:positionH relativeFrom="margin">
            <wp:align>right</wp:align>
          </wp:positionH>
          <wp:positionV relativeFrom="paragraph">
            <wp:posOffset>6985</wp:posOffset>
          </wp:positionV>
          <wp:extent cx="633600" cy="633600"/>
          <wp:effectExtent l="0" t="0" r="0" b="0"/>
          <wp:wrapTight wrapText="bothSides">
            <wp:wrapPolygon edited="0">
              <wp:start x="0" y="0"/>
              <wp:lineTo x="0" y="20798"/>
              <wp:lineTo x="20798" y="20798"/>
              <wp:lineTo x="207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_Equity_and_inclusion.jpg"/>
                  <pic:cNvPicPr/>
                </pic:nvPicPr>
                <pic:blipFill>
                  <a:blip r:embed="rId1">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p>
  <w:p w14:paraId="41558D72" w14:textId="6A621339" w:rsidR="00A65B86" w:rsidRDefault="00A65B86" w:rsidP="00A65B86">
    <w:pPr>
      <w:pStyle w:val="Header"/>
      <w:jc w:val="right"/>
      <w:rPr>
        <w:rFonts w:ascii="VIC" w:hAnsi="VIC"/>
        <w:sz w:val="18"/>
      </w:rPr>
    </w:pPr>
  </w:p>
  <w:p w14:paraId="0D33E89E" w14:textId="1C21EB5C" w:rsidR="00A65B86" w:rsidRDefault="00A65B86" w:rsidP="00A65B86">
    <w:pPr>
      <w:pStyle w:val="Header"/>
      <w:jc w:val="right"/>
      <w:rPr>
        <w:rFonts w:ascii="VIC" w:hAnsi="VIC"/>
        <w:sz w:val="18"/>
      </w:rPr>
    </w:pPr>
  </w:p>
  <w:p w14:paraId="27E1D1B3" w14:textId="77777777" w:rsidR="00A65B86" w:rsidRDefault="00A65B86" w:rsidP="00A65B86">
    <w:pPr>
      <w:pStyle w:val="Header"/>
      <w:jc w:val="right"/>
      <w:rPr>
        <w:rFonts w:ascii="VIC" w:hAnsi="VIC"/>
        <w:sz w:val="18"/>
      </w:rPr>
    </w:pPr>
  </w:p>
  <w:p w14:paraId="5257EFB7" w14:textId="77777777" w:rsidR="00A65B86" w:rsidRDefault="00A65B86" w:rsidP="00A65B86">
    <w:pPr>
      <w:pStyle w:val="Header"/>
      <w:jc w:val="right"/>
      <w:rPr>
        <w:rFonts w:ascii="VIC" w:hAnsi="VIC"/>
        <w:sz w:val="18"/>
      </w:rPr>
    </w:pPr>
  </w:p>
  <w:p w14:paraId="60287CBA" w14:textId="1D369752" w:rsidR="000905F7" w:rsidRDefault="00A65B86" w:rsidP="00A65B86">
    <w:pPr>
      <w:pStyle w:val="Header"/>
      <w:jc w:val="right"/>
    </w:pPr>
    <w:r w:rsidRPr="008A435E">
      <w:rPr>
        <w:rFonts w:ascii="VIC" w:hAnsi="VIC"/>
        <w:sz w:val="18"/>
      </w:rPr>
      <w:t>PARTNERING IN HEALTHCARE</w:t>
    </w:r>
    <w:r w:rsidRPr="008A435E">
      <w:rPr>
        <w:rFonts w:ascii="VIC" w:hAnsi="VIC"/>
        <w:sz w:val="18"/>
      </w:rPr>
      <w:br/>
      <w:t>NSQHS STANDARDS RESOURCE</w:t>
    </w:r>
    <w:r>
      <w:rPr>
        <w:noProof/>
      </w:rPr>
      <w:t xml:space="preserve"> </w:t>
    </w:r>
    <w:r w:rsidR="000905F7">
      <w:rPr>
        <w:noProof/>
      </w:rPr>
      <w:drawing>
        <wp:anchor distT="0" distB="0" distL="114300" distR="114300" simplePos="0" relativeHeight="251662336" behindDoc="1" locked="0" layoutInCell="1" allowOverlap="1" wp14:anchorId="64F5342A" wp14:editId="2DDF2D5D">
          <wp:simplePos x="0" y="0"/>
          <wp:positionH relativeFrom="page">
            <wp:posOffset>180975</wp:posOffset>
          </wp:positionH>
          <wp:positionV relativeFrom="page">
            <wp:posOffset>9525</wp:posOffset>
          </wp:positionV>
          <wp:extent cx="1522800" cy="1206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19C13BE0"/>
    <w:multiLevelType w:val="hybridMultilevel"/>
    <w:tmpl w:val="6D26B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B615760"/>
    <w:multiLevelType w:val="hybridMultilevel"/>
    <w:tmpl w:val="2B84E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DAD0004"/>
    <w:multiLevelType w:val="hybridMultilevel"/>
    <w:tmpl w:val="85488C6C"/>
    <w:lvl w:ilvl="0" w:tplc="A7BEB2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BF7170"/>
    <w:multiLevelType w:val="hybridMultilevel"/>
    <w:tmpl w:val="C6D8D202"/>
    <w:lvl w:ilvl="0" w:tplc="7234BEC2">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EA774F"/>
    <w:multiLevelType w:val="hybridMultilevel"/>
    <w:tmpl w:val="E87A3C8E"/>
    <w:lvl w:ilvl="0" w:tplc="A7BEB2F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E3836"/>
    <w:multiLevelType w:val="hybridMultilevel"/>
    <w:tmpl w:val="49409072"/>
    <w:lvl w:ilvl="0" w:tplc="A7BEB2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6737AD"/>
    <w:multiLevelType w:val="hybridMultilevel"/>
    <w:tmpl w:val="F19C776A"/>
    <w:lvl w:ilvl="0" w:tplc="0C090001">
      <w:start w:val="1"/>
      <w:numFmt w:val="bullet"/>
      <w:lvlText w:val=""/>
      <w:lvlJc w:val="left"/>
      <w:pPr>
        <w:ind w:left="720" w:hanging="360"/>
      </w:pPr>
      <w:rPr>
        <w:rFonts w:ascii="Symbol" w:hAnsi="Symbol" w:hint="default"/>
      </w:rPr>
    </w:lvl>
    <w:lvl w:ilvl="1" w:tplc="A150E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ACA745B"/>
    <w:multiLevelType w:val="hybridMultilevel"/>
    <w:tmpl w:val="69C66632"/>
    <w:lvl w:ilvl="0" w:tplc="04F47554">
      <w:start w:val="1"/>
      <w:numFmt w:val="decimal"/>
      <w:lvlText w:val="%1."/>
      <w:lvlJc w:val="left"/>
      <w:pPr>
        <w:ind w:left="720" w:hanging="360"/>
      </w:pPr>
      <w:rPr>
        <w:b/>
      </w:rPr>
    </w:lvl>
    <w:lvl w:ilvl="1" w:tplc="41524440">
      <w:start w:val="1"/>
      <w:numFmt w:val="lowerLetter"/>
      <w:lvlText w:val="%2."/>
      <w:lvlJc w:val="left"/>
      <w:pPr>
        <w:ind w:left="1440" w:hanging="360"/>
      </w:pPr>
    </w:lvl>
    <w:lvl w:ilvl="2" w:tplc="B05EAE9C">
      <w:start w:val="1"/>
      <w:numFmt w:val="lowerRoman"/>
      <w:lvlText w:val="%3."/>
      <w:lvlJc w:val="right"/>
      <w:pPr>
        <w:ind w:left="2160" w:hanging="180"/>
      </w:pPr>
    </w:lvl>
    <w:lvl w:ilvl="3" w:tplc="231C5CBC">
      <w:start w:val="1"/>
      <w:numFmt w:val="decimal"/>
      <w:lvlText w:val="%4."/>
      <w:lvlJc w:val="left"/>
      <w:pPr>
        <w:ind w:left="2880" w:hanging="360"/>
      </w:pPr>
    </w:lvl>
    <w:lvl w:ilvl="4" w:tplc="252A05FC">
      <w:start w:val="1"/>
      <w:numFmt w:val="lowerLetter"/>
      <w:lvlText w:val="%5."/>
      <w:lvlJc w:val="left"/>
      <w:pPr>
        <w:ind w:left="3600" w:hanging="360"/>
      </w:pPr>
    </w:lvl>
    <w:lvl w:ilvl="5" w:tplc="0F1CE4AA">
      <w:start w:val="1"/>
      <w:numFmt w:val="lowerRoman"/>
      <w:lvlText w:val="%6."/>
      <w:lvlJc w:val="right"/>
      <w:pPr>
        <w:ind w:left="4320" w:hanging="180"/>
      </w:pPr>
    </w:lvl>
    <w:lvl w:ilvl="6" w:tplc="140EAB2A">
      <w:start w:val="1"/>
      <w:numFmt w:val="decimal"/>
      <w:lvlText w:val="%7."/>
      <w:lvlJc w:val="left"/>
      <w:pPr>
        <w:ind w:left="5040" w:hanging="360"/>
      </w:pPr>
    </w:lvl>
    <w:lvl w:ilvl="7" w:tplc="DB54A500">
      <w:start w:val="1"/>
      <w:numFmt w:val="lowerLetter"/>
      <w:lvlText w:val="%8."/>
      <w:lvlJc w:val="left"/>
      <w:pPr>
        <w:ind w:left="5760" w:hanging="360"/>
      </w:pPr>
    </w:lvl>
    <w:lvl w:ilvl="8" w:tplc="9C0ABE72">
      <w:start w:val="1"/>
      <w:numFmt w:val="lowerRoman"/>
      <w:lvlText w:val="%9."/>
      <w:lvlJc w:val="right"/>
      <w:pPr>
        <w:ind w:left="6480" w:hanging="180"/>
      </w:pPr>
    </w:lvl>
  </w:abstractNum>
  <w:abstractNum w:abstractNumId="15"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5"/>
  </w:num>
  <w:num w:numId="5">
    <w:abstractNumId w:val="2"/>
  </w:num>
  <w:num w:numId="6">
    <w:abstractNumId w:val="6"/>
  </w:num>
  <w:num w:numId="7">
    <w:abstractNumId w:val="13"/>
  </w:num>
  <w:num w:numId="8">
    <w:abstractNumId w:val="5"/>
  </w:num>
  <w:num w:numId="9">
    <w:abstractNumId w:val="5"/>
  </w:num>
  <w:num w:numId="10">
    <w:abstractNumId w:val="4"/>
  </w:num>
  <w:num w:numId="11">
    <w:abstractNumId w:val="0"/>
  </w:num>
  <w:num w:numId="12">
    <w:abstractNumId w:val="14"/>
  </w:num>
  <w:num w:numId="13">
    <w:abstractNumId w:val="1"/>
  </w:num>
  <w:num w:numId="14">
    <w:abstractNumId w:val="12"/>
  </w:num>
  <w:num w:numId="15">
    <w:abstractNumId w:val="11"/>
  </w:num>
  <w:num w:numId="16">
    <w:abstractNumId w:val="10"/>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FB"/>
    <w:rsid w:val="00012F6F"/>
    <w:rsid w:val="00014213"/>
    <w:rsid w:val="00014B55"/>
    <w:rsid w:val="00020E3E"/>
    <w:rsid w:val="00023BF3"/>
    <w:rsid w:val="00026811"/>
    <w:rsid w:val="000355E0"/>
    <w:rsid w:val="0004185E"/>
    <w:rsid w:val="000424A2"/>
    <w:rsid w:val="00053181"/>
    <w:rsid w:val="00056988"/>
    <w:rsid w:val="00072279"/>
    <w:rsid w:val="00073407"/>
    <w:rsid w:val="00075E6C"/>
    <w:rsid w:val="00081C12"/>
    <w:rsid w:val="00085FDA"/>
    <w:rsid w:val="00087D42"/>
    <w:rsid w:val="000905F7"/>
    <w:rsid w:val="000B29AD"/>
    <w:rsid w:val="000C1046"/>
    <w:rsid w:val="000C6372"/>
    <w:rsid w:val="000D7841"/>
    <w:rsid w:val="000E392D"/>
    <w:rsid w:val="000E39B6"/>
    <w:rsid w:val="000E3D05"/>
    <w:rsid w:val="000F4288"/>
    <w:rsid w:val="000F7165"/>
    <w:rsid w:val="00101122"/>
    <w:rsid w:val="00102379"/>
    <w:rsid w:val="00103722"/>
    <w:rsid w:val="001065D6"/>
    <w:rsid w:val="001068D5"/>
    <w:rsid w:val="00121252"/>
    <w:rsid w:val="00124609"/>
    <w:rsid w:val="001254CE"/>
    <w:rsid w:val="001307D4"/>
    <w:rsid w:val="0013637A"/>
    <w:rsid w:val="001422CC"/>
    <w:rsid w:val="00145346"/>
    <w:rsid w:val="00147178"/>
    <w:rsid w:val="00155FB0"/>
    <w:rsid w:val="001617B6"/>
    <w:rsid w:val="00165E66"/>
    <w:rsid w:val="00196143"/>
    <w:rsid w:val="001A24FC"/>
    <w:rsid w:val="001C6993"/>
    <w:rsid w:val="001C7BAE"/>
    <w:rsid w:val="001E31FA"/>
    <w:rsid w:val="001E48F9"/>
    <w:rsid w:val="001E64F6"/>
    <w:rsid w:val="001E7AEB"/>
    <w:rsid w:val="001F3F3C"/>
    <w:rsid w:val="00204B82"/>
    <w:rsid w:val="00212987"/>
    <w:rsid w:val="00222BEB"/>
    <w:rsid w:val="00225E60"/>
    <w:rsid w:val="00230BBB"/>
    <w:rsid w:val="0023202C"/>
    <w:rsid w:val="00234619"/>
    <w:rsid w:val="00235BE2"/>
    <w:rsid w:val="00245043"/>
    <w:rsid w:val="0026028E"/>
    <w:rsid w:val="00273A17"/>
    <w:rsid w:val="00284FA2"/>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1149C"/>
    <w:rsid w:val="00353E0B"/>
    <w:rsid w:val="0036778F"/>
    <w:rsid w:val="00376182"/>
    <w:rsid w:val="0037682C"/>
    <w:rsid w:val="003847C9"/>
    <w:rsid w:val="0038771C"/>
    <w:rsid w:val="003A430B"/>
    <w:rsid w:val="003A541A"/>
    <w:rsid w:val="003A6923"/>
    <w:rsid w:val="003C2C67"/>
    <w:rsid w:val="003C2D4C"/>
    <w:rsid w:val="003C3B3A"/>
    <w:rsid w:val="003C5BA4"/>
    <w:rsid w:val="003E3E26"/>
    <w:rsid w:val="003F1295"/>
    <w:rsid w:val="003F1E99"/>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74900"/>
    <w:rsid w:val="0048259C"/>
    <w:rsid w:val="00482D02"/>
    <w:rsid w:val="00484326"/>
    <w:rsid w:val="00490369"/>
    <w:rsid w:val="004A7519"/>
    <w:rsid w:val="004B64B1"/>
    <w:rsid w:val="004C47D2"/>
    <w:rsid w:val="004D0191"/>
    <w:rsid w:val="004D01AC"/>
    <w:rsid w:val="004D3518"/>
    <w:rsid w:val="004D62D6"/>
    <w:rsid w:val="004D6898"/>
    <w:rsid w:val="004D6D95"/>
    <w:rsid w:val="004F3F4E"/>
    <w:rsid w:val="00510167"/>
    <w:rsid w:val="00513E86"/>
    <w:rsid w:val="005229BF"/>
    <w:rsid w:val="005306A2"/>
    <w:rsid w:val="0053416C"/>
    <w:rsid w:val="00541C2F"/>
    <w:rsid w:val="00552DE4"/>
    <w:rsid w:val="00563527"/>
    <w:rsid w:val="0057407A"/>
    <w:rsid w:val="0058124E"/>
    <w:rsid w:val="005875A3"/>
    <w:rsid w:val="005953EA"/>
    <w:rsid w:val="005A3416"/>
    <w:rsid w:val="005A44D3"/>
    <w:rsid w:val="005B061F"/>
    <w:rsid w:val="005B27FE"/>
    <w:rsid w:val="005B76DF"/>
    <w:rsid w:val="005B79CB"/>
    <w:rsid w:val="005E08D7"/>
    <w:rsid w:val="005E405D"/>
    <w:rsid w:val="005E4C16"/>
    <w:rsid w:val="005E5947"/>
    <w:rsid w:val="005F61DF"/>
    <w:rsid w:val="00601432"/>
    <w:rsid w:val="0060163A"/>
    <w:rsid w:val="006023F9"/>
    <w:rsid w:val="00610559"/>
    <w:rsid w:val="00614076"/>
    <w:rsid w:val="00632F2E"/>
    <w:rsid w:val="006332F6"/>
    <w:rsid w:val="006350A6"/>
    <w:rsid w:val="006413F2"/>
    <w:rsid w:val="006534B2"/>
    <w:rsid w:val="0065615D"/>
    <w:rsid w:val="00657011"/>
    <w:rsid w:val="00663D4D"/>
    <w:rsid w:val="006650B5"/>
    <w:rsid w:val="006651B1"/>
    <w:rsid w:val="00665778"/>
    <w:rsid w:val="00676E5F"/>
    <w:rsid w:val="00680577"/>
    <w:rsid w:val="00687CD6"/>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48C2"/>
    <w:rsid w:val="007770A5"/>
    <w:rsid w:val="007834F2"/>
    <w:rsid w:val="00791020"/>
    <w:rsid w:val="007950D8"/>
    <w:rsid w:val="007A04D2"/>
    <w:rsid w:val="007A3F9F"/>
    <w:rsid w:val="007A4444"/>
    <w:rsid w:val="007A5F82"/>
    <w:rsid w:val="007D5F9E"/>
    <w:rsid w:val="007E098F"/>
    <w:rsid w:val="007E3BA2"/>
    <w:rsid w:val="007E6EF5"/>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1108"/>
    <w:rsid w:val="00855FF9"/>
    <w:rsid w:val="0086277A"/>
    <w:rsid w:val="008668A8"/>
    <w:rsid w:val="008703D8"/>
    <w:rsid w:val="008768AD"/>
    <w:rsid w:val="00880AC4"/>
    <w:rsid w:val="008816EE"/>
    <w:rsid w:val="0088684C"/>
    <w:rsid w:val="00897157"/>
    <w:rsid w:val="00897447"/>
    <w:rsid w:val="008A4900"/>
    <w:rsid w:val="008A55FE"/>
    <w:rsid w:val="008A58D2"/>
    <w:rsid w:val="008B146D"/>
    <w:rsid w:val="008B42AD"/>
    <w:rsid w:val="008B5666"/>
    <w:rsid w:val="008C154D"/>
    <w:rsid w:val="008C2C15"/>
    <w:rsid w:val="008D0281"/>
    <w:rsid w:val="008E2348"/>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B69AE"/>
    <w:rsid w:val="009C3D88"/>
    <w:rsid w:val="009E06FA"/>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65B86"/>
    <w:rsid w:val="00A70B49"/>
    <w:rsid w:val="00A85746"/>
    <w:rsid w:val="00A92D94"/>
    <w:rsid w:val="00AA26B8"/>
    <w:rsid w:val="00AC0B87"/>
    <w:rsid w:val="00AC2624"/>
    <w:rsid w:val="00AC32A8"/>
    <w:rsid w:val="00AD7E4E"/>
    <w:rsid w:val="00AF4D58"/>
    <w:rsid w:val="00AF6666"/>
    <w:rsid w:val="00AF7BC5"/>
    <w:rsid w:val="00B46857"/>
    <w:rsid w:val="00B81B44"/>
    <w:rsid w:val="00B9053B"/>
    <w:rsid w:val="00BA0C37"/>
    <w:rsid w:val="00BA3782"/>
    <w:rsid w:val="00BA4FF9"/>
    <w:rsid w:val="00BA6563"/>
    <w:rsid w:val="00BB4D98"/>
    <w:rsid w:val="00BB4EBF"/>
    <w:rsid w:val="00BB59E0"/>
    <w:rsid w:val="00BC3422"/>
    <w:rsid w:val="00BC3DE1"/>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51DF4"/>
    <w:rsid w:val="00C637E1"/>
    <w:rsid w:val="00C67EAC"/>
    <w:rsid w:val="00C70D50"/>
    <w:rsid w:val="00C72252"/>
    <w:rsid w:val="00C907D7"/>
    <w:rsid w:val="00C92338"/>
    <w:rsid w:val="00CA05DC"/>
    <w:rsid w:val="00CA7B47"/>
    <w:rsid w:val="00CB13B4"/>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2029"/>
    <w:rsid w:val="00D6560D"/>
    <w:rsid w:val="00D65D77"/>
    <w:rsid w:val="00D718D7"/>
    <w:rsid w:val="00D772AD"/>
    <w:rsid w:val="00D814B7"/>
    <w:rsid w:val="00D90688"/>
    <w:rsid w:val="00DA3AAD"/>
    <w:rsid w:val="00DA3F36"/>
    <w:rsid w:val="00DB312B"/>
    <w:rsid w:val="00DC5654"/>
    <w:rsid w:val="00DC658F"/>
    <w:rsid w:val="00DC674A"/>
    <w:rsid w:val="00DE60CC"/>
    <w:rsid w:val="00E03F35"/>
    <w:rsid w:val="00E05C14"/>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742FB"/>
    <w:rsid w:val="00F90EA5"/>
    <w:rsid w:val="00F91F5A"/>
    <w:rsid w:val="00F966B1"/>
    <w:rsid w:val="00F97D48"/>
    <w:rsid w:val="00FA0311"/>
    <w:rsid w:val="00FA1489"/>
    <w:rsid w:val="00FA16AC"/>
    <w:rsid w:val="00FD50F0"/>
    <w:rsid w:val="00FD640F"/>
    <w:rsid w:val="00FD6B4C"/>
    <w:rsid w:val="00FE04C6"/>
    <w:rsid w:val="00FE0553"/>
    <w:rsid w:val="00FE0E08"/>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86933A"/>
  <w15:docId w15:val="{FFAB920D-4AC7-4FF3-BC67-E145E5B9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styleId="NormalWeb">
    <w:name w:val="Normal (Web)"/>
    <w:basedOn w:val="Normal"/>
    <w:uiPriority w:val="99"/>
    <w:unhideWhenUsed/>
    <w:rsid w:val="00BA4F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1"/>
    <w:semiHidden/>
    <w:unhideWhenUsed/>
    <w:rsid w:val="00147178"/>
    <w:rPr>
      <w:sz w:val="16"/>
      <w:szCs w:val="16"/>
    </w:rPr>
  </w:style>
  <w:style w:type="paragraph" w:styleId="CommentText">
    <w:name w:val="annotation text"/>
    <w:basedOn w:val="Normal"/>
    <w:link w:val="CommentTextChar"/>
    <w:uiPriority w:val="1"/>
    <w:semiHidden/>
    <w:unhideWhenUsed/>
    <w:rsid w:val="00147178"/>
    <w:pPr>
      <w:spacing w:line="240" w:lineRule="auto"/>
    </w:pPr>
  </w:style>
  <w:style w:type="character" w:customStyle="1" w:styleId="CommentTextChar">
    <w:name w:val="Comment Text Char"/>
    <w:basedOn w:val="DefaultParagraphFont"/>
    <w:link w:val="CommentText"/>
    <w:uiPriority w:val="1"/>
    <w:semiHidden/>
    <w:rsid w:val="00147178"/>
  </w:style>
  <w:style w:type="paragraph" w:styleId="CommentSubject">
    <w:name w:val="annotation subject"/>
    <w:basedOn w:val="CommentText"/>
    <w:next w:val="CommentText"/>
    <w:link w:val="CommentSubjectChar"/>
    <w:uiPriority w:val="1"/>
    <w:semiHidden/>
    <w:unhideWhenUsed/>
    <w:rsid w:val="00147178"/>
    <w:rPr>
      <w:b/>
      <w:bCs/>
    </w:rPr>
  </w:style>
  <w:style w:type="character" w:customStyle="1" w:styleId="CommentSubjectChar">
    <w:name w:val="Comment Subject Char"/>
    <w:basedOn w:val="CommentTextChar"/>
    <w:link w:val="CommentSubject"/>
    <w:uiPriority w:val="1"/>
    <w:semiHidden/>
    <w:rsid w:val="00147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0774">
      <w:bodyDiv w:val="1"/>
      <w:marLeft w:val="0"/>
      <w:marRight w:val="0"/>
      <w:marTop w:val="0"/>
      <w:marBottom w:val="0"/>
      <w:divBdr>
        <w:top w:val="none" w:sz="0" w:space="0" w:color="auto"/>
        <w:left w:val="none" w:sz="0" w:space="0" w:color="auto"/>
        <w:bottom w:val="none" w:sz="0" w:space="0" w:color="auto"/>
        <w:right w:val="none" w:sz="0" w:space="0" w:color="auto"/>
      </w:divBdr>
    </w:div>
    <w:div w:id="1295985714">
      <w:bodyDiv w:val="1"/>
      <w:marLeft w:val="0"/>
      <w:marRight w:val="0"/>
      <w:marTop w:val="0"/>
      <w:marBottom w:val="0"/>
      <w:divBdr>
        <w:top w:val="none" w:sz="0" w:space="0" w:color="auto"/>
        <w:left w:val="none" w:sz="0" w:space="0" w:color="auto"/>
        <w:bottom w:val="none" w:sz="0" w:space="0" w:color="auto"/>
        <w:right w:val="none" w:sz="0" w:space="0" w:color="auto"/>
      </w:divBdr>
    </w:div>
    <w:div w:id="1394424779">
      <w:bodyDiv w:val="1"/>
      <w:marLeft w:val="0"/>
      <w:marRight w:val="0"/>
      <w:marTop w:val="0"/>
      <w:marBottom w:val="0"/>
      <w:divBdr>
        <w:top w:val="none" w:sz="0" w:space="0" w:color="auto"/>
        <w:left w:val="none" w:sz="0" w:space="0" w:color="auto"/>
        <w:bottom w:val="none" w:sz="0" w:space="0" w:color="auto"/>
        <w:right w:val="none" w:sz="0" w:space="0" w:color="auto"/>
      </w:divBdr>
    </w:div>
    <w:div w:id="20972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fercare.v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tnering@safercare.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fetyandquality.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DCBA74B7841D6B39CEECC4A996A6E"/>
        <w:category>
          <w:name w:val="General"/>
          <w:gallery w:val="placeholder"/>
        </w:category>
        <w:types>
          <w:type w:val="bbPlcHdr"/>
        </w:types>
        <w:behaviors>
          <w:behavior w:val="content"/>
        </w:behaviors>
        <w:guid w:val="{552BA698-E3E5-4C4A-BB35-024329D257BB}"/>
      </w:docPartPr>
      <w:docPartBody>
        <w:p w:rsidR="001D6FD4" w:rsidRDefault="006E22C1" w:rsidP="006E22C1">
          <w:pPr>
            <w:pStyle w:val="821DCBA74B7841D6B39CEECC4A996A6E"/>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Bold">
    <w:altName w:val="VIC"/>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C1"/>
    <w:rsid w:val="001D6FD4"/>
    <w:rsid w:val="006E2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6E22C1"/>
    <w:rPr>
      <w:color w:val="808080"/>
    </w:rPr>
  </w:style>
  <w:style w:type="paragraph" w:customStyle="1" w:styleId="821DCBA74B7841D6B39CEECC4A996A6E">
    <w:name w:val="821DCBA74B7841D6B39CEECC4A996A6E"/>
    <w:rsid w:val="006E2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72A3-D918-4C53-972F-FD33A1C7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Treasury and Finance</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Erin V Pelly (DHHS)</dc:creator>
  <cp:lastModifiedBy>Freya Jones (DHHS)</cp:lastModifiedBy>
  <cp:revision>18</cp:revision>
  <cp:lastPrinted>2018-05-20T09:23:00Z</cp:lastPrinted>
  <dcterms:created xsi:type="dcterms:W3CDTF">2019-05-30T22:49:00Z</dcterms:created>
  <dcterms:modified xsi:type="dcterms:W3CDTF">2019-08-16T02:30:00Z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