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C2D12" w14:textId="2C048C2E" w:rsidR="005C5D71" w:rsidRPr="008A435E" w:rsidRDefault="003E63A7" w:rsidP="003E63A7">
      <w:pPr>
        <w:pStyle w:val="Title"/>
        <w:spacing w:before="240"/>
        <w:rPr>
          <w:rFonts w:ascii="VIC SemiBold" w:hAnsi="VIC SemiBold"/>
          <w:b w:val="0"/>
        </w:rPr>
      </w:pPr>
      <w:r w:rsidRPr="008A435E">
        <w:rPr>
          <w:rFonts w:ascii="VIC SemiBold" w:hAnsi="VIC SemiBold"/>
          <w:b w:val="0"/>
        </w:rPr>
        <w:t>Personalised and holistic</w:t>
      </w:r>
    </w:p>
    <w:p w14:paraId="79EC7A8C" w14:textId="77777777" w:rsidR="009D55CA" w:rsidRDefault="009D55CA" w:rsidP="005A00C4">
      <w:pPr>
        <w:pStyle w:val="Heading2"/>
        <w:rPr>
          <w:rFonts w:ascii="VIC SemiBold" w:hAnsi="VIC SemiBold"/>
          <w:b w:val="0"/>
        </w:rPr>
        <w:sectPr w:rsidR="009D55CA" w:rsidSect="006B7903">
          <w:footerReference w:type="default" r:id="rId8"/>
          <w:headerReference w:type="first" r:id="rId9"/>
          <w:type w:val="continuous"/>
          <w:pgSz w:w="11906" w:h="16838" w:code="9"/>
          <w:pgMar w:top="680" w:right="1021" w:bottom="680" w:left="1021" w:header="539" w:footer="0" w:gutter="0"/>
          <w:cols w:space="284"/>
          <w:titlePg/>
          <w:docGrid w:linePitch="360"/>
        </w:sectPr>
      </w:pPr>
    </w:p>
    <w:p w14:paraId="1A0FB55B" w14:textId="1FB18FF5" w:rsidR="005C5D71" w:rsidRPr="008A435E" w:rsidRDefault="005A00C4" w:rsidP="005A00C4">
      <w:pPr>
        <w:pStyle w:val="Heading2"/>
        <w:rPr>
          <w:rFonts w:ascii="VIC SemiBold" w:hAnsi="VIC SemiBold"/>
          <w:b w:val="0"/>
        </w:rPr>
      </w:pPr>
      <w:bookmarkStart w:id="0" w:name="_Hlk14093524"/>
      <w:r w:rsidRPr="008A435E">
        <w:rPr>
          <w:rFonts w:ascii="VIC SemiBold" w:hAnsi="VIC SemiBold"/>
          <w:b w:val="0"/>
        </w:rPr>
        <w:t>How to use this resource</w:t>
      </w:r>
    </w:p>
    <w:p w14:paraId="0669CFE3" w14:textId="77777777" w:rsidR="00BB1760" w:rsidRDefault="00BB1760" w:rsidP="00BB1760">
      <w:pPr>
        <w:pStyle w:val="Normalfollowingheading"/>
        <w:rPr>
          <w:rFonts w:ascii="VIC" w:hAnsi="VIC"/>
        </w:rPr>
      </w:pPr>
      <w:r w:rsidRPr="008A435E">
        <w:rPr>
          <w:rFonts w:ascii="VIC" w:hAnsi="VIC"/>
        </w:rPr>
        <w:t>This fact sheet has been developed to help health services</w:t>
      </w:r>
      <w:r>
        <w:rPr>
          <w:rFonts w:ascii="VIC" w:hAnsi="VIC"/>
        </w:rPr>
        <w:t xml:space="preserve"> </w:t>
      </w:r>
      <w:r w:rsidRPr="008A435E">
        <w:rPr>
          <w:rFonts w:ascii="VIC" w:hAnsi="VIC"/>
        </w:rPr>
        <w:t xml:space="preserve">meet their requirements under the </w:t>
      </w:r>
      <w:r w:rsidRPr="00146A86">
        <w:rPr>
          <w:rFonts w:ascii="VIC Medium" w:hAnsi="VIC Medium"/>
        </w:rPr>
        <w:t>National Safety and Quality Health Service (NSQHS) Standards</w:t>
      </w:r>
      <w:r>
        <w:rPr>
          <w:rFonts w:ascii="VIC" w:hAnsi="VIC"/>
        </w:rPr>
        <w:t>.</w:t>
      </w:r>
    </w:p>
    <w:p w14:paraId="2458DF2E" w14:textId="77777777" w:rsidR="00BB1760" w:rsidRPr="004E2B74" w:rsidRDefault="00BB1760" w:rsidP="00BB1760">
      <w:pPr>
        <w:rPr>
          <w:rFonts w:ascii="VIC" w:hAnsi="VIC"/>
        </w:rPr>
      </w:pPr>
      <w:r w:rsidRPr="004E2B74">
        <w:rPr>
          <w:rFonts w:ascii="VIC" w:hAnsi="VIC"/>
        </w:rPr>
        <w:t>The second edition of the Standards features a greater focus on partnering with consumers</w:t>
      </w:r>
      <w:r>
        <w:rPr>
          <w:rFonts w:ascii="VIC" w:hAnsi="VIC"/>
        </w:rPr>
        <w:t xml:space="preserve">. </w:t>
      </w:r>
    </w:p>
    <w:p w14:paraId="0076A588" w14:textId="77777777" w:rsidR="00BB1760" w:rsidRDefault="00BB1760" w:rsidP="00BB1760">
      <w:pPr>
        <w:pStyle w:val="Normalfollowingheading"/>
        <w:rPr>
          <w:rFonts w:ascii="VIC" w:hAnsi="VIC"/>
        </w:rPr>
      </w:pPr>
      <w:r>
        <w:rPr>
          <w:rFonts w:ascii="VIC" w:hAnsi="VIC"/>
        </w:rPr>
        <w:t xml:space="preserve">To help you meet these updated requirements and achieve national accreditation, we’ve made sure our </w:t>
      </w:r>
      <w:r w:rsidRPr="00146A86">
        <w:rPr>
          <w:rFonts w:ascii="VIC Medium" w:hAnsi="VIC Medium"/>
        </w:rPr>
        <w:t>Partnering in healthcare framework</w:t>
      </w:r>
      <w:r>
        <w:rPr>
          <w:rFonts w:ascii="VIC" w:hAnsi="VIC"/>
        </w:rPr>
        <w:t xml:space="preserve"> aligns to each of the NSQHS Standards.</w:t>
      </w:r>
    </w:p>
    <w:p w14:paraId="62B90043" w14:textId="77777777" w:rsidR="00BB1760" w:rsidRDefault="00BB1760" w:rsidP="00BB1760">
      <w:pPr>
        <w:pStyle w:val="Normalfollowingheading"/>
        <w:rPr>
          <w:rFonts w:ascii="VIC" w:hAnsi="VIC"/>
        </w:rPr>
      </w:pPr>
      <w:r>
        <w:rPr>
          <w:rFonts w:ascii="VIC" w:hAnsi="VIC"/>
        </w:rPr>
        <w:t>Use this resource to find:</w:t>
      </w:r>
    </w:p>
    <w:p w14:paraId="6E4BEA79" w14:textId="77777777" w:rsidR="00BB1760" w:rsidRPr="008A435E" w:rsidRDefault="00BB1760" w:rsidP="00BB1760">
      <w:pPr>
        <w:pStyle w:val="Bullet1"/>
        <w:numPr>
          <w:ilvl w:val="0"/>
          <w:numId w:val="8"/>
        </w:numPr>
        <w:rPr>
          <w:rFonts w:ascii="VIC" w:hAnsi="VIC"/>
        </w:rPr>
      </w:pPr>
      <w:r w:rsidRPr="008A435E">
        <w:rPr>
          <w:rFonts w:ascii="VIC" w:hAnsi="VIC"/>
        </w:rPr>
        <w:t>information on this specific Partnering in healthcare framework domain</w:t>
      </w:r>
    </w:p>
    <w:p w14:paraId="716F0AFB" w14:textId="77777777" w:rsidR="00BB1760" w:rsidRDefault="00BB1760" w:rsidP="00BB1760">
      <w:pPr>
        <w:pStyle w:val="Bullet1"/>
        <w:numPr>
          <w:ilvl w:val="0"/>
          <w:numId w:val="8"/>
        </w:numPr>
        <w:rPr>
          <w:rFonts w:ascii="VIC" w:hAnsi="VIC"/>
        </w:rPr>
      </w:pPr>
      <w:r w:rsidRPr="008A435E">
        <w:rPr>
          <w:rFonts w:ascii="VIC" w:hAnsi="VIC"/>
        </w:rPr>
        <w:t xml:space="preserve">how </w:t>
      </w:r>
      <w:r>
        <w:rPr>
          <w:rFonts w:ascii="VIC" w:hAnsi="VIC"/>
        </w:rPr>
        <w:t xml:space="preserve">this domain aligns </w:t>
      </w:r>
      <w:r w:rsidRPr="008A435E">
        <w:rPr>
          <w:rFonts w:ascii="VIC" w:hAnsi="VIC"/>
        </w:rPr>
        <w:t>with each of the eight NSQHS Standards</w:t>
      </w:r>
    </w:p>
    <w:p w14:paraId="4C053618" w14:textId="77777777" w:rsidR="00BB1760" w:rsidRPr="008A435E" w:rsidRDefault="00BB1760" w:rsidP="00BB1760">
      <w:pPr>
        <w:pStyle w:val="Bullet1"/>
        <w:numPr>
          <w:ilvl w:val="0"/>
          <w:numId w:val="8"/>
        </w:numPr>
        <w:rPr>
          <w:rFonts w:ascii="VIC" w:hAnsi="VIC"/>
        </w:rPr>
      </w:pPr>
      <w:r>
        <w:rPr>
          <w:rFonts w:ascii="VIC" w:hAnsi="VIC"/>
        </w:rPr>
        <w:t>a set of core actions from the NSQHS workbook that your health service can take to achieve accreditation</w:t>
      </w:r>
    </w:p>
    <w:p w14:paraId="7EF91ABF" w14:textId="77777777" w:rsidR="00BB1760" w:rsidRPr="00146A86" w:rsidRDefault="00BB1760" w:rsidP="00BB1760">
      <w:pPr>
        <w:pStyle w:val="Bullet1"/>
        <w:numPr>
          <w:ilvl w:val="0"/>
          <w:numId w:val="8"/>
        </w:numPr>
        <w:rPr>
          <w:rFonts w:ascii="VIC" w:hAnsi="VIC"/>
        </w:rPr>
      </w:pPr>
      <w:r w:rsidRPr="008A435E">
        <w:rPr>
          <w:rFonts w:ascii="VIC" w:hAnsi="VIC"/>
        </w:rPr>
        <w:t>examples of evidence to demonstrate the relationship between the standards and th</w:t>
      </w:r>
      <w:r>
        <w:rPr>
          <w:rFonts w:ascii="VIC" w:hAnsi="VIC"/>
        </w:rPr>
        <w:t>is</w:t>
      </w:r>
      <w:r w:rsidRPr="008A435E">
        <w:rPr>
          <w:rFonts w:ascii="VIC" w:hAnsi="VIC"/>
        </w:rPr>
        <w:t xml:space="preserve"> domain.</w:t>
      </w:r>
    </w:p>
    <w:bookmarkEnd w:id="0"/>
    <w:p w14:paraId="1497C657" w14:textId="01EBE676" w:rsidR="003E3C38" w:rsidRPr="00AF2077" w:rsidRDefault="003F0F96" w:rsidP="00AF2077">
      <w:pPr>
        <w:pStyle w:val="Heading3"/>
        <w:rPr>
          <w:rFonts w:ascii="VIC SemiBold" w:hAnsi="VIC SemiBold"/>
          <w:b w:val="0"/>
        </w:rPr>
      </w:pPr>
      <w:r w:rsidRPr="000316B3">
        <w:rPr>
          <w:rFonts w:ascii="VIC" w:hAnsi="VIC"/>
          <w:b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444CE" wp14:editId="02E27083">
                <wp:simplePos x="0" y="0"/>
                <wp:positionH relativeFrom="column">
                  <wp:align>right</wp:align>
                </wp:positionH>
                <wp:positionV relativeFrom="paragraph">
                  <wp:posOffset>51435</wp:posOffset>
                </wp:positionV>
                <wp:extent cx="3045460" cy="942340"/>
                <wp:effectExtent l="0" t="0" r="254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9423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BC327" w14:textId="0A8BCFEB" w:rsidR="009D55CA" w:rsidRPr="00AF2077" w:rsidRDefault="009D55CA" w:rsidP="009D55CA">
                            <w:pPr>
                              <w:pStyle w:val="IntroductoryText"/>
                              <w:rPr>
                                <w:rFonts w:ascii="VIC SemiBold" w:hAnsi="VIC SemiBold"/>
                                <w:b w:val="0"/>
                              </w:rPr>
                            </w:pPr>
                            <w:r w:rsidRPr="00AF2077">
                              <w:rPr>
                                <w:rFonts w:ascii="VIC" w:hAnsi="VIC"/>
                                <w:b w:val="0"/>
                              </w:rPr>
                              <w:t>For more information about the NSQHS Standards (second edition) visit</w:t>
                            </w:r>
                            <w:r w:rsidRPr="00AF2077">
                              <w:rPr>
                                <w:rFonts w:ascii="VIC SemiBold" w:hAnsi="VIC SemiBold"/>
                                <w:b w:val="0"/>
                              </w:rPr>
                              <w:t xml:space="preserve"> </w:t>
                            </w:r>
                            <w:r w:rsidR="003F0F96">
                              <w:rPr>
                                <w:rFonts w:ascii="VIC SemiBold" w:hAnsi="VIC SemiBold"/>
                                <w:b w:val="0"/>
                              </w:rPr>
                              <w:br/>
                            </w:r>
                            <w:hyperlink r:id="rId10" w:history="1">
                              <w:r w:rsidR="003F0F96" w:rsidRPr="00AF2077">
                                <w:rPr>
                                  <w:rStyle w:val="Hyperlink"/>
                                  <w:rFonts w:ascii="VIC SemiBold" w:hAnsi="VIC SemiBold"/>
                                  <w:b w:val="0"/>
                                </w:rPr>
                                <w:t>www.safetyandquality.gov.au</w:t>
                              </w:r>
                            </w:hyperlink>
                          </w:p>
                          <w:p w14:paraId="2E3A8D81" w14:textId="73D98A69" w:rsidR="009D55CA" w:rsidRPr="00AF2077" w:rsidRDefault="009D55CA" w:rsidP="00AF2077">
                            <w:pPr>
                              <w:pStyle w:val="IntroductoryText"/>
                              <w:rPr>
                                <w:rFonts w:ascii="VIC SemiBold" w:hAnsi="VIC Semi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44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6pt;margin-top:4.05pt;width:239.8pt;height:74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" fillcolor="#e5f1f3 [661]" stroked="f">
                <v:textbox>
                  <w:txbxContent>
                    <w:p w14:paraId="30BBC327" w14:textId="0A8BCFEB" w:rsidR="009D55CA" w:rsidRPr="00AF2077" w:rsidRDefault="009D55CA" w:rsidP="009D55CA">
                      <w:pPr>
                        <w:pStyle w:val="IntroductoryText"/>
                        <w:rPr>
                          <w:rFonts w:ascii="VIC SemiBold" w:hAnsi="VIC SemiBold"/>
                          <w:b w:val="0"/>
                        </w:rPr>
                      </w:pPr>
                      <w:r w:rsidRPr="00AF2077">
                        <w:rPr>
                          <w:rFonts w:ascii="VIC" w:hAnsi="VIC"/>
                          <w:b w:val="0"/>
                        </w:rPr>
                        <w:t>For more information about the NSQHS Standards (second edition) visit</w:t>
                      </w:r>
                      <w:r w:rsidRPr="00AF2077">
                        <w:rPr>
                          <w:rFonts w:ascii="VIC SemiBold" w:hAnsi="VIC SemiBold"/>
                          <w:b w:val="0"/>
                        </w:rPr>
                        <w:t xml:space="preserve"> </w:t>
                      </w:r>
                      <w:r w:rsidR="003F0F96">
                        <w:rPr>
                          <w:rFonts w:ascii="VIC SemiBold" w:hAnsi="VIC SemiBold"/>
                          <w:b w:val="0"/>
                        </w:rPr>
                        <w:br/>
                      </w:r>
                      <w:hyperlink r:id="rId11" w:history="1">
                        <w:r w:rsidR="003F0F96" w:rsidRPr="00AF2077">
                          <w:rPr>
                            <w:rStyle w:val="Hyperlink"/>
                            <w:rFonts w:ascii="VIC SemiBold" w:hAnsi="VIC SemiBold"/>
                            <w:b w:val="0"/>
                          </w:rPr>
                          <w:t>www.safetyandquality.gov.au</w:t>
                        </w:r>
                      </w:hyperlink>
                    </w:p>
                    <w:p w14:paraId="2E3A8D81" w14:textId="73D98A69" w:rsidR="009D55CA" w:rsidRPr="00AF2077" w:rsidRDefault="009D55CA" w:rsidP="00AF2077">
                      <w:pPr>
                        <w:pStyle w:val="IntroductoryText"/>
                        <w:rPr>
                          <w:rFonts w:ascii="VIC SemiBold" w:hAnsi="VIC SemiBold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D55CA">
        <w:rPr>
          <w:rFonts w:ascii="VIC SemiBold" w:hAnsi="VIC SemiBold"/>
          <w:b w:val="0"/>
        </w:rPr>
        <w:br w:type="column"/>
      </w:r>
      <w:bookmarkStart w:id="1" w:name="_Hlk14093533"/>
      <w:r w:rsidR="009073F9" w:rsidRPr="00AF2077">
        <w:rPr>
          <w:rFonts w:ascii="VIC SemiBold" w:hAnsi="VIC SemiBold"/>
          <w:b w:val="0"/>
        </w:rPr>
        <w:t>About the domain</w:t>
      </w:r>
      <w:bookmarkEnd w:id="1"/>
    </w:p>
    <w:p w14:paraId="72CA11DD" w14:textId="1F639346" w:rsidR="003B6B52" w:rsidRDefault="003B6B52">
      <w:pPr>
        <w:rPr>
          <w:rFonts w:ascii="VIC" w:hAnsi="VIC"/>
        </w:rPr>
      </w:pPr>
      <w:r w:rsidRPr="00CF17EE">
        <w:rPr>
          <w:rFonts w:ascii="VIC" w:hAnsi="VIC"/>
          <w:noProof/>
        </w:rPr>
        <mc:AlternateContent>
          <mc:Choice Requires="wps">
            <w:drawing>
              <wp:inline distT="0" distB="0" distL="0" distR="0" wp14:anchorId="2BF24958" wp14:editId="741A57DE">
                <wp:extent cx="2997642" cy="794825"/>
                <wp:effectExtent l="0" t="0" r="12700" b="2476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642" cy="794825"/>
                        </a:xfrm>
                        <a:prstGeom prst="rect">
                          <a:avLst/>
                        </a:prstGeom>
                        <a:solidFill>
                          <a:srgbClr val="CC3366"/>
                        </a:solidFill>
                        <a:ln w="6350">
                          <a:solidFill>
                            <a:srgbClr val="EDF5F7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5167E" w14:textId="77777777" w:rsidR="003B6B52" w:rsidRPr="002519B3" w:rsidRDefault="003B6B52" w:rsidP="003B6B52">
                            <w:pPr>
                              <w:pStyle w:val="DHHSbody"/>
                              <w:rPr>
                                <w:rFonts w:ascii="VIC" w:hAnsi="VIC"/>
                                <w:color w:val="FFFFFF" w:themeColor="background1"/>
                              </w:rPr>
                            </w:pPr>
                            <w:r w:rsidRPr="002519B3">
                              <w:rPr>
                                <w:rFonts w:ascii="VIC" w:hAnsi="VIC"/>
                                <w:color w:val="FFFFFF" w:themeColor="background1"/>
                              </w:rPr>
                              <w:t xml:space="preserve">‘I am respected and receive </w:t>
                            </w:r>
                            <w:proofErr w:type="spellStart"/>
                            <w:r w:rsidRPr="002519B3">
                              <w:rPr>
                                <w:rFonts w:ascii="VIC" w:hAnsi="VIC"/>
                                <w:color w:val="FFFFFF" w:themeColor="background1"/>
                              </w:rPr>
                              <w:t>personalised</w:t>
                            </w:r>
                            <w:proofErr w:type="spellEnd"/>
                            <w:r w:rsidRPr="002519B3">
                              <w:rPr>
                                <w:rFonts w:ascii="VIC" w:hAnsi="VIC"/>
                                <w:color w:val="FFFFFF" w:themeColor="background1"/>
                              </w:rPr>
                              <w:t xml:space="preserve"> care that treats and supports me as a whole person.’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F24958" id="Text Box 1" o:spid="_x0000_s1027" type="#_x0000_t202" style="width:236.0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" fillcolor="#c36" strokecolor="#edf5f7" strokeweight=".5pt">
                <v:textbox inset="5mm,5mm,4mm,1mm">
                  <w:txbxContent>
                    <w:p w14:paraId="58C5167E" w14:textId="77777777" w:rsidR="003B6B52" w:rsidRPr="002519B3" w:rsidRDefault="003B6B52" w:rsidP="003B6B52">
                      <w:pPr>
                        <w:pStyle w:val="DHHSbody"/>
                        <w:rPr>
                          <w:rFonts w:ascii="VIC" w:hAnsi="VIC"/>
                          <w:color w:val="FFFFFF" w:themeColor="background1"/>
                        </w:rPr>
                      </w:pPr>
                      <w:r w:rsidRPr="002519B3">
                        <w:rPr>
                          <w:rFonts w:ascii="VIC" w:hAnsi="VIC"/>
                          <w:color w:val="FFFFFF" w:themeColor="background1"/>
                        </w:rPr>
                        <w:t xml:space="preserve">‘I am respected and receive </w:t>
                      </w:r>
                      <w:proofErr w:type="spellStart"/>
                      <w:r w:rsidRPr="002519B3">
                        <w:rPr>
                          <w:rFonts w:ascii="VIC" w:hAnsi="VIC"/>
                          <w:color w:val="FFFFFF" w:themeColor="background1"/>
                        </w:rPr>
                        <w:t>personalised</w:t>
                      </w:r>
                      <w:proofErr w:type="spellEnd"/>
                      <w:r w:rsidRPr="002519B3">
                        <w:rPr>
                          <w:rFonts w:ascii="VIC" w:hAnsi="VIC"/>
                          <w:color w:val="FFFFFF" w:themeColor="background1"/>
                        </w:rPr>
                        <w:t xml:space="preserve"> care that treats and supports me as a whole person.’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E26AAD" w14:textId="77777777" w:rsidR="003B6B52" w:rsidRDefault="001105E0">
      <w:pPr>
        <w:rPr>
          <w:rFonts w:ascii="VIC" w:hAnsi="VIC"/>
        </w:rPr>
      </w:pPr>
      <w:r w:rsidRPr="00AF2077">
        <w:rPr>
          <w:rFonts w:ascii="VIC" w:hAnsi="VIC"/>
        </w:rPr>
        <w:t xml:space="preserve">This domain includes what people can do for their own health and wellbeing, as well as what is done with and for people in a healthcare setting. This domain pivots on considering the whole person (or family). </w:t>
      </w:r>
    </w:p>
    <w:p w14:paraId="3715CC04" w14:textId="370774F9" w:rsidR="003F0F96" w:rsidRDefault="001105E0">
      <w:pPr>
        <w:rPr>
          <w:rFonts w:ascii="VIC" w:hAnsi="VIC"/>
        </w:rPr>
      </w:pPr>
      <w:r w:rsidRPr="00AF2077">
        <w:rPr>
          <w:rFonts w:ascii="VIC" w:hAnsi="VIC"/>
        </w:rPr>
        <w:t>This means understanding their physical, cultural and social context, to identify what makes a difference to a person’s health, wellbeing and safety. It also recognises that people have agency when they are at the ‘centre’ of care being provided to them by healthcare professionals</w:t>
      </w:r>
      <w:r w:rsidR="003F0F96">
        <w:rPr>
          <w:rFonts w:ascii="VIC" w:hAnsi="VIC"/>
        </w:rPr>
        <w:t>.</w:t>
      </w:r>
    </w:p>
    <w:p w14:paraId="78A68ED9" w14:textId="5E644BDD" w:rsidR="003F0F96" w:rsidRPr="00AF2077" w:rsidRDefault="003F0F96" w:rsidP="00AF2077">
      <w:pPr>
        <w:pStyle w:val="IntroductoryText"/>
        <w:rPr>
          <w:rFonts w:ascii="VIC" w:hAnsi="VIC"/>
        </w:rPr>
      </w:pPr>
      <w:bookmarkStart w:id="2" w:name="_Hlk14093716"/>
      <w:r w:rsidRPr="00AF2077">
        <w:rPr>
          <w:rFonts w:ascii="VIC" w:hAnsi="VIC"/>
          <w:b w:val="0"/>
        </w:rPr>
        <w:t xml:space="preserve">For more about the Partnering in healthcare framework, email us at </w:t>
      </w:r>
      <w:r w:rsidRPr="003F0F96">
        <w:rPr>
          <w:rFonts w:ascii="VIC SemiBold" w:hAnsi="VIC SemiBold"/>
          <w:b w:val="0"/>
          <w:color w:val="auto"/>
        </w:rPr>
        <w:t>partnering@safercare.vic.gov.au</w:t>
      </w:r>
    </w:p>
    <w:bookmarkEnd w:id="2"/>
    <w:p w14:paraId="59EB3F2D" w14:textId="77777777" w:rsidR="009D55CA" w:rsidRDefault="009D55CA">
      <w:pPr>
        <w:sectPr w:rsidR="009D55CA" w:rsidSect="006B7903">
          <w:type w:val="continuous"/>
          <w:pgSz w:w="11906" w:h="16838" w:code="9"/>
          <w:pgMar w:top="680" w:right="1021" w:bottom="680" w:left="1021" w:header="539" w:footer="0" w:gutter="0"/>
          <w:cols w:num="2" w:space="284"/>
          <w:titlePg/>
          <w:docGrid w:linePitch="360"/>
        </w:sectPr>
      </w:pPr>
    </w:p>
    <w:p w14:paraId="664D8D73" w14:textId="0B460667" w:rsidR="00B6242A" w:rsidRDefault="00B6242A">
      <w:r>
        <w:br w:type="page"/>
      </w:r>
    </w:p>
    <w:p w14:paraId="18705278" w14:textId="77777777" w:rsidR="008A435E" w:rsidRPr="00AF2077" w:rsidRDefault="008A435E" w:rsidP="00AF2077"/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879"/>
        <w:gridCol w:w="3163"/>
        <w:gridCol w:w="2769"/>
      </w:tblGrid>
      <w:tr w:rsidR="00D62029" w:rsidRPr="008A435E" w14:paraId="19FD485F" w14:textId="77777777" w:rsidTr="00AF2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78ABFED" w14:textId="0DE444AB" w:rsidR="00D62029" w:rsidRPr="008A435E" w:rsidRDefault="00D62029" w:rsidP="005E123F">
            <w:pPr>
              <w:pStyle w:val="Heading2"/>
              <w:numPr>
                <w:ilvl w:val="0"/>
                <w:numId w:val="20"/>
              </w:numPr>
              <w:ind w:left="315"/>
              <w:outlineLvl w:val="1"/>
              <w:rPr>
                <w:rFonts w:ascii="VIC SemiBold" w:hAnsi="VIC SemiBold"/>
                <w:lang w:eastAsia="en-AU"/>
              </w:rPr>
            </w:pPr>
            <w:r w:rsidRPr="008A435E">
              <w:rPr>
                <w:rFonts w:ascii="VIC SemiBold" w:hAnsi="VIC SemiBold"/>
                <w:lang w:eastAsia="en-AU"/>
              </w:rPr>
              <w:t>CLINICAL GOVERNANCE STANDARD</w:t>
            </w:r>
          </w:p>
        </w:tc>
        <w:tc>
          <w:tcPr>
            <w:tcW w:w="0" w:type="pct"/>
          </w:tcPr>
          <w:p w14:paraId="00F1D625" w14:textId="77777777" w:rsidR="00D62029" w:rsidRPr="005B1325" w:rsidRDefault="00D62029" w:rsidP="00AF2077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ITEM</w:t>
            </w:r>
          </w:p>
        </w:tc>
        <w:tc>
          <w:tcPr>
            <w:tcW w:w="0" w:type="pct"/>
          </w:tcPr>
          <w:p w14:paraId="58B10442" w14:textId="77777777" w:rsidR="00D62029" w:rsidRPr="005B1325" w:rsidRDefault="00D62029" w:rsidP="00AF2077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ACTION</w:t>
            </w:r>
          </w:p>
        </w:tc>
      </w:tr>
      <w:tr w:rsidR="00D62029" w:rsidRPr="008A435E" w14:paraId="356E3A6B" w14:textId="77777777" w:rsidTr="00AF20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 w:val="restart"/>
          </w:tcPr>
          <w:p w14:paraId="24CE3523" w14:textId="626C7B4A" w:rsidR="00D62029" w:rsidRPr="001D23A7" w:rsidRDefault="005A00C4" w:rsidP="00D62029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bCs/>
                <w:sz w:val="20"/>
                <w:szCs w:val="18"/>
              </w:rPr>
              <w:t xml:space="preserve">Governance, leadership </w:t>
            </w:r>
            <w:r w:rsidR="003E3C38" w:rsidRPr="001D23A7">
              <w:rPr>
                <w:rFonts w:ascii="VIC Medium" w:hAnsi="VIC Medium"/>
                <w:b w:val="0"/>
                <w:bCs/>
                <w:sz w:val="20"/>
                <w:szCs w:val="18"/>
              </w:rPr>
              <w:t xml:space="preserve">and </w:t>
            </w:r>
            <w:r w:rsidRPr="001D23A7">
              <w:rPr>
                <w:rFonts w:ascii="VIC Medium" w:hAnsi="VIC Medium"/>
                <w:b w:val="0"/>
                <w:bCs/>
                <w:sz w:val="20"/>
                <w:szCs w:val="18"/>
              </w:rPr>
              <w:t>culture</w:t>
            </w:r>
            <w:r w:rsidR="00D62029" w:rsidRPr="001D23A7">
              <w:rPr>
                <w:rFonts w:ascii="VIC Medium" w:hAnsi="VIC Medium"/>
                <w:b w:val="0"/>
                <w:sz w:val="20"/>
                <w:szCs w:val="18"/>
              </w:rPr>
              <w:t xml:space="preserve"> </w:t>
            </w:r>
          </w:p>
        </w:tc>
        <w:tc>
          <w:tcPr>
            <w:tcW w:w="0" w:type="pct"/>
          </w:tcPr>
          <w:p w14:paraId="15D94447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Governance, leadership and culture</w:t>
            </w:r>
          </w:p>
        </w:tc>
        <w:tc>
          <w:tcPr>
            <w:tcW w:w="0" w:type="pct"/>
          </w:tcPr>
          <w:p w14:paraId="4B1D12FC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 xml:space="preserve">1.1, </w:t>
            </w:r>
            <w:r w:rsidRPr="00845D5D">
              <w:rPr>
                <w:rFonts w:ascii="VIC SemiBold" w:hAnsi="VIC SemiBold"/>
                <w:sz w:val="18"/>
                <w:szCs w:val="18"/>
              </w:rPr>
              <w:t>1.2*</w:t>
            </w:r>
            <w:r w:rsidRPr="008A435E">
              <w:rPr>
                <w:rFonts w:ascii="VIC" w:hAnsi="VIC"/>
                <w:sz w:val="18"/>
                <w:szCs w:val="18"/>
              </w:rPr>
              <w:t xml:space="preserve"> </w:t>
            </w:r>
          </w:p>
        </w:tc>
      </w:tr>
      <w:tr w:rsidR="00D62029" w:rsidRPr="008A435E" w14:paraId="0A90FB40" w14:textId="77777777" w:rsidTr="00AF20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60C3F1C9" w14:textId="77777777" w:rsidR="00D62029" w:rsidRPr="001D23A7" w:rsidRDefault="00D62029" w:rsidP="00D62029">
            <w:pPr>
              <w:rPr>
                <w:rFonts w:ascii="VIC Medium" w:hAnsi="VIC Medium"/>
                <w:b w:val="0"/>
                <w:sz w:val="20"/>
                <w:szCs w:val="18"/>
              </w:rPr>
            </w:pPr>
          </w:p>
        </w:tc>
        <w:tc>
          <w:tcPr>
            <w:tcW w:w="0" w:type="pct"/>
          </w:tcPr>
          <w:p w14:paraId="581FA0D5" w14:textId="5EACD74A" w:rsidR="00D62029" w:rsidRPr="008A435E" w:rsidRDefault="00D62029" w:rsidP="00D6202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 xml:space="preserve">Organisational </w:t>
            </w:r>
            <w:r w:rsidR="008A435E" w:rsidRPr="008A435E">
              <w:rPr>
                <w:rFonts w:ascii="VIC" w:hAnsi="VIC"/>
                <w:sz w:val="18"/>
                <w:szCs w:val="18"/>
              </w:rPr>
              <w:t>l</w:t>
            </w:r>
            <w:r w:rsidRPr="008A435E">
              <w:rPr>
                <w:rFonts w:ascii="VIC" w:hAnsi="VIC"/>
                <w:sz w:val="18"/>
                <w:szCs w:val="18"/>
              </w:rPr>
              <w:t>eadership</w:t>
            </w:r>
          </w:p>
        </w:tc>
        <w:tc>
          <w:tcPr>
            <w:tcW w:w="0" w:type="pct"/>
          </w:tcPr>
          <w:p w14:paraId="5069EC09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 xml:space="preserve">1.3, </w:t>
            </w:r>
            <w:r w:rsidRPr="00845D5D">
              <w:rPr>
                <w:rFonts w:ascii="VIC SemiBold" w:hAnsi="VIC SemiBold"/>
                <w:sz w:val="18"/>
                <w:szCs w:val="18"/>
              </w:rPr>
              <w:t>1.4</w:t>
            </w:r>
            <w:r w:rsidRPr="008A435E">
              <w:rPr>
                <w:rFonts w:ascii="VIC" w:hAnsi="VIC"/>
                <w:b/>
                <w:sz w:val="18"/>
                <w:szCs w:val="18"/>
              </w:rPr>
              <w:t>*</w:t>
            </w:r>
            <w:r w:rsidRPr="00845D5D">
              <w:rPr>
                <w:rFonts w:ascii="VIC" w:hAnsi="VIC"/>
                <w:sz w:val="18"/>
                <w:szCs w:val="18"/>
              </w:rPr>
              <w:t>,</w:t>
            </w:r>
            <w:r w:rsidRPr="008A435E">
              <w:rPr>
                <w:rFonts w:ascii="VIC" w:hAnsi="VIC"/>
                <w:b/>
                <w:sz w:val="18"/>
                <w:szCs w:val="18"/>
              </w:rPr>
              <w:t xml:space="preserve"> </w:t>
            </w:r>
            <w:r w:rsidRPr="008A435E">
              <w:rPr>
                <w:rFonts w:ascii="VIC" w:hAnsi="VIC"/>
                <w:sz w:val="18"/>
                <w:szCs w:val="18"/>
              </w:rPr>
              <w:t>1.5</w:t>
            </w:r>
          </w:p>
        </w:tc>
      </w:tr>
      <w:tr w:rsidR="00D62029" w:rsidRPr="008A435E" w14:paraId="5426F234" w14:textId="77777777" w:rsidTr="00AF20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770381E4" w14:textId="77777777" w:rsidR="00D62029" w:rsidRPr="001D23A7" w:rsidRDefault="00D62029" w:rsidP="00D62029">
            <w:pPr>
              <w:rPr>
                <w:rFonts w:ascii="VIC Medium" w:hAnsi="VIC Medium"/>
                <w:b w:val="0"/>
                <w:sz w:val="20"/>
                <w:szCs w:val="18"/>
              </w:rPr>
            </w:pPr>
          </w:p>
        </w:tc>
        <w:tc>
          <w:tcPr>
            <w:tcW w:w="0" w:type="pct"/>
          </w:tcPr>
          <w:p w14:paraId="5C9AF825" w14:textId="76C2C0E9" w:rsidR="00D62029" w:rsidRPr="008A435E" w:rsidRDefault="00D62029" w:rsidP="00D6202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 xml:space="preserve">Clinical </w:t>
            </w:r>
            <w:r w:rsidR="008A435E" w:rsidRPr="008A435E">
              <w:rPr>
                <w:rFonts w:ascii="VIC" w:hAnsi="VIC"/>
                <w:sz w:val="18"/>
                <w:szCs w:val="18"/>
              </w:rPr>
              <w:t xml:space="preserve">leadership  </w:t>
            </w:r>
          </w:p>
        </w:tc>
        <w:tc>
          <w:tcPr>
            <w:tcW w:w="0" w:type="pct"/>
          </w:tcPr>
          <w:p w14:paraId="402E8812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1.6</w:t>
            </w:r>
          </w:p>
        </w:tc>
      </w:tr>
      <w:tr w:rsidR="00D62029" w:rsidRPr="008A435E" w14:paraId="14DC7331" w14:textId="77777777" w:rsidTr="00AF20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 w:val="restart"/>
          </w:tcPr>
          <w:p w14:paraId="7526A2A8" w14:textId="005AF634" w:rsidR="002C6C38" w:rsidRPr="001D23A7" w:rsidRDefault="005A00C4" w:rsidP="00D62029">
            <w:pPr>
              <w:rPr>
                <w:rFonts w:ascii="VIC Medium" w:hAnsi="VIC Medium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>Patient safety and quality systems</w:t>
            </w:r>
          </w:p>
        </w:tc>
        <w:tc>
          <w:tcPr>
            <w:tcW w:w="0" w:type="pct"/>
          </w:tcPr>
          <w:p w14:paraId="663B0B34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Measurement and quality improvement</w:t>
            </w:r>
          </w:p>
        </w:tc>
        <w:tc>
          <w:tcPr>
            <w:tcW w:w="0" w:type="pct"/>
          </w:tcPr>
          <w:p w14:paraId="0229B39E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1.8, 1.9</w:t>
            </w:r>
          </w:p>
        </w:tc>
      </w:tr>
      <w:tr w:rsidR="00D62029" w:rsidRPr="008A435E" w14:paraId="696041B9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683BDA85" w14:textId="77777777" w:rsidR="00D62029" w:rsidRPr="001D23A7" w:rsidRDefault="00D62029" w:rsidP="00D62029">
            <w:pPr>
              <w:rPr>
                <w:rFonts w:ascii="VIC Medium" w:hAnsi="VIC Medium"/>
                <w:b w:val="0"/>
                <w:sz w:val="20"/>
                <w:szCs w:val="18"/>
              </w:rPr>
            </w:pPr>
          </w:p>
        </w:tc>
        <w:tc>
          <w:tcPr>
            <w:tcW w:w="0" w:type="pct"/>
          </w:tcPr>
          <w:p w14:paraId="5B3B083E" w14:textId="286FB49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 xml:space="preserve">Risk </w:t>
            </w:r>
            <w:r w:rsidR="008A435E" w:rsidRPr="008A435E">
              <w:rPr>
                <w:rFonts w:ascii="VIC" w:hAnsi="VIC"/>
                <w:sz w:val="18"/>
                <w:szCs w:val="18"/>
              </w:rPr>
              <w:t>management</w:t>
            </w:r>
          </w:p>
        </w:tc>
        <w:tc>
          <w:tcPr>
            <w:tcW w:w="0" w:type="pct"/>
          </w:tcPr>
          <w:p w14:paraId="02B809E5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1.10</w:t>
            </w:r>
          </w:p>
        </w:tc>
      </w:tr>
      <w:tr w:rsidR="00D62029" w:rsidRPr="008A435E" w14:paraId="784C0F9F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2CC64481" w14:textId="77777777" w:rsidR="00D62029" w:rsidRPr="001D23A7" w:rsidRDefault="00D62029" w:rsidP="00D62029">
            <w:pPr>
              <w:rPr>
                <w:rFonts w:ascii="VIC Medium" w:hAnsi="VIC Medium"/>
                <w:b w:val="0"/>
                <w:sz w:val="20"/>
                <w:szCs w:val="18"/>
              </w:rPr>
            </w:pPr>
          </w:p>
        </w:tc>
        <w:tc>
          <w:tcPr>
            <w:tcW w:w="0" w:type="pct"/>
          </w:tcPr>
          <w:p w14:paraId="4D3EE1BA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Incident management systems and open disclosure</w:t>
            </w:r>
          </w:p>
        </w:tc>
        <w:tc>
          <w:tcPr>
            <w:tcW w:w="0" w:type="pct"/>
          </w:tcPr>
          <w:p w14:paraId="006686BF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1.11, 1.12</w:t>
            </w:r>
          </w:p>
        </w:tc>
      </w:tr>
      <w:tr w:rsidR="00D62029" w:rsidRPr="008A435E" w14:paraId="69B57EB6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1900367C" w14:textId="77777777" w:rsidR="00D62029" w:rsidRPr="001D23A7" w:rsidRDefault="00D62029" w:rsidP="00D62029">
            <w:pPr>
              <w:rPr>
                <w:rFonts w:ascii="VIC Medium" w:hAnsi="VIC Medium"/>
                <w:b w:val="0"/>
                <w:sz w:val="20"/>
                <w:szCs w:val="18"/>
              </w:rPr>
            </w:pPr>
          </w:p>
        </w:tc>
        <w:tc>
          <w:tcPr>
            <w:tcW w:w="0" w:type="pct"/>
          </w:tcPr>
          <w:p w14:paraId="3836EE51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Feedback and complaints management</w:t>
            </w:r>
          </w:p>
        </w:tc>
        <w:tc>
          <w:tcPr>
            <w:tcW w:w="0" w:type="pct"/>
          </w:tcPr>
          <w:p w14:paraId="2E6166E7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1.13, 1.14</w:t>
            </w:r>
          </w:p>
        </w:tc>
      </w:tr>
      <w:tr w:rsidR="00D62029" w:rsidRPr="008A435E" w14:paraId="508B5B57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72CB014D" w14:textId="77777777" w:rsidR="00D62029" w:rsidRPr="001D23A7" w:rsidRDefault="00D62029" w:rsidP="00D62029">
            <w:pPr>
              <w:rPr>
                <w:rFonts w:ascii="VIC Medium" w:hAnsi="VIC Medium"/>
                <w:b w:val="0"/>
                <w:sz w:val="20"/>
                <w:szCs w:val="18"/>
              </w:rPr>
            </w:pPr>
          </w:p>
        </w:tc>
        <w:tc>
          <w:tcPr>
            <w:tcW w:w="0" w:type="pct"/>
          </w:tcPr>
          <w:p w14:paraId="70FDEA78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Diversity and high-risk groups</w:t>
            </w:r>
          </w:p>
        </w:tc>
        <w:tc>
          <w:tcPr>
            <w:tcW w:w="0" w:type="pct"/>
          </w:tcPr>
          <w:p w14:paraId="5818F567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1.15</w:t>
            </w:r>
          </w:p>
        </w:tc>
      </w:tr>
      <w:tr w:rsidR="00D62029" w:rsidRPr="008A435E" w14:paraId="6D6C4CB6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D3BFA2A" w14:textId="3358812F" w:rsidR="00D62029" w:rsidRPr="001D23A7" w:rsidRDefault="005A00C4" w:rsidP="00D62029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>Clinical performance and effectiveness</w:t>
            </w:r>
          </w:p>
        </w:tc>
        <w:tc>
          <w:tcPr>
            <w:tcW w:w="0" w:type="pct"/>
          </w:tcPr>
          <w:p w14:paraId="50F8E3C4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Safety and quality training</w:t>
            </w:r>
          </w:p>
        </w:tc>
        <w:tc>
          <w:tcPr>
            <w:tcW w:w="0" w:type="pct"/>
          </w:tcPr>
          <w:p w14:paraId="7746AD1E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 xml:space="preserve">1.19, </w:t>
            </w:r>
            <w:r w:rsidRPr="00845D5D">
              <w:rPr>
                <w:rFonts w:ascii="VIC SemiBold" w:hAnsi="VIC SemiBold"/>
                <w:sz w:val="18"/>
                <w:szCs w:val="18"/>
              </w:rPr>
              <w:t>1.21*</w:t>
            </w:r>
          </w:p>
        </w:tc>
      </w:tr>
      <w:tr w:rsidR="00D62029" w:rsidRPr="008A435E" w14:paraId="0F906BCE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EC7C2D9" w14:textId="606FC7C4" w:rsidR="00D62029" w:rsidRPr="001D23A7" w:rsidRDefault="005A00C4" w:rsidP="00D62029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 xml:space="preserve">Safe </w:t>
            </w:r>
            <w:r w:rsidR="009073F9" w:rsidRPr="001D23A7">
              <w:rPr>
                <w:rFonts w:ascii="VIC Medium" w:hAnsi="VIC Medium"/>
                <w:b w:val="0"/>
                <w:sz w:val="20"/>
                <w:szCs w:val="18"/>
              </w:rPr>
              <w:t>environments</w:t>
            </w: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 xml:space="preserve"> for the delivery of care</w:t>
            </w:r>
          </w:p>
        </w:tc>
        <w:tc>
          <w:tcPr>
            <w:tcW w:w="0" w:type="pct"/>
          </w:tcPr>
          <w:p w14:paraId="008AEBDB" w14:textId="77777777" w:rsidR="00D62029" w:rsidRPr="008A435E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Safe environment</w:t>
            </w:r>
          </w:p>
        </w:tc>
        <w:tc>
          <w:tcPr>
            <w:tcW w:w="0" w:type="pct"/>
          </w:tcPr>
          <w:p w14:paraId="6C86EF1F" w14:textId="77777777" w:rsidR="00D62029" w:rsidRPr="00845D5D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18"/>
              </w:rPr>
            </w:pPr>
            <w:r w:rsidRPr="00845D5D">
              <w:rPr>
                <w:rFonts w:ascii="VIC SemiBold" w:hAnsi="VIC SemiBold"/>
                <w:sz w:val="18"/>
                <w:szCs w:val="18"/>
              </w:rPr>
              <w:t>1.29*, 1.30*, 1.31*, 1.32*, 1.33*</w:t>
            </w:r>
          </w:p>
        </w:tc>
      </w:tr>
      <w:tr w:rsidR="00D62029" w:rsidRPr="008A435E" w14:paraId="7A044196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3"/>
          </w:tcPr>
          <w:p w14:paraId="3284804C" w14:textId="028FA5B9" w:rsidR="00D62029" w:rsidRPr="00B45E88" w:rsidRDefault="00D62029" w:rsidP="00147178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21DC5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 w:rsidR="00827E84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203AC1DF" w14:textId="46FFCB1B" w:rsidR="00147178" w:rsidRPr="002519B3" w:rsidRDefault="00827E84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examples of specific strategies that have been implemented to meet the needs of Aboriginal and Torres Strait Islander people</w:t>
            </w:r>
            <w:r w:rsidR="00207A3A">
              <w:rPr>
                <w:rFonts w:ascii="VIC" w:hAnsi="VIC"/>
                <w:b w:val="0"/>
                <w:color w:val="auto"/>
                <w:sz w:val="18"/>
              </w:rPr>
              <w:t xml:space="preserve"> </w:t>
            </w:r>
          </w:p>
          <w:p w14:paraId="092C4ED3" w14:textId="281A95B8" w:rsidR="00147178" w:rsidRPr="002519B3" w:rsidRDefault="00827E84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 xml:space="preserve">policy documents about visiting rights of patients, including any clinically necessary or reasonable restrictions or limitations that the health service organisation may have </w:t>
            </w:r>
          </w:p>
          <w:p w14:paraId="03D89AB8" w14:textId="6AD4DB8E" w:rsidR="00147178" w:rsidRPr="002519B3" w:rsidRDefault="00827E84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consumer and carer information packages or resources that inform consumers of visiting policies or guidelines</w:t>
            </w:r>
          </w:p>
          <w:p w14:paraId="27B442D0" w14:textId="760C76C0" w:rsidR="00147178" w:rsidRPr="002519B3" w:rsidRDefault="00827E84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availability of different types of accommodation to meet patients’ needs (for example, visitor waiting rooms, family rooms, quiet rooms)</w:t>
            </w:r>
          </w:p>
          <w:p w14:paraId="772CCDE0" w14:textId="331C1223" w:rsidR="00D62029" w:rsidRPr="002519B3" w:rsidRDefault="00827E84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register of equipment that is assigned to meet individual patients’ needs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  <w:p w14:paraId="7D9937F2" w14:textId="566EE3FA" w:rsidR="00687CD6" w:rsidRPr="008A435E" w:rsidRDefault="00687CD6" w:rsidP="00687CD6">
            <w:pPr>
              <w:pStyle w:val="ListParagraph"/>
              <w:spacing w:before="60" w:line="192" w:lineRule="atLeast"/>
              <w:rPr>
                <w:rFonts w:ascii="VIC" w:hAnsi="VIC"/>
                <w:b w:val="0"/>
                <w:color w:val="auto"/>
                <w:sz w:val="18"/>
                <w:szCs w:val="18"/>
              </w:rPr>
            </w:pPr>
          </w:p>
        </w:tc>
      </w:tr>
    </w:tbl>
    <w:p w14:paraId="7B8DA913" w14:textId="3D934C55" w:rsidR="00B6242A" w:rsidRDefault="00B6242A" w:rsidP="005953EA">
      <w:pPr>
        <w:rPr>
          <w:rFonts w:ascii="VIC" w:hAnsi="VIC"/>
          <w:b/>
        </w:rPr>
      </w:pPr>
    </w:p>
    <w:p w14:paraId="515ED161" w14:textId="09C8820C" w:rsidR="00CD3C79" w:rsidRPr="008A435E" w:rsidRDefault="00B6242A" w:rsidP="005953EA">
      <w:pPr>
        <w:rPr>
          <w:rFonts w:ascii="VIC" w:hAnsi="VIC"/>
          <w:b/>
        </w:rPr>
      </w:pPr>
      <w:r>
        <w:rPr>
          <w:rFonts w:ascii="VIC" w:hAnsi="VIC"/>
          <w:b/>
        </w:rPr>
        <w:br w:type="page"/>
      </w: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743"/>
        <w:gridCol w:w="3279"/>
        <w:gridCol w:w="2789"/>
      </w:tblGrid>
      <w:tr w:rsidR="00147178" w:rsidRPr="008A435E" w14:paraId="4E835BE5" w14:textId="77777777" w:rsidTr="00AF2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A38E7E6" w14:textId="04F9E829" w:rsidR="00147178" w:rsidRPr="008A435E" w:rsidRDefault="00147178" w:rsidP="005E123F">
            <w:pPr>
              <w:pStyle w:val="Heading2"/>
              <w:numPr>
                <w:ilvl w:val="0"/>
                <w:numId w:val="20"/>
              </w:numPr>
              <w:ind w:left="315"/>
              <w:outlineLvl w:val="1"/>
              <w:rPr>
                <w:rFonts w:ascii="VIC SemiBold" w:hAnsi="VIC SemiBold"/>
                <w:lang w:eastAsia="en-AU"/>
              </w:rPr>
            </w:pPr>
            <w:r w:rsidRPr="008A435E">
              <w:rPr>
                <w:rFonts w:ascii="VIC SemiBold" w:hAnsi="VIC SemiBold"/>
                <w:lang w:eastAsia="en-AU"/>
              </w:rPr>
              <w:lastRenderedPageBreak/>
              <w:t>PARTNERING WITH CONSUMER</w:t>
            </w:r>
            <w:r w:rsidR="00687CD6" w:rsidRPr="008A435E">
              <w:rPr>
                <w:rFonts w:ascii="VIC SemiBold" w:hAnsi="VIC SemiBold"/>
                <w:lang w:eastAsia="en-AU"/>
              </w:rPr>
              <w:t>S</w:t>
            </w:r>
            <w:r w:rsidRPr="008A435E">
              <w:rPr>
                <w:rFonts w:ascii="VIC SemiBold" w:hAnsi="VIC SemiBold"/>
                <w:lang w:eastAsia="en-AU"/>
              </w:rPr>
              <w:t xml:space="preserve"> STANDARD</w:t>
            </w:r>
          </w:p>
        </w:tc>
        <w:tc>
          <w:tcPr>
            <w:tcW w:w="0" w:type="pct"/>
          </w:tcPr>
          <w:p w14:paraId="64251DBF" w14:textId="77777777" w:rsidR="00147178" w:rsidRPr="005B1325" w:rsidRDefault="00147178" w:rsidP="00AF2077">
            <w:pPr>
              <w:pStyle w:val="Heading2"/>
              <w:ind w:left="36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ITEM</w:t>
            </w:r>
          </w:p>
        </w:tc>
        <w:tc>
          <w:tcPr>
            <w:tcW w:w="0" w:type="pct"/>
          </w:tcPr>
          <w:p w14:paraId="7EF31541" w14:textId="77777777" w:rsidR="00147178" w:rsidRPr="005B1325" w:rsidRDefault="00147178" w:rsidP="00AE7E2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ACTION</w:t>
            </w:r>
          </w:p>
        </w:tc>
      </w:tr>
      <w:tr w:rsidR="00147178" w:rsidRPr="008A435E" w14:paraId="6CD9FF02" w14:textId="77777777" w:rsidTr="00AF20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 w:val="restart"/>
          </w:tcPr>
          <w:p w14:paraId="20692EA5" w14:textId="7BBF2F86" w:rsidR="00147178" w:rsidRPr="00E275E8" w:rsidRDefault="005A00C4" w:rsidP="00147178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E275E8">
              <w:rPr>
                <w:rFonts w:ascii="VIC Medium" w:hAnsi="VIC Medium"/>
                <w:b w:val="0"/>
                <w:sz w:val="20"/>
                <w:szCs w:val="18"/>
              </w:rPr>
              <w:t>Clinical governance and quality improvement systems to support partnering with consumers</w:t>
            </w:r>
          </w:p>
        </w:tc>
        <w:tc>
          <w:tcPr>
            <w:tcW w:w="0" w:type="pct"/>
          </w:tcPr>
          <w:p w14:paraId="7E2F2A3B" w14:textId="77777777" w:rsidR="00147178" w:rsidRPr="008A435E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Integrating clinical governance</w:t>
            </w:r>
          </w:p>
        </w:tc>
        <w:tc>
          <w:tcPr>
            <w:tcW w:w="0" w:type="pct"/>
          </w:tcPr>
          <w:p w14:paraId="727425C6" w14:textId="77777777" w:rsidR="00147178" w:rsidRPr="00845D5D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18"/>
              </w:rPr>
            </w:pPr>
            <w:r w:rsidRPr="00845D5D">
              <w:rPr>
                <w:rFonts w:ascii="VIC SemiBold" w:hAnsi="VIC SemiBold"/>
                <w:sz w:val="18"/>
                <w:szCs w:val="18"/>
              </w:rPr>
              <w:t>2.1*</w:t>
            </w:r>
          </w:p>
        </w:tc>
      </w:tr>
      <w:tr w:rsidR="00147178" w:rsidRPr="008A435E" w14:paraId="2E5F6438" w14:textId="77777777" w:rsidTr="00AF20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0218E717" w14:textId="77777777" w:rsidR="00147178" w:rsidRPr="00E275E8" w:rsidRDefault="00147178" w:rsidP="00147178">
            <w:pPr>
              <w:rPr>
                <w:rFonts w:ascii="VIC Medium" w:hAnsi="VIC Medium"/>
                <w:b w:val="0"/>
                <w:sz w:val="20"/>
                <w:szCs w:val="18"/>
              </w:rPr>
            </w:pPr>
          </w:p>
        </w:tc>
        <w:tc>
          <w:tcPr>
            <w:tcW w:w="0" w:type="pct"/>
          </w:tcPr>
          <w:p w14:paraId="10661E79" w14:textId="77777777" w:rsidR="00147178" w:rsidRPr="008A435E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Applying quality improvement systems</w:t>
            </w:r>
          </w:p>
        </w:tc>
        <w:tc>
          <w:tcPr>
            <w:tcW w:w="0" w:type="pct"/>
          </w:tcPr>
          <w:p w14:paraId="38ABB584" w14:textId="77777777" w:rsidR="00147178" w:rsidRPr="00845D5D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18"/>
              </w:rPr>
            </w:pPr>
            <w:r w:rsidRPr="00845D5D">
              <w:rPr>
                <w:rFonts w:ascii="VIC SemiBold" w:hAnsi="VIC SemiBold"/>
                <w:sz w:val="18"/>
                <w:szCs w:val="18"/>
              </w:rPr>
              <w:t>2.2*</w:t>
            </w:r>
          </w:p>
        </w:tc>
      </w:tr>
      <w:tr w:rsidR="00147178" w:rsidRPr="008A435E" w14:paraId="21C39F71" w14:textId="77777777" w:rsidTr="00AF20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 w:val="restart"/>
          </w:tcPr>
          <w:p w14:paraId="1C9474F7" w14:textId="1A30923C" w:rsidR="00147178" w:rsidRPr="00E275E8" w:rsidRDefault="005A00C4" w:rsidP="00147178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E275E8">
              <w:rPr>
                <w:rFonts w:ascii="VIC Medium" w:hAnsi="VIC Medium"/>
                <w:b w:val="0"/>
                <w:sz w:val="20"/>
                <w:szCs w:val="18"/>
              </w:rPr>
              <w:t>Partnering with patients in their own care</w:t>
            </w:r>
          </w:p>
        </w:tc>
        <w:tc>
          <w:tcPr>
            <w:tcW w:w="0" w:type="pct"/>
          </w:tcPr>
          <w:p w14:paraId="0657D930" w14:textId="77777777" w:rsidR="00147178" w:rsidRPr="008A435E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Healthcare rights and informed consent</w:t>
            </w:r>
          </w:p>
        </w:tc>
        <w:tc>
          <w:tcPr>
            <w:tcW w:w="0" w:type="pct"/>
          </w:tcPr>
          <w:p w14:paraId="7333B56A" w14:textId="77777777" w:rsidR="00147178" w:rsidRPr="008A435E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 xml:space="preserve">2.3, 2.4, </w:t>
            </w:r>
            <w:r w:rsidRPr="00845D5D">
              <w:rPr>
                <w:rFonts w:ascii="VIC SemiBold" w:hAnsi="VIC SemiBold"/>
                <w:sz w:val="18"/>
                <w:szCs w:val="18"/>
              </w:rPr>
              <w:t>2.5*</w:t>
            </w:r>
          </w:p>
        </w:tc>
      </w:tr>
      <w:tr w:rsidR="00147178" w:rsidRPr="008A435E" w14:paraId="5673DCBB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68C8764F" w14:textId="77777777" w:rsidR="00147178" w:rsidRPr="00E275E8" w:rsidRDefault="00147178" w:rsidP="00147178">
            <w:pPr>
              <w:rPr>
                <w:rFonts w:ascii="VIC Medium" w:hAnsi="VIC Medium"/>
                <w:b w:val="0"/>
                <w:sz w:val="20"/>
                <w:szCs w:val="18"/>
              </w:rPr>
            </w:pPr>
          </w:p>
        </w:tc>
        <w:tc>
          <w:tcPr>
            <w:tcW w:w="0" w:type="pct"/>
          </w:tcPr>
          <w:p w14:paraId="6D6FA0BE" w14:textId="77777777" w:rsidR="00147178" w:rsidRPr="008A435E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Sharing decisions and planning care</w:t>
            </w:r>
          </w:p>
        </w:tc>
        <w:tc>
          <w:tcPr>
            <w:tcW w:w="0" w:type="pct"/>
          </w:tcPr>
          <w:p w14:paraId="6E769660" w14:textId="77777777" w:rsidR="00147178" w:rsidRPr="008A435E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2.6, 2.7</w:t>
            </w:r>
          </w:p>
        </w:tc>
      </w:tr>
      <w:tr w:rsidR="005A44D3" w:rsidRPr="008A435E" w14:paraId="63D9A0D3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5E7D584" w14:textId="05F169AC" w:rsidR="005A44D3" w:rsidRPr="00E275E8" w:rsidRDefault="005A00C4" w:rsidP="005A44D3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E275E8">
              <w:rPr>
                <w:rFonts w:ascii="VIC Medium" w:hAnsi="VIC Medium"/>
                <w:b w:val="0"/>
                <w:sz w:val="20"/>
                <w:szCs w:val="18"/>
              </w:rPr>
              <w:t>Health literacy</w:t>
            </w:r>
          </w:p>
        </w:tc>
        <w:tc>
          <w:tcPr>
            <w:tcW w:w="0" w:type="pct"/>
          </w:tcPr>
          <w:p w14:paraId="19F6EBCB" w14:textId="77777777" w:rsidR="005A44D3" w:rsidRPr="008A435E" w:rsidRDefault="005A44D3" w:rsidP="005A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Communication that supports effective partnerships</w:t>
            </w:r>
          </w:p>
        </w:tc>
        <w:tc>
          <w:tcPr>
            <w:tcW w:w="0" w:type="pct"/>
          </w:tcPr>
          <w:p w14:paraId="30C07F1F" w14:textId="77777777" w:rsidR="005A44D3" w:rsidRPr="008A435E" w:rsidRDefault="005A44D3" w:rsidP="005A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45D5D">
              <w:rPr>
                <w:rFonts w:ascii="VIC SemiBold" w:hAnsi="VIC SemiBold"/>
                <w:sz w:val="18"/>
                <w:szCs w:val="18"/>
              </w:rPr>
              <w:t>2.8*</w:t>
            </w:r>
            <w:r w:rsidRPr="00845D5D">
              <w:rPr>
                <w:rFonts w:ascii="VIC" w:hAnsi="VIC"/>
                <w:sz w:val="18"/>
                <w:szCs w:val="18"/>
              </w:rPr>
              <w:t>,</w:t>
            </w:r>
            <w:r w:rsidRPr="008A435E">
              <w:rPr>
                <w:rFonts w:ascii="VIC" w:hAnsi="VIC"/>
                <w:b/>
                <w:sz w:val="18"/>
                <w:szCs w:val="18"/>
              </w:rPr>
              <w:t xml:space="preserve"> </w:t>
            </w:r>
            <w:r w:rsidRPr="008A435E">
              <w:rPr>
                <w:rFonts w:ascii="VIC" w:hAnsi="VIC"/>
                <w:sz w:val="18"/>
                <w:szCs w:val="18"/>
              </w:rPr>
              <w:t>2.9, 2.10,</w:t>
            </w:r>
          </w:p>
        </w:tc>
      </w:tr>
      <w:tr w:rsidR="005A44D3" w:rsidRPr="008A435E" w14:paraId="04CBCEA8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EFBB351" w14:textId="30B00807" w:rsidR="005A44D3" w:rsidRPr="00E275E8" w:rsidRDefault="005A00C4" w:rsidP="005A44D3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E275E8">
              <w:rPr>
                <w:rFonts w:ascii="VIC Medium" w:hAnsi="VIC Medium"/>
                <w:b w:val="0"/>
                <w:sz w:val="20"/>
                <w:szCs w:val="18"/>
              </w:rPr>
              <w:t>Partnering with consumers in organisational design and governance</w:t>
            </w:r>
          </w:p>
        </w:tc>
        <w:tc>
          <w:tcPr>
            <w:tcW w:w="0" w:type="pct"/>
          </w:tcPr>
          <w:p w14:paraId="091AFD26" w14:textId="77777777" w:rsidR="005A44D3" w:rsidRPr="008A435E" w:rsidRDefault="005A44D3" w:rsidP="005A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Partnerships in healthcare governance planning, design, measurement and evaluation</w:t>
            </w:r>
          </w:p>
        </w:tc>
        <w:tc>
          <w:tcPr>
            <w:tcW w:w="0" w:type="pct"/>
          </w:tcPr>
          <w:p w14:paraId="6B6E62A9" w14:textId="77777777" w:rsidR="005A44D3" w:rsidRPr="008A435E" w:rsidRDefault="005A44D3" w:rsidP="005A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2.11, 2.12</w:t>
            </w:r>
            <w:r w:rsidRPr="00845D5D">
              <w:rPr>
                <w:rFonts w:ascii="VIC" w:hAnsi="VIC"/>
                <w:sz w:val="18"/>
                <w:szCs w:val="18"/>
              </w:rPr>
              <w:t xml:space="preserve">, </w:t>
            </w:r>
            <w:r w:rsidRPr="00845D5D">
              <w:rPr>
                <w:rFonts w:ascii="VIC SemiBold" w:hAnsi="VIC SemiBold"/>
                <w:sz w:val="18"/>
                <w:szCs w:val="18"/>
              </w:rPr>
              <w:t>2.13*</w:t>
            </w:r>
            <w:r w:rsidRPr="00845D5D">
              <w:rPr>
                <w:rFonts w:ascii="VIC" w:hAnsi="VIC"/>
                <w:sz w:val="18"/>
                <w:szCs w:val="18"/>
              </w:rPr>
              <w:t>,</w:t>
            </w:r>
            <w:r w:rsidRPr="008A435E">
              <w:rPr>
                <w:rFonts w:ascii="VIC" w:hAnsi="VIC"/>
                <w:sz w:val="18"/>
                <w:szCs w:val="18"/>
              </w:rPr>
              <w:t xml:space="preserve"> 2.14</w:t>
            </w:r>
          </w:p>
        </w:tc>
      </w:tr>
      <w:tr w:rsidR="00147178" w:rsidRPr="008A435E" w14:paraId="60BA173D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3"/>
          </w:tcPr>
          <w:p w14:paraId="19C3ADD1" w14:textId="5BD56B65" w:rsidR="00147178" w:rsidRPr="00B45E88" w:rsidRDefault="00147178" w:rsidP="00147178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21DC5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aligning each standard to </w:t>
            </w:r>
            <w:r w:rsidR="00827E84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the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domain:</w:t>
            </w:r>
          </w:p>
          <w:p w14:paraId="02EFF9E7" w14:textId="1773BDC1" w:rsidR="005A44D3" w:rsidRPr="002519B3" w:rsidRDefault="00827E84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policy documents that describe the health service organisation’s processes for partnering with consumers, including the:</w:t>
            </w:r>
          </w:p>
          <w:p w14:paraId="4B52D7A0" w14:textId="07868C0C" w:rsidR="005A44D3" w:rsidRPr="002519B3" w:rsidRDefault="00827E84" w:rsidP="002519B3">
            <w:pPr>
              <w:pStyle w:val="Bullet2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mechanisms available to engage with consumers</w:t>
            </w:r>
          </w:p>
          <w:p w14:paraId="4427049F" w14:textId="480BB542" w:rsidR="005A44D3" w:rsidRPr="002519B3" w:rsidRDefault="00827E84" w:rsidP="002519B3">
            <w:pPr>
              <w:pStyle w:val="Bullet2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financial and physical resources that are available to support consumer participation and input at the governance level</w:t>
            </w:r>
          </w:p>
          <w:p w14:paraId="27E91D08" w14:textId="4A3DF3C7" w:rsidR="005A44D3" w:rsidRPr="002519B3" w:rsidRDefault="00827E84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 xml:space="preserve">memorandum of understanding or similar formal agreement with the local </w:t>
            </w:r>
            <w:r w:rsidR="00A843F9" w:rsidRPr="002519B3">
              <w:rPr>
                <w:rFonts w:ascii="VIC" w:hAnsi="VIC"/>
                <w:b w:val="0"/>
                <w:color w:val="auto"/>
                <w:sz w:val="18"/>
              </w:rPr>
              <w:t xml:space="preserve">Aboriginal and Torres Strait Islander </w:t>
            </w:r>
            <w:r w:rsidRPr="002519B3">
              <w:rPr>
                <w:rFonts w:ascii="VIC" w:hAnsi="VIC"/>
                <w:b w:val="0"/>
                <w:color w:val="auto"/>
                <w:sz w:val="18"/>
              </w:rPr>
              <w:t>community or health service providers</w:t>
            </w:r>
          </w:p>
          <w:p w14:paraId="350B8A82" w14:textId="269A8370" w:rsidR="00147178" w:rsidRPr="002519B3" w:rsidRDefault="00827E84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 xml:space="preserve">examples of programs that have been implemented to deal with the healthcare needs of </w:t>
            </w:r>
            <w:r w:rsidR="00A843F9" w:rsidRPr="002519B3">
              <w:rPr>
                <w:rFonts w:ascii="VIC" w:hAnsi="VIC"/>
                <w:b w:val="0"/>
                <w:color w:val="auto"/>
                <w:sz w:val="18"/>
              </w:rPr>
              <w:t xml:space="preserve">Aboriginal and Torres Strait </w:t>
            </w:r>
            <w:r w:rsidRPr="002519B3">
              <w:rPr>
                <w:rFonts w:ascii="VIC" w:hAnsi="VIC"/>
                <w:b w:val="0"/>
                <w:color w:val="auto"/>
                <w:sz w:val="18"/>
              </w:rPr>
              <w:t>islander people</w:t>
            </w:r>
            <w:r w:rsidR="00A843F9"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  <w:p w14:paraId="16CD6576" w14:textId="77777777" w:rsidR="005A44D3" w:rsidRPr="008A435E" w:rsidRDefault="005A44D3" w:rsidP="005A44D3">
            <w:pPr>
              <w:pStyle w:val="ListParagraph"/>
              <w:spacing w:before="60" w:line="192" w:lineRule="atLeast"/>
              <w:rPr>
                <w:rFonts w:ascii="VIC" w:hAnsi="VIC"/>
                <w:b w:val="0"/>
                <w:color w:val="auto"/>
                <w:sz w:val="18"/>
                <w:szCs w:val="18"/>
              </w:rPr>
            </w:pPr>
          </w:p>
        </w:tc>
      </w:tr>
    </w:tbl>
    <w:p w14:paraId="749D5B94" w14:textId="33FB26D8" w:rsidR="00CB34D1" w:rsidRDefault="00CB34D1" w:rsidP="005953EA">
      <w:pPr>
        <w:rPr>
          <w:rFonts w:ascii="VIC" w:hAnsi="VIC"/>
          <w:b/>
        </w:rPr>
      </w:pPr>
    </w:p>
    <w:p w14:paraId="13F8344D" w14:textId="454E7F4B" w:rsidR="00BA4FF9" w:rsidRPr="008A435E" w:rsidRDefault="00CB34D1" w:rsidP="005953EA">
      <w:pPr>
        <w:rPr>
          <w:rFonts w:ascii="VIC" w:hAnsi="VIC"/>
          <w:b/>
        </w:rPr>
      </w:pPr>
      <w:r>
        <w:rPr>
          <w:rFonts w:ascii="VIC" w:hAnsi="VIC"/>
          <w:b/>
        </w:rPr>
        <w:br w:type="page"/>
      </w: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37682C" w:rsidRPr="008A435E" w14:paraId="2F5E0272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37171A52" w14:textId="7D11C00C" w:rsidR="0037682C" w:rsidRPr="008A435E" w:rsidRDefault="00FC49A2" w:rsidP="005E123F">
            <w:pPr>
              <w:pStyle w:val="Heading2"/>
              <w:numPr>
                <w:ilvl w:val="0"/>
                <w:numId w:val="20"/>
              </w:numPr>
              <w:ind w:left="315"/>
              <w:outlineLvl w:val="1"/>
              <w:rPr>
                <w:rFonts w:ascii="VIC SemiBold" w:hAnsi="VIC SemiBold"/>
                <w:lang w:eastAsia="en-AU"/>
              </w:rPr>
            </w:pPr>
            <w:r>
              <w:rPr>
                <w:rFonts w:ascii="VIC SemiBold" w:hAnsi="VIC SemiBold"/>
                <w:lang w:eastAsia="en-AU"/>
              </w:rPr>
              <w:lastRenderedPageBreak/>
              <w:t xml:space="preserve"> </w:t>
            </w:r>
            <w:r w:rsidR="0037682C" w:rsidRPr="008A435E">
              <w:rPr>
                <w:rFonts w:ascii="VIC SemiBold" w:hAnsi="VIC SemiBold"/>
                <w:lang w:eastAsia="en-AU"/>
              </w:rPr>
              <w:t>PREVENTING AND CONTROLLING HEALTHCARE–ASSOCIATED INFECTION STANDARD</w:t>
            </w:r>
          </w:p>
        </w:tc>
        <w:tc>
          <w:tcPr>
            <w:tcW w:w="1494" w:type="pct"/>
          </w:tcPr>
          <w:p w14:paraId="0C598047" w14:textId="77777777" w:rsidR="0037682C" w:rsidRPr="005B1325" w:rsidRDefault="0037682C" w:rsidP="00AE7E2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ITEM</w:t>
            </w:r>
          </w:p>
        </w:tc>
        <w:tc>
          <w:tcPr>
            <w:tcW w:w="1494" w:type="pct"/>
          </w:tcPr>
          <w:p w14:paraId="609AD804" w14:textId="77777777" w:rsidR="0037682C" w:rsidRPr="005B1325" w:rsidRDefault="0037682C" w:rsidP="00AE7E2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ACTION</w:t>
            </w:r>
          </w:p>
        </w:tc>
      </w:tr>
      <w:tr w:rsidR="0037682C" w:rsidRPr="008A435E" w14:paraId="2CB08906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4490A5F5" w14:textId="77CA8161" w:rsidR="0037682C" w:rsidRPr="00B45E88" w:rsidRDefault="005A00C4" w:rsidP="0037682C">
            <w:pPr>
              <w:rPr>
                <w:rFonts w:ascii="VIC Medium" w:hAnsi="VIC Medium"/>
                <w:b w:val="0"/>
                <w:sz w:val="18"/>
                <w:szCs w:val="18"/>
              </w:rPr>
            </w:pPr>
            <w:r w:rsidRPr="00E275E8">
              <w:rPr>
                <w:rFonts w:ascii="VIC Medium" w:hAnsi="VIC Medium"/>
                <w:b w:val="0"/>
                <w:sz w:val="20"/>
                <w:szCs w:val="18"/>
              </w:rPr>
              <w:t>Clinical governance and quality improvement to prevent and control healthcare</w:t>
            </w:r>
            <w:r w:rsidR="003E3C38" w:rsidRPr="00E275E8">
              <w:rPr>
                <w:rFonts w:ascii="VIC Medium" w:hAnsi="VIC Medium"/>
                <w:b w:val="0"/>
                <w:sz w:val="20"/>
                <w:szCs w:val="18"/>
              </w:rPr>
              <w:t xml:space="preserve"> </w:t>
            </w:r>
            <w:r w:rsidRPr="00E275E8">
              <w:rPr>
                <w:rFonts w:ascii="VIC Medium" w:hAnsi="VIC Medium"/>
                <w:b w:val="0"/>
                <w:sz w:val="20"/>
                <w:szCs w:val="18"/>
              </w:rPr>
              <w:t>associated infections, and support antimicrobial stewardship</w:t>
            </w:r>
          </w:p>
        </w:tc>
        <w:tc>
          <w:tcPr>
            <w:tcW w:w="1494" w:type="pct"/>
          </w:tcPr>
          <w:p w14:paraId="7C3B79F9" w14:textId="428CD219" w:rsidR="0037682C" w:rsidRPr="008A435E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Partnering with consumers</w:t>
            </w:r>
          </w:p>
        </w:tc>
        <w:tc>
          <w:tcPr>
            <w:tcW w:w="1494" w:type="pct"/>
          </w:tcPr>
          <w:p w14:paraId="10C33AB9" w14:textId="49DE6660" w:rsidR="0037682C" w:rsidRPr="008A435E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3.3</w:t>
            </w:r>
          </w:p>
        </w:tc>
      </w:tr>
      <w:tr w:rsidR="0037682C" w:rsidRPr="008A435E" w14:paraId="0D3095C1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0141683" w14:textId="2585DC95" w:rsidR="0037682C" w:rsidRPr="00B45E88" w:rsidRDefault="0037682C" w:rsidP="0037682C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21DC5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aligning each standard to </w:t>
            </w:r>
            <w:r w:rsidR="00A843F9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the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domain:</w:t>
            </w:r>
          </w:p>
          <w:p w14:paraId="2D37034B" w14:textId="7480E0B2" w:rsidR="0037682C" w:rsidRPr="002519B3" w:rsidRDefault="00A843F9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policy documents about partnering with consumers on infection prevention and control</w:t>
            </w:r>
          </w:p>
          <w:p w14:paraId="3286301C" w14:textId="7A72E754" w:rsidR="0037682C" w:rsidRPr="002519B3" w:rsidRDefault="00A843F9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records of interviews with clinicians that show that they understand the health service organisation’s processes for partnering with consumers</w:t>
            </w:r>
          </w:p>
          <w:p w14:paraId="3F9D3615" w14:textId="3F9E0F45" w:rsidR="0037682C" w:rsidRPr="00B6242A" w:rsidRDefault="00A843F9" w:rsidP="00B6242A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results of evaluation of consumer resources used in the health service organisation.</w:t>
            </w:r>
          </w:p>
        </w:tc>
      </w:tr>
    </w:tbl>
    <w:p w14:paraId="0FBF406C" w14:textId="06664061" w:rsidR="0037682C" w:rsidRPr="008A435E" w:rsidRDefault="0037682C" w:rsidP="005953EA">
      <w:pPr>
        <w:rPr>
          <w:rFonts w:ascii="VIC" w:hAnsi="VIC"/>
          <w:b/>
        </w:rPr>
      </w:pP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37682C" w:rsidRPr="008A435E" w14:paraId="7F4D9CB4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42FEA455" w14:textId="7F795208" w:rsidR="0037682C" w:rsidRPr="008A435E" w:rsidRDefault="0037682C" w:rsidP="005E123F">
            <w:pPr>
              <w:pStyle w:val="Heading2"/>
              <w:numPr>
                <w:ilvl w:val="0"/>
                <w:numId w:val="21"/>
              </w:numPr>
              <w:ind w:left="315"/>
              <w:outlineLvl w:val="1"/>
              <w:rPr>
                <w:rFonts w:ascii="VIC SemiBold" w:hAnsi="VIC SemiBold"/>
                <w:lang w:eastAsia="en-AU"/>
              </w:rPr>
            </w:pPr>
            <w:r w:rsidRPr="008A435E">
              <w:rPr>
                <w:rFonts w:ascii="VIC SemiBold" w:hAnsi="VIC SemiBold"/>
                <w:lang w:eastAsia="en-AU"/>
              </w:rPr>
              <w:t>MEDICATION SAFETY STANDARD</w:t>
            </w:r>
          </w:p>
        </w:tc>
        <w:tc>
          <w:tcPr>
            <w:tcW w:w="1494" w:type="pct"/>
          </w:tcPr>
          <w:p w14:paraId="3DF330A3" w14:textId="77777777" w:rsidR="0037682C" w:rsidRPr="005B1325" w:rsidRDefault="0037682C" w:rsidP="00AE7E2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ITEM</w:t>
            </w:r>
          </w:p>
        </w:tc>
        <w:tc>
          <w:tcPr>
            <w:tcW w:w="1494" w:type="pct"/>
          </w:tcPr>
          <w:p w14:paraId="359DBC4D" w14:textId="77777777" w:rsidR="0037682C" w:rsidRPr="005B1325" w:rsidRDefault="0037682C" w:rsidP="00AE7E2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ACTION</w:t>
            </w:r>
          </w:p>
        </w:tc>
      </w:tr>
      <w:tr w:rsidR="0037682C" w:rsidRPr="008A435E" w14:paraId="068D6A50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5F819136" w14:textId="1BA948B7" w:rsidR="0037682C" w:rsidRPr="00E275E8" w:rsidRDefault="005A00C4" w:rsidP="0037682C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E275E8">
              <w:rPr>
                <w:rFonts w:ascii="VIC Medium" w:hAnsi="VIC Medium"/>
                <w:b w:val="0"/>
                <w:sz w:val="20"/>
                <w:szCs w:val="18"/>
              </w:rPr>
              <w:t>Clinical governance and quality improvement to support medication management</w:t>
            </w:r>
          </w:p>
        </w:tc>
        <w:tc>
          <w:tcPr>
            <w:tcW w:w="1494" w:type="pct"/>
          </w:tcPr>
          <w:p w14:paraId="08ACAD25" w14:textId="033F16D5" w:rsidR="0037682C" w:rsidRPr="008A435E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Partnering with consumers</w:t>
            </w:r>
          </w:p>
        </w:tc>
        <w:tc>
          <w:tcPr>
            <w:tcW w:w="1494" w:type="pct"/>
          </w:tcPr>
          <w:p w14:paraId="637B26D3" w14:textId="23A5EED9" w:rsidR="0037682C" w:rsidRPr="008A435E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4.3, 4.11, 4.12</w:t>
            </w:r>
          </w:p>
        </w:tc>
      </w:tr>
      <w:tr w:rsidR="0037682C" w:rsidRPr="008A435E" w14:paraId="648A11C6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4A2848D7" w14:textId="588A0700" w:rsidR="0037682C" w:rsidRPr="00E275E8" w:rsidRDefault="005A00C4" w:rsidP="0037682C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E275E8">
              <w:rPr>
                <w:rFonts w:ascii="VIC Medium" w:hAnsi="VIC Medium"/>
                <w:b w:val="0"/>
                <w:sz w:val="20"/>
                <w:szCs w:val="18"/>
              </w:rPr>
              <w:t>Documentation of patient information</w:t>
            </w:r>
          </w:p>
        </w:tc>
        <w:tc>
          <w:tcPr>
            <w:tcW w:w="1494" w:type="pct"/>
          </w:tcPr>
          <w:p w14:paraId="067F439D" w14:textId="6A27007B" w:rsidR="0037682C" w:rsidRPr="008A435E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Medication reconciliation</w:t>
            </w:r>
          </w:p>
        </w:tc>
        <w:tc>
          <w:tcPr>
            <w:tcW w:w="1494" w:type="pct"/>
          </w:tcPr>
          <w:p w14:paraId="5B5199E7" w14:textId="754A63CB" w:rsidR="0037682C" w:rsidRPr="008A435E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4.5, 4.6</w:t>
            </w:r>
          </w:p>
        </w:tc>
      </w:tr>
      <w:tr w:rsidR="00273A17" w:rsidRPr="008A435E" w14:paraId="4B4D592B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258324CE" w14:textId="7E3EBF41" w:rsidR="00273A17" w:rsidRPr="00E275E8" w:rsidRDefault="005A00C4" w:rsidP="0037682C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E275E8">
              <w:rPr>
                <w:rFonts w:ascii="VIC Medium" w:hAnsi="VIC Medium"/>
                <w:b w:val="0"/>
                <w:sz w:val="20"/>
                <w:szCs w:val="18"/>
              </w:rPr>
              <w:t>Continuity of medication management</w:t>
            </w:r>
          </w:p>
        </w:tc>
        <w:tc>
          <w:tcPr>
            <w:tcW w:w="1494" w:type="pct"/>
          </w:tcPr>
          <w:p w14:paraId="3327BF57" w14:textId="4D62FC87" w:rsidR="00273A17" w:rsidRPr="008A435E" w:rsidRDefault="00273A17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Medication review</w:t>
            </w:r>
          </w:p>
        </w:tc>
        <w:tc>
          <w:tcPr>
            <w:tcW w:w="1494" w:type="pct"/>
          </w:tcPr>
          <w:p w14:paraId="16E4318B" w14:textId="697E9DBC" w:rsidR="00273A17" w:rsidRPr="000439FB" w:rsidRDefault="00273A17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18"/>
              </w:rPr>
            </w:pPr>
            <w:r w:rsidRPr="000439FB">
              <w:rPr>
                <w:rFonts w:ascii="VIC SemiBold" w:hAnsi="VIC SemiBold"/>
                <w:sz w:val="18"/>
                <w:szCs w:val="18"/>
              </w:rPr>
              <w:t>4.10*</w:t>
            </w:r>
          </w:p>
        </w:tc>
      </w:tr>
      <w:tr w:rsidR="00273A17" w:rsidRPr="008A435E" w14:paraId="1278E3A0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563AB460" w14:textId="77777777" w:rsidR="00273A17" w:rsidRPr="008A435E" w:rsidRDefault="00273A17" w:rsidP="0037682C">
            <w:pPr>
              <w:rPr>
                <w:rFonts w:ascii="VIC" w:hAnsi="VIC"/>
                <w:b w:val="0"/>
                <w:sz w:val="18"/>
                <w:szCs w:val="18"/>
              </w:rPr>
            </w:pPr>
          </w:p>
        </w:tc>
        <w:tc>
          <w:tcPr>
            <w:tcW w:w="1494" w:type="pct"/>
          </w:tcPr>
          <w:p w14:paraId="2526A4FD" w14:textId="39761535" w:rsidR="00273A17" w:rsidRPr="008A435E" w:rsidRDefault="00273A17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Information for patients</w:t>
            </w:r>
          </w:p>
        </w:tc>
        <w:tc>
          <w:tcPr>
            <w:tcW w:w="1494" w:type="pct"/>
          </w:tcPr>
          <w:p w14:paraId="56944DC8" w14:textId="021858EA" w:rsidR="00273A17" w:rsidRPr="008A435E" w:rsidRDefault="00273A17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4.11</w:t>
            </w:r>
          </w:p>
        </w:tc>
      </w:tr>
      <w:tr w:rsidR="00273A17" w:rsidRPr="008A435E" w14:paraId="3130ACDF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76CCEF1B" w14:textId="77777777" w:rsidR="00273A17" w:rsidRPr="008A435E" w:rsidRDefault="00273A17" w:rsidP="0037682C">
            <w:pPr>
              <w:rPr>
                <w:rFonts w:ascii="VIC" w:hAnsi="VIC"/>
                <w:b w:val="0"/>
                <w:sz w:val="18"/>
                <w:szCs w:val="18"/>
              </w:rPr>
            </w:pPr>
          </w:p>
        </w:tc>
        <w:tc>
          <w:tcPr>
            <w:tcW w:w="1494" w:type="pct"/>
          </w:tcPr>
          <w:p w14:paraId="2EFDCBFB" w14:textId="7B17C77F" w:rsidR="00273A17" w:rsidRPr="008A435E" w:rsidRDefault="00273A17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Provision of a medicines list</w:t>
            </w:r>
          </w:p>
        </w:tc>
        <w:tc>
          <w:tcPr>
            <w:tcW w:w="1494" w:type="pct"/>
          </w:tcPr>
          <w:p w14:paraId="598728AF" w14:textId="5A4D3FB5" w:rsidR="00273A17" w:rsidRPr="008A435E" w:rsidRDefault="00273A17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4.12</w:t>
            </w:r>
          </w:p>
        </w:tc>
      </w:tr>
      <w:tr w:rsidR="0037682C" w:rsidRPr="008A435E" w14:paraId="746672F3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A3423A0" w14:textId="1B6C1746" w:rsidR="0037682C" w:rsidRPr="00ED16A7" w:rsidRDefault="0037682C" w:rsidP="0037682C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ED16A7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21DC5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ED16A7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 w:rsidR="00A843F9" w:rsidRPr="00ED16A7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ED16A7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16D96D8A" w14:textId="7AE41860" w:rsidR="0037682C" w:rsidRPr="002519B3" w:rsidRDefault="00A843F9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policy documents that describe the processes for gaining patient consent, or consulting with substitute decision-makers, for the administration of medicines</w:t>
            </w:r>
          </w:p>
          <w:p w14:paraId="2E4C0C5E" w14:textId="58FEFBFF" w:rsidR="0037682C" w:rsidRPr="002519B3" w:rsidRDefault="00A843F9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results of patient experience surveys about medication management</w:t>
            </w:r>
          </w:p>
          <w:p w14:paraId="368345B2" w14:textId="4697967E" w:rsidR="0037682C" w:rsidRPr="002519B3" w:rsidRDefault="00A843F9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documented examples of actions taken as a result of medication review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  <w:p w14:paraId="32C616D3" w14:textId="77777777" w:rsidR="0037682C" w:rsidRPr="008A435E" w:rsidRDefault="0037682C" w:rsidP="0037682C">
            <w:pPr>
              <w:pStyle w:val="ListParagraph"/>
              <w:spacing w:before="60" w:line="192" w:lineRule="atLeast"/>
              <w:rPr>
                <w:rFonts w:ascii="VIC" w:hAnsi="VIC"/>
                <w:b w:val="0"/>
                <w:color w:val="auto"/>
                <w:sz w:val="18"/>
                <w:szCs w:val="18"/>
              </w:rPr>
            </w:pPr>
          </w:p>
        </w:tc>
      </w:tr>
    </w:tbl>
    <w:p w14:paraId="202BC1B7" w14:textId="355731CF" w:rsidR="00CB34D1" w:rsidRDefault="00CB34D1" w:rsidP="005953EA">
      <w:pPr>
        <w:rPr>
          <w:rFonts w:ascii="VIC" w:hAnsi="VIC"/>
          <w:b/>
        </w:rPr>
      </w:pPr>
    </w:p>
    <w:p w14:paraId="27EC7527" w14:textId="4C0B7531" w:rsidR="0037682C" w:rsidRPr="008A435E" w:rsidRDefault="00CB34D1" w:rsidP="005953EA">
      <w:pPr>
        <w:rPr>
          <w:rFonts w:ascii="VIC" w:hAnsi="VIC"/>
          <w:b/>
        </w:rPr>
      </w:pPr>
      <w:r>
        <w:rPr>
          <w:rFonts w:ascii="VIC" w:hAnsi="VIC"/>
          <w:b/>
        </w:rPr>
        <w:br w:type="page"/>
      </w: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4110"/>
        <w:gridCol w:w="3080"/>
        <w:gridCol w:w="2621"/>
      </w:tblGrid>
      <w:tr w:rsidR="0037682C" w:rsidRPr="008A435E" w14:paraId="3BBD88A0" w14:textId="77777777" w:rsidTr="00AF2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9901FF1" w14:textId="4CDCFEFF" w:rsidR="0037682C" w:rsidRPr="008A435E" w:rsidRDefault="0037682C" w:rsidP="005E123F">
            <w:pPr>
              <w:pStyle w:val="Heading2"/>
              <w:numPr>
                <w:ilvl w:val="0"/>
                <w:numId w:val="21"/>
              </w:numPr>
              <w:ind w:left="315"/>
              <w:outlineLvl w:val="1"/>
              <w:rPr>
                <w:rFonts w:ascii="VIC SemiBold" w:hAnsi="VIC SemiBold"/>
                <w:lang w:eastAsia="en-AU"/>
              </w:rPr>
            </w:pPr>
            <w:r w:rsidRPr="008A435E">
              <w:rPr>
                <w:rFonts w:ascii="VIC SemiBold" w:hAnsi="VIC SemiBold"/>
                <w:lang w:eastAsia="en-AU"/>
              </w:rPr>
              <w:lastRenderedPageBreak/>
              <w:t>COMPREHENSIVE CARE STANDARD</w:t>
            </w:r>
          </w:p>
        </w:tc>
        <w:tc>
          <w:tcPr>
            <w:tcW w:w="0" w:type="pct"/>
          </w:tcPr>
          <w:p w14:paraId="19261A06" w14:textId="77777777" w:rsidR="0037682C" w:rsidRPr="005B1325" w:rsidRDefault="0037682C" w:rsidP="00AE7E2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ITEM</w:t>
            </w:r>
          </w:p>
        </w:tc>
        <w:tc>
          <w:tcPr>
            <w:tcW w:w="0" w:type="pct"/>
          </w:tcPr>
          <w:p w14:paraId="65C117DE" w14:textId="77777777" w:rsidR="0037682C" w:rsidRPr="005B1325" w:rsidRDefault="0037682C" w:rsidP="00AE7E2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ACTION</w:t>
            </w:r>
          </w:p>
        </w:tc>
      </w:tr>
      <w:tr w:rsidR="00273A17" w:rsidRPr="008A435E" w14:paraId="02F29929" w14:textId="77777777" w:rsidTr="00AF20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 w:val="restart"/>
          </w:tcPr>
          <w:p w14:paraId="1F30583B" w14:textId="43AD1BBA" w:rsidR="00273A17" w:rsidRPr="001D23A7" w:rsidRDefault="005A00C4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>Clinical governance and quality improvement to support comprehensive care</w:t>
            </w:r>
          </w:p>
          <w:p w14:paraId="712F27F5" w14:textId="1A144BDC" w:rsidR="00273A17" w:rsidRPr="001D23A7" w:rsidRDefault="005A00C4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>Item</w:t>
            </w:r>
          </w:p>
        </w:tc>
        <w:tc>
          <w:tcPr>
            <w:tcW w:w="0" w:type="pct"/>
          </w:tcPr>
          <w:p w14:paraId="391CC6EF" w14:textId="5CE450BB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Partnering with consumers</w:t>
            </w:r>
          </w:p>
        </w:tc>
        <w:tc>
          <w:tcPr>
            <w:tcW w:w="0" w:type="pct"/>
          </w:tcPr>
          <w:p w14:paraId="20088C14" w14:textId="3D0ADB94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 xml:space="preserve">5.3   </w:t>
            </w:r>
            <w:r w:rsidRPr="008A435E">
              <w:rPr>
                <w:rFonts w:ascii="VIC" w:hAnsi="VIC"/>
                <w:b/>
                <w:sz w:val="18"/>
                <w:szCs w:val="18"/>
              </w:rPr>
              <w:t xml:space="preserve"> </w:t>
            </w:r>
          </w:p>
        </w:tc>
      </w:tr>
      <w:tr w:rsidR="00273A17" w:rsidRPr="008A435E" w14:paraId="4350B267" w14:textId="77777777" w:rsidTr="00AF20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2FEA6EB8" w14:textId="77777777" w:rsidR="00273A17" w:rsidRPr="001D23A7" w:rsidRDefault="00273A17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</w:p>
        </w:tc>
        <w:tc>
          <w:tcPr>
            <w:tcW w:w="0" w:type="pct"/>
          </w:tcPr>
          <w:p w14:paraId="4FA664DB" w14:textId="7FCC0D99" w:rsidR="00273A17" w:rsidRPr="008A435E" w:rsidRDefault="00273A17" w:rsidP="00273A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Designing systems to deliver comprehensive care</w:t>
            </w:r>
          </w:p>
        </w:tc>
        <w:tc>
          <w:tcPr>
            <w:tcW w:w="0" w:type="pct"/>
          </w:tcPr>
          <w:p w14:paraId="3D781880" w14:textId="7C2F7F06" w:rsidR="00273A17" w:rsidRPr="000439FB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18"/>
              </w:rPr>
            </w:pPr>
            <w:r w:rsidRPr="000439FB">
              <w:rPr>
                <w:rFonts w:ascii="VIC SemiBold" w:hAnsi="VIC SemiBold"/>
                <w:sz w:val="18"/>
                <w:szCs w:val="18"/>
              </w:rPr>
              <w:t>5.4*</w:t>
            </w:r>
          </w:p>
        </w:tc>
      </w:tr>
      <w:tr w:rsidR="00273A17" w:rsidRPr="008A435E" w14:paraId="1D297CF3" w14:textId="77777777" w:rsidTr="00AF20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 w:val="restart"/>
          </w:tcPr>
          <w:p w14:paraId="34334D07" w14:textId="30820D44" w:rsidR="00273A17" w:rsidRPr="001D23A7" w:rsidRDefault="005A00C4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>Developing the comprehensive care plan</w:t>
            </w:r>
          </w:p>
        </w:tc>
        <w:tc>
          <w:tcPr>
            <w:tcW w:w="0" w:type="pct"/>
          </w:tcPr>
          <w:p w14:paraId="2F1EC3E2" w14:textId="15316F22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Planning for comprehensive care</w:t>
            </w:r>
          </w:p>
        </w:tc>
        <w:tc>
          <w:tcPr>
            <w:tcW w:w="0" w:type="pct"/>
          </w:tcPr>
          <w:p w14:paraId="4A4D93BC" w14:textId="09FB4C02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 xml:space="preserve">5.7, </w:t>
            </w:r>
            <w:r w:rsidRPr="000439FB">
              <w:rPr>
                <w:rFonts w:ascii="VIC SemiBold" w:hAnsi="VIC SemiBold"/>
                <w:sz w:val="18"/>
                <w:szCs w:val="18"/>
              </w:rPr>
              <w:t>5.8*</w:t>
            </w:r>
            <w:r w:rsidRPr="000439FB">
              <w:rPr>
                <w:rFonts w:ascii="VIC" w:hAnsi="VIC"/>
                <w:sz w:val="18"/>
                <w:szCs w:val="18"/>
              </w:rPr>
              <w:t>,</w:t>
            </w:r>
            <w:r w:rsidRPr="008A435E">
              <w:rPr>
                <w:rFonts w:ascii="VIC" w:hAnsi="VIC"/>
                <w:b/>
                <w:sz w:val="18"/>
                <w:szCs w:val="18"/>
              </w:rPr>
              <w:t xml:space="preserve"> </w:t>
            </w:r>
            <w:r w:rsidRPr="008A435E">
              <w:rPr>
                <w:rFonts w:ascii="VIC" w:hAnsi="VIC"/>
                <w:sz w:val="18"/>
                <w:szCs w:val="18"/>
              </w:rPr>
              <w:t>5.9</w:t>
            </w:r>
          </w:p>
        </w:tc>
      </w:tr>
      <w:tr w:rsidR="00273A17" w:rsidRPr="008A435E" w14:paraId="0E810022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5BAB2E19" w14:textId="77777777" w:rsidR="00273A17" w:rsidRPr="001D23A7" w:rsidRDefault="00273A17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</w:p>
        </w:tc>
        <w:tc>
          <w:tcPr>
            <w:tcW w:w="0" w:type="pct"/>
          </w:tcPr>
          <w:p w14:paraId="51145B49" w14:textId="6EF8DFE5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Screening of risk</w:t>
            </w:r>
          </w:p>
        </w:tc>
        <w:tc>
          <w:tcPr>
            <w:tcW w:w="0" w:type="pct"/>
          </w:tcPr>
          <w:p w14:paraId="14FED012" w14:textId="3F28E634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5.10</w:t>
            </w:r>
          </w:p>
        </w:tc>
      </w:tr>
      <w:tr w:rsidR="00273A17" w:rsidRPr="008A435E" w14:paraId="7BEA56C6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05EED7AB" w14:textId="77777777" w:rsidR="00273A17" w:rsidRPr="001D23A7" w:rsidRDefault="00273A17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</w:p>
        </w:tc>
        <w:tc>
          <w:tcPr>
            <w:tcW w:w="0" w:type="pct"/>
          </w:tcPr>
          <w:p w14:paraId="36D48141" w14:textId="61F143E0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Developing the comprehensive care plan</w:t>
            </w:r>
          </w:p>
        </w:tc>
        <w:tc>
          <w:tcPr>
            <w:tcW w:w="0" w:type="pct"/>
          </w:tcPr>
          <w:p w14:paraId="116F750E" w14:textId="63564B84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5.13</w:t>
            </w:r>
          </w:p>
        </w:tc>
      </w:tr>
      <w:tr w:rsidR="00273A17" w:rsidRPr="008A435E" w14:paraId="67EDDCA5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 w:val="restart"/>
          </w:tcPr>
          <w:p w14:paraId="646E9F63" w14:textId="28307A02" w:rsidR="00273A17" w:rsidRPr="001D23A7" w:rsidRDefault="005A00C4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>Delivering comprehensive care</w:t>
            </w:r>
          </w:p>
        </w:tc>
        <w:tc>
          <w:tcPr>
            <w:tcW w:w="0" w:type="pct"/>
          </w:tcPr>
          <w:p w14:paraId="02E58B76" w14:textId="5B51E108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Using the comprehensive care plan</w:t>
            </w:r>
          </w:p>
        </w:tc>
        <w:tc>
          <w:tcPr>
            <w:tcW w:w="0" w:type="pct"/>
          </w:tcPr>
          <w:p w14:paraId="3B23CFF6" w14:textId="0C2A4246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5.14</w:t>
            </w:r>
          </w:p>
        </w:tc>
      </w:tr>
      <w:tr w:rsidR="00273A17" w:rsidRPr="008A435E" w14:paraId="51BF2881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54D4965B" w14:textId="77777777" w:rsidR="00273A17" w:rsidRPr="001D23A7" w:rsidRDefault="00273A17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</w:p>
        </w:tc>
        <w:tc>
          <w:tcPr>
            <w:tcW w:w="0" w:type="pct"/>
          </w:tcPr>
          <w:p w14:paraId="7A991438" w14:textId="4C3D402F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Comprehensive care at the end of life</w:t>
            </w:r>
          </w:p>
        </w:tc>
        <w:tc>
          <w:tcPr>
            <w:tcW w:w="0" w:type="pct"/>
          </w:tcPr>
          <w:p w14:paraId="5DA9AF83" w14:textId="64D43339" w:rsidR="00273A17" w:rsidRPr="000439FB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18"/>
              </w:rPr>
            </w:pPr>
            <w:r w:rsidRPr="000439FB">
              <w:rPr>
                <w:rFonts w:ascii="VIC SemiBold" w:hAnsi="VIC SemiBold"/>
                <w:sz w:val="18"/>
                <w:szCs w:val="18"/>
              </w:rPr>
              <w:t>5.17*, 5.19*, 5.20*</w:t>
            </w:r>
          </w:p>
        </w:tc>
      </w:tr>
      <w:tr w:rsidR="00273A17" w:rsidRPr="008A435E" w14:paraId="50B7BF6D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 w:val="restart"/>
          </w:tcPr>
          <w:p w14:paraId="2B369357" w14:textId="405BC819" w:rsidR="00273A17" w:rsidRPr="001D23A7" w:rsidRDefault="005A00C4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>Minimising patient harm</w:t>
            </w:r>
          </w:p>
        </w:tc>
        <w:tc>
          <w:tcPr>
            <w:tcW w:w="0" w:type="pct"/>
          </w:tcPr>
          <w:p w14:paraId="67BF2B92" w14:textId="27F50EDA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Preventing and managing pressure injuries</w:t>
            </w:r>
          </w:p>
        </w:tc>
        <w:tc>
          <w:tcPr>
            <w:tcW w:w="0" w:type="pct"/>
          </w:tcPr>
          <w:p w14:paraId="2BF77E5F" w14:textId="7F47884D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5.23</w:t>
            </w:r>
          </w:p>
        </w:tc>
      </w:tr>
      <w:tr w:rsidR="00273A17" w:rsidRPr="008A435E" w14:paraId="32F5B8D3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7BD60FBA" w14:textId="77777777" w:rsidR="00273A17" w:rsidRPr="008A435E" w:rsidRDefault="00273A17" w:rsidP="00273A17">
            <w:pPr>
              <w:rPr>
                <w:rFonts w:ascii="VIC" w:hAnsi="VIC"/>
                <w:b w:val="0"/>
                <w:sz w:val="18"/>
                <w:szCs w:val="18"/>
              </w:rPr>
            </w:pPr>
          </w:p>
        </w:tc>
        <w:tc>
          <w:tcPr>
            <w:tcW w:w="0" w:type="pct"/>
          </w:tcPr>
          <w:p w14:paraId="5E264762" w14:textId="7644F146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Preventing falls and harm from falls</w:t>
            </w:r>
          </w:p>
        </w:tc>
        <w:tc>
          <w:tcPr>
            <w:tcW w:w="0" w:type="pct"/>
          </w:tcPr>
          <w:p w14:paraId="7D8D5B55" w14:textId="4DE8FBA5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 xml:space="preserve">5.25, 5.26 </w:t>
            </w:r>
          </w:p>
        </w:tc>
      </w:tr>
      <w:tr w:rsidR="00273A17" w:rsidRPr="008A435E" w14:paraId="65014D59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045CC96C" w14:textId="77777777" w:rsidR="00273A17" w:rsidRPr="008A435E" w:rsidRDefault="00273A17" w:rsidP="00273A17">
            <w:pPr>
              <w:rPr>
                <w:rFonts w:ascii="VIC" w:hAnsi="VIC"/>
                <w:b w:val="0"/>
                <w:sz w:val="18"/>
                <w:szCs w:val="18"/>
              </w:rPr>
            </w:pPr>
          </w:p>
        </w:tc>
        <w:tc>
          <w:tcPr>
            <w:tcW w:w="0" w:type="pct"/>
          </w:tcPr>
          <w:p w14:paraId="76A7D43A" w14:textId="7F68001B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Nutrition and hydration</w:t>
            </w:r>
          </w:p>
        </w:tc>
        <w:tc>
          <w:tcPr>
            <w:tcW w:w="0" w:type="pct"/>
          </w:tcPr>
          <w:p w14:paraId="1F85A46B" w14:textId="53D90EB5" w:rsidR="00273A17" w:rsidRPr="000439FB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18"/>
              </w:rPr>
            </w:pPr>
            <w:r w:rsidRPr="000439FB">
              <w:rPr>
                <w:rFonts w:ascii="VIC SemiBold" w:hAnsi="VIC SemiBold"/>
                <w:sz w:val="18"/>
                <w:szCs w:val="18"/>
              </w:rPr>
              <w:t>5.28*</w:t>
            </w:r>
          </w:p>
        </w:tc>
      </w:tr>
      <w:tr w:rsidR="00273A17" w:rsidRPr="008A435E" w14:paraId="44850E27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243BEF79" w14:textId="77777777" w:rsidR="00273A17" w:rsidRPr="008A435E" w:rsidRDefault="00273A17" w:rsidP="00273A17">
            <w:pPr>
              <w:rPr>
                <w:rFonts w:ascii="VIC" w:hAnsi="VIC"/>
                <w:b w:val="0"/>
                <w:sz w:val="18"/>
                <w:szCs w:val="18"/>
              </w:rPr>
            </w:pPr>
          </w:p>
        </w:tc>
        <w:tc>
          <w:tcPr>
            <w:tcW w:w="0" w:type="pct"/>
          </w:tcPr>
          <w:p w14:paraId="2A5EA909" w14:textId="49161C2E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Preventing delirium and managing cognitive impairment</w:t>
            </w:r>
          </w:p>
        </w:tc>
        <w:tc>
          <w:tcPr>
            <w:tcW w:w="0" w:type="pct"/>
          </w:tcPr>
          <w:p w14:paraId="0C877AF7" w14:textId="7043F629" w:rsidR="00273A17" w:rsidRPr="000439FB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18"/>
              </w:rPr>
            </w:pPr>
            <w:r w:rsidRPr="000439FB">
              <w:rPr>
                <w:rFonts w:ascii="VIC SemiBold" w:hAnsi="VIC SemiBold"/>
                <w:sz w:val="18"/>
                <w:szCs w:val="18"/>
              </w:rPr>
              <w:t>5.30*</w:t>
            </w:r>
          </w:p>
        </w:tc>
      </w:tr>
      <w:tr w:rsidR="00273A17" w:rsidRPr="008A435E" w14:paraId="783BDEAD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063CAC53" w14:textId="77777777" w:rsidR="00273A17" w:rsidRPr="008A435E" w:rsidRDefault="00273A17" w:rsidP="00273A17">
            <w:pPr>
              <w:rPr>
                <w:rFonts w:ascii="VIC" w:hAnsi="VIC"/>
                <w:b w:val="0"/>
                <w:sz w:val="18"/>
                <w:szCs w:val="18"/>
              </w:rPr>
            </w:pPr>
          </w:p>
        </w:tc>
        <w:tc>
          <w:tcPr>
            <w:tcW w:w="0" w:type="pct"/>
          </w:tcPr>
          <w:p w14:paraId="60ABA6E5" w14:textId="7A4780D9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Predicting, preventing and managing self-harm and suicide</w:t>
            </w:r>
          </w:p>
        </w:tc>
        <w:tc>
          <w:tcPr>
            <w:tcW w:w="0" w:type="pct"/>
          </w:tcPr>
          <w:p w14:paraId="342E889E" w14:textId="2426EBB6" w:rsidR="00273A17" w:rsidRPr="000439FB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18"/>
              </w:rPr>
            </w:pPr>
            <w:r w:rsidRPr="000439FB">
              <w:rPr>
                <w:rFonts w:ascii="VIC SemiBold" w:hAnsi="VIC SemiBold"/>
                <w:sz w:val="18"/>
                <w:szCs w:val="18"/>
              </w:rPr>
              <w:t>5.31*, 5.32*</w:t>
            </w:r>
          </w:p>
        </w:tc>
      </w:tr>
      <w:tr w:rsidR="00273A17" w:rsidRPr="008A435E" w14:paraId="150C9B50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</w:tcPr>
          <w:p w14:paraId="5A10A7D7" w14:textId="77777777" w:rsidR="00273A17" w:rsidRPr="008A435E" w:rsidRDefault="00273A17" w:rsidP="00273A17">
            <w:pPr>
              <w:rPr>
                <w:rFonts w:ascii="VIC" w:hAnsi="VIC"/>
                <w:b w:val="0"/>
                <w:sz w:val="18"/>
                <w:szCs w:val="18"/>
              </w:rPr>
            </w:pPr>
          </w:p>
        </w:tc>
        <w:tc>
          <w:tcPr>
            <w:tcW w:w="0" w:type="pct"/>
          </w:tcPr>
          <w:p w14:paraId="4C03CA5B" w14:textId="042D67BB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Predicting, preventing and managing aggression and violence</w:t>
            </w:r>
          </w:p>
        </w:tc>
        <w:tc>
          <w:tcPr>
            <w:tcW w:w="0" w:type="pct"/>
          </w:tcPr>
          <w:p w14:paraId="4876EA70" w14:textId="5CF136C4" w:rsidR="00273A17" w:rsidRPr="000439FB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18"/>
              </w:rPr>
            </w:pPr>
            <w:r w:rsidRPr="000439FB">
              <w:rPr>
                <w:rFonts w:ascii="VIC SemiBold" w:hAnsi="VIC SemiBold"/>
                <w:sz w:val="18"/>
                <w:szCs w:val="18"/>
              </w:rPr>
              <w:t>5.33*</w:t>
            </w:r>
          </w:p>
        </w:tc>
      </w:tr>
      <w:tr w:rsidR="0037682C" w:rsidRPr="008A435E" w14:paraId="1C1C1B45" w14:textId="77777777" w:rsidTr="00AF20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3"/>
          </w:tcPr>
          <w:p w14:paraId="3193CE4A" w14:textId="1CC5956C" w:rsidR="00273A17" w:rsidRPr="00845D5D" w:rsidRDefault="0037682C" w:rsidP="00273A17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845D5D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21DC5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845D5D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aligning each standard to </w:t>
            </w:r>
            <w:r w:rsidR="00ED16A7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the </w:t>
            </w:r>
            <w:r w:rsidRPr="00845D5D">
              <w:rPr>
                <w:rFonts w:ascii="VIC SemiBold" w:hAnsi="VIC SemiBold"/>
                <w:b w:val="0"/>
                <w:bCs/>
                <w:sz w:val="18"/>
                <w:szCs w:val="18"/>
              </w:rPr>
              <w:t>domain:</w:t>
            </w:r>
          </w:p>
          <w:p w14:paraId="0E5DCC6B" w14:textId="0CF3E5EA" w:rsidR="00273A17" w:rsidRPr="002519B3" w:rsidRDefault="00ED16A7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 xml:space="preserve">observation of patients and carers participating in decision-making about their care </w:t>
            </w:r>
          </w:p>
          <w:p w14:paraId="3F77EF0D" w14:textId="2A2CBBB1" w:rsidR="00273A17" w:rsidRPr="002519B3" w:rsidRDefault="00ED16A7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feedback from patients and carers regarding their involvement in care, the extent to which their needs were met and participation in shared decision making</w:t>
            </w:r>
          </w:p>
          <w:p w14:paraId="771A98D1" w14:textId="77CF97A6" w:rsidR="00273A17" w:rsidRPr="002519B3" w:rsidRDefault="00ED16A7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relevant documentation from multidisciplinary meetings or case conferences about patients with complex needs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  <w:p w14:paraId="0DA8B45D" w14:textId="77777777" w:rsidR="0037682C" w:rsidRPr="008A435E" w:rsidRDefault="0037682C" w:rsidP="0037682C">
            <w:pPr>
              <w:rPr>
                <w:rFonts w:ascii="VIC" w:hAnsi="VIC"/>
                <w:sz w:val="18"/>
                <w:szCs w:val="18"/>
              </w:rPr>
            </w:pPr>
          </w:p>
        </w:tc>
      </w:tr>
    </w:tbl>
    <w:p w14:paraId="14016CCC" w14:textId="77777777" w:rsidR="0037682C" w:rsidRPr="008A435E" w:rsidRDefault="0037682C" w:rsidP="005953EA">
      <w:pPr>
        <w:rPr>
          <w:rFonts w:ascii="VIC" w:hAnsi="VIC"/>
          <w:b/>
        </w:rPr>
      </w:pP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273A17" w:rsidRPr="008A435E" w14:paraId="6D945978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0D9481B6" w14:textId="77F6F2C2" w:rsidR="00273A17" w:rsidRPr="008A435E" w:rsidRDefault="00FC49A2" w:rsidP="005E123F">
            <w:pPr>
              <w:pStyle w:val="Heading2"/>
              <w:numPr>
                <w:ilvl w:val="0"/>
                <w:numId w:val="21"/>
              </w:numPr>
              <w:ind w:left="315"/>
              <w:outlineLvl w:val="1"/>
              <w:rPr>
                <w:rFonts w:ascii="VIC SemiBold" w:hAnsi="VIC SemiBold"/>
                <w:lang w:eastAsia="en-AU"/>
              </w:rPr>
            </w:pPr>
            <w:r>
              <w:rPr>
                <w:rFonts w:ascii="VIC SemiBold" w:hAnsi="VIC SemiBold"/>
                <w:lang w:eastAsia="en-AU"/>
              </w:rPr>
              <w:lastRenderedPageBreak/>
              <w:t xml:space="preserve"> </w:t>
            </w:r>
            <w:r w:rsidR="00273A17" w:rsidRPr="008A435E">
              <w:rPr>
                <w:rFonts w:ascii="VIC SemiBold" w:hAnsi="VIC SemiBold"/>
                <w:lang w:eastAsia="en-AU"/>
              </w:rPr>
              <w:t>COMMUNICATING FOR SAFETY STANARD</w:t>
            </w:r>
          </w:p>
        </w:tc>
        <w:tc>
          <w:tcPr>
            <w:tcW w:w="1494" w:type="pct"/>
          </w:tcPr>
          <w:p w14:paraId="1540DC97" w14:textId="77777777" w:rsidR="00273A17" w:rsidRPr="005B1325" w:rsidRDefault="00273A17" w:rsidP="00AE7E2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ITEM</w:t>
            </w:r>
          </w:p>
        </w:tc>
        <w:tc>
          <w:tcPr>
            <w:tcW w:w="1494" w:type="pct"/>
          </w:tcPr>
          <w:p w14:paraId="745B4C8B" w14:textId="77777777" w:rsidR="00273A17" w:rsidRPr="005B1325" w:rsidRDefault="00273A17" w:rsidP="00AE7E2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ACTION</w:t>
            </w:r>
          </w:p>
        </w:tc>
      </w:tr>
      <w:tr w:rsidR="00273A17" w:rsidRPr="008A435E" w14:paraId="2B946231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01E0D643" w14:textId="16AF7AF5" w:rsidR="00273A17" w:rsidRPr="001D23A7" w:rsidRDefault="005A00C4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>Clinical governance and quality improvement to support effective communication</w:t>
            </w:r>
          </w:p>
        </w:tc>
        <w:tc>
          <w:tcPr>
            <w:tcW w:w="1494" w:type="pct"/>
          </w:tcPr>
          <w:p w14:paraId="29887214" w14:textId="24EE2FB8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Partnering with consumers</w:t>
            </w:r>
          </w:p>
        </w:tc>
        <w:tc>
          <w:tcPr>
            <w:tcW w:w="1494" w:type="pct"/>
          </w:tcPr>
          <w:p w14:paraId="728D2369" w14:textId="5EC58E93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6.3</w:t>
            </w:r>
          </w:p>
        </w:tc>
      </w:tr>
      <w:tr w:rsidR="00273A17" w:rsidRPr="008A435E" w14:paraId="774D0200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7687ACC4" w14:textId="77777777" w:rsidR="00273A17" w:rsidRPr="001D23A7" w:rsidRDefault="00273A17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</w:p>
        </w:tc>
        <w:tc>
          <w:tcPr>
            <w:tcW w:w="1494" w:type="pct"/>
          </w:tcPr>
          <w:p w14:paraId="4DFBD988" w14:textId="5DF41F53" w:rsidR="00273A17" w:rsidRPr="008A435E" w:rsidRDefault="00273A17" w:rsidP="00273A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Organisational processes to support effective communication</w:t>
            </w:r>
          </w:p>
        </w:tc>
        <w:tc>
          <w:tcPr>
            <w:tcW w:w="1494" w:type="pct"/>
          </w:tcPr>
          <w:p w14:paraId="51D519D6" w14:textId="58205768" w:rsidR="00273A17" w:rsidRPr="00845D5D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18"/>
              </w:rPr>
            </w:pPr>
            <w:r w:rsidRPr="00845D5D">
              <w:rPr>
                <w:rFonts w:ascii="VIC SemiBold" w:hAnsi="VIC SemiBold"/>
                <w:sz w:val="18"/>
                <w:szCs w:val="18"/>
              </w:rPr>
              <w:t>6.4*</w:t>
            </w:r>
          </w:p>
        </w:tc>
      </w:tr>
      <w:tr w:rsidR="00273A17" w:rsidRPr="008A435E" w14:paraId="42C4213E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052C358" w14:textId="39113988" w:rsidR="00273A17" w:rsidRPr="001D23A7" w:rsidRDefault="005A00C4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>Communication at clinical handover</w:t>
            </w:r>
          </w:p>
        </w:tc>
        <w:tc>
          <w:tcPr>
            <w:tcW w:w="1494" w:type="pct"/>
          </w:tcPr>
          <w:p w14:paraId="621CDEDC" w14:textId="2D9263AD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Clinical handover</w:t>
            </w:r>
          </w:p>
        </w:tc>
        <w:tc>
          <w:tcPr>
            <w:tcW w:w="1494" w:type="pct"/>
          </w:tcPr>
          <w:p w14:paraId="089E7A3D" w14:textId="6E943E0B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6.8</w:t>
            </w:r>
          </w:p>
        </w:tc>
      </w:tr>
      <w:tr w:rsidR="00273A17" w:rsidRPr="008A435E" w14:paraId="74EE74A4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5E180C73" w14:textId="703521B0" w:rsidR="00273A17" w:rsidRPr="001D23A7" w:rsidRDefault="005A00C4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>Communication of critical information</w:t>
            </w:r>
          </w:p>
        </w:tc>
        <w:tc>
          <w:tcPr>
            <w:tcW w:w="1494" w:type="pct"/>
          </w:tcPr>
          <w:p w14:paraId="5BA28B2A" w14:textId="263AD2CD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Communicating critical Information</w:t>
            </w:r>
          </w:p>
        </w:tc>
        <w:tc>
          <w:tcPr>
            <w:tcW w:w="1494" w:type="pct"/>
          </w:tcPr>
          <w:p w14:paraId="05C1BFF9" w14:textId="105EBFE9" w:rsidR="00273A17" w:rsidRPr="00845D5D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18"/>
              </w:rPr>
            </w:pPr>
            <w:r w:rsidRPr="00845D5D">
              <w:rPr>
                <w:rFonts w:ascii="VIC SemiBold" w:hAnsi="VIC SemiBold"/>
                <w:sz w:val="18"/>
                <w:szCs w:val="18"/>
              </w:rPr>
              <w:t>6.9*, 6.10*</w:t>
            </w:r>
          </w:p>
        </w:tc>
      </w:tr>
      <w:tr w:rsidR="00273A17" w:rsidRPr="008A435E" w14:paraId="6575AEE0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77E8A99" w14:textId="63022487" w:rsidR="00273A17" w:rsidRPr="00B45E88" w:rsidRDefault="00273A17" w:rsidP="00273A17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21DC5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 w:rsidR="00ED16A7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16E936D0" w14:textId="40071157" w:rsidR="00273A17" w:rsidRPr="002519B3" w:rsidRDefault="00ED16A7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examples of information provided to patients, carers and families about processes for communicating concerns to the clinicians responsible for care</w:t>
            </w:r>
          </w:p>
          <w:p w14:paraId="0BE885E2" w14:textId="0CDB6C90" w:rsidR="00273A17" w:rsidRPr="002519B3" w:rsidRDefault="00ED16A7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results of a patient experience survey or patient, carer and family feedback about their communication with clinicians and, where necessary, how these results have informed improvement strategies</w:t>
            </w:r>
          </w:p>
          <w:p w14:paraId="7264EB0B" w14:textId="743BA2B3" w:rsidR="00273A17" w:rsidRPr="002519B3" w:rsidRDefault="00ED16A7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structured communication processes that include an opportunity for patient, carer and family engagement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  <w:p w14:paraId="76E90BC6" w14:textId="77777777" w:rsidR="00273A17" w:rsidRPr="008A435E" w:rsidRDefault="00273A17" w:rsidP="00273A17">
            <w:pPr>
              <w:rPr>
                <w:rFonts w:ascii="VIC" w:hAnsi="VIC"/>
                <w:sz w:val="18"/>
                <w:szCs w:val="18"/>
              </w:rPr>
            </w:pPr>
          </w:p>
        </w:tc>
      </w:tr>
    </w:tbl>
    <w:p w14:paraId="31D32DE5" w14:textId="0B55CC60" w:rsidR="00273A17" w:rsidRPr="008A435E" w:rsidRDefault="00273A17" w:rsidP="005953EA">
      <w:pPr>
        <w:rPr>
          <w:rFonts w:ascii="VIC" w:hAnsi="VIC"/>
          <w:b/>
        </w:rPr>
      </w:pP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273A17" w:rsidRPr="008A435E" w14:paraId="4FD80FD7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E19D6BD" w14:textId="1CF4929F" w:rsidR="00273A17" w:rsidRPr="008A435E" w:rsidRDefault="00273A17" w:rsidP="005E123F">
            <w:pPr>
              <w:pStyle w:val="Heading2"/>
              <w:numPr>
                <w:ilvl w:val="0"/>
                <w:numId w:val="22"/>
              </w:numPr>
              <w:ind w:left="315"/>
              <w:outlineLvl w:val="1"/>
              <w:rPr>
                <w:rFonts w:ascii="VIC SemiBold" w:hAnsi="VIC SemiBold"/>
                <w:lang w:eastAsia="en-AU"/>
              </w:rPr>
            </w:pPr>
            <w:r w:rsidRPr="008A435E">
              <w:rPr>
                <w:rFonts w:ascii="VIC SemiBold" w:hAnsi="VIC SemiBold"/>
                <w:lang w:eastAsia="en-AU"/>
              </w:rPr>
              <w:t>BLOOD MANAGEMENT STANDARD</w:t>
            </w:r>
          </w:p>
        </w:tc>
        <w:tc>
          <w:tcPr>
            <w:tcW w:w="1494" w:type="pct"/>
          </w:tcPr>
          <w:p w14:paraId="70501342" w14:textId="77777777" w:rsidR="00273A17" w:rsidRPr="005B1325" w:rsidRDefault="00273A17" w:rsidP="00AE7E2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ITEM</w:t>
            </w:r>
          </w:p>
        </w:tc>
        <w:tc>
          <w:tcPr>
            <w:tcW w:w="1494" w:type="pct"/>
          </w:tcPr>
          <w:p w14:paraId="4AFFBBE5" w14:textId="77777777" w:rsidR="00273A17" w:rsidRPr="005B1325" w:rsidRDefault="00273A17" w:rsidP="00AE7E2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ACTION</w:t>
            </w:r>
          </w:p>
        </w:tc>
      </w:tr>
      <w:tr w:rsidR="00273A17" w:rsidRPr="008A435E" w14:paraId="41C85D0C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2EE4882B" w14:textId="40277D1B" w:rsidR="00273A17" w:rsidRPr="00B45E88" w:rsidRDefault="005A00C4" w:rsidP="00273A17">
            <w:pPr>
              <w:rPr>
                <w:rFonts w:ascii="VIC Medium" w:hAnsi="VIC Medium"/>
                <w:b w:val="0"/>
                <w:sz w:val="18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>Clinical governance and quality improvement to support blood management</w:t>
            </w:r>
          </w:p>
        </w:tc>
        <w:tc>
          <w:tcPr>
            <w:tcW w:w="1494" w:type="pct"/>
          </w:tcPr>
          <w:p w14:paraId="1048A407" w14:textId="55A062C6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Partnering with consumers</w:t>
            </w:r>
          </w:p>
        </w:tc>
        <w:tc>
          <w:tcPr>
            <w:tcW w:w="1494" w:type="pct"/>
          </w:tcPr>
          <w:p w14:paraId="4DC9622E" w14:textId="0D423BFB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7.3</w:t>
            </w:r>
          </w:p>
        </w:tc>
      </w:tr>
      <w:tr w:rsidR="00273A17" w:rsidRPr="008A435E" w14:paraId="0C309E9C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F7B4806" w14:textId="64403624" w:rsidR="00273A17" w:rsidRPr="00B45E88" w:rsidRDefault="00273A17" w:rsidP="00273A17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21DC5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aligning each standard to </w:t>
            </w:r>
            <w:r w:rsidR="00ED16A7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the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domain:</w:t>
            </w:r>
          </w:p>
          <w:p w14:paraId="729F327D" w14:textId="4F542F77" w:rsidR="00273A17" w:rsidRPr="002519B3" w:rsidRDefault="00ED16A7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 xml:space="preserve">policy documents about informed consent and communicating with patients </w:t>
            </w:r>
          </w:p>
          <w:p w14:paraId="6060D6A0" w14:textId="03BEA0EE" w:rsidR="00273A17" w:rsidRPr="002519B3" w:rsidRDefault="00ED16A7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policy documents to support patients who refuse blood and blood products</w:t>
            </w:r>
          </w:p>
          <w:p w14:paraId="332A1350" w14:textId="284E255B" w:rsidR="00273A17" w:rsidRPr="002519B3" w:rsidRDefault="00ED16A7" w:rsidP="002519B3">
            <w:pPr>
              <w:pStyle w:val="Bullet1"/>
              <w:rPr>
                <w:rFonts w:ascii="VIC" w:hAnsi="VIC" w:cs="Segoe UI"/>
                <w:b w:val="0"/>
                <w:color w:val="auto"/>
                <w:sz w:val="18"/>
                <w:shd w:val="clear" w:color="auto" w:fill="FFFFFF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patient and carer information packages or resources that are developed with feedback from consumers and are available in a variety of formats and languages for distribution by the workforce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  <w:p w14:paraId="2DD980D8" w14:textId="5A20B0C3" w:rsidR="00687CD6" w:rsidRPr="008A435E" w:rsidRDefault="00687CD6" w:rsidP="00687CD6">
            <w:pPr>
              <w:pStyle w:val="ListParagraph"/>
              <w:spacing w:before="60" w:line="192" w:lineRule="atLeast"/>
              <w:rPr>
                <w:rFonts w:ascii="VIC" w:eastAsia="Times New Roman" w:hAnsi="VIC" w:cs="Segoe UI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758E45D4" w14:textId="79FCEC57" w:rsidR="00273A17" w:rsidRPr="008A435E" w:rsidRDefault="00273A17" w:rsidP="005953EA">
      <w:pPr>
        <w:rPr>
          <w:rFonts w:ascii="VIC" w:hAnsi="VIC"/>
          <w:b/>
        </w:rPr>
      </w:pP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273A17" w:rsidRPr="008A435E" w14:paraId="06B1B94E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3A0AC5C" w14:textId="31EAA267" w:rsidR="00273A17" w:rsidRPr="008A435E" w:rsidRDefault="00273A17" w:rsidP="005E123F">
            <w:pPr>
              <w:pStyle w:val="Heading2"/>
              <w:numPr>
                <w:ilvl w:val="0"/>
                <w:numId w:val="22"/>
              </w:numPr>
              <w:ind w:left="315"/>
              <w:outlineLvl w:val="1"/>
              <w:rPr>
                <w:rFonts w:ascii="VIC SemiBold" w:hAnsi="VIC SemiBold"/>
                <w:lang w:eastAsia="en-AU"/>
              </w:rPr>
            </w:pPr>
            <w:r w:rsidRPr="008A435E">
              <w:rPr>
                <w:rFonts w:ascii="VIC SemiBold" w:hAnsi="VIC SemiBold"/>
                <w:lang w:eastAsia="en-AU"/>
              </w:rPr>
              <w:lastRenderedPageBreak/>
              <w:t>RECOGNISING AND RESPONDING TO ACUTE DETERIORATION STANDARD</w:t>
            </w:r>
          </w:p>
        </w:tc>
        <w:tc>
          <w:tcPr>
            <w:tcW w:w="1494" w:type="pct"/>
          </w:tcPr>
          <w:p w14:paraId="260133F1" w14:textId="77777777" w:rsidR="00273A17" w:rsidRPr="005B1325" w:rsidRDefault="00273A17" w:rsidP="00AE7E2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ITEM</w:t>
            </w:r>
          </w:p>
        </w:tc>
        <w:tc>
          <w:tcPr>
            <w:tcW w:w="1494" w:type="pct"/>
          </w:tcPr>
          <w:p w14:paraId="17327B52" w14:textId="77777777" w:rsidR="00273A17" w:rsidRPr="005B1325" w:rsidRDefault="00273A17" w:rsidP="00AE7E2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lang w:eastAsia="en-AU"/>
              </w:rPr>
            </w:pPr>
            <w:r w:rsidRPr="005B1325">
              <w:rPr>
                <w:rFonts w:ascii="VIC SemiBold" w:hAnsi="VIC SemiBold"/>
              </w:rPr>
              <w:t>ACTION</w:t>
            </w:r>
          </w:p>
        </w:tc>
      </w:tr>
      <w:tr w:rsidR="00273A17" w:rsidRPr="008A435E" w14:paraId="1F86904B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B1EA7DF" w14:textId="7A354B91" w:rsidR="00273A17" w:rsidRPr="001D23A7" w:rsidRDefault="005A00C4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>Clinical governance and quality improvement to support recognition and response systems</w:t>
            </w:r>
          </w:p>
        </w:tc>
        <w:tc>
          <w:tcPr>
            <w:tcW w:w="1494" w:type="pct"/>
          </w:tcPr>
          <w:p w14:paraId="121AFB3E" w14:textId="2D822391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Partnering with consumers</w:t>
            </w:r>
          </w:p>
        </w:tc>
        <w:tc>
          <w:tcPr>
            <w:tcW w:w="1494" w:type="pct"/>
          </w:tcPr>
          <w:p w14:paraId="30253C49" w14:textId="03AD0424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8.3</w:t>
            </w:r>
          </w:p>
        </w:tc>
      </w:tr>
      <w:tr w:rsidR="00273A17" w:rsidRPr="008A435E" w14:paraId="3B1D7EF0" w14:textId="77777777" w:rsidTr="00702C75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FBB61DA" w14:textId="603197F6" w:rsidR="00273A17" w:rsidRPr="001D23A7" w:rsidRDefault="005A00C4" w:rsidP="00273A17">
            <w:pPr>
              <w:rPr>
                <w:rFonts w:ascii="VIC Medium" w:hAnsi="VIC Medium"/>
                <w:b w:val="0"/>
                <w:sz w:val="20"/>
                <w:szCs w:val="18"/>
              </w:rPr>
            </w:pPr>
            <w:r w:rsidRPr="001D23A7">
              <w:rPr>
                <w:rFonts w:ascii="VIC Medium" w:hAnsi="VIC Medium"/>
                <w:b w:val="0"/>
                <w:sz w:val="20"/>
                <w:szCs w:val="18"/>
              </w:rPr>
              <w:t>Detecting and recognising acute deterioration, and escalating care</w:t>
            </w:r>
          </w:p>
        </w:tc>
        <w:tc>
          <w:tcPr>
            <w:tcW w:w="1494" w:type="pct"/>
          </w:tcPr>
          <w:p w14:paraId="02A5E421" w14:textId="460B2626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Escalating care</w:t>
            </w:r>
          </w:p>
        </w:tc>
        <w:tc>
          <w:tcPr>
            <w:tcW w:w="1494" w:type="pct"/>
          </w:tcPr>
          <w:p w14:paraId="312D8A40" w14:textId="34C35F7D" w:rsidR="00273A17" w:rsidRPr="008A435E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18"/>
              </w:rPr>
            </w:pPr>
            <w:r w:rsidRPr="008A435E">
              <w:rPr>
                <w:rFonts w:ascii="VIC" w:hAnsi="VIC"/>
                <w:sz w:val="18"/>
                <w:szCs w:val="18"/>
              </w:rPr>
              <w:t>8.7</w:t>
            </w:r>
          </w:p>
        </w:tc>
      </w:tr>
      <w:tr w:rsidR="00273A17" w:rsidRPr="008A435E" w14:paraId="098D8CC2" w14:textId="77777777" w:rsidTr="00E05C14">
        <w:tblPrEx>
          <w:tblLook w:val="04A0" w:firstRow="1" w:lastRow="0" w:firstColumn="1" w:lastColumn="0" w:noHBand="0" w:noVBand="1"/>
        </w:tblPrEx>
        <w:trPr>
          <w:trHeight w:val="1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85A4393" w14:textId="0E6A00E3" w:rsidR="00273A17" w:rsidRPr="00B45E88" w:rsidRDefault="00273A17" w:rsidP="00273A17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21DC5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aligning each standard to </w:t>
            </w:r>
            <w:r w:rsidR="00ED16A7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the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domain:</w:t>
            </w:r>
          </w:p>
          <w:p w14:paraId="0E598177" w14:textId="6AD5EC75" w:rsidR="00273A17" w:rsidRPr="002519B3" w:rsidRDefault="00ED16A7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policy documents about gaining patient consent or consulting with substitute decision-makers for treatment in response to acute deterioration</w:t>
            </w:r>
          </w:p>
          <w:p w14:paraId="3625D0A2" w14:textId="611AB716" w:rsidR="00273A17" w:rsidRPr="002519B3" w:rsidRDefault="00ED16A7" w:rsidP="002519B3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information resources for patients, carers and families about recognition and response systems</w:t>
            </w:r>
          </w:p>
          <w:p w14:paraId="044FEEEC" w14:textId="2FFCC8AA" w:rsidR="00273A17" w:rsidRPr="008A435E" w:rsidRDefault="00ED16A7" w:rsidP="002519B3">
            <w:pPr>
              <w:pStyle w:val="Bullet1"/>
              <w:rPr>
                <w:rFonts w:cs="Segoe UI"/>
                <w:color w:val="333333"/>
                <w:shd w:val="clear" w:color="auto" w:fill="FFFFFF"/>
              </w:rPr>
            </w:pPr>
            <w:r w:rsidRPr="002519B3">
              <w:rPr>
                <w:rFonts w:ascii="VIC" w:hAnsi="VIC"/>
                <w:b w:val="0"/>
                <w:color w:val="auto"/>
                <w:sz w:val="18"/>
              </w:rPr>
              <w:t>consumer and carer resources that outline how they can directly escalate care</w:t>
            </w:r>
          </w:p>
        </w:tc>
      </w:tr>
    </w:tbl>
    <w:p w14:paraId="7703B0C0" w14:textId="0997001C" w:rsidR="00273A17" w:rsidRDefault="00273A17" w:rsidP="00702C75">
      <w:pPr>
        <w:rPr>
          <w:rFonts w:ascii="VIC" w:hAnsi="VIC"/>
          <w:b/>
        </w:rPr>
      </w:pPr>
    </w:p>
    <w:tbl>
      <w:tblPr>
        <w:tblStyle w:val="SCVInformationTable"/>
        <w:tblpPr w:leftFromText="181" w:rightFromText="181" w:vertAnchor="page" w:horzAnchor="margin" w:tblpY="13408"/>
        <w:tblW w:w="9923" w:type="dxa"/>
        <w:shd w:val="clear" w:color="auto" w:fill="F2F2F3"/>
        <w:tblLook w:val="0600" w:firstRow="0" w:lastRow="0" w:firstColumn="0" w:lastColumn="0" w:noHBand="1" w:noVBand="1"/>
      </w:tblPr>
      <w:tblGrid>
        <w:gridCol w:w="4571"/>
        <w:gridCol w:w="3529"/>
        <w:gridCol w:w="1823"/>
      </w:tblGrid>
      <w:sdt>
        <w:sdtPr>
          <w:rPr>
            <w:sz w:val="24"/>
          </w:rPr>
          <w:id w:val="-967040995"/>
          <w:placeholder>
            <w:docPart w:val="50D722BD837C4B1A8F0BA4FFEAB5A15D"/>
          </w:placeholder>
        </w:sdtPr>
        <w:sdtEndPr>
          <w:rPr>
            <w:sz w:val="15"/>
            <w:szCs w:val="15"/>
          </w:rPr>
        </w:sdtEndPr>
        <w:sdtContent>
          <w:tr w:rsidR="001B63E8" w:rsidRPr="00736C0C" w14:paraId="47847839" w14:textId="77777777" w:rsidTr="002179FB">
            <w:trPr>
              <w:trHeight w:val="1644"/>
            </w:trPr>
            <w:tc>
              <w:tcPr>
                <w:tcW w:w="4571" w:type="dxa"/>
                <w:tcMar>
                  <w:left w:w="113" w:type="dxa"/>
                </w:tcMar>
              </w:tcPr>
              <w:p w14:paraId="3C57CEEA" w14:textId="5160AF1B" w:rsidR="001B63E8" w:rsidRPr="00767035" w:rsidRDefault="001B63E8" w:rsidP="001B63E8">
                <w:pPr>
                  <w:spacing w:after="0" w:line="240" w:lineRule="exact"/>
                  <w:ind w:right="454"/>
                  <w:rPr>
                    <w:sz w:val="24"/>
                  </w:rPr>
                </w:pPr>
                <w:r w:rsidRPr="001B63E8">
                  <w:rPr>
                    <w:rFonts w:ascii="VIC" w:hAnsi="VIC"/>
                    <w:sz w:val="24"/>
                  </w:rPr>
                  <w:t xml:space="preserve">To receive this publication in an accessible format phone </w:t>
                </w:r>
                <w:r w:rsidR="005F014B">
                  <w:rPr>
                    <w:rFonts w:ascii="VIC" w:hAnsi="VIC"/>
                    <w:sz w:val="24"/>
                  </w:rPr>
                  <w:br/>
                </w:r>
                <w:r w:rsidRPr="001B63E8">
                  <w:rPr>
                    <w:rFonts w:ascii="VIC" w:hAnsi="VIC"/>
                    <w:sz w:val="24"/>
                  </w:rPr>
                  <w:t>03 9096 9008, using the National Relay Service 13</w:t>
                </w:r>
                <w:r w:rsidRPr="001B63E8">
                  <w:rPr>
                    <w:rFonts w:ascii="Cambria" w:hAnsi="Cambria" w:cs="Cambria"/>
                  </w:rPr>
                  <w:t> </w:t>
                </w:r>
                <w:r w:rsidRPr="001B63E8">
                  <w:rPr>
                    <w:rFonts w:ascii="VIC" w:hAnsi="VIC"/>
                    <w:sz w:val="24"/>
                  </w:rPr>
                  <w:t>36</w:t>
                </w:r>
                <w:r w:rsidRPr="001B63E8">
                  <w:rPr>
                    <w:rFonts w:ascii="Cambria" w:hAnsi="Cambria" w:cs="Cambria"/>
                    <w:sz w:val="24"/>
                  </w:rPr>
                  <w:t> </w:t>
                </w:r>
                <w:r w:rsidRPr="001B63E8">
                  <w:rPr>
                    <w:rFonts w:ascii="VIC" w:hAnsi="VIC"/>
                    <w:sz w:val="24"/>
                  </w:rPr>
                  <w:t xml:space="preserve">77 if required, or email </w:t>
                </w:r>
                <w:hyperlink r:id="rId12" w:history="1">
                  <w:r w:rsidRPr="005335D1">
                    <w:rPr>
                      <w:rStyle w:val="Hyperlink"/>
                      <w:rFonts w:ascii="VIC" w:hAnsi="VIC"/>
                      <w:color w:val="auto"/>
                      <w:sz w:val="24"/>
                    </w:rPr>
                    <w:t>partnering@safercare.vic.gov.au</w:t>
                  </w:r>
                </w:hyperlink>
              </w:p>
            </w:tc>
            <w:tc>
              <w:tcPr>
                <w:tcW w:w="3529" w:type="dxa"/>
              </w:tcPr>
              <w:p w14:paraId="0FA9BEE7" w14:textId="77777777" w:rsidR="001B63E8" w:rsidRPr="001B63E8" w:rsidRDefault="001B63E8" w:rsidP="001B63E8">
                <w:pPr>
                  <w:spacing w:line="230" w:lineRule="auto"/>
                  <w:ind w:right="1020"/>
                  <w:rPr>
                    <w:rFonts w:ascii="VIC" w:hAnsi="VIC"/>
                    <w:sz w:val="13"/>
                    <w:szCs w:val="13"/>
                  </w:rPr>
                </w:pPr>
                <w:r w:rsidRPr="001B63E8">
                  <w:rPr>
                    <w:rFonts w:ascii="VIC" w:hAnsi="VIC"/>
                    <w:sz w:val="13"/>
                    <w:szCs w:val="13"/>
                  </w:rPr>
                  <w:t xml:space="preserve">Authorised and published by the Victorian Government, 1 Treasury </w:t>
                </w:r>
                <w:r w:rsidRPr="001B63E8">
                  <w:rPr>
                    <w:rFonts w:ascii="VIC" w:hAnsi="VIC"/>
                    <w:sz w:val="13"/>
                    <w:szCs w:val="13"/>
                  </w:rPr>
                  <w:br/>
                  <w:t>Place, Melbourne.</w:t>
                </w:r>
              </w:p>
              <w:p w14:paraId="7E0D59DD" w14:textId="4AA15960" w:rsidR="001B63E8" w:rsidRPr="001B63E8" w:rsidRDefault="001B63E8" w:rsidP="001B63E8">
                <w:pPr>
                  <w:spacing w:line="230" w:lineRule="auto"/>
                  <w:ind w:right="1020"/>
                  <w:rPr>
                    <w:rFonts w:ascii="VIC" w:hAnsi="VIC"/>
                    <w:sz w:val="13"/>
                    <w:szCs w:val="13"/>
                  </w:rPr>
                </w:pPr>
                <w:r w:rsidRPr="001B63E8">
                  <w:rPr>
                    <w:rFonts w:ascii="VIC" w:hAnsi="VIC"/>
                    <w:sz w:val="13"/>
                    <w:szCs w:val="13"/>
                  </w:rPr>
                  <w:t xml:space="preserve">© State of Victoria, Australia, Safer Care Victoria, </w:t>
                </w:r>
                <w:r>
                  <w:rPr>
                    <w:rFonts w:ascii="VIC" w:hAnsi="VIC"/>
                    <w:sz w:val="13"/>
                    <w:szCs w:val="13"/>
                  </w:rPr>
                  <w:t>August 2019</w:t>
                </w:r>
              </w:p>
              <w:p w14:paraId="0C4262A5" w14:textId="77777777" w:rsidR="001B63E8" w:rsidRPr="007A4444" w:rsidRDefault="001B63E8" w:rsidP="001B63E8">
                <w:pPr>
                  <w:spacing w:line="230" w:lineRule="auto"/>
                  <w:ind w:right="1020"/>
                  <w:rPr>
                    <w:sz w:val="13"/>
                    <w:szCs w:val="13"/>
                  </w:rPr>
                </w:pPr>
                <w:r w:rsidRPr="001B63E8">
                  <w:rPr>
                    <w:rFonts w:ascii="VIC" w:hAnsi="VIC"/>
                    <w:sz w:val="13"/>
                    <w:szCs w:val="13"/>
                  </w:rPr>
                  <w:t xml:space="preserve">Available at </w:t>
                </w:r>
                <w:hyperlink r:id="rId13" w:history="1">
                  <w:r w:rsidRPr="001B63E8">
                    <w:rPr>
                      <w:rStyle w:val="Hyperlink"/>
                      <w:rFonts w:ascii="VIC" w:hAnsi="VIC"/>
                      <w:sz w:val="13"/>
                      <w:szCs w:val="13"/>
                    </w:rPr>
                    <w:t>www.safercare.vic</w:t>
                  </w:r>
                </w:hyperlink>
                <w:r w:rsidRPr="001B63E8">
                  <w:rPr>
                    <w:rFonts w:ascii="VIC" w:hAnsi="VIC"/>
                    <w:sz w:val="13"/>
                    <w:szCs w:val="13"/>
                  </w:rPr>
                  <w:t>.gov.au</w:t>
                </w:r>
              </w:p>
            </w:tc>
            <w:tc>
              <w:tcPr>
                <w:tcW w:w="1823" w:type="dxa"/>
              </w:tcPr>
              <w:p w14:paraId="69CF0F22" w14:textId="77777777" w:rsidR="001B63E8" w:rsidRPr="00736C0C" w:rsidRDefault="001B63E8" w:rsidP="001B63E8">
                <w:pPr>
                  <w:rPr>
                    <w:szCs w:val="15"/>
                  </w:rPr>
                </w:pPr>
                <w:r>
                  <w:rPr>
                    <w:noProof/>
                    <w:szCs w:val="15"/>
                  </w:rPr>
                  <w:drawing>
                    <wp:inline distT="0" distB="0" distL="0" distR="0" wp14:anchorId="4004F9A0" wp14:editId="19E93D94">
                      <wp:extent cx="972000" cy="558000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State Logo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2000" cy="55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6CA9F0F3" w14:textId="2AEE9CCE" w:rsidR="009217CA" w:rsidRPr="008A435E" w:rsidRDefault="009217CA" w:rsidP="00702C75">
      <w:pPr>
        <w:rPr>
          <w:rFonts w:ascii="VIC" w:hAnsi="VIC"/>
          <w:b/>
        </w:rPr>
      </w:pPr>
      <w:bookmarkStart w:id="3" w:name="_GoBack"/>
      <w:bookmarkEnd w:id="3"/>
    </w:p>
    <w:sectPr w:rsidR="009217CA" w:rsidRPr="008A435E" w:rsidSect="00B6242A">
      <w:type w:val="continuous"/>
      <w:pgSz w:w="11906" w:h="16838" w:code="9"/>
      <w:pgMar w:top="2438" w:right="1021" w:bottom="1021" w:left="1021" w:header="53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9DFEC" w14:textId="77777777" w:rsidR="00717486" w:rsidRDefault="00717486" w:rsidP="002D711A">
      <w:pPr>
        <w:spacing w:after="0" w:line="240" w:lineRule="auto"/>
      </w:pPr>
      <w:r>
        <w:separator/>
      </w:r>
    </w:p>
  </w:endnote>
  <w:endnote w:type="continuationSeparator" w:id="0">
    <w:p w14:paraId="616AC4AE" w14:textId="77777777" w:rsidR="00717486" w:rsidRDefault="00717486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448674107"/>
      <w:docPartObj>
        <w:docPartGallery w:val="Page Numbers (Bottom of Page)"/>
        <w:docPartUnique/>
      </w:docPartObj>
    </w:sdtPr>
    <w:sdtEndPr>
      <w:rPr>
        <w:rFonts w:ascii="VIC" w:hAnsi="VIC"/>
        <w:noProof/>
      </w:rPr>
    </w:sdtEndPr>
    <w:sdtContent>
      <w:p w14:paraId="4BE1A12D" w14:textId="20AFA525" w:rsidR="00B6242A" w:rsidRPr="00B6242A" w:rsidRDefault="00B6242A" w:rsidP="00B6242A">
        <w:pPr>
          <w:pStyle w:val="Footer"/>
          <w:jc w:val="right"/>
          <w:rPr>
            <w:rFonts w:ascii="VIC" w:hAnsi="VIC"/>
          </w:rPr>
        </w:pPr>
        <w:r w:rsidRPr="00B6242A">
          <w:rPr>
            <w:rFonts w:ascii="VIC" w:hAnsi="VIC"/>
            <w:noProof w:val="0"/>
          </w:rPr>
          <w:fldChar w:fldCharType="begin"/>
        </w:r>
        <w:r w:rsidRPr="00B6242A">
          <w:rPr>
            <w:rFonts w:ascii="VIC" w:hAnsi="VIC"/>
          </w:rPr>
          <w:instrText xml:space="preserve"> PAGE   \* MERGEFORMAT </w:instrText>
        </w:r>
        <w:r w:rsidRPr="00B6242A">
          <w:rPr>
            <w:rFonts w:ascii="VIC" w:hAnsi="VIC"/>
            <w:noProof w:val="0"/>
          </w:rPr>
          <w:fldChar w:fldCharType="separate"/>
        </w:r>
        <w:r w:rsidRPr="00B6242A">
          <w:rPr>
            <w:rFonts w:ascii="VIC" w:hAnsi="VIC"/>
          </w:rPr>
          <w:t>2</w:t>
        </w:r>
        <w:r w:rsidRPr="00B6242A">
          <w:rPr>
            <w:rFonts w:ascii="VIC" w:hAnsi="VIC"/>
          </w:rPr>
          <w:fldChar w:fldCharType="end"/>
        </w:r>
      </w:p>
    </w:sdtContent>
  </w:sdt>
  <w:p w14:paraId="0401584C" w14:textId="77777777" w:rsidR="00663D4D" w:rsidRDefault="00663D4D">
    <w:pPr>
      <w:pStyle w:val="Footer"/>
      <w:jc w:val="right"/>
      <w:rPr>
        <w:noProof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3F5A" w14:textId="77777777" w:rsidR="00717486" w:rsidRDefault="00717486" w:rsidP="00E33E08">
      <w:pPr>
        <w:spacing w:before="0" w:after="0" w:line="240" w:lineRule="auto"/>
      </w:pPr>
    </w:p>
  </w:footnote>
  <w:footnote w:type="continuationSeparator" w:id="0">
    <w:p w14:paraId="48B28DD0" w14:textId="77777777" w:rsidR="00717486" w:rsidRDefault="00717486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5EB6C" w14:textId="68C314CF" w:rsidR="00706336" w:rsidRDefault="002E54C5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1814A87" wp14:editId="1F02365F">
          <wp:simplePos x="0" y="0"/>
          <wp:positionH relativeFrom="margin">
            <wp:align>right</wp:align>
          </wp:positionH>
          <wp:positionV relativeFrom="paragraph">
            <wp:posOffset>-151765</wp:posOffset>
          </wp:positionV>
          <wp:extent cx="633095" cy="633095"/>
          <wp:effectExtent l="0" t="0" r="0" b="0"/>
          <wp:wrapTight wrapText="bothSides">
            <wp:wrapPolygon edited="0">
              <wp:start x="0" y="0"/>
              <wp:lineTo x="0" y="20798"/>
              <wp:lineTo x="20798" y="20798"/>
              <wp:lineTo x="2079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Personalised_and_holist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36731" w14:textId="4324FE61" w:rsidR="00706336" w:rsidRDefault="00706336">
    <w:pPr>
      <w:pStyle w:val="Header"/>
    </w:pPr>
  </w:p>
  <w:p w14:paraId="427C4270" w14:textId="5566EDF1" w:rsidR="00706336" w:rsidRDefault="00706336" w:rsidP="002E54C5">
    <w:pPr>
      <w:pStyle w:val="Header"/>
      <w:tabs>
        <w:tab w:val="clear" w:pos="4513"/>
        <w:tab w:val="clear" w:pos="9026"/>
        <w:tab w:val="left" w:pos="8550"/>
      </w:tabs>
    </w:pPr>
  </w:p>
  <w:p w14:paraId="07496F18" w14:textId="77777777" w:rsidR="00706336" w:rsidRDefault="00706336">
    <w:pPr>
      <w:pStyle w:val="Header"/>
    </w:pPr>
  </w:p>
  <w:p w14:paraId="4A8FCB2C" w14:textId="331F5D4F" w:rsidR="00706336" w:rsidRPr="008A435E" w:rsidRDefault="003E63A7" w:rsidP="003E63A7">
    <w:pPr>
      <w:pStyle w:val="Header"/>
      <w:jc w:val="right"/>
      <w:rPr>
        <w:rFonts w:ascii="VIC" w:hAnsi="VIC"/>
        <w:sz w:val="18"/>
      </w:rPr>
    </w:pPr>
    <w:r w:rsidRPr="008A435E">
      <w:rPr>
        <w:rFonts w:ascii="VIC" w:hAnsi="VIC"/>
        <w:sz w:val="18"/>
      </w:rPr>
      <w:t>PARTNERING IN HEALTHCARE</w:t>
    </w:r>
    <w:r w:rsidRPr="008A435E">
      <w:rPr>
        <w:rFonts w:ascii="VIC" w:hAnsi="VIC"/>
        <w:sz w:val="18"/>
      </w:rPr>
      <w:br/>
      <w:t>NSQHS STANDARDS RESOURCE</w:t>
    </w:r>
  </w:p>
  <w:p w14:paraId="60287CBA" w14:textId="1B19DF14" w:rsidR="000905F7" w:rsidRDefault="000905F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4F5342A" wp14:editId="2DDF2D5D">
          <wp:simplePos x="0" y="0"/>
          <wp:positionH relativeFrom="page">
            <wp:posOffset>180975</wp:posOffset>
          </wp:positionH>
          <wp:positionV relativeFrom="page">
            <wp:posOffset>9525</wp:posOffset>
          </wp:positionV>
          <wp:extent cx="1522800" cy="1206000"/>
          <wp:effectExtent l="0" t="0" r="127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5530"/>
    <w:multiLevelType w:val="hybridMultilevel"/>
    <w:tmpl w:val="02ACD6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19C13BE0"/>
    <w:multiLevelType w:val="hybridMultilevel"/>
    <w:tmpl w:val="6D26B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5DAD0004"/>
    <w:multiLevelType w:val="hybridMultilevel"/>
    <w:tmpl w:val="85488C6C"/>
    <w:lvl w:ilvl="0" w:tplc="A7BEB2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F7170"/>
    <w:multiLevelType w:val="hybridMultilevel"/>
    <w:tmpl w:val="C6D8D202"/>
    <w:lvl w:ilvl="0" w:tplc="7234BE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A774F"/>
    <w:multiLevelType w:val="hybridMultilevel"/>
    <w:tmpl w:val="E87A3C8E"/>
    <w:lvl w:ilvl="0" w:tplc="A7BEB2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E3836"/>
    <w:multiLevelType w:val="hybridMultilevel"/>
    <w:tmpl w:val="49409072"/>
    <w:lvl w:ilvl="0" w:tplc="A7BEB2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C60C1"/>
    <w:multiLevelType w:val="hybridMultilevel"/>
    <w:tmpl w:val="5DA03C2C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81F74"/>
    <w:multiLevelType w:val="hybridMultilevel"/>
    <w:tmpl w:val="D30E69E4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37AD"/>
    <w:multiLevelType w:val="hybridMultilevel"/>
    <w:tmpl w:val="F19C7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0E87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7ACA745B"/>
    <w:multiLevelType w:val="hybridMultilevel"/>
    <w:tmpl w:val="69C66632"/>
    <w:lvl w:ilvl="0" w:tplc="04F475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1524440">
      <w:start w:val="1"/>
      <w:numFmt w:val="lowerLetter"/>
      <w:lvlText w:val="%2."/>
      <w:lvlJc w:val="left"/>
      <w:pPr>
        <w:ind w:left="1440" w:hanging="360"/>
      </w:pPr>
    </w:lvl>
    <w:lvl w:ilvl="2" w:tplc="B05EAE9C">
      <w:start w:val="1"/>
      <w:numFmt w:val="lowerRoman"/>
      <w:lvlText w:val="%3."/>
      <w:lvlJc w:val="right"/>
      <w:pPr>
        <w:ind w:left="2160" w:hanging="180"/>
      </w:pPr>
    </w:lvl>
    <w:lvl w:ilvl="3" w:tplc="231C5CBC">
      <w:start w:val="1"/>
      <w:numFmt w:val="decimal"/>
      <w:lvlText w:val="%4."/>
      <w:lvlJc w:val="left"/>
      <w:pPr>
        <w:ind w:left="2880" w:hanging="360"/>
      </w:pPr>
    </w:lvl>
    <w:lvl w:ilvl="4" w:tplc="252A05FC">
      <w:start w:val="1"/>
      <w:numFmt w:val="lowerLetter"/>
      <w:lvlText w:val="%5."/>
      <w:lvlJc w:val="left"/>
      <w:pPr>
        <w:ind w:left="3600" w:hanging="360"/>
      </w:pPr>
    </w:lvl>
    <w:lvl w:ilvl="5" w:tplc="0F1CE4AA">
      <w:start w:val="1"/>
      <w:numFmt w:val="lowerRoman"/>
      <w:lvlText w:val="%6."/>
      <w:lvlJc w:val="right"/>
      <w:pPr>
        <w:ind w:left="4320" w:hanging="180"/>
      </w:pPr>
    </w:lvl>
    <w:lvl w:ilvl="6" w:tplc="140EAB2A">
      <w:start w:val="1"/>
      <w:numFmt w:val="decimal"/>
      <w:lvlText w:val="%7."/>
      <w:lvlJc w:val="left"/>
      <w:pPr>
        <w:ind w:left="5040" w:hanging="360"/>
      </w:pPr>
    </w:lvl>
    <w:lvl w:ilvl="7" w:tplc="DB54A500">
      <w:start w:val="1"/>
      <w:numFmt w:val="lowerLetter"/>
      <w:lvlText w:val="%8."/>
      <w:lvlJc w:val="left"/>
      <w:pPr>
        <w:ind w:left="5760" w:hanging="360"/>
      </w:pPr>
    </w:lvl>
    <w:lvl w:ilvl="8" w:tplc="9C0ABE7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7"/>
  </w:num>
  <w:num w:numId="5">
    <w:abstractNumId w:val="3"/>
  </w:num>
  <w:num w:numId="6">
    <w:abstractNumId w:val="6"/>
  </w:num>
  <w:num w:numId="7">
    <w:abstractNumId w:val="15"/>
  </w:num>
  <w:num w:numId="8">
    <w:abstractNumId w:val="5"/>
  </w:num>
  <w:num w:numId="9">
    <w:abstractNumId w:val="5"/>
  </w:num>
  <w:num w:numId="10">
    <w:abstractNumId w:val="4"/>
  </w:num>
  <w:num w:numId="11">
    <w:abstractNumId w:val="1"/>
  </w:num>
  <w:num w:numId="12">
    <w:abstractNumId w:val="16"/>
  </w:num>
  <w:num w:numId="13">
    <w:abstractNumId w:val="2"/>
  </w:num>
  <w:num w:numId="14">
    <w:abstractNumId w:val="14"/>
  </w:num>
  <w:num w:numId="15">
    <w:abstractNumId w:val="11"/>
  </w:num>
  <w:num w:numId="16">
    <w:abstractNumId w:val="10"/>
  </w:num>
  <w:num w:numId="17">
    <w:abstractNumId w:val="8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FB"/>
    <w:rsid w:val="00012F6F"/>
    <w:rsid w:val="00014213"/>
    <w:rsid w:val="00014B55"/>
    <w:rsid w:val="000157AA"/>
    <w:rsid w:val="00020E3E"/>
    <w:rsid w:val="00023BF3"/>
    <w:rsid w:val="00026811"/>
    <w:rsid w:val="0004185E"/>
    <w:rsid w:val="000439FB"/>
    <w:rsid w:val="00053181"/>
    <w:rsid w:val="00056988"/>
    <w:rsid w:val="00070C75"/>
    <w:rsid w:val="00072279"/>
    <w:rsid w:val="00073407"/>
    <w:rsid w:val="00075E6C"/>
    <w:rsid w:val="00081C12"/>
    <w:rsid w:val="00087D42"/>
    <w:rsid w:val="000905F7"/>
    <w:rsid w:val="000B29AD"/>
    <w:rsid w:val="000C1046"/>
    <w:rsid w:val="000C6372"/>
    <w:rsid w:val="000D7841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105E0"/>
    <w:rsid w:val="00121252"/>
    <w:rsid w:val="00124609"/>
    <w:rsid w:val="001254CE"/>
    <w:rsid w:val="001307D4"/>
    <w:rsid w:val="0013637A"/>
    <w:rsid w:val="001422CC"/>
    <w:rsid w:val="00145346"/>
    <w:rsid w:val="00147178"/>
    <w:rsid w:val="00155FB0"/>
    <w:rsid w:val="001617B6"/>
    <w:rsid w:val="00165E66"/>
    <w:rsid w:val="00196143"/>
    <w:rsid w:val="001A24FC"/>
    <w:rsid w:val="001B63E8"/>
    <w:rsid w:val="001C6993"/>
    <w:rsid w:val="001C7BAE"/>
    <w:rsid w:val="001D23A7"/>
    <w:rsid w:val="001E31FA"/>
    <w:rsid w:val="001E48F9"/>
    <w:rsid w:val="001E64F6"/>
    <w:rsid w:val="001E7AEB"/>
    <w:rsid w:val="001F3F3C"/>
    <w:rsid w:val="00204B82"/>
    <w:rsid w:val="00207A3A"/>
    <w:rsid w:val="00212987"/>
    <w:rsid w:val="002179FB"/>
    <w:rsid w:val="00222BEB"/>
    <w:rsid w:val="00225E60"/>
    <w:rsid w:val="00230BBB"/>
    <w:rsid w:val="0023202C"/>
    <w:rsid w:val="00234619"/>
    <w:rsid w:val="00235BE2"/>
    <w:rsid w:val="00245043"/>
    <w:rsid w:val="002519B3"/>
    <w:rsid w:val="0026028E"/>
    <w:rsid w:val="00273A17"/>
    <w:rsid w:val="00284FA2"/>
    <w:rsid w:val="00292D36"/>
    <w:rsid w:val="00294A5A"/>
    <w:rsid w:val="00297281"/>
    <w:rsid w:val="00297A47"/>
    <w:rsid w:val="002A5891"/>
    <w:rsid w:val="002B03F1"/>
    <w:rsid w:val="002B5C34"/>
    <w:rsid w:val="002B5E2B"/>
    <w:rsid w:val="002B6DAA"/>
    <w:rsid w:val="002C0C5B"/>
    <w:rsid w:val="002C6C38"/>
    <w:rsid w:val="002D70F7"/>
    <w:rsid w:val="002D711A"/>
    <w:rsid w:val="002D7336"/>
    <w:rsid w:val="002E3396"/>
    <w:rsid w:val="002E54C5"/>
    <w:rsid w:val="002E6454"/>
    <w:rsid w:val="002F2953"/>
    <w:rsid w:val="0031149C"/>
    <w:rsid w:val="00353F2E"/>
    <w:rsid w:val="0036778F"/>
    <w:rsid w:val="0037682C"/>
    <w:rsid w:val="00376920"/>
    <w:rsid w:val="0038771C"/>
    <w:rsid w:val="003A430B"/>
    <w:rsid w:val="003A541A"/>
    <w:rsid w:val="003A6923"/>
    <w:rsid w:val="003B6B52"/>
    <w:rsid w:val="003C2C67"/>
    <w:rsid w:val="003C2D4C"/>
    <w:rsid w:val="003C3B3A"/>
    <w:rsid w:val="003C5957"/>
    <w:rsid w:val="003C5BA4"/>
    <w:rsid w:val="003E3C38"/>
    <w:rsid w:val="003E3E26"/>
    <w:rsid w:val="003E63A7"/>
    <w:rsid w:val="003F0F9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440C3"/>
    <w:rsid w:val="0045347E"/>
    <w:rsid w:val="00453750"/>
    <w:rsid w:val="00456941"/>
    <w:rsid w:val="00460BD5"/>
    <w:rsid w:val="00460FB2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D6D95"/>
    <w:rsid w:val="004F3F4E"/>
    <w:rsid w:val="00510167"/>
    <w:rsid w:val="00513E86"/>
    <w:rsid w:val="005306A2"/>
    <w:rsid w:val="0053416C"/>
    <w:rsid w:val="00541C2F"/>
    <w:rsid w:val="00552DE4"/>
    <w:rsid w:val="00563527"/>
    <w:rsid w:val="0057407A"/>
    <w:rsid w:val="0058124E"/>
    <w:rsid w:val="005875A3"/>
    <w:rsid w:val="005953EA"/>
    <w:rsid w:val="005A00C4"/>
    <w:rsid w:val="005A3416"/>
    <w:rsid w:val="005A44D3"/>
    <w:rsid w:val="005B061F"/>
    <w:rsid w:val="005B1325"/>
    <w:rsid w:val="005B27FE"/>
    <w:rsid w:val="005B76DF"/>
    <w:rsid w:val="005B79CB"/>
    <w:rsid w:val="005C5D71"/>
    <w:rsid w:val="005E08D7"/>
    <w:rsid w:val="005E123F"/>
    <w:rsid w:val="005E4C16"/>
    <w:rsid w:val="005E5947"/>
    <w:rsid w:val="005E654B"/>
    <w:rsid w:val="005F014B"/>
    <w:rsid w:val="005F61DF"/>
    <w:rsid w:val="0060163A"/>
    <w:rsid w:val="006023F9"/>
    <w:rsid w:val="00610559"/>
    <w:rsid w:val="00614076"/>
    <w:rsid w:val="00632F2E"/>
    <w:rsid w:val="006332F6"/>
    <w:rsid w:val="006413F2"/>
    <w:rsid w:val="0064643F"/>
    <w:rsid w:val="006534B2"/>
    <w:rsid w:val="0065615D"/>
    <w:rsid w:val="00657011"/>
    <w:rsid w:val="00663D4D"/>
    <w:rsid w:val="0066410A"/>
    <w:rsid w:val="006650B5"/>
    <w:rsid w:val="006651B1"/>
    <w:rsid w:val="00665778"/>
    <w:rsid w:val="00676E5F"/>
    <w:rsid w:val="00680577"/>
    <w:rsid w:val="00687CD6"/>
    <w:rsid w:val="006945CA"/>
    <w:rsid w:val="006A3309"/>
    <w:rsid w:val="006A3A5A"/>
    <w:rsid w:val="006A5B34"/>
    <w:rsid w:val="006B7903"/>
    <w:rsid w:val="006C77A9"/>
    <w:rsid w:val="006D4720"/>
    <w:rsid w:val="006D6829"/>
    <w:rsid w:val="006E6CDF"/>
    <w:rsid w:val="006F37F2"/>
    <w:rsid w:val="006F6693"/>
    <w:rsid w:val="00702C75"/>
    <w:rsid w:val="00706336"/>
    <w:rsid w:val="00707FE8"/>
    <w:rsid w:val="00714AAE"/>
    <w:rsid w:val="00717486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D5F9E"/>
    <w:rsid w:val="007E098F"/>
    <w:rsid w:val="007E3BA2"/>
    <w:rsid w:val="007E6EF5"/>
    <w:rsid w:val="007E6F9B"/>
    <w:rsid w:val="007F1A4C"/>
    <w:rsid w:val="007F723F"/>
    <w:rsid w:val="008022C3"/>
    <w:rsid w:val="008041E6"/>
    <w:rsid w:val="008065D2"/>
    <w:rsid w:val="00815A8A"/>
    <w:rsid w:val="0082194C"/>
    <w:rsid w:val="008219C8"/>
    <w:rsid w:val="00821DC5"/>
    <w:rsid w:val="008222FF"/>
    <w:rsid w:val="008241FF"/>
    <w:rsid w:val="00827E84"/>
    <w:rsid w:val="008411E9"/>
    <w:rsid w:val="00841617"/>
    <w:rsid w:val="0084200F"/>
    <w:rsid w:val="00843B2C"/>
    <w:rsid w:val="00844F16"/>
    <w:rsid w:val="00845D5D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A435E"/>
    <w:rsid w:val="008A4900"/>
    <w:rsid w:val="008A55FE"/>
    <w:rsid w:val="008A58D2"/>
    <w:rsid w:val="008B146D"/>
    <w:rsid w:val="008B42AD"/>
    <w:rsid w:val="008B5666"/>
    <w:rsid w:val="008C154D"/>
    <w:rsid w:val="008C2C15"/>
    <w:rsid w:val="008D0281"/>
    <w:rsid w:val="008E2348"/>
    <w:rsid w:val="008F6D45"/>
    <w:rsid w:val="009073F9"/>
    <w:rsid w:val="00916AD5"/>
    <w:rsid w:val="009217CA"/>
    <w:rsid w:val="00922944"/>
    <w:rsid w:val="00936479"/>
    <w:rsid w:val="00937A10"/>
    <w:rsid w:val="00942EF2"/>
    <w:rsid w:val="00953A2C"/>
    <w:rsid w:val="00966115"/>
    <w:rsid w:val="009834C0"/>
    <w:rsid w:val="0098418D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D55CA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612FE"/>
    <w:rsid w:val="00A70B49"/>
    <w:rsid w:val="00A843F9"/>
    <w:rsid w:val="00A92D94"/>
    <w:rsid w:val="00AA26B8"/>
    <w:rsid w:val="00AC0B87"/>
    <w:rsid w:val="00AC2624"/>
    <w:rsid w:val="00AC32A8"/>
    <w:rsid w:val="00AD7E4E"/>
    <w:rsid w:val="00AE7E2A"/>
    <w:rsid w:val="00AF2077"/>
    <w:rsid w:val="00AF4D58"/>
    <w:rsid w:val="00AF6666"/>
    <w:rsid w:val="00AF7BC5"/>
    <w:rsid w:val="00B45E88"/>
    <w:rsid w:val="00B46857"/>
    <w:rsid w:val="00B512F1"/>
    <w:rsid w:val="00B6242A"/>
    <w:rsid w:val="00B81B44"/>
    <w:rsid w:val="00B9053B"/>
    <w:rsid w:val="00BA0C37"/>
    <w:rsid w:val="00BA3782"/>
    <w:rsid w:val="00BA4FF9"/>
    <w:rsid w:val="00BB1760"/>
    <w:rsid w:val="00BB4D98"/>
    <w:rsid w:val="00BB4EBF"/>
    <w:rsid w:val="00BB59E0"/>
    <w:rsid w:val="00BB6DEB"/>
    <w:rsid w:val="00BC3422"/>
    <w:rsid w:val="00BC6E19"/>
    <w:rsid w:val="00BD11C2"/>
    <w:rsid w:val="00BD5018"/>
    <w:rsid w:val="00BE5ADC"/>
    <w:rsid w:val="00BF1220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907D7"/>
    <w:rsid w:val="00C92338"/>
    <w:rsid w:val="00C92EEA"/>
    <w:rsid w:val="00CA05DC"/>
    <w:rsid w:val="00CA7B47"/>
    <w:rsid w:val="00CB34D1"/>
    <w:rsid w:val="00CB3976"/>
    <w:rsid w:val="00CD0307"/>
    <w:rsid w:val="00CD3C79"/>
    <w:rsid w:val="00CD3D1B"/>
    <w:rsid w:val="00CE2303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2029"/>
    <w:rsid w:val="00D6560D"/>
    <w:rsid w:val="00D65D77"/>
    <w:rsid w:val="00D718D7"/>
    <w:rsid w:val="00D814B7"/>
    <w:rsid w:val="00D90688"/>
    <w:rsid w:val="00DA3AAD"/>
    <w:rsid w:val="00DA3F36"/>
    <w:rsid w:val="00DB312B"/>
    <w:rsid w:val="00DC5654"/>
    <w:rsid w:val="00DC658F"/>
    <w:rsid w:val="00DC674A"/>
    <w:rsid w:val="00DE0138"/>
    <w:rsid w:val="00DE60CC"/>
    <w:rsid w:val="00E03F35"/>
    <w:rsid w:val="00E05C14"/>
    <w:rsid w:val="00E131C8"/>
    <w:rsid w:val="00E26B32"/>
    <w:rsid w:val="00E275E8"/>
    <w:rsid w:val="00E31CD4"/>
    <w:rsid w:val="00E31E60"/>
    <w:rsid w:val="00E33E08"/>
    <w:rsid w:val="00E352ED"/>
    <w:rsid w:val="00E407B6"/>
    <w:rsid w:val="00E41EF1"/>
    <w:rsid w:val="00E42942"/>
    <w:rsid w:val="00E64600"/>
    <w:rsid w:val="00E65A0A"/>
    <w:rsid w:val="00E71BDF"/>
    <w:rsid w:val="00E744F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16A7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60F9F"/>
    <w:rsid w:val="00F61246"/>
    <w:rsid w:val="00F6250C"/>
    <w:rsid w:val="00F64F08"/>
    <w:rsid w:val="00F70055"/>
    <w:rsid w:val="00F734F5"/>
    <w:rsid w:val="00F73B5B"/>
    <w:rsid w:val="00F742FB"/>
    <w:rsid w:val="00F90EA5"/>
    <w:rsid w:val="00F91F5A"/>
    <w:rsid w:val="00F966B1"/>
    <w:rsid w:val="00F97D48"/>
    <w:rsid w:val="00FA0311"/>
    <w:rsid w:val="00FA1489"/>
    <w:rsid w:val="00FA16AC"/>
    <w:rsid w:val="00FC49A2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86933A"/>
  <w15:docId w15:val="{FFAB920D-4AC7-4FF3-BC67-E145E5B9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paragraph" w:styleId="NormalWeb">
    <w:name w:val="Normal (Web)"/>
    <w:basedOn w:val="Normal"/>
    <w:uiPriority w:val="99"/>
    <w:unhideWhenUsed/>
    <w:rsid w:val="00BA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147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14717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147178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147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147178"/>
    <w:rPr>
      <w:b/>
      <w:bCs/>
    </w:rPr>
  </w:style>
  <w:style w:type="character" w:customStyle="1" w:styleId="DHHSbodyChar">
    <w:name w:val="DHHS body Char"/>
    <w:basedOn w:val="DefaultParagraphFont"/>
    <w:link w:val="DHHSbody"/>
    <w:locked/>
    <w:rsid w:val="00BF1220"/>
    <w:rPr>
      <w:rFonts w:ascii="Arial" w:eastAsia="Times" w:hAnsi="Arial" w:cs="Times New Roman"/>
      <w:szCs w:val="24"/>
      <w:lang w:val="en-US" w:eastAsia="en-US"/>
    </w:rPr>
  </w:style>
  <w:style w:type="paragraph" w:customStyle="1" w:styleId="DHHSbody">
    <w:name w:val="DHHS body"/>
    <w:link w:val="DHHSbodyChar"/>
    <w:qFormat/>
    <w:rsid w:val="00BF1220"/>
    <w:pPr>
      <w:spacing w:before="0" w:after="120" w:line="270" w:lineRule="atLeast"/>
    </w:pPr>
    <w:rPr>
      <w:rFonts w:ascii="Arial" w:eastAsia="Times" w:hAnsi="Arial" w:cs="Times New Roman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0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afercare.v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rtnering@safercare.vic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tyandquality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fetyandquality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D722BD837C4B1A8F0BA4FFEAB5A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5F441-358F-4E7F-B4B7-5D08D8F0AE01}"/>
      </w:docPartPr>
      <w:docPartBody>
        <w:p w:rsidR="009B758A" w:rsidRDefault="00E370CD" w:rsidP="00E370CD">
          <w:pPr>
            <w:pStyle w:val="50D722BD837C4B1A8F0BA4FFEAB5A15D"/>
          </w:pPr>
          <w:r w:rsidRPr="00171E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CD"/>
    <w:rsid w:val="009B758A"/>
    <w:rsid w:val="00E3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sid w:val="00E370CD"/>
    <w:rPr>
      <w:color w:val="808080"/>
    </w:rPr>
  </w:style>
  <w:style w:type="paragraph" w:customStyle="1" w:styleId="50D722BD837C4B1A8F0BA4FFEAB5A15D">
    <w:name w:val="50D722BD837C4B1A8F0BA4FFEAB5A15D"/>
    <w:rsid w:val="00E37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C355-F287-4602-A156-4C2E2645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Department of Treasury and Finance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Erin V Pelly (DHHS)</dc:creator>
  <cp:lastModifiedBy>Freya Jones (DHHS)</cp:lastModifiedBy>
  <cp:revision>51</cp:revision>
  <cp:lastPrinted>2018-05-20T09:23:00Z</cp:lastPrinted>
  <dcterms:created xsi:type="dcterms:W3CDTF">2019-04-23T05:46:00Z</dcterms:created>
  <dcterms:modified xsi:type="dcterms:W3CDTF">2019-08-16T02:32:00Z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