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5670" w:rightFromText="5670" w:vertAnchor="page" w:horzAnchor="page" w:tblpX="852" w:tblpY="4310"/>
        <w:tblOverlap w:val="never"/>
        <w:tblW w:w="6804" w:type="dxa"/>
        <w:tblBorders>
          <w:insideH w:val="single" w:sz="24" w:space="0" w:color="CCCCD0" w:themeColor="accent6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6804"/>
      </w:tblGrid>
      <w:tr w:rsidR="0050356B" w14:paraId="794F67DD" w14:textId="77777777" w:rsidTr="0050356B">
        <w:trPr>
          <w:trHeight w:val="57"/>
        </w:trPr>
        <w:tc>
          <w:tcPr>
            <w:tcW w:w="6804" w:type="dxa"/>
            <w:shd w:val="clear" w:color="auto" w:fill="auto"/>
            <w:tcMar>
              <w:top w:w="312" w:type="dxa"/>
            </w:tcMar>
          </w:tcPr>
          <w:p w14:paraId="0DD9D866" w14:textId="7B686695" w:rsidR="0050356B" w:rsidRPr="009741FB" w:rsidRDefault="009741FB" w:rsidP="00956885">
            <w:pPr>
              <w:pStyle w:val="Date"/>
              <w:framePr w:hSpace="0" w:wrap="auto" w:vAnchor="margin" w:hAnchor="text" w:xAlign="left" w:yAlign="inline"/>
              <w:suppressOverlap w:val="0"/>
              <w:rPr>
                <w:rFonts w:ascii="VIC SemiBold" w:hAnsi="VIC SemiBold"/>
                <w:b w:val="0"/>
              </w:rPr>
            </w:pPr>
            <w:r w:rsidRPr="009741FB">
              <w:rPr>
                <w:rFonts w:ascii="VIC SemiBold" w:hAnsi="VIC SemiBold"/>
                <w:b w:val="0"/>
              </w:rPr>
              <w:t>August</w:t>
            </w:r>
            <w:r w:rsidR="00963B75" w:rsidRPr="009741FB">
              <w:rPr>
                <w:rFonts w:ascii="VIC SemiBold" w:hAnsi="VIC SemiBold"/>
                <w:b w:val="0"/>
              </w:rPr>
              <w:t xml:space="preserve"> </w:t>
            </w:r>
            <w:r w:rsidR="00C11E7C" w:rsidRPr="009741FB">
              <w:rPr>
                <w:rFonts w:ascii="VIC SemiBold" w:hAnsi="VIC SemiBold"/>
                <w:b w:val="0"/>
              </w:rPr>
              <w:t>2019</w:t>
            </w:r>
          </w:p>
        </w:tc>
      </w:tr>
      <w:tr w:rsidR="00A46288" w14:paraId="067EAFF0" w14:textId="77777777" w:rsidTr="0050356B">
        <w:trPr>
          <w:trHeight w:val="2948"/>
        </w:trPr>
        <w:tc>
          <w:tcPr>
            <w:tcW w:w="6804" w:type="dxa"/>
            <w:shd w:val="clear" w:color="auto" w:fill="auto"/>
            <w:tcMar>
              <w:top w:w="312" w:type="dxa"/>
            </w:tcMar>
          </w:tcPr>
          <w:sdt>
            <w:sdtPr>
              <w:rPr>
                <w:rFonts w:ascii="VIC SemiBold" w:hAnsi="VIC SemiBold"/>
                <w:b w:val="0"/>
              </w:rPr>
              <w:alias w:val="Title"/>
              <w:tag w:val=""/>
              <w:id w:val="-1484688983"/>
              <w:placeholder>
                <w:docPart w:val="F96BEBCD330F4954BCC1D53C2592B1E0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76508CEE" w14:textId="56730CB2" w:rsidR="00A46288" w:rsidRPr="00343A2D" w:rsidRDefault="00BB219D" w:rsidP="0050356B">
                <w:pPr>
                  <w:pStyle w:val="Title"/>
                  <w:framePr w:hSpace="0" w:wrap="auto" w:vAnchor="margin" w:hAnchor="text" w:xAlign="left" w:yAlign="inline"/>
                  <w:suppressOverlap w:val="0"/>
                  <w:rPr>
                    <w:rFonts w:ascii="VIC SemiBold" w:hAnsi="VIC SemiBold"/>
                    <w:b w:val="0"/>
                  </w:rPr>
                </w:pPr>
                <w:r>
                  <w:rPr>
                    <w:rFonts w:ascii="VIC SemiBold" w:hAnsi="VIC SemiBold"/>
                    <w:b w:val="0"/>
                  </w:rPr>
                  <w:t>Renal key performance indicators review</w:t>
                </w:r>
              </w:p>
            </w:sdtContent>
          </w:sdt>
          <w:p w14:paraId="0B3B8C36" w14:textId="77777777" w:rsidR="00A46288" w:rsidRPr="00BF3854" w:rsidRDefault="00A46288" w:rsidP="0050356B">
            <w:pPr>
              <w:pStyle w:val="Subtitle"/>
              <w:framePr w:hSpace="0" w:wrap="auto" w:vAnchor="margin" w:hAnchor="text" w:xAlign="left" w:yAlign="inline"/>
              <w:suppressOverlap w:val="0"/>
            </w:pPr>
          </w:p>
        </w:tc>
      </w:tr>
    </w:tbl>
    <w:p w14:paraId="45304621" w14:textId="77777777" w:rsidR="00A46288" w:rsidRDefault="00A46288" w:rsidP="00A46288">
      <w:pPr>
        <w:pStyle w:val="NoSpacing"/>
      </w:pPr>
    </w:p>
    <w:p w14:paraId="67FF45D0" w14:textId="77777777" w:rsidR="00A46288" w:rsidRDefault="00A46288" w:rsidP="00343A2D">
      <w:pPr>
        <w:sectPr w:rsidR="00A46288" w:rsidSect="00257461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3402" w:right="851" w:bottom="1361" w:left="851" w:header="539" w:footer="624" w:gutter="0"/>
          <w:pgNumType w:start="1"/>
          <w:cols w:space="284"/>
          <w:titlePg/>
          <w:docGrid w:linePitch="360"/>
        </w:sectPr>
      </w:pPr>
    </w:p>
    <w:p w14:paraId="472636FF" w14:textId="1CA13340" w:rsidR="00224699" w:rsidRDefault="00224699"/>
    <w:tbl>
      <w:tblPr>
        <w:tblStyle w:val="SCVInformationTable"/>
        <w:tblpPr w:leftFromText="181" w:rightFromText="181" w:horzAnchor="page" w:tblpX="852" w:tblpYSpec="bottom"/>
        <w:tblW w:w="10216" w:type="dxa"/>
        <w:tblLook w:val="0600" w:firstRow="0" w:lastRow="0" w:firstColumn="0" w:lastColumn="0" w:noHBand="1" w:noVBand="1"/>
      </w:tblPr>
      <w:tblGrid>
        <w:gridCol w:w="5119"/>
        <w:gridCol w:w="2963"/>
        <w:gridCol w:w="2134"/>
      </w:tblGrid>
      <w:tr w:rsidR="00B118B1" w:rsidRPr="00736C0C" w14:paraId="326EB25A" w14:textId="77777777" w:rsidTr="008116D8">
        <w:trPr>
          <w:trHeight w:val="2041"/>
        </w:trPr>
        <w:tc>
          <w:tcPr>
            <w:tcW w:w="4111" w:type="dxa"/>
            <w:tcMar>
              <w:left w:w="113" w:type="dxa"/>
            </w:tcMar>
          </w:tcPr>
          <w:p w14:paraId="33C12238" w14:textId="0E6C102D" w:rsidR="00B118B1" w:rsidRPr="00BB6413" w:rsidRDefault="008116D8" w:rsidP="00343A2D">
            <w:pPr>
              <w:spacing w:after="0"/>
              <w:rPr>
                <w:rStyle w:val="Hyperlink"/>
                <w:spacing w:val="-4"/>
                <w:sz w:val="24"/>
                <w:szCs w:val="24"/>
              </w:rPr>
            </w:pPr>
            <w:r w:rsidRPr="00BB6413">
              <w:rPr>
                <w:sz w:val="24"/>
                <w:szCs w:val="24"/>
              </w:rPr>
              <w:t xml:space="preserve">To receive this publication in an accessible format phone </w:t>
            </w:r>
            <w:r w:rsidRPr="00BB6413">
              <w:rPr>
                <w:sz w:val="24"/>
                <w:szCs w:val="24"/>
              </w:rPr>
              <w:br/>
              <w:t>03 9096 1384, using the National Relay Service</w:t>
            </w:r>
            <w:r w:rsidRPr="000F4969">
              <w:rPr>
                <w:sz w:val="24"/>
                <w:szCs w:val="24"/>
              </w:rPr>
              <w:t xml:space="preserve"> 13 36 </w:t>
            </w:r>
            <w:r w:rsidRPr="0005708D">
              <w:rPr>
                <w:spacing w:val="-2"/>
                <w:sz w:val="24"/>
                <w:szCs w:val="24"/>
              </w:rPr>
              <w:t xml:space="preserve">77 if required, or email </w:t>
            </w:r>
          </w:p>
          <w:p w14:paraId="2018A6D6" w14:textId="376CBCD9" w:rsidR="008116D8" w:rsidRPr="00343A2D" w:rsidRDefault="00876E2A" w:rsidP="00BB6413">
            <w:hyperlink r:id="rId12" w:history="1">
              <w:r w:rsidR="00B118B1" w:rsidRPr="000F4969">
                <w:rPr>
                  <w:rStyle w:val="Hyperlink"/>
                  <w:spacing w:val="-4"/>
                  <w:sz w:val="24"/>
                  <w:szCs w:val="24"/>
                </w:rPr>
                <w:t>renal.clinicalnetwork</w:t>
              </w:r>
              <w:r w:rsidR="00B118B1" w:rsidRPr="0005708D">
                <w:rPr>
                  <w:rStyle w:val="Hyperlink"/>
                  <w:spacing w:val="-4"/>
                  <w:sz w:val="24"/>
                  <w:szCs w:val="24"/>
                </w:rPr>
                <w:t>@safercare</w:t>
              </w:r>
              <w:r w:rsidR="00B118B1" w:rsidRPr="00956885">
                <w:rPr>
                  <w:rStyle w:val="Hyperlink"/>
                  <w:spacing w:val="-4"/>
                  <w:sz w:val="24"/>
                  <w:szCs w:val="24"/>
                </w:rPr>
                <w:t>.vic.gov.au</w:t>
              </w:r>
            </w:hyperlink>
          </w:p>
        </w:tc>
        <w:tc>
          <w:tcPr>
            <w:tcW w:w="3621" w:type="dxa"/>
          </w:tcPr>
          <w:p w14:paraId="6CC51D2E" w14:textId="154F8CD9" w:rsidR="008116D8" w:rsidRPr="00BB6413" w:rsidRDefault="008116D8" w:rsidP="000F4969">
            <w:r w:rsidRPr="00BB6413">
              <w:t>Auth</w:t>
            </w:r>
            <w:r w:rsidRPr="000F4969">
              <w:t xml:space="preserve">orised and </w:t>
            </w:r>
            <w:r w:rsidRPr="0005708D">
              <w:rPr>
                <w:spacing w:val="-2"/>
              </w:rPr>
              <w:t>published by the Victorian</w:t>
            </w:r>
            <w:r w:rsidRPr="00564975">
              <w:t xml:space="preserve"> Government, </w:t>
            </w:r>
            <w:r w:rsidR="00956885">
              <w:br/>
            </w:r>
            <w:r w:rsidRPr="00BB6413">
              <w:t>1 Treasury Place, Melbourne.</w:t>
            </w:r>
          </w:p>
          <w:p w14:paraId="60FD6BD0" w14:textId="62B55860" w:rsidR="008116D8" w:rsidRPr="0005708D" w:rsidRDefault="008116D8" w:rsidP="0005708D">
            <w:r w:rsidRPr="000F4969">
              <w:t xml:space="preserve">© State of Victoria, Australia, </w:t>
            </w:r>
            <w:r w:rsidR="00956885">
              <w:br/>
            </w:r>
            <w:r w:rsidRPr="00BB6413">
              <w:t>Safer Care Victoria,</w:t>
            </w:r>
            <w:r w:rsidR="00F33DB6" w:rsidRPr="000F4969">
              <w:t xml:space="preserve"> Ju</w:t>
            </w:r>
            <w:r w:rsidR="00963B75">
              <w:t>ly</w:t>
            </w:r>
            <w:r w:rsidR="00F33DB6" w:rsidRPr="000F4969">
              <w:t xml:space="preserve"> 2019.</w:t>
            </w:r>
          </w:p>
          <w:p w14:paraId="751DFF5F" w14:textId="620C4665" w:rsidR="008116D8" w:rsidRPr="00B118B1" w:rsidRDefault="00C03A72" w:rsidP="00564975">
            <w:pPr>
              <w:rPr>
                <w:szCs w:val="15"/>
              </w:rPr>
            </w:pPr>
            <w:r w:rsidRPr="00B118B1">
              <w:t>ISBN 978-1-76069-950-5 (pdf/online/MS word)</w:t>
            </w:r>
          </w:p>
          <w:p w14:paraId="1ADAE689" w14:textId="5AC82B07" w:rsidR="008116D8" w:rsidRPr="0005708D" w:rsidRDefault="008116D8" w:rsidP="00564975">
            <w:r w:rsidRPr="00564975">
              <w:t xml:space="preserve">Available at </w:t>
            </w:r>
            <w:hyperlink r:id="rId13" w:history="1">
              <w:r w:rsidRPr="00343A2D">
                <w:t>safercare.vic</w:t>
              </w:r>
            </w:hyperlink>
            <w:r w:rsidRPr="00343A2D">
              <w:t>.gov.au</w:t>
            </w:r>
            <w:r w:rsidRPr="00BB6413">
              <w:rPr>
                <w:color w:val="4382B9"/>
              </w:rPr>
              <w:t xml:space="preserve"> </w:t>
            </w:r>
          </w:p>
        </w:tc>
        <w:tc>
          <w:tcPr>
            <w:tcW w:w="2484" w:type="dxa"/>
          </w:tcPr>
          <w:p w14:paraId="5ACAD588" w14:textId="77777777" w:rsidR="008116D8" w:rsidRPr="00736C0C" w:rsidRDefault="008116D8" w:rsidP="00564975">
            <w:r w:rsidRPr="00736C0C">
              <w:rPr>
                <w:noProof/>
              </w:rPr>
              <w:drawing>
                <wp:inline distT="0" distB="0" distL="0" distR="0" wp14:anchorId="2BE0ACB4" wp14:editId="5DF8CDF2">
                  <wp:extent cx="795600" cy="453600"/>
                  <wp:effectExtent l="0" t="0" r="5080" b="381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ic State Governmen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00" cy="45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BCAA8" w14:textId="4EF82E4A" w:rsidR="00985A3B" w:rsidRDefault="007C4073">
      <w:r>
        <w:fldChar w:fldCharType="begin"/>
      </w:r>
      <w:r>
        <w:instrText xml:space="preserve"> Macrobutton NoMacro  </w:instrText>
      </w:r>
      <w:r>
        <w:fldChar w:fldCharType="end"/>
      </w:r>
      <w:r>
        <w:rPr>
          <w:noProof/>
        </w:rPr>
        <w:drawing>
          <wp:anchor distT="0" distB="0" distL="114300" distR="114300" simplePos="0" relativeHeight="251661312" behindDoc="1" locked="1" layoutInCell="1" allowOverlap="1" wp14:anchorId="06653194" wp14:editId="732BA7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side artwor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CC315" w14:textId="57F64F44" w:rsidR="00985A3B" w:rsidRDefault="00985A3B">
      <w:r>
        <w:br w:type="page"/>
      </w:r>
    </w:p>
    <w:p w14:paraId="0F9951D8" w14:textId="77777777" w:rsidR="0086277A" w:rsidRDefault="0086277A">
      <w:pPr>
        <w:sectPr w:rsidR="0086277A" w:rsidSect="007C4073">
          <w:headerReference w:type="first" r:id="rId16"/>
          <w:footerReference w:type="first" r:id="rId17"/>
          <w:pgSz w:w="11906" w:h="16838" w:code="9"/>
          <w:pgMar w:top="3402" w:right="851" w:bottom="1361" w:left="851" w:header="539" w:footer="624" w:gutter="0"/>
          <w:cols w:num="2" w:space="284"/>
          <w:docGrid w:linePitch="360"/>
        </w:sectPr>
      </w:pPr>
    </w:p>
    <w:sdt>
      <w:sdtPr>
        <w:rPr>
          <w:rFonts w:ascii="VIC" w:eastAsiaTheme="minorEastAsia" w:hAnsi="VIC" w:cstheme="minorBidi"/>
          <w:bCs w:val="0"/>
          <w:color w:val="auto"/>
          <w:spacing w:val="0"/>
          <w:sz w:val="20"/>
          <w:szCs w:val="20"/>
        </w:rPr>
        <w:id w:val="1103606702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1DF01826" w14:textId="4F32EB9A" w:rsidR="00774A9D" w:rsidRDefault="00774A9D">
          <w:pPr>
            <w:pStyle w:val="TOCHeading"/>
            <w:framePr w:wrap="around"/>
          </w:pPr>
          <w:r>
            <w:t>Contents</w:t>
          </w:r>
        </w:p>
        <w:p w14:paraId="783A37FF" w14:textId="5EC0195C" w:rsidR="00876E2A" w:rsidRPr="00876E2A" w:rsidRDefault="00774A9D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7103955" w:history="1">
            <w:r w:rsidR="00876E2A" w:rsidRPr="00876E2A">
              <w:rPr>
                <w:rStyle w:val="Hyperlink"/>
                <w:b w:val="0"/>
              </w:rPr>
              <w:t>About this report</w:t>
            </w:r>
            <w:r w:rsidR="00876E2A" w:rsidRPr="00876E2A">
              <w:rPr>
                <w:b w:val="0"/>
                <w:webHidden/>
              </w:rPr>
              <w:tab/>
            </w:r>
            <w:r w:rsidR="00876E2A" w:rsidRPr="00876E2A">
              <w:rPr>
                <w:b w:val="0"/>
                <w:webHidden/>
              </w:rPr>
              <w:fldChar w:fldCharType="begin"/>
            </w:r>
            <w:r w:rsidR="00876E2A" w:rsidRPr="00876E2A">
              <w:rPr>
                <w:b w:val="0"/>
                <w:webHidden/>
              </w:rPr>
              <w:instrText xml:space="preserve"> PAGEREF _Toc17103955 \h </w:instrText>
            </w:r>
            <w:r w:rsidR="00876E2A" w:rsidRPr="00876E2A">
              <w:rPr>
                <w:b w:val="0"/>
                <w:webHidden/>
              </w:rPr>
            </w:r>
            <w:r w:rsidR="00876E2A" w:rsidRPr="00876E2A">
              <w:rPr>
                <w:b w:val="0"/>
                <w:webHidden/>
              </w:rPr>
              <w:fldChar w:fldCharType="separate"/>
            </w:r>
            <w:r w:rsidR="00876E2A" w:rsidRPr="00876E2A">
              <w:rPr>
                <w:b w:val="0"/>
                <w:webHidden/>
              </w:rPr>
              <w:t>5</w:t>
            </w:r>
            <w:r w:rsidR="00876E2A" w:rsidRPr="00876E2A">
              <w:rPr>
                <w:b w:val="0"/>
                <w:webHidden/>
              </w:rPr>
              <w:fldChar w:fldCharType="end"/>
            </w:r>
          </w:hyperlink>
        </w:p>
        <w:p w14:paraId="6C8317E9" w14:textId="16F6BA61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56" w:history="1">
            <w:r w:rsidRPr="00876E2A">
              <w:rPr>
                <w:rStyle w:val="Hyperlink"/>
                <w:b w:val="0"/>
              </w:rPr>
              <w:t>Summary of recommended changes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_Toc17103956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6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7C394398" w14:textId="561B7B11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57" w:history="1">
            <w:r w:rsidRPr="00876E2A">
              <w:rPr>
                <w:rStyle w:val="Hyperlink"/>
                <w:b w:val="0"/>
              </w:rPr>
              <w:t>Key performance indicator 1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_Toc17103957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7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3BE32B76" w14:textId="7EF56439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58" w:history="1">
            <w:r w:rsidRPr="00876E2A">
              <w:rPr>
                <w:rStyle w:val="Hyperlink"/>
                <w:b w:val="0"/>
              </w:rPr>
              <w:t>Key performance indicator 1a (SURE test) pilot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_Toc17103958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9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1507107B" w14:textId="79B05EC0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59" w:history="1">
            <w:r w:rsidRPr="00876E2A">
              <w:rPr>
                <w:rStyle w:val="Hyperlink"/>
                <w:b w:val="0"/>
              </w:rPr>
              <w:t>Key performance indicator 2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_Toc17103959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11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4B100484" w14:textId="39E8C75C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60" w:history="1">
            <w:r w:rsidRPr="00876E2A">
              <w:rPr>
                <w:rStyle w:val="Hyperlink"/>
                <w:b w:val="0"/>
              </w:rPr>
              <w:t>Key performance indicator 3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_Toc17103960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14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408A20E2" w14:textId="5D6C3D11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61" w:history="1">
            <w:r w:rsidRPr="00876E2A">
              <w:rPr>
                <w:rStyle w:val="Hyperlink"/>
                <w:b w:val="0"/>
              </w:rPr>
              <w:t>Key performance indicator 4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_Toc17103961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18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0E1C4B48" w14:textId="17D7AFA2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62" w:history="1">
            <w:r w:rsidRPr="00876E2A">
              <w:rPr>
                <w:rStyle w:val="Hyperlink"/>
                <w:b w:val="0"/>
              </w:rPr>
              <w:t>Key performance indicator 5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_Toc17103962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20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6E80C014" w14:textId="356790CA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63" w:history="1">
            <w:r w:rsidRPr="00876E2A">
              <w:rPr>
                <w:rStyle w:val="Hyperlink"/>
                <w:b w:val="0"/>
              </w:rPr>
              <w:t>Key performance indicator 6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_Toc17103963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23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5C559E93" w14:textId="23023C56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64" w:history="1">
            <w:r w:rsidRPr="00876E2A">
              <w:rPr>
                <w:rStyle w:val="Hyperlink"/>
                <w:b w:val="0"/>
              </w:rPr>
              <w:t>Patient-reported outcomes and experiences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_Toc17103964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26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5BB1490A" w14:textId="64C5F8DE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65" w:history="1">
            <w:r w:rsidRPr="00876E2A">
              <w:rPr>
                <w:rStyle w:val="Hyperlink"/>
                <w:b w:val="0"/>
              </w:rPr>
              <w:t>ANZDATA registry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_Toc17103965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28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3B4BE418" w14:textId="77FAFE0F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66" w:history="1">
            <w:r w:rsidRPr="00876E2A">
              <w:rPr>
                <w:rStyle w:val="Hyperlink"/>
                <w:b w:val="0"/>
              </w:rPr>
              <w:t>Potential new quality indicators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_Toc17103966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30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697A2FED" w14:textId="140241F4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67" w:history="1">
            <w:r w:rsidRPr="00876E2A">
              <w:rPr>
                <w:rStyle w:val="Hyperlink"/>
                <w:b w:val="0"/>
              </w:rPr>
              <w:t>Next steps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_Toc17103967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32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0F8D94AE" w14:textId="725D9959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68" w:history="1">
            <w:r w:rsidRPr="00876E2A">
              <w:rPr>
                <w:rStyle w:val="Hyperlink"/>
                <w:b w:val="0"/>
              </w:rPr>
              <w:t>Appendices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_Toc17103968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33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458D9B2C" w14:textId="0B261C08" w:rsidR="00876E2A" w:rsidRPr="00876E2A" w:rsidRDefault="00876E2A">
          <w:pPr>
            <w:pStyle w:val="TOC1"/>
            <w:rPr>
              <w:rFonts w:asciiTheme="minorHAnsi" w:hAnsiTheme="minorHAnsi"/>
              <w:b w:val="0"/>
              <w:sz w:val="22"/>
              <w:szCs w:val="22"/>
              <w:lang w:eastAsia="en-AU"/>
            </w:rPr>
          </w:pPr>
          <w:hyperlink w:anchor="_Toc17103969" w:history="1">
            <w:r w:rsidRPr="00876E2A">
              <w:rPr>
                <w:rStyle w:val="Hyperlink"/>
                <w:b w:val="0"/>
              </w:rPr>
              <w:t>References</w:t>
            </w:r>
            <w:r w:rsidRPr="00876E2A">
              <w:rPr>
                <w:b w:val="0"/>
                <w:webHidden/>
              </w:rPr>
              <w:tab/>
            </w:r>
            <w:r w:rsidRPr="00876E2A">
              <w:rPr>
                <w:b w:val="0"/>
                <w:webHidden/>
              </w:rPr>
              <w:fldChar w:fldCharType="begin"/>
            </w:r>
            <w:r w:rsidRPr="00876E2A">
              <w:rPr>
                <w:b w:val="0"/>
                <w:webHidden/>
              </w:rPr>
              <w:instrText xml:space="preserve"> PAGEREF _Toc17103969 \h </w:instrText>
            </w:r>
            <w:r w:rsidRPr="00876E2A">
              <w:rPr>
                <w:b w:val="0"/>
                <w:webHidden/>
              </w:rPr>
            </w:r>
            <w:r w:rsidRPr="00876E2A">
              <w:rPr>
                <w:b w:val="0"/>
                <w:webHidden/>
              </w:rPr>
              <w:fldChar w:fldCharType="separate"/>
            </w:r>
            <w:r w:rsidRPr="00876E2A">
              <w:rPr>
                <w:b w:val="0"/>
                <w:webHidden/>
              </w:rPr>
              <w:t>59</w:t>
            </w:r>
            <w:r w:rsidRPr="00876E2A">
              <w:rPr>
                <w:b w:val="0"/>
                <w:webHidden/>
              </w:rPr>
              <w:fldChar w:fldCharType="end"/>
            </w:r>
          </w:hyperlink>
        </w:p>
        <w:p w14:paraId="1EDB1BB6" w14:textId="55E974FF" w:rsidR="00774A9D" w:rsidRDefault="00774A9D" w:rsidP="00F13A1B">
          <w:pPr>
            <w:spacing w:before="120" w:after="120"/>
          </w:pPr>
          <w:r>
            <w:fldChar w:fldCharType="end"/>
          </w:r>
        </w:p>
      </w:sdtContent>
    </w:sdt>
    <w:p w14:paraId="6330A2DE" w14:textId="77777777" w:rsidR="002D21A6" w:rsidRDefault="002D21A6" w:rsidP="00343A2D">
      <w:pPr>
        <w:rPr>
          <w:rFonts w:eastAsia="Times New Roman"/>
          <w:sz w:val="24"/>
          <w:szCs w:val="26"/>
        </w:rPr>
      </w:pPr>
      <w:r>
        <w:rPr>
          <w:rFonts w:eastAsia="Times New Roman"/>
        </w:rPr>
        <w:br w:type="page"/>
      </w:r>
      <w:bookmarkStart w:id="0" w:name="_GoBack"/>
      <w:bookmarkEnd w:id="0"/>
    </w:p>
    <w:p w14:paraId="2CB3F5A4" w14:textId="368CF282" w:rsidR="00DF7280" w:rsidRPr="00BB6413" w:rsidRDefault="00104428">
      <w:pPr>
        <w:pStyle w:val="Heading2"/>
      </w:pPr>
      <w:r>
        <w:lastRenderedPageBreak/>
        <w:t>A</w:t>
      </w:r>
      <w:r w:rsidR="00DF7280" w:rsidRPr="00BB6413">
        <w:t>bbreviations</w:t>
      </w:r>
    </w:p>
    <w:p w14:paraId="0EE36FFE" w14:textId="77777777" w:rsidR="00DF7280" w:rsidRPr="00BB6413" w:rsidRDefault="00DF7280">
      <w:r w:rsidRPr="00BB6413">
        <w:t>AKX</w:t>
      </w:r>
      <w:r w:rsidRPr="00BB6413">
        <w:tab/>
      </w:r>
      <w:r w:rsidRPr="00BB6413">
        <w:tab/>
        <w:t>Australian Paired Kidney Exchange Program</w:t>
      </w:r>
    </w:p>
    <w:p w14:paraId="464C2DD4" w14:textId="77777777" w:rsidR="00DF7280" w:rsidRPr="000F4969" w:rsidRDefault="00DF7280">
      <w:r w:rsidRPr="000F4969">
        <w:t>ANZDATA</w:t>
      </w:r>
      <w:r w:rsidRPr="000F4969">
        <w:tab/>
        <w:t>Australian and New Zealand Dialysis and Transplant Registry</w:t>
      </w:r>
    </w:p>
    <w:p w14:paraId="7386ED96" w14:textId="77777777" w:rsidR="00DF7280" w:rsidRPr="0005708D" w:rsidRDefault="00DF7280">
      <w:r w:rsidRPr="0005708D">
        <w:t>AVF</w:t>
      </w:r>
      <w:r w:rsidRPr="0005708D">
        <w:tab/>
      </w:r>
      <w:r w:rsidRPr="0005708D">
        <w:tab/>
        <w:t>arteriovenous fistula</w:t>
      </w:r>
    </w:p>
    <w:p w14:paraId="1A558FF3" w14:textId="77777777" w:rsidR="00DF7280" w:rsidRPr="00DF7280" w:rsidRDefault="00DF7280">
      <w:r w:rsidRPr="00DF7280">
        <w:t>AVG</w:t>
      </w:r>
      <w:r w:rsidRPr="00DF7280">
        <w:tab/>
      </w:r>
      <w:r w:rsidRPr="00DF7280">
        <w:tab/>
        <w:t>arteriovenous graft</w:t>
      </w:r>
    </w:p>
    <w:p w14:paraId="65B30F84" w14:textId="1334B900" w:rsidR="006F01F4" w:rsidRDefault="006F01F4">
      <w:r>
        <w:t>CALD</w:t>
      </w:r>
      <w:r>
        <w:tab/>
      </w:r>
      <w:r>
        <w:tab/>
      </w:r>
      <w:r w:rsidRPr="00B1282F">
        <w:t>culturally and linguistically diverse</w:t>
      </w:r>
    </w:p>
    <w:p w14:paraId="5F802BE0" w14:textId="10A359A7" w:rsidR="00DF7280" w:rsidRPr="00DF7280" w:rsidRDefault="00DF7280">
      <w:r w:rsidRPr="00DF7280">
        <w:t>CKD</w:t>
      </w:r>
      <w:r w:rsidRPr="00DF7280">
        <w:tab/>
      </w:r>
      <w:r w:rsidRPr="00DF7280">
        <w:tab/>
        <w:t>chronic kidney disease</w:t>
      </w:r>
    </w:p>
    <w:p w14:paraId="53201EF8" w14:textId="77777777" w:rsidR="00DF7280" w:rsidRPr="00DF7280" w:rsidRDefault="00DF7280">
      <w:r w:rsidRPr="00DF7280">
        <w:t>CVC</w:t>
      </w:r>
      <w:r w:rsidRPr="00DF7280">
        <w:tab/>
      </w:r>
      <w:r w:rsidRPr="00DF7280">
        <w:tab/>
        <w:t>central venous catheter</w:t>
      </w:r>
    </w:p>
    <w:p w14:paraId="1250EDD5" w14:textId="77777777" w:rsidR="00DF7280" w:rsidRPr="00DF7280" w:rsidRDefault="00DF7280">
      <w:r w:rsidRPr="00DF7280">
        <w:t>ESKD</w:t>
      </w:r>
      <w:r w:rsidRPr="00DF7280">
        <w:tab/>
      </w:r>
      <w:r w:rsidRPr="00DF7280">
        <w:tab/>
        <w:t>end-stage kidney disease</w:t>
      </w:r>
    </w:p>
    <w:p w14:paraId="0EB02ED8" w14:textId="008F1773" w:rsidR="00DF7280" w:rsidRPr="00DF7280" w:rsidRDefault="00DF7280">
      <w:r w:rsidRPr="00DF7280">
        <w:t>ICHOM</w:t>
      </w:r>
      <w:r w:rsidRPr="00DF7280">
        <w:tab/>
      </w:r>
      <w:r w:rsidRPr="00DF7280">
        <w:tab/>
        <w:t xml:space="preserve">International Consortium </w:t>
      </w:r>
      <w:r w:rsidR="00F1134B">
        <w:t>for</w:t>
      </w:r>
      <w:r w:rsidRPr="00DF7280">
        <w:t xml:space="preserve"> Health Outcome</w:t>
      </w:r>
      <w:r w:rsidR="00F1134B">
        <w:t>s</w:t>
      </w:r>
      <w:r w:rsidRPr="00DF7280">
        <w:t xml:space="preserve"> Measur</w:t>
      </w:r>
      <w:r w:rsidR="00F1134B">
        <w:t>ement</w:t>
      </w:r>
    </w:p>
    <w:p w14:paraId="1801CFD1" w14:textId="77777777" w:rsidR="00DF7280" w:rsidRPr="00DF7280" w:rsidRDefault="00DF7280">
      <w:r w:rsidRPr="00DF7280">
        <w:t>ISPD</w:t>
      </w:r>
      <w:r w:rsidRPr="00DF7280">
        <w:tab/>
      </w:r>
      <w:r w:rsidRPr="00DF7280">
        <w:tab/>
        <w:t xml:space="preserve">International Society of Peritoneal Dialysis </w:t>
      </w:r>
    </w:p>
    <w:p w14:paraId="188E3302" w14:textId="77777777" w:rsidR="00DF7280" w:rsidRPr="00DF7280" w:rsidRDefault="00DF7280">
      <w:r w:rsidRPr="00DF7280">
        <w:t>KPI</w:t>
      </w:r>
      <w:r w:rsidRPr="00DF7280">
        <w:tab/>
      </w:r>
      <w:r w:rsidRPr="00DF7280">
        <w:tab/>
        <w:t>key performance indicator</w:t>
      </w:r>
    </w:p>
    <w:p w14:paraId="70453938" w14:textId="77777777" w:rsidR="00DF7280" w:rsidRPr="00DF7280" w:rsidRDefault="00DF7280">
      <w:r w:rsidRPr="00DF7280">
        <w:t>PREM</w:t>
      </w:r>
      <w:r w:rsidRPr="00DF7280">
        <w:tab/>
      </w:r>
      <w:r w:rsidRPr="00DF7280">
        <w:tab/>
        <w:t>patient-reported experience measure</w:t>
      </w:r>
    </w:p>
    <w:p w14:paraId="2AB0FF19" w14:textId="77777777" w:rsidR="00DF7280" w:rsidRPr="00DF7280" w:rsidRDefault="00DF7280">
      <w:r w:rsidRPr="00DF7280">
        <w:t>PROM</w:t>
      </w:r>
      <w:r w:rsidRPr="00DF7280">
        <w:tab/>
      </w:r>
      <w:r w:rsidRPr="00DF7280">
        <w:tab/>
        <w:t>patient-reported outcome measure</w:t>
      </w:r>
    </w:p>
    <w:p w14:paraId="63372F55" w14:textId="77777777" w:rsidR="00DF7280" w:rsidRPr="00DF7280" w:rsidRDefault="00DF7280">
      <w:r w:rsidRPr="00DF7280">
        <w:t>RRT</w:t>
      </w:r>
      <w:r w:rsidRPr="00DF7280">
        <w:tab/>
      </w:r>
      <w:r w:rsidRPr="00DF7280">
        <w:tab/>
        <w:t>renal replacement therapy</w:t>
      </w:r>
    </w:p>
    <w:p w14:paraId="764E5789" w14:textId="77777777" w:rsidR="00DF7280" w:rsidRPr="00DF7280" w:rsidRDefault="00DF7280">
      <w:r w:rsidRPr="00DF7280">
        <w:t>SCV</w:t>
      </w:r>
      <w:r w:rsidRPr="00DF7280">
        <w:tab/>
      </w:r>
      <w:r w:rsidRPr="00DF7280">
        <w:tab/>
        <w:t>Safer Care Victoria</w:t>
      </w:r>
    </w:p>
    <w:p w14:paraId="36812525" w14:textId="77777777" w:rsidR="00DF7280" w:rsidRPr="00DF7280" w:rsidRDefault="00DF7280">
      <w:r w:rsidRPr="00DF7280">
        <w:t>SMR</w:t>
      </w:r>
      <w:r w:rsidRPr="00DF7280">
        <w:tab/>
      </w:r>
      <w:r w:rsidRPr="00DF7280">
        <w:tab/>
        <w:t>standardised mortality ratio</w:t>
      </w:r>
    </w:p>
    <w:p w14:paraId="137AD862" w14:textId="77777777" w:rsidR="00DF7280" w:rsidRPr="00DF7280" w:rsidRDefault="00DF7280">
      <w:r w:rsidRPr="00DF7280">
        <w:t>SURE test</w:t>
      </w:r>
      <w:r w:rsidRPr="00DF7280">
        <w:tab/>
        <w:t>Sure of myself; Understand information; Risk-benefit ratio; and Encouragement test</w:t>
      </w:r>
    </w:p>
    <w:p w14:paraId="28780582" w14:textId="77777777" w:rsidR="008B7FE0" w:rsidRDefault="008B7FE0">
      <w:pPr>
        <w:rPr>
          <w:noProof/>
          <w:lang w:eastAsia="en-US"/>
        </w:rPr>
      </w:pPr>
      <w:r>
        <w:rPr>
          <w:noProof/>
          <w:lang w:eastAsia="en-US"/>
        </w:rPr>
        <w:br w:type="page"/>
      </w:r>
    </w:p>
    <w:p w14:paraId="1F78033A" w14:textId="65479488" w:rsidR="008B7FE0" w:rsidRPr="00BB6413" w:rsidRDefault="00BB219D">
      <w:pPr>
        <w:pStyle w:val="Heading1"/>
        <w:framePr w:wrap="around"/>
      </w:pPr>
      <w:bookmarkStart w:id="1" w:name="_Toc17103955"/>
      <w:r w:rsidRPr="00343A2D">
        <w:lastRenderedPageBreak/>
        <w:t>About this report</w:t>
      </w:r>
      <w:bookmarkEnd w:id="1"/>
    </w:p>
    <w:p w14:paraId="2D2205B3" w14:textId="60FC1F1B" w:rsidR="00A402C6" w:rsidRPr="00343A2D" w:rsidRDefault="00564975" w:rsidP="00091CDF">
      <w:pPr>
        <w:pStyle w:val="IntroductoryText"/>
      </w:pPr>
      <w:r>
        <w:t>R</w:t>
      </w:r>
      <w:r w:rsidR="00133C22" w:rsidRPr="00956885">
        <w:t xml:space="preserve">enal </w:t>
      </w:r>
      <w:r w:rsidR="0094588B" w:rsidRPr="00BB6413">
        <w:t>k</w:t>
      </w:r>
      <w:r w:rsidR="00133C22" w:rsidRPr="000F4969">
        <w:t xml:space="preserve">ey </w:t>
      </w:r>
      <w:r w:rsidR="0094588B" w:rsidRPr="0005708D">
        <w:t>p</w:t>
      </w:r>
      <w:r w:rsidR="00133C22" w:rsidRPr="00564975">
        <w:t xml:space="preserve">erformance </w:t>
      </w:r>
      <w:r w:rsidR="0094588B" w:rsidRPr="00564975">
        <w:t>i</w:t>
      </w:r>
      <w:r w:rsidR="00133C22" w:rsidRPr="00564975">
        <w:t>ndicators (KPIs</w:t>
      </w:r>
      <w:r w:rsidR="0094588B" w:rsidRPr="00564975">
        <w:t>)</w:t>
      </w:r>
      <w:r w:rsidR="00133C22" w:rsidRPr="00564975">
        <w:t xml:space="preserve"> were established in 2012 to drive service improvement</w:t>
      </w:r>
      <w:r w:rsidR="00133C22" w:rsidRPr="00B1282F">
        <w:t xml:space="preserve">. </w:t>
      </w:r>
      <w:r w:rsidR="00BB219D" w:rsidRPr="00343A2D">
        <w:t>S</w:t>
      </w:r>
      <w:r w:rsidR="00A531CD" w:rsidRPr="00343A2D">
        <w:t xml:space="preserve">afer </w:t>
      </w:r>
      <w:r w:rsidR="00BB219D" w:rsidRPr="00343A2D">
        <w:t>C</w:t>
      </w:r>
      <w:r w:rsidR="00A531CD" w:rsidRPr="00343A2D">
        <w:t xml:space="preserve">are </w:t>
      </w:r>
      <w:r w:rsidR="00BB219D" w:rsidRPr="00343A2D">
        <w:t>V</w:t>
      </w:r>
      <w:r w:rsidR="00A531CD" w:rsidRPr="00343A2D">
        <w:t>ictoria (SCV)</w:t>
      </w:r>
      <w:r w:rsidR="00BB219D" w:rsidRPr="00343A2D">
        <w:t xml:space="preserve"> </w:t>
      </w:r>
      <w:r w:rsidR="00A531CD" w:rsidRPr="00343A2D">
        <w:t>produces</w:t>
      </w:r>
      <w:r w:rsidR="00BB219D" w:rsidRPr="00343A2D">
        <w:t xml:space="preserve"> </w:t>
      </w:r>
      <w:r w:rsidR="00B712F3">
        <w:t xml:space="preserve">quarterly </w:t>
      </w:r>
      <w:r w:rsidR="00BB219D" w:rsidRPr="00343A2D">
        <w:t>KPI</w:t>
      </w:r>
      <w:r w:rsidR="00726F68">
        <w:t xml:space="preserve"> </w:t>
      </w:r>
      <w:r w:rsidR="00BB219D" w:rsidRPr="00343A2D">
        <w:t xml:space="preserve">reports </w:t>
      </w:r>
      <w:r w:rsidR="00B712F3">
        <w:t>that compare</w:t>
      </w:r>
      <w:r w:rsidR="00A531CD" w:rsidRPr="00343A2D">
        <w:t xml:space="preserve"> how </w:t>
      </w:r>
      <w:r w:rsidR="00B712F3">
        <w:t xml:space="preserve">the state’s </w:t>
      </w:r>
      <w:r w:rsidR="00A531CD" w:rsidRPr="00343A2D">
        <w:t>renal service</w:t>
      </w:r>
      <w:r w:rsidR="000907A1" w:rsidRPr="00343A2D">
        <w:t>s</w:t>
      </w:r>
      <w:r w:rsidR="00A531CD" w:rsidRPr="00343A2D">
        <w:t xml:space="preserve"> are</w:t>
      </w:r>
      <w:r w:rsidR="00BB219D" w:rsidRPr="00343A2D">
        <w:t xml:space="preserve"> perform</w:t>
      </w:r>
      <w:r w:rsidR="00440F01" w:rsidRPr="00343A2D">
        <w:t>ing</w:t>
      </w:r>
      <w:r w:rsidR="00BB219D" w:rsidRPr="00343A2D">
        <w:t xml:space="preserve"> against these measures. </w:t>
      </w:r>
      <w:r w:rsidR="00B712F3">
        <w:t>T</w:t>
      </w:r>
      <w:r w:rsidR="00B712F3" w:rsidRPr="00343A2D">
        <w:t>o make sure the</w:t>
      </w:r>
      <w:r w:rsidR="00B712F3">
        <w:t xml:space="preserve"> measures</w:t>
      </w:r>
      <w:r w:rsidR="00B712F3" w:rsidRPr="00343A2D">
        <w:t xml:space="preserve"> are appropriate and useful</w:t>
      </w:r>
      <w:r w:rsidR="00B712F3">
        <w:t xml:space="preserve">, we have reviewed </w:t>
      </w:r>
      <w:r w:rsidR="00A402C6" w:rsidRPr="00343A2D">
        <w:t>the</w:t>
      </w:r>
      <w:r w:rsidR="00440F01" w:rsidRPr="00343A2D">
        <w:t xml:space="preserve"> renal KPIs. </w:t>
      </w:r>
      <w:r w:rsidR="00B712F3">
        <w:t>This report shares our findings,</w:t>
      </w:r>
      <w:r w:rsidR="00440F01" w:rsidRPr="00343A2D">
        <w:t xml:space="preserve"> </w:t>
      </w:r>
      <w:r w:rsidR="000907A1" w:rsidRPr="00343A2D">
        <w:t xml:space="preserve">recommended </w:t>
      </w:r>
      <w:r w:rsidR="00440F01" w:rsidRPr="00343A2D">
        <w:t>changes and opportunities to improve</w:t>
      </w:r>
      <w:r w:rsidR="00B712F3">
        <w:t xml:space="preserve"> performance reporting</w:t>
      </w:r>
      <w:r w:rsidR="00440F01" w:rsidRPr="00343A2D">
        <w:t>.</w:t>
      </w:r>
    </w:p>
    <w:p w14:paraId="21E993F6" w14:textId="77777777" w:rsidR="008D0EFD" w:rsidRDefault="008D0EFD" w:rsidP="00343A2D">
      <w:pPr>
        <w:pStyle w:val="Heading2"/>
        <w:sectPr w:rsidR="008D0EFD" w:rsidSect="00D858D5">
          <w:type w:val="continuous"/>
          <w:pgSz w:w="11906" w:h="16838" w:code="9"/>
          <w:pgMar w:top="3402" w:right="851" w:bottom="1361" w:left="851" w:header="539" w:footer="624" w:gutter="0"/>
          <w:cols w:space="284"/>
          <w:docGrid w:linePitch="360"/>
        </w:sectPr>
      </w:pPr>
    </w:p>
    <w:p w14:paraId="273BF527" w14:textId="53F610A6" w:rsidR="005D70D3" w:rsidRPr="002B61FA" w:rsidRDefault="005D70D3" w:rsidP="00343A2D">
      <w:pPr>
        <w:pStyle w:val="Heading2"/>
      </w:pPr>
      <w:r w:rsidRPr="00BD48B8">
        <w:t>How to read this report</w:t>
      </w:r>
    </w:p>
    <w:p w14:paraId="4FB96EF2" w14:textId="7EC1A42E" w:rsidR="00CE53F1" w:rsidRPr="000A0815" w:rsidRDefault="00CE53F1">
      <w:pPr>
        <w:pStyle w:val="Normalfollowingheading"/>
      </w:pPr>
      <w:r w:rsidRPr="000A0815">
        <w:t xml:space="preserve">This report is structured around </w:t>
      </w:r>
      <w:r w:rsidR="00B712F3" w:rsidRPr="000A0815">
        <w:t>the six</w:t>
      </w:r>
      <w:r w:rsidRPr="000A0815">
        <w:t xml:space="preserve"> KPI</w:t>
      </w:r>
      <w:r w:rsidR="00B712F3" w:rsidRPr="000A0815">
        <w:t>s</w:t>
      </w:r>
      <w:r w:rsidRPr="000A0815">
        <w:t xml:space="preserve">. </w:t>
      </w:r>
      <w:r w:rsidR="002E269F" w:rsidRPr="000A0815">
        <w:t xml:space="preserve">In each section you will find the definition and targets, reasons for variation, assessment of </w:t>
      </w:r>
      <w:r w:rsidR="00D06866">
        <w:t xml:space="preserve">evidence and </w:t>
      </w:r>
      <w:r w:rsidR="002E269F" w:rsidRPr="000A0815">
        <w:t>performance</w:t>
      </w:r>
      <w:r w:rsidR="005959E2">
        <w:t>,</w:t>
      </w:r>
      <w:r w:rsidR="002E269F" w:rsidRPr="000A0815">
        <w:t xml:space="preserve"> and recommendations.</w:t>
      </w:r>
    </w:p>
    <w:p w14:paraId="6A72CE64" w14:textId="2276FE28" w:rsidR="00183902" w:rsidRPr="009110F5" w:rsidRDefault="00AC5B5F" w:rsidP="009110F5">
      <w:r w:rsidRPr="00497F6D">
        <w:t>This report also discusses</w:t>
      </w:r>
      <w:r w:rsidR="007A42D9" w:rsidRPr="00497F6D">
        <w:t xml:space="preserve"> possible new KPIs,</w:t>
      </w:r>
      <w:r w:rsidRPr="00497F6D">
        <w:t xml:space="preserve"> the </w:t>
      </w:r>
      <w:r w:rsidR="007A42D9" w:rsidRPr="00497F6D">
        <w:t xml:space="preserve">role of the </w:t>
      </w:r>
      <w:r w:rsidRPr="00497F6D">
        <w:t>Australian and New Zealand Dialysis and Transplant Registry (ANZ</w:t>
      </w:r>
      <w:r w:rsidRPr="009110F5">
        <w:t>DATA) and patient-reported outcome and experience measures.</w:t>
      </w:r>
    </w:p>
    <w:p w14:paraId="66B6493C" w14:textId="1720DEF2" w:rsidR="0077213F" w:rsidRPr="00BB6413" w:rsidRDefault="00E36EE1" w:rsidP="00AC5B5F">
      <w:pPr>
        <w:pStyle w:val="Heading2"/>
      </w:pPr>
      <w:bookmarkStart w:id="2" w:name="_Toc531170292"/>
      <w:bookmarkStart w:id="3" w:name="_Toc8637193"/>
      <w:r w:rsidRPr="00343A2D">
        <w:t>Why a review?</w:t>
      </w:r>
    </w:p>
    <w:p w14:paraId="17311CBA" w14:textId="4EDCB2F8" w:rsidR="004E053B" w:rsidRPr="004E053B" w:rsidRDefault="00F8697D" w:rsidP="00497F6D">
      <w:pPr>
        <w:pStyle w:val="Normalfollowingheading"/>
      </w:pPr>
      <w:bookmarkStart w:id="4" w:name="_Toc10460649"/>
      <w:r w:rsidRPr="00F8697D">
        <w:t xml:space="preserve">Effective healthcare quality indicators </w:t>
      </w:r>
      <w:r w:rsidR="008D0EFD">
        <w:t xml:space="preserve">should </w:t>
      </w:r>
      <w:r w:rsidRPr="00F8697D">
        <w:t xml:space="preserve">drive improvements in </w:t>
      </w:r>
      <w:r w:rsidR="008D0EFD">
        <w:t xml:space="preserve">health </w:t>
      </w:r>
      <w:r w:rsidRPr="00F8697D">
        <w:t xml:space="preserve">outcomes. </w:t>
      </w:r>
      <w:r w:rsidR="00091CDF">
        <w:t>T</w:t>
      </w:r>
      <w:r w:rsidR="00091CDF" w:rsidRPr="00B1282F">
        <w:t xml:space="preserve">he </w:t>
      </w:r>
      <w:r>
        <w:t xml:space="preserve">renal </w:t>
      </w:r>
      <w:r w:rsidR="00091CDF" w:rsidRPr="00B1282F">
        <w:t xml:space="preserve">KPIs </w:t>
      </w:r>
      <w:r w:rsidR="00091CDF">
        <w:t xml:space="preserve">were established </w:t>
      </w:r>
      <w:r w:rsidR="00091CDF" w:rsidRPr="00B1282F">
        <w:t xml:space="preserve">in 2012 </w:t>
      </w:r>
      <w:r w:rsidR="00091CDF">
        <w:t xml:space="preserve">and have not been thoroughly reviewed since that time. </w:t>
      </w:r>
      <w:r w:rsidR="00AC5B5F">
        <w:t xml:space="preserve">This review seeks to determine if the </w:t>
      </w:r>
      <w:r w:rsidR="00AC5B5F" w:rsidRPr="00AC5B5F">
        <w:t>measures</w:t>
      </w:r>
      <w:r w:rsidR="00AC5B5F">
        <w:t xml:space="preserve"> a</w:t>
      </w:r>
      <w:r w:rsidR="00AC5B5F" w:rsidRPr="00AC5B5F">
        <w:t xml:space="preserve">re </w:t>
      </w:r>
      <w:r w:rsidR="00AC5B5F">
        <w:t xml:space="preserve">still </w:t>
      </w:r>
      <w:r w:rsidR="00AC5B5F" w:rsidRPr="00AC5B5F">
        <w:t>appropriate</w:t>
      </w:r>
      <w:r w:rsidR="00AC5B5F">
        <w:t>. There i</w:t>
      </w:r>
      <w:r w:rsidR="00091CDF">
        <w:t>s s</w:t>
      </w:r>
      <w:r w:rsidR="00091CDF" w:rsidRPr="00BB6413">
        <w:t xml:space="preserve">ome concern </w:t>
      </w:r>
      <w:r w:rsidR="00091CDF" w:rsidRPr="0005708D">
        <w:t xml:space="preserve">about </w:t>
      </w:r>
      <w:r w:rsidR="00091CDF">
        <w:t>the variation</w:t>
      </w:r>
      <w:r w:rsidR="00091CDF" w:rsidRPr="00BB6413">
        <w:t xml:space="preserve"> in </w:t>
      </w:r>
      <w:r w:rsidR="00091CDF" w:rsidRPr="0005708D">
        <w:t>performance of some</w:t>
      </w:r>
      <w:r w:rsidR="00091CDF" w:rsidRPr="00B1282F">
        <w:t xml:space="preserve"> KPIs, particularly those </w:t>
      </w:r>
      <w:r w:rsidR="00091CDF" w:rsidRPr="00F35A12">
        <w:t xml:space="preserve">which </w:t>
      </w:r>
      <w:r w:rsidR="00091CDF" w:rsidRPr="00343A2D">
        <w:t>ha</w:t>
      </w:r>
      <w:r w:rsidR="00091CDF">
        <w:t>ve not</w:t>
      </w:r>
      <w:r w:rsidR="00091CDF" w:rsidRPr="00BB6413">
        <w:t xml:space="preserve"> </w:t>
      </w:r>
      <w:r w:rsidR="00091CDF">
        <w:t>shown an</w:t>
      </w:r>
      <w:r w:rsidR="00091CDF" w:rsidRPr="00BB6413">
        <w:t xml:space="preserve"> </w:t>
      </w:r>
      <w:r w:rsidR="00091CDF" w:rsidRPr="000F4969">
        <w:t>overall performance improv</w:t>
      </w:r>
      <w:r w:rsidR="00091CDF" w:rsidRPr="0005708D">
        <w:t>ement for several years.</w:t>
      </w:r>
      <w:r w:rsidR="00091CDF" w:rsidRPr="00290AC2">
        <w:t xml:space="preserve"> </w:t>
      </w:r>
      <w:r w:rsidR="004E053B">
        <w:t xml:space="preserve">The quarterly reports are available on the </w:t>
      </w:r>
      <w:hyperlink r:id="rId18" w:history="1">
        <w:r w:rsidR="004E053B" w:rsidRPr="00497F6D">
          <w:rPr>
            <w:rStyle w:val="Hyperlink"/>
            <w:color w:val="007586" w:themeColor="text2"/>
          </w:rPr>
          <w:t>SCV website</w:t>
        </w:r>
      </w:hyperlink>
      <w:r w:rsidR="004E053B">
        <w:t>.</w:t>
      </w:r>
    </w:p>
    <w:p w14:paraId="1C17C5B1" w14:textId="4A2368FE" w:rsidR="00BF4A75" w:rsidRPr="009E2C5E" w:rsidRDefault="00BF4A75">
      <w:pPr>
        <w:pStyle w:val="Heading3"/>
      </w:pPr>
      <w:bookmarkStart w:id="5" w:name="_Toc531170295"/>
      <w:bookmarkStart w:id="6" w:name="_Toc8637196"/>
      <w:bookmarkStart w:id="7" w:name="_Toc10460652"/>
      <w:bookmarkEnd w:id="2"/>
      <w:bookmarkEnd w:id="3"/>
      <w:bookmarkEnd w:id="4"/>
      <w:r w:rsidRPr="000F4969">
        <w:t>Process</w:t>
      </w:r>
      <w:bookmarkEnd w:id="5"/>
      <w:bookmarkEnd w:id="6"/>
      <w:bookmarkEnd w:id="7"/>
    </w:p>
    <w:p w14:paraId="3825D6D0" w14:textId="38328D6B" w:rsidR="00107062" w:rsidRDefault="00592D08" w:rsidP="00107062">
      <w:pPr>
        <w:pStyle w:val="Normalfollowingheading"/>
      </w:pPr>
      <w:r>
        <w:t xml:space="preserve">In June 2018 the </w:t>
      </w:r>
      <w:r w:rsidR="00564975">
        <w:t xml:space="preserve">Renal Clinical Network </w:t>
      </w:r>
      <w:r w:rsidR="00FE1F2B">
        <w:t xml:space="preserve">surveyed </w:t>
      </w:r>
      <w:r w:rsidR="00AC5B5F">
        <w:t xml:space="preserve">key </w:t>
      </w:r>
      <w:r w:rsidR="00B2575A">
        <w:t>stakeholders</w:t>
      </w:r>
      <w:r w:rsidR="00FE1F2B">
        <w:t xml:space="preserve"> on the current performance of the KPIs.</w:t>
      </w:r>
      <w:r w:rsidR="00AC5B5F">
        <w:t xml:space="preserve"> </w:t>
      </w:r>
      <w:r w:rsidR="00FE1F2B" w:rsidRPr="00290AC2">
        <w:t>The survey was sent to heads of nephrology services in Victoria</w:t>
      </w:r>
      <w:r w:rsidR="00FE1F2B">
        <w:t xml:space="preserve"> and </w:t>
      </w:r>
      <w:r w:rsidR="00FE1F2B" w:rsidRPr="00290AC2">
        <w:t xml:space="preserve">members of the </w:t>
      </w:r>
      <w:r w:rsidR="00FE1F2B">
        <w:t>Renal Clinical Network</w:t>
      </w:r>
      <w:r w:rsidR="00C031EC">
        <w:t xml:space="preserve"> committees</w:t>
      </w:r>
      <w:r w:rsidR="00FE1F2B">
        <w:t xml:space="preserve">. </w:t>
      </w:r>
      <w:r w:rsidR="00FE1F2B" w:rsidRPr="00290AC2">
        <w:t xml:space="preserve">The results of the survey are summarised in </w:t>
      </w:r>
      <w:r w:rsidR="00FE1F2B" w:rsidRPr="00AC5B5F">
        <w:rPr>
          <w:b/>
        </w:rPr>
        <w:t>Appendix 1</w:t>
      </w:r>
      <w:r w:rsidR="00FE1F2B" w:rsidRPr="00290AC2">
        <w:t xml:space="preserve">. </w:t>
      </w:r>
      <w:r w:rsidR="00AC5B5F">
        <w:t>We then</w:t>
      </w:r>
      <w:r w:rsidR="00AC5B5F" w:rsidRPr="0036488A">
        <w:t xml:space="preserve"> held a forum to discuss the results of th</w:t>
      </w:r>
      <w:r w:rsidR="00AC5B5F">
        <w:t>e</w:t>
      </w:r>
      <w:r w:rsidR="00AC5B5F" w:rsidRPr="0036488A">
        <w:t xml:space="preserve"> survey</w:t>
      </w:r>
      <w:r w:rsidR="007239E4">
        <w:t>, involving a larger group of key stakeholders</w:t>
      </w:r>
      <w:r w:rsidR="00AC5B5F" w:rsidRPr="0036488A">
        <w:t>.</w:t>
      </w:r>
      <w:r w:rsidR="00107062" w:rsidRPr="00107062">
        <w:t xml:space="preserve"> </w:t>
      </w:r>
    </w:p>
    <w:p w14:paraId="1EAEC9FF" w14:textId="34B338EE" w:rsidR="00107062" w:rsidRDefault="008D0EFD" w:rsidP="00107062">
      <w:pPr>
        <w:pStyle w:val="Normalfollowingheading"/>
      </w:pPr>
      <w:r>
        <w:t>We assessed</w:t>
      </w:r>
      <w:r w:rsidR="00BF2C7D">
        <w:t xml:space="preserve"> the</w:t>
      </w:r>
      <w:r w:rsidR="00107062">
        <w:t xml:space="preserve"> choice of measure</w:t>
      </w:r>
      <w:r w:rsidR="00BF2C7D">
        <w:t>s</w:t>
      </w:r>
      <w:r w:rsidR="00107062">
        <w:t xml:space="preserve"> and the target thresholds</w:t>
      </w:r>
      <w:r w:rsidR="0017033D">
        <w:t>.</w:t>
      </w:r>
      <w:r w:rsidR="00BF2C7D">
        <w:t xml:space="preserve"> </w:t>
      </w:r>
      <w:r w:rsidR="0017033D">
        <w:t xml:space="preserve">Our assessment was supported </w:t>
      </w:r>
      <w:r w:rsidR="00BF2C7D">
        <w:t>by the following principles:</w:t>
      </w:r>
    </w:p>
    <w:p w14:paraId="32880CB6" w14:textId="021AC0D9" w:rsidR="00107062" w:rsidRPr="0017033D" w:rsidRDefault="00472E0A" w:rsidP="00497F6D">
      <w:pPr>
        <w:pStyle w:val="Bullet1"/>
      </w:pPr>
      <w:r w:rsidRPr="00497F6D">
        <w:rPr>
          <w:rFonts w:ascii="VIC" w:hAnsi="VIC"/>
        </w:rPr>
        <w:t>Q</w:t>
      </w:r>
      <w:r w:rsidR="00107062" w:rsidRPr="00497F6D">
        <w:rPr>
          <w:rFonts w:ascii="VIC" w:hAnsi="VIC"/>
        </w:rPr>
        <w:t>uality indicator</w:t>
      </w:r>
      <w:r w:rsidRPr="00497F6D">
        <w:rPr>
          <w:rFonts w:ascii="VIC" w:hAnsi="VIC"/>
        </w:rPr>
        <w:t>s</w:t>
      </w:r>
      <w:r w:rsidR="00107062" w:rsidRPr="00497F6D">
        <w:rPr>
          <w:rFonts w:ascii="VIC" w:hAnsi="VIC"/>
        </w:rPr>
        <w:t xml:space="preserve"> should be based on patient safety (quality assurance) or a specific improvement goal (quality improvement).</w:t>
      </w:r>
    </w:p>
    <w:p w14:paraId="5D6A4DB9" w14:textId="585757B5" w:rsidR="00A75C90" w:rsidRPr="0017033D" w:rsidRDefault="00107062" w:rsidP="00497F6D">
      <w:pPr>
        <w:pStyle w:val="Bullet1"/>
      </w:pPr>
      <w:r w:rsidRPr="00497F6D">
        <w:rPr>
          <w:rFonts w:ascii="VIC" w:hAnsi="VIC"/>
        </w:rPr>
        <w:t>Q</w:t>
      </w:r>
      <w:r w:rsidR="00BF2C7D" w:rsidRPr="00497F6D">
        <w:rPr>
          <w:rFonts w:ascii="VIC" w:hAnsi="VIC"/>
        </w:rPr>
        <w:t>uality assurance</w:t>
      </w:r>
      <w:r w:rsidRPr="00497F6D">
        <w:rPr>
          <w:rFonts w:ascii="VIC" w:hAnsi="VIC"/>
        </w:rPr>
        <w:t xml:space="preserve"> (safety) targets should be evidence-based and linked to a specified performance target that all participating health services are expected to achieve.</w:t>
      </w:r>
    </w:p>
    <w:p w14:paraId="04D02898" w14:textId="2D942A5A" w:rsidR="006D794D" w:rsidRPr="00497F6D" w:rsidRDefault="00107062" w:rsidP="00497F6D">
      <w:pPr>
        <w:pStyle w:val="Bullet1"/>
        <w:rPr>
          <w:rFonts w:ascii="VIC" w:hAnsi="VIC"/>
        </w:rPr>
      </w:pPr>
      <w:r w:rsidRPr="00497F6D">
        <w:rPr>
          <w:rFonts w:ascii="VIC" w:hAnsi="VIC"/>
        </w:rPr>
        <w:t>Q</w:t>
      </w:r>
      <w:r w:rsidR="00BF2C7D" w:rsidRPr="00497F6D">
        <w:rPr>
          <w:rFonts w:ascii="VIC" w:hAnsi="VIC"/>
        </w:rPr>
        <w:t>uality improvement</w:t>
      </w:r>
      <w:r w:rsidRPr="00497F6D">
        <w:rPr>
          <w:rFonts w:ascii="VIC" w:hAnsi="VIC"/>
        </w:rPr>
        <w:t xml:space="preserve"> measures involve setting specific measurable improvement goals that can </w:t>
      </w:r>
      <w:r w:rsidR="008D0EFD" w:rsidRPr="00497F6D">
        <w:rPr>
          <w:rFonts w:ascii="VIC" w:hAnsi="VIC"/>
        </w:rPr>
        <w:t xml:space="preserve">be </w:t>
      </w:r>
      <w:r w:rsidRPr="00497F6D">
        <w:rPr>
          <w:rFonts w:ascii="VIC" w:hAnsi="VIC"/>
        </w:rPr>
        <w:t xml:space="preserve">reached in a specified timeframe. </w:t>
      </w:r>
      <w:r w:rsidR="00936F50" w:rsidRPr="00497F6D">
        <w:rPr>
          <w:rFonts w:ascii="VIC" w:hAnsi="VIC"/>
        </w:rPr>
        <w:t xml:space="preserve">They are </w:t>
      </w:r>
      <w:r w:rsidRPr="00497F6D">
        <w:rPr>
          <w:rFonts w:ascii="VIC" w:hAnsi="VIC"/>
        </w:rPr>
        <w:t xml:space="preserve">more </w:t>
      </w:r>
      <w:r w:rsidR="00936F50" w:rsidRPr="00497F6D">
        <w:rPr>
          <w:rFonts w:ascii="VIC" w:hAnsi="VIC"/>
        </w:rPr>
        <w:t>future-directed</w:t>
      </w:r>
      <w:r w:rsidRPr="00497F6D">
        <w:rPr>
          <w:rFonts w:ascii="VIC" w:hAnsi="VIC"/>
        </w:rPr>
        <w:t xml:space="preserve"> than </w:t>
      </w:r>
      <w:r w:rsidR="00127FAA" w:rsidRPr="00497F6D">
        <w:rPr>
          <w:rFonts w:ascii="VIC" w:hAnsi="VIC"/>
        </w:rPr>
        <w:t>q</w:t>
      </w:r>
      <w:r w:rsidR="00BF2C7D" w:rsidRPr="00497F6D">
        <w:rPr>
          <w:rFonts w:ascii="VIC" w:hAnsi="VIC"/>
        </w:rPr>
        <w:t>uality assurance</w:t>
      </w:r>
      <w:r w:rsidRPr="00497F6D">
        <w:rPr>
          <w:rFonts w:ascii="VIC" w:hAnsi="VIC"/>
        </w:rPr>
        <w:t xml:space="preserve"> targets but should still be achievable and evidence-based.</w:t>
      </w:r>
    </w:p>
    <w:p w14:paraId="150EA3A1" w14:textId="73857313" w:rsidR="00AE683F" w:rsidRPr="0017033D" w:rsidRDefault="00805EDB" w:rsidP="00497F6D">
      <w:pPr>
        <w:pStyle w:val="Bullet1"/>
      </w:pPr>
      <w:r w:rsidRPr="00497F6D">
        <w:rPr>
          <w:rFonts w:ascii="VIC" w:hAnsi="VIC"/>
        </w:rPr>
        <w:t>The International Consortium for Health Care Outcomes Measurement</w:t>
      </w:r>
      <w:r w:rsidR="008D0EFD" w:rsidRPr="00497F6D">
        <w:rPr>
          <w:rFonts w:ascii="VIC" w:hAnsi="VIC"/>
        </w:rPr>
        <w:t>’s</w:t>
      </w:r>
      <w:r w:rsidRPr="00497F6D">
        <w:rPr>
          <w:rFonts w:ascii="VIC" w:hAnsi="VIC"/>
        </w:rPr>
        <w:t xml:space="preserve"> (ICHOM) standard set of outcomes for chronic kidney disease (CKD), which sets out essential (tier-1) and important (tier-2) outcomes</w:t>
      </w:r>
      <w:r w:rsidR="00D039E2" w:rsidRPr="00497F6D">
        <w:rPr>
          <w:rFonts w:ascii="VIC" w:hAnsi="VIC"/>
        </w:rPr>
        <w:t xml:space="preserve"> (</w:t>
      </w:r>
      <w:r w:rsidR="00D039E2" w:rsidRPr="009D2D45">
        <w:rPr>
          <w:rFonts w:ascii="VIC" w:hAnsi="VIC"/>
          <w:b/>
        </w:rPr>
        <w:t>Appendix 6</w:t>
      </w:r>
      <w:r w:rsidR="00D039E2" w:rsidRPr="00497F6D">
        <w:rPr>
          <w:rFonts w:ascii="VIC" w:hAnsi="VIC"/>
        </w:rPr>
        <w:t>)</w:t>
      </w:r>
      <w:r w:rsidR="00BF2C7D" w:rsidRPr="00497F6D">
        <w:rPr>
          <w:rFonts w:ascii="VIC" w:hAnsi="VIC"/>
        </w:rPr>
        <w:t>.</w:t>
      </w:r>
      <w:r w:rsidR="00BF2C7D" w:rsidRPr="0010027A">
        <w:rPr>
          <w:rFonts w:ascii="VIC" w:hAnsi="VIC"/>
          <w:vertAlign w:val="superscript"/>
        </w:rPr>
        <w:t>1</w:t>
      </w:r>
      <w:r w:rsidR="00BF2C7D" w:rsidRPr="00497F6D">
        <w:rPr>
          <w:rFonts w:ascii="VIC" w:hAnsi="VIC"/>
        </w:rPr>
        <w:t xml:space="preserve"> </w:t>
      </w:r>
      <w:r w:rsidR="008D0EFD" w:rsidRPr="00497F6D">
        <w:rPr>
          <w:rFonts w:ascii="VIC" w:hAnsi="VIC"/>
        </w:rPr>
        <w:t xml:space="preserve"> </w:t>
      </w:r>
    </w:p>
    <w:p w14:paraId="032136F1" w14:textId="4B535F2B" w:rsidR="00FE1F2B" w:rsidRPr="00497F6D" w:rsidRDefault="00FE1F2B" w:rsidP="00497F6D">
      <w:pPr>
        <w:pStyle w:val="Bullet1"/>
        <w:numPr>
          <w:ilvl w:val="0"/>
          <w:numId w:val="0"/>
        </w:numPr>
        <w:rPr>
          <w:rFonts w:ascii="VIC" w:hAnsi="VIC"/>
        </w:rPr>
      </w:pPr>
      <w:r w:rsidRPr="00497F6D">
        <w:rPr>
          <w:rFonts w:ascii="VIC" w:hAnsi="VIC"/>
        </w:rPr>
        <w:t xml:space="preserve"> </w:t>
      </w:r>
      <w:r w:rsidR="008D0EFD" w:rsidRPr="00497F6D">
        <w:rPr>
          <w:rFonts w:ascii="VIC" w:hAnsi="VIC"/>
        </w:rPr>
        <w:t>W</w:t>
      </w:r>
      <w:r w:rsidRPr="00497F6D">
        <w:rPr>
          <w:rFonts w:ascii="VIC" w:hAnsi="VIC"/>
        </w:rPr>
        <w:t xml:space="preserve">e developed an assessment matrix </w:t>
      </w:r>
      <w:r w:rsidR="004B3DE9" w:rsidRPr="00497F6D">
        <w:rPr>
          <w:rFonts w:ascii="VIC" w:hAnsi="VIC"/>
        </w:rPr>
        <w:t>for</w:t>
      </w:r>
      <w:r w:rsidRPr="00497F6D">
        <w:rPr>
          <w:rFonts w:ascii="VIC" w:hAnsi="VIC"/>
        </w:rPr>
        <w:t xml:space="preserve"> the KPIs (see </w:t>
      </w:r>
      <w:r w:rsidRPr="00497F6D">
        <w:rPr>
          <w:rFonts w:ascii="VIC" w:hAnsi="VIC"/>
          <w:b/>
        </w:rPr>
        <w:t>Appendices 3 and 4</w:t>
      </w:r>
      <w:r w:rsidRPr="00497F6D">
        <w:rPr>
          <w:rFonts w:ascii="VIC" w:hAnsi="VIC"/>
        </w:rPr>
        <w:t>)</w:t>
      </w:r>
      <w:r w:rsidR="00C611AF" w:rsidRPr="00497F6D">
        <w:rPr>
          <w:rFonts w:ascii="VIC" w:hAnsi="VIC"/>
        </w:rPr>
        <w:t xml:space="preserve">, using </w:t>
      </w:r>
      <w:r w:rsidR="002131C8" w:rsidRPr="00497F6D">
        <w:rPr>
          <w:rFonts w:ascii="VIC" w:hAnsi="VIC"/>
        </w:rPr>
        <w:t>the following criteria: (1) quality of evidence</w:t>
      </w:r>
      <w:r w:rsidR="0017033D" w:rsidRPr="00497F6D">
        <w:rPr>
          <w:rFonts w:ascii="VIC" w:hAnsi="VIC"/>
        </w:rPr>
        <w:t>,</w:t>
      </w:r>
      <w:r w:rsidR="002131C8" w:rsidRPr="00497F6D">
        <w:rPr>
          <w:rFonts w:ascii="VIC" w:hAnsi="VIC"/>
        </w:rPr>
        <w:t xml:space="preserve"> (2) </w:t>
      </w:r>
      <w:r w:rsidR="004B3DE9" w:rsidRPr="00497F6D">
        <w:rPr>
          <w:rFonts w:ascii="VIC" w:hAnsi="VIC"/>
        </w:rPr>
        <w:t>quality assurance</w:t>
      </w:r>
      <w:r w:rsidR="0017033D" w:rsidRPr="00497F6D">
        <w:rPr>
          <w:rFonts w:ascii="VIC" w:hAnsi="VIC"/>
        </w:rPr>
        <w:t>,</w:t>
      </w:r>
      <w:r w:rsidR="002131C8" w:rsidRPr="00497F6D">
        <w:rPr>
          <w:rFonts w:ascii="VIC" w:hAnsi="VIC"/>
        </w:rPr>
        <w:t xml:space="preserve"> (3)</w:t>
      </w:r>
      <w:r w:rsidR="00C611AF" w:rsidRPr="00497F6D">
        <w:rPr>
          <w:rFonts w:ascii="VIC" w:hAnsi="VIC"/>
        </w:rPr>
        <w:t xml:space="preserve"> </w:t>
      </w:r>
      <w:r w:rsidR="004B3DE9" w:rsidRPr="00497F6D">
        <w:rPr>
          <w:rFonts w:ascii="VIC" w:hAnsi="VIC"/>
        </w:rPr>
        <w:t>quality improvement</w:t>
      </w:r>
      <w:r w:rsidR="0017033D" w:rsidRPr="00497F6D">
        <w:rPr>
          <w:rFonts w:ascii="VIC" w:hAnsi="VIC"/>
        </w:rPr>
        <w:t>,</w:t>
      </w:r>
      <w:r w:rsidR="002131C8" w:rsidRPr="00497F6D">
        <w:rPr>
          <w:rFonts w:ascii="VIC" w:hAnsi="VIC"/>
        </w:rPr>
        <w:t xml:space="preserve"> (4) ICHOM CKD standard set status</w:t>
      </w:r>
      <w:r w:rsidR="0017033D" w:rsidRPr="00497F6D">
        <w:rPr>
          <w:rFonts w:ascii="VIC" w:hAnsi="VIC"/>
        </w:rPr>
        <w:t>,</w:t>
      </w:r>
      <w:r w:rsidR="002131C8" w:rsidRPr="00497F6D">
        <w:rPr>
          <w:rFonts w:ascii="VIC" w:hAnsi="VIC"/>
        </w:rPr>
        <w:t xml:space="preserve"> (5) reliability of measure</w:t>
      </w:r>
      <w:r w:rsidR="0017033D" w:rsidRPr="00497F6D">
        <w:rPr>
          <w:rFonts w:ascii="VIC" w:hAnsi="VIC"/>
        </w:rPr>
        <w:t xml:space="preserve">, </w:t>
      </w:r>
      <w:r w:rsidR="002131C8" w:rsidRPr="00497F6D">
        <w:rPr>
          <w:rFonts w:ascii="VIC" w:hAnsi="VIC"/>
        </w:rPr>
        <w:t>(6) validity of target</w:t>
      </w:r>
      <w:r w:rsidR="0017033D" w:rsidRPr="00497F6D">
        <w:rPr>
          <w:rFonts w:ascii="VIC" w:hAnsi="VIC"/>
        </w:rPr>
        <w:t xml:space="preserve">, </w:t>
      </w:r>
      <w:r w:rsidR="002131C8" w:rsidRPr="00497F6D">
        <w:rPr>
          <w:rFonts w:ascii="VIC" w:hAnsi="VIC"/>
        </w:rPr>
        <w:t>(7) impact on practice</w:t>
      </w:r>
      <w:r w:rsidR="0017033D" w:rsidRPr="00497F6D">
        <w:rPr>
          <w:rFonts w:ascii="VIC" w:hAnsi="VIC"/>
        </w:rPr>
        <w:t>,</w:t>
      </w:r>
      <w:r w:rsidR="002131C8" w:rsidRPr="00497F6D">
        <w:rPr>
          <w:rFonts w:ascii="VIC" w:hAnsi="VIC"/>
        </w:rPr>
        <w:t>(8) benefit for consumers</w:t>
      </w:r>
      <w:r w:rsidR="0017033D" w:rsidRPr="00497F6D">
        <w:rPr>
          <w:rFonts w:ascii="VIC" w:hAnsi="VIC"/>
        </w:rPr>
        <w:t xml:space="preserve">, </w:t>
      </w:r>
      <w:r w:rsidR="002131C8" w:rsidRPr="00497F6D">
        <w:rPr>
          <w:rFonts w:ascii="VIC" w:hAnsi="VIC"/>
        </w:rPr>
        <w:t>and (9) risk of adverse unintended consequences.</w:t>
      </w:r>
      <w:r w:rsidR="004B3DE9" w:rsidRPr="00497F6D">
        <w:rPr>
          <w:rFonts w:ascii="VIC" w:hAnsi="VIC"/>
        </w:rPr>
        <w:t xml:space="preserve"> </w:t>
      </w:r>
      <w:bookmarkStart w:id="8" w:name="_Hlk15048753"/>
      <w:r w:rsidR="007102E5" w:rsidRPr="00497F6D">
        <w:rPr>
          <w:rFonts w:ascii="VIC" w:hAnsi="VIC"/>
        </w:rPr>
        <w:t>This matrix was developed to summarise the key characteristics of the KPIs and help the authors in the review process.</w:t>
      </w:r>
      <w:bookmarkEnd w:id="8"/>
    </w:p>
    <w:p w14:paraId="19D2849B" w14:textId="0C249C1B" w:rsidR="008D0EFD" w:rsidRDefault="00FE1F2B" w:rsidP="00343A2D">
      <w:pPr>
        <w:sectPr w:rsidR="008D0EFD" w:rsidSect="00497F6D">
          <w:type w:val="continuous"/>
          <w:pgSz w:w="11906" w:h="16838" w:code="9"/>
          <w:pgMar w:top="3402" w:right="851" w:bottom="1361" w:left="851" w:header="539" w:footer="624" w:gutter="0"/>
          <w:cols w:num="2" w:space="284"/>
          <w:docGrid w:linePitch="360"/>
        </w:sectPr>
      </w:pPr>
      <w:r>
        <w:t>We also considered</w:t>
      </w:r>
      <w:r w:rsidR="00BF4A75" w:rsidRPr="00BB6413">
        <w:t xml:space="preserve"> the role of ANZDATA and </w:t>
      </w:r>
      <w:r w:rsidR="00BF4A75" w:rsidRPr="000F4969">
        <w:t>patient</w:t>
      </w:r>
      <w:r w:rsidR="00CD773D" w:rsidRPr="0005708D">
        <w:t>-</w:t>
      </w:r>
      <w:r w:rsidR="00BF4A75" w:rsidRPr="00564975">
        <w:t xml:space="preserve">reported outcome and experience measures </w:t>
      </w:r>
      <w:r w:rsidR="007366B0">
        <w:t>in the review</w:t>
      </w:r>
      <w:r w:rsidR="006D794D">
        <w:t>.</w:t>
      </w:r>
    </w:p>
    <w:p w14:paraId="2A5DCFCE" w14:textId="18DE0E2D" w:rsidR="00BF4A75" w:rsidRPr="00564975" w:rsidRDefault="00BF4A75" w:rsidP="00343A2D"/>
    <w:p w14:paraId="5CC6737A" w14:textId="25361DBF" w:rsidR="00AC5B5F" w:rsidRPr="00091CDF" w:rsidRDefault="00AC5B5F" w:rsidP="00AC5B5F">
      <w:pPr>
        <w:pStyle w:val="Heading1"/>
        <w:framePr w:wrap="around"/>
      </w:pPr>
      <w:bookmarkStart w:id="9" w:name="_Toc8637199"/>
      <w:bookmarkStart w:id="10" w:name="_Toc8637200"/>
      <w:bookmarkStart w:id="11" w:name="_Toc17103956"/>
      <w:r w:rsidRPr="00343A2D">
        <w:t>Summary of recommended changes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2"/>
        <w:gridCol w:w="4735"/>
        <w:gridCol w:w="4817"/>
      </w:tblGrid>
      <w:tr w:rsidR="00AC5B5F" w:rsidRPr="00AC5B5F" w14:paraId="34FBBCA6" w14:textId="77777777" w:rsidTr="00C92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gridSpan w:val="2"/>
          </w:tcPr>
          <w:p w14:paraId="4448EEEE" w14:textId="77777777" w:rsidR="00AC5B5F" w:rsidRPr="00AC5B5F" w:rsidRDefault="00AC5B5F" w:rsidP="00AC5B5F">
            <w:pPr>
              <w:spacing w:before="120" w:after="120" w:line="240" w:lineRule="atLeast"/>
              <w:rPr>
                <w:sz w:val="20"/>
                <w:szCs w:val="20"/>
              </w:rPr>
            </w:pPr>
            <w:r w:rsidRPr="00AC5B5F">
              <w:rPr>
                <w:sz w:val="20"/>
                <w:szCs w:val="20"/>
              </w:rPr>
              <w:t>KPI</w:t>
            </w:r>
          </w:p>
        </w:tc>
        <w:tc>
          <w:tcPr>
            <w:tcW w:w="4817" w:type="dxa"/>
          </w:tcPr>
          <w:p w14:paraId="3D02F19C" w14:textId="77777777" w:rsidR="00AC5B5F" w:rsidRPr="00343A2D" w:rsidRDefault="00AC5B5F" w:rsidP="00AC5B5F">
            <w:pPr>
              <w:spacing w:before="120" w:after="120"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C5B5F">
              <w:rPr>
                <w:sz w:val="20"/>
                <w:szCs w:val="20"/>
              </w:rPr>
              <w:t>Recommendation</w:t>
            </w:r>
          </w:p>
        </w:tc>
      </w:tr>
      <w:tr w:rsidR="00AC5B5F" w:rsidRPr="00AC5B5F" w14:paraId="67EDE924" w14:textId="77777777" w:rsidTr="00C9262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14:paraId="3880F104" w14:textId="77777777" w:rsidR="00AC5B5F" w:rsidRPr="00497F6D" w:rsidRDefault="00AC5B5F" w:rsidP="00AC5B5F">
            <w:pPr>
              <w:spacing w:before="120" w:after="120" w:line="240" w:lineRule="atLeast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1</w:t>
            </w:r>
          </w:p>
        </w:tc>
        <w:tc>
          <w:tcPr>
            <w:tcW w:w="4735" w:type="dxa"/>
          </w:tcPr>
          <w:p w14:paraId="45AAEF95" w14:textId="52DD0191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 xml:space="preserve">Proportion of new, planned patients who have received </w:t>
            </w:r>
            <w:r w:rsidR="001A15F9" w:rsidRPr="00497F6D">
              <w:rPr>
                <w:sz w:val="18"/>
                <w:szCs w:val="20"/>
              </w:rPr>
              <w:t>chronic kidney disease (</w:t>
            </w:r>
            <w:r w:rsidRPr="00497F6D">
              <w:rPr>
                <w:sz w:val="18"/>
                <w:szCs w:val="20"/>
              </w:rPr>
              <w:t>CKD</w:t>
            </w:r>
            <w:r w:rsidR="001A15F9" w:rsidRPr="00497F6D">
              <w:rPr>
                <w:sz w:val="18"/>
                <w:szCs w:val="20"/>
              </w:rPr>
              <w:t>)</w:t>
            </w:r>
            <w:r w:rsidRPr="00497F6D">
              <w:rPr>
                <w:sz w:val="18"/>
                <w:szCs w:val="20"/>
              </w:rPr>
              <w:t xml:space="preserve"> education before starting dialysis</w:t>
            </w:r>
          </w:p>
        </w:tc>
        <w:tc>
          <w:tcPr>
            <w:tcW w:w="4817" w:type="dxa"/>
          </w:tcPr>
          <w:p w14:paraId="49B60BC2" w14:textId="50CFE9D9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</w:rPr>
            </w:pPr>
            <w:r w:rsidRPr="00497F6D">
              <w:rPr>
                <w:b/>
                <w:sz w:val="18"/>
                <w:szCs w:val="20"/>
              </w:rPr>
              <w:t xml:space="preserve">Change </w:t>
            </w:r>
            <w:r w:rsidRPr="00497F6D">
              <w:rPr>
                <w:sz w:val="18"/>
                <w:szCs w:val="20"/>
              </w:rPr>
              <w:t xml:space="preserve">Develop a better measure of the quality of </w:t>
            </w:r>
            <w:r w:rsidR="001A15F9" w:rsidRPr="00497F6D">
              <w:rPr>
                <w:sz w:val="18"/>
                <w:szCs w:val="20"/>
              </w:rPr>
              <w:t>CKD</w:t>
            </w:r>
            <w:r w:rsidRPr="00497F6D">
              <w:rPr>
                <w:sz w:val="18"/>
                <w:szCs w:val="20"/>
              </w:rPr>
              <w:t xml:space="preserve"> education to replace the existing measure.</w:t>
            </w:r>
          </w:p>
        </w:tc>
      </w:tr>
      <w:tr w:rsidR="00AC5B5F" w:rsidRPr="00AC5B5F" w14:paraId="1DA69D21" w14:textId="77777777" w:rsidTr="00C9262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14:paraId="2D15F7D9" w14:textId="77777777" w:rsidR="00AC5B5F" w:rsidRPr="00497F6D" w:rsidRDefault="00AC5B5F" w:rsidP="00AC5B5F">
            <w:pPr>
              <w:spacing w:before="120" w:after="120" w:line="240" w:lineRule="atLeast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1a</w:t>
            </w:r>
          </w:p>
        </w:tc>
        <w:tc>
          <w:tcPr>
            <w:tcW w:w="4735" w:type="dxa"/>
          </w:tcPr>
          <w:p w14:paraId="3ED21DA5" w14:textId="77777777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Proportion of planned patients who have received timely and effective CKD education before starting dialysis</w:t>
            </w:r>
          </w:p>
        </w:tc>
        <w:tc>
          <w:tcPr>
            <w:tcW w:w="4817" w:type="dxa"/>
          </w:tcPr>
          <w:p w14:paraId="1DC8064E" w14:textId="77777777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</w:rPr>
            </w:pPr>
            <w:r w:rsidRPr="00497F6D">
              <w:rPr>
                <w:b/>
                <w:sz w:val="18"/>
                <w:szCs w:val="20"/>
              </w:rPr>
              <w:t>Remove</w:t>
            </w:r>
          </w:p>
        </w:tc>
      </w:tr>
      <w:tr w:rsidR="00AC5B5F" w:rsidRPr="00AC5B5F" w14:paraId="1F6B0CF4" w14:textId="77777777" w:rsidTr="00C9262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14:paraId="1BE6B6B5" w14:textId="77777777" w:rsidR="00AC5B5F" w:rsidRPr="00497F6D" w:rsidRDefault="00AC5B5F" w:rsidP="00AC5B5F">
            <w:pPr>
              <w:spacing w:before="120" w:after="120" w:line="240" w:lineRule="atLeast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2</w:t>
            </w:r>
          </w:p>
        </w:tc>
        <w:tc>
          <w:tcPr>
            <w:tcW w:w="4735" w:type="dxa"/>
          </w:tcPr>
          <w:p w14:paraId="7CFC0EAC" w14:textId="221A4285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 xml:space="preserve">Proportion of new, planned </w:t>
            </w:r>
            <w:r w:rsidR="006F01F4" w:rsidRPr="00497F6D">
              <w:rPr>
                <w:sz w:val="18"/>
                <w:szCs w:val="20"/>
              </w:rPr>
              <w:t>renal replacement therapy</w:t>
            </w:r>
            <w:r w:rsidRPr="00497F6D">
              <w:rPr>
                <w:sz w:val="18"/>
                <w:szCs w:val="20"/>
              </w:rPr>
              <w:t xml:space="preserve"> patients (excluding pre-emptive live donor transplants within two weeks of transplant) who successfully use an arteriovenous fistula or graft access at first haemodialysis treatment</w:t>
            </w:r>
          </w:p>
        </w:tc>
        <w:tc>
          <w:tcPr>
            <w:tcW w:w="4817" w:type="dxa"/>
          </w:tcPr>
          <w:p w14:paraId="6CCBE347" w14:textId="77777777" w:rsidR="00AC5B5F" w:rsidRPr="00497F6D" w:rsidRDefault="00AC5B5F" w:rsidP="00AC5B5F">
            <w:pPr>
              <w:pStyle w:val="Bullet1"/>
              <w:numPr>
                <w:ilvl w:val="0"/>
                <w:numId w:val="0"/>
              </w:numPr>
              <w:spacing w:before="120" w:after="120" w:line="240" w:lineRule="atLeast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IC" w:hAnsi="VIC"/>
                <w:b/>
                <w:sz w:val="18"/>
                <w:szCs w:val="20"/>
              </w:rPr>
            </w:pPr>
            <w:r w:rsidRPr="00497F6D">
              <w:rPr>
                <w:rFonts w:ascii="VIC" w:hAnsi="VIC"/>
                <w:b/>
                <w:sz w:val="18"/>
                <w:szCs w:val="20"/>
              </w:rPr>
              <w:t>Change</w:t>
            </w:r>
          </w:p>
          <w:p w14:paraId="435A0963" w14:textId="22AC0BA7" w:rsidR="00AC5B5F" w:rsidRPr="00497F6D" w:rsidRDefault="00AC5B5F" w:rsidP="00343A2D">
            <w:pPr>
              <w:pStyle w:val="Bullet1"/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497F6D">
              <w:rPr>
                <w:rFonts w:ascii="VIC" w:hAnsi="VIC"/>
                <w:sz w:val="18"/>
                <w:szCs w:val="20"/>
              </w:rPr>
              <w:t>S</w:t>
            </w:r>
            <w:r w:rsidRPr="00497F6D">
              <w:rPr>
                <w:rFonts w:ascii="VIC" w:hAnsi="VIC"/>
                <w:sz w:val="18"/>
              </w:rPr>
              <w:t xml:space="preserve">ystematically collect data on the specific reasons why planned </w:t>
            </w:r>
            <w:r w:rsidRPr="00497F6D">
              <w:rPr>
                <w:rFonts w:ascii="VIC" w:hAnsi="VIC"/>
                <w:sz w:val="18"/>
                <w:szCs w:val="20"/>
              </w:rPr>
              <w:t>haemodialysis</w:t>
            </w:r>
            <w:r w:rsidRPr="00497F6D">
              <w:rPr>
                <w:rFonts w:ascii="VIC" w:hAnsi="VIC"/>
                <w:sz w:val="18"/>
              </w:rPr>
              <w:t xml:space="preserve"> patients start dialysis without arteriovenous access (that is, with a </w:t>
            </w:r>
            <w:r w:rsidRPr="00497F6D">
              <w:rPr>
                <w:rFonts w:ascii="VIC" w:hAnsi="VIC"/>
                <w:sz w:val="18"/>
                <w:szCs w:val="20"/>
              </w:rPr>
              <w:t>central venous catheter</w:t>
            </w:r>
            <w:r w:rsidRPr="00497F6D">
              <w:rPr>
                <w:rFonts w:ascii="VIC" w:hAnsi="VIC"/>
                <w:sz w:val="18"/>
              </w:rPr>
              <w:t>).</w:t>
            </w:r>
          </w:p>
          <w:p w14:paraId="7026E6A4" w14:textId="04D883A2" w:rsidR="00AC5B5F" w:rsidRPr="00497F6D" w:rsidRDefault="00AC5B5F" w:rsidP="00AC5B5F">
            <w:pPr>
              <w:pStyle w:val="Bullet1"/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497F6D">
              <w:rPr>
                <w:rFonts w:ascii="VIC" w:eastAsiaTheme="minorHAnsi" w:hAnsi="VIC"/>
                <w:sz w:val="18"/>
                <w:szCs w:val="20"/>
              </w:rPr>
              <w:t>P</w:t>
            </w:r>
            <w:r w:rsidRPr="00497F6D">
              <w:rPr>
                <w:rFonts w:ascii="VIC" w:eastAsiaTheme="minorHAnsi" w:hAnsi="VIC"/>
                <w:sz w:val="18"/>
              </w:rPr>
              <w:t>atients with a failed transplant or transferring from peritoneal dialysis will no longer be excluded from this KPI.</w:t>
            </w:r>
          </w:p>
        </w:tc>
      </w:tr>
      <w:tr w:rsidR="00AC5B5F" w:rsidRPr="00AC5B5F" w14:paraId="0F04CAAE" w14:textId="77777777" w:rsidTr="00C9262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14:paraId="68DCAB5A" w14:textId="77777777" w:rsidR="00AC5B5F" w:rsidRPr="00497F6D" w:rsidRDefault="00AC5B5F" w:rsidP="00AC5B5F">
            <w:pPr>
              <w:spacing w:before="120" w:after="120" w:line="240" w:lineRule="atLeast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3</w:t>
            </w:r>
          </w:p>
        </w:tc>
        <w:tc>
          <w:tcPr>
            <w:tcW w:w="4735" w:type="dxa"/>
          </w:tcPr>
          <w:p w14:paraId="74A69D2B" w14:textId="77777777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Proportion of dialysis patients who are dialysing at home</w:t>
            </w:r>
          </w:p>
        </w:tc>
        <w:tc>
          <w:tcPr>
            <w:tcW w:w="4817" w:type="dxa"/>
          </w:tcPr>
          <w:p w14:paraId="36E87607" w14:textId="18DE923C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497F6D">
              <w:rPr>
                <w:b/>
                <w:sz w:val="18"/>
                <w:szCs w:val="20"/>
              </w:rPr>
              <w:t xml:space="preserve">Change </w:t>
            </w:r>
            <w:r w:rsidRPr="00497F6D">
              <w:rPr>
                <w:sz w:val="18"/>
                <w:szCs w:val="20"/>
              </w:rPr>
              <w:t>Replace current targets with a benchmarking approach.</w:t>
            </w:r>
          </w:p>
        </w:tc>
      </w:tr>
      <w:tr w:rsidR="00AC5B5F" w:rsidRPr="00AC5B5F" w14:paraId="6842BBB3" w14:textId="77777777" w:rsidTr="00C9262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14:paraId="45E02A69" w14:textId="77777777" w:rsidR="00AC5B5F" w:rsidRPr="00497F6D" w:rsidRDefault="00AC5B5F" w:rsidP="00AC5B5F">
            <w:pPr>
              <w:spacing w:before="120" w:after="120" w:line="240" w:lineRule="atLeast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4</w:t>
            </w:r>
          </w:p>
        </w:tc>
        <w:tc>
          <w:tcPr>
            <w:tcW w:w="4735" w:type="dxa"/>
          </w:tcPr>
          <w:p w14:paraId="43C7D6A3" w14:textId="77777777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Peritonitis rates of each hub service</w:t>
            </w:r>
          </w:p>
        </w:tc>
        <w:tc>
          <w:tcPr>
            <w:tcW w:w="4817" w:type="dxa"/>
          </w:tcPr>
          <w:p w14:paraId="6481F28B" w14:textId="75470A5E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497F6D">
              <w:rPr>
                <w:b/>
                <w:sz w:val="18"/>
                <w:szCs w:val="20"/>
              </w:rPr>
              <w:t xml:space="preserve">Unchanged </w:t>
            </w:r>
            <w:r w:rsidRPr="00497F6D">
              <w:rPr>
                <w:sz w:val="18"/>
                <w:szCs w:val="20"/>
              </w:rPr>
              <w:t>Continue current quality improvement target of a peritonitis rate less than 0.33 episodes per year at risk.</w:t>
            </w:r>
          </w:p>
        </w:tc>
      </w:tr>
      <w:tr w:rsidR="00AC5B5F" w:rsidRPr="00AC5B5F" w14:paraId="0A49832A" w14:textId="77777777" w:rsidTr="00C9262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14:paraId="6327AFDF" w14:textId="77777777" w:rsidR="00AC5B5F" w:rsidRPr="00497F6D" w:rsidRDefault="00AC5B5F" w:rsidP="00AC5B5F">
            <w:pPr>
              <w:spacing w:before="120" w:after="120" w:line="240" w:lineRule="atLeast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5</w:t>
            </w:r>
          </w:p>
        </w:tc>
        <w:tc>
          <w:tcPr>
            <w:tcW w:w="4735" w:type="dxa"/>
          </w:tcPr>
          <w:p w14:paraId="0492E2CB" w14:textId="77777777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Proportion of new live donor transplants that are pre-emptive</w:t>
            </w:r>
          </w:p>
        </w:tc>
        <w:tc>
          <w:tcPr>
            <w:tcW w:w="4817" w:type="dxa"/>
            <w:vMerge w:val="restart"/>
          </w:tcPr>
          <w:p w14:paraId="3088C710" w14:textId="1BDA51BF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497F6D">
              <w:rPr>
                <w:b/>
                <w:sz w:val="18"/>
                <w:szCs w:val="20"/>
              </w:rPr>
              <w:t xml:space="preserve">Change </w:t>
            </w:r>
            <w:r w:rsidRPr="00497F6D">
              <w:rPr>
                <w:sz w:val="18"/>
                <w:szCs w:val="20"/>
              </w:rPr>
              <w:t>Update and</w:t>
            </w:r>
            <w:r w:rsidRPr="00497F6D">
              <w:rPr>
                <w:sz w:val="18"/>
              </w:rPr>
              <w:t xml:space="preserve"> combine these KPIs</w:t>
            </w:r>
            <w:r w:rsidRPr="00497F6D">
              <w:rPr>
                <w:b/>
                <w:sz w:val="18"/>
                <w:szCs w:val="20"/>
              </w:rPr>
              <w:t xml:space="preserve"> </w:t>
            </w:r>
            <w:r w:rsidRPr="00497F6D">
              <w:rPr>
                <w:sz w:val="18"/>
                <w:szCs w:val="20"/>
              </w:rPr>
              <w:t>to monitor renal transplant status at six and 12 months after beginning renal replacement therapy (without targets).</w:t>
            </w:r>
            <w:r w:rsidR="00EA3616" w:rsidRPr="00497F6D">
              <w:rPr>
                <w:sz w:val="18"/>
              </w:rPr>
              <w:t xml:space="preserve"> </w:t>
            </w:r>
            <w:r w:rsidR="00EA3616" w:rsidRPr="00497F6D">
              <w:rPr>
                <w:sz w:val="18"/>
                <w:szCs w:val="20"/>
              </w:rPr>
              <w:t>The age of the target group will be increased to 70 years or younger.</w:t>
            </w:r>
          </w:p>
        </w:tc>
      </w:tr>
      <w:tr w:rsidR="00AC5B5F" w:rsidRPr="00AC5B5F" w14:paraId="56B39123" w14:textId="77777777" w:rsidTr="00C9262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14:paraId="41398746" w14:textId="77777777" w:rsidR="00AC5B5F" w:rsidRPr="00497F6D" w:rsidRDefault="00AC5B5F" w:rsidP="00AC5B5F">
            <w:pPr>
              <w:spacing w:before="120" w:after="120" w:line="240" w:lineRule="atLeast"/>
              <w:rPr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6</w:t>
            </w:r>
          </w:p>
        </w:tc>
        <w:tc>
          <w:tcPr>
            <w:tcW w:w="4735" w:type="dxa"/>
          </w:tcPr>
          <w:p w14:paraId="570757ED" w14:textId="77777777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</w:rPr>
            </w:pPr>
            <w:r w:rsidRPr="00497F6D">
              <w:rPr>
                <w:sz w:val="18"/>
                <w:szCs w:val="20"/>
              </w:rPr>
              <w:t>Proportion of new end-stage kidney disease patients under 65 years old who have received a transplant or are on the active list</w:t>
            </w:r>
          </w:p>
        </w:tc>
        <w:tc>
          <w:tcPr>
            <w:tcW w:w="4817" w:type="dxa"/>
            <w:vMerge/>
          </w:tcPr>
          <w:p w14:paraId="4FC51496" w14:textId="77777777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20"/>
              </w:rPr>
            </w:pPr>
          </w:p>
        </w:tc>
      </w:tr>
      <w:tr w:rsidR="00AC5B5F" w:rsidRPr="00AC5B5F" w14:paraId="1B3EFD2A" w14:textId="77777777" w:rsidTr="00C926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" w:type="dxa"/>
          </w:tcPr>
          <w:p w14:paraId="41D3D2F7" w14:textId="77777777" w:rsidR="00AC5B5F" w:rsidRPr="00497F6D" w:rsidRDefault="00AC5B5F" w:rsidP="00AC5B5F">
            <w:pPr>
              <w:spacing w:before="120" w:after="120" w:line="240" w:lineRule="atLeast"/>
              <w:rPr>
                <w:sz w:val="18"/>
                <w:szCs w:val="20"/>
              </w:rPr>
            </w:pPr>
            <w:r w:rsidRPr="00497F6D">
              <w:rPr>
                <w:sz w:val="18"/>
              </w:rPr>
              <w:t>New</w:t>
            </w:r>
          </w:p>
        </w:tc>
        <w:tc>
          <w:tcPr>
            <w:tcW w:w="9552" w:type="dxa"/>
            <w:gridSpan w:val="2"/>
          </w:tcPr>
          <w:p w14:paraId="4C8CD2CF" w14:textId="4BD51C0A" w:rsidR="00AC5B5F" w:rsidRPr="00497F6D" w:rsidRDefault="00AC5B5F" w:rsidP="00AC5B5F">
            <w:pPr>
              <w:spacing w:before="120" w:after="12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497F6D">
              <w:rPr>
                <w:sz w:val="18"/>
              </w:rPr>
              <w:t>Establish new KPIs for dialysis and transplantation</w:t>
            </w:r>
            <w:r w:rsidR="00BC3125" w:rsidRPr="00497F6D">
              <w:rPr>
                <w:sz w:val="18"/>
              </w:rPr>
              <w:t>:</w:t>
            </w:r>
          </w:p>
          <w:p w14:paraId="45AAD238" w14:textId="79590268" w:rsidR="008646CD" w:rsidRPr="009D2D45" w:rsidRDefault="008646CD" w:rsidP="009D2D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9D2D45">
              <w:rPr>
                <w:sz w:val="18"/>
              </w:rPr>
              <w:t>Dialysis:</w:t>
            </w:r>
          </w:p>
          <w:p w14:paraId="63ACADE7" w14:textId="77777777" w:rsidR="00BC3125" w:rsidRPr="009D2D45" w:rsidRDefault="00BC3125" w:rsidP="009D2D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9D2D45">
              <w:rPr>
                <w:sz w:val="18"/>
              </w:rPr>
              <w:t>i. Standardised mortality ratio (SMR) for dialysis patients starting dialysis at the health service in the preceding five years.</w:t>
            </w:r>
          </w:p>
          <w:p w14:paraId="7298741F" w14:textId="77777777" w:rsidR="00BC3125" w:rsidRPr="009D2D45" w:rsidRDefault="00BC3125" w:rsidP="009D2D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9D2D45">
              <w:rPr>
                <w:sz w:val="18"/>
              </w:rPr>
              <w:t>ii. Vascular access bloodstream infection rates in haemodialysis patients.</w:t>
            </w:r>
          </w:p>
          <w:p w14:paraId="5DABB71B" w14:textId="77777777" w:rsidR="00BC3125" w:rsidRPr="009D2D45" w:rsidRDefault="00BC3125" w:rsidP="009D2D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9D2D45">
              <w:rPr>
                <w:sz w:val="18"/>
              </w:rPr>
              <w:t>Transplantation:</w:t>
            </w:r>
          </w:p>
          <w:p w14:paraId="1F9C6BBD" w14:textId="77777777" w:rsidR="00BC3125" w:rsidRPr="009D2D45" w:rsidRDefault="00BC3125" w:rsidP="009D2D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9D2D45">
              <w:rPr>
                <w:sz w:val="18"/>
              </w:rPr>
              <w:t>i. SMR at one year for kidney transplants performed in the preceding five years.</w:t>
            </w:r>
          </w:p>
          <w:p w14:paraId="044D0ED7" w14:textId="4EDDFED6" w:rsidR="00BC3125" w:rsidRPr="00497F6D" w:rsidRDefault="00BC3125" w:rsidP="009D2D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D2D45">
              <w:rPr>
                <w:sz w:val="18"/>
              </w:rPr>
              <w:t>ii. Risk-adjusted graft failure ratio at one year for transplants performed in the preceding five years.</w:t>
            </w:r>
          </w:p>
        </w:tc>
      </w:tr>
      <w:bookmarkEnd w:id="9"/>
      <w:bookmarkEnd w:id="10"/>
    </w:tbl>
    <w:p w14:paraId="61BC3624" w14:textId="4CB43334" w:rsidR="0017033D" w:rsidRDefault="0017033D" w:rsidP="0017033D"/>
    <w:p w14:paraId="23924379" w14:textId="77777777" w:rsidR="007B1916" w:rsidRPr="00495572" w:rsidRDefault="007B1916" w:rsidP="00495572"/>
    <w:p w14:paraId="7042043A" w14:textId="18B2DF53" w:rsidR="007B1916" w:rsidRDefault="007B1916" w:rsidP="007B1916">
      <w:pPr>
        <w:pStyle w:val="Heading1numbered"/>
        <w:framePr w:wrap="around"/>
        <w:numPr>
          <w:ilvl w:val="0"/>
          <w:numId w:val="0"/>
        </w:numPr>
      </w:pPr>
      <w:bookmarkStart w:id="12" w:name="_Toc17103957"/>
      <w:r>
        <w:t>Key performance indicator 1</w:t>
      </w:r>
      <w:bookmarkEnd w:id="12"/>
    </w:p>
    <w:p w14:paraId="3CC3EDA9" w14:textId="3D333340" w:rsidR="002B2097" w:rsidRDefault="009950BC">
      <w:pPr>
        <w:pStyle w:val="Heading3"/>
      </w:pPr>
      <w:r>
        <w:t>Proportion of new, planned patients who have received CKD education before starting dialysis</w:t>
      </w:r>
    </w:p>
    <w:p w14:paraId="50AFD097" w14:textId="77777777" w:rsidR="009950BC" w:rsidRPr="00290AC2" w:rsidRDefault="009950BC" w:rsidP="00343A2D">
      <w:pPr>
        <w:pStyle w:val="Normalfollowingheading"/>
      </w:pPr>
      <w:r w:rsidRPr="00290AC2">
        <w:t>Patients</w:t>
      </w:r>
      <w:r>
        <w:t xml:space="preserve">, </w:t>
      </w:r>
      <w:r w:rsidRPr="00290AC2">
        <w:t xml:space="preserve">their families </w:t>
      </w:r>
      <w:r>
        <w:t>and</w:t>
      </w:r>
      <w:r w:rsidRPr="00290AC2">
        <w:t xml:space="preserve"> carers should receive </w:t>
      </w:r>
      <w:r>
        <w:t>quality</w:t>
      </w:r>
      <w:r w:rsidRPr="00290AC2">
        <w:t xml:space="preserve"> information and education about the nature of end-stage kidney disease (ESKD) and the treatment options to allow them to make an informed decision about managing their </w:t>
      </w:r>
      <w:r>
        <w:t>condition.</w:t>
      </w:r>
    </w:p>
    <w:p w14:paraId="03E201B5" w14:textId="3A17EC78" w:rsidR="009950BC" w:rsidRDefault="009950BC" w:rsidP="00BB6413">
      <w:r w:rsidRPr="00290AC2">
        <w:t xml:space="preserve">Kidney Health Australia’s </w:t>
      </w:r>
      <w:r w:rsidRPr="00290AC2">
        <w:rPr>
          <w:i/>
        </w:rPr>
        <w:t>Caring for Australasians with renal impairment guidelines for acceptance onto dialysis</w:t>
      </w:r>
      <w:r w:rsidRPr="00290AC2">
        <w:rPr>
          <w:vertAlign w:val="superscript"/>
        </w:rPr>
        <w:t>2</w:t>
      </w:r>
      <w:r w:rsidRPr="00290AC2">
        <w:t xml:space="preserve"> support</w:t>
      </w:r>
      <w:r>
        <w:t>s</w:t>
      </w:r>
      <w:r w:rsidRPr="00290AC2">
        <w:t xml:space="preserve"> a multidisciplinary approach to pre-dialysis education.</w:t>
      </w:r>
    </w:p>
    <w:p w14:paraId="10682FDC" w14:textId="6D8C2CDF" w:rsidR="009950BC" w:rsidRPr="00BB6413" w:rsidRDefault="009950BC">
      <w:pPr>
        <w:pStyle w:val="Heading4"/>
      </w:pPr>
      <w:r w:rsidRPr="00BB6413">
        <w:t>Timely and appropriate CKD education</w:t>
      </w:r>
    </w:p>
    <w:p w14:paraId="0800B9C1" w14:textId="65B7A575" w:rsidR="009950BC" w:rsidRPr="00290AC2" w:rsidRDefault="002D6A62" w:rsidP="009950BC">
      <w:pPr>
        <w:pStyle w:val="Bullet1"/>
        <w:rPr>
          <w:rFonts w:ascii="VIC" w:hAnsi="VIC"/>
        </w:rPr>
      </w:pPr>
      <w:r>
        <w:rPr>
          <w:rFonts w:ascii="VIC" w:hAnsi="VIC"/>
        </w:rPr>
        <w:t>S</w:t>
      </w:r>
      <w:r w:rsidR="009950BC" w:rsidRPr="00290AC2">
        <w:rPr>
          <w:rFonts w:ascii="VIC" w:hAnsi="VIC"/>
        </w:rPr>
        <w:t>upports informed decision making</w:t>
      </w:r>
      <w:r w:rsidR="006F01F4">
        <w:rPr>
          <w:rFonts w:ascii="VIC" w:hAnsi="VIC"/>
        </w:rPr>
        <w:t>.</w:t>
      </w:r>
    </w:p>
    <w:p w14:paraId="1EE2E8BF" w14:textId="51537775" w:rsidR="009950BC" w:rsidRPr="00290AC2" w:rsidRDefault="002D6A62" w:rsidP="009950BC">
      <w:pPr>
        <w:pStyle w:val="Bullet1"/>
        <w:rPr>
          <w:rFonts w:ascii="VIC" w:hAnsi="VIC"/>
        </w:rPr>
      </w:pPr>
      <w:r>
        <w:rPr>
          <w:rFonts w:ascii="VIC" w:hAnsi="VIC"/>
        </w:rPr>
        <w:t>F</w:t>
      </w:r>
      <w:r w:rsidR="009950BC" w:rsidRPr="00290AC2">
        <w:rPr>
          <w:rFonts w:ascii="VIC" w:hAnsi="VIC"/>
        </w:rPr>
        <w:t>acilitates a planned approach to starting dialysis</w:t>
      </w:r>
      <w:r w:rsidR="006F01F4">
        <w:rPr>
          <w:rFonts w:ascii="VIC" w:hAnsi="VIC"/>
        </w:rPr>
        <w:t>.</w:t>
      </w:r>
    </w:p>
    <w:p w14:paraId="0207B3BE" w14:textId="0A1AAA4F" w:rsidR="009950BC" w:rsidRPr="00290AC2" w:rsidRDefault="002D6A62" w:rsidP="009950BC">
      <w:pPr>
        <w:pStyle w:val="Bullet1"/>
        <w:rPr>
          <w:rFonts w:ascii="VIC" w:hAnsi="VIC"/>
        </w:rPr>
      </w:pPr>
      <w:r>
        <w:rPr>
          <w:rFonts w:ascii="VIC" w:hAnsi="VIC"/>
        </w:rPr>
        <w:t>I</w:t>
      </w:r>
      <w:r w:rsidR="009950BC" w:rsidRPr="00290AC2">
        <w:rPr>
          <w:rFonts w:ascii="VIC" w:hAnsi="VIC"/>
        </w:rPr>
        <w:t>mproves pre-dialysis care and self-management</w:t>
      </w:r>
      <w:r w:rsidR="006F01F4">
        <w:rPr>
          <w:rFonts w:ascii="VIC" w:hAnsi="VIC"/>
        </w:rPr>
        <w:t>.</w:t>
      </w:r>
    </w:p>
    <w:p w14:paraId="06BF22D9" w14:textId="3C045445" w:rsidR="002D6A62" w:rsidRDefault="002D6A62" w:rsidP="002D6A62">
      <w:pPr>
        <w:pStyle w:val="Bullet1"/>
        <w:rPr>
          <w:rFonts w:ascii="VIC" w:hAnsi="VIC"/>
        </w:rPr>
      </w:pPr>
      <w:r>
        <w:rPr>
          <w:rFonts w:ascii="VIC" w:hAnsi="VIC"/>
        </w:rPr>
        <w:t>I</w:t>
      </w:r>
      <w:r w:rsidR="009950BC" w:rsidRPr="00290AC2">
        <w:rPr>
          <w:rFonts w:ascii="VIC" w:hAnsi="VIC"/>
        </w:rPr>
        <w:t>ncreases rates of permanent access</w:t>
      </w:r>
      <w:r w:rsidR="006F01F4">
        <w:rPr>
          <w:rFonts w:ascii="VIC" w:hAnsi="VIC"/>
        </w:rPr>
        <w:t>.</w:t>
      </w:r>
    </w:p>
    <w:p w14:paraId="6A56A118" w14:textId="0D219E0E" w:rsidR="009950BC" w:rsidRPr="00F60E30" w:rsidRDefault="002D6A62" w:rsidP="00E97B5C">
      <w:pPr>
        <w:pStyle w:val="Bullet1"/>
        <w:rPr>
          <w:rFonts w:ascii="VIC" w:hAnsi="VIC"/>
        </w:rPr>
      </w:pPr>
      <w:r w:rsidRPr="00E97B5C">
        <w:rPr>
          <w:rFonts w:ascii="VIC" w:hAnsi="VIC"/>
        </w:rPr>
        <w:t>R</w:t>
      </w:r>
      <w:r w:rsidR="009950BC" w:rsidRPr="00E97B5C">
        <w:rPr>
          <w:rFonts w:ascii="VIC" w:hAnsi="VIC"/>
        </w:rPr>
        <w:t xml:space="preserve">educes </w:t>
      </w:r>
      <w:r w:rsidR="009950BC" w:rsidRPr="00F60E30">
        <w:rPr>
          <w:rFonts w:ascii="VIC" w:hAnsi="VIC"/>
        </w:rPr>
        <w:t>the need for urgent-start dialysis</w:t>
      </w:r>
      <w:r w:rsidR="006F01F4">
        <w:rPr>
          <w:rFonts w:ascii="VIC" w:hAnsi="VIC"/>
        </w:rPr>
        <w:t>.</w:t>
      </w:r>
    </w:p>
    <w:p w14:paraId="186F043E" w14:textId="5DB94165" w:rsidR="009950BC" w:rsidRPr="00290AC2" w:rsidRDefault="002D6A62" w:rsidP="009950BC">
      <w:pPr>
        <w:pStyle w:val="Bullet1"/>
        <w:rPr>
          <w:rStyle w:val="CommentReference"/>
          <w:rFonts w:ascii="VIC" w:hAnsi="VIC"/>
          <w:sz w:val="22"/>
          <w:szCs w:val="22"/>
        </w:rPr>
      </w:pPr>
      <w:r>
        <w:rPr>
          <w:rFonts w:ascii="VIC" w:hAnsi="VIC"/>
        </w:rPr>
        <w:t>I</w:t>
      </w:r>
      <w:r w:rsidR="009950BC" w:rsidRPr="00290AC2">
        <w:rPr>
          <w:rFonts w:ascii="VIC" w:hAnsi="VIC"/>
        </w:rPr>
        <w:t>ncreases the uptake of home therapies</w:t>
      </w:r>
      <w:r w:rsidR="006F01F4">
        <w:rPr>
          <w:rFonts w:ascii="VIC" w:hAnsi="VIC"/>
        </w:rPr>
        <w:t>.</w:t>
      </w:r>
    </w:p>
    <w:p w14:paraId="76026EED" w14:textId="70C120C0" w:rsidR="009950BC" w:rsidRDefault="002D6A62" w:rsidP="009950BC">
      <w:pPr>
        <w:pStyle w:val="Bullet1"/>
        <w:rPr>
          <w:rFonts w:ascii="VIC" w:hAnsi="VIC"/>
        </w:rPr>
      </w:pPr>
      <w:r>
        <w:rPr>
          <w:rFonts w:ascii="VIC" w:hAnsi="VIC"/>
        </w:rPr>
        <w:t>I</w:t>
      </w:r>
      <w:r w:rsidR="009950BC" w:rsidRPr="00290AC2">
        <w:rPr>
          <w:rFonts w:ascii="VIC" w:hAnsi="VIC"/>
        </w:rPr>
        <w:t>mproves quality of life and reduces mortality in the first 90 days after dialysis starts.</w:t>
      </w:r>
      <w:r w:rsidR="009950BC" w:rsidRPr="00290AC2">
        <w:rPr>
          <w:rFonts w:ascii="VIC" w:hAnsi="VIC"/>
          <w:vertAlign w:val="superscript"/>
        </w:rPr>
        <w:t>3–7</w:t>
      </w:r>
    </w:p>
    <w:p w14:paraId="438137A0" w14:textId="7F3BE216" w:rsidR="002B2097" w:rsidRDefault="00774A9D" w:rsidP="00774A9D">
      <w:pPr>
        <w:pStyle w:val="Heading2"/>
      </w:pPr>
      <w:r>
        <w:t>Definition and targets</w:t>
      </w:r>
    </w:p>
    <w:p w14:paraId="4F3FCDB1" w14:textId="131A6F58" w:rsidR="002B2097" w:rsidRPr="00B1282F" w:rsidRDefault="002B2097" w:rsidP="0054741F">
      <w:pPr>
        <w:pStyle w:val="Normalfollowingheading"/>
      </w:pPr>
      <w:r w:rsidRPr="00343A2D">
        <w:rPr>
          <w:b/>
        </w:rPr>
        <w:t>Target</w:t>
      </w:r>
      <w:r w:rsidRPr="00B1282F">
        <w:t>:</w:t>
      </w:r>
      <w:r w:rsidRPr="00F35A12">
        <w:t xml:space="preserve"> 80</w:t>
      </w:r>
      <w:r w:rsidR="00165D0C" w:rsidRPr="00F35A12">
        <w:t xml:space="preserve"> per cent</w:t>
      </w:r>
      <w:r w:rsidRPr="00774A9D">
        <w:t xml:space="preserve"> of new, planned patients who start dialysis have attended a CKD education session</w:t>
      </w:r>
      <w:r w:rsidR="00BB6413" w:rsidRPr="00774A9D">
        <w:t>.</w:t>
      </w:r>
    </w:p>
    <w:p w14:paraId="5DC2CD99" w14:textId="7A777649" w:rsidR="002B2097" w:rsidRPr="00B1282F" w:rsidRDefault="002B2097" w:rsidP="006F01F4">
      <w:r w:rsidRPr="00343A2D">
        <w:rPr>
          <w:rFonts w:ascii="VIC SemiBold" w:hAnsi="VIC SemiBold"/>
        </w:rPr>
        <w:t>Planned</w:t>
      </w:r>
      <w:r w:rsidRPr="00B1282F">
        <w:t xml:space="preserve">: </w:t>
      </w:r>
      <w:r w:rsidR="006F01F4">
        <w:t>P</w:t>
      </w:r>
      <w:r w:rsidRPr="00B1282F">
        <w:t xml:space="preserve">atients referred to a nephrologist within </w:t>
      </w:r>
      <w:r w:rsidR="00C001A8" w:rsidRPr="00F35A12">
        <w:t>three</w:t>
      </w:r>
      <w:r w:rsidRPr="00F35A12">
        <w:t xml:space="preserve"> years but prior to </w:t>
      </w:r>
      <w:r w:rsidR="00C001A8" w:rsidRPr="00B118B1">
        <w:t>three</w:t>
      </w:r>
      <w:r w:rsidRPr="00B118B1">
        <w:t xml:space="preserve"> months before requiring </w:t>
      </w:r>
      <w:r w:rsidR="00C001A8" w:rsidRPr="00B118B1">
        <w:t>r</w:t>
      </w:r>
      <w:r w:rsidRPr="00B118B1">
        <w:t xml:space="preserve">enal </w:t>
      </w:r>
      <w:r w:rsidR="00C001A8" w:rsidRPr="00B118B1">
        <w:t>r</w:t>
      </w:r>
      <w:r w:rsidRPr="00B118B1">
        <w:t xml:space="preserve">eplacement </w:t>
      </w:r>
      <w:r w:rsidR="00C001A8" w:rsidRPr="00B118B1">
        <w:t>t</w:t>
      </w:r>
      <w:r w:rsidRPr="00B118B1">
        <w:t>herapy</w:t>
      </w:r>
      <w:r w:rsidR="00C001A8" w:rsidRPr="00B118B1">
        <w:t xml:space="preserve"> (RRT)</w:t>
      </w:r>
      <w:r w:rsidR="00BB6413">
        <w:t>.</w:t>
      </w:r>
    </w:p>
    <w:p w14:paraId="15565FAB" w14:textId="77777777" w:rsidR="002B2097" w:rsidRPr="00B1282F" w:rsidRDefault="002B2097" w:rsidP="006F01F4">
      <w:r w:rsidRPr="00343A2D">
        <w:rPr>
          <w:rFonts w:ascii="VIC SemiBold" w:hAnsi="VIC SemiBold"/>
        </w:rPr>
        <w:t>CKD education</w:t>
      </w:r>
      <w:r w:rsidRPr="00B1282F">
        <w:t>:</w:t>
      </w:r>
    </w:p>
    <w:p w14:paraId="2DA0EAFB" w14:textId="62451978" w:rsidR="002B2097" w:rsidRPr="00343A2D" w:rsidRDefault="006F01F4" w:rsidP="006F01F4">
      <w:pPr>
        <w:pStyle w:val="Bullet1"/>
        <w:rPr>
          <w:rFonts w:ascii="VIC" w:hAnsi="VIC"/>
        </w:rPr>
      </w:pPr>
      <w:r w:rsidRPr="006F01F4">
        <w:rPr>
          <w:rFonts w:ascii="VIC" w:hAnsi="VIC"/>
        </w:rPr>
        <w:t>E</w:t>
      </w:r>
      <w:r w:rsidR="002B2097" w:rsidRPr="00343A2D">
        <w:rPr>
          <w:rFonts w:ascii="VIC" w:hAnsi="VIC"/>
        </w:rPr>
        <w:t>ither attending a CKD session or a one-on-one session with a member of the CKD team (not a nephrologist consultation only)</w:t>
      </w:r>
      <w:r w:rsidR="00BB6413" w:rsidRPr="006F01F4">
        <w:rPr>
          <w:rFonts w:ascii="VIC" w:hAnsi="VIC"/>
        </w:rPr>
        <w:t>.</w:t>
      </w:r>
    </w:p>
    <w:p w14:paraId="11635A15" w14:textId="5F676AAC" w:rsidR="002B2097" w:rsidRPr="00B1282F" w:rsidRDefault="006F01F4" w:rsidP="006F01F4">
      <w:pPr>
        <w:pStyle w:val="Bullet1"/>
      </w:pPr>
      <w:r w:rsidRPr="006F01F4">
        <w:rPr>
          <w:rFonts w:ascii="VIC" w:hAnsi="VIC"/>
        </w:rPr>
        <w:t>E</w:t>
      </w:r>
      <w:r w:rsidR="002B2097" w:rsidRPr="00343A2D">
        <w:rPr>
          <w:rFonts w:ascii="VIC" w:hAnsi="VIC"/>
        </w:rPr>
        <w:t>ducation session documented in the patient’s medical record</w:t>
      </w:r>
      <w:r w:rsidR="00BB6413" w:rsidRPr="006F01F4">
        <w:rPr>
          <w:rFonts w:ascii="VIC" w:hAnsi="VIC"/>
        </w:rPr>
        <w:t>.</w:t>
      </w:r>
    </w:p>
    <w:p w14:paraId="2B838244" w14:textId="0B587BB3" w:rsidR="002B2097" w:rsidRPr="00B1282F" w:rsidRDefault="002B2097" w:rsidP="006F01F4">
      <w:r w:rsidRPr="00343A2D">
        <w:rPr>
          <w:rFonts w:ascii="VIC SemiBold" w:hAnsi="VIC SemiBold"/>
        </w:rPr>
        <w:t>Exclusions</w:t>
      </w:r>
      <w:r w:rsidRPr="00B1282F">
        <w:t xml:space="preserve">: </w:t>
      </w:r>
      <w:r w:rsidR="006F01F4">
        <w:t>L</w:t>
      </w:r>
      <w:r w:rsidRPr="00B1282F">
        <w:t xml:space="preserve">ate referrals (patients </w:t>
      </w:r>
      <w:r w:rsidR="00C001A8" w:rsidRPr="00F35A12">
        <w:t xml:space="preserve">starting </w:t>
      </w:r>
      <w:r w:rsidRPr="00B118B1">
        <w:t xml:space="preserve">dialysis within </w:t>
      </w:r>
      <w:r w:rsidR="00C001A8" w:rsidRPr="00B118B1">
        <w:t>three</w:t>
      </w:r>
      <w:r w:rsidRPr="00B118B1">
        <w:t xml:space="preserve"> months of </w:t>
      </w:r>
      <w:r w:rsidR="00C001A8" w:rsidRPr="00B118B1">
        <w:t xml:space="preserve">their </w:t>
      </w:r>
      <w:r w:rsidRPr="00B118B1">
        <w:t>first renal consultation) and patients returning to dialysis with a failed transplant</w:t>
      </w:r>
      <w:r w:rsidR="00BB6413">
        <w:t>.</w:t>
      </w:r>
    </w:p>
    <w:p w14:paraId="52DAA64A" w14:textId="77777777" w:rsidR="00BB6413" w:rsidRDefault="00BB6413">
      <w:pPr>
        <w:rPr>
          <w:rFonts w:ascii="VIC SemiBold" w:eastAsia="Times New Roman" w:hAnsi="VIC SemiBold" w:cstheme="majorBidi"/>
          <w:bCs/>
          <w:caps/>
          <w:color w:val="007586" w:themeColor="text2"/>
          <w:sz w:val="24"/>
          <w:szCs w:val="26"/>
        </w:rPr>
      </w:pPr>
      <w:bookmarkStart w:id="13" w:name="_Toc8637201"/>
      <w:bookmarkStart w:id="14" w:name="_Toc10460656"/>
      <w:r>
        <w:br w:type="page"/>
      </w:r>
    </w:p>
    <w:p w14:paraId="4A5B197B" w14:textId="0034CFEA" w:rsidR="00286E37" w:rsidRPr="00286E37" w:rsidRDefault="002B2097" w:rsidP="00286E37">
      <w:pPr>
        <w:pStyle w:val="Heading2"/>
      </w:pPr>
      <w:bookmarkStart w:id="15" w:name="_Toc8637202"/>
      <w:bookmarkStart w:id="16" w:name="_Toc10460657"/>
      <w:bookmarkEnd w:id="13"/>
      <w:bookmarkEnd w:id="14"/>
      <w:r w:rsidRPr="00B118B1">
        <w:lastRenderedPageBreak/>
        <w:t>Assessment</w:t>
      </w:r>
      <w:bookmarkEnd w:id="15"/>
      <w:bookmarkEnd w:id="16"/>
    </w:p>
    <w:p w14:paraId="2398AC27" w14:textId="292E50F8" w:rsidR="006327CC" w:rsidRPr="006327CC" w:rsidRDefault="006327CC" w:rsidP="00497F6D">
      <w:pPr>
        <w:pStyle w:val="Heading3"/>
      </w:pPr>
      <w:r>
        <w:t>Assessment of KPI evidence</w:t>
      </w:r>
    </w:p>
    <w:p w14:paraId="75DDC2A6" w14:textId="73B0E360" w:rsidR="002B2097" w:rsidRPr="00343A2D" w:rsidRDefault="00C001A8" w:rsidP="00343A2D">
      <w:pPr>
        <w:pStyle w:val="Bullet1"/>
        <w:numPr>
          <w:ilvl w:val="0"/>
          <w:numId w:val="0"/>
        </w:numPr>
        <w:rPr>
          <w:rFonts w:ascii="VIC" w:hAnsi="VIC"/>
        </w:rPr>
      </w:pPr>
      <w:r w:rsidRPr="00343A2D">
        <w:rPr>
          <w:rFonts w:ascii="VIC" w:hAnsi="VIC"/>
        </w:rPr>
        <w:t>G</w:t>
      </w:r>
      <w:r w:rsidR="002B2097" w:rsidRPr="00343A2D">
        <w:rPr>
          <w:rFonts w:ascii="VIC" w:hAnsi="VIC"/>
        </w:rPr>
        <w:t>ood</w:t>
      </w:r>
      <w:r w:rsidR="00886FB3">
        <w:rPr>
          <w:rFonts w:ascii="VIC" w:hAnsi="VIC"/>
        </w:rPr>
        <w:t xml:space="preserve"> </w:t>
      </w:r>
      <w:r w:rsidR="002B2097" w:rsidRPr="00343A2D">
        <w:rPr>
          <w:rFonts w:ascii="VIC" w:hAnsi="VIC"/>
        </w:rPr>
        <w:t>quality CKD education is an important aspect of care for CKD patients, especially those in a pre-ESKD phase of their CKD trajectory (</w:t>
      </w:r>
      <w:r w:rsidR="002B2097" w:rsidRPr="00343A2D">
        <w:rPr>
          <w:rFonts w:ascii="VIC" w:hAnsi="VIC"/>
          <w:b/>
        </w:rPr>
        <w:t>Appendix 3</w:t>
      </w:r>
      <w:r w:rsidR="002B2097" w:rsidRPr="00343A2D">
        <w:rPr>
          <w:rFonts w:ascii="VIC" w:hAnsi="VIC"/>
        </w:rPr>
        <w:t>).</w:t>
      </w:r>
    </w:p>
    <w:p w14:paraId="57814EF8" w14:textId="4FCEFBC5" w:rsidR="002B2097" w:rsidRPr="00343A2D" w:rsidRDefault="00886FB3" w:rsidP="00343A2D">
      <w:pPr>
        <w:pStyle w:val="Bullet1"/>
        <w:numPr>
          <w:ilvl w:val="0"/>
          <w:numId w:val="0"/>
        </w:numPr>
        <w:rPr>
          <w:rFonts w:ascii="VIC" w:hAnsi="VIC"/>
        </w:rPr>
      </w:pPr>
      <w:r>
        <w:rPr>
          <w:rFonts w:ascii="VIC" w:hAnsi="VIC"/>
        </w:rPr>
        <w:t>Ensuring that renal services provide quality</w:t>
      </w:r>
      <w:r w:rsidR="002B2097" w:rsidRPr="00343A2D">
        <w:rPr>
          <w:rFonts w:ascii="VIC" w:hAnsi="VIC"/>
        </w:rPr>
        <w:t xml:space="preserve"> CKD education is important </w:t>
      </w:r>
      <w:r w:rsidR="00C001A8" w:rsidRPr="00343A2D">
        <w:rPr>
          <w:rFonts w:ascii="VIC" w:hAnsi="VIC"/>
        </w:rPr>
        <w:t>for</w:t>
      </w:r>
      <w:r w:rsidR="002B2097" w:rsidRPr="00343A2D">
        <w:rPr>
          <w:rFonts w:ascii="VIC" w:hAnsi="VIC"/>
        </w:rPr>
        <w:t xml:space="preserve"> good patient outcomes. </w:t>
      </w:r>
    </w:p>
    <w:p w14:paraId="16BF52E4" w14:textId="43E3F6C2" w:rsidR="002B2097" w:rsidRPr="00886FB3" w:rsidRDefault="002B2097" w:rsidP="00BB6413">
      <w:pPr>
        <w:pStyle w:val="Heading3"/>
      </w:pPr>
      <w:bookmarkStart w:id="17" w:name="_Toc8637203"/>
      <w:bookmarkStart w:id="18" w:name="_Toc10460658"/>
      <w:r w:rsidRPr="00BB6413">
        <w:t xml:space="preserve">Potential </w:t>
      </w:r>
      <w:r w:rsidR="002A5A2D" w:rsidRPr="00BB6413">
        <w:t>r</w:t>
      </w:r>
      <w:r w:rsidRPr="000F4969">
        <w:t xml:space="preserve">easons for </w:t>
      </w:r>
      <w:r w:rsidR="002A5A2D" w:rsidRPr="0005708D">
        <w:t>v</w:t>
      </w:r>
      <w:r w:rsidRPr="00886FB3">
        <w:t xml:space="preserve">ariation </w:t>
      </w:r>
      <w:bookmarkEnd w:id="17"/>
      <w:bookmarkEnd w:id="18"/>
    </w:p>
    <w:p w14:paraId="3DEDBACE" w14:textId="65EA5265" w:rsidR="002B2097" w:rsidRPr="00343A2D" w:rsidRDefault="00886FB3" w:rsidP="0077213F">
      <w:pPr>
        <w:pStyle w:val="Bullet1"/>
        <w:rPr>
          <w:rFonts w:ascii="VIC" w:hAnsi="VIC"/>
        </w:rPr>
      </w:pPr>
      <w:bookmarkStart w:id="19" w:name="_Hlk534375906"/>
      <w:r>
        <w:rPr>
          <w:rFonts w:ascii="VIC" w:hAnsi="VIC"/>
        </w:rPr>
        <w:t>P</w:t>
      </w:r>
      <w:r w:rsidR="002B2097" w:rsidRPr="00343A2D">
        <w:rPr>
          <w:rFonts w:ascii="VIC" w:hAnsi="VIC"/>
        </w:rPr>
        <w:t>atient access to education programs</w:t>
      </w:r>
      <w:r>
        <w:rPr>
          <w:rFonts w:ascii="VIC" w:hAnsi="VIC"/>
        </w:rPr>
        <w:t xml:space="preserve">, including </w:t>
      </w:r>
      <w:r w:rsidR="002B2097" w:rsidRPr="00343A2D">
        <w:rPr>
          <w:rFonts w:ascii="VIC" w:hAnsi="VIC"/>
        </w:rPr>
        <w:t>resources, culturally and linguistically diverse (CALD)</w:t>
      </w:r>
      <w:r>
        <w:rPr>
          <w:rFonts w:ascii="VIC" w:hAnsi="VIC"/>
        </w:rPr>
        <w:t xml:space="preserve"> and</w:t>
      </w:r>
      <w:r w:rsidR="002B2097" w:rsidRPr="00343A2D">
        <w:rPr>
          <w:rFonts w:ascii="VIC" w:hAnsi="VIC"/>
        </w:rPr>
        <w:t xml:space="preserve"> transport</w:t>
      </w:r>
      <w:r w:rsidR="006F01F4">
        <w:rPr>
          <w:rFonts w:ascii="VIC" w:hAnsi="VIC"/>
        </w:rPr>
        <w:t>.</w:t>
      </w:r>
    </w:p>
    <w:p w14:paraId="64244235" w14:textId="7EE36265" w:rsidR="002B2097" w:rsidRPr="00343A2D" w:rsidRDefault="00886FB3" w:rsidP="0077213F">
      <w:pPr>
        <w:pStyle w:val="Bullet1"/>
        <w:rPr>
          <w:rFonts w:ascii="VIC" w:hAnsi="VIC"/>
        </w:rPr>
      </w:pPr>
      <w:r>
        <w:rPr>
          <w:rFonts w:ascii="VIC" w:hAnsi="VIC"/>
        </w:rPr>
        <w:t>P</w:t>
      </w:r>
      <w:r w:rsidRPr="00343A2D">
        <w:rPr>
          <w:rFonts w:ascii="VIC" w:hAnsi="VIC"/>
        </w:rPr>
        <w:t xml:space="preserve">atient </w:t>
      </w:r>
      <w:r w:rsidR="002B2097" w:rsidRPr="00343A2D">
        <w:rPr>
          <w:rFonts w:ascii="VIC" w:hAnsi="VIC"/>
        </w:rPr>
        <w:t>uptake of education programs</w:t>
      </w:r>
      <w:r>
        <w:rPr>
          <w:rFonts w:ascii="VIC" w:hAnsi="VIC"/>
        </w:rPr>
        <w:t>, including</w:t>
      </w:r>
      <w:r w:rsidR="002B2097" w:rsidRPr="00343A2D">
        <w:rPr>
          <w:rFonts w:ascii="VIC" w:hAnsi="VIC"/>
        </w:rPr>
        <w:t xml:space="preserve"> psychosocial, support, collaborative care</w:t>
      </w:r>
      <w:r w:rsidR="006F01F4">
        <w:rPr>
          <w:rFonts w:ascii="VIC" w:hAnsi="VIC"/>
        </w:rPr>
        <w:t>.</w:t>
      </w:r>
    </w:p>
    <w:p w14:paraId="5E0CCF22" w14:textId="74F3E03E" w:rsidR="002B2097" w:rsidRPr="00343A2D" w:rsidRDefault="00886FB3" w:rsidP="0077213F">
      <w:pPr>
        <w:pStyle w:val="Bullet1"/>
        <w:rPr>
          <w:rFonts w:ascii="VIC" w:hAnsi="VIC"/>
        </w:rPr>
      </w:pPr>
      <w:r>
        <w:rPr>
          <w:rFonts w:ascii="VIC" w:hAnsi="VIC"/>
        </w:rPr>
        <w:t>D</w:t>
      </w:r>
      <w:r w:rsidRPr="00343A2D">
        <w:rPr>
          <w:rFonts w:ascii="VIC" w:hAnsi="VIC"/>
        </w:rPr>
        <w:t xml:space="preserve">ocumentation </w:t>
      </w:r>
      <w:r w:rsidR="002B2097" w:rsidRPr="00343A2D">
        <w:rPr>
          <w:rFonts w:ascii="VIC" w:hAnsi="VIC"/>
        </w:rPr>
        <w:t>of education provided due to processes, definitions, measures.</w:t>
      </w:r>
    </w:p>
    <w:p w14:paraId="7321D03D" w14:textId="57347034" w:rsidR="002B2097" w:rsidRPr="00886FB3" w:rsidRDefault="002B2097">
      <w:pPr>
        <w:pStyle w:val="Heading3"/>
      </w:pPr>
      <w:bookmarkStart w:id="20" w:name="_Toc8637205"/>
      <w:bookmarkStart w:id="21" w:name="_Toc10460660"/>
      <w:bookmarkEnd w:id="19"/>
      <w:r w:rsidRPr="00886FB3">
        <w:t xml:space="preserve">Assessment of KPI </w:t>
      </w:r>
      <w:r w:rsidR="002A5A2D" w:rsidRPr="00886FB3">
        <w:t>p</w:t>
      </w:r>
      <w:r w:rsidRPr="00886FB3">
        <w:t>erformance</w:t>
      </w:r>
      <w:bookmarkEnd w:id="20"/>
      <w:bookmarkEnd w:id="21"/>
    </w:p>
    <w:p w14:paraId="32D51C76" w14:textId="11230543" w:rsidR="00886FB3" w:rsidRPr="00E97B5C" w:rsidRDefault="00886FB3" w:rsidP="00343A2D">
      <w:pPr>
        <w:pStyle w:val="Normalfollowingheading"/>
      </w:pPr>
      <w:r w:rsidRPr="00564975">
        <w:t xml:space="preserve">In recent quarterly reports </w:t>
      </w:r>
      <w:r w:rsidR="009D2D45">
        <w:t xml:space="preserve">(KPI Q) </w:t>
      </w:r>
      <w:r w:rsidRPr="00564975">
        <w:t>variation between services has been minimal, with all services consistently achieving the target.</w:t>
      </w:r>
      <w:r w:rsidR="00B754D0" w:rsidRPr="00B754D0">
        <w:t xml:space="preserve"> </w:t>
      </w:r>
    </w:p>
    <w:p w14:paraId="733E9ABC" w14:textId="11C15C3A" w:rsidR="002B2097" w:rsidRPr="0005708D" w:rsidRDefault="002B2097" w:rsidP="00343A2D">
      <w:r w:rsidRPr="00BB6413">
        <w:t xml:space="preserve">All hub providers of </w:t>
      </w:r>
      <w:r w:rsidR="008F4A7B" w:rsidRPr="00BB6413">
        <w:t>r</w:t>
      </w:r>
      <w:r w:rsidRPr="00BB6413">
        <w:t xml:space="preserve">enal </w:t>
      </w:r>
      <w:r w:rsidR="008F4A7B" w:rsidRPr="000F4969">
        <w:t>c</w:t>
      </w:r>
      <w:r w:rsidRPr="0005708D">
        <w:t>are services have consistently achieved the 80</w:t>
      </w:r>
      <w:r w:rsidR="008F4A7B" w:rsidRPr="00564975">
        <w:t xml:space="preserve"> per cent</w:t>
      </w:r>
      <w:r w:rsidRPr="00564975">
        <w:t xml:space="preserve"> targ</w:t>
      </w:r>
      <w:r w:rsidRPr="00B1282F">
        <w:t>et for KPI</w:t>
      </w:r>
      <w:r w:rsidR="00886FB3">
        <w:t xml:space="preserve"> </w:t>
      </w:r>
      <w:r w:rsidRPr="00BB6413">
        <w:t>1 since shortly after it</w:t>
      </w:r>
      <w:r w:rsidR="00790405" w:rsidRPr="00BB6413">
        <w:t xml:space="preserve"> began</w:t>
      </w:r>
      <w:r w:rsidR="008F4A7B" w:rsidRPr="000F4969">
        <w:t>.</w:t>
      </w:r>
    </w:p>
    <w:p w14:paraId="2D8D3C3C" w14:textId="7BF5D943" w:rsidR="002B2097" w:rsidRPr="000F4969" w:rsidRDefault="002B2097" w:rsidP="00343A2D">
      <w:r w:rsidRPr="00564975">
        <w:t xml:space="preserve">In the first </w:t>
      </w:r>
      <w:r w:rsidR="008F4A7B" w:rsidRPr="00564975">
        <w:t>one to two</w:t>
      </w:r>
      <w:r w:rsidRPr="00B1282F">
        <w:t xml:space="preserve"> years of the KPI program there was </w:t>
      </w:r>
      <w:r w:rsidR="00886FB3">
        <w:t>significant</w:t>
      </w:r>
      <w:r w:rsidR="00886FB3" w:rsidRPr="00BB6413">
        <w:t xml:space="preserve"> </w:t>
      </w:r>
      <w:r w:rsidRPr="00BB6413">
        <w:t>improvement in the performance of some hubs for this KPI</w:t>
      </w:r>
      <w:r w:rsidR="008F4A7B" w:rsidRPr="000F4969">
        <w:t>.</w:t>
      </w:r>
      <w:r w:rsidR="00886FB3">
        <w:t xml:space="preserve"> However, t</w:t>
      </w:r>
      <w:r w:rsidRPr="000F4969">
        <w:t>here has been no demonstrable improvement in the performance of health services in KPI</w:t>
      </w:r>
      <w:r w:rsidR="00886FB3">
        <w:t xml:space="preserve"> </w:t>
      </w:r>
      <w:r w:rsidRPr="00BB6413">
        <w:t>1 in recent years</w:t>
      </w:r>
      <w:r w:rsidR="008F4A7B" w:rsidRPr="00BB6413">
        <w:t>.</w:t>
      </w:r>
    </w:p>
    <w:p w14:paraId="1E4C8DD6" w14:textId="1A9721CD" w:rsidR="002B2097" w:rsidRPr="00B1282F" w:rsidRDefault="002B2097" w:rsidP="00343A2D">
      <w:r w:rsidRPr="0005708D">
        <w:t xml:space="preserve">There is no convincing evidence that </w:t>
      </w:r>
      <w:r w:rsidRPr="00B1282F">
        <w:t>KPI</w:t>
      </w:r>
      <w:r w:rsidR="00886FB3">
        <w:t xml:space="preserve"> </w:t>
      </w:r>
      <w:r w:rsidRPr="00BB6413">
        <w:t xml:space="preserve">1 in its current form is </w:t>
      </w:r>
      <w:r w:rsidRPr="000F4969">
        <w:t xml:space="preserve">an effective </w:t>
      </w:r>
      <w:r w:rsidR="006F01F4">
        <w:t>quality improvement</w:t>
      </w:r>
      <w:r w:rsidRPr="000F4969">
        <w:t xml:space="preserve"> </w:t>
      </w:r>
      <w:r w:rsidR="00790405" w:rsidRPr="0005708D">
        <w:t>i</w:t>
      </w:r>
      <w:r w:rsidRPr="00564975">
        <w:t>ndicator to actively improve the quality of CKD education</w:t>
      </w:r>
      <w:r w:rsidR="008F4A7B" w:rsidRPr="00B1282F">
        <w:t>.</w:t>
      </w:r>
    </w:p>
    <w:p w14:paraId="79E9FB84" w14:textId="17C98CFF" w:rsidR="002B2097" w:rsidRDefault="002B2097">
      <w:r w:rsidRPr="00F35A12">
        <w:t xml:space="preserve">A major limitation of </w:t>
      </w:r>
      <w:r w:rsidR="00886FB3">
        <w:t xml:space="preserve">this KPI </w:t>
      </w:r>
      <w:r w:rsidRPr="000F4969">
        <w:t>is that it provides no information about the quality or usefuln</w:t>
      </w:r>
      <w:r w:rsidRPr="0005708D">
        <w:t>ess of the CKD education provided from the perspective of either the patient or the provider</w:t>
      </w:r>
      <w:r w:rsidR="00AD26D9" w:rsidRPr="00564975">
        <w:t>.</w:t>
      </w:r>
    </w:p>
    <w:p w14:paraId="610D12DA" w14:textId="05834A37" w:rsidR="00AC5B5F" w:rsidRPr="00564975" w:rsidRDefault="00AC5B5F" w:rsidP="00AC5B5F">
      <w:r>
        <w:rPr>
          <w:noProof/>
        </w:rPr>
        <mc:AlternateContent>
          <mc:Choice Requires="wps">
            <w:drawing>
              <wp:inline distT="0" distB="0" distL="0" distR="0" wp14:anchorId="18C2D82E" wp14:editId="328B685B">
                <wp:extent cx="6464410" cy="1764000"/>
                <wp:effectExtent l="0" t="0" r="12700" b="17780"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410" cy="176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F60E7" w14:textId="087026EE" w:rsidR="00AE683F" w:rsidRPr="004D6898" w:rsidRDefault="00AE683F" w:rsidP="00AC5B5F">
                            <w:pPr>
                              <w:pStyle w:val="PulloutHeading"/>
                            </w:pPr>
                            <w:r>
                              <w:t>Recommendations and next steps</w:t>
                            </w:r>
                          </w:p>
                          <w:p w14:paraId="11767D47" w14:textId="29DD6872" w:rsidR="00AE683F" w:rsidRPr="00BB6413" w:rsidRDefault="00AE683F" w:rsidP="00343A2D">
                            <w:pPr>
                              <w:pStyle w:val="PulloutText"/>
                            </w:pPr>
                            <w:r>
                              <w:t>To improve the performance of this KPI, the</w:t>
                            </w:r>
                            <w:r w:rsidRPr="00BB6413">
                              <w:t xml:space="preserve"> </w:t>
                            </w:r>
                            <w:r>
                              <w:t>Renal Clinical Network will</w:t>
                            </w:r>
                            <w:r w:rsidRPr="00BB6413">
                              <w:t xml:space="preserve"> develop a better measure o</w:t>
                            </w:r>
                            <w:r w:rsidRPr="000F4969">
                              <w:t>f the quality of CKD education</w:t>
                            </w:r>
                            <w:r>
                              <w:t>. This measure will</w:t>
                            </w:r>
                            <w:r w:rsidRPr="00BB6413">
                              <w:t xml:space="preserve"> replace the </w:t>
                            </w:r>
                            <w:r>
                              <w:t>current</w:t>
                            </w:r>
                            <w:r w:rsidRPr="00BB6413">
                              <w:t xml:space="preserve"> KPI</w:t>
                            </w:r>
                            <w:r>
                              <w:t xml:space="preserve"> </w:t>
                            </w:r>
                            <w:r w:rsidRPr="00BB6413">
                              <w:t>1</w:t>
                            </w:r>
                            <w:r>
                              <w:t xml:space="preserve"> and will be developed by</w:t>
                            </w:r>
                            <w:r w:rsidRPr="00BB6413">
                              <w:t xml:space="preserve"> </w:t>
                            </w:r>
                            <w:r>
                              <w:t>SCV’s</w:t>
                            </w:r>
                            <w:r w:rsidRPr="00BB6413">
                              <w:t xml:space="preserve"> </w:t>
                            </w:r>
                            <w:r w:rsidRPr="00E97B5C">
                              <w:t xml:space="preserve">improving patient–provider communication </w:t>
                            </w:r>
                            <w:r w:rsidRPr="00F60E30">
                              <w:t>working group</w:t>
                            </w:r>
                            <w:r w:rsidRPr="00BB6413">
                              <w:t>.</w:t>
                            </w:r>
                          </w:p>
                          <w:p w14:paraId="79A53C54" w14:textId="77A11386" w:rsidR="00AE683F" w:rsidRDefault="00AE683F" w:rsidP="00AC5B5F">
                            <w:pPr>
                              <w:pStyle w:val="PulloutText"/>
                            </w:pPr>
                            <w:r w:rsidRPr="00BB6413">
                              <w:t xml:space="preserve">The </w:t>
                            </w:r>
                            <w:r>
                              <w:t>Renal Clinical Network</w:t>
                            </w:r>
                            <w:r w:rsidRPr="000F4969">
                              <w:t xml:space="preserve"> should s</w:t>
                            </w:r>
                            <w:r w:rsidRPr="0005708D">
                              <w:t>tandardise</w:t>
                            </w:r>
                            <w:r w:rsidRPr="00B118B1">
                              <w:t xml:space="preserve"> and document achievements in CKD education, RRT consent and shared decision making, and develop and implement useful </w:t>
                            </w:r>
                            <w:r>
                              <w:t>quality improvement</w:t>
                            </w:r>
                            <w:r w:rsidRPr="00B118B1">
                              <w:t xml:space="preserve"> indicators </w:t>
                            </w:r>
                            <w:r>
                              <w:t>for</w:t>
                            </w:r>
                            <w:r w:rsidRPr="00BB6413">
                              <w:t xml:space="preserve"> these processes through the </w:t>
                            </w:r>
                            <w:r w:rsidRPr="000F4969">
                              <w:t>working group.</w:t>
                            </w:r>
                          </w:p>
                        </w:txbxContent>
                      </wps:txbx>
                      <wps:bodyPr rot="0" vert="horz" wrap="square" lIns="180000" tIns="180000" rIns="144000" bIns="36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C2D8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09pt;height:1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" fillcolor="#edf5f7 [3214]" strokecolor="#edf5f7 [3214]" strokeweight=".5pt">
                <v:textbox style="mso-fit-shape-to-text:t" inset="5mm,5mm,4mm,1mm">
                  <w:txbxContent>
                    <w:p w14:paraId="092F60E7" w14:textId="087026EE" w:rsidR="00AE683F" w:rsidRPr="004D6898" w:rsidRDefault="00AE683F" w:rsidP="00AC5B5F">
                      <w:pPr>
                        <w:pStyle w:val="PulloutHeading"/>
                      </w:pPr>
                      <w:r>
                        <w:t>Recommendations and next steps</w:t>
                      </w:r>
                    </w:p>
                    <w:p w14:paraId="11767D47" w14:textId="29DD6872" w:rsidR="00AE683F" w:rsidRPr="00BB6413" w:rsidRDefault="00AE683F" w:rsidP="00343A2D">
                      <w:pPr>
                        <w:pStyle w:val="PulloutText"/>
                      </w:pPr>
                      <w:r>
                        <w:t>To improve the performance of this KPI, the</w:t>
                      </w:r>
                      <w:r w:rsidRPr="00BB6413">
                        <w:t xml:space="preserve"> </w:t>
                      </w:r>
                      <w:r>
                        <w:t>Renal Clinical Network will</w:t>
                      </w:r>
                      <w:r w:rsidRPr="00BB6413">
                        <w:t xml:space="preserve"> develop a better measure o</w:t>
                      </w:r>
                      <w:r w:rsidRPr="000F4969">
                        <w:t>f the quality of CKD education</w:t>
                      </w:r>
                      <w:r>
                        <w:t>. This measure will</w:t>
                      </w:r>
                      <w:r w:rsidRPr="00BB6413">
                        <w:t xml:space="preserve"> replace the </w:t>
                      </w:r>
                      <w:r>
                        <w:t>current</w:t>
                      </w:r>
                      <w:r w:rsidRPr="00BB6413">
                        <w:t xml:space="preserve"> KPI</w:t>
                      </w:r>
                      <w:r>
                        <w:t xml:space="preserve"> </w:t>
                      </w:r>
                      <w:r w:rsidRPr="00BB6413">
                        <w:t>1</w:t>
                      </w:r>
                      <w:r>
                        <w:t xml:space="preserve"> and will be developed by</w:t>
                      </w:r>
                      <w:r w:rsidRPr="00BB6413">
                        <w:t xml:space="preserve"> </w:t>
                      </w:r>
                      <w:r>
                        <w:t>SCV’s</w:t>
                      </w:r>
                      <w:r w:rsidRPr="00BB6413">
                        <w:t xml:space="preserve"> </w:t>
                      </w:r>
                      <w:r w:rsidRPr="00E97B5C">
                        <w:t xml:space="preserve">improving patient–provider communication </w:t>
                      </w:r>
                      <w:r w:rsidRPr="00F60E30">
                        <w:t>working group</w:t>
                      </w:r>
                      <w:r w:rsidRPr="00BB6413">
                        <w:t>.</w:t>
                      </w:r>
                    </w:p>
                    <w:p w14:paraId="79A53C54" w14:textId="77A11386" w:rsidR="00AE683F" w:rsidRDefault="00AE683F" w:rsidP="00AC5B5F">
                      <w:pPr>
                        <w:pStyle w:val="PulloutText"/>
                      </w:pPr>
                      <w:r w:rsidRPr="00BB6413">
                        <w:t xml:space="preserve">The </w:t>
                      </w:r>
                      <w:r>
                        <w:t>Renal Clinical Network</w:t>
                      </w:r>
                      <w:r w:rsidRPr="000F4969">
                        <w:t xml:space="preserve"> should s</w:t>
                      </w:r>
                      <w:r w:rsidRPr="0005708D">
                        <w:t>tandardise</w:t>
                      </w:r>
                      <w:r w:rsidRPr="00B118B1">
                        <w:t xml:space="preserve"> and document achievements in CKD education, RRT consent and shared decision making, and develop and implement useful </w:t>
                      </w:r>
                      <w:r>
                        <w:t>quality improvement</w:t>
                      </w:r>
                      <w:r w:rsidRPr="00B118B1">
                        <w:t xml:space="preserve"> indicators </w:t>
                      </w:r>
                      <w:r>
                        <w:t>for</w:t>
                      </w:r>
                      <w:r w:rsidRPr="00BB6413">
                        <w:t xml:space="preserve"> these processes through the </w:t>
                      </w:r>
                      <w:r w:rsidRPr="000F4969">
                        <w:t>working group.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D1F9C3" w14:textId="77777777" w:rsidR="00774A9D" w:rsidRDefault="00774A9D">
      <w:r>
        <w:br w:type="page"/>
      </w:r>
    </w:p>
    <w:p w14:paraId="3FD6EA73" w14:textId="1AA29F9D" w:rsidR="00774A9D" w:rsidRDefault="00774A9D" w:rsidP="00774A9D">
      <w:pPr>
        <w:pStyle w:val="Heading1"/>
        <w:framePr w:wrap="around"/>
      </w:pPr>
      <w:bookmarkStart w:id="22" w:name="_Toc17103958"/>
      <w:r>
        <w:lastRenderedPageBreak/>
        <w:t>Key performance indicator 1a (SURE test) pilot</w:t>
      </w:r>
      <w:bookmarkEnd w:id="22"/>
    </w:p>
    <w:p w14:paraId="0E8C6C90" w14:textId="4AA43B50" w:rsidR="00BB6413" w:rsidRPr="00343A2D" w:rsidRDefault="00BB6413" w:rsidP="00343A2D">
      <w:pPr>
        <w:pStyle w:val="Heading3"/>
        <w:rPr>
          <w:b/>
        </w:rPr>
      </w:pPr>
      <w:r w:rsidRPr="00BB6413">
        <w:t>Proportion of planned patients who have received timely and effective CKD education before starting dialysis</w:t>
      </w:r>
    </w:p>
    <w:p w14:paraId="0E6495FF" w14:textId="4AFB55B4" w:rsidR="002D6A62" w:rsidRPr="00BB6413" w:rsidRDefault="002D6A62" w:rsidP="00343A2D">
      <w:pPr>
        <w:pStyle w:val="Normalfollowingheading"/>
      </w:pPr>
      <w:r>
        <w:t>D</w:t>
      </w:r>
      <w:r w:rsidRPr="00BB6413">
        <w:t xml:space="preserve">irect patient involvement </w:t>
      </w:r>
      <w:r w:rsidR="00FE61AB">
        <w:t>is important when</w:t>
      </w:r>
      <w:r w:rsidRPr="00BB6413">
        <w:t xml:space="preserve"> </w:t>
      </w:r>
      <w:r w:rsidR="00645263">
        <w:t>evaluating</w:t>
      </w:r>
      <w:r w:rsidR="000A5879">
        <w:t xml:space="preserve"> the quality of</w:t>
      </w:r>
      <w:r w:rsidRPr="00BB6413">
        <w:t xml:space="preserve"> CKD education</w:t>
      </w:r>
      <w:r w:rsidR="00E97B5C">
        <w:t>.</w:t>
      </w:r>
    </w:p>
    <w:p w14:paraId="43DB0AD0" w14:textId="6EE6B100" w:rsidR="002D6A62" w:rsidRPr="00BB6413" w:rsidRDefault="002D6A62">
      <w:r w:rsidRPr="00BB6413">
        <w:t xml:space="preserve">The SURE test </w:t>
      </w:r>
      <w:r w:rsidR="00F60E30">
        <w:t xml:space="preserve">offers one approach to </w:t>
      </w:r>
      <w:r w:rsidRPr="00BB6413">
        <w:t>assess decisional conflict in patients.</w:t>
      </w:r>
      <w:r w:rsidRPr="00BB6413">
        <w:rPr>
          <w:vertAlign w:val="superscript"/>
        </w:rPr>
        <w:t>8</w:t>
      </w:r>
      <w:r w:rsidRPr="00BB6413">
        <w:t xml:space="preserve"> The</w:t>
      </w:r>
      <w:r w:rsidR="00F60E30">
        <w:t xml:space="preserve"> SURE test </w:t>
      </w:r>
      <w:r w:rsidR="00F60E30" w:rsidRPr="00290AC2">
        <w:t>is a four-</w:t>
      </w:r>
      <w:r w:rsidR="006F01F4">
        <w:t>part</w:t>
      </w:r>
      <w:r w:rsidR="00F60E30" w:rsidRPr="00290AC2">
        <w:t xml:space="preserve"> screening test</w:t>
      </w:r>
      <w:r w:rsidR="00F60E30">
        <w:t>:</w:t>
      </w:r>
    </w:p>
    <w:p w14:paraId="453AA9B9" w14:textId="77777777" w:rsidR="002D6A62" w:rsidRPr="00343A2D" w:rsidRDefault="002D6A62" w:rsidP="002D6A62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Sure of myself</w:t>
      </w:r>
    </w:p>
    <w:p w14:paraId="768E0814" w14:textId="77777777" w:rsidR="002D6A62" w:rsidRPr="00343A2D" w:rsidRDefault="002D6A62" w:rsidP="002D6A62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Understand information</w:t>
      </w:r>
    </w:p>
    <w:p w14:paraId="41D8DA5B" w14:textId="77777777" w:rsidR="002D6A62" w:rsidRPr="00343A2D" w:rsidRDefault="002D6A62" w:rsidP="002D6A62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Risk-benefit ratio</w:t>
      </w:r>
    </w:p>
    <w:p w14:paraId="373DAEE6" w14:textId="2321312E" w:rsidR="002D6A62" w:rsidRPr="00343A2D" w:rsidRDefault="002D6A62" w:rsidP="002D6A62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Encouragement.</w:t>
      </w:r>
    </w:p>
    <w:p w14:paraId="744985BD" w14:textId="42ACAD96" w:rsidR="00F60E30" w:rsidRDefault="002D6A62" w:rsidP="00BB6413">
      <w:r w:rsidRPr="00BB6413">
        <w:t xml:space="preserve">The test was initially developed </w:t>
      </w:r>
      <w:r w:rsidR="00F60E30">
        <w:t>to</w:t>
      </w:r>
      <w:r w:rsidRPr="00BB6413">
        <w:t xml:space="preserve"> assist women considering prenatal screening for Down syndrome</w:t>
      </w:r>
      <w:r w:rsidR="00F60E30">
        <w:t>.</w:t>
      </w:r>
      <w:r w:rsidRPr="00BB6413">
        <w:t xml:space="preserve"> </w:t>
      </w:r>
      <w:r w:rsidR="00F60E30">
        <w:t>I</w:t>
      </w:r>
      <w:r w:rsidRPr="00BB6413">
        <w:t>t was found to correlate with the Decisional Conflict Scale.</w:t>
      </w:r>
    </w:p>
    <w:p w14:paraId="04242CFB" w14:textId="0E55AED0" w:rsidR="00BB6413" w:rsidRPr="00BB6413" w:rsidRDefault="00F60E30" w:rsidP="00BB6413">
      <w:r>
        <w:t>T</w:t>
      </w:r>
      <w:r w:rsidR="002D6A62" w:rsidRPr="00BB6413">
        <w:t xml:space="preserve">he SURE test has been applied to other situations </w:t>
      </w:r>
      <w:r>
        <w:t>where there is uncertainty in</w:t>
      </w:r>
      <w:r w:rsidR="002D6A62" w:rsidRPr="00BB6413">
        <w:t xml:space="preserve"> decision</w:t>
      </w:r>
      <w:r>
        <w:t xml:space="preserve">s </w:t>
      </w:r>
      <w:r w:rsidR="002D6A62" w:rsidRPr="00BB6413">
        <w:t xml:space="preserve">and is used </w:t>
      </w:r>
      <w:r>
        <w:t>to</w:t>
      </w:r>
      <w:r w:rsidR="002D6A62" w:rsidRPr="00BB6413">
        <w:t xml:space="preserve"> measure the quality of shared decision making. </w:t>
      </w:r>
    </w:p>
    <w:p w14:paraId="5E7B125A" w14:textId="3D7690D9" w:rsidR="006F4237" w:rsidRDefault="006F4237">
      <w:pPr>
        <w:pStyle w:val="Heading2"/>
      </w:pPr>
      <w:bookmarkStart w:id="23" w:name="_Toc8637211"/>
      <w:bookmarkStart w:id="24" w:name="_Toc10460665"/>
      <w:r w:rsidRPr="00F60E30">
        <w:t>Assessment</w:t>
      </w:r>
      <w:bookmarkEnd w:id="23"/>
      <w:bookmarkEnd w:id="24"/>
    </w:p>
    <w:p w14:paraId="31E2EDBF" w14:textId="7F83268F" w:rsidR="00E81662" w:rsidRPr="00E81662" w:rsidRDefault="00E81662" w:rsidP="00533909">
      <w:pPr>
        <w:pStyle w:val="Heading3"/>
      </w:pPr>
      <w:r>
        <w:t>Assessment of KPI evidence</w:t>
      </w:r>
    </w:p>
    <w:p w14:paraId="327BDFF0" w14:textId="2D282678" w:rsidR="006F4237" w:rsidRPr="00343A2D" w:rsidRDefault="006F4237" w:rsidP="00343A2D">
      <w:pPr>
        <w:pStyle w:val="Normalfollowingheading"/>
      </w:pPr>
      <w:bookmarkStart w:id="25" w:name="_Hlk534376035"/>
      <w:r w:rsidRPr="00564975">
        <w:t xml:space="preserve">There is a strong rationale for direct patient involvement in </w:t>
      </w:r>
      <w:r w:rsidR="00C90DC3" w:rsidRPr="00B1282F">
        <w:t>developing</w:t>
      </w:r>
      <w:r w:rsidRPr="00F35A12">
        <w:t xml:space="preserve"> CKD education </w:t>
      </w:r>
      <w:r w:rsidR="00C90DC3" w:rsidRPr="00343A2D">
        <w:t xml:space="preserve">quality measures </w:t>
      </w:r>
      <w:r w:rsidRPr="00343A2D">
        <w:t>through patient</w:t>
      </w:r>
      <w:r w:rsidR="00C90DC3" w:rsidRPr="00343A2D">
        <w:t>-</w:t>
      </w:r>
      <w:r w:rsidRPr="00343A2D">
        <w:t>reported measurement</w:t>
      </w:r>
      <w:r w:rsidR="008F4A7B" w:rsidRPr="00343A2D">
        <w:t>.</w:t>
      </w:r>
    </w:p>
    <w:bookmarkEnd w:id="25"/>
    <w:p w14:paraId="554ABA7A" w14:textId="77777777" w:rsidR="006F4237" w:rsidRPr="00B1282F" w:rsidRDefault="006F4237" w:rsidP="00343A2D">
      <w:r w:rsidRPr="00343A2D">
        <w:t>The SURE test has not been specifically evaluated for use as a tool to assess the quality of CKD education (</w:t>
      </w:r>
      <w:r w:rsidRPr="00343A2D">
        <w:rPr>
          <w:b/>
        </w:rPr>
        <w:t>Appendix 3</w:t>
      </w:r>
      <w:r w:rsidRPr="00B1282F">
        <w:t>).</w:t>
      </w:r>
    </w:p>
    <w:p w14:paraId="2EE0AE51" w14:textId="27DCCF27" w:rsidR="006F4237" w:rsidRPr="00D22FE8" w:rsidRDefault="006F4237" w:rsidP="00BB6413">
      <w:pPr>
        <w:pStyle w:val="Heading3"/>
      </w:pPr>
      <w:bookmarkStart w:id="26" w:name="_Toc8637212"/>
      <w:bookmarkStart w:id="27" w:name="_Toc10460666"/>
      <w:r w:rsidRPr="00BB6413">
        <w:t xml:space="preserve">Potential </w:t>
      </w:r>
      <w:r w:rsidR="002A5A2D" w:rsidRPr="00BB6413">
        <w:t>r</w:t>
      </w:r>
      <w:r w:rsidRPr="00BB6413">
        <w:t xml:space="preserve">easons for </w:t>
      </w:r>
      <w:r w:rsidR="002A5A2D" w:rsidRPr="00BB6413">
        <w:t>v</w:t>
      </w:r>
      <w:r w:rsidRPr="000F4969">
        <w:t>ariation</w:t>
      </w:r>
      <w:bookmarkEnd w:id="26"/>
      <w:bookmarkEnd w:id="27"/>
    </w:p>
    <w:p w14:paraId="27670298" w14:textId="23AE9107" w:rsidR="006F4237" w:rsidRPr="00343A2D" w:rsidRDefault="00D22FE8" w:rsidP="0077213F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</w:t>
      </w:r>
      <w:r w:rsidR="006F4237" w:rsidRPr="00343A2D">
        <w:rPr>
          <w:rFonts w:ascii="VIC" w:hAnsi="VIC"/>
        </w:rPr>
        <w:t>atient access to education programs</w:t>
      </w:r>
      <w:r w:rsidRPr="00343A2D">
        <w:rPr>
          <w:rFonts w:ascii="VIC" w:hAnsi="VIC"/>
        </w:rPr>
        <w:t xml:space="preserve">, including </w:t>
      </w:r>
      <w:r w:rsidR="006F4237" w:rsidRPr="00343A2D">
        <w:rPr>
          <w:rFonts w:ascii="VIC" w:hAnsi="VIC"/>
        </w:rPr>
        <w:t>resources, CALD</w:t>
      </w:r>
      <w:r w:rsidRPr="00343A2D">
        <w:rPr>
          <w:rFonts w:ascii="VIC" w:hAnsi="VIC"/>
        </w:rPr>
        <w:t xml:space="preserve"> and </w:t>
      </w:r>
      <w:r w:rsidR="006F4237" w:rsidRPr="00343A2D">
        <w:rPr>
          <w:rFonts w:ascii="VIC" w:hAnsi="VIC"/>
        </w:rPr>
        <w:t>transport</w:t>
      </w:r>
      <w:r w:rsidR="006F01F4">
        <w:rPr>
          <w:rFonts w:ascii="VIC" w:hAnsi="VIC"/>
        </w:rPr>
        <w:t>.</w:t>
      </w:r>
    </w:p>
    <w:p w14:paraId="35DB58A9" w14:textId="1BC5EBAB" w:rsidR="006F4237" w:rsidRPr="00343A2D" w:rsidRDefault="00D22FE8" w:rsidP="0077213F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</w:t>
      </w:r>
      <w:r w:rsidR="006F4237" w:rsidRPr="00343A2D">
        <w:rPr>
          <w:rFonts w:ascii="VIC" w:hAnsi="VIC"/>
        </w:rPr>
        <w:t>atient uptake of education programs</w:t>
      </w:r>
      <w:r w:rsidRPr="00343A2D">
        <w:rPr>
          <w:rFonts w:ascii="VIC" w:hAnsi="VIC"/>
        </w:rPr>
        <w:t xml:space="preserve">, including </w:t>
      </w:r>
      <w:r w:rsidR="006F4237" w:rsidRPr="00343A2D">
        <w:rPr>
          <w:rFonts w:ascii="VIC" w:hAnsi="VIC"/>
        </w:rPr>
        <w:t>psychosocial, support</w:t>
      </w:r>
      <w:r w:rsidRPr="00343A2D">
        <w:rPr>
          <w:rFonts w:ascii="VIC" w:hAnsi="VIC"/>
        </w:rPr>
        <w:t xml:space="preserve"> and </w:t>
      </w:r>
      <w:r w:rsidR="006F4237" w:rsidRPr="00343A2D">
        <w:rPr>
          <w:rFonts w:ascii="VIC" w:hAnsi="VIC"/>
        </w:rPr>
        <w:t>collaborative care</w:t>
      </w:r>
      <w:r w:rsidR="006F01F4">
        <w:rPr>
          <w:rFonts w:ascii="VIC" w:hAnsi="VIC"/>
        </w:rPr>
        <w:t>.</w:t>
      </w:r>
    </w:p>
    <w:p w14:paraId="3AE52443" w14:textId="69FAB561" w:rsidR="006F4237" w:rsidRPr="00343A2D" w:rsidRDefault="00D22FE8" w:rsidP="0077213F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D</w:t>
      </w:r>
      <w:r w:rsidR="006F4237" w:rsidRPr="00343A2D">
        <w:rPr>
          <w:rFonts w:ascii="VIC" w:hAnsi="VIC"/>
        </w:rPr>
        <w:t>ocumentation of education provided due to processes, definitions</w:t>
      </w:r>
      <w:r w:rsidRPr="00343A2D">
        <w:rPr>
          <w:rFonts w:ascii="VIC" w:hAnsi="VIC"/>
        </w:rPr>
        <w:t xml:space="preserve"> and </w:t>
      </w:r>
      <w:r w:rsidR="006F4237" w:rsidRPr="00343A2D">
        <w:rPr>
          <w:rFonts w:ascii="VIC" w:hAnsi="VIC"/>
        </w:rPr>
        <w:t>measures.</w:t>
      </w:r>
    </w:p>
    <w:p w14:paraId="1A6CB468" w14:textId="15D8EAC1" w:rsidR="006F4237" w:rsidRPr="00564975" w:rsidRDefault="006F4237" w:rsidP="00343A2D">
      <w:pPr>
        <w:pStyle w:val="Normalfollowingheading"/>
      </w:pPr>
      <w:r w:rsidRPr="00564975">
        <w:t xml:space="preserve">There is limited data at this stage </w:t>
      </w:r>
      <w:r w:rsidR="00E77056" w:rsidRPr="00564975">
        <w:t xml:space="preserve">about </w:t>
      </w:r>
      <w:r w:rsidRPr="00B1282F">
        <w:t xml:space="preserve">the level of variation </w:t>
      </w:r>
      <w:r w:rsidR="00D22FE8">
        <w:t>in</w:t>
      </w:r>
      <w:r w:rsidRPr="000F4969">
        <w:t xml:space="preserve"> KPI</w:t>
      </w:r>
      <w:r w:rsidR="00D22FE8" w:rsidRPr="0005708D">
        <w:t xml:space="preserve"> </w:t>
      </w:r>
      <w:r w:rsidRPr="00564975">
        <w:t>1a.</w:t>
      </w:r>
    </w:p>
    <w:p w14:paraId="5751C323" w14:textId="3DB2B0F3" w:rsidR="006F4237" w:rsidRPr="00BB6413" w:rsidRDefault="006F4237" w:rsidP="00BB6413">
      <w:pPr>
        <w:pStyle w:val="Heading3"/>
      </w:pPr>
      <w:bookmarkStart w:id="28" w:name="_Toc8637214"/>
      <w:bookmarkStart w:id="29" w:name="_Toc10460668"/>
      <w:r w:rsidRPr="00BB6413">
        <w:t xml:space="preserve">Assessment of </w:t>
      </w:r>
      <w:r w:rsidR="002A5A2D" w:rsidRPr="00BB6413">
        <w:t>p</w:t>
      </w:r>
      <w:r w:rsidRPr="00BB6413">
        <w:t>erformance</w:t>
      </w:r>
      <w:bookmarkEnd w:id="28"/>
      <w:bookmarkEnd w:id="29"/>
    </w:p>
    <w:p w14:paraId="5C5FE60F" w14:textId="0079951F" w:rsidR="00BB6413" w:rsidRPr="00564975" w:rsidRDefault="006F4237" w:rsidP="00343A2D">
      <w:pPr>
        <w:pStyle w:val="Normalfollowingheading"/>
      </w:pPr>
      <w:r w:rsidRPr="00BB6413">
        <w:t>The</w:t>
      </w:r>
      <w:r w:rsidRPr="000F4969">
        <w:t>re is insufficient data to determine whether KPI</w:t>
      </w:r>
      <w:r w:rsidR="00EF2E1E">
        <w:t xml:space="preserve"> </w:t>
      </w:r>
      <w:r w:rsidRPr="000F4969">
        <w:t xml:space="preserve">1a </w:t>
      </w:r>
      <w:r w:rsidR="00EF2E1E">
        <w:t>is</w:t>
      </w:r>
      <w:r w:rsidRPr="00BB6413">
        <w:t xml:space="preserve"> an effective </w:t>
      </w:r>
      <w:r w:rsidR="00301503">
        <w:t>quality improvement</w:t>
      </w:r>
      <w:r w:rsidR="00301503" w:rsidRPr="00BB6413">
        <w:t xml:space="preserve"> </w:t>
      </w:r>
      <w:r w:rsidR="00E77056" w:rsidRPr="000F4969">
        <w:t>i</w:t>
      </w:r>
      <w:r w:rsidRPr="0005708D">
        <w:t>ndicator to actively improve the quality of CKD education (</w:t>
      </w:r>
      <w:r w:rsidRPr="006F01F4">
        <w:rPr>
          <w:b/>
        </w:rPr>
        <w:t>Appendix 3</w:t>
      </w:r>
      <w:r w:rsidRPr="0005708D">
        <w:t>).</w:t>
      </w:r>
    </w:p>
    <w:p w14:paraId="086E17C6" w14:textId="4FEEE57D" w:rsidR="006F4237" w:rsidRPr="000F4969" w:rsidRDefault="006F4237" w:rsidP="00343A2D">
      <w:r w:rsidRPr="00B1282F">
        <w:t xml:space="preserve">Feedback from CKD educators </w:t>
      </w:r>
      <w:r w:rsidR="00E77056" w:rsidRPr="00F35A12">
        <w:t xml:space="preserve">about </w:t>
      </w:r>
      <w:r w:rsidRPr="00F35A12">
        <w:t xml:space="preserve">the practical implementation of the SURE test </w:t>
      </w:r>
      <w:r w:rsidR="00EF2E1E">
        <w:t>varied</w:t>
      </w:r>
      <w:r w:rsidRPr="00BB6413">
        <w:t>, with concerns raised by some that administ</w:t>
      </w:r>
      <w:r w:rsidR="00E77056" w:rsidRPr="000F4969">
        <w:t>ering</w:t>
      </w:r>
      <w:r w:rsidRPr="0005708D">
        <w:t xml:space="preserve"> the tool</w:t>
      </w:r>
      <w:r w:rsidR="001529A6" w:rsidRPr="00564975">
        <w:t xml:space="preserve"> </w:t>
      </w:r>
      <w:r w:rsidR="00E77056" w:rsidRPr="00564975">
        <w:t>i</w:t>
      </w:r>
      <w:r w:rsidRPr="00B1282F">
        <w:t xml:space="preserve">s </w:t>
      </w:r>
      <w:r w:rsidR="00557776">
        <w:t>difficult</w:t>
      </w:r>
      <w:r w:rsidRPr="00BB6413">
        <w:t>.</w:t>
      </w:r>
    </w:p>
    <w:p w14:paraId="71F83BF6" w14:textId="77777777" w:rsidR="006F01F4" w:rsidRDefault="006F01F4">
      <w:r>
        <w:br w:type="page"/>
      </w:r>
    </w:p>
    <w:p w14:paraId="0292A92D" w14:textId="4D207A14" w:rsidR="006F4237" w:rsidRPr="00564975" w:rsidRDefault="006F4237" w:rsidP="00343A2D">
      <w:r w:rsidRPr="0005708D">
        <w:lastRenderedPageBreak/>
        <w:t>Preliminary data from the SURE test indicates that decisional conflict is not uncommon in patients with advanced CKD who are required to make a choice from the available mana</w:t>
      </w:r>
      <w:r w:rsidRPr="00564975">
        <w:t>gement options for ESKD.</w:t>
      </w:r>
    </w:p>
    <w:p w14:paraId="4F70D733" w14:textId="70739046" w:rsidR="006F4237" w:rsidRDefault="006F4237">
      <w:r w:rsidRPr="00B1282F">
        <w:t>It is unclear</w:t>
      </w:r>
      <w:r w:rsidRPr="00F35A12">
        <w:t xml:space="preserve"> to what extent decisional conflict measured by the SURE test in patients with advanced </w:t>
      </w:r>
      <w:r w:rsidRPr="00D22FE8">
        <w:t>CKD reflects the quality of the CKD education</w:t>
      </w:r>
      <w:r w:rsidR="00E77056" w:rsidRPr="00D22FE8">
        <w:t xml:space="preserve"> because</w:t>
      </w:r>
      <w:r w:rsidRPr="00D22FE8">
        <w:t xml:space="preserve"> there are other factors that may contribute to decisional conflict in this context.</w:t>
      </w:r>
    </w:p>
    <w:p w14:paraId="1C72CC5C" w14:textId="03C75D18" w:rsidR="006F01F4" w:rsidRPr="00B1282F" w:rsidRDefault="006F01F4" w:rsidP="006F01F4">
      <w:r>
        <w:rPr>
          <w:noProof/>
        </w:rPr>
        <mc:AlternateContent>
          <mc:Choice Requires="wps">
            <w:drawing>
              <wp:inline distT="0" distB="0" distL="0" distR="0" wp14:anchorId="124B20A9" wp14:editId="6730BD0C">
                <wp:extent cx="6464410" cy="1764000"/>
                <wp:effectExtent l="0" t="0" r="12700" b="17780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410" cy="176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6B3DE" w14:textId="77777777" w:rsidR="00AE683F" w:rsidRPr="004D6898" w:rsidRDefault="00AE683F" w:rsidP="006F01F4">
                            <w:pPr>
                              <w:pStyle w:val="PulloutHeading"/>
                            </w:pPr>
                            <w:r>
                              <w:t>Recommendations and next steps</w:t>
                            </w:r>
                          </w:p>
                          <w:p w14:paraId="450C9FF0" w14:textId="3EC4C763" w:rsidR="00AE683F" w:rsidRDefault="00AE683F" w:rsidP="00343A2D">
                            <w:pPr>
                              <w:pStyle w:val="PulloutText"/>
                            </w:pPr>
                            <w:r>
                              <w:t xml:space="preserve">Following feedback from Renal Clinical Network members and the </w:t>
                            </w:r>
                            <w:r w:rsidRPr="000F4969">
                              <w:t>KPI review survey (</w:t>
                            </w:r>
                            <w:r w:rsidRPr="006F01F4">
                              <w:rPr>
                                <w:b/>
                              </w:rPr>
                              <w:t>Appendix 1</w:t>
                            </w:r>
                            <w:r w:rsidRPr="000F4969">
                              <w:t xml:space="preserve">) </w:t>
                            </w:r>
                            <w:r>
                              <w:t xml:space="preserve">we recommend that </w:t>
                            </w:r>
                            <w:r w:rsidRPr="000F4969">
                              <w:t>KPI</w:t>
                            </w:r>
                            <w:r>
                              <w:t xml:space="preserve"> </w:t>
                            </w:r>
                            <w:r w:rsidRPr="000F4969">
                              <w:t xml:space="preserve">1a should be discontinued as a measure of the quality of education. </w:t>
                            </w:r>
                          </w:p>
                          <w:p w14:paraId="106092D5" w14:textId="7AEC2A57" w:rsidR="00AE683F" w:rsidRPr="00F35A12" w:rsidRDefault="00AE683F" w:rsidP="00343A2D">
                            <w:pPr>
                              <w:pStyle w:val="PulloutText"/>
                            </w:pPr>
                            <w:r>
                              <w:t xml:space="preserve">There is a level of </w:t>
                            </w:r>
                            <w:r w:rsidRPr="00BB6413">
                              <w:t xml:space="preserve">uncertainty about the effectiveness of the SURE test in the CKD context and difficulties with practical implementation. </w:t>
                            </w:r>
                          </w:p>
                          <w:p w14:paraId="4E13503F" w14:textId="45CD9C8D" w:rsidR="00AE683F" w:rsidRDefault="00AE683F" w:rsidP="006F01F4">
                            <w:pPr>
                              <w:pStyle w:val="PulloutText"/>
                            </w:pPr>
                            <w:r w:rsidRPr="00725ECB">
                              <w:t xml:space="preserve">The </w:t>
                            </w:r>
                            <w:r>
                              <w:t>Renal Clinical Network</w:t>
                            </w:r>
                            <w:r w:rsidRPr="00B1282F">
                              <w:t xml:space="preserve"> </w:t>
                            </w:r>
                            <w:r>
                              <w:t xml:space="preserve">will </w:t>
                            </w:r>
                            <w:r w:rsidRPr="00BB6413">
                              <w:t>assess other options for patient</w:t>
                            </w:r>
                            <w:r w:rsidRPr="000F4969">
                              <w:t>-</w:t>
                            </w:r>
                            <w:r w:rsidRPr="0005708D">
                              <w:t xml:space="preserve">reported measures as </w:t>
                            </w:r>
                            <w:r>
                              <w:t>quality improvement</w:t>
                            </w:r>
                            <w:r w:rsidRPr="00BB6413">
                              <w:t xml:space="preserve"> </w:t>
                            </w:r>
                            <w:r w:rsidRPr="000F4969">
                              <w:t>indicators of CKD education</w:t>
                            </w:r>
                            <w:r w:rsidRPr="00564975">
                              <w:t xml:space="preserve"> through the </w:t>
                            </w:r>
                            <w:r w:rsidRPr="00E97B5C">
                              <w:t xml:space="preserve">improving patient–provider communication </w:t>
                            </w:r>
                            <w:r w:rsidRPr="00F60E30">
                              <w:t>working group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180000" tIns="180000" rIns="144000" bIns="36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4B20A9" id="_x0000_s1027" type="#_x0000_t202" style="width:509pt;height:1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" fillcolor="#edf5f7 [3214]" strokecolor="#edf5f7 [3214]" strokeweight=".5pt">
                <v:textbox style="mso-fit-shape-to-text:t" inset="5mm,5mm,4mm,1mm">
                  <w:txbxContent>
                    <w:p w14:paraId="7B16B3DE" w14:textId="77777777" w:rsidR="00AE683F" w:rsidRPr="004D6898" w:rsidRDefault="00AE683F" w:rsidP="006F01F4">
                      <w:pPr>
                        <w:pStyle w:val="PulloutHeading"/>
                      </w:pPr>
                      <w:r>
                        <w:t>Recommendations and next steps</w:t>
                      </w:r>
                    </w:p>
                    <w:p w14:paraId="450C9FF0" w14:textId="3EC4C763" w:rsidR="00AE683F" w:rsidRDefault="00AE683F" w:rsidP="00343A2D">
                      <w:pPr>
                        <w:pStyle w:val="PulloutText"/>
                      </w:pPr>
                      <w:r>
                        <w:t xml:space="preserve">Following feedback from Renal Clinical Network members and the </w:t>
                      </w:r>
                      <w:r w:rsidRPr="000F4969">
                        <w:t>KPI review survey (</w:t>
                      </w:r>
                      <w:r w:rsidRPr="006F01F4">
                        <w:rPr>
                          <w:b/>
                        </w:rPr>
                        <w:t>Appendix 1</w:t>
                      </w:r>
                      <w:r w:rsidRPr="000F4969">
                        <w:t xml:space="preserve">) </w:t>
                      </w:r>
                      <w:r>
                        <w:t xml:space="preserve">we recommend that </w:t>
                      </w:r>
                      <w:r w:rsidRPr="000F4969">
                        <w:t>KPI</w:t>
                      </w:r>
                      <w:r>
                        <w:t xml:space="preserve"> </w:t>
                      </w:r>
                      <w:r w:rsidRPr="000F4969">
                        <w:t xml:space="preserve">1a should be discontinued as a measure of the quality of education. </w:t>
                      </w:r>
                    </w:p>
                    <w:p w14:paraId="106092D5" w14:textId="7AEC2A57" w:rsidR="00AE683F" w:rsidRPr="00F35A12" w:rsidRDefault="00AE683F" w:rsidP="00343A2D">
                      <w:pPr>
                        <w:pStyle w:val="PulloutText"/>
                      </w:pPr>
                      <w:r>
                        <w:t xml:space="preserve">There is a level of </w:t>
                      </w:r>
                      <w:r w:rsidRPr="00BB6413">
                        <w:t xml:space="preserve">uncertainty about the effectiveness of the SURE test in the CKD context and difficulties with practical implementation. </w:t>
                      </w:r>
                    </w:p>
                    <w:p w14:paraId="4E13503F" w14:textId="45CD9C8D" w:rsidR="00AE683F" w:rsidRDefault="00AE683F" w:rsidP="006F01F4">
                      <w:pPr>
                        <w:pStyle w:val="PulloutText"/>
                      </w:pPr>
                      <w:r w:rsidRPr="00725ECB">
                        <w:t xml:space="preserve">The </w:t>
                      </w:r>
                      <w:r>
                        <w:t>Renal Clinical Network</w:t>
                      </w:r>
                      <w:r w:rsidRPr="00B1282F">
                        <w:t xml:space="preserve"> </w:t>
                      </w:r>
                      <w:r>
                        <w:t xml:space="preserve">will </w:t>
                      </w:r>
                      <w:r w:rsidRPr="00BB6413">
                        <w:t>assess other options for patient</w:t>
                      </w:r>
                      <w:r w:rsidRPr="000F4969">
                        <w:t>-</w:t>
                      </w:r>
                      <w:r w:rsidRPr="0005708D">
                        <w:t xml:space="preserve">reported measures as </w:t>
                      </w:r>
                      <w:r>
                        <w:t>quality improvement</w:t>
                      </w:r>
                      <w:r w:rsidRPr="00BB6413">
                        <w:t xml:space="preserve"> </w:t>
                      </w:r>
                      <w:r w:rsidRPr="000F4969">
                        <w:t>indicators of CKD education</w:t>
                      </w:r>
                      <w:r w:rsidRPr="00564975">
                        <w:t xml:space="preserve"> through the </w:t>
                      </w:r>
                      <w:r w:rsidRPr="00E97B5C">
                        <w:t xml:space="preserve">improving patient–provider communication </w:t>
                      </w:r>
                      <w:r w:rsidRPr="00F60E30">
                        <w:t>working group</w:t>
                      </w:r>
                      <w: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016612" w14:textId="77777777" w:rsidR="00A315C3" w:rsidRDefault="00A315C3">
      <w:pPr>
        <w:rPr>
          <w:rFonts w:ascii="VIC SemiBold" w:eastAsiaTheme="majorEastAsia" w:hAnsi="VIC SemiBold" w:cstheme="majorBidi"/>
          <w:bCs/>
          <w:color w:val="000000" w:themeColor="text1"/>
          <w:sz w:val="24"/>
          <w:szCs w:val="22"/>
        </w:rPr>
      </w:pPr>
      <w:bookmarkStart w:id="30" w:name="_Toc8637217"/>
      <w:bookmarkStart w:id="31" w:name="_Toc10460671"/>
      <w:r>
        <w:br w:type="page"/>
      </w:r>
    </w:p>
    <w:p w14:paraId="59419339" w14:textId="77777777" w:rsidR="00A315C3" w:rsidRPr="00E02008" w:rsidRDefault="00A315C3" w:rsidP="00343A2D">
      <w:pPr>
        <w:pStyle w:val="Heading1"/>
        <w:framePr w:wrap="around"/>
      </w:pPr>
      <w:bookmarkStart w:id="32" w:name="_Toc17103959"/>
      <w:r w:rsidRPr="000F4969">
        <w:lastRenderedPageBreak/>
        <w:t>Key performance indicator 2</w:t>
      </w:r>
      <w:bookmarkEnd w:id="32"/>
    </w:p>
    <w:bookmarkEnd w:id="30"/>
    <w:bookmarkEnd w:id="31"/>
    <w:p w14:paraId="6951D387" w14:textId="2F8CAFCF" w:rsidR="006F4237" w:rsidRPr="002F37C2" w:rsidRDefault="009A34E8" w:rsidP="0005708D">
      <w:pPr>
        <w:pStyle w:val="Heading3"/>
      </w:pPr>
      <w:r w:rsidRPr="002F37C2">
        <w:t xml:space="preserve">Proportion of new, planned RRT patients who successfully use an arteriovenous fistula </w:t>
      </w:r>
      <w:r w:rsidR="001A15F9">
        <w:t xml:space="preserve">(AVF) </w:t>
      </w:r>
      <w:r w:rsidRPr="002F37C2">
        <w:t>or graft access at first haemodialysis treatment</w:t>
      </w:r>
    </w:p>
    <w:p w14:paraId="322519E5" w14:textId="21B2551D" w:rsidR="00BE4D04" w:rsidRPr="00564975" w:rsidRDefault="00BE4D04" w:rsidP="00343A2D">
      <w:pPr>
        <w:pStyle w:val="Normalfollowingheading"/>
      </w:pPr>
      <w:r w:rsidRPr="00564975">
        <w:t xml:space="preserve">Current guidelines suggest that </w:t>
      </w:r>
      <w:r w:rsidR="005B2053">
        <w:t>arteriovenous access</w:t>
      </w:r>
      <w:r w:rsidRPr="00BB6413">
        <w:t xml:space="preserve"> is the preferred choice of vascular access (over central venous catheters) for patient</w:t>
      </w:r>
      <w:r w:rsidRPr="000F4969">
        <w:t xml:space="preserve">s starting </w:t>
      </w:r>
      <w:r w:rsidR="001A15F9">
        <w:t>haemodialysis</w:t>
      </w:r>
      <w:r w:rsidRPr="000F4969">
        <w:t>.</w:t>
      </w:r>
      <w:r w:rsidRPr="0005708D">
        <w:rPr>
          <w:vertAlign w:val="superscript"/>
        </w:rPr>
        <w:t>9–12</w:t>
      </w:r>
      <w:r w:rsidRPr="00564975">
        <w:t xml:space="preserve"> </w:t>
      </w:r>
    </w:p>
    <w:p w14:paraId="15B06859" w14:textId="26F723C2" w:rsidR="00BB6413" w:rsidRDefault="00BE4D04" w:rsidP="00BB6413">
      <w:r w:rsidRPr="00BE4D04">
        <w:t xml:space="preserve">When compared with central venous catheters (CVCs), </w:t>
      </w:r>
      <w:r w:rsidR="00C941BF">
        <w:t>arteriovenous</w:t>
      </w:r>
      <w:r w:rsidRPr="00BE4D04">
        <w:t xml:space="preserve"> access </w:t>
      </w:r>
      <w:r w:rsidR="00C941BF">
        <w:t>use</w:t>
      </w:r>
      <w:r w:rsidRPr="00BE4D04">
        <w:t xml:space="preserve"> (AVF and </w:t>
      </w:r>
      <w:r w:rsidR="001A15F9" w:rsidRPr="00DF7280">
        <w:t>arteriovenous graft</w:t>
      </w:r>
      <w:r w:rsidR="001A15F9">
        <w:t xml:space="preserve"> (AVG)</w:t>
      </w:r>
      <w:r w:rsidR="00533909">
        <w:t>)</w:t>
      </w:r>
      <w:r w:rsidRPr="00BE4D04">
        <w:t xml:space="preserve"> is associated with a significantly reduced risk of sepsis and mortality.</w:t>
      </w:r>
      <w:r w:rsidRPr="00BE4D04">
        <w:rPr>
          <w:vertAlign w:val="superscript"/>
        </w:rPr>
        <w:t>13</w:t>
      </w:r>
      <w:r w:rsidRPr="00BE4D04">
        <w:t xml:space="preserve"> However, consideration </w:t>
      </w:r>
      <w:r w:rsidR="002F37C2">
        <w:t>should</w:t>
      </w:r>
      <w:r w:rsidRPr="00BB6413">
        <w:t xml:space="preserve"> </w:t>
      </w:r>
      <w:r w:rsidR="002A59F0">
        <w:t xml:space="preserve">be </w:t>
      </w:r>
      <w:r w:rsidRPr="00BB6413">
        <w:t>given to the most appropriate ty</w:t>
      </w:r>
      <w:r w:rsidRPr="000F4969">
        <w:t>pe of vascular access for each patient.</w:t>
      </w:r>
    </w:p>
    <w:p w14:paraId="548187F3" w14:textId="2B3357FA" w:rsidR="009A34E8" w:rsidRPr="00343A2D" w:rsidRDefault="009A34E8">
      <w:pPr>
        <w:pStyle w:val="Heading2"/>
      </w:pPr>
      <w:r w:rsidRPr="00343A2D">
        <w:t>definition and targets</w:t>
      </w:r>
    </w:p>
    <w:p w14:paraId="6B860157" w14:textId="72239334" w:rsidR="006F4237" w:rsidRPr="00B1282F" w:rsidRDefault="006F4237" w:rsidP="0054741F">
      <w:pPr>
        <w:pStyle w:val="Normalfollowingheading"/>
      </w:pPr>
      <w:r w:rsidRPr="00343A2D">
        <w:rPr>
          <w:rFonts w:ascii="VIC SemiBold" w:hAnsi="VIC SemiBold"/>
        </w:rPr>
        <w:t>Target</w:t>
      </w:r>
      <w:r w:rsidRPr="00B1282F">
        <w:t>: 70</w:t>
      </w:r>
      <w:r w:rsidR="004E52A9" w:rsidRPr="00F35A12">
        <w:t xml:space="preserve"> per cent</w:t>
      </w:r>
      <w:r w:rsidRPr="00F35A12">
        <w:t xml:space="preserve"> of new planned dialysis patients use a</w:t>
      </w:r>
      <w:r w:rsidR="00C941BF">
        <w:t>n arteriovenous</w:t>
      </w:r>
      <w:r w:rsidRPr="00F35A12">
        <w:t xml:space="preserve"> access at first treatment</w:t>
      </w:r>
      <w:r w:rsidR="006F01F4">
        <w:t>.</w:t>
      </w:r>
    </w:p>
    <w:p w14:paraId="0EEE6564" w14:textId="1300D2CD" w:rsidR="006F4237" w:rsidRPr="00B1282F" w:rsidRDefault="006F4237" w:rsidP="006F01F4">
      <w:r w:rsidRPr="00343A2D">
        <w:rPr>
          <w:rFonts w:ascii="VIC SemiBold" w:hAnsi="VIC SemiBold"/>
        </w:rPr>
        <w:t xml:space="preserve">New </w:t>
      </w:r>
      <w:r w:rsidR="00A4361C" w:rsidRPr="00343A2D">
        <w:rPr>
          <w:rFonts w:ascii="VIC SemiBold" w:hAnsi="VIC SemiBold"/>
        </w:rPr>
        <w:t>haemodialysis</w:t>
      </w:r>
      <w:r w:rsidRPr="00343A2D">
        <w:rPr>
          <w:rFonts w:ascii="VIC SemiBold" w:hAnsi="VIC SemiBold"/>
        </w:rPr>
        <w:t xml:space="preserve"> patients</w:t>
      </w:r>
      <w:r w:rsidRPr="00B1282F">
        <w:t>:</w:t>
      </w:r>
      <w:r w:rsidR="001529A6" w:rsidRPr="00F35A12">
        <w:t xml:space="preserve"> </w:t>
      </w:r>
      <w:r w:rsidR="006F01F4">
        <w:t>P</w:t>
      </w:r>
      <w:r w:rsidRPr="00B1282F">
        <w:t>atients who have chronic maintenance</w:t>
      </w:r>
      <w:r w:rsidR="00B712F3">
        <w:t xml:space="preserve"> </w:t>
      </w:r>
      <w:r w:rsidR="00B712F3" w:rsidRPr="00B712F3">
        <w:rPr>
          <w:szCs w:val="18"/>
        </w:rPr>
        <w:t>haemodialysis</w:t>
      </w:r>
      <w:r w:rsidR="00B712F3">
        <w:rPr>
          <w:sz w:val="18"/>
          <w:szCs w:val="18"/>
        </w:rPr>
        <w:t xml:space="preserve"> </w:t>
      </w:r>
      <w:r w:rsidRPr="00B1282F">
        <w:t>as the first RRT</w:t>
      </w:r>
      <w:r w:rsidR="006F01F4">
        <w:t>.</w:t>
      </w:r>
    </w:p>
    <w:p w14:paraId="6AB45E67" w14:textId="0B253876" w:rsidR="006F4237" w:rsidRPr="00B1282F" w:rsidRDefault="006F4237" w:rsidP="006F01F4">
      <w:r w:rsidRPr="00343A2D">
        <w:rPr>
          <w:rFonts w:ascii="VIC SemiBold" w:hAnsi="VIC SemiBold"/>
        </w:rPr>
        <w:t>Planned</w:t>
      </w:r>
      <w:r w:rsidRPr="00B1282F">
        <w:t xml:space="preserve">: </w:t>
      </w:r>
      <w:r w:rsidR="006F01F4">
        <w:t>P</w:t>
      </w:r>
      <w:r w:rsidRPr="00B1282F">
        <w:t>atients refe</w:t>
      </w:r>
      <w:r w:rsidRPr="00F35A12">
        <w:t>rred to a nephrologist</w:t>
      </w:r>
      <w:r w:rsidR="00C941BF">
        <w:t xml:space="preserve"> </w:t>
      </w:r>
      <w:r w:rsidRPr="003B75C2">
        <w:t xml:space="preserve">prior to </w:t>
      </w:r>
      <w:r w:rsidR="007F4E20" w:rsidRPr="003B75C2">
        <w:t>three</w:t>
      </w:r>
      <w:r w:rsidRPr="003B75C2">
        <w:t xml:space="preserve"> months before requiring </w:t>
      </w:r>
      <w:proofErr w:type="gramStart"/>
      <w:r w:rsidRPr="003B75C2">
        <w:t>RRT</w:t>
      </w:r>
      <w:r w:rsidR="00C941BF">
        <w:t>, and</w:t>
      </w:r>
      <w:proofErr w:type="gramEnd"/>
      <w:r w:rsidR="00C941BF">
        <w:t xml:space="preserve"> seen within the preceding three years</w:t>
      </w:r>
      <w:r w:rsidR="006F01F4">
        <w:t>.</w:t>
      </w:r>
    </w:p>
    <w:p w14:paraId="249694A6" w14:textId="2DF3C462" w:rsidR="006F4237" w:rsidRPr="00B1282F" w:rsidRDefault="00C941BF" w:rsidP="006F01F4">
      <w:r>
        <w:rPr>
          <w:rFonts w:ascii="VIC SemiBold" w:hAnsi="VIC SemiBold"/>
        </w:rPr>
        <w:t>Arteriovenous</w:t>
      </w:r>
      <w:r w:rsidR="006F4237" w:rsidRPr="00343A2D">
        <w:rPr>
          <w:rFonts w:ascii="VIC SemiBold" w:hAnsi="VIC SemiBold"/>
        </w:rPr>
        <w:t xml:space="preserve"> access</w:t>
      </w:r>
      <w:r w:rsidR="006F4237" w:rsidRPr="00B1282F">
        <w:t xml:space="preserve">: </w:t>
      </w:r>
      <w:r w:rsidR="006F01F4">
        <w:t>E</w:t>
      </w:r>
      <w:r w:rsidR="006F4237" w:rsidRPr="00B1282F">
        <w:t>ither</w:t>
      </w:r>
      <w:r w:rsidR="0055252E" w:rsidRPr="00F35A12">
        <w:t xml:space="preserve"> </w:t>
      </w:r>
      <w:r w:rsidR="006F4237" w:rsidRPr="00F35A12">
        <w:t xml:space="preserve">an </w:t>
      </w:r>
      <w:r w:rsidR="006F4237" w:rsidRPr="003B75C2">
        <w:t xml:space="preserve">AVF or </w:t>
      </w:r>
      <w:r w:rsidR="00A4361C" w:rsidRPr="003B75C2">
        <w:t xml:space="preserve">an </w:t>
      </w:r>
      <w:r w:rsidR="006F4237" w:rsidRPr="003B75C2">
        <w:t>AVG</w:t>
      </w:r>
      <w:r w:rsidR="006F01F4">
        <w:t>.</w:t>
      </w:r>
    </w:p>
    <w:p w14:paraId="3FD1681D" w14:textId="7BC1C24F" w:rsidR="006F4237" w:rsidRPr="00B1282F" w:rsidRDefault="006F4237" w:rsidP="006F01F4">
      <w:r w:rsidRPr="00343A2D">
        <w:rPr>
          <w:rFonts w:ascii="VIC SemiBold" w:hAnsi="VIC SemiBold"/>
        </w:rPr>
        <w:t xml:space="preserve">Successful use of an </w:t>
      </w:r>
      <w:r w:rsidR="00C941BF">
        <w:rPr>
          <w:rFonts w:ascii="VIC SemiBold" w:hAnsi="VIC SemiBold"/>
        </w:rPr>
        <w:t xml:space="preserve">arteriovenous </w:t>
      </w:r>
      <w:r w:rsidRPr="00343A2D">
        <w:rPr>
          <w:rFonts w:ascii="VIC SemiBold" w:hAnsi="VIC SemiBold"/>
        </w:rPr>
        <w:t>access</w:t>
      </w:r>
      <w:r w:rsidRPr="00B1282F">
        <w:t xml:space="preserve">: </w:t>
      </w:r>
      <w:r w:rsidR="006F01F4">
        <w:t>T</w:t>
      </w:r>
      <w:r w:rsidRPr="00B1282F">
        <w:t xml:space="preserve">hose patients not requiring a </w:t>
      </w:r>
      <w:r w:rsidR="00C941BF">
        <w:t>CVC at first haemodialysis treatment</w:t>
      </w:r>
      <w:r w:rsidR="006F01F4">
        <w:t>.</w:t>
      </w:r>
    </w:p>
    <w:p w14:paraId="5F940922" w14:textId="7D2C6598" w:rsidR="006F4237" w:rsidRPr="003B75C2" w:rsidRDefault="006F4237" w:rsidP="006F01F4">
      <w:r w:rsidRPr="00343A2D">
        <w:rPr>
          <w:rFonts w:ascii="VIC SemiBold" w:hAnsi="VIC SemiBold"/>
        </w:rPr>
        <w:t>Exclusions</w:t>
      </w:r>
      <w:r w:rsidRPr="00B1282F">
        <w:t xml:space="preserve">: </w:t>
      </w:r>
      <w:r w:rsidR="006F01F4">
        <w:t>L</w:t>
      </w:r>
      <w:r w:rsidRPr="00B1282F">
        <w:t xml:space="preserve">ate referrals (patients </w:t>
      </w:r>
      <w:r w:rsidR="007F4E20" w:rsidRPr="00F35A12">
        <w:t xml:space="preserve">starting </w:t>
      </w:r>
      <w:r w:rsidRPr="003B75C2">
        <w:t xml:space="preserve">dialysis within </w:t>
      </w:r>
      <w:r w:rsidR="007F4E20" w:rsidRPr="003B75C2">
        <w:t>three</w:t>
      </w:r>
      <w:r w:rsidRPr="003B75C2">
        <w:t xml:space="preserve"> months of </w:t>
      </w:r>
      <w:r w:rsidR="00A4361C" w:rsidRPr="003B75C2">
        <w:t xml:space="preserve">their </w:t>
      </w:r>
      <w:r w:rsidRPr="003B75C2">
        <w:t xml:space="preserve">first renal consultation) and patients with a failed transplant or transferring from </w:t>
      </w:r>
      <w:r w:rsidR="002B4701" w:rsidRPr="003B75C2">
        <w:t>peritoneal dialysis</w:t>
      </w:r>
      <w:r w:rsidRPr="003B75C2">
        <w:t>.</w:t>
      </w:r>
    </w:p>
    <w:p w14:paraId="0CDE78B1" w14:textId="71D642D7" w:rsidR="003E6D4D" w:rsidRPr="003E6D4D" w:rsidRDefault="006F4237" w:rsidP="003E6D4D">
      <w:pPr>
        <w:pStyle w:val="Heading2"/>
      </w:pPr>
      <w:bookmarkStart w:id="33" w:name="_Toc8637220"/>
      <w:bookmarkStart w:id="34" w:name="_Toc10460673"/>
      <w:r w:rsidRPr="00BB6413">
        <w:t>Assessment</w:t>
      </w:r>
      <w:bookmarkEnd w:id="33"/>
      <w:bookmarkEnd w:id="34"/>
    </w:p>
    <w:p w14:paraId="0F63D5F6" w14:textId="6F3C1EC2" w:rsidR="00477FA7" w:rsidRPr="007E1A38" w:rsidRDefault="007E2AE2" w:rsidP="00C74E35">
      <w:pPr>
        <w:pStyle w:val="Heading3"/>
      </w:pPr>
      <w:r>
        <w:t xml:space="preserve">Assessment of KPI </w:t>
      </w:r>
      <w:r w:rsidR="00C74E35">
        <w:t>e</w:t>
      </w:r>
      <w:r w:rsidR="00477FA7" w:rsidRPr="007E1A38">
        <w:t>vidence</w:t>
      </w:r>
    </w:p>
    <w:p w14:paraId="492ABC73" w14:textId="0CD4AEC6" w:rsidR="006F4237" w:rsidRPr="00BB6413" w:rsidRDefault="002F37C2" w:rsidP="00343A2D">
      <w:pPr>
        <w:pStyle w:val="Normalfollowingheading"/>
      </w:pPr>
      <w:r>
        <w:t>O</w:t>
      </w:r>
      <w:r w:rsidR="006F4237" w:rsidRPr="00BB6413">
        <w:t xml:space="preserve">bservational data </w:t>
      </w:r>
      <w:r w:rsidRPr="00BB6413">
        <w:t>show</w:t>
      </w:r>
      <w:r>
        <w:t>s</w:t>
      </w:r>
      <w:r w:rsidRPr="00BB6413">
        <w:t xml:space="preserve"> </w:t>
      </w:r>
      <w:r w:rsidR="00266467">
        <w:t xml:space="preserve">better </w:t>
      </w:r>
      <w:r w:rsidR="006F4237" w:rsidRPr="00BB6413">
        <w:t xml:space="preserve">outcomes </w:t>
      </w:r>
      <w:r w:rsidR="00266467">
        <w:t xml:space="preserve">for dialysis patients </w:t>
      </w:r>
      <w:r w:rsidR="006F4237" w:rsidRPr="00BB6413">
        <w:t xml:space="preserve">with AVFs compared </w:t>
      </w:r>
      <w:r w:rsidR="00B23FFD" w:rsidRPr="00BB6413">
        <w:t xml:space="preserve">with </w:t>
      </w:r>
      <w:r w:rsidR="006F4237" w:rsidRPr="000F4969">
        <w:t>CVCs.</w:t>
      </w:r>
      <w:r w:rsidR="006F4237" w:rsidRPr="00B1282F">
        <w:rPr>
          <w:vertAlign w:val="superscript"/>
        </w:rPr>
        <w:t>13</w:t>
      </w:r>
      <w:r w:rsidR="00266467">
        <w:t xml:space="preserve"> However, i</w:t>
      </w:r>
      <w:r w:rsidR="006F4237" w:rsidRPr="00BB6413">
        <w:t xml:space="preserve">t is uncertain </w:t>
      </w:r>
      <w:r>
        <w:t xml:space="preserve">to </w:t>
      </w:r>
      <w:r w:rsidR="006F4237" w:rsidRPr="00BB6413">
        <w:t xml:space="preserve">what extent </w:t>
      </w:r>
      <w:r w:rsidR="00266467" w:rsidRPr="000F4969">
        <w:t>th</w:t>
      </w:r>
      <w:r w:rsidR="00266467">
        <w:t>e</w:t>
      </w:r>
      <w:r w:rsidR="00266467" w:rsidRPr="00BB6413">
        <w:t xml:space="preserve"> </w:t>
      </w:r>
      <w:r w:rsidR="00266467">
        <w:t xml:space="preserve">data </w:t>
      </w:r>
      <w:r w:rsidR="006F4237" w:rsidRPr="00BB6413">
        <w:t xml:space="preserve">reflects direct causality or other factors such as bias by indication. </w:t>
      </w:r>
    </w:p>
    <w:p w14:paraId="078C5A0D" w14:textId="56418AFD" w:rsidR="006F4237" w:rsidRPr="00BB6413" w:rsidRDefault="006F4237" w:rsidP="00343A2D">
      <w:r w:rsidRPr="00BB6413">
        <w:t>Risks of</w:t>
      </w:r>
      <w:r w:rsidR="00B712F3" w:rsidRPr="00B712F3">
        <w:rPr>
          <w:szCs w:val="18"/>
        </w:rPr>
        <w:t xml:space="preserve"> haemodialysis</w:t>
      </w:r>
      <w:r w:rsidR="00B712F3" w:rsidRPr="00BB6413">
        <w:t xml:space="preserve"> </w:t>
      </w:r>
      <w:r w:rsidR="00EC7F8B" w:rsidRPr="00BB6413">
        <w:t>CVCs</w:t>
      </w:r>
      <w:r w:rsidRPr="00BB6413">
        <w:t xml:space="preserve"> include:</w:t>
      </w:r>
    </w:p>
    <w:p w14:paraId="2E676922" w14:textId="5FE8BC34" w:rsidR="006F4237" w:rsidRPr="00343A2D" w:rsidRDefault="00B23FFD" w:rsidP="00343A2D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c</w:t>
      </w:r>
      <w:r w:rsidR="006F4237" w:rsidRPr="00343A2D">
        <w:rPr>
          <w:rFonts w:ascii="VIC" w:hAnsi="VIC"/>
        </w:rPr>
        <w:t>atheter-related bloodstream infection</w:t>
      </w:r>
    </w:p>
    <w:p w14:paraId="503910F9" w14:textId="153A3034" w:rsidR="006F4237" w:rsidRPr="00343A2D" w:rsidRDefault="00B23FFD" w:rsidP="00343A2D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c</w:t>
      </w:r>
      <w:r w:rsidR="006F4237" w:rsidRPr="00343A2D">
        <w:rPr>
          <w:rFonts w:ascii="VIC" w:hAnsi="VIC"/>
        </w:rPr>
        <w:t>atheter dysfunction (up to 87</w:t>
      </w:r>
      <w:r w:rsidR="004430C6" w:rsidRPr="00343A2D">
        <w:rPr>
          <w:rFonts w:ascii="VIC" w:hAnsi="VIC"/>
        </w:rPr>
        <w:t xml:space="preserve"> per cent</w:t>
      </w:r>
      <w:r w:rsidR="006F4237" w:rsidRPr="00343A2D">
        <w:rPr>
          <w:rFonts w:ascii="VIC" w:hAnsi="VIC"/>
        </w:rPr>
        <w:t xml:space="preserve"> during their use and 30</w:t>
      </w:r>
      <w:r w:rsidR="00C960A1" w:rsidRPr="00343A2D">
        <w:rPr>
          <w:rFonts w:ascii="VIC" w:hAnsi="VIC"/>
        </w:rPr>
        <w:t xml:space="preserve"> per cent</w:t>
      </w:r>
      <w:r w:rsidR="006F4237" w:rsidRPr="00343A2D">
        <w:rPr>
          <w:rFonts w:ascii="VIC" w:hAnsi="VIC"/>
        </w:rPr>
        <w:t xml:space="preserve"> develop dysfunction monthly)</w:t>
      </w:r>
    </w:p>
    <w:p w14:paraId="384CEF35" w14:textId="6C190C80" w:rsidR="006F4237" w:rsidRPr="00343A2D" w:rsidRDefault="00B23FFD" w:rsidP="00343A2D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c</w:t>
      </w:r>
      <w:r w:rsidR="006F4237" w:rsidRPr="00343A2D">
        <w:rPr>
          <w:rFonts w:ascii="VIC" w:hAnsi="VIC"/>
        </w:rPr>
        <w:t>entral venous stenosis (up to 40</w:t>
      </w:r>
      <w:r w:rsidRPr="00343A2D">
        <w:rPr>
          <w:rFonts w:ascii="VIC" w:hAnsi="VIC"/>
        </w:rPr>
        <w:t xml:space="preserve"> per cent</w:t>
      </w:r>
      <w:r w:rsidR="006F4237" w:rsidRPr="00343A2D">
        <w:rPr>
          <w:rFonts w:ascii="VIC" w:hAnsi="VIC"/>
        </w:rPr>
        <w:t xml:space="preserve"> in </w:t>
      </w:r>
      <w:r w:rsidR="00EC7F8B" w:rsidRPr="00343A2D">
        <w:rPr>
          <w:rFonts w:ascii="VIC" w:hAnsi="VIC"/>
        </w:rPr>
        <w:t xml:space="preserve">the </w:t>
      </w:r>
      <w:r w:rsidR="00B712F3" w:rsidRPr="00B712F3">
        <w:rPr>
          <w:rFonts w:ascii="VIC" w:hAnsi="VIC"/>
          <w:szCs w:val="18"/>
        </w:rPr>
        <w:t>haemodialysis</w:t>
      </w:r>
      <w:r w:rsidR="00B712F3" w:rsidRPr="00B1282F">
        <w:rPr>
          <w:rFonts w:ascii="VIC" w:hAnsi="VIC"/>
        </w:rPr>
        <w:t xml:space="preserve"> </w:t>
      </w:r>
      <w:r w:rsidR="006F4237" w:rsidRPr="00343A2D">
        <w:rPr>
          <w:rFonts w:ascii="VIC" w:hAnsi="VIC"/>
        </w:rPr>
        <w:t>population)</w:t>
      </w:r>
    </w:p>
    <w:p w14:paraId="7A819A6B" w14:textId="41ADA707" w:rsidR="006F4237" w:rsidRPr="00343A2D" w:rsidRDefault="00B23FFD" w:rsidP="00343A2D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h</w:t>
      </w:r>
      <w:r w:rsidR="006F4237" w:rsidRPr="00343A2D">
        <w:rPr>
          <w:rFonts w:ascii="VIC" w:hAnsi="VIC"/>
        </w:rPr>
        <w:t>igh risk of requiring repeat interventions</w:t>
      </w:r>
    </w:p>
    <w:p w14:paraId="590DF6BA" w14:textId="15FE9A91" w:rsidR="006F4237" w:rsidRPr="00343A2D" w:rsidRDefault="00C61978" w:rsidP="00343A2D">
      <w:pPr>
        <w:pStyle w:val="Bullet1"/>
        <w:rPr>
          <w:rFonts w:ascii="VIC" w:hAnsi="VIC"/>
        </w:rPr>
      </w:pPr>
      <w:r>
        <w:rPr>
          <w:rFonts w:ascii="VIC" w:hAnsi="VIC"/>
        </w:rPr>
        <w:t xml:space="preserve">less than </w:t>
      </w:r>
      <w:r w:rsidR="006F4237" w:rsidRPr="00343A2D">
        <w:rPr>
          <w:rFonts w:ascii="VIC" w:hAnsi="VIC"/>
        </w:rPr>
        <w:t>10</w:t>
      </w:r>
      <w:r w:rsidR="0066600B" w:rsidRPr="00343A2D">
        <w:rPr>
          <w:rFonts w:ascii="VIC" w:hAnsi="VIC"/>
        </w:rPr>
        <w:t xml:space="preserve"> per cent</w:t>
      </w:r>
      <w:r w:rsidR="006F4237" w:rsidRPr="00343A2D">
        <w:rPr>
          <w:rFonts w:ascii="VIC" w:hAnsi="VIC"/>
        </w:rPr>
        <w:t xml:space="preserve"> of CVC survive </w:t>
      </w:r>
      <w:r w:rsidR="00B23FFD" w:rsidRPr="00343A2D">
        <w:rPr>
          <w:rFonts w:ascii="VIC" w:hAnsi="VIC"/>
        </w:rPr>
        <w:t>for one</w:t>
      </w:r>
      <w:r w:rsidR="006F4237" w:rsidRPr="00343A2D">
        <w:rPr>
          <w:rFonts w:ascii="VIC" w:hAnsi="VIC"/>
        </w:rPr>
        <w:t xml:space="preserve"> year without </w:t>
      </w:r>
      <w:r w:rsidR="00EC7F8B" w:rsidRPr="00343A2D">
        <w:rPr>
          <w:rFonts w:ascii="VIC" w:hAnsi="VIC"/>
        </w:rPr>
        <w:t xml:space="preserve">the </w:t>
      </w:r>
      <w:r w:rsidR="006F4237" w:rsidRPr="00343A2D">
        <w:rPr>
          <w:rFonts w:ascii="VIC" w:hAnsi="VIC"/>
        </w:rPr>
        <w:t>need for intervention</w:t>
      </w:r>
      <w:r w:rsidR="00B23FFD" w:rsidRPr="00343A2D">
        <w:rPr>
          <w:rFonts w:ascii="VIC" w:hAnsi="VIC"/>
        </w:rPr>
        <w:t>.</w:t>
      </w:r>
      <w:r w:rsidR="006F4237" w:rsidRPr="00343A2D">
        <w:rPr>
          <w:rFonts w:ascii="VIC" w:hAnsi="VIC"/>
          <w:vertAlign w:val="superscript"/>
        </w:rPr>
        <w:t>14</w:t>
      </w:r>
      <w:r w:rsidR="00B23FFD" w:rsidRPr="00343A2D">
        <w:rPr>
          <w:rFonts w:ascii="VIC" w:hAnsi="VIC"/>
          <w:vertAlign w:val="superscript"/>
        </w:rPr>
        <w:t>–</w:t>
      </w:r>
      <w:r w:rsidR="006F4237" w:rsidRPr="00343A2D">
        <w:rPr>
          <w:rFonts w:ascii="VIC" w:hAnsi="VIC"/>
          <w:vertAlign w:val="superscript"/>
        </w:rPr>
        <w:t>17</w:t>
      </w:r>
    </w:p>
    <w:p w14:paraId="07BF2127" w14:textId="1DDDD7CC" w:rsidR="006F4237" w:rsidRPr="00533909" w:rsidRDefault="00BB6413" w:rsidP="00533909">
      <w:pPr>
        <w:rPr>
          <w:rFonts w:ascii="VIC SemiBold" w:eastAsiaTheme="majorEastAsia" w:hAnsi="VIC SemiBold" w:cstheme="majorBidi"/>
          <w:bCs/>
          <w:color w:val="000000" w:themeColor="text1"/>
          <w:sz w:val="24"/>
          <w:szCs w:val="22"/>
        </w:rPr>
      </w:pPr>
      <w:r>
        <w:br w:type="page"/>
      </w:r>
      <w:r w:rsidR="006F4237" w:rsidRPr="00BB6413">
        <w:lastRenderedPageBreak/>
        <w:t xml:space="preserve">There is a lack of data to support or refute suggestions that CVC safety </w:t>
      </w:r>
      <w:r w:rsidR="00E30294">
        <w:t>has</w:t>
      </w:r>
      <w:r w:rsidR="006F4237" w:rsidRPr="00BB6413">
        <w:t xml:space="preserve"> improved in recent years, </w:t>
      </w:r>
      <w:proofErr w:type="gramStart"/>
      <w:r w:rsidR="006F4237" w:rsidRPr="00BB6413">
        <w:t>in particular lower</w:t>
      </w:r>
      <w:proofErr w:type="gramEnd"/>
      <w:r w:rsidR="006F4237" w:rsidRPr="00BB6413">
        <w:t xml:space="preserve"> infection rates, and whether this should be taken into account. </w:t>
      </w:r>
    </w:p>
    <w:p w14:paraId="1D67FB5B" w14:textId="42062A87" w:rsidR="00E30294" w:rsidRDefault="006F4237">
      <w:r w:rsidRPr="00BB6413">
        <w:t>Patients using catheters in Australia tend to be younger, female, with more comorbidity, diabetic, and often referred late (2017 ANZDATA annual report).</w:t>
      </w:r>
    </w:p>
    <w:p w14:paraId="033F391B" w14:textId="44EC827F" w:rsidR="006F4237" w:rsidRPr="00BB6413" w:rsidRDefault="006F4237" w:rsidP="00343A2D">
      <w:r w:rsidRPr="0005708D">
        <w:t xml:space="preserve">The achieved rates for AVF use at first </w:t>
      </w:r>
      <w:r w:rsidR="00B712F3" w:rsidRPr="00B712F3">
        <w:rPr>
          <w:szCs w:val="18"/>
        </w:rPr>
        <w:t>haemodialysis</w:t>
      </w:r>
      <w:r w:rsidR="00B712F3" w:rsidRPr="00B1282F">
        <w:t xml:space="preserve"> </w:t>
      </w:r>
      <w:r w:rsidRPr="00B1282F">
        <w:t xml:space="preserve">reported in </w:t>
      </w:r>
      <w:r w:rsidR="00EC7F8B" w:rsidRPr="00F35A12">
        <w:t>n</w:t>
      </w:r>
      <w:r w:rsidRPr="00F35A12">
        <w:t xml:space="preserve">ational </w:t>
      </w:r>
      <w:r w:rsidR="00EC7F8B" w:rsidRPr="00F35A12">
        <w:t>r</w:t>
      </w:r>
      <w:r w:rsidRPr="00343A2D">
        <w:t>egistries (</w:t>
      </w:r>
      <w:r w:rsidR="00B23FFD" w:rsidRPr="00343A2D">
        <w:t>for example,</w:t>
      </w:r>
      <w:r w:rsidRPr="00343A2D">
        <w:t xml:space="preserve"> ANZDATA) and </w:t>
      </w:r>
      <w:r w:rsidR="00EC7F8B" w:rsidRPr="00343A2D">
        <w:t>i</w:t>
      </w:r>
      <w:r w:rsidRPr="00343A2D">
        <w:t>nternational datasets (for example</w:t>
      </w:r>
      <w:r w:rsidR="00EC7F8B" w:rsidRPr="00343A2D">
        <w:t>, the</w:t>
      </w:r>
      <w:r w:rsidRPr="00343A2D">
        <w:t xml:space="preserve"> </w:t>
      </w:r>
      <w:r w:rsidR="00232EDD" w:rsidRPr="00343A2D">
        <w:t>Dialysis Outcomes and Practice Patterns Study</w:t>
      </w:r>
      <w:r w:rsidRPr="00343A2D">
        <w:t>) are highly variable</w:t>
      </w:r>
      <w:r w:rsidR="00E30294">
        <w:t>. A</w:t>
      </w:r>
      <w:r w:rsidRPr="00BB6413">
        <w:t xml:space="preserve"> majority of national and international data </w:t>
      </w:r>
      <w:r w:rsidR="00E30294" w:rsidRPr="00BB6413">
        <w:t>show</w:t>
      </w:r>
      <w:r w:rsidR="00E30294">
        <w:t>s</w:t>
      </w:r>
      <w:r w:rsidR="00E30294" w:rsidRPr="00BB6413">
        <w:t xml:space="preserve"> </w:t>
      </w:r>
      <w:r w:rsidRPr="00BB6413">
        <w:t xml:space="preserve">achieved rates at less than the Victorian </w:t>
      </w:r>
      <w:r w:rsidR="00E30294">
        <w:t>KPI</w:t>
      </w:r>
      <w:r w:rsidR="00E30294" w:rsidRPr="00BB6413">
        <w:t xml:space="preserve"> </w:t>
      </w:r>
      <w:r w:rsidRPr="00BB6413">
        <w:t>target of 70</w:t>
      </w:r>
      <w:r w:rsidR="00D87B61" w:rsidRPr="00BB6413">
        <w:t xml:space="preserve"> per cent</w:t>
      </w:r>
      <w:r w:rsidRPr="00BB6413">
        <w:t>.</w:t>
      </w:r>
    </w:p>
    <w:p w14:paraId="2B7E7303" w14:textId="0E32CDAE" w:rsidR="006F4237" w:rsidRPr="00B1282F" w:rsidRDefault="00273707" w:rsidP="00343A2D">
      <w:r>
        <w:t>There is a lack of</w:t>
      </w:r>
      <w:r w:rsidR="006F4237" w:rsidRPr="00BB6413">
        <w:t xml:space="preserve"> data </w:t>
      </w:r>
      <w:r w:rsidR="009B7DDE" w:rsidRPr="00BB6413">
        <w:t>show</w:t>
      </w:r>
      <w:r>
        <w:t>ing</w:t>
      </w:r>
      <w:r w:rsidR="009B7DDE" w:rsidRPr="00BB6413">
        <w:t xml:space="preserve"> </w:t>
      </w:r>
      <w:r w:rsidR="006F4237" w:rsidRPr="00BB6413">
        <w:t xml:space="preserve">a relationship between achieved rates of AVF use </w:t>
      </w:r>
      <w:r w:rsidR="006F4237" w:rsidRPr="000F4969">
        <w:t>at first</w:t>
      </w:r>
      <w:r w:rsidR="00B712F3" w:rsidRPr="00B712F3">
        <w:rPr>
          <w:szCs w:val="18"/>
        </w:rPr>
        <w:t xml:space="preserve"> haemodialysis</w:t>
      </w:r>
      <w:r w:rsidR="00B712F3" w:rsidRPr="00564975">
        <w:t xml:space="preserve"> </w:t>
      </w:r>
      <w:r w:rsidR="006F4237" w:rsidRPr="00564975">
        <w:t xml:space="preserve">and </w:t>
      </w:r>
      <w:r w:rsidR="00154351">
        <w:t xml:space="preserve">patient-centred </w:t>
      </w:r>
      <w:r w:rsidR="006F4237" w:rsidRPr="00B1282F">
        <w:t>outcomes such as mortality or quality of life.</w:t>
      </w:r>
    </w:p>
    <w:p w14:paraId="2D0F0865" w14:textId="137725CD" w:rsidR="006F4237" w:rsidRPr="00BB6413" w:rsidRDefault="00154351" w:rsidP="00343A2D">
      <w:r>
        <w:t xml:space="preserve">It is unknown </w:t>
      </w:r>
      <w:r w:rsidR="006F4237" w:rsidRPr="00BB6413">
        <w:t>whether there are unintended consequences of a service achieving a higher or lower rate of AVF use at first</w:t>
      </w:r>
      <w:r w:rsidR="00B712F3">
        <w:t xml:space="preserve"> </w:t>
      </w:r>
      <w:r w:rsidR="00B712F3" w:rsidRPr="00B712F3">
        <w:rPr>
          <w:szCs w:val="18"/>
        </w:rPr>
        <w:t>haemodialysis</w:t>
      </w:r>
      <w:r w:rsidR="006F4237" w:rsidRPr="00BB6413">
        <w:t>.</w:t>
      </w:r>
    </w:p>
    <w:p w14:paraId="34C1CE0E" w14:textId="0FCE9DEE" w:rsidR="006F4237" w:rsidRPr="00F35A12" w:rsidRDefault="006F4237" w:rsidP="00343A2D">
      <w:r w:rsidRPr="000F4969">
        <w:t>There is no clea</w:t>
      </w:r>
      <w:r w:rsidRPr="0005708D">
        <w:t>r data to suppor</w:t>
      </w:r>
      <w:r w:rsidRPr="00564975">
        <w:t xml:space="preserve">t any specific target for AVF use at first </w:t>
      </w:r>
      <w:r w:rsidR="00B712F3" w:rsidRPr="00B712F3">
        <w:rPr>
          <w:szCs w:val="18"/>
        </w:rPr>
        <w:t>haemodialysis</w:t>
      </w:r>
      <w:r w:rsidR="00A24EB4" w:rsidRPr="00B1282F">
        <w:t xml:space="preserve"> </w:t>
      </w:r>
      <w:r w:rsidRPr="00F35A12">
        <w:t>(</w:t>
      </w:r>
      <w:r w:rsidRPr="00343A2D">
        <w:rPr>
          <w:b/>
        </w:rPr>
        <w:t>Appendix 3</w:t>
      </w:r>
      <w:r w:rsidRPr="00F35A12">
        <w:t>).</w:t>
      </w:r>
    </w:p>
    <w:p w14:paraId="0A0AADE1" w14:textId="41066987" w:rsidR="006F4237" w:rsidRPr="00BB6413" w:rsidRDefault="006F4237" w:rsidP="00343A2D">
      <w:r w:rsidRPr="00343A2D">
        <w:t>KPI</w:t>
      </w:r>
      <w:r w:rsidR="009B7DDE">
        <w:t xml:space="preserve"> </w:t>
      </w:r>
      <w:r w:rsidRPr="00BB6413">
        <w:t xml:space="preserve">2 does not give any information </w:t>
      </w:r>
      <w:r w:rsidR="009B7DDE">
        <w:t xml:space="preserve">about </w:t>
      </w:r>
      <w:r w:rsidRPr="00BB6413">
        <w:t>other potential measures of vascular access quality such as rates of prevalent AVF and rates of blood stream infection.</w:t>
      </w:r>
    </w:p>
    <w:p w14:paraId="56BD4C74" w14:textId="13FB489D" w:rsidR="006F4237" w:rsidRPr="00BB6413" w:rsidRDefault="006F4237" w:rsidP="00343A2D">
      <w:r w:rsidRPr="00BB6413">
        <w:t xml:space="preserve">Overall, the quality of the evidence supporting </w:t>
      </w:r>
      <w:r w:rsidRPr="00564975">
        <w:t>KPI</w:t>
      </w:r>
      <w:r w:rsidR="009B7DDE">
        <w:t xml:space="preserve"> </w:t>
      </w:r>
      <w:r w:rsidRPr="00BB6413">
        <w:t xml:space="preserve">2 </w:t>
      </w:r>
      <w:r w:rsidR="009B7DDE">
        <w:t>is</w:t>
      </w:r>
      <w:r w:rsidRPr="00BB6413">
        <w:t xml:space="preserve"> moderate (</w:t>
      </w:r>
      <w:r w:rsidRPr="00C9262C">
        <w:rPr>
          <w:b/>
        </w:rPr>
        <w:t>Appendix 3</w:t>
      </w:r>
      <w:r w:rsidRPr="00BB6413">
        <w:t>).</w:t>
      </w:r>
    </w:p>
    <w:p w14:paraId="372AF56D" w14:textId="2A1D758B" w:rsidR="006F4237" w:rsidRPr="00753110" w:rsidRDefault="006F4237">
      <w:pPr>
        <w:pStyle w:val="Heading3"/>
      </w:pPr>
      <w:bookmarkStart w:id="35" w:name="_Toc8637221"/>
      <w:bookmarkStart w:id="36" w:name="_Hlk531336985"/>
      <w:bookmarkStart w:id="37" w:name="_Toc10460674"/>
      <w:r w:rsidRPr="00BB6413">
        <w:t xml:space="preserve">Potential </w:t>
      </w:r>
      <w:r w:rsidR="002A5A2D" w:rsidRPr="000F4969">
        <w:t>r</w:t>
      </w:r>
      <w:r w:rsidRPr="0005708D">
        <w:t xml:space="preserve">easons for </w:t>
      </w:r>
      <w:r w:rsidR="002A5A2D" w:rsidRPr="00753110">
        <w:t>v</w:t>
      </w:r>
      <w:r w:rsidRPr="00753110">
        <w:t xml:space="preserve">ariation </w:t>
      </w:r>
      <w:r w:rsidR="002A5A2D" w:rsidRPr="00753110">
        <w:t>b</w:t>
      </w:r>
      <w:r w:rsidRPr="00753110">
        <w:t xml:space="preserve">etween </w:t>
      </w:r>
      <w:r w:rsidR="002A5A2D" w:rsidRPr="00753110">
        <w:t>s</w:t>
      </w:r>
      <w:r w:rsidRPr="00753110">
        <w:t>ervices</w:t>
      </w:r>
      <w:bookmarkEnd w:id="35"/>
      <w:bookmarkEnd w:id="36"/>
      <w:bookmarkEnd w:id="37"/>
    </w:p>
    <w:p w14:paraId="06163709" w14:textId="638689A9" w:rsidR="006F4237" w:rsidRPr="00343A2D" w:rsidRDefault="006F4237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Timing of referral for vascular access creation by </w:t>
      </w:r>
      <w:r w:rsidR="00A24EB4" w:rsidRPr="00343A2D">
        <w:rPr>
          <w:rFonts w:ascii="VIC" w:hAnsi="VIC"/>
        </w:rPr>
        <w:t xml:space="preserve">the </w:t>
      </w:r>
      <w:r w:rsidRPr="00343A2D">
        <w:rPr>
          <w:rFonts w:ascii="VIC" w:hAnsi="VIC"/>
        </w:rPr>
        <w:t>nephrologist or renal team</w:t>
      </w:r>
      <w:r w:rsidR="006F01F4">
        <w:rPr>
          <w:rFonts w:ascii="VIC" w:hAnsi="VIC"/>
        </w:rPr>
        <w:t>.</w:t>
      </w:r>
    </w:p>
    <w:p w14:paraId="1D49FEFB" w14:textId="3B5C0976" w:rsidR="006F4237" w:rsidRPr="00343A2D" w:rsidRDefault="006F4237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Patient reluctance to address impending dialysis necessity or reliance on </w:t>
      </w:r>
      <w:r w:rsidR="00A24EB4" w:rsidRPr="00343A2D">
        <w:rPr>
          <w:rFonts w:ascii="VIC" w:hAnsi="VIC"/>
        </w:rPr>
        <w:t xml:space="preserve">a </w:t>
      </w:r>
      <w:r w:rsidRPr="00343A2D">
        <w:rPr>
          <w:rFonts w:ascii="VIC" w:hAnsi="VIC"/>
        </w:rPr>
        <w:t>pre-emptive transplant</w:t>
      </w:r>
      <w:r w:rsidR="006F01F4">
        <w:rPr>
          <w:rFonts w:ascii="VIC" w:hAnsi="VIC"/>
        </w:rPr>
        <w:t>.</w:t>
      </w:r>
    </w:p>
    <w:p w14:paraId="3AC7AB31" w14:textId="54E3D160" w:rsidR="006F4237" w:rsidRPr="00343A2D" w:rsidRDefault="006F4237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Public health service waiting list times for vascular surgery</w:t>
      </w:r>
      <w:r w:rsidR="006F01F4">
        <w:rPr>
          <w:rFonts w:ascii="VIC" w:hAnsi="VIC"/>
        </w:rPr>
        <w:t>.</w:t>
      </w:r>
    </w:p>
    <w:p w14:paraId="18FF3FA2" w14:textId="42E44417" w:rsidR="006F4237" w:rsidRPr="00343A2D" w:rsidRDefault="006F4237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Differences in clinical follow-up of AVF development postoperatively</w:t>
      </w:r>
      <w:r w:rsidR="006F01F4">
        <w:rPr>
          <w:rFonts w:ascii="VIC" w:hAnsi="VIC"/>
        </w:rPr>
        <w:t>.</w:t>
      </w:r>
    </w:p>
    <w:p w14:paraId="1338F29C" w14:textId="3CB0F6D0" w:rsidR="006F4237" w:rsidRPr="00343A2D" w:rsidRDefault="006F4237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Number of public and private patients</w:t>
      </w:r>
      <w:r w:rsidR="009B7DDE">
        <w:rPr>
          <w:rFonts w:ascii="VIC" w:hAnsi="VIC"/>
        </w:rPr>
        <w:t>.</w:t>
      </w:r>
    </w:p>
    <w:p w14:paraId="04AAD0C7" w14:textId="15CD41B3" w:rsidR="006F4237" w:rsidRPr="0005708D" w:rsidRDefault="006F4237" w:rsidP="00343A2D">
      <w:pPr>
        <w:pStyle w:val="Normalfollowingheading"/>
      </w:pPr>
      <w:r w:rsidRPr="00564975">
        <w:t xml:space="preserve">Other </w:t>
      </w:r>
      <w:r w:rsidR="009B7DDE">
        <w:t>reasons for</w:t>
      </w:r>
      <w:r w:rsidRPr="00BB6413">
        <w:t xml:space="preserve"> variations between services may include patient preferences and uncertainty </w:t>
      </w:r>
      <w:r w:rsidR="00A24EB4" w:rsidRPr="00BB6413">
        <w:t xml:space="preserve">about </w:t>
      </w:r>
      <w:r w:rsidRPr="000F4969">
        <w:t>the optimal timing of AVF creation.</w:t>
      </w:r>
    </w:p>
    <w:p w14:paraId="281827D4" w14:textId="7E5E2154" w:rsidR="006F4237" w:rsidRPr="002E6141" w:rsidRDefault="006F4237" w:rsidP="00343A2D">
      <w:r w:rsidRPr="00564975">
        <w:t xml:space="preserve">Further research is </w:t>
      </w:r>
      <w:r w:rsidR="009B7DDE">
        <w:t>needed</w:t>
      </w:r>
      <w:r w:rsidRPr="00BB6413">
        <w:t xml:space="preserve"> to b</w:t>
      </w:r>
      <w:r w:rsidRPr="000F4969">
        <w:t>etter understand the reasons for variation in vascular access patterns between services</w:t>
      </w:r>
      <w:r>
        <w:t>.</w:t>
      </w:r>
    </w:p>
    <w:p w14:paraId="41BCB912" w14:textId="7C318148" w:rsidR="006F4237" w:rsidRPr="00BB6413" w:rsidRDefault="006F4237" w:rsidP="00BB6413">
      <w:pPr>
        <w:pStyle w:val="Heading3"/>
      </w:pPr>
      <w:bookmarkStart w:id="38" w:name="_Toc8637223"/>
      <w:bookmarkStart w:id="39" w:name="_Toc10460676"/>
      <w:r w:rsidRPr="00BB6413">
        <w:t xml:space="preserve">Assessment of </w:t>
      </w:r>
      <w:r w:rsidR="002A5A2D" w:rsidRPr="00BB6413">
        <w:t>p</w:t>
      </w:r>
      <w:r w:rsidRPr="00BB6413">
        <w:t>erformance</w:t>
      </w:r>
      <w:bookmarkEnd w:id="38"/>
      <w:bookmarkEnd w:id="39"/>
    </w:p>
    <w:p w14:paraId="30B4D587" w14:textId="49717F2F" w:rsidR="009B7DDE" w:rsidRDefault="006F4237" w:rsidP="00343A2D">
      <w:pPr>
        <w:pStyle w:val="Normalfollowingheading"/>
        <w:spacing w:after="60" w:line="240" w:lineRule="atLeast"/>
      </w:pPr>
      <w:r w:rsidRPr="000F4969">
        <w:t xml:space="preserve">Since </w:t>
      </w:r>
      <w:r w:rsidR="009B7DDE">
        <w:t xml:space="preserve">we first began measuring </w:t>
      </w:r>
      <w:r w:rsidRPr="00BB6413">
        <w:t>KPI</w:t>
      </w:r>
      <w:r w:rsidR="009B7DDE">
        <w:t xml:space="preserve"> </w:t>
      </w:r>
      <w:r w:rsidRPr="00BB6413">
        <w:t>2 in 2012</w:t>
      </w:r>
      <w:r w:rsidR="009B7DDE">
        <w:t>:</w:t>
      </w:r>
    </w:p>
    <w:p w14:paraId="0014C534" w14:textId="1D40B53D" w:rsidR="006F4237" w:rsidRPr="00343A2D" w:rsidRDefault="006F4237" w:rsidP="00B1282F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>the 70</w:t>
      </w:r>
      <w:r w:rsidR="00287E89" w:rsidRPr="00343A2D">
        <w:rPr>
          <w:rFonts w:ascii="VIC" w:hAnsi="VIC"/>
        </w:rPr>
        <w:t xml:space="preserve"> per cent</w:t>
      </w:r>
      <w:r w:rsidRPr="00343A2D">
        <w:rPr>
          <w:rFonts w:ascii="VIC" w:hAnsi="VIC"/>
        </w:rPr>
        <w:t xml:space="preserve"> target has never been achieved </w:t>
      </w:r>
      <w:proofErr w:type="spellStart"/>
      <w:r w:rsidRPr="00343A2D">
        <w:rPr>
          <w:rFonts w:ascii="VIC" w:hAnsi="VIC"/>
        </w:rPr>
        <w:t>statewide</w:t>
      </w:r>
      <w:proofErr w:type="spellEnd"/>
    </w:p>
    <w:p w14:paraId="37DE1151" w14:textId="4D01EB7A" w:rsidR="006F4237" w:rsidRPr="00343A2D" w:rsidRDefault="006F4237" w:rsidP="00B1282F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 xml:space="preserve">the rate of AVF use </w:t>
      </w:r>
      <w:r w:rsidR="00ED1EDE" w:rsidRPr="00343A2D">
        <w:rPr>
          <w:rFonts w:ascii="VIC" w:hAnsi="VIC"/>
        </w:rPr>
        <w:t>at</w:t>
      </w:r>
      <w:r w:rsidRPr="00343A2D">
        <w:rPr>
          <w:rFonts w:ascii="VIC" w:hAnsi="VIC"/>
        </w:rPr>
        <w:t xml:space="preserve"> first </w:t>
      </w:r>
      <w:r w:rsidR="00B712F3" w:rsidRPr="00B712F3">
        <w:rPr>
          <w:rFonts w:ascii="VIC" w:hAnsi="VIC"/>
          <w:szCs w:val="18"/>
        </w:rPr>
        <w:t>haemodialysis</w:t>
      </w:r>
      <w:r w:rsidR="00B712F3" w:rsidRPr="00B1282F">
        <w:rPr>
          <w:rFonts w:ascii="VIC" w:hAnsi="VIC"/>
        </w:rPr>
        <w:t xml:space="preserve"> </w:t>
      </w:r>
      <w:r w:rsidRPr="00343A2D">
        <w:rPr>
          <w:rFonts w:ascii="VIC" w:hAnsi="VIC"/>
        </w:rPr>
        <w:t>has fallen approximately 5</w:t>
      </w:r>
      <w:r w:rsidR="00D11806" w:rsidRPr="00343A2D">
        <w:rPr>
          <w:rFonts w:ascii="VIC" w:hAnsi="VIC"/>
        </w:rPr>
        <w:t xml:space="preserve"> per cent</w:t>
      </w:r>
      <w:r w:rsidRPr="00343A2D">
        <w:rPr>
          <w:rFonts w:ascii="VIC" w:hAnsi="VIC"/>
        </w:rPr>
        <w:t xml:space="preserve"> (from 65</w:t>
      </w:r>
      <w:r w:rsidR="00C42727" w:rsidRPr="00343A2D">
        <w:rPr>
          <w:rFonts w:ascii="VIC" w:hAnsi="VIC"/>
        </w:rPr>
        <w:t xml:space="preserve"> per cent</w:t>
      </w:r>
      <w:r w:rsidRPr="00343A2D">
        <w:rPr>
          <w:rFonts w:ascii="VIC" w:hAnsi="VIC"/>
        </w:rPr>
        <w:t xml:space="preserve"> to 60</w:t>
      </w:r>
      <w:r w:rsidR="00C42727" w:rsidRPr="00343A2D">
        <w:rPr>
          <w:rFonts w:ascii="VIC" w:hAnsi="VIC"/>
        </w:rPr>
        <w:t xml:space="preserve"> per cent</w:t>
      </w:r>
      <w:r w:rsidRPr="00343A2D">
        <w:rPr>
          <w:rFonts w:ascii="VIC" w:hAnsi="VIC"/>
        </w:rPr>
        <w:t>).</w:t>
      </w:r>
    </w:p>
    <w:p w14:paraId="24CFD27A" w14:textId="65E8188F" w:rsidR="006F4237" w:rsidRPr="00BB6413" w:rsidRDefault="006F4237" w:rsidP="00343A2D">
      <w:pPr>
        <w:spacing w:before="60" w:after="60" w:line="240" w:lineRule="atLeast"/>
      </w:pPr>
      <w:r w:rsidRPr="00343A2D">
        <w:rPr>
          <w:rFonts w:eastAsia="Times New Roman" w:cs="Calibri"/>
          <w:spacing w:val="2"/>
        </w:rPr>
        <w:t>There is substantial variation in performance</w:t>
      </w:r>
      <w:r w:rsidR="009B7DDE">
        <w:t xml:space="preserve"> </w:t>
      </w:r>
      <w:r w:rsidRPr="00343A2D">
        <w:rPr>
          <w:rFonts w:eastAsia="Times New Roman" w:cs="Calibri"/>
          <w:spacing w:val="2"/>
        </w:rPr>
        <w:t>between Victorian renal healthcare services.</w:t>
      </w:r>
      <w:r w:rsidR="009B7DDE">
        <w:t xml:space="preserve"> </w:t>
      </w:r>
      <w:r w:rsidRPr="00BB6413">
        <w:t>The</w:t>
      </w:r>
      <w:r w:rsidR="009B7DDE">
        <w:t>se</w:t>
      </w:r>
      <w:r w:rsidRPr="00BB6413">
        <w:t xml:space="preserve"> reasons </w:t>
      </w:r>
      <w:r w:rsidR="00C62584">
        <w:t xml:space="preserve">are </w:t>
      </w:r>
      <w:r w:rsidR="009B7DDE">
        <w:t>not well</w:t>
      </w:r>
      <w:r w:rsidRPr="00BB6413">
        <w:t xml:space="preserve"> understood</w:t>
      </w:r>
      <w:r w:rsidR="009B7DDE">
        <w:t xml:space="preserve"> and it is not known whether they are associated with differences in </w:t>
      </w:r>
      <w:r w:rsidR="009B7DDE">
        <w:lastRenderedPageBreak/>
        <w:t>clinically meaningful outcomes.</w:t>
      </w:r>
      <w:r w:rsidR="007D6131" w:rsidRPr="007D6131">
        <w:t xml:space="preserve"> Although many hubs are not reaching the 70 per cent target, the results of the KPI survey (</w:t>
      </w:r>
      <w:r w:rsidR="007D6131" w:rsidRPr="00AC5691">
        <w:rPr>
          <w:b/>
        </w:rPr>
        <w:t>Appendix 2</w:t>
      </w:r>
      <w:r w:rsidR="007D6131" w:rsidRPr="007D6131">
        <w:t>) indicated a high level of confidence in the evidence underpinning this KPI.</w:t>
      </w:r>
    </w:p>
    <w:p w14:paraId="11F2D423" w14:textId="5DAD1F25" w:rsidR="006F4237" w:rsidRDefault="006F4237" w:rsidP="00B1282F">
      <w:pPr>
        <w:spacing w:before="60" w:after="60" w:line="240" w:lineRule="atLeast"/>
      </w:pPr>
      <w:r w:rsidRPr="00B1282F">
        <w:t xml:space="preserve">There is </w:t>
      </w:r>
      <w:r w:rsidR="007F3667">
        <w:t xml:space="preserve">currently </w:t>
      </w:r>
      <w:r w:rsidRPr="00B1282F">
        <w:t>little evidence that KPI</w:t>
      </w:r>
      <w:r w:rsidR="009B7DDE">
        <w:t xml:space="preserve"> </w:t>
      </w:r>
      <w:r w:rsidRPr="00BB6413">
        <w:t xml:space="preserve">2 is </w:t>
      </w:r>
      <w:r w:rsidR="004543CF">
        <w:t>driving</w:t>
      </w:r>
      <w:r w:rsidRPr="0005708D">
        <w:t xml:space="preserve"> effective </w:t>
      </w:r>
      <w:r w:rsidR="009B7DDE">
        <w:t>quality improvement</w:t>
      </w:r>
      <w:r w:rsidRPr="00BB6413">
        <w:t>.</w:t>
      </w:r>
    </w:p>
    <w:p w14:paraId="5C4246B6" w14:textId="564A1B07" w:rsidR="006F01F4" w:rsidRPr="00BB6413" w:rsidRDefault="006F01F4" w:rsidP="006F01F4">
      <w:r>
        <w:rPr>
          <w:noProof/>
        </w:rPr>
        <mc:AlternateContent>
          <mc:Choice Requires="wps">
            <w:drawing>
              <wp:inline distT="0" distB="0" distL="0" distR="0" wp14:anchorId="73FBCF28" wp14:editId="1E4715CA">
                <wp:extent cx="6464410" cy="1764000"/>
                <wp:effectExtent l="0" t="0" r="12700" b="17780"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410" cy="176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FA2EF" w14:textId="77777777" w:rsidR="00AE683F" w:rsidRPr="004D6898" w:rsidRDefault="00AE683F" w:rsidP="006F01F4">
                            <w:pPr>
                              <w:pStyle w:val="PulloutHeading"/>
                            </w:pPr>
                            <w:r>
                              <w:t>Recommendations and next steps</w:t>
                            </w:r>
                          </w:p>
                          <w:p w14:paraId="529BBC75" w14:textId="72F61E9F" w:rsidR="00AE683F" w:rsidRDefault="00AE683F" w:rsidP="00343A2D">
                            <w:pPr>
                              <w:pStyle w:val="PulloutText"/>
                              <w:spacing w:before="80" w:after="80" w:line="240" w:lineRule="atLeast"/>
                            </w:pPr>
                            <w:r w:rsidRPr="006C3B6D">
                              <w:t xml:space="preserve">Although the effectiveness of the current target is uncertain, there is currently no evidence to support </w:t>
                            </w:r>
                            <w:r>
                              <w:t xml:space="preserve">its </w:t>
                            </w:r>
                            <w:r w:rsidRPr="006C3B6D">
                              <w:t>chang</w:t>
                            </w:r>
                            <w:r>
                              <w:t xml:space="preserve">e </w:t>
                            </w:r>
                          </w:p>
                          <w:p w14:paraId="619EE1E6" w14:textId="75CEFBA2" w:rsidR="00AE683F" w:rsidRDefault="00AE683F" w:rsidP="00B1282F">
                            <w:pPr>
                              <w:pStyle w:val="PulloutText"/>
                              <w:spacing w:before="80" w:after="80" w:line="240" w:lineRule="atLeast"/>
                            </w:pPr>
                            <w:r>
                              <w:t>We</w:t>
                            </w:r>
                            <w:r w:rsidRPr="00BB6413">
                              <w:t xml:space="preserve"> recommend</w:t>
                            </w:r>
                            <w:r w:rsidRPr="0005708D">
                              <w:t xml:space="preserve"> that the current 70</w:t>
                            </w:r>
                            <w:r w:rsidRPr="00564975">
                              <w:t xml:space="preserve"> per cent</w:t>
                            </w:r>
                            <w:r w:rsidRPr="00B1282F">
                              <w:t xml:space="preserve"> target for KPI</w:t>
                            </w:r>
                            <w:r>
                              <w:t xml:space="preserve"> </w:t>
                            </w:r>
                            <w:r w:rsidRPr="00BB6413">
                              <w:t>2 continue</w:t>
                            </w:r>
                            <w:r>
                              <w:t xml:space="preserve"> until there is sufficient evidence to support a change in target or methodology</w:t>
                            </w:r>
                            <w:r w:rsidRPr="00BB6413">
                              <w:t xml:space="preserve">. The </w:t>
                            </w:r>
                            <w:r>
                              <w:t>Renal Clinical Network insight subcommittee</w:t>
                            </w:r>
                            <w:r w:rsidRPr="00BB6413">
                              <w:t xml:space="preserve"> </w:t>
                            </w:r>
                            <w:r>
                              <w:t>will review and monitor KPI 2 results and</w:t>
                            </w:r>
                            <w:r w:rsidRPr="00BB6413">
                              <w:t xml:space="preserve"> revise </w:t>
                            </w:r>
                            <w:r>
                              <w:t xml:space="preserve">the KPI </w:t>
                            </w:r>
                            <w:r w:rsidRPr="00BB6413">
                              <w:t>in the future,</w:t>
                            </w:r>
                            <w:r w:rsidRPr="000F4969">
                              <w:t xml:space="preserve"> as indicated by performance and emerging evidence.</w:t>
                            </w:r>
                          </w:p>
                          <w:p w14:paraId="00A56252" w14:textId="77777777" w:rsidR="00AE683F" w:rsidRPr="00B1282F" w:rsidRDefault="00AE683F" w:rsidP="00343A2D">
                            <w:pPr>
                              <w:pStyle w:val="PulloutText"/>
                              <w:rPr>
                                <w:b/>
                              </w:rPr>
                            </w:pPr>
                            <w:r w:rsidRPr="00B1282F">
                              <w:rPr>
                                <w:b/>
                              </w:rPr>
                              <w:t>Changes to exclusions</w:t>
                            </w:r>
                          </w:p>
                          <w:p w14:paraId="63B9898D" w14:textId="013436DD" w:rsidR="00AE683F" w:rsidRPr="00BB6413" w:rsidRDefault="00AE683F" w:rsidP="00343A2D">
                            <w:pPr>
                              <w:pStyle w:val="PulloutText"/>
                            </w:pPr>
                            <w:r w:rsidRPr="00BB6413">
                              <w:t xml:space="preserve">Patients with a </w:t>
                            </w:r>
                            <w:r w:rsidRPr="000F4969">
                              <w:t xml:space="preserve">failed transplant or </w:t>
                            </w:r>
                            <w:r>
                              <w:t xml:space="preserve">those </w:t>
                            </w:r>
                            <w:r w:rsidRPr="00BB6413">
                              <w:t>who are tran</w:t>
                            </w:r>
                            <w:r w:rsidRPr="000F4969">
                              <w:t xml:space="preserve">sferring from </w:t>
                            </w:r>
                            <w:r w:rsidRPr="00DF7280">
                              <w:t>peritoneal dialysis</w:t>
                            </w:r>
                            <w:r w:rsidRPr="00564975">
                              <w:t xml:space="preserve"> </w:t>
                            </w:r>
                            <w:r w:rsidRPr="00B1282F">
                              <w:t>should no longer be excluded</w:t>
                            </w:r>
                            <w:r>
                              <w:t>. This will ensure the</w:t>
                            </w:r>
                            <w:r w:rsidRPr="00BB6413">
                              <w:t xml:space="preserve"> </w:t>
                            </w:r>
                            <w:r w:rsidRPr="000F4969">
                              <w:t xml:space="preserve">KPI </w:t>
                            </w:r>
                            <w:r>
                              <w:t>is</w:t>
                            </w:r>
                            <w:r w:rsidRPr="00BB6413">
                              <w:t xml:space="preserve"> more inclusive of patient groups.</w:t>
                            </w:r>
                          </w:p>
                          <w:p w14:paraId="029FDEBE" w14:textId="5A1B2AAD" w:rsidR="00AE683F" w:rsidRPr="00B1282F" w:rsidRDefault="00AE683F" w:rsidP="00343A2D">
                            <w:pPr>
                              <w:pStyle w:val="PulloutText"/>
                              <w:rPr>
                                <w:b/>
                              </w:rPr>
                            </w:pPr>
                            <w:r w:rsidRPr="00B1282F">
                              <w:rPr>
                                <w:b/>
                              </w:rPr>
                              <w:t>Collection of data</w:t>
                            </w:r>
                          </w:p>
                          <w:p w14:paraId="4C507DF6" w14:textId="3366ABCC" w:rsidR="00AE683F" w:rsidRDefault="00AE683F" w:rsidP="00343A2D">
                            <w:pPr>
                              <w:pStyle w:val="PulloutText"/>
                              <w:spacing w:before="60" w:after="60" w:line="240" w:lineRule="atLeast"/>
                            </w:pPr>
                            <w:r>
                              <w:t xml:space="preserve">The Renal Clinical Network </w:t>
                            </w:r>
                            <w:r w:rsidRPr="00BB6413">
                              <w:t>should</w:t>
                            </w:r>
                            <w:r w:rsidRPr="00564975">
                              <w:t xml:space="preserve"> </w:t>
                            </w:r>
                            <w:r w:rsidRPr="00F35A12">
                              <w:t>collect</w:t>
                            </w:r>
                            <w:r w:rsidRPr="00343A2D">
                              <w:t xml:space="preserve"> data on the specific reasons why planned </w:t>
                            </w:r>
                            <w:r w:rsidRPr="00B1282F">
                              <w:t xml:space="preserve">haemodialysis patients </w:t>
                            </w:r>
                            <w:r w:rsidRPr="00F35A12">
                              <w:t xml:space="preserve">start </w:t>
                            </w:r>
                            <w:r w:rsidRPr="00B1282F">
                              <w:t>haemodialysis without arteriovenous access (</w:t>
                            </w:r>
                            <w:r w:rsidRPr="00F35A12">
                              <w:t xml:space="preserve">that is, with a CVC). </w:t>
                            </w:r>
                            <w:r w:rsidRPr="00BB6413">
                              <w:t>Collecting</w:t>
                            </w:r>
                            <w:r w:rsidRPr="000F4969">
                              <w:t xml:space="preserve"> this data </w:t>
                            </w:r>
                            <w:r>
                              <w:t>will</w:t>
                            </w:r>
                            <w:r w:rsidRPr="00BB6413">
                              <w:t xml:space="preserve">: </w:t>
                            </w:r>
                          </w:p>
                          <w:p w14:paraId="46FD211B" w14:textId="04D98AE1" w:rsidR="00AE683F" w:rsidRPr="00F35A12" w:rsidRDefault="00AE683F" w:rsidP="00343A2D">
                            <w:pPr>
                              <w:pStyle w:val="PulloutText"/>
                              <w:numPr>
                                <w:ilvl w:val="0"/>
                                <w:numId w:val="90"/>
                              </w:numPr>
                              <w:spacing w:before="60" w:after="60" w:line="240" w:lineRule="atLeast"/>
                            </w:pPr>
                            <w:r w:rsidRPr="00F35A12">
                              <w:t>stimulate local service efforts at quality and performance improvement</w:t>
                            </w:r>
                          </w:p>
                          <w:p w14:paraId="77EBE15F" w14:textId="49F77A25" w:rsidR="00AE683F" w:rsidRPr="00BB6413" w:rsidRDefault="00AE683F" w:rsidP="00B1282F">
                            <w:pPr>
                              <w:pStyle w:val="PulloutText"/>
                              <w:numPr>
                                <w:ilvl w:val="0"/>
                                <w:numId w:val="90"/>
                              </w:numPr>
                              <w:spacing w:before="60" w:after="60" w:line="240" w:lineRule="atLeast"/>
                            </w:pPr>
                            <w:r w:rsidRPr="00BB6413">
                              <w:t xml:space="preserve">improve SCV’s understanding of the reasons for the variation in practice and performance in KPI </w:t>
                            </w:r>
                            <w:r w:rsidRPr="00B1282F">
                              <w:t>2</w:t>
                            </w:r>
                          </w:p>
                          <w:p w14:paraId="2F31EE2D" w14:textId="3615ACB7" w:rsidR="00AE683F" w:rsidRPr="00343A2D" w:rsidRDefault="00AE683F" w:rsidP="00343A2D">
                            <w:pPr>
                              <w:pStyle w:val="PulloutText"/>
                              <w:numPr>
                                <w:ilvl w:val="0"/>
                                <w:numId w:val="90"/>
                              </w:numPr>
                              <w:spacing w:before="60" w:after="60" w:line="240" w:lineRule="atLeast"/>
                            </w:pPr>
                            <w:r w:rsidRPr="00F35A12">
                              <w:t xml:space="preserve">help direct ongoing quality </w:t>
                            </w:r>
                            <w:r w:rsidRPr="00343A2D">
                              <w:t>improvement initiatives.</w:t>
                            </w:r>
                          </w:p>
                          <w:p w14:paraId="298B0725" w14:textId="788FC90F" w:rsidR="00AE683F" w:rsidRPr="00B1282F" w:rsidRDefault="00AE683F" w:rsidP="00343A2D">
                            <w:pPr>
                              <w:pStyle w:val="PulloutText"/>
                              <w:spacing w:before="0"/>
                              <w:rPr>
                                <w:b/>
                              </w:rPr>
                            </w:pPr>
                            <w:r w:rsidRPr="00B1282F">
                              <w:rPr>
                                <w:b/>
                              </w:rPr>
                              <w:t>Establishing new measures</w:t>
                            </w:r>
                          </w:p>
                          <w:p w14:paraId="559DE544" w14:textId="617AA59E" w:rsidR="00AE683F" w:rsidRDefault="00AE683F" w:rsidP="00343A2D">
                            <w:pPr>
                              <w:pStyle w:val="PulloutText"/>
                              <w:spacing w:before="60" w:after="60" w:line="240" w:lineRule="atLeast"/>
                            </w:pPr>
                            <w:bookmarkStart w:id="40" w:name="_Hlk535579642"/>
                            <w:r>
                              <w:t xml:space="preserve">We recommend that </w:t>
                            </w:r>
                            <w:r w:rsidRPr="00B1282F">
                              <w:t xml:space="preserve">a new </w:t>
                            </w:r>
                            <w:r>
                              <w:t xml:space="preserve">KPI is established to drive quality improvement in </w:t>
                            </w:r>
                            <w:r w:rsidRPr="000F4969">
                              <w:t xml:space="preserve">vascular access </w:t>
                            </w:r>
                            <w:r>
                              <w:t xml:space="preserve">by measuring </w:t>
                            </w:r>
                            <w:r w:rsidRPr="000F4969">
                              <w:t xml:space="preserve">bloodstream infection rates in </w:t>
                            </w:r>
                            <w:r w:rsidRPr="00B712F3">
                              <w:rPr>
                                <w:szCs w:val="18"/>
                              </w:rPr>
                              <w:t>haemodialysis</w:t>
                            </w:r>
                            <w:r w:rsidRPr="00564975">
                              <w:t xml:space="preserve"> patients (</w:t>
                            </w:r>
                            <w:r w:rsidRPr="00C9262C">
                              <w:rPr>
                                <w:b/>
                              </w:rPr>
                              <w:t>Appendix 4</w:t>
                            </w:r>
                            <w:r w:rsidRPr="00564975">
                              <w:t>).</w:t>
                            </w:r>
                          </w:p>
                          <w:bookmarkEnd w:id="40"/>
                          <w:p w14:paraId="621373D0" w14:textId="6981C162" w:rsidR="00AE683F" w:rsidRDefault="00AE683F" w:rsidP="00B1282F">
                            <w:pPr>
                              <w:pStyle w:val="PulloutText"/>
                              <w:spacing w:before="60" w:after="60" w:line="240" w:lineRule="atLeast"/>
                            </w:pPr>
                          </w:p>
                        </w:txbxContent>
                      </wps:txbx>
                      <wps:bodyPr rot="0" vert="horz" wrap="square" lIns="180000" tIns="180000" rIns="144000" bIns="36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FBCF28" id="_x0000_s1028" type="#_x0000_t202" style="width:509pt;height:1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" fillcolor="#edf5f7 [3214]" strokecolor="#edf5f7 [3214]" strokeweight=".5pt">
                <v:textbox style="mso-fit-shape-to-text:t" inset="5mm,5mm,4mm,1mm">
                  <w:txbxContent>
                    <w:p w14:paraId="759FA2EF" w14:textId="77777777" w:rsidR="00AE683F" w:rsidRPr="004D6898" w:rsidRDefault="00AE683F" w:rsidP="006F01F4">
                      <w:pPr>
                        <w:pStyle w:val="PulloutHeading"/>
                      </w:pPr>
                      <w:r>
                        <w:t>Recommendations and next steps</w:t>
                      </w:r>
                    </w:p>
                    <w:p w14:paraId="529BBC75" w14:textId="72F61E9F" w:rsidR="00AE683F" w:rsidRDefault="00AE683F" w:rsidP="00343A2D">
                      <w:pPr>
                        <w:pStyle w:val="PulloutText"/>
                        <w:spacing w:before="80" w:after="80" w:line="240" w:lineRule="atLeast"/>
                      </w:pPr>
                      <w:r w:rsidRPr="006C3B6D">
                        <w:t xml:space="preserve">Although the effectiveness of the current target is uncertain, there is currently no evidence to support </w:t>
                      </w:r>
                      <w:r>
                        <w:t xml:space="preserve">its </w:t>
                      </w:r>
                      <w:r w:rsidRPr="006C3B6D">
                        <w:t>chang</w:t>
                      </w:r>
                      <w:r>
                        <w:t xml:space="preserve">e </w:t>
                      </w:r>
                    </w:p>
                    <w:p w14:paraId="619EE1E6" w14:textId="75CEFBA2" w:rsidR="00AE683F" w:rsidRDefault="00AE683F" w:rsidP="00B1282F">
                      <w:pPr>
                        <w:pStyle w:val="PulloutText"/>
                        <w:spacing w:before="80" w:after="80" w:line="240" w:lineRule="atLeast"/>
                      </w:pPr>
                      <w:r>
                        <w:t>We</w:t>
                      </w:r>
                      <w:r w:rsidRPr="00BB6413">
                        <w:t xml:space="preserve"> recommend</w:t>
                      </w:r>
                      <w:r w:rsidRPr="0005708D">
                        <w:t xml:space="preserve"> that the current 70</w:t>
                      </w:r>
                      <w:r w:rsidRPr="00564975">
                        <w:t xml:space="preserve"> per cent</w:t>
                      </w:r>
                      <w:r w:rsidRPr="00B1282F">
                        <w:t xml:space="preserve"> target for KPI</w:t>
                      </w:r>
                      <w:r>
                        <w:t xml:space="preserve"> </w:t>
                      </w:r>
                      <w:r w:rsidRPr="00BB6413">
                        <w:t>2 continue</w:t>
                      </w:r>
                      <w:r>
                        <w:t xml:space="preserve"> until there is sufficient evidence to support a change in target or methodology</w:t>
                      </w:r>
                      <w:r w:rsidRPr="00BB6413">
                        <w:t xml:space="preserve">. The </w:t>
                      </w:r>
                      <w:r>
                        <w:t>Renal Clinical Network insight subcommittee</w:t>
                      </w:r>
                      <w:r w:rsidRPr="00BB6413">
                        <w:t xml:space="preserve"> </w:t>
                      </w:r>
                      <w:r>
                        <w:t>will review and monitor KPI 2 results and</w:t>
                      </w:r>
                      <w:r w:rsidRPr="00BB6413">
                        <w:t xml:space="preserve"> revise </w:t>
                      </w:r>
                      <w:r>
                        <w:t xml:space="preserve">the KPI </w:t>
                      </w:r>
                      <w:r w:rsidRPr="00BB6413">
                        <w:t>in the future,</w:t>
                      </w:r>
                      <w:r w:rsidRPr="000F4969">
                        <w:t xml:space="preserve"> as indicated by performance and emerging evidence.</w:t>
                      </w:r>
                    </w:p>
                    <w:p w14:paraId="00A56252" w14:textId="77777777" w:rsidR="00AE683F" w:rsidRPr="00B1282F" w:rsidRDefault="00AE683F" w:rsidP="00343A2D">
                      <w:pPr>
                        <w:pStyle w:val="PulloutText"/>
                        <w:rPr>
                          <w:b/>
                        </w:rPr>
                      </w:pPr>
                      <w:r w:rsidRPr="00B1282F">
                        <w:rPr>
                          <w:b/>
                        </w:rPr>
                        <w:t>Changes to exclusions</w:t>
                      </w:r>
                    </w:p>
                    <w:p w14:paraId="63B9898D" w14:textId="013436DD" w:rsidR="00AE683F" w:rsidRPr="00BB6413" w:rsidRDefault="00AE683F" w:rsidP="00343A2D">
                      <w:pPr>
                        <w:pStyle w:val="PulloutText"/>
                      </w:pPr>
                      <w:r w:rsidRPr="00BB6413">
                        <w:t xml:space="preserve">Patients with a </w:t>
                      </w:r>
                      <w:r w:rsidRPr="000F4969">
                        <w:t xml:space="preserve">failed transplant or </w:t>
                      </w:r>
                      <w:r>
                        <w:t xml:space="preserve">those </w:t>
                      </w:r>
                      <w:r w:rsidRPr="00BB6413">
                        <w:t>who are tran</w:t>
                      </w:r>
                      <w:r w:rsidRPr="000F4969">
                        <w:t xml:space="preserve">sferring from </w:t>
                      </w:r>
                      <w:r w:rsidRPr="00DF7280">
                        <w:t>peritoneal dialysis</w:t>
                      </w:r>
                      <w:r w:rsidRPr="00564975">
                        <w:t xml:space="preserve"> </w:t>
                      </w:r>
                      <w:r w:rsidRPr="00B1282F">
                        <w:t>should no longer be excluded</w:t>
                      </w:r>
                      <w:r>
                        <w:t>. This will ensure the</w:t>
                      </w:r>
                      <w:r w:rsidRPr="00BB6413">
                        <w:t xml:space="preserve"> </w:t>
                      </w:r>
                      <w:r w:rsidRPr="000F4969">
                        <w:t xml:space="preserve">KPI </w:t>
                      </w:r>
                      <w:r>
                        <w:t>is</w:t>
                      </w:r>
                      <w:r w:rsidRPr="00BB6413">
                        <w:t xml:space="preserve"> more inclusive of patient groups.</w:t>
                      </w:r>
                    </w:p>
                    <w:p w14:paraId="029FDEBE" w14:textId="5A1B2AAD" w:rsidR="00AE683F" w:rsidRPr="00B1282F" w:rsidRDefault="00AE683F" w:rsidP="00343A2D">
                      <w:pPr>
                        <w:pStyle w:val="PulloutText"/>
                        <w:rPr>
                          <w:b/>
                        </w:rPr>
                      </w:pPr>
                      <w:r w:rsidRPr="00B1282F">
                        <w:rPr>
                          <w:b/>
                        </w:rPr>
                        <w:t>Collection of data</w:t>
                      </w:r>
                    </w:p>
                    <w:p w14:paraId="4C507DF6" w14:textId="3366ABCC" w:rsidR="00AE683F" w:rsidRDefault="00AE683F" w:rsidP="00343A2D">
                      <w:pPr>
                        <w:pStyle w:val="PulloutText"/>
                        <w:spacing w:before="60" w:after="60" w:line="240" w:lineRule="atLeast"/>
                      </w:pPr>
                      <w:r>
                        <w:t xml:space="preserve">The Renal Clinical Network </w:t>
                      </w:r>
                      <w:r w:rsidRPr="00BB6413">
                        <w:t>should</w:t>
                      </w:r>
                      <w:r w:rsidRPr="00564975">
                        <w:t xml:space="preserve"> </w:t>
                      </w:r>
                      <w:r w:rsidRPr="00F35A12">
                        <w:t>collect</w:t>
                      </w:r>
                      <w:r w:rsidRPr="00343A2D">
                        <w:t xml:space="preserve"> data on the specific reasons why planned </w:t>
                      </w:r>
                      <w:r w:rsidRPr="00B1282F">
                        <w:t xml:space="preserve">haemodialysis patients </w:t>
                      </w:r>
                      <w:r w:rsidRPr="00F35A12">
                        <w:t xml:space="preserve">start </w:t>
                      </w:r>
                      <w:r w:rsidRPr="00B1282F">
                        <w:t>haemodialysis without arteriovenous access (</w:t>
                      </w:r>
                      <w:r w:rsidRPr="00F35A12">
                        <w:t xml:space="preserve">that is, with a CVC). </w:t>
                      </w:r>
                      <w:r w:rsidRPr="00BB6413">
                        <w:t>Collecting</w:t>
                      </w:r>
                      <w:r w:rsidRPr="000F4969">
                        <w:t xml:space="preserve"> this data </w:t>
                      </w:r>
                      <w:r>
                        <w:t>will</w:t>
                      </w:r>
                      <w:r w:rsidRPr="00BB6413">
                        <w:t xml:space="preserve">: </w:t>
                      </w:r>
                    </w:p>
                    <w:p w14:paraId="46FD211B" w14:textId="04D98AE1" w:rsidR="00AE683F" w:rsidRPr="00F35A12" w:rsidRDefault="00AE683F" w:rsidP="00343A2D">
                      <w:pPr>
                        <w:pStyle w:val="PulloutText"/>
                        <w:numPr>
                          <w:ilvl w:val="0"/>
                          <w:numId w:val="90"/>
                        </w:numPr>
                        <w:spacing w:before="60" w:after="60" w:line="240" w:lineRule="atLeast"/>
                      </w:pPr>
                      <w:r w:rsidRPr="00F35A12">
                        <w:t>stimulate local service efforts at quality and performance improvement</w:t>
                      </w:r>
                    </w:p>
                    <w:p w14:paraId="77EBE15F" w14:textId="49F77A25" w:rsidR="00AE683F" w:rsidRPr="00BB6413" w:rsidRDefault="00AE683F" w:rsidP="00B1282F">
                      <w:pPr>
                        <w:pStyle w:val="PulloutText"/>
                        <w:numPr>
                          <w:ilvl w:val="0"/>
                          <w:numId w:val="90"/>
                        </w:numPr>
                        <w:spacing w:before="60" w:after="60" w:line="240" w:lineRule="atLeast"/>
                      </w:pPr>
                      <w:r w:rsidRPr="00BB6413">
                        <w:t xml:space="preserve">improve SCV’s understanding of the reasons for the variation in practice and performance in KPI </w:t>
                      </w:r>
                      <w:r w:rsidRPr="00B1282F">
                        <w:t>2</w:t>
                      </w:r>
                    </w:p>
                    <w:p w14:paraId="2F31EE2D" w14:textId="3615ACB7" w:rsidR="00AE683F" w:rsidRPr="00343A2D" w:rsidRDefault="00AE683F" w:rsidP="00343A2D">
                      <w:pPr>
                        <w:pStyle w:val="PulloutText"/>
                        <w:numPr>
                          <w:ilvl w:val="0"/>
                          <w:numId w:val="90"/>
                        </w:numPr>
                        <w:spacing w:before="60" w:after="60" w:line="240" w:lineRule="atLeast"/>
                      </w:pPr>
                      <w:r w:rsidRPr="00F35A12">
                        <w:t xml:space="preserve">help direct ongoing quality </w:t>
                      </w:r>
                      <w:r w:rsidRPr="00343A2D">
                        <w:t>improvement initiatives.</w:t>
                      </w:r>
                    </w:p>
                    <w:p w14:paraId="298B0725" w14:textId="788FC90F" w:rsidR="00AE683F" w:rsidRPr="00B1282F" w:rsidRDefault="00AE683F" w:rsidP="00343A2D">
                      <w:pPr>
                        <w:pStyle w:val="PulloutText"/>
                        <w:spacing w:before="0"/>
                        <w:rPr>
                          <w:b/>
                        </w:rPr>
                      </w:pPr>
                      <w:r w:rsidRPr="00B1282F">
                        <w:rPr>
                          <w:b/>
                        </w:rPr>
                        <w:t>Establishing new measures</w:t>
                      </w:r>
                    </w:p>
                    <w:p w14:paraId="559DE544" w14:textId="617AA59E" w:rsidR="00AE683F" w:rsidRDefault="00AE683F" w:rsidP="00343A2D">
                      <w:pPr>
                        <w:pStyle w:val="PulloutText"/>
                        <w:spacing w:before="60" w:after="60" w:line="240" w:lineRule="atLeast"/>
                      </w:pPr>
                      <w:bookmarkStart w:id="41" w:name="_Hlk535579642"/>
                      <w:r>
                        <w:t xml:space="preserve">We recommend that </w:t>
                      </w:r>
                      <w:r w:rsidRPr="00B1282F">
                        <w:t xml:space="preserve">a new </w:t>
                      </w:r>
                      <w:r>
                        <w:t xml:space="preserve">KPI is established to drive quality improvement in </w:t>
                      </w:r>
                      <w:r w:rsidRPr="000F4969">
                        <w:t xml:space="preserve">vascular access </w:t>
                      </w:r>
                      <w:r>
                        <w:t xml:space="preserve">by measuring </w:t>
                      </w:r>
                      <w:r w:rsidRPr="000F4969">
                        <w:t xml:space="preserve">bloodstream infection rates in </w:t>
                      </w:r>
                      <w:r w:rsidRPr="00B712F3">
                        <w:rPr>
                          <w:szCs w:val="18"/>
                        </w:rPr>
                        <w:t>haemodialysis</w:t>
                      </w:r>
                      <w:r w:rsidRPr="00564975">
                        <w:t xml:space="preserve"> patients (</w:t>
                      </w:r>
                      <w:r w:rsidRPr="00C9262C">
                        <w:rPr>
                          <w:b/>
                        </w:rPr>
                        <w:t>Appendix 4</w:t>
                      </w:r>
                      <w:r w:rsidRPr="00564975">
                        <w:t>).</w:t>
                      </w:r>
                    </w:p>
                    <w:bookmarkEnd w:id="41"/>
                    <w:p w14:paraId="621373D0" w14:textId="6981C162" w:rsidR="00AE683F" w:rsidRDefault="00AE683F" w:rsidP="00B1282F">
                      <w:pPr>
                        <w:pStyle w:val="PulloutText"/>
                        <w:spacing w:before="60" w:after="60" w:line="240" w:lineRule="atLeas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241B66E" w14:textId="77777777" w:rsidR="00F524E2" w:rsidRDefault="00F524E2" w:rsidP="00B1282F">
      <w:pPr>
        <w:spacing w:before="0" w:after="0" w:line="240" w:lineRule="auto"/>
        <w:rPr>
          <w:rFonts w:asciiTheme="majorHAnsi" w:eastAsiaTheme="majorEastAsia" w:hAnsiTheme="majorHAnsi" w:cstheme="majorBidi"/>
          <w:color w:val="007586" w:themeColor="text2"/>
          <w:sz w:val="24"/>
          <w:szCs w:val="26"/>
        </w:rPr>
      </w:pPr>
      <w:bookmarkStart w:id="42" w:name="_Toc8637226"/>
      <w:r>
        <w:br w:type="page"/>
      </w:r>
    </w:p>
    <w:p w14:paraId="1E0074A0" w14:textId="012D507F" w:rsidR="00F524E2" w:rsidRPr="000F4969" w:rsidRDefault="00D858D5">
      <w:pPr>
        <w:pStyle w:val="Heading1"/>
        <w:framePr w:wrap="around"/>
      </w:pPr>
      <w:bookmarkStart w:id="43" w:name="_Toc17103960"/>
      <w:r w:rsidRPr="00BB6413">
        <w:lastRenderedPageBreak/>
        <w:t>Key performance indicator 3</w:t>
      </w:r>
      <w:bookmarkEnd w:id="43"/>
    </w:p>
    <w:bookmarkEnd w:id="42"/>
    <w:p w14:paraId="5BA384FF" w14:textId="77777777" w:rsidR="00774A9D" w:rsidRDefault="00774A9D" w:rsidP="00774A9D">
      <w:pPr>
        <w:pStyle w:val="Heading3"/>
      </w:pPr>
      <w:r w:rsidRPr="00774A9D">
        <w:t>Proportion of dialysis patients who are dialysing at home</w:t>
      </w:r>
    </w:p>
    <w:p w14:paraId="31E6519C" w14:textId="79307F12" w:rsidR="00D858D5" w:rsidRPr="00B1282F" w:rsidRDefault="00D858D5" w:rsidP="00774A9D">
      <w:pPr>
        <w:pStyle w:val="Normalfollowingheading"/>
      </w:pPr>
      <w:r w:rsidRPr="000F4969">
        <w:t xml:space="preserve">Home dialysis maximises independence and </w:t>
      </w:r>
      <w:r w:rsidR="00FB7741">
        <w:t>helps</w:t>
      </w:r>
      <w:r w:rsidRPr="000F4969">
        <w:t xml:space="preserve"> address</w:t>
      </w:r>
      <w:r w:rsidRPr="00564975">
        <w:t xml:space="preserve"> curr</w:t>
      </w:r>
      <w:r w:rsidRPr="00B1282F">
        <w:t>ent access issues, including transportation for rural patients.</w:t>
      </w:r>
    </w:p>
    <w:p w14:paraId="6BD58FFB" w14:textId="5487C123" w:rsidR="00D858D5" w:rsidRPr="00564975" w:rsidRDefault="00FB7741" w:rsidP="00343A2D">
      <w:r>
        <w:t>Other</w:t>
      </w:r>
      <w:r w:rsidR="00D858D5" w:rsidRPr="000F4969">
        <w:t xml:space="preserve"> advantages include qua</w:t>
      </w:r>
      <w:r w:rsidR="00D858D5" w:rsidRPr="0005708D">
        <w:t>lity of life and</w:t>
      </w:r>
      <w:r w:rsidR="00D858D5" w:rsidRPr="00564975">
        <w:t xml:space="preserve"> social and economic benefits.</w:t>
      </w:r>
    </w:p>
    <w:p w14:paraId="2E6FF738" w14:textId="3666E51F" w:rsidR="00D858D5" w:rsidRPr="005470C9" w:rsidRDefault="00D858D5" w:rsidP="00343A2D">
      <w:r w:rsidRPr="00B1282F">
        <w:t>Increasing home dialysis uptake encourages improved</w:t>
      </w:r>
      <w:r w:rsidRPr="00F35A12">
        <w:t xml:space="preserve"> outcomes and lower costs. Identifying barriers to home therapies will help improve home dialysis rates across the state.</w:t>
      </w:r>
    </w:p>
    <w:p w14:paraId="78E618D5" w14:textId="1237A616" w:rsidR="00C10A40" w:rsidRPr="00343A2D" w:rsidRDefault="00D858D5">
      <w:pPr>
        <w:pStyle w:val="Heading2"/>
      </w:pPr>
      <w:r w:rsidRPr="00343A2D">
        <w:t>Current definition and targets</w:t>
      </w:r>
    </w:p>
    <w:p w14:paraId="2E53951F" w14:textId="3D507EDC" w:rsidR="00C10A40" w:rsidRPr="00F35A12" w:rsidRDefault="00C10A40" w:rsidP="0054741F">
      <w:pPr>
        <w:pStyle w:val="Normalfollowingheading"/>
      </w:pPr>
      <w:r w:rsidRPr="00343A2D">
        <w:rPr>
          <w:rFonts w:ascii="VIC SemiBold" w:hAnsi="VIC SemiBold"/>
        </w:rPr>
        <w:t>Incident patients</w:t>
      </w:r>
      <w:r w:rsidR="00A962C4" w:rsidRPr="00F35A12">
        <w:t>:</w:t>
      </w:r>
      <w:r w:rsidRPr="00F35A12">
        <w:t xml:space="preserve"> </w:t>
      </w:r>
      <w:r w:rsidR="00B1282F">
        <w:t>T</w:t>
      </w:r>
      <w:r w:rsidRPr="00F35A12">
        <w:t>he percentage of patients who are dialysing at home within six months of starting dialysis (out of total patients who started dialysis in the six months prior)</w:t>
      </w:r>
      <w:r w:rsidR="00B1282F">
        <w:t>.</w:t>
      </w:r>
    </w:p>
    <w:p w14:paraId="578C95E9" w14:textId="4F79D274" w:rsidR="00C10A40" w:rsidRPr="00F35A12" w:rsidRDefault="00C10A40" w:rsidP="00B1282F">
      <w:r w:rsidRPr="00343A2D">
        <w:rPr>
          <w:rFonts w:ascii="VIC SemiBold" w:hAnsi="VIC SemiBold"/>
        </w:rPr>
        <w:t>Prevalent patients</w:t>
      </w:r>
      <w:r w:rsidR="00A962C4" w:rsidRPr="00F35A12">
        <w:t>:</w:t>
      </w:r>
      <w:r w:rsidRPr="00F35A12">
        <w:t xml:space="preserve"> </w:t>
      </w:r>
      <w:r w:rsidR="00B1282F">
        <w:t>T</w:t>
      </w:r>
      <w:r w:rsidRPr="00F35A12">
        <w:t>he overall percentage of patients who are dialysing at home</w:t>
      </w:r>
      <w:r w:rsidR="00B1282F">
        <w:t>.</w:t>
      </w:r>
    </w:p>
    <w:p w14:paraId="475FE8B5" w14:textId="77777777" w:rsidR="00C10A40" w:rsidRPr="00F35A12" w:rsidRDefault="00C10A40" w:rsidP="00B1282F">
      <w:r w:rsidRPr="00343A2D">
        <w:rPr>
          <w:rFonts w:ascii="VIC SemiBold" w:hAnsi="VIC SemiBold"/>
        </w:rPr>
        <w:t>Targets</w:t>
      </w:r>
      <w:r w:rsidRPr="00F35A12">
        <w:t>:</w:t>
      </w:r>
    </w:p>
    <w:p w14:paraId="456F3228" w14:textId="2F944DE6" w:rsidR="00C10A40" w:rsidRPr="00343A2D" w:rsidRDefault="00C10A40" w:rsidP="00B1282F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Incident patients</w:t>
      </w:r>
      <w:r w:rsidR="00A962C4" w:rsidRPr="00343A2D">
        <w:rPr>
          <w:rFonts w:ascii="VIC" w:hAnsi="VIC"/>
        </w:rPr>
        <w:t>:</w:t>
      </w:r>
      <w:r w:rsidRPr="00343A2D">
        <w:rPr>
          <w:rFonts w:ascii="VIC" w:hAnsi="VIC"/>
        </w:rPr>
        <w:t xml:space="preserve"> 35 per cent of dialysis patients are on home dialysis within six months of starting dialysis</w:t>
      </w:r>
      <w:r w:rsidR="00B1282F">
        <w:rPr>
          <w:rFonts w:ascii="VIC" w:hAnsi="VIC"/>
        </w:rPr>
        <w:t>.</w:t>
      </w:r>
    </w:p>
    <w:p w14:paraId="55E41088" w14:textId="07B00F1D" w:rsidR="00C10A40" w:rsidRPr="00343A2D" w:rsidRDefault="00C10A40" w:rsidP="00B1282F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Prevalent patients</w:t>
      </w:r>
      <w:r w:rsidR="00A962C4" w:rsidRPr="00343A2D">
        <w:rPr>
          <w:rFonts w:ascii="VIC" w:hAnsi="VIC"/>
        </w:rPr>
        <w:t>:</w:t>
      </w:r>
      <w:r w:rsidRPr="00343A2D">
        <w:rPr>
          <w:rFonts w:ascii="VIC" w:hAnsi="VIC"/>
        </w:rPr>
        <w:t xml:space="preserve"> 35 per cent of dialysis patients are on home dialysis</w:t>
      </w:r>
      <w:r w:rsidR="00B1282F">
        <w:rPr>
          <w:rFonts w:ascii="VIC" w:hAnsi="VIC"/>
        </w:rPr>
        <w:t>.</w:t>
      </w:r>
    </w:p>
    <w:p w14:paraId="295B0FBE" w14:textId="4ADF443E" w:rsidR="00C10A40" w:rsidRPr="00F35A12" w:rsidRDefault="00C10A40" w:rsidP="00B1282F">
      <w:r w:rsidRPr="00343A2D">
        <w:rPr>
          <w:rFonts w:ascii="VIC SemiBold" w:hAnsi="VIC SemiBold"/>
        </w:rPr>
        <w:t>Dialysing at home</w:t>
      </w:r>
      <w:r w:rsidRPr="00F35A12">
        <w:t xml:space="preserve">: </w:t>
      </w:r>
      <w:r w:rsidR="00B1282F">
        <w:t>R</w:t>
      </w:r>
      <w:r w:rsidRPr="00F35A12">
        <w:t xml:space="preserve">efers to nocturnal and conventional </w:t>
      </w:r>
      <w:r w:rsidR="00B712F3" w:rsidRPr="00B712F3">
        <w:rPr>
          <w:szCs w:val="18"/>
        </w:rPr>
        <w:t>haemodialysis</w:t>
      </w:r>
      <w:r w:rsidR="0076292D" w:rsidRPr="00F35A12">
        <w:t>,</w:t>
      </w:r>
      <w:r w:rsidRPr="00F35A12">
        <w:t xml:space="preserve"> and automated and continuous ambulatory </w:t>
      </w:r>
      <w:r w:rsidR="00F1134B" w:rsidRPr="00DF7280">
        <w:t>peritoneal dialysis</w:t>
      </w:r>
      <w:r w:rsidR="00B1282F">
        <w:t>.</w:t>
      </w:r>
    </w:p>
    <w:p w14:paraId="2577B9CD" w14:textId="268CC54C" w:rsidR="00C10A40" w:rsidRPr="00F35A12" w:rsidRDefault="00C10A40" w:rsidP="00B1282F">
      <w:r w:rsidRPr="00343A2D">
        <w:rPr>
          <w:rFonts w:ascii="VIC SemiBold" w:hAnsi="VIC SemiBold"/>
        </w:rPr>
        <w:t>Inclu</w:t>
      </w:r>
      <w:r w:rsidR="0076292D" w:rsidRPr="00343A2D">
        <w:rPr>
          <w:rFonts w:ascii="VIC SemiBold" w:hAnsi="VIC SemiBold"/>
        </w:rPr>
        <w:t>sions</w:t>
      </w:r>
      <w:r w:rsidR="0076292D" w:rsidRPr="00F35A12">
        <w:t>:</w:t>
      </w:r>
      <w:r w:rsidRPr="00F35A12">
        <w:t xml:space="preserve"> </w:t>
      </w:r>
      <w:r w:rsidR="00B1282F">
        <w:t>P</w:t>
      </w:r>
      <w:r w:rsidRPr="00F35A12">
        <w:t>atients who have successfully been on home dialysis during any of the six months</w:t>
      </w:r>
      <w:r w:rsidR="00B1282F">
        <w:t>.</w:t>
      </w:r>
    </w:p>
    <w:p w14:paraId="7D1FB5C6" w14:textId="1763B4E1" w:rsidR="00C10A40" w:rsidRPr="00F35A12" w:rsidRDefault="00C10A40" w:rsidP="00B1282F">
      <w:r w:rsidRPr="00343A2D">
        <w:rPr>
          <w:rFonts w:ascii="VIC SemiBold" w:hAnsi="VIC SemiBold"/>
        </w:rPr>
        <w:t>Exclusions</w:t>
      </w:r>
      <w:r w:rsidRPr="00F35A12">
        <w:t xml:space="preserve">: </w:t>
      </w:r>
      <w:r w:rsidR="00B1282F">
        <w:t>P</w:t>
      </w:r>
      <w:r w:rsidRPr="00F35A12">
        <w:t>atients who are in home training units</w:t>
      </w:r>
      <w:r w:rsidR="00B1282F">
        <w:t>.</w:t>
      </w:r>
    </w:p>
    <w:p w14:paraId="38BB2B5D" w14:textId="62B29D5A" w:rsidR="00FD65A2" w:rsidRPr="00FD65A2" w:rsidRDefault="00C10A40" w:rsidP="00FD65A2">
      <w:pPr>
        <w:pStyle w:val="Heading2"/>
      </w:pPr>
      <w:bookmarkStart w:id="44" w:name="_Toc531170314"/>
      <w:bookmarkStart w:id="45" w:name="_Toc8637229"/>
      <w:bookmarkStart w:id="46" w:name="_Toc10460681"/>
      <w:r w:rsidRPr="00FB7741">
        <w:t>Assessment</w:t>
      </w:r>
      <w:bookmarkEnd w:id="44"/>
      <w:bookmarkEnd w:id="45"/>
      <w:bookmarkEnd w:id="46"/>
    </w:p>
    <w:p w14:paraId="4556B727" w14:textId="17CD6D20" w:rsidR="00673B51" w:rsidRPr="00673B51" w:rsidRDefault="00673B51" w:rsidP="000A1146">
      <w:pPr>
        <w:pStyle w:val="Heading3"/>
      </w:pPr>
      <w:r>
        <w:t>Assessment of KPI evidence</w:t>
      </w:r>
    </w:p>
    <w:p w14:paraId="199CBF4C" w14:textId="295E41F8" w:rsidR="00C10A40" w:rsidRPr="00343A2D" w:rsidRDefault="005470C9" w:rsidP="00343A2D">
      <w:r>
        <w:t>O</w:t>
      </w:r>
      <w:r w:rsidRPr="00BB6413">
        <w:t xml:space="preserve">bservational </w:t>
      </w:r>
      <w:r w:rsidR="00C10A40" w:rsidRPr="00BB6413">
        <w:t xml:space="preserve">data for home </w:t>
      </w:r>
      <w:r w:rsidR="00B712F3" w:rsidRPr="00B712F3">
        <w:rPr>
          <w:szCs w:val="18"/>
        </w:rPr>
        <w:t>haemodialysis</w:t>
      </w:r>
      <w:r w:rsidR="00A24EB4" w:rsidRPr="000F4969">
        <w:t xml:space="preserve"> </w:t>
      </w:r>
      <w:r w:rsidR="00C10A40" w:rsidRPr="0005708D">
        <w:t xml:space="preserve">consistently </w:t>
      </w:r>
      <w:proofErr w:type="gramStart"/>
      <w:r w:rsidR="00376BA4">
        <w:t>show</w:t>
      </w:r>
      <w:proofErr w:type="gramEnd"/>
      <w:r>
        <w:t xml:space="preserve"> better</w:t>
      </w:r>
      <w:r w:rsidR="00955FB0">
        <w:t xml:space="preserve"> outcomes</w:t>
      </w:r>
      <w:r w:rsidRPr="00BB6413">
        <w:t xml:space="preserve"> </w:t>
      </w:r>
      <w:r w:rsidR="00A34DB2">
        <w:t>than</w:t>
      </w:r>
      <w:r w:rsidR="00B23FFD" w:rsidRPr="00BB6413">
        <w:t xml:space="preserve"> </w:t>
      </w:r>
      <w:r w:rsidR="00C10A40" w:rsidRPr="000F4969">
        <w:t xml:space="preserve">facility </w:t>
      </w:r>
      <w:r w:rsidR="001A15F9">
        <w:t>haemodialysis</w:t>
      </w:r>
      <w:r w:rsidR="00C10A40" w:rsidRPr="00564975">
        <w:t>, but this should be interpre</w:t>
      </w:r>
      <w:r w:rsidR="00C10A40" w:rsidRPr="00B1282F">
        <w:t>ted with caution due to the potential for confounding</w:t>
      </w:r>
      <w:r w:rsidR="00B23FFD" w:rsidRPr="00F35A12">
        <w:t>.</w:t>
      </w:r>
      <w:r w:rsidR="00C10A40" w:rsidRPr="00F35A12">
        <w:rPr>
          <w:vertAlign w:val="superscript"/>
        </w:rPr>
        <w:t>18</w:t>
      </w:r>
    </w:p>
    <w:p w14:paraId="2D6385C6" w14:textId="7559384C" w:rsidR="00C10A40" w:rsidRPr="00343A2D" w:rsidRDefault="00C10A40" w:rsidP="00343A2D">
      <w:r w:rsidRPr="00343A2D">
        <w:t xml:space="preserve">Observational outcome data comparing </w:t>
      </w:r>
      <w:r w:rsidR="00F1134B" w:rsidRPr="00DF7280">
        <w:t>peritoneal dialysis</w:t>
      </w:r>
      <w:r w:rsidRPr="00343A2D">
        <w:t xml:space="preserve"> with facility </w:t>
      </w:r>
      <w:r w:rsidR="00B712F3" w:rsidRPr="00B712F3">
        <w:rPr>
          <w:szCs w:val="18"/>
        </w:rPr>
        <w:t>haemodialysis</w:t>
      </w:r>
      <w:r w:rsidR="00A24EB4" w:rsidRPr="00B1282F">
        <w:t xml:space="preserve"> </w:t>
      </w:r>
      <w:r w:rsidRPr="00F35A12">
        <w:t>are highly variable</w:t>
      </w:r>
      <w:r w:rsidR="005470C9">
        <w:t xml:space="preserve"> and </w:t>
      </w:r>
      <w:r w:rsidRPr="000F4969">
        <w:t xml:space="preserve">are regarded as non-definitive. </w:t>
      </w:r>
      <w:proofErr w:type="spellStart"/>
      <w:r w:rsidRPr="000F4969">
        <w:t>Weinhandl</w:t>
      </w:r>
      <w:proofErr w:type="spellEnd"/>
      <w:r w:rsidRPr="000F4969">
        <w:t xml:space="preserve"> et al</w:t>
      </w:r>
      <w:r w:rsidR="00B23FFD" w:rsidRPr="0005708D">
        <w:t>.</w:t>
      </w:r>
      <w:r w:rsidRPr="00564975">
        <w:rPr>
          <w:vertAlign w:val="superscript"/>
        </w:rPr>
        <w:t>19</w:t>
      </w:r>
      <w:r w:rsidRPr="00B1282F">
        <w:t xml:space="preserve"> favours </w:t>
      </w:r>
      <w:r w:rsidR="00F1134B" w:rsidRPr="00DF7280">
        <w:t>peritoneal dialysis</w:t>
      </w:r>
      <w:r w:rsidRPr="00B1282F">
        <w:t>; Mehrotra et al</w:t>
      </w:r>
      <w:r w:rsidR="00B23FFD" w:rsidRPr="00F35A12">
        <w:t>.</w:t>
      </w:r>
      <w:r w:rsidRPr="00F35A12">
        <w:rPr>
          <w:vertAlign w:val="superscript"/>
        </w:rPr>
        <w:t>20</w:t>
      </w:r>
      <w:r w:rsidR="006438A6" w:rsidRPr="00343A2D">
        <w:t xml:space="preserve"> </w:t>
      </w:r>
      <w:r w:rsidRPr="00BB6413">
        <w:t xml:space="preserve">suggests </w:t>
      </w:r>
      <w:r w:rsidR="00B712F3" w:rsidRPr="00B712F3">
        <w:rPr>
          <w:szCs w:val="18"/>
        </w:rPr>
        <w:t>haemodialysis</w:t>
      </w:r>
      <w:r w:rsidRPr="00BB6413">
        <w:t xml:space="preserve"> and </w:t>
      </w:r>
      <w:r w:rsidR="00F1134B" w:rsidRPr="00DF7280">
        <w:t>peritoneal dialysis</w:t>
      </w:r>
      <w:r w:rsidRPr="00BB6413">
        <w:t xml:space="preserve"> have similar outcomes; McDona</w:t>
      </w:r>
      <w:r w:rsidRPr="000F4969">
        <w:t>ld et al</w:t>
      </w:r>
      <w:r w:rsidR="00B23FFD" w:rsidRPr="0005708D">
        <w:t>.</w:t>
      </w:r>
      <w:r w:rsidRPr="00564975">
        <w:rPr>
          <w:vertAlign w:val="superscript"/>
        </w:rPr>
        <w:t>21</w:t>
      </w:r>
      <w:r w:rsidRPr="00B1282F">
        <w:t xml:space="preserve"> (Australian study) suggests </w:t>
      </w:r>
      <w:r w:rsidR="00F1134B" w:rsidRPr="00DF7280">
        <w:t>peritoneal dialysis</w:t>
      </w:r>
      <w:r w:rsidRPr="00B1282F">
        <w:t xml:space="preserve"> did worse th</w:t>
      </w:r>
      <w:r w:rsidRPr="00F35A12">
        <w:t xml:space="preserve">an </w:t>
      </w:r>
      <w:r w:rsidR="00B712F3" w:rsidRPr="00B712F3">
        <w:rPr>
          <w:szCs w:val="18"/>
        </w:rPr>
        <w:t>haemodialysis</w:t>
      </w:r>
      <w:r w:rsidRPr="00B1282F">
        <w:t>.</w:t>
      </w:r>
    </w:p>
    <w:p w14:paraId="6A16FE6D" w14:textId="77777777" w:rsidR="00B1282F" w:rsidRDefault="00B1282F">
      <w:r>
        <w:br w:type="page"/>
      </w:r>
    </w:p>
    <w:p w14:paraId="5E0FDB7D" w14:textId="05460413" w:rsidR="00C10A40" w:rsidRPr="00B1282F" w:rsidRDefault="00C10A40" w:rsidP="00343A2D">
      <w:r w:rsidRPr="000F4969">
        <w:lastRenderedPageBreak/>
        <w:t>Advantages of home dialysis may include</w:t>
      </w:r>
      <w:r w:rsidR="00B23FFD" w:rsidRPr="0005708D">
        <w:t>:</w:t>
      </w:r>
      <w:r w:rsidRPr="00564975">
        <w:rPr>
          <w:vertAlign w:val="superscript"/>
        </w:rPr>
        <w:t>22</w:t>
      </w:r>
    </w:p>
    <w:p w14:paraId="21642D18" w14:textId="4E3978E0" w:rsidR="00C10A40" w:rsidRPr="00343A2D" w:rsidRDefault="00B23FFD" w:rsidP="00343A2D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>e</w:t>
      </w:r>
      <w:r w:rsidR="00C10A40" w:rsidRPr="00343A2D">
        <w:rPr>
          <w:rFonts w:ascii="VIC" w:hAnsi="VIC"/>
        </w:rPr>
        <w:t>nhanced independence</w:t>
      </w:r>
    </w:p>
    <w:p w14:paraId="1B22ADAA" w14:textId="3DF2F904" w:rsidR="00C10A40" w:rsidRPr="00343A2D" w:rsidRDefault="00B23FFD" w:rsidP="00343A2D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>g</w:t>
      </w:r>
      <w:r w:rsidR="00C10A40" w:rsidRPr="00343A2D">
        <w:rPr>
          <w:rFonts w:ascii="VIC" w:hAnsi="VIC"/>
        </w:rPr>
        <w:t>reater flexibility, personalisation and optimisation of the dialysis regimen</w:t>
      </w:r>
    </w:p>
    <w:p w14:paraId="1C6D1239" w14:textId="3C0BC6E2" w:rsidR="00C10A40" w:rsidRPr="00343A2D" w:rsidRDefault="00B23FFD" w:rsidP="00343A2D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>r</w:t>
      </w:r>
      <w:r w:rsidR="00C10A40" w:rsidRPr="00343A2D">
        <w:rPr>
          <w:rFonts w:ascii="VIC" w:hAnsi="VIC"/>
        </w:rPr>
        <w:t>educed healthcare costs</w:t>
      </w:r>
    </w:p>
    <w:p w14:paraId="1F60E8C7" w14:textId="78D73634" w:rsidR="00C10A40" w:rsidRPr="00343A2D" w:rsidRDefault="00B23FFD" w:rsidP="00343A2D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>e</w:t>
      </w:r>
      <w:r w:rsidR="00C10A40" w:rsidRPr="00343A2D">
        <w:rPr>
          <w:rFonts w:ascii="VIC" w:hAnsi="VIC"/>
        </w:rPr>
        <w:t>nhanced capacity for employment</w:t>
      </w:r>
    </w:p>
    <w:p w14:paraId="63CEEC7D" w14:textId="2338F0D0" w:rsidR="00C10A40" w:rsidRPr="00343A2D" w:rsidRDefault="00555215" w:rsidP="00343A2D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 xml:space="preserve">avoiding </w:t>
      </w:r>
      <w:r w:rsidR="00C10A40" w:rsidRPr="00343A2D">
        <w:rPr>
          <w:rFonts w:ascii="VIC" w:hAnsi="VIC"/>
        </w:rPr>
        <w:t>the need for transportation to dialysis.</w:t>
      </w:r>
    </w:p>
    <w:p w14:paraId="14535B38" w14:textId="64D73B38" w:rsidR="00C10A40" w:rsidRPr="00B1282F" w:rsidRDefault="00C10A40" w:rsidP="00343A2D">
      <w:r w:rsidRPr="000F4969">
        <w:t>Limitations of home dialysis may include</w:t>
      </w:r>
      <w:r w:rsidR="00B23FFD" w:rsidRPr="0005708D">
        <w:t>:</w:t>
      </w:r>
      <w:r w:rsidRPr="00564975">
        <w:rPr>
          <w:vertAlign w:val="superscript"/>
        </w:rPr>
        <w:t>22</w:t>
      </w:r>
    </w:p>
    <w:p w14:paraId="5CDF24B8" w14:textId="34ECEED2" w:rsidR="00C10A40" w:rsidRPr="00343A2D" w:rsidRDefault="00B23FFD" w:rsidP="00343A2D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>r</w:t>
      </w:r>
      <w:r w:rsidR="00C10A40" w:rsidRPr="00343A2D">
        <w:rPr>
          <w:rFonts w:ascii="VIC" w:hAnsi="VIC"/>
        </w:rPr>
        <w:t>isk of social isolation</w:t>
      </w:r>
    </w:p>
    <w:p w14:paraId="77909B94" w14:textId="1817A28E" w:rsidR="00C10A40" w:rsidRPr="00343A2D" w:rsidRDefault="00B23FFD" w:rsidP="00343A2D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>s</w:t>
      </w:r>
      <w:r w:rsidR="00C10A40" w:rsidRPr="00343A2D">
        <w:rPr>
          <w:rFonts w:ascii="VIC" w:hAnsi="VIC"/>
        </w:rPr>
        <w:t>hifting of financial and care burdens for the health service to the patient and their carers</w:t>
      </w:r>
    </w:p>
    <w:p w14:paraId="01AD7CD2" w14:textId="3CD483DB" w:rsidR="00C10A40" w:rsidRPr="00343A2D" w:rsidRDefault="00B23FFD" w:rsidP="00343A2D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>i</w:t>
      </w:r>
      <w:r w:rsidR="00C10A40" w:rsidRPr="00343A2D">
        <w:rPr>
          <w:rFonts w:ascii="VIC" w:hAnsi="VIC"/>
        </w:rPr>
        <w:t>ncreased healthcare costs if increased establishment costs</w:t>
      </w:r>
      <w:r w:rsidR="00186A25" w:rsidRPr="00343A2D">
        <w:rPr>
          <w:rFonts w:ascii="VIC" w:hAnsi="VIC"/>
        </w:rPr>
        <w:t xml:space="preserve"> are</w:t>
      </w:r>
      <w:r w:rsidR="00C10A40" w:rsidRPr="00343A2D">
        <w:rPr>
          <w:rFonts w:ascii="VIC" w:hAnsi="VIC"/>
        </w:rPr>
        <w:t xml:space="preserve"> not offset by reduced running costs</w:t>
      </w:r>
    </w:p>
    <w:p w14:paraId="779A4819" w14:textId="282B2345" w:rsidR="00C10A40" w:rsidRPr="00343A2D" w:rsidRDefault="00B23FFD" w:rsidP="00343A2D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>‘h</w:t>
      </w:r>
      <w:r w:rsidR="00C10A40" w:rsidRPr="00343A2D">
        <w:rPr>
          <w:rFonts w:ascii="VIC" w:hAnsi="VIC"/>
        </w:rPr>
        <w:t>ome-first</w:t>
      </w:r>
      <w:r w:rsidRPr="00343A2D">
        <w:rPr>
          <w:rFonts w:ascii="VIC" w:hAnsi="VIC"/>
        </w:rPr>
        <w:t>’</w:t>
      </w:r>
      <w:r w:rsidR="00C10A40" w:rsidRPr="00343A2D">
        <w:rPr>
          <w:rFonts w:ascii="VIC" w:hAnsi="VIC"/>
        </w:rPr>
        <w:t xml:space="preserve"> approaches might compromise patient autonomy and risk inappropriate patient modality selection.</w:t>
      </w:r>
    </w:p>
    <w:p w14:paraId="74CCCFAE" w14:textId="01A85292" w:rsidR="00C10A40" w:rsidRPr="00BB6413" w:rsidRDefault="00FB7741" w:rsidP="00343A2D">
      <w:pPr>
        <w:pStyle w:val="Heading3"/>
      </w:pPr>
      <w:r w:rsidRPr="00343A2D">
        <w:t>C</w:t>
      </w:r>
      <w:r w:rsidR="00C10A40" w:rsidRPr="00343A2D">
        <w:t>urrent incidence and prevalence targets</w:t>
      </w:r>
    </w:p>
    <w:p w14:paraId="20BF16E0" w14:textId="753F6B5C" w:rsidR="00C10A40" w:rsidRPr="00343A2D" w:rsidRDefault="00C10A40" w:rsidP="000A1146">
      <w:pPr>
        <w:pStyle w:val="Normalfollowingheading"/>
        <w:spacing w:after="120" w:line="240" w:lineRule="atLeast"/>
      </w:pPr>
      <w:r w:rsidRPr="000F4969">
        <w:t>National and internation</w:t>
      </w:r>
      <w:r w:rsidRPr="0005708D">
        <w:t>al comparisons s</w:t>
      </w:r>
      <w:r w:rsidRPr="00564975">
        <w:t>how wide variability in home dialysis incidence and prevalence rates</w:t>
      </w:r>
      <w:r w:rsidR="00B23FFD" w:rsidRPr="00B1282F">
        <w:t>.</w:t>
      </w:r>
      <w:r w:rsidR="000A1146">
        <w:t xml:space="preserve"> </w:t>
      </w:r>
      <w:r w:rsidRPr="00F35A12">
        <w:t>There is insufficient data to clearly define optimal incidence and prevalence rates for home dialysis</w:t>
      </w:r>
      <w:r w:rsidR="00B23FFD" w:rsidRPr="00343A2D">
        <w:t>.</w:t>
      </w:r>
    </w:p>
    <w:p w14:paraId="5DDD5E6C" w14:textId="38BDFEFB" w:rsidR="00C10A40" w:rsidRPr="00564975" w:rsidRDefault="00C10A40" w:rsidP="00343A2D">
      <w:pPr>
        <w:spacing w:before="120" w:after="120" w:line="240" w:lineRule="atLeast"/>
      </w:pPr>
      <w:r w:rsidRPr="00343A2D">
        <w:t xml:space="preserve">Transitions from home dialysis to other therapies such as transplantation or facility </w:t>
      </w:r>
      <w:r w:rsidR="00B712F3" w:rsidRPr="00B712F3">
        <w:rPr>
          <w:szCs w:val="18"/>
        </w:rPr>
        <w:t>haemodialysis</w:t>
      </w:r>
      <w:r w:rsidR="00B712F3" w:rsidRPr="00B1282F" w:rsidDel="005470C9">
        <w:t xml:space="preserve"> </w:t>
      </w:r>
      <w:r w:rsidR="005470C9">
        <w:t>are</w:t>
      </w:r>
      <w:r w:rsidR="005470C9" w:rsidRPr="00BB6413">
        <w:t xml:space="preserve"> </w:t>
      </w:r>
      <w:r w:rsidR="005470C9" w:rsidRPr="000F4969">
        <w:t>common</w:t>
      </w:r>
      <w:r w:rsidR="005470C9">
        <w:t>.</w:t>
      </w:r>
      <w:r w:rsidRPr="00BB6413">
        <w:t xml:space="preserve"> </w:t>
      </w:r>
      <w:r w:rsidR="005470C9">
        <w:t>This means the</w:t>
      </w:r>
      <w:r w:rsidRPr="00BB6413">
        <w:t xml:space="preserve"> </w:t>
      </w:r>
      <w:r w:rsidRPr="000F4969">
        <w:t>prevalent home dialysis</w:t>
      </w:r>
      <w:r w:rsidR="00C57CB8">
        <w:t xml:space="preserve"> rate</w:t>
      </w:r>
      <w:r w:rsidRPr="000F4969">
        <w:t xml:space="preserve"> </w:t>
      </w:r>
      <w:r w:rsidR="005470C9">
        <w:t>is</w:t>
      </w:r>
      <w:r w:rsidRPr="00BB6413">
        <w:t xml:space="preserve"> usually </w:t>
      </w:r>
      <w:r w:rsidRPr="000F4969">
        <w:t xml:space="preserve">lower than the </w:t>
      </w:r>
      <w:r w:rsidRPr="00564975">
        <w:t>incident home dialysis rate.</w:t>
      </w:r>
    </w:p>
    <w:p w14:paraId="107C4747" w14:textId="7493EA72" w:rsidR="00C10A40" w:rsidRPr="00BB6413" w:rsidRDefault="00C10A40" w:rsidP="00343A2D">
      <w:pPr>
        <w:pStyle w:val="Heading3"/>
      </w:pPr>
      <w:r w:rsidRPr="00343A2D">
        <w:t>Patient</w:t>
      </w:r>
      <w:r w:rsidR="00186A25" w:rsidRPr="00343A2D">
        <w:t>-</w:t>
      </w:r>
      <w:r w:rsidRPr="00343A2D">
        <w:t>centred care and shared decision making</w:t>
      </w:r>
    </w:p>
    <w:p w14:paraId="40F83E03" w14:textId="3CAD8A63" w:rsidR="005470C9" w:rsidRDefault="005470C9" w:rsidP="00343A2D">
      <w:pPr>
        <w:pStyle w:val="Normalfollowingheading"/>
        <w:spacing w:after="120" w:line="240" w:lineRule="atLeast"/>
      </w:pPr>
      <w:r>
        <w:t>C</w:t>
      </w:r>
      <w:r w:rsidR="00C10A40" w:rsidRPr="00BB6413">
        <w:t xml:space="preserve">omplex </w:t>
      </w:r>
      <w:r w:rsidR="00C10A40" w:rsidRPr="000F4969">
        <w:t xml:space="preserve">decision-making scenarios such as choice of treatment modality for ESKD should be made </w:t>
      </w:r>
      <w:r w:rsidR="00186A25" w:rsidRPr="0005708D">
        <w:t xml:space="preserve">based </w:t>
      </w:r>
      <w:r w:rsidR="00C10A40" w:rsidRPr="00FB7741">
        <w:t>on patient-centred care and shared decision making</w:t>
      </w:r>
      <w:r w:rsidR="00B23FFD" w:rsidRPr="00FB7741">
        <w:t>.</w:t>
      </w:r>
      <w:r w:rsidR="00C10A40" w:rsidRPr="005470C9">
        <w:rPr>
          <w:vertAlign w:val="superscript"/>
        </w:rPr>
        <w:t>23</w:t>
      </w:r>
      <w:r w:rsidR="00C10A40" w:rsidRPr="00FB7741">
        <w:t xml:space="preserve"> </w:t>
      </w:r>
    </w:p>
    <w:p w14:paraId="08CC51B1" w14:textId="136C692F" w:rsidR="005470C9" w:rsidRDefault="00C10A40" w:rsidP="00B1282F">
      <w:pPr>
        <w:spacing w:before="120" w:after="120" w:line="240" w:lineRule="atLeast"/>
      </w:pPr>
      <w:r w:rsidRPr="00BB6413">
        <w:t xml:space="preserve">Patients with ESKD should </w:t>
      </w:r>
      <w:r w:rsidR="005470C9">
        <w:t>receive adequate information</w:t>
      </w:r>
      <w:r w:rsidRPr="00BB6413">
        <w:t xml:space="preserve"> about home dialysis modalities,</w:t>
      </w:r>
      <w:r w:rsidRPr="000F4969">
        <w:t xml:space="preserve"> as well as other management options. Renal services should aim to </w:t>
      </w:r>
      <w:r w:rsidR="005470C9">
        <w:t>improve</w:t>
      </w:r>
      <w:r w:rsidR="005470C9" w:rsidRPr="00BB6413">
        <w:t xml:space="preserve"> </w:t>
      </w:r>
      <w:r w:rsidRPr="00BB6413">
        <w:t>the quality</w:t>
      </w:r>
      <w:r w:rsidR="005470C9">
        <w:t xml:space="preserve"> of all options for</w:t>
      </w:r>
      <w:r w:rsidRPr="00BB6413">
        <w:t xml:space="preserve"> </w:t>
      </w:r>
      <w:r w:rsidR="005470C9">
        <w:t>EKSD</w:t>
      </w:r>
      <w:r w:rsidRPr="00BB6413">
        <w:t xml:space="preserve"> management </w:t>
      </w:r>
      <w:r w:rsidRPr="000F4969">
        <w:t xml:space="preserve">and assist patients to select the best option for their circumstances. </w:t>
      </w:r>
    </w:p>
    <w:p w14:paraId="0AC733CE" w14:textId="711EA0FE" w:rsidR="00C10A40" w:rsidRPr="00F35A12" w:rsidRDefault="00C10A40" w:rsidP="00343A2D">
      <w:pPr>
        <w:spacing w:before="120" w:after="120" w:line="240" w:lineRule="atLeast"/>
      </w:pPr>
      <w:r w:rsidRPr="00BB6413">
        <w:t xml:space="preserve">Factors </w:t>
      </w:r>
      <w:r w:rsidR="00984974">
        <w:t xml:space="preserve">that </w:t>
      </w:r>
      <w:r w:rsidR="00984974" w:rsidRPr="00BB6413">
        <w:t>influ</w:t>
      </w:r>
      <w:r w:rsidR="00984974" w:rsidRPr="000F4969">
        <w:t>enc</w:t>
      </w:r>
      <w:r w:rsidR="00984974">
        <w:t>e</w:t>
      </w:r>
      <w:r w:rsidR="00984974" w:rsidRPr="00BB6413">
        <w:t xml:space="preserve"> </w:t>
      </w:r>
      <w:r w:rsidRPr="00BB6413">
        <w:t>the preferred therapeutic modality for individual patients may be complex</w:t>
      </w:r>
      <w:r w:rsidR="005470C9">
        <w:t>,</w:t>
      </w:r>
      <w:r w:rsidRPr="00BB6413">
        <w:t xml:space="preserve"> including </w:t>
      </w:r>
      <w:r w:rsidRPr="000F4969">
        <w:t>medical factors, psychosocial factors and local service factors. Whil</w:t>
      </w:r>
      <w:r w:rsidR="00186A25" w:rsidRPr="0005708D">
        <w:t>e</w:t>
      </w:r>
      <w:r w:rsidRPr="00564975">
        <w:t xml:space="preserve"> patient choice may </w:t>
      </w:r>
      <w:r w:rsidRPr="00F35A12">
        <w:t>be limited by local service availability, arbitrary restrictions to patient choice should be avoided.</w:t>
      </w:r>
    </w:p>
    <w:p w14:paraId="07533078" w14:textId="0E824375" w:rsidR="00C10A40" w:rsidRPr="00B1282F" w:rsidRDefault="00420F3A" w:rsidP="00343A2D">
      <w:pPr>
        <w:spacing w:before="120" w:after="120" w:line="240" w:lineRule="atLeast"/>
      </w:pPr>
      <w:r>
        <w:t>Feedback from the Renal Clinical Network members and t</w:t>
      </w:r>
      <w:r w:rsidR="00984974">
        <w:t xml:space="preserve">he results of the survey showed significant </w:t>
      </w:r>
      <w:r w:rsidR="00C10A40" w:rsidRPr="00BB6413">
        <w:t>varia</w:t>
      </w:r>
      <w:r w:rsidR="00984974">
        <w:t>tion</w:t>
      </w:r>
      <w:r w:rsidR="00C10A40" w:rsidRPr="00BB6413">
        <w:t xml:space="preserve"> in opinion </w:t>
      </w:r>
      <w:r w:rsidR="00984974">
        <w:t>about</w:t>
      </w:r>
      <w:r w:rsidR="00984974" w:rsidRPr="00BB6413">
        <w:t xml:space="preserve"> </w:t>
      </w:r>
      <w:r w:rsidR="00C10A40" w:rsidRPr="00BB6413">
        <w:t>the quality of evidence for KPI</w:t>
      </w:r>
      <w:r w:rsidR="00984974">
        <w:t xml:space="preserve"> </w:t>
      </w:r>
      <w:r w:rsidR="00C10A40" w:rsidRPr="00BB6413">
        <w:t xml:space="preserve">3 </w:t>
      </w:r>
      <w:r w:rsidR="00C10A40" w:rsidRPr="0005708D">
        <w:t>(</w:t>
      </w:r>
      <w:r w:rsidR="00C10A40" w:rsidRPr="00B1282F">
        <w:rPr>
          <w:b/>
        </w:rPr>
        <w:t>Appendix 1</w:t>
      </w:r>
      <w:r w:rsidR="00C10A40" w:rsidRPr="0005708D">
        <w:t>)</w:t>
      </w:r>
      <w:r w:rsidR="00984974">
        <w:t>.</w:t>
      </w:r>
      <w:r w:rsidR="009D2D45">
        <w:t xml:space="preserve"> </w:t>
      </w:r>
      <w:r w:rsidR="00C10A40" w:rsidRPr="0005708D">
        <w:t>Overall, the evidence supporting</w:t>
      </w:r>
      <w:r w:rsidR="00984974">
        <w:t xml:space="preserve"> this measure </w:t>
      </w:r>
      <w:r w:rsidR="00C10A40" w:rsidRPr="0005708D">
        <w:t>was generally assessed as moderate or less (</w:t>
      </w:r>
      <w:r w:rsidR="00C10A40" w:rsidRPr="00B1282F">
        <w:rPr>
          <w:b/>
        </w:rPr>
        <w:t>Appendix 3</w:t>
      </w:r>
      <w:r w:rsidR="00C10A40" w:rsidRPr="0005708D">
        <w:t>)</w:t>
      </w:r>
      <w:r w:rsidR="00B23FFD" w:rsidRPr="00564975">
        <w:t>.</w:t>
      </w:r>
    </w:p>
    <w:p w14:paraId="7DD5E85F" w14:textId="7F992E3F" w:rsidR="00C10A40" w:rsidRPr="0005708D" w:rsidRDefault="00C10A40" w:rsidP="00343A2D">
      <w:pPr>
        <w:spacing w:before="120" w:after="120" w:line="240" w:lineRule="atLeast"/>
      </w:pPr>
      <w:r w:rsidRPr="00F35A12">
        <w:t>KPI</w:t>
      </w:r>
      <w:r w:rsidR="00984974">
        <w:t xml:space="preserve"> </w:t>
      </w:r>
      <w:r w:rsidRPr="00BB6413">
        <w:t xml:space="preserve">3 is not a core </w:t>
      </w:r>
      <w:r w:rsidR="00984974">
        <w:t>quality assurance</w:t>
      </w:r>
      <w:r w:rsidR="00984974" w:rsidRPr="00BB6413">
        <w:t xml:space="preserve"> </w:t>
      </w:r>
      <w:r w:rsidRPr="000F4969">
        <w:t>(safety) measure (</w:t>
      </w:r>
      <w:r w:rsidRPr="00B1282F">
        <w:rPr>
          <w:b/>
        </w:rPr>
        <w:t>Appendix 3</w:t>
      </w:r>
      <w:r w:rsidRPr="000F4969">
        <w:t>)</w:t>
      </w:r>
      <w:r w:rsidR="00B23FFD" w:rsidRPr="0005708D">
        <w:t>.</w:t>
      </w:r>
      <w:r w:rsidR="009D2D45">
        <w:t xml:space="preserve"> </w:t>
      </w:r>
      <w:r w:rsidRPr="00B1282F">
        <w:t>The impact of KPI</w:t>
      </w:r>
      <w:r w:rsidR="00984974">
        <w:t xml:space="preserve"> </w:t>
      </w:r>
      <w:r w:rsidRPr="00BB6413">
        <w:t xml:space="preserve">3 on </w:t>
      </w:r>
      <w:r w:rsidR="00984974">
        <w:t>quality improvement</w:t>
      </w:r>
      <w:r w:rsidR="00984974" w:rsidRPr="00BB6413">
        <w:t xml:space="preserve"> </w:t>
      </w:r>
      <w:r w:rsidRPr="00BB6413">
        <w:t>is uncertain (</w:t>
      </w:r>
      <w:r w:rsidRPr="00B1282F">
        <w:rPr>
          <w:b/>
        </w:rPr>
        <w:t>Appendix 3</w:t>
      </w:r>
      <w:r w:rsidRPr="00BB6413">
        <w:t>)</w:t>
      </w:r>
      <w:r w:rsidR="00B23FFD" w:rsidRPr="000F4969">
        <w:t>.</w:t>
      </w:r>
    </w:p>
    <w:p w14:paraId="790BB5B2" w14:textId="3F9DDB0D" w:rsidR="00141B91" w:rsidRDefault="00C10A40" w:rsidP="00B1282F">
      <w:pPr>
        <w:spacing w:before="120" w:after="120" w:line="240" w:lineRule="atLeast"/>
        <w:rPr>
          <w:rFonts w:ascii="VIC SemiBold" w:eastAsia="Times New Roman" w:hAnsi="VIC SemiBold" w:cstheme="majorBidi"/>
          <w:bCs/>
          <w:caps/>
          <w:color w:val="007586" w:themeColor="text2"/>
          <w:sz w:val="24"/>
          <w:szCs w:val="26"/>
        </w:rPr>
      </w:pPr>
      <w:r w:rsidRPr="00564975">
        <w:t>KPI</w:t>
      </w:r>
      <w:r w:rsidR="00984974">
        <w:t xml:space="preserve"> </w:t>
      </w:r>
      <w:r w:rsidRPr="00BB6413">
        <w:t>3 is not included in the ICHOM CKD standard set (</w:t>
      </w:r>
      <w:r w:rsidRPr="00B1282F">
        <w:rPr>
          <w:b/>
        </w:rPr>
        <w:t>Appendix 3</w:t>
      </w:r>
      <w:r w:rsidRPr="00BB6413">
        <w:t>)</w:t>
      </w:r>
      <w:r w:rsidR="00B23FFD" w:rsidRPr="000F4969">
        <w:t>.</w:t>
      </w:r>
      <w:bookmarkStart w:id="47" w:name="_Toc8637230"/>
      <w:bookmarkStart w:id="48" w:name="_Toc10460682"/>
      <w:r w:rsidR="00141B91">
        <w:br w:type="page"/>
      </w:r>
    </w:p>
    <w:p w14:paraId="4FEE1520" w14:textId="05E3040C" w:rsidR="00C10A40" w:rsidRPr="00343A2D" w:rsidRDefault="005516AB" w:rsidP="000F4969">
      <w:pPr>
        <w:pStyle w:val="Heading2"/>
        <w:rPr>
          <w:rStyle w:val="Heading3Char"/>
        </w:rPr>
      </w:pPr>
      <w:r>
        <w:rPr>
          <w:rStyle w:val="Heading3Char"/>
          <w:caps w:val="0"/>
        </w:rPr>
        <w:lastRenderedPageBreak/>
        <w:t>P</w:t>
      </w:r>
      <w:r w:rsidRPr="00343A2D">
        <w:rPr>
          <w:rStyle w:val="Heading3Char"/>
          <w:caps w:val="0"/>
        </w:rPr>
        <w:t>otential reasons for variation between services</w:t>
      </w:r>
      <w:bookmarkEnd w:id="47"/>
      <w:bookmarkEnd w:id="48"/>
    </w:p>
    <w:p w14:paraId="7BAD5812" w14:textId="2EBE671A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Lack of infrastructure for training, support and education</w:t>
      </w:r>
      <w:r w:rsidR="00B1282F">
        <w:rPr>
          <w:rFonts w:ascii="VIC" w:hAnsi="VIC"/>
        </w:rPr>
        <w:t>.</w:t>
      </w:r>
    </w:p>
    <w:p w14:paraId="44189683" w14:textId="598625CA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Travel distances for rural patients, educators and technicians</w:t>
      </w:r>
      <w:r w:rsidR="00B1282F">
        <w:rPr>
          <w:rFonts w:ascii="VIC" w:hAnsi="VIC"/>
        </w:rPr>
        <w:t>.</w:t>
      </w:r>
    </w:p>
    <w:p w14:paraId="7E52EFAF" w14:textId="0A648BF4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Lack of local support for patients requiring time-dependent assistance</w:t>
      </w:r>
      <w:r w:rsidR="00B1282F">
        <w:rPr>
          <w:rFonts w:ascii="VIC" w:hAnsi="VIC"/>
        </w:rPr>
        <w:t>.</w:t>
      </w:r>
    </w:p>
    <w:p w14:paraId="4EC21372" w14:textId="4E59D3C0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Lack of adequate water supply or consistent electrical means for rural patients</w:t>
      </w:r>
      <w:r w:rsidR="00B1282F">
        <w:rPr>
          <w:rFonts w:ascii="VIC" w:hAnsi="VIC"/>
        </w:rPr>
        <w:t>.</w:t>
      </w:r>
    </w:p>
    <w:p w14:paraId="0670D475" w14:textId="671D4ADC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Prevalence of rental accommodation </w:t>
      </w:r>
      <w:r w:rsidR="00F7786E" w:rsidRPr="00343A2D">
        <w:rPr>
          <w:rFonts w:ascii="VIC" w:hAnsi="VIC"/>
        </w:rPr>
        <w:t>or</w:t>
      </w:r>
      <w:r w:rsidRPr="00343A2D">
        <w:rPr>
          <w:rFonts w:ascii="VIC" w:hAnsi="VIC"/>
        </w:rPr>
        <w:t xml:space="preserve"> transient living arrangement</w:t>
      </w:r>
      <w:r w:rsidR="00F7786E" w:rsidRPr="00343A2D">
        <w:rPr>
          <w:rFonts w:ascii="VIC" w:hAnsi="VIC"/>
        </w:rPr>
        <w:t>s</w:t>
      </w:r>
      <w:r w:rsidRPr="00343A2D">
        <w:rPr>
          <w:rFonts w:ascii="VIC" w:hAnsi="VIC"/>
        </w:rPr>
        <w:t xml:space="preserve"> in a region</w:t>
      </w:r>
      <w:r w:rsidR="00B1282F">
        <w:rPr>
          <w:rFonts w:ascii="VIC" w:hAnsi="VIC"/>
        </w:rPr>
        <w:t>.</w:t>
      </w:r>
    </w:p>
    <w:p w14:paraId="722FAE00" w14:textId="75403D86" w:rsidR="00C10A40" w:rsidRPr="00B1282F" w:rsidRDefault="005516AB" w:rsidP="00343A2D">
      <w:pPr>
        <w:pStyle w:val="Normalfollowingheading"/>
      </w:pPr>
      <w:bookmarkStart w:id="49" w:name="_Hlk531603168"/>
      <w:r>
        <w:t>D</w:t>
      </w:r>
      <w:r w:rsidR="00C10A40" w:rsidRPr="000F4969">
        <w:t xml:space="preserve">ata </w:t>
      </w:r>
      <w:r>
        <w:t>shows</w:t>
      </w:r>
      <w:r w:rsidRPr="000F4969">
        <w:t xml:space="preserve"> </w:t>
      </w:r>
      <w:r w:rsidR="00C10A40" w:rsidRPr="0005708D">
        <w:t xml:space="preserve">an association between home dialysis </w:t>
      </w:r>
      <w:r w:rsidR="00886034">
        <w:t xml:space="preserve">and </w:t>
      </w:r>
      <w:r w:rsidR="00C10A40" w:rsidRPr="00B1282F">
        <w:t xml:space="preserve">patient education </w:t>
      </w:r>
      <w:r>
        <w:t xml:space="preserve">levels </w:t>
      </w:r>
      <w:r w:rsidR="00C10A40" w:rsidRPr="000F4969">
        <w:t xml:space="preserve">and a </w:t>
      </w:r>
      <w:r>
        <w:t xml:space="preserve">patient’s location </w:t>
      </w:r>
      <w:r w:rsidR="008E1C1D">
        <w:t>(</w:t>
      </w:r>
      <w:r w:rsidR="00C10A40" w:rsidRPr="000F4969">
        <w:t xml:space="preserve">metropolitan compared </w:t>
      </w:r>
      <w:r w:rsidR="00B23FFD" w:rsidRPr="0005708D">
        <w:t xml:space="preserve">with </w:t>
      </w:r>
      <w:r w:rsidR="00C10A40" w:rsidRPr="00564975">
        <w:t>rural/remote</w:t>
      </w:r>
      <w:r w:rsidR="008E1C1D">
        <w:t>)</w:t>
      </w:r>
      <w:r>
        <w:t>.</w:t>
      </w:r>
      <w:r w:rsidR="00C10A40" w:rsidRPr="0005708D">
        <w:t xml:space="preserve"> </w:t>
      </w:r>
      <w:r>
        <w:t>However</w:t>
      </w:r>
      <w:r w:rsidR="00845D34">
        <w:t>,</w:t>
      </w:r>
      <w:r w:rsidRPr="000F4969">
        <w:t xml:space="preserve"> </w:t>
      </w:r>
      <w:r w:rsidR="00C10A40" w:rsidRPr="0005708D">
        <w:t>the effect-size of these relationships is small</w:t>
      </w:r>
      <w:r w:rsidR="00F7786E" w:rsidRPr="00564975">
        <w:t>.</w:t>
      </w:r>
    </w:p>
    <w:p w14:paraId="2A332FE9" w14:textId="7A8C484D" w:rsidR="00C10A40" w:rsidRPr="00343A2D" w:rsidRDefault="00F7786E" w:rsidP="00343A2D">
      <w:r w:rsidRPr="00F35A12">
        <w:t>S</w:t>
      </w:r>
      <w:r w:rsidR="00C10A40" w:rsidRPr="00F35A12">
        <w:t xml:space="preserve">ocioeconomic disadvantage is associated with technique failure and </w:t>
      </w:r>
      <w:r w:rsidR="005516AB">
        <w:t>lower</w:t>
      </w:r>
      <w:r w:rsidR="00C10A40" w:rsidRPr="000F4969">
        <w:t xml:space="preserve"> </w:t>
      </w:r>
      <w:r w:rsidR="000A08C4">
        <w:t xml:space="preserve">prevalence of </w:t>
      </w:r>
      <w:r w:rsidR="00C10A40" w:rsidRPr="0005708D">
        <w:t xml:space="preserve">home dialysis. At an individual </w:t>
      </w:r>
      <w:r w:rsidR="00C10A40" w:rsidRPr="00564975">
        <w:t>level this can be associated with unstable accommodation, reduced access to community or carer support, high set</w:t>
      </w:r>
      <w:r w:rsidRPr="00B1282F">
        <w:t>-</w:t>
      </w:r>
      <w:r w:rsidR="00C10A40" w:rsidRPr="00F35A12">
        <w:t>up costs and reduced health literacy</w:t>
      </w:r>
      <w:r w:rsidR="00B23FFD" w:rsidRPr="00343A2D">
        <w:t>.</w:t>
      </w:r>
      <w:r w:rsidR="00C10A40" w:rsidRPr="00343A2D">
        <w:rPr>
          <w:vertAlign w:val="superscript"/>
        </w:rPr>
        <w:t>24,25</w:t>
      </w:r>
    </w:p>
    <w:p w14:paraId="08C1C581" w14:textId="4E51C8A3" w:rsidR="00C10A40" w:rsidRPr="00343A2D" w:rsidRDefault="00F7786E" w:rsidP="00343A2D">
      <w:r w:rsidRPr="00343A2D">
        <w:t xml:space="preserve">There may be </w:t>
      </w:r>
      <w:r w:rsidR="00B23FFD" w:rsidRPr="00343A2D">
        <w:t>c</w:t>
      </w:r>
      <w:r w:rsidR="00C10A40" w:rsidRPr="00343A2D">
        <w:t>entre effects</w:t>
      </w:r>
      <w:r w:rsidR="00EF0E78" w:rsidRPr="00343A2D">
        <w:t xml:space="preserve"> or</w:t>
      </w:r>
      <w:r w:rsidR="00C10A40" w:rsidRPr="00343A2D">
        <w:t xml:space="preserve"> variations</w:t>
      </w:r>
      <w:r w:rsidRPr="00343A2D">
        <w:t>.</w:t>
      </w:r>
      <w:r w:rsidR="00C10A40" w:rsidRPr="00343A2D">
        <w:rPr>
          <w:vertAlign w:val="superscript"/>
        </w:rPr>
        <w:t>26</w:t>
      </w:r>
    </w:p>
    <w:p w14:paraId="0CC2A0C3" w14:textId="17BF753A" w:rsidR="00C10A40" w:rsidRPr="00343A2D" w:rsidRDefault="00F7786E" w:rsidP="00343A2D">
      <w:r w:rsidRPr="00343A2D">
        <w:t>I</w:t>
      </w:r>
      <w:r w:rsidR="00C10A40" w:rsidRPr="00343A2D">
        <w:t xml:space="preserve">ndividual unit practices that influence dialysis prevalence include systems for timely peritoneal catheter insertion and </w:t>
      </w:r>
      <w:r w:rsidRPr="00343A2D">
        <w:t xml:space="preserve">infection </w:t>
      </w:r>
      <w:r w:rsidR="00C10A40" w:rsidRPr="00343A2D">
        <w:t>management.</w:t>
      </w:r>
    </w:p>
    <w:p w14:paraId="219E037A" w14:textId="56E226C0" w:rsidR="00C10A40" w:rsidRPr="00E645E5" w:rsidRDefault="005516AB" w:rsidP="00BB6413">
      <w:pPr>
        <w:pStyle w:val="Heading2"/>
      </w:pPr>
      <w:bookmarkStart w:id="50" w:name="_Toc531170315"/>
      <w:bookmarkStart w:id="51" w:name="_Toc8637232"/>
      <w:bookmarkStart w:id="52" w:name="_Toc10460684"/>
      <w:bookmarkEnd w:id="49"/>
      <w:r>
        <w:rPr>
          <w:rStyle w:val="Heading3Char"/>
          <w:caps w:val="0"/>
        </w:rPr>
        <w:t>A</w:t>
      </w:r>
      <w:r w:rsidRPr="00343A2D">
        <w:rPr>
          <w:rStyle w:val="Heading3Char"/>
          <w:caps w:val="0"/>
        </w:rPr>
        <w:t>ssessment of performance</w:t>
      </w:r>
      <w:bookmarkEnd w:id="50"/>
      <w:bookmarkEnd w:id="51"/>
      <w:bookmarkEnd w:id="52"/>
    </w:p>
    <w:p w14:paraId="3E5F6220" w14:textId="79DC0816" w:rsidR="00BB6413" w:rsidRPr="0005708D" w:rsidRDefault="005516AB" w:rsidP="00343A2D">
      <w:pPr>
        <w:pStyle w:val="Normalfollowingheading"/>
      </w:pPr>
      <w:r>
        <w:t>Since</w:t>
      </w:r>
      <w:r w:rsidR="00C10A40" w:rsidRPr="000F4969">
        <w:t xml:space="preserve"> KPI</w:t>
      </w:r>
      <w:r>
        <w:t xml:space="preserve"> </w:t>
      </w:r>
      <w:r w:rsidR="00C10A40" w:rsidRPr="0005708D">
        <w:t xml:space="preserve">3 </w:t>
      </w:r>
      <w:r>
        <w:t xml:space="preserve">was introduced </w:t>
      </w:r>
      <w:r w:rsidR="00C10A40" w:rsidRPr="000F4969">
        <w:t xml:space="preserve">in 2012 </w:t>
      </w:r>
      <w:r w:rsidR="00233AFE">
        <w:t xml:space="preserve">there has been </w:t>
      </w:r>
      <w:r w:rsidR="00C10A40" w:rsidRPr="0005708D">
        <w:t xml:space="preserve">a </w:t>
      </w:r>
      <w:r w:rsidR="00233AFE" w:rsidRPr="00B1282F">
        <w:t>s</w:t>
      </w:r>
      <w:r w:rsidR="00233AFE">
        <w:t>ignificant</w:t>
      </w:r>
      <w:r w:rsidR="00233AFE" w:rsidRPr="000F4969">
        <w:t xml:space="preserve"> </w:t>
      </w:r>
      <w:r w:rsidR="00C10A40" w:rsidRPr="0005708D">
        <w:t xml:space="preserve">increase in </w:t>
      </w:r>
      <w:r w:rsidR="00C10A40" w:rsidRPr="00564975">
        <w:t>home dialysis</w:t>
      </w:r>
      <w:r w:rsidR="00233AFE">
        <w:t>,</w:t>
      </w:r>
      <w:r w:rsidR="00C10A40" w:rsidRPr="000F4969">
        <w:t xml:space="preserve"> from approximately 25</w:t>
      </w:r>
      <w:r w:rsidR="00631FD9" w:rsidRPr="0005708D">
        <w:t xml:space="preserve"> per cent</w:t>
      </w:r>
      <w:r w:rsidR="00C10A40" w:rsidRPr="00564975">
        <w:t xml:space="preserve"> to 40</w:t>
      </w:r>
      <w:r w:rsidR="00631FD9" w:rsidRPr="00B1282F">
        <w:t xml:space="preserve"> per cent</w:t>
      </w:r>
      <w:r w:rsidR="00C10A40" w:rsidRPr="00F35A12">
        <w:t xml:space="preserve"> in the first </w:t>
      </w:r>
      <w:r w:rsidR="00B23FFD" w:rsidRPr="00F35A12">
        <w:t>two to three</w:t>
      </w:r>
      <w:r w:rsidR="00C10A40" w:rsidRPr="00343A2D">
        <w:t xml:space="preserve"> years. </w:t>
      </w:r>
      <w:r w:rsidR="00233AFE">
        <w:t xml:space="preserve"> At </w:t>
      </w:r>
      <w:r w:rsidR="00C10A40" w:rsidRPr="0005708D">
        <w:t xml:space="preserve">the same time </w:t>
      </w:r>
      <w:r w:rsidR="00C10A40" w:rsidRPr="00B1282F">
        <w:t xml:space="preserve">other state-based initiatives </w:t>
      </w:r>
      <w:r w:rsidR="00233AFE">
        <w:t>also drove an</w:t>
      </w:r>
      <w:r w:rsidR="00C10A40" w:rsidRPr="0005708D">
        <w:t xml:space="preserve"> increase </w:t>
      </w:r>
      <w:r w:rsidR="00233AFE">
        <w:t>in</w:t>
      </w:r>
      <w:r w:rsidR="00C10A40" w:rsidRPr="000F4969">
        <w:t xml:space="preserve"> home dialysis.</w:t>
      </w:r>
    </w:p>
    <w:p w14:paraId="5AFE365F" w14:textId="21E39125" w:rsidR="00C10A40" w:rsidRPr="00343A2D" w:rsidRDefault="00C10A40" w:rsidP="00343A2D">
      <w:r w:rsidRPr="00564975">
        <w:t xml:space="preserve">The incidence rate for home dialysis has been relatively stable over the past </w:t>
      </w:r>
      <w:r w:rsidR="00B23FFD" w:rsidRPr="00B1282F">
        <w:t>three to five</w:t>
      </w:r>
      <w:r w:rsidRPr="00F35A12">
        <w:t xml:space="preserve"> years, fluctuating between 35</w:t>
      </w:r>
      <w:r w:rsidR="00B92A77" w:rsidRPr="00343A2D">
        <w:t xml:space="preserve"> and </w:t>
      </w:r>
      <w:r w:rsidRPr="00343A2D">
        <w:t>40</w:t>
      </w:r>
      <w:r w:rsidR="00631FD9" w:rsidRPr="00343A2D">
        <w:t xml:space="preserve"> per cent</w:t>
      </w:r>
      <w:r w:rsidRPr="00343A2D">
        <w:t>, generally achieving the specified target of greater than 35</w:t>
      </w:r>
      <w:r w:rsidR="00631FD9" w:rsidRPr="00343A2D">
        <w:t xml:space="preserve"> per cent</w:t>
      </w:r>
      <w:r w:rsidRPr="00343A2D">
        <w:t>.</w:t>
      </w:r>
    </w:p>
    <w:p w14:paraId="6578C941" w14:textId="74C3DEF5" w:rsidR="00C10A40" w:rsidRPr="00F35A12" w:rsidRDefault="00C10A40" w:rsidP="00343A2D">
      <w:r w:rsidRPr="00343A2D">
        <w:t>Following the introduction of KPI</w:t>
      </w:r>
      <w:r w:rsidR="00233AFE">
        <w:t xml:space="preserve"> </w:t>
      </w:r>
      <w:r w:rsidRPr="0005708D">
        <w:t>3, prevalence rates of home dia</w:t>
      </w:r>
      <w:r w:rsidRPr="00564975">
        <w:t>lysis gradually rose from approximately 23</w:t>
      </w:r>
      <w:r w:rsidR="00631FD9" w:rsidRPr="00B1282F">
        <w:t xml:space="preserve"> per cent</w:t>
      </w:r>
      <w:r w:rsidRPr="00F35A12">
        <w:t xml:space="preserve"> to 29</w:t>
      </w:r>
      <w:r w:rsidR="00631FD9" w:rsidRPr="00F35A12">
        <w:t xml:space="preserve"> per cent</w:t>
      </w:r>
      <w:r w:rsidRPr="00343A2D">
        <w:t xml:space="preserve">, followed by a gradual decline over the past two years to </w:t>
      </w:r>
      <w:r w:rsidR="00B92A77" w:rsidRPr="00343A2D">
        <w:t xml:space="preserve">around </w:t>
      </w:r>
      <w:r w:rsidRPr="00343A2D">
        <w:t>27</w:t>
      </w:r>
      <w:r w:rsidR="00631FD9" w:rsidRPr="00343A2D">
        <w:t xml:space="preserve"> per cent</w:t>
      </w:r>
      <w:r w:rsidRPr="00343A2D">
        <w:t>. The target home dialysis prevalence rate of 35</w:t>
      </w:r>
      <w:r w:rsidR="00D4539E" w:rsidRPr="00343A2D">
        <w:t xml:space="preserve"> per cent</w:t>
      </w:r>
      <w:r w:rsidRPr="00343A2D">
        <w:t xml:space="preserve"> for KPI</w:t>
      </w:r>
      <w:r w:rsidR="00B1282F">
        <w:t xml:space="preserve"> </w:t>
      </w:r>
      <w:r w:rsidRPr="00F35A12">
        <w:t xml:space="preserve">3 has never been achieved </w:t>
      </w:r>
      <w:proofErr w:type="spellStart"/>
      <w:r w:rsidRPr="00F35A12">
        <w:t>statewide</w:t>
      </w:r>
      <w:proofErr w:type="spellEnd"/>
      <w:r w:rsidRPr="00F35A12">
        <w:t xml:space="preserve">. </w:t>
      </w:r>
      <w:r w:rsidR="00B92A77" w:rsidRPr="00343A2D">
        <w:t>T</w:t>
      </w:r>
      <w:r w:rsidRPr="00343A2D">
        <w:t>he prevalence level is consistently less tha</w:t>
      </w:r>
      <w:r w:rsidR="00233AFE">
        <w:t>n</w:t>
      </w:r>
      <w:r w:rsidRPr="0005708D">
        <w:t xml:space="preserve"> the incidence level by a margin of </w:t>
      </w:r>
      <w:r w:rsidR="00B23FFD" w:rsidRPr="00564975">
        <w:t xml:space="preserve">eight to </w:t>
      </w:r>
      <w:r w:rsidRPr="00B1282F">
        <w:t>13</w:t>
      </w:r>
      <w:r w:rsidR="00631FD9" w:rsidRPr="00F35A12">
        <w:t xml:space="preserve"> per cent</w:t>
      </w:r>
      <w:r w:rsidRPr="00F35A12">
        <w:t>.</w:t>
      </w:r>
    </w:p>
    <w:p w14:paraId="65CDAE49" w14:textId="1CB7ED20" w:rsidR="00C10A40" w:rsidRPr="000F4969" w:rsidRDefault="00233AFE" w:rsidP="00343A2D">
      <w:r>
        <w:t xml:space="preserve">Performance between </w:t>
      </w:r>
      <w:r w:rsidRPr="00247182">
        <w:t>Victorian renal health services</w:t>
      </w:r>
      <w:r w:rsidRPr="00233AFE">
        <w:t xml:space="preserve"> </w:t>
      </w:r>
      <w:r>
        <w:t xml:space="preserve">for KPI 3 varies, </w:t>
      </w:r>
      <w:r w:rsidR="00C10A40" w:rsidRPr="00B1282F">
        <w:t>althoug</w:t>
      </w:r>
      <w:r w:rsidR="00C10A40" w:rsidRPr="00F35A12">
        <w:t xml:space="preserve">h the extent of </w:t>
      </w:r>
      <w:r w:rsidR="00984974" w:rsidRPr="00343A2D">
        <w:t>th</w:t>
      </w:r>
      <w:r w:rsidR="00984974">
        <w:t>is</w:t>
      </w:r>
      <w:r w:rsidR="00984974" w:rsidRPr="000F4969">
        <w:t xml:space="preserve"> </w:t>
      </w:r>
      <w:r w:rsidRPr="00564975">
        <w:t>varia</w:t>
      </w:r>
      <w:r>
        <w:t>tion</w:t>
      </w:r>
      <w:r w:rsidRPr="000F4969">
        <w:t xml:space="preserve"> </w:t>
      </w:r>
      <w:r w:rsidR="00C10A40" w:rsidRPr="0005708D">
        <w:t xml:space="preserve">appears less than before the introduction of </w:t>
      </w:r>
      <w:r>
        <w:t>this measure</w:t>
      </w:r>
      <w:r w:rsidR="00C10A40" w:rsidRPr="000F4969">
        <w:t xml:space="preserve">. </w:t>
      </w:r>
      <w:r>
        <w:t xml:space="preserve">It is unknown how significant this </w:t>
      </w:r>
      <w:r w:rsidR="00C10A40" w:rsidRPr="0005708D">
        <w:t>varia</w:t>
      </w:r>
      <w:r>
        <w:t>tion is</w:t>
      </w:r>
      <w:r w:rsidR="00C10A40" w:rsidRPr="000F4969">
        <w:t xml:space="preserve"> </w:t>
      </w:r>
      <w:r>
        <w:t>or whether it has</w:t>
      </w:r>
      <w:r w:rsidR="00C10A40" w:rsidRPr="000F4969">
        <w:t xml:space="preserve"> any im</w:t>
      </w:r>
      <w:r w:rsidR="00C10A40" w:rsidRPr="0005708D">
        <w:t>pact on clinic</w:t>
      </w:r>
      <w:r w:rsidR="00C10A40" w:rsidRPr="00564975">
        <w:t>al outcomes</w:t>
      </w:r>
      <w:r>
        <w:t>.</w:t>
      </w:r>
    </w:p>
    <w:p w14:paraId="1EA40109" w14:textId="7C1B5CFE" w:rsidR="00C10A40" w:rsidRPr="0005708D" w:rsidRDefault="00C10A40" w:rsidP="00343A2D">
      <w:r w:rsidRPr="0005708D">
        <w:t>KPI</w:t>
      </w:r>
      <w:r w:rsidR="00233AFE">
        <w:t xml:space="preserve"> </w:t>
      </w:r>
      <w:r w:rsidRPr="0005708D">
        <w:t xml:space="preserve">3 </w:t>
      </w:r>
      <w:r w:rsidR="00233AFE">
        <w:t>has shown</w:t>
      </w:r>
      <w:r w:rsidRPr="000F4969">
        <w:t xml:space="preserve"> a substantial impact on patterns of clinical practice in the several years</w:t>
      </w:r>
      <w:r w:rsidRPr="00564975">
        <w:t xml:space="preserve"> following its introduction. It is unclear whether</w:t>
      </w:r>
      <w:r w:rsidR="00233AFE">
        <w:t xml:space="preserve"> it continues to impact clinical practice.</w:t>
      </w:r>
    </w:p>
    <w:p w14:paraId="14C879EF" w14:textId="5A7E79F7" w:rsidR="00C10A40" w:rsidRDefault="00B92A77">
      <w:r w:rsidRPr="0005708D">
        <w:t>T</w:t>
      </w:r>
      <w:r w:rsidR="00C10A40" w:rsidRPr="00564975">
        <w:t>he gains in the incidence and prevalence rates in home dialysis rates may</w:t>
      </w:r>
      <w:r w:rsidR="00C10A40" w:rsidRPr="00B1282F">
        <w:t xml:space="preserve"> have been maximised</w:t>
      </w:r>
      <w:r w:rsidRPr="000F4969">
        <w:t xml:space="preserve">. </w:t>
      </w:r>
      <w:r w:rsidR="00233AFE">
        <w:t>It is unlikely that we will see f</w:t>
      </w:r>
      <w:r w:rsidR="00C10A40" w:rsidRPr="0005708D">
        <w:t xml:space="preserve">urther substantial increases </w:t>
      </w:r>
      <w:r w:rsidR="00C10A40" w:rsidRPr="00B1282F">
        <w:t xml:space="preserve">in the absence of measures </w:t>
      </w:r>
      <w:r w:rsidRPr="00F35A12">
        <w:t xml:space="preserve">that </w:t>
      </w:r>
      <w:r w:rsidR="00C10A40" w:rsidRPr="00F35A12">
        <w:t>restrict patient choice.</w:t>
      </w:r>
    </w:p>
    <w:p w14:paraId="14450834" w14:textId="68E8A7EE" w:rsidR="00B1282F" w:rsidRPr="00F35A12" w:rsidRDefault="00B1282F" w:rsidP="00B1282F">
      <w:r>
        <w:rPr>
          <w:noProof/>
        </w:rPr>
        <w:lastRenderedPageBreak/>
        <mc:AlternateContent>
          <mc:Choice Requires="wps">
            <w:drawing>
              <wp:inline distT="0" distB="0" distL="0" distR="0" wp14:anchorId="407F53B7" wp14:editId="6FBB6FCA">
                <wp:extent cx="6464410" cy="1764000"/>
                <wp:effectExtent l="0" t="0" r="12700" b="17780"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410" cy="176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1E0EB" w14:textId="77777777" w:rsidR="00AE683F" w:rsidRPr="004D6898" w:rsidRDefault="00AE683F" w:rsidP="00B1282F">
                            <w:pPr>
                              <w:pStyle w:val="PulloutHeading"/>
                            </w:pPr>
                            <w:r>
                              <w:t>Recommendations and next steps</w:t>
                            </w:r>
                          </w:p>
                          <w:p w14:paraId="1B780081" w14:textId="5DED8009" w:rsidR="00AE683F" w:rsidRPr="00564975" w:rsidRDefault="00AE683F" w:rsidP="00343A2D">
                            <w:pPr>
                              <w:pStyle w:val="PulloutText"/>
                            </w:pPr>
                          </w:p>
                          <w:p w14:paraId="65B8147A" w14:textId="26AD3255" w:rsidR="00AE683F" w:rsidRPr="00F35A12" w:rsidRDefault="00AE683F" w:rsidP="00343A2D">
                            <w:pPr>
                              <w:pStyle w:val="PulloutText"/>
                            </w:pPr>
                            <w:r>
                              <w:t>KPI 3 functions as a quality</w:t>
                            </w:r>
                            <w:r w:rsidRPr="00B1282F">
                              <w:t xml:space="preserve"> indicator that patients are receiving sufficient education and access to the option of home dialysis.</w:t>
                            </w:r>
                            <w:r w:rsidRPr="00F35A12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61F66E53" w14:textId="6337058F" w:rsidR="00AE683F" w:rsidRPr="00B1282F" w:rsidRDefault="00AE683F" w:rsidP="00343A2D">
                            <w:pPr>
                              <w:pStyle w:val="PulloutText"/>
                            </w:pPr>
                            <w:r>
                              <w:t>We recommend</w:t>
                            </w:r>
                            <w:r w:rsidRPr="006D2574">
                              <w:t xml:space="preserve"> continu</w:t>
                            </w:r>
                            <w:r>
                              <w:t>ing</w:t>
                            </w:r>
                            <w:r w:rsidRPr="006D2574">
                              <w:t xml:space="preserve"> KPI-3</w:t>
                            </w:r>
                            <w:r>
                              <w:t>,</w:t>
                            </w:r>
                            <w:r w:rsidRPr="006D2574">
                              <w:t xml:space="preserve"> </w:t>
                            </w:r>
                            <w:r>
                              <w:t xml:space="preserve">to encourage improved access to and uptake of home dialysis. </w:t>
                            </w:r>
                          </w:p>
                          <w:p w14:paraId="4022E6AB" w14:textId="3D82E51E" w:rsidR="00AE683F" w:rsidRPr="00B1282F" w:rsidRDefault="00AE683F" w:rsidP="00B1282F">
                            <w:pPr>
                              <w:pStyle w:val="PulloutText"/>
                            </w:pPr>
                            <w:r w:rsidRPr="00F35A12">
                              <w:t>We recommend removing the current targets for KPI</w:t>
                            </w:r>
                            <w:r>
                              <w:t xml:space="preserve"> </w:t>
                            </w:r>
                            <w:r w:rsidRPr="0005708D">
                              <w:t>3</w:t>
                            </w:r>
                            <w:r>
                              <w:t xml:space="preserve"> and </w:t>
                            </w:r>
                            <w:r w:rsidRPr="00564975">
                              <w:t>replac</w:t>
                            </w:r>
                            <w:r w:rsidRPr="00B1282F">
                              <w:t>ing them</w:t>
                            </w:r>
                            <w:r w:rsidRPr="00F35A12">
                              <w:t xml:space="preserve"> with a benchmarking approach</w:t>
                            </w:r>
                            <w:r>
                              <w:t xml:space="preserve"> to drive </w:t>
                            </w:r>
                            <w:r w:rsidRPr="0005708D">
                              <w:t>improvement by comparison between services (without targets).</w:t>
                            </w:r>
                          </w:p>
                        </w:txbxContent>
                      </wps:txbx>
                      <wps:bodyPr rot="0" vert="horz" wrap="square" lIns="180000" tIns="180000" rIns="144000" bIns="36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7F53B7" id="_x0000_s1029" type="#_x0000_t202" style="width:509pt;height:1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" fillcolor="#edf5f7 [3214]" strokecolor="#edf5f7 [3214]" strokeweight=".5pt">
                <v:textbox style="mso-fit-shape-to-text:t" inset="5mm,5mm,4mm,1mm">
                  <w:txbxContent>
                    <w:p w14:paraId="5941E0EB" w14:textId="77777777" w:rsidR="00AE683F" w:rsidRPr="004D6898" w:rsidRDefault="00AE683F" w:rsidP="00B1282F">
                      <w:pPr>
                        <w:pStyle w:val="PulloutHeading"/>
                      </w:pPr>
                      <w:r>
                        <w:t>Recommendations and next steps</w:t>
                      </w:r>
                    </w:p>
                    <w:p w14:paraId="1B780081" w14:textId="5DED8009" w:rsidR="00AE683F" w:rsidRPr="00564975" w:rsidRDefault="00AE683F" w:rsidP="00343A2D">
                      <w:pPr>
                        <w:pStyle w:val="PulloutText"/>
                      </w:pPr>
                    </w:p>
                    <w:p w14:paraId="65B8147A" w14:textId="26AD3255" w:rsidR="00AE683F" w:rsidRPr="00F35A12" w:rsidRDefault="00AE683F" w:rsidP="00343A2D">
                      <w:pPr>
                        <w:pStyle w:val="PulloutText"/>
                      </w:pPr>
                      <w:r>
                        <w:t>KPI 3 functions as a quality</w:t>
                      </w:r>
                      <w:r w:rsidRPr="00B1282F">
                        <w:t xml:space="preserve"> indicator that patients are receiving sufficient education and access to the option of home dialysis.</w:t>
                      </w:r>
                      <w:r w:rsidRPr="00F35A12">
                        <w:rPr>
                          <w:color w:val="FF0000"/>
                        </w:rPr>
                        <w:t xml:space="preserve"> </w:t>
                      </w:r>
                    </w:p>
                    <w:p w14:paraId="61F66E53" w14:textId="6337058F" w:rsidR="00AE683F" w:rsidRPr="00B1282F" w:rsidRDefault="00AE683F" w:rsidP="00343A2D">
                      <w:pPr>
                        <w:pStyle w:val="PulloutText"/>
                      </w:pPr>
                      <w:r>
                        <w:t>We recommend</w:t>
                      </w:r>
                      <w:r w:rsidRPr="006D2574">
                        <w:t xml:space="preserve"> continu</w:t>
                      </w:r>
                      <w:r>
                        <w:t>ing</w:t>
                      </w:r>
                      <w:r w:rsidRPr="006D2574">
                        <w:t xml:space="preserve"> KPI-3</w:t>
                      </w:r>
                      <w:r>
                        <w:t>,</w:t>
                      </w:r>
                      <w:r w:rsidRPr="006D2574">
                        <w:t xml:space="preserve"> </w:t>
                      </w:r>
                      <w:r>
                        <w:t xml:space="preserve">to encourage improved access to and uptake of home dialysis. </w:t>
                      </w:r>
                    </w:p>
                    <w:p w14:paraId="4022E6AB" w14:textId="3D82E51E" w:rsidR="00AE683F" w:rsidRPr="00B1282F" w:rsidRDefault="00AE683F" w:rsidP="00B1282F">
                      <w:pPr>
                        <w:pStyle w:val="PulloutText"/>
                      </w:pPr>
                      <w:r w:rsidRPr="00F35A12">
                        <w:t>We recommend removing the current targets for KPI</w:t>
                      </w:r>
                      <w:r>
                        <w:t xml:space="preserve"> </w:t>
                      </w:r>
                      <w:r w:rsidRPr="0005708D">
                        <w:t>3</w:t>
                      </w:r>
                      <w:r>
                        <w:t xml:space="preserve"> and </w:t>
                      </w:r>
                      <w:r w:rsidRPr="00564975">
                        <w:t>replac</w:t>
                      </w:r>
                      <w:r w:rsidRPr="00B1282F">
                        <w:t>ing them</w:t>
                      </w:r>
                      <w:r w:rsidRPr="00F35A12">
                        <w:t xml:space="preserve"> with a benchmarking approach</w:t>
                      </w:r>
                      <w:r>
                        <w:t xml:space="preserve"> to drive </w:t>
                      </w:r>
                      <w:r w:rsidRPr="0005708D">
                        <w:t>improvement by comparison between services (without targets).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0DAD44" w14:textId="371E36E2" w:rsidR="00F524E2" w:rsidRDefault="00F524E2" w:rsidP="00957819">
      <w:pPr>
        <w:rPr>
          <w:rFonts w:asciiTheme="majorHAnsi" w:eastAsiaTheme="majorEastAsia" w:hAnsiTheme="majorHAnsi" w:cstheme="majorBidi"/>
          <w:color w:val="007586" w:themeColor="text2"/>
          <w:sz w:val="24"/>
          <w:szCs w:val="26"/>
        </w:rPr>
      </w:pPr>
      <w:bookmarkStart w:id="53" w:name="_Toc8637235"/>
      <w:r>
        <w:br w:type="page"/>
      </w:r>
    </w:p>
    <w:p w14:paraId="32BCB277" w14:textId="0A38419F" w:rsidR="00F524E2" w:rsidRPr="00E171A7" w:rsidRDefault="00E171A7">
      <w:pPr>
        <w:pStyle w:val="Heading1"/>
        <w:framePr w:wrap="around"/>
      </w:pPr>
      <w:bookmarkStart w:id="54" w:name="_Toc17103961"/>
      <w:r w:rsidRPr="0005708D">
        <w:lastRenderedPageBreak/>
        <w:t>Key performance indicator 4</w:t>
      </w:r>
      <w:bookmarkEnd w:id="54"/>
    </w:p>
    <w:bookmarkEnd w:id="53"/>
    <w:p w14:paraId="75ACE5A0" w14:textId="619EFD57" w:rsidR="00C10A40" w:rsidRDefault="00E171A7">
      <w:pPr>
        <w:pStyle w:val="Heading3"/>
        <w:rPr>
          <w:b/>
        </w:rPr>
      </w:pPr>
      <w:r w:rsidRPr="00BB6413">
        <w:t>Peritonitis rates of each hub service</w:t>
      </w:r>
    </w:p>
    <w:p w14:paraId="13E0C732" w14:textId="15A9B985" w:rsidR="00141B91" w:rsidRDefault="00E171A7" w:rsidP="00141B91">
      <w:pPr>
        <w:pStyle w:val="Normalfollowingheading"/>
      </w:pPr>
      <w:r w:rsidRPr="000F4969">
        <w:t xml:space="preserve">Peritonitis remains the primary reason for </w:t>
      </w:r>
      <w:r w:rsidR="00F1134B" w:rsidRPr="00DF7280">
        <w:t>peritoneal dialysis</w:t>
      </w:r>
      <w:r w:rsidRPr="000F4969">
        <w:t xml:space="preserve"> failure. </w:t>
      </w:r>
      <w:r w:rsidRPr="00564975">
        <w:t>Peritonitis also contributes to incr</w:t>
      </w:r>
      <w:r w:rsidRPr="00B1282F">
        <w:t>eased hospitalisation and increased mortality.</w:t>
      </w:r>
      <w:r w:rsidRPr="00F35A12">
        <w:rPr>
          <w:vertAlign w:val="superscript"/>
        </w:rPr>
        <w:t>28</w:t>
      </w:r>
      <w:r w:rsidRPr="00F35A12">
        <w:t xml:space="preserve"> </w:t>
      </w:r>
      <w:r w:rsidRPr="00E171A7">
        <w:t xml:space="preserve">For a </w:t>
      </w:r>
      <w:r w:rsidR="00F1134B" w:rsidRPr="00DF7280">
        <w:t>peritoneal dialysis</w:t>
      </w:r>
      <w:r w:rsidRPr="00E171A7">
        <w:t xml:space="preserve"> program to be successful, close attention must be paid to preventing </w:t>
      </w:r>
      <w:r w:rsidR="00F1134B" w:rsidRPr="00DF7280">
        <w:t>peritoneal dialysis</w:t>
      </w:r>
      <w:r w:rsidR="00F1134B" w:rsidRPr="00E171A7">
        <w:t xml:space="preserve"> </w:t>
      </w:r>
      <w:r w:rsidRPr="00E171A7">
        <w:t>-related infections including peritonitis</w:t>
      </w:r>
      <w:r w:rsidRPr="00E171A7">
        <w:rPr>
          <w:vertAlign w:val="superscript"/>
        </w:rPr>
        <w:t>29</w:t>
      </w:r>
      <w:r w:rsidRPr="00E171A7">
        <w:t xml:space="preserve"> and evaluating the causes when they do occur.</w:t>
      </w:r>
    </w:p>
    <w:p w14:paraId="04F21082" w14:textId="157D49A0" w:rsidR="00C10A40" w:rsidRPr="00343A2D" w:rsidRDefault="00E171A7">
      <w:pPr>
        <w:pStyle w:val="Heading2"/>
      </w:pPr>
      <w:r w:rsidRPr="00343A2D">
        <w:t>Current definition and targets</w:t>
      </w:r>
    </w:p>
    <w:p w14:paraId="556FF58F" w14:textId="69255131" w:rsidR="00C10A40" w:rsidRPr="00F35A12" w:rsidRDefault="00C10A40" w:rsidP="0054741F">
      <w:pPr>
        <w:pStyle w:val="Normalfollowingheading"/>
      </w:pPr>
      <w:r w:rsidRPr="00343A2D">
        <w:rPr>
          <w:rFonts w:ascii="VIC SemiBold" w:hAnsi="VIC SemiBold"/>
        </w:rPr>
        <w:t>Target</w:t>
      </w:r>
      <w:r w:rsidRPr="00F35A12">
        <w:t xml:space="preserve">: </w:t>
      </w:r>
      <w:r w:rsidR="00B1282F">
        <w:t>A</w:t>
      </w:r>
      <w:r w:rsidRPr="00F35A12">
        <w:t xml:space="preserve"> maximum of 0.33 peritonitis episodes for every patient year</w:t>
      </w:r>
      <w:r w:rsidR="00B1282F">
        <w:t>.</w:t>
      </w:r>
    </w:p>
    <w:p w14:paraId="432C60D7" w14:textId="5F108EF4" w:rsidR="00C10A40" w:rsidRPr="00F35A12" w:rsidRDefault="00C10A40" w:rsidP="00B1282F">
      <w:r w:rsidRPr="00343A2D">
        <w:rPr>
          <w:rFonts w:ascii="VIC SemiBold" w:hAnsi="VIC SemiBold"/>
        </w:rPr>
        <w:t>Peritonitis rate</w:t>
      </w:r>
      <w:r w:rsidRPr="00F35A12">
        <w:t xml:space="preserve">: </w:t>
      </w:r>
      <w:r w:rsidR="00B1282F">
        <w:t>N</w:t>
      </w:r>
      <w:r w:rsidRPr="00F35A12">
        <w:t>umber of peritonitis episodes in all patients during the month divided</w:t>
      </w:r>
      <w:r w:rsidRPr="00E171A7">
        <w:t xml:space="preserve"> by</w:t>
      </w:r>
      <w:r w:rsidR="00BB1B62" w:rsidRPr="00E171A7">
        <w:t xml:space="preserve"> the</w:t>
      </w:r>
      <w:r w:rsidRPr="00E171A7">
        <w:t xml:space="preserve"> number of patient</w:t>
      </w:r>
      <w:r w:rsidR="00BB1B62" w:rsidRPr="00E171A7">
        <w:t xml:space="preserve"> </w:t>
      </w:r>
      <w:r w:rsidRPr="00E171A7">
        <w:t xml:space="preserve">months on </w:t>
      </w:r>
      <w:r w:rsidR="00F1134B" w:rsidRPr="00DF7280">
        <w:t>peritoneal dialysis</w:t>
      </w:r>
      <w:r w:rsidRPr="00E171A7">
        <w:t xml:space="preserve"> and then multiplied by 12 to be expressed as </w:t>
      </w:r>
      <w:r w:rsidR="00DB54B0" w:rsidRPr="00E171A7">
        <w:t xml:space="preserve">a </w:t>
      </w:r>
      <w:r w:rsidRPr="00E171A7">
        <w:t>yearly rate (0.33 episodes per patient year)</w:t>
      </w:r>
      <w:r w:rsidR="00B1282F">
        <w:t>.</w:t>
      </w:r>
    </w:p>
    <w:p w14:paraId="188BF58B" w14:textId="466F445D" w:rsidR="00C10A40" w:rsidRPr="00F35A12" w:rsidRDefault="00BB1B62" w:rsidP="00B1282F">
      <w:r w:rsidRPr="000A1146">
        <w:rPr>
          <w:b/>
        </w:rPr>
        <w:t>R</w:t>
      </w:r>
      <w:r w:rsidR="00C10A40" w:rsidRPr="000A1146">
        <w:rPr>
          <w:b/>
        </w:rPr>
        <w:t xml:space="preserve">elapsing peritonitis </w:t>
      </w:r>
      <w:r w:rsidR="00C10A40" w:rsidRPr="00E171A7">
        <w:t>should be counted as a single episode</w:t>
      </w:r>
      <w:r w:rsidR="00B1282F">
        <w:t>.</w:t>
      </w:r>
    </w:p>
    <w:p w14:paraId="4C579C61" w14:textId="359E771B" w:rsidR="00C10A40" w:rsidRPr="00F35A12" w:rsidRDefault="00BB1B62" w:rsidP="00B1282F">
      <w:r w:rsidRPr="000A1146">
        <w:rPr>
          <w:b/>
        </w:rPr>
        <w:t>R</w:t>
      </w:r>
      <w:r w:rsidR="00C10A40" w:rsidRPr="000A1146">
        <w:rPr>
          <w:b/>
        </w:rPr>
        <w:t>ecurrent and repeat episodes</w:t>
      </w:r>
      <w:r w:rsidR="00C10A40" w:rsidRPr="00E171A7">
        <w:t xml:space="preserve"> should be counted</w:t>
      </w:r>
      <w:r w:rsidR="00B1282F">
        <w:t>.</w:t>
      </w:r>
    </w:p>
    <w:p w14:paraId="581708A2" w14:textId="205B6E16" w:rsidR="00C10A40" w:rsidRPr="00F35A12" w:rsidRDefault="00BB1B62" w:rsidP="00B1282F">
      <w:r w:rsidRPr="00343A2D">
        <w:rPr>
          <w:rFonts w:ascii="VIC SemiBold" w:hAnsi="VIC SemiBold"/>
        </w:rPr>
        <w:t>E</w:t>
      </w:r>
      <w:r w:rsidR="00C10A40" w:rsidRPr="00343A2D">
        <w:rPr>
          <w:rFonts w:ascii="VIC SemiBold" w:hAnsi="VIC SemiBold"/>
        </w:rPr>
        <w:t>xclusions</w:t>
      </w:r>
      <w:r w:rsidR="00C10A40" w:rsidRPr="00F35A12">
        <w:t xml:space="preserve">: </w:t>
      </w:r>
      <w:r w:rsidR="00B1282F">
        <w:t>P</w:t>
      </w:r>
      <w:r w:rsidR="00C10A40" w:rsidRPr="00F35A12">
        <w:t>atients who have a catheter in situ but are still pre-dialysis</w:t>
      </w:r>
      <w:r w:rsidR="00B1282F">
        <w:t>.</w:t>
      </w:r>
    </w:p>
    <w:p w14:paraId="06B30F10" w14:textId="3D3D1D11" w:rsidR="00C10A40" w:rsidRPr="00E171A7" w:rsidRDefault="00C10A40" w:rsidP="000F4969">
      <w:r w:rsidRPr="00BB6413">
        <w:t>The International Society of Peritoneal Dialysis (ISPD) 2016 guidelines recommended</w:t>
      </w:r>
      <w:r w:rsidR="00BB1B62" w:rsidRPr="000F4969">
        <w:t xml:space="preserve"> </w:t>
      </w:r>
      <w:r w:rsidRPr="00E171A7">
        <w:t xml:space="preserve">the peritonitis rate be reported as </w:t>
      </w:r>
      <w:r w:rsidR="00BB1B62" w:rsidRPr="00E171A7">
        <w:t xml:space="preserve">the </w:t>
      </w:r>
      <w:r w:rsidRPr="00E171A7">
        <w:t>number of episodes per patient</w:t>
      </w:r>
      <w:r w:rsidR="00BB1B62" w:rsidRPr="00E171A7">
        <w:t xml:space="preserve"> </w:t>
      </w:r>
      <w:r w:rsidRPr="00E171A7">
        <w:t>year</w:t>
      </w:r>
      <w:r w:rsidR="00C40408" w:rsidRPr="00E171A7">
        <w:t>.</w:t>
      </w:r>
      <w:r w:rsidRPr="00E171A7">
        <w:rPr>
          <w:vertAlign w:val="superscript"/>
        </w:rPr>
        <w:t>27</w:t>
      </w:r>
    </w:p>
    <w:p w14:paraId="1E5594FB" w14:textId="3C90B7B4" w:rsidR="00C10A40" w:rsidRPr="00E171A7" w:rsidRDefault="00C10A40" w:rsidP="0005708D">
      <w:pPr>
        <w:rPr>
          <w:strike/>
        </w:rPr>
      </w:pPr>
      <w:r w:rsidRPr="00E171A7">
        <w:t>The ISPD ha</w:t>
      </w:r>
      <w:r w:rsidR="00BB1B62" w:rsidRPr="00E171A7">
        <w:t>s</w:t>
      </w:r>
      <w:r w:rsidRPr="00E171A7">
        <w:t xml:space="preserve"> also recommended 0.5 episodes per year at risk as the minimum guideline for peritonitis incidence</w:t>
      </w:r>
      <w:r w:rsidR="00C40408" w:rsidRPr="00E171A7">
        <w:t>.</w:t>
      </w:r>
      <w:r w:rsidRPr="00E171A7">
        <w:rPr>
          <w:vertAlign w:val="superscript"/>
        </w:rPr>
        <w:t>27</w:t>
      </w:r>
    </w:p>
    <w:p w14:paraId="5441358D" w14:textId="101A0A87" w:rsidR="00C10A40" w:rsidRPr="0005708D" w:rsidRDefault="00C10A40">
      <w:r w:rsidRPr="00E171A7">
        <w:t xml:space="preserve">However, as part of a continuous quality improvement program </w:t>
      </w:r>
      <w:r w:rsidR="00CC74AC">
        <w:t>we</w:t>
      </w:r>
      <w:r w:rsidRPr="00BB6413">
        <w:t xml:space="preserve"> </w:t>
      </w:r>
      <w:r w:rsidRPr="000F4969">
        <w:t xml:space="preserve">lowered </w:t>
      </w:r>
      <w:r w:rsidR="00CC74AC">
        <w:t xml:space="preserve">the target </w:t>
      </w:r>
      <w:r w:rsidRPr="00BB6413">
        <w:t xml:space="preserve">to 0.33 episodes per year at risk. </w:t>
      </w:r>
      <w:bookmarkStart w:id="55" w:name="_Hlk531341129"/>
      <w:r w:rsidRPr="00BB6413">
        <w:t>Note</w:t>
      </w:r>
      <w:r w:rsidR="00BB1B62" w:rsidRPr="000F4969">
        <w:t xml:space="preserve"> that</w:t>
      </w:r>
      <w:r w:rsidRPr="0005708D">
        <w:t xml:space="preserve"> lower results reported for this KPI represent better performance. </w:t>
      </w:r>
      <w:bookmarkEnd w:id="55"/>
    </w:p>
    <w:p w14:paraId="23AA3F8E" w14:textId="3C392B78" w:rsidR="00AF3F81" w:rsidRPr="00AF3F81" w:rsidRDefault="00C10A40" w:rsidP="00AF3F81">
      <w:pPr>
        <w:pStyle w:val="Heading2"/>
      </w:pPr>
      <w:bookmarkStart w:id="56" w:name="_Toc8637238"/>
      <w:bookmarkStart w:id="57" w:name="_Toc10460689"/>
      <w:r w:rsidRPr="00CC74AC">
        <w:t>Assessment</w:t>
      </w:r>
      <w:bookmarkEnd w:id="56"/>
      <w:bookmarkEnd w:id="57"/>
    </w:p>
    <w:p w14:paraId="684AD802" w14:textId="4784981C" w:rsidR="00483649" w:rsidRPr="00483649" w:rsidRDefault="00483649" w:rsidP="000A1146">
      <w:pPr>
        <w:pStyle w:val="Heading3"/>
      </w:pPr>
      <w:r>
        <w:t>Assessment of KPI evidence</w:t>
      </w:r>
    </w:p>
    <w:p w14:paraId="3F5FA04C" w14:textId="07E31679" w:rsidR="008B7FE0" w:rsidRPr="0005708D" w:rsidRDefault="00CC74AC" w:rsidP="00343A2D">
      <w:pPr>
        <w:pStyle w:val="Normalfollowingheading"/>
      </w:pPr>
      <w:r>
        <w:t>Consultation with our stakeholders showed a view that</w:t>
      </w:r>
      <w:r w:rsidR="008B7FE0" w:rsidRPr="000F4969">
        <w:t xml:space="preserve"> KPI</w:t>
      </w:r>
      <w:r>
        <w:t xml:space="preserve"> </w:t>
      </w:r>
      <w:r w:rsidR="008B7FE0" w:rsidRPr="0005708D">
        <w:t>4 has a strong foundation in evidence</w:t>
      </w:r>
      <w:r w:rsidR="009F5D39">
        <w:t>, including</w:t>
      </w:r>
      <w:r w:rsidR="008B7FE0" w:rsidRPr="0005708D">
        <w:t xml:space="preserve"> an international consensus guideline (ISPD) (</w:t>
      </w:r>
      <w:r w:rsidR="008B7FE0" w:rsidRPr="00B1282F">
        <w:rPr>
          <w:b/>
        </w:rPr>
        <w:t>Appendix 3</w:t>
      </w:r>
      <w:r w:rsidR="008B7FE0" w:rsidRPr="0005708D">
        <w:t>).</w:t>
      </w:r>
    </w:p>
    <w:p w14:paraId="5295634B" w14:textId="50DD3509" w:rsidR="008B7FE0" w:rsidRPr="00F35A12" w:rsidRDefault="009F5D39" w:rsidP="00343A2D">
      <w:r>
        <w:t>The survey show</w:t>
      </w:r>
      <w:r w:rsidR="00286087">
        <w:t>ed</w:t>
      </w:r>
      <w:r>
        <w:t xml:space="preserve"> that</w:t>
      </w:r>
      <w:r w:rsidR="008B7FE0" w:rsidRPr="000F4969">
        <w:t xml:space="preserve"> 85</w:t>
      </w:r>
      <w:r w:rsidR="004C3729" w:rsidRPr="0005708D">
        <w:t xml:space="preserve"> per cent</w:t>
      </w:r>
      <w:r w:rsidR="008B7FE0" w:rsidRPr="00564975">
        <w:t xml:space="preserve"> of respondents agree</w:t>
      </w:r>
      <w:r w:rsidR="008B7FE0" w:rsidRPr="00F35A12">
        <w:t xml:space="preserve"> that the current target is appropriate</w:t>
      </w:r>
      <w:r w:rsidR="00BB1B62" w:rsidRPr="00343A2D">
        <w:t>,</w:t>
      </w:r>
      <w:r w:rsidR="008B7FE0" w:rsidRPr="00343A2D">
        <w:t xml:space="preserve"> and 76</w:t>
      </w:r>
      <w:r w:rsidR="002B31C0" w:rsidRPr="00343A2D">
        <w:t xml:space="preserve"> per cent</w:t>
      </w:r>
      <w:r w:rsidR="008B7FE0" w:rsidRPr="00343A2D">
        <w:t xml:space="preserve"> agree to continue this KPI without change (</w:t>
      </w:r>
      <w:r w:rsidR="008B7FE0" w:rsidRPr="00343A2D">
        <w:rPr>
          <w:b/>
        </w:rPr>
        <w:t>Appendix 1</w:t>
      </w:r>
      <w:r w:rsidR="008B7FE0" w:rsidRPr="00F35A12">
        <w:t>).</w:t>
      </w:r>
    </w:p>
    <w:p w14:paraId="480F0C5D" w14:textId="60DC8559" w:rsidR="00C10A40" w:rsidRPr="0005708D" w:rsidRDefault="00C10A40" w:rsidP="00343A2D">
      <w:r w:rsidRPr="00343A2D">
        <w:t xml:space="preserve">Peritonitis rates are relevant to patient safety, </w:t>
      </w:r>
      <w:r w:rsidR="009F5D39">
        <w:t>so</w:t>
      </w:r>
      <w:r w:rsidR="009F5D39" w:rsidRPr="000F4969">
        <w:t xml:space="preserve"> </w:t>
      </w:r>
      <w:r w:rsidRPr="0005708D">
        <w:t>KPI</w:t>
      </w:r>
      <w:r w:rsidR="009F5D39">
        <w:t xml:space="preserve"> </w:t>
      </w:r>
      <w:r w:rsidRPr="0005708D">
        <w:t xml:space="preserve">4 </w:t>
      </w:r>
      <w:r w:rsidR="009F5D39">
        <w:t>is a</w:t>
      </w:r>
      <w:r w:rsidRPr="000F4969">
        <w:t xml:space="preserve"> useful marker of </w:t>
      </w:r>
      <w:r w:rsidR="009F5D39">
        <w:t>quality assurance</w:t>
      </w:r>
      <w:r w:rsidR="009F5D39" w:rsidRPr="000F4969">
        <w:t xml:space="preserve"> </w:t>
      </w:r>
      <w:r w:rsidRPr="0005708D">
        <w:t>(patient safety).</w:t>
      </w:r>
    </w:p>
    <w:p w14:paraId="045A16A4" w14:textId="0D2D8E9A" w:rsidR="00C10A40" w:rsidRPr="0005708D" w:rsidRDefault="009F5D39" w:rsidP="00343A2D">
      <w:r>
        <w:t>Although there is v</w:t>
      </w:r>
      <w:r w:rsidR="00C10A40" w:rsidRPr="0005708D">
        <w:t>aria</w:t>
      </w:r>
      <w:r>
        <w:t>tion</w:t>
      </w:r>
      <w:r w:rsidR="00C10A40" w:rsidRPr="000F4969">
        <w:t xml:space="preserve"> </w:t>
      </w:r>
      <w:r>
        <w:t>in</w:t>
      </w:r>
      <w:r w:rsidRPr="000F4969">
        <w:t xml:space="preserve"> </w:t>
      </w:r>
      <w:r w:rsidR="00C10A40" w:rsidRPr="0005708D">
        <w:t>peritonitis rates</w:t>
      </w:r>
      <w:r>
        <w:t>, this could be addressed</w:t>
      </w:r>
      <w:r w:rsidR="00C10A40" w:rsidRPr="000F4969">
        <w:t xml:space="preserve"> by improvement initiatives, </w:t>
      </w:r>
      <w:r w:rsidR="00C10A40" w:rsidRPr="0005708D">
        <w:t>indicating t</w:t>
      </w:r>
      <w:r w:rsidR="00C10A40" w:rsidRPr="00564975">
        <w:t>hat KPI</w:t>
      </w:r>
      <w:r>
        <w:t xml:space="preserve"> </w:t>
      </w:r>
      <w:r w:rsidR="00C10A40" w:rsidRPr="0005708D">
        <w:t xml:space="preserve">4 </w:t>
      </w:r>
      <w:r>
        <w:t>is</w:t>
      </w:r>
      <w:r w:rsidR="00C10A40" w:rsidRPr="000F4969">
        <w:t xml:space="preserve"> a useful </w:t>
      </w:r>
      <w:r>
        <w:t>quality improvement</w:t>
      </w:r>
      <w:r w:rsidRPr="000F4969">
        <w:t xml:space="preserve"> </w:t>
      </w:r>
      <w:r w:rsidR="00C10A40" w:rsidRPr="0005708D">
        <w:t>indicator.</w:t>
      </w:r>
    </w:p>
    <w:p w14:paraId="0F2356AA" w14:textId="27C46823" w:rsidR="00C10A40" w:rsidRPr="00F35A12" w:rsidRDefault="00564975" w:rsidP="00343A2D">
      <w:r>
        <w:t>Renal Clinical Network</w:t>
      </w:r>
      <w:r w:rsidR="00C10A40" w:rsidRPr="00B1282F">
        <w:t xml:space="preserve"> data is consistent with 0.33 episodes per year at risk as an achievable target peritonitis rate.</w:t>
      </w:r>
      <w:r w:rsidR="001529A6" w:rsidRPr="00F35A12">
        <w:t xml:space="preserve"> </w:t>
      </w:r>
    </w:p>
    <w:p w14:paraId="2FBB88B0" w14:textId="77777777" w:rsidR="00141B91" w:rsidRDefault="00141B91">
      <w:pPr>
        <w:rPr>
          <w:rFonts w:ascii="VIC SemiBold" w:eastAsiaTheme="majorEastAsia" w:hAnsi="VIC SemiBold" w:cstheme="majorBidi"/>
          <w:bCs/>
          <w:color w:val="000000" w:themeColor="text1"/>
          <w:sz w:val="24"/>
          <w:szCs w:val="22"/>
        </w:rPr>
      </w:pPr>
      <w:bookmarkStart w:id="58" w:name="_Toc8637241"/>
      <w:bookmarkStart w:id="59" w:name="_Toc10460690"/>
      <w:r>
        <w:br w:type="page"/>
      </w:r>
    </w:p>
    <w:p w14:paraId="59C07D5D" w14:textId="34DBD76A" w:rsidR="00C10A40" w:rsidRPr="009F5D39" w:rsidRDefault="00C10A40" w:rsidP="00BB6413">
      <w:pPr>
        <w:pStyle w:val="Heading3"/>
      </w:pPr>
      <w:r w:rsidRPr="00BB6413">
        <w:lastRenderedPageBreak/>
        <w:t xml:space="preserve">Potential </w:t>
      </w:r>
      <w:r w:rsidR="00F34043" w:rsidRPr="000F4969">
        <w:t>r</w:t>
      </w:r>
      <w:r w:rsidRPr="0005708D">
        <w:t xml:space="preserve">easons for </w:t>
      </w:r>
      <w:r w:rsidR="00F34043" w:rsidRPr="009F5D39">
        <w:t>v</w:t>
      </w:r>
      <w:r w:rsidRPr="009F5D39">
        <w:t xml:space="preserve">ariation </w:t>
      </w:r>
      <w:r w:rsidR="00F34043" w:rsidRPr="009F5D39">
        <w:t>b</w:t>
      </w:r>
      <w:r w:rsidRPr="009F5D39">
        <w:t xml:space="preserve">etween </w:t>
      </w:r>
      <w:r w:rsidR="00F34043" w:rsidRPr="009F5D39">
        <w:t>s</w:t>
      </w:r>
      <w:r w:rsidRPr="009F5D39">
        <w:t>ervices</w:t>
      </w:r>
      <w:bookmarkEnd w:id="58"/>
      <w:bookmarkEnd w:id="59"/>
    </w:p>
    <w:p w14:paraId="48964F2C" w14:textId="6E9B0D38" w:rsidR="00C10A40" w:rsidRPr="00343A2D" w:rsidRDefault="00C10A40" w:rsidP="00B1282F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 xml:space="preserve">Patient training techniques and </w:t>
      </w:r>
      <w:r w:rsidR="0077729D" w:rsidRPr="00343A2D">
        <w:rPr>
          <w:rFonts w:ascii="VIC" w:hAnsi="VIC"/>
        </w:rPr>
        <w:t xml:space="preserve">the </w:t>
      </w:r>
      <w:r w:rsidRPr="00343A2D">
        <w:rPr>
          <w:rFonts w:ascii="VIC" w:hAnsi="VIC"/>
        </w:rPr>
        <w:t xml:space="preserve">patient’s ability to perform </w:t>
      </w:r>
      <w:r w:rsidR="0077729D" w:rsidRPr="00343A2D">
        <w:rPr>
          <w:rFonts w:ascii="VIC" w:hAnsi="VIC"/>
        </w:rPr>
        <w:t xml:space="preserve">the </w:t>
      </w:r>
      <w:r w:rsidRPr="00343A2D">
        <w:rPr>
          <w:rFonts w:ascii="VIC" w:hAnsi="VIC"/>
        </w:rPr>
        <w:t>procedure and manage the treatment</w:t>
      </w:r>
      <w:r w:rsidR="00B1282F">
        <w:rPr>
          <w:rFonts w:ascii="VIC" w:hAnsi="VIC"/>
        </w:rPr>
        <w:t>.</w:t>
      </w:r>
    </w:p>
    <w:p w14:paraId="49682486" w14:textId="2367608B" w:rsidR="00C10A40" w:rsidRPr="00343A2D" w:rsidRDefault="00C10A40" w:rsidP="00B1282F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>Staff</w:t>
      </w:r>
      <w:r w:rsidR="0077729D" w:rsidRPr="00343A2D">
        <w:rPr>
          <w:rFonts w:ascii="VIC" w:hAnsi="VIC"/>
        </w:rPr>
        <w:t>-</w:t>
      </w:r>
      <w:r w:rsidRPr="00343A2D">
        <w:rPr>
          <w:rFonts w:ascii="VIC" w:hAnsi="VIC"/>
        </w:rPr>
        <w:t>to</w:t>
      </w:r>
      <w:r w:rsidR="0077729D" w:rsidRPr="00343A2D">
        <w:rPr>
          <w:rFonts w:ascii="VIC" w:hAnsi="VIC"/>
        </w:rPr>
        <w:t>-</w:t>
      </w:r>
      <w:r w:rsidRPr="00343A2D">
        <w:rPr>
          <w:rFonts w:ascii="VIC" w:hAnsi="VIC"/>
        </w:rPr>
        <w:t xml:space="preserve">patient ratios in </w:t>
      </w:r>
      <w:r w:rsidR="00F1134B" w:rsidRPr="00F1134B">
        <w:rPr>
          <w:rFonts w:ascii="VIC" w:hAnsi="VIC"/>
        </w:rPr>
        <w:t>peritoneal dialysis</w:t>
      </w:r>
      <w:r w:rsidRPr="00343A2D">
        <w:rPr>
          <w:rFonts w:ascii="VIC" w:hAnsi="VIC"/>
        </w:rPr>
        <w:t xml:space="preserve"> training units and clinics</w:t>
      </w:r>
      <w:r w:rsidR="00B1282F">
        <w:rPr>
          <w:rFonts w:ascii="VIC" w:hAnsi="VIC"/>
        </w:rPr>
        <w:t>.</w:t>
      </w:r>
    </w:p>
    <w:p w14:paraId="3B4E04D8" w14:textId="1E71FF83" w:rsidR="00C10A40" w:rsidRPr="00343A2D" w:rsidRDefault="00C10A40" w:rsidP="00B1282F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>Treatment regimens for peritonitis</w:t>
      </w:r>
      <w:r w:rsidR="00B1282F">
        <w:rPr>
          <w:rFonts w:ascii="VIC" w:hAnsi="VIC"/>
        </w:rPr>
        <w:t>.</w:t>
      </w:r>
    </w:p>
    <w:p w14:paraId="3B1C95FB" w14:textId="70E3C908" w:rsidR="00C10A40" w:rsidRPr="00343A2D" w:rsidRDefault="00C10A40" w:rsidP="00B1282F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 xml:space="preserve">Patient demographics, support and time already spent on </w:t>
      </w:r>
      <w:r w:rsidR="00F1134B" w:rsidRPr="00F1134B">
        <w:rPr>
          <w:rFonts w:ascii="VIC" w:hAnsi="VIC"/>
        </w:rPr>
        <w:t>peritoneal dialysis</w:t>
      </w:r>
      <w:r w:rsidR="00B1282F" w:rsidRPr="00F1134B">
        <w:rPr>
          <w:rFonts w:ascii="VIC" w:hAnsi="VIC"/>
        </w:rPr>
        <w:t>.</w:t>
      </w:r>
    </w:p>
    <w:p w14:paraId="52B28AE9" w14:textId="1167D11F" w:rsidR="00C10A40" w:rsidRPr="00343A2D" w:rsidRDefault="00C10A40" w:rsidP="00B1282F">
      <w:pPr>
        <w:pStyle w:val="Bullet1"/>
        <w:spacing w:line="240" w:lineRule="atLeast"/>
        <w:rPr>
          <w:rFonts w:ascii="VIC" w:hAnsi="VIC"/>
        </w:rPr>
      </w:pPr>
      <w:r w:rsidRPr="00343A2D">
        <w:rPr>
          <w:rFonts w:ascii="VIC" w:hAnsi="VIC"/>
        </w:rPr>
        <w:t xml:space="preserve">Catheter </w:t>
      </w:r>
      <w:r w:rsidR="008F4A7B" w:rsidRPr="00343A2D">
        <w:rPr>
          <w:rFonts w:ascii="VIC" w:hAnsi="VIC"/>
        </w:rPr>
        <w:t>c</w:t>
      </w:r>
      <w:r w:rsidRPr="00343A2D">
        <w:rPr>
          <w:rFonts w:ascii="VIC" w:hAnsi="VIC"/>
        </w:rPr>
        <w:t>are</w:t>
      </w:r>
      <w:r w:rsidR="009F5D39">
        <w:rPr>
          <w:rFonts w:ascii="VIC" w:hAnsi="VIC"/>
        </w:rPr>
        <w:t>.</w:t>
      </w:r>
    </w:p>
    <w:p w14:paraId="5481AF2A" w14:textId="61E487A4" w:rsidR="00141B91" w:rsidRPr="00564975" w:rsidRDefault="00C10A40" w:rsidP="00343A2D">
      <w:pPr>
        <w:pStyle w:val="Normalfollowingheading"/>
        <w:spacing w:after="100" w:line="240" w:lineRule="atLeast"/>
      </w:pPr>
      <w:r w:rsidRPr="00564975">
        <w:t xml:space="preserve">Smaller </w:t>
      </w:r>
      <w:r w:rsidR="00F1134B" w:rsidRPr="00DF7280">
        <w:t>peritoneal dialysis</w:t>
      </w:r>
      <w:r w:rsidRPr="00F35A12">
        <w:t xml:space="preserve"> programs may observe greater </w:t>
      </w:r>
      <w:r w:rsidRPr="00343A2D">
        <w:t>fluctuation in their quarterly KPI</w:t>
      </w:r>
      <w:r w:rsidR="00DB4325">
        <w:t xml:space="preserve"> </w:t>
      </w:r>
      <w:r w:rsidRPr="0005708D">
        <w:t>4 results.</w:t>
      </w:r>
    </w:p>
    <w:p w14:paraId="4E36103C" w14:textId="2EF53169" w:rsidR="00C10A40" w:rsidRPr="00B1282F" w:rsidRDefault="00C10A40" w:rsidP="00343A2D">
      <w:pPr>
        <w:spacing w:before="100" w:after="100" w:line="240" w:lineRule="atLeast"/>
      </w:pPr>
      <w:r w:rsidRPr="00B1282F">
        <w:t>Variation</w:t>
      </w:r>
      <w:r w:rsidRPr="00F35A12">
        <w:t xml:space="preserve"> in </w:t>
      </w:r>
      <w:r w:rsidRPr="00343A2D">
        <w:t xml:space="preserve">performance </w:t>
      </w:r>
      <w:r w:rsidR="00A05983">
        <w:t>most likely reflects</w:t>
      </w:r>
      <w:r w:rsidRPr="0005708D">
        <w:t xml:space="preserve"> </w:t>
      </w:r>
      <w:r w:rsidRPr="00B1282F">
        <w:t>local variations in protocols and practices.</w:t>
      </w:r>
    </w:p>
    <w:p w14:paraId="0B199C07" w14:textId="0F7543E4" w:rsidR="00C10A40" w:rsidRPr="0005708D" w:rsidRDefault="00C10A40" w:rsidP="00B1282F">
      <w:pPr>
        <w:pStyle w:val="Heading3"/>
        <w:spacing w:before="180"/>
      </w:pPr>
      <w:bookmarkStart w:id="60" w:name="_Toc8637243"/>
      <w:bookmarkStart w:id="61" w:name="_Toc10460692"/>
      <w:r w:rsidRPr="00BB6413">
        <w:t xml:space="preserve">Assessment of </w:t>
      </w:r>
      <w:r w:rsidR="00F34043" w:rsidRPr="000F4969">
        <w:t>p</w:t>
      </w:r>
      <w:r w:rsidRPr="0005708D">
        <w:t>erformance</w:t>
      </w:r>
      <w:bookmarkEnd w:id="60"/>
      <w:bookmarkEnd w:id="61"/>
    </w:p>
    <w:p w14:paraId="09D1970D" w14:textId="2846B23A" w:rsidR="000E2BC5" w:rsidRDefault="000E2BC5" w:rsidP="00343A2D">
      <w:pPr>
        <w:pStyle w:val="Normalfollowingheading"/>
        <w:spacing w:after="100" w:line="240" w:lineRule="atLeast"/>
      </w:pPr>
      <w:r>
        <w:t>Lower results, or below target results, represent better performance for this KPI. Lower peritonitis rates ha</w:t>
      </w:r>
      <w:r w:rsidR="00BC0A48">
        <w:t>ve</w:t>
      </w:r>
      <w:r>
        <w:t xml:space="preserve"> a significant benefit to consumers.</w:t>
      </w:r>
    </w:p>
    <w:p w14:paraId="054978C0" w14:textId="21661ED0" w:rsidR="009F5D39" w:rsidRPr="000F4969" w:rsidRDefault="00C10A40" w:rsidP="00343A2D">
      <w:pPr>
        <w:spacing w:before="100" w:after="100" w:line="240" w:lineRule="atLeast"/>
      </w:pPr>
      <w:proofErr w:type="spellStart"/>
      <w:r w:rsidRPr="000F4969">
        <w:t>Statewide</w:t>
      </w:r>
      <w:proofErr w:type="spellEnd"/>
      <w:r w:rsidRPr="000F4969">
        <w:t xml:space="preserve"> peritonitis rates </w:t>
      </w:r>
      <w:r w:rsidRPr="0005708D">
        <w:t>have fluct</w:t>
      </w:r>
      <w:r w:rsidRPr="00564975">
        <w:t>uated between 0.26</w:t>
      </w:r>
      <w:r w:rsidR="0077729D" w:rsidRPr="00B1282F">
        <w:t xml:space="preserve"> and </w:t>
      </w:r>
      <w:r w:rsidRPr="00F35A12">
        <w:t xml:space="preserve">0.35 episodes per year </w:t>
      </w:r>
      <w:r w:rsidR="00EF5F4A">
        <w:t>throughout</w:t>
      </w:r>
      <w:r w:rsidR="00EF5F4A" w:rsidRPr="000F4969">
        <w:t xml:space="preserve"> </w:t>
      </w:r>
      <w:r w:rsidRPr="0005708D">
        <w:t>the KPI program.</w:t>
      </w:r>
      <w:r w:rsidR="009F5D39">
        <w:t xml:space="preserve"> </w:t>
      </w:r>
      <w:r w:rsidR="004A1482">
        <w:t>During the past two</w:t>
      </w:r>
      <w:r w:rsidR="004F295D">
        <w:t xml:space="preserve"> </w:t>
      </w:r>
      <w:r w:rsidR="004A1482">
        <w:t>to</w:t>
      </w:r>
      <w:r w:rsidR="004F295D">
        <w:t xml:space="preserve"> </w:t>
      </w:r>
      <w:r w:rsidR="004A1482">
        <w:t>three years we</w:t>
      </w:r>
      <w:r w:rsidR="004F295D">
        <w:t xml:space="preserve"> ha</w:t>
      </w:r>
      <w:r w:rsidR="004A1482">
        <w:t>ve seen a</w:t>
      </w:r>
      <w:r w:rsidRPr="0005708D">
        <w:t xml:space="preserve"> trend to lower peritonitis rates</w:t>
      </w:r>
      <w:r w:rsidR="004A1482">
        <w:t>.</w:t>
      </w:r>
    </w:p>
    <w:p w14:paraId="68C94A81" w14:textId="7E20CEA5" w:rsidR="00C10A40" w:rsidRPr="00F35A12" w:rsidRDefault="00C10A40" w:rsidP="00343A2D">
      <w:pPr>
        <w:spacing w:before="100" w:after="100" w:line="240" w:lineRule="atLeast"/>
      </w:pPr>
      <w:r w:rsidRPr="0005708D">
        <w:t xml:space="preserve">Some </w:t>
      </w:r>
      <w:r w:rsidR="000E2BC5">
        <w:t xml:space="preserve">individual </w:t>
      </w:r>
      <w:r w:rsidRPr="0005708D">
        <w:t>centres have shown si</w:t>
      </w:r>
      <w:r w:rsidRPr="00564975">
        <w:t xml:space="preserve">gnificant </w:t>
      </w:r>
      <w:r w:rsidRPr="00F35A12">
        <w:t>improvement (KPI Q2 2018 report).</w:t>
      </w:r>
    </w:p>
    <w:p w14:paraId="1DEB8E87" w14:textId="415C97FC" w:rsidR="004A1482" w:rsidRDefault="004A1482" w:rsidP="00343A2D">
      <w:pPr>
        <w:spacing w:before="100" w:after="100" w:line="240" w:lineRule="atLeast"/>
      </w:pPr>
      <w:r>
        <w:t>There is also a s</w:t>
      </w:r>
      <w:r w:rsidR="00C10A40" w:rsidRPr="0005708D">
        <w:t xml:space="preserve">ignificant </w:t>
      </w:r>
      <w:r>
        <w:t xml:space="preserve">variation in performance between </w:t>
      </w:r>
      <w:r w:rsidR="00C10A40" w:rsidRPr="0005708D">
        <w:t>service centre</w:t>
      </w:r>
      <w:r>
        <w:t>s</w:t>
      </w:r>
      <w:r w:rsidR="00C10A40" w:rsidRPr="0005708D">
        <w:t>. In the</w:t>
      </w:r>
      <w:r w:rsidR="000968BE">
        <w:t xml:space="preserve"> </w:t>
      </w:r>
      <w:r w:rsidR="00C10A40" w:rsidRPr="0005708D">
        <w:t xml:space="preserve">KPI Q2 2018 </w:t>
      </w:r>
      <w:r w:rsidR="000968BE">
        <w:t xml:space="preserve">report </w:t>
      </w:r>
      <w:r w:rsidR="00C10A40" w:rsidRPr="0005708D">
        <w:t>five hub services performed below tar</w:t>
      </w:r>
      <w:r w:rsidR="00C10A40" w:rsidRPr="00564975">
        <w:t>get (</w:t>
      </w:r>
      <w:r w:rsidR="000E2BC5" w:rsidRPr="00F35A12">
        <w:t>achiev</w:t>
      </w:r>
      <w:r w:rsidR="000E2BC5">
        <w:t>ing</w:t>
      </w:r>
      <w:r w:rsidR="000E2BC5" w:rsidRPr="000F4969">
        <w:t xml:space="preserve"> </w:t>
      </w:r>
      <w:r w:rsidR="00C10A40" w:rsidRPr="0005708D">
        <w:t>low peritonitis rates), two hub services were within target range</w:t>
      </w:r>
      <w:r w:rsidR="000E2BC5">
        <w:t>,</w:t>
      </w:r>
      <w:r w:rsidR="00C10A40" w:rsidRPr="000F4969">
        <w:t xml:space="preserve"> and three hub services were above target (</w:t>
      </w:r>
      <w:r w:rsidR="000E2BC5">
        <w:t xml:space="preserve">recording </w:t>
      </w:r>
      <w:r w:rsidR="00C10A40" w:rsidRPr="0005708D">
        <w:t>higher peritonitis rates than desirable).</w:t>
      </w:r>
    </w:p>
    <w:p w14:paraId="0D3C1966" w14:textId="217F46E2" w:rsidR="00C10A40" w:rsidRDefault="00C10A40" w:rsidP="006464FB">
      <w:pPr>
        <w:spacing w:before="100" w:after="100" w:line="240" w:lineRule="atLeast"/>
      </w:pPr>
      <w:r w:rsidRPr="000F4969">
        <w:t>The overall state average remains below the target range</w:t>
      </w:r>
      <w:r w:rsidRPr="0005708D">
        <w:t xml:space="preserve"> </w:t>
      </w:r>
      <w:r w:rsidR="000E2BC5">
        <w:t>and in line with</w:t>
      </w:r>
      <w:r w:rsidRPr="000F4969">
        <w:t xml:space="preserve"> </w:t>
      </w:r>
      <w:r w:rsidR="000E2BC5">
        <w:t>the</w:t>
      </w:r>
      <w:r w:rsidR="000E2BC5" w:rsidRPr="000F4969">
        <w:t xml:space="preserve"> </w:t>
      </w:r>
      <w:r w:rsidRPr="0005708D">
        <w:t>performance</w:t>
      </w:r>
      <w:r w:rsidR="000E2BC5">
        <w:t xml:space="preserve"> goal</w:t>
      </w:r>
      <w:r w:rsidRPr="0005708D">
        <w:t>.</w:t>
      </w:r>
    </w:p>
    <w:p w14:paraId="1395462E" w14:textId="20E76142" w:rsidR="00F524E2" w:rsidRDefault="006464FB" w:rsidP="00B1282F">
      <w:pPr>
        <w:spacing w:before="120" w:after="120" w:line="240" w:lineRule="atLeast"/>
        <w:rPr>
          <w:rFonts w:asciiTheme="majorHAnsi" w:eastAsiaTheme="majorEastAsia" w:hAnsiTheme="majorHAnsi" w:cstheme="majorBidi"/>
          <w:color w:val="007586" w:themeColor="text2"/>
          <w:sz w:val="24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355AD504" wp14:editId="78AAB87E">
                <wp:extent cx="6464410" cy="1764000"/>
                <wp:effectExtent l="0" t="0" r="12700" b="17780"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410" cy="176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3615B" w14:textId="77777777" w:rsidR="00AE683F" w:rsidRPr="004D6898" w:rsidRDefault="00AE683F" w:rsidP="006464FB">
                            <w:pPr>
                              <w:pStyle w:val="PulloutHeading"/>
                            </w:pPr>
                            <w:r>
                              <w:t>Recommendations and next steps</w:t>
                            </w:r>
                          </w:p>
                          <w:p w14:paraId="042328B4" w14:textId="1616B69D" w:rsidR="00AE683F" w:rsidRPr="0005708D" w:rsidRDefault="00AE683F" w:rsidP="00343A2D">
                            <w:pPr>
                              <w:pStyle w:val="PulloutText"/>
                              <w:spacing w:before="60" w:after="60" w:line="240" w:lineRule="atLeast"/>
                            </w:pPr>
                            <w:r w:rsidRPr="00564975">
                              <w:t>We r</w:t>
                            </w:r>
                            <w:r w:rsidRPr="00B1282F">
                              <w:t xml:space="preserve">ecommend </w:t>
                            </w:r>
                            <w:r w:rsidRPr="00F35A12">
                              <w:t xml:space="preserve">the </w:t>
                            </w:r>
                            <w:r>
                              <w:t>Renal Clinical Network</w:t>
                            </w:r>
                            <w:r w:rsidRPr="00B1282F">
                              <w:t xml:space="preserve"> continue</w:t>
                            </w:r>
                            <w:r w:rsidRPr="00F35A12">
                              <w:t xml:space="preserve"> to monitor peritonitis rates of hub services as an important measure of patient safety (</w:t>
                            </w:r>
                            <w:r>
                              <w:t>quality assurance</w:t>
                            </w:r>
                            <w:r w:rsidRPr="000F4969">
                              <w:t>) and service improvement (</w:t>
                            </w:r>
                            <w:r>
                              <w:t>quality improvement</w:t>
                            </w:r>
                            <w:r w:rsidRPr="000F4969">
                              <w:t>).</w:t>
                            </w:r>
                          </w:p>
                          <w:p w14:paraId="53DD279A" w14:textId="07F86FED" w:rsidR="00AE683F" w:rsidRPr="0005708D" w:rsidRDefault="00AE683F" w:rsidP="00343A2D">
                            <w:pPr>
                              <w:pStyle w:val="PulloutText"/>
                              <w:spacing w:before="60" w:after="60" w:line="240" w:lineRule="atLeast"/>
                            </w:pPr>
                            <w:r>
                              <w:t>Renal services should continue to</w:t>
                            </w:r>
                            <w:r w:rsidRPr="000F4969">
                              <w:t xml:space="preserve"> </w:t>
                            </w:r>
                            <w:r>
                              <w:t>aim</w:t>
                            </w:r>
                            <w:r w:rsidRPr="000F4969">
                              <w:t xml:space="preserve"> </w:t>
                            </w:r>
                            <w:r w:rsidRPr="0005708D">
                              <w:t>for the current</w:t>
                            </w:r>
                            <w:r w:rsidRPr="006F01F4">
                              <w:t xml:space="preserve"> </w:t>
                            </w:r>
                            <w:r>
                              <w:t>quality improvement</w:t>
                            </w:r>
                            <w:r w:rsidRPr="000F4969">
                              <w:t xml:space="preserve"> </w:t>
                            </w:r>
                            <w:r w:rsidRPr="0005708D">
                              <w:t>target of less than 0.33 peritonitis episodes per year at risk.</w:t>
                            </w:r>
                            <w:r w:rsidRPr="00564975">
                              <w:t xml:space="preserve"> </w:t>
                            </w:r>
                            <w:r w:rsidRPr="00B1282F">
                              <w:t xml:space="preserve">Services with peritonitis rates of less than the target will be discussed as examples, and the lessons </w:t>
                            </w:r>
                            <w:r w:rsidRPr="00343A2D">
                              <w:t xml:space="preserve">shared, </w:t>
                            </w:r>
                            <w:r>
                              <w:t xml:space="preserve">with the </w:t>
                            </w:r>
                            <w:r w:rsidRPr="000F4969">
                              <w:t>aim</w:t>
                            </w:r>
                            <w:r w:rsidRPr="00564975">
                              <w:t xml:space="preserve"> </w:t>
                            </w:r>
                            <w:r>
                              <w:t>of</w:t>
                            </w:r>
                            <w:r w:rsidRPr="000F4969">
                              <w:t xml:space="preserve"> </w:t>
                            </w:r>
                            <w:r>
                              <w:t>supporting</w:t>
                            </w:r>
                            <w:r w:rsidRPr="0005708D">
                              <w:t xml:space="preserve"> </w:t>
                            </w:r>
                            <w:r w:rsidRPr="00564975">
                              <w:t>other services to</w:t>
                            </w:r>
                            <w:r>
                              <w:t xml:space="preserve"> reach</w:t>
                            </w:r>
                            <w:r w:rsidRPr="000F4969">
                              <w:t xml:space="preserve"> this level.</w:t>
                            </w:r>
                          </w:p>
                          <w:p w14:paraId="66453135" w14:textId="1EB0D3A6" w:rsidR="00AE683F" w:rsidRPr="0005708D" w:rsidRDefault="00AE683F" w:rsidP="00343A2D">
                            <w:pPr>
                              <w:pStyle w:val="PulloutText"/>
                              <w:spacing w:before="60" w:after="60" w:line="240" w:lineRule="atLeast"/>
                            </w:pPr>
                            <w:r w:rsidRPr="00564975">
                              <w:t xml:space="preserve">The </w:t>
                            </w:r>
                            <w:r>
                              <w:t>Renal Clinical Network</w:t>
                            </w:r>
                            <w:r w:rsidRPr="00B1282F">
                              <w:t xml:space="preserve"> </w:t>
                            </w:r>
                            <w:r>
                              <w:t>insight</w:t>
                            </w:r>
                            <w:r w:rsidRPr="000F4969">
                              <w:t xml:space="preserve"> </w:t>
                            </w:r>
                            <w:r>
                              <w:t>subc</w:t>
                            </w:r>
                            <w:r w:rsidRPr="0005708D">
                              <w:t xml:space="preserve">ommittee should continue to regularly review the achievable </w:t>
                            </w:r>
                            <w:r>
                              <w:t>quality improvement</w:t>
                            </w:r>
                            <w:r w:rsidRPr="000F4969">
                              <w:t xml:space="preserve"> </w:t>
                            </w:r>
                            <w:r w:rsidRPr="0005708D">
                              <w:t>target peritonitis rate, with the long-term goal of achieving the lowest possible statewide peritonitis level.</w:t>
                            </w:r>
                          </w:p>
                          <w:p w14:paraId="077DBE89" w14:textId="00B44A12" w:rsidR="00AE683F" w:rsidRPr="00564975" w:rsidRDefault="00AE683F" w:rsidP="00343A2D">
                            <w:pPr>
                              <w:pStyle w:val="PulloutText"/>
                              <w:spacing w:before="60" w:after="60" w:line="240" w:lineRule="atLeast"/>
                            </w:pPr>
                            <w:r w:rsidRPr="00564975">
                              <w:t xml:space="preserve">The </w:t>
                            </w:r>
                            <w:r>
                              <w:t>Renal Clinical Network</w:t>
                            </w:r>
                            <w:r w:rsidRPr="00B1282F">
                              <w:t xml:space="preserve"> </w:t>
                            </w:r>
                            <w:r w:rsidRPr="00F35A12">
                              <w:t xml:space="preserve">should </w:t>
                            </w:r>
                            <w:r>
                              <w:t xml:space="preserve">help </w:t>
                            </w:r>
                            <w:r w:rsidRPr="000F4969">
                              <w:t xml:space="preserve">improve and standardise </w:t>
                            </w:r>
                            <w:r w:rsidRPr="00DF7280">
                              <w:t>peritoneal dialysis</w:t>
                            </w:r>
                            <w:r w:rsidRPr="00564975">
                              <w:t xml:space="preserve"> protocols and procedures across all hub service providers.</w:t>
                            </w:r>
                          </w:p>
                          <w:p w14:paraId="27A9800B" w14:textId="1610BD9B" w:rsidR="00AE683F" w:rsidRPr="00B1282F" w:rsidRDefault="00AE683F" w:rsidP="006464FB">
                            <w:pPr>
                              <w:pStyle w:val="PulloutText"/>
                              <w:spacing w:before="60" w:after="60" w:line="240" w:lineRule="atLeast"/>
                            </w:pPr>
                            <w:r w:rsidRPr="00A05983">
                              <w:t xml:space="preserve">Peritonitis rates </w:t>
                            </w:r>
                            <w:r>
                              <w:t>are the</w:t>
                            </w:r>
                            <w:r w:rsidRPr="000F4969">
                              <w:t xml:space="preserve"> principal quality indicator for </w:t>
                            </w:r>
                            <w:r w:rsidRPr="00DF7280">
                              <w:t>peritoneal dialysis</w:t>
                            </w:r>
                            <w:r w:rsidRPr="0005708D">
                              <w:t xml:space="preserve"> </w:t>
                            </w:r>
                            <w:r w:rsidRPr="00A05983">
                              <w:t xml:space="preserve">programs; however, other measures such as technique and patient survival could </w:t>
                            </w:r>
                            <w:r>
                              <w:t xml:space="preserve">also </w:t>
                            </w:r>
                            <w:r w:rsidRPr="000F4969">
                              <w:t>be considered.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0" tIns="180000" rIns="144000" bIns="36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5AD504" id="_x0000_s1030" type="#_x0000_t202" style="width:509pt;height:1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" fillcolor="#edf5f7 [3214]" strokecolor="#edf5f7 [3214]" strokeweight=".5pt">
                <v:textbox style="mso-fit-shape-to-text:t" inset="5mm,5mm,4mm,1mm">
                  <w:txbxContent>
                    <w:p w14:paraId="1453615B" w14:textId="77777777" w:rsidR="00AE683F" w:rsidRPr="004D6898" w:rsidRDefault="00AE683F" w:rsidP="006464FB">
                      <w:pPr>
                        <w:pStyle w:val="PulloutHeading"/>
                      </w:pPr>
                      <w:r>
                        <w:t>Recommendations and next steps</w:t>
                      </w:r>
                    </w:p>
                    <w:p w14:paraId="042328B4" w14:textId="1616B69D" w:rsidR="00AE683F" w:rsidRPr="0005708D" w:rsidRDefault="00AE683F" w:rsidP="00343A2D">
                      <w:pPr>
                        <w:pStyle w:val="PulloutText"/>
                        <w:spacing w:before="60" w:after="60" w:line="240" w:lineRule="atLeast"/>
                      </w:pPr>
                      <w:r w:rsidRPr="00564975">
                        <w:t>We r</w:t>
                      </w:r>
                      <w:r w:rsidRPr="00B1282F">
                        <w:t xml:space="preserve">ecommend </w:t>
                      </w:r>
                      <w:r w:rsidRPr="00F35A12">
                        <w:t xml:space="preserve">the </w:t>
                      </w:r>
                      <w:r>
                        <w:t>Renal Clinical Network</w:t>
                      </w:r>
                      <w:r w:rsidRPr="00B1282F">
                        <w:t xml:space="preserve"> continue</w:t>
                      </w:r>
                      <w:r w:rsidRPr="00F35A12">
                        <w:t xml:space="preserve"> to monitor peritonitis rates of hub services as an important measure of patient safety (</w:t>
                      </w:r>
                      <w:r>
                        <w:t>quality assurance</w:t>
                      </w:r>
                      <w:r w:rsidRPr="000F4969">
                        <w:t>) and service improvement (</w:t>
                      </w:r>
                      <w:r>
                        <w:t>quality improvement</w:t>
                      </w:r>
                      <w:r w:rsidRPr="000F4969">
                        <w:t>).</w:t>
                      </w:r>
                    </w:p>
                    <w:p w14:paraId="53DD279A" w14:textId="07F86FED" w:rsidR="00AE683F" w:rsidRPr="0005708D" w:rsidRDefault="00AE683F" w:rsidP="00343A2D">
                      <w:pPr>
                        <w:pStyle w:val="PulloutText"/>
                        <w:spacing w:before="60" w:after="60" w:line="240" w:lineRule="atLeast"/>
                      </w:pPr>
                      <w:r>
                        <w:t>Renal services should continue to</w:t>
                      </w:r>
                      <w:r w:rsidRPr="000F4969">
                        <w:t xml:space="preserve"> </w:t>
                      </w:r>
                      <w:r>
                        <w:t>aim</w:t>
                      </w:r>
                      <w:r w:rsidRPr="000F4969">
                        <w:t xml:space="preserve"> </w:t>
                      </w:r>
                      <w:r w:rsidRPr="0005708D">
                        <w:t>for the current</w:t>
                      </w:r>
                      <w:r w:rsidRPr="006F01F4">
                        <w:t xml:space="preserve"> </w:t>
                      </w:r>
                      <w:r>
                        <w:t>quality improvement</w:t>
                      </w:r>
                      <w:r w:rsidRPr="000F4969">
                        <w:t xml:space="preserve"> </w:t>
                      </w:r>
                      <w:r w:rsidRPr="0005708D">
                        <w:t>target of less than 0.33 peritonitis episodes per year at risk.</w:t>
                      </w:r>
                      <w:r w:rsidRPr="00564975">
                        <w:t xml:space="preserve"> </w:t>
                      </w:r>
                      <w:r w:rsidRPr="00B1282F">
                        <w:t xml:space="preserve">Services with peritonitis rates of less than the target will be discussed as examples, and the lessons </w:t>
                      </w:r>
                      <w:r w:rsidRPr="00343A2D">
                        <w:t xml:space="preserve">shared, </w:t>
                      </w:r>
                      <w:r>
                        <w:t xml:space="preserve">with the </w:t>
                      </w:r>
                      <w:r w:rsidRPr="000F4969">
                        <w:t>aim</w:t>
                      </w:r>
                      <w:r w:rsidRPr="00564975">
                        <w:t xml:space="preserve"> </w:t>
                      </w:r>
                      <w:r>
                        <w:t>of</w:t>
                      </w:r>
                      <w:r w:rsidRPr="000F4969">
                        <w:t xml:space="preserve"> </w:t>
                      </w:r>
                      <w:r>
                        <w:t>supporting</w:t>
                      </w:r>
                      <w:r w:rsidRPr="0005708D">
                        <w:t xml:space="preserve"> </w:t>
                      </w:r>
                      <w:r w:rsidRPr="00564975">
                        <w:t>other services to</w:t>
                      </w:r>
                      <w:r>
                        <w:t xml:space="preserve"> reach</w:t>
                      </w:r>
                      <w:r w:rsidRPr="000F4969">
                        <w:t xml:space="preserve"> this level.</w:t>
                      </w:r>
                    </w:p>
                    <w:p w14:paraId="66453135" w14:textId="1EB0D3A6" w:rsidR="00AE683F" w:rsidRPr="0005708D" w:rsidRDefault="00AE683F" w:rsidP="00343A2D">
                      <w:pPr>
                        <w:pStyle w:val="PulloutText"/>
                        <w:spacing w:before="60" w:after="60" w:line="240" w:lineRule="atLeast"/>
                      </w:pPr>
                      <w:r w:rsidRPr="00564975">
                        <w:t xml:space="preserve">The </w:t>
                      </w:r>
                      <w:r>
                        <w:t>Renal Clinical Network</w:t>
                      </w:r>
                      <w:r w:rsidRPr="00B1282F">
                        <w:t xml:space="preserve"> </w:t>
                      </w:r>
                      <w:r>
                        <w:t>insight</w:t>
                      </w:r>
                      <w:r w:rsidRPr="000F4969">
                        <w:t xml:space="preserve"> </w:t>
                      </w:r>
                      <w:r>
                        <w:t>subc</w:t>
                      </w:r>
                      <w:r w:rsidRPr="0005708D">
                        <w:t xml:space="preserve">ommittee should continue to regularly review the achievable </w:t>
                      </w:r>
                      <w:r>
                        <w:t>quality improvement</w:t>
                      </w:r>
                      <w:r w:rsidRPr="000F4969">
                        <w:t xml:space="preserve"> </w:t>
                      </w:r>
                      <w:r w:rsidRPr="0005708D">
                        <w:t>target peritonitis rate, with the long-term goal of achieving the lowest possible statewide peritonitis level.</w:t>
                      </w:r>
                    </w:p>
                    <w:p w14:paraId="077DBE89" w14:textId="00B44A12" w:rsidR="00AE683F" w:rsidRPr="00564975" w:rsidRDefault="00AE683F" w:rsidP="00343A2D">
                      <w:pPr>
                        <w:pStyle w:val="PulloutText"/>
                        <w:spacing w:before="60" w:after="60" w:line="240" w:lineRule="atLeast"/>
                      </w:pPr>
                      <w:r w:rsidRPr="00564975">
                        <w:t xml:space="preserve">The </w:t>
                      </w:r>
                      <w:r>
                        <w:t>Renal Clinical Network</w:t>
                      </w:r>
                      <w:r w:rsidRPr="00B1282F">
                        <w:t xml:space="preserve"> </w:t>
                      </w:r>
                      <w:r w:rsidRPr="00F35A12">
                        <w:t xml:space="preserve">should </w:t>
                      </w:r>
                      <w:r>
                        <w:t xml:space="preserve">help </w:t>
                      </w:r>
                      <w:r w:rsidRPr="000F4969">
                        <w:t xml:space="preserve">improve and standardise </w:t>
                      </w:r>
                      <w:r w:rsidRPr="00DF7280">
                        <w:t>peritoneal dialysis</w:t>
                      </w:r>
                      <w:r w:rsidRPr="00564975">
                        <w:t xml:space="preserve"> protocols and procedures across all hub service providers.</w:t>
                      </w:r>
                    </w:p>
                    <w:p w14:paraId="27A9800B" w14:textId="1610BD9B" w:rsidR="00AE683F" w:rsidRPr="00B1282F" w:rsidRDefault="00AE683F" w:rsidP="006464FB">
                      <w:pPr>
                        <w:pStyle w:val="PulloutText"/>
                        <w:spacing w:before="60" w:after="60" w:line="240" w:lineRule="atLeast"/>
                      </w:pPr>
                      <w:r w:rsidRPr="00A05983">
                        <w:t xml:space="preserve">Peritonitis rates </w:t>
                      </w:r>
                      <w:r>
                        <w:t>are the</w:t>
                      </w:r>
                      <w:r w:rsidRPr="000F4969">
                        <w:t xml:space="preserve"> principal quality indicator for </w:t>
                      </w:r>
                      <w:r w:rsidRPr="00DF7280">
                        <w:t>peritoneal dialysis</w:t>
                      </w:r>
                      <w:r w:rsidRPr="0005708D">
                        <w:t xml:space="preserve"> </w:t>
                      </w:r>
                      <w:r w:rsidRPr="00A05983">
                        <w:t xml:space="preserve">programs; however, other measures such as technique and patient survival could </w:t>
                      </w:r>
                      <w:r>
                        <w:t xml:space="preserve">also </w:t>
                      </w:r>
                      <w:r w:rsidRPr="000F4969">
                        <w:t>be considered.</w:t>
                      </w:r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62" w:name="_Toc8637246"/>
      <w:r w:rsidR="00F524E2">
        <w:br w:type="page"/>
      </w:r>
    </w:p>
    <w:p w14:paraId="60B203B6" w14:textId="7FF494C7" w:rsidR="00F524E2" w:rsidRPr="002729C7" w:rsidRDefault="002729C7">
      <w:pPr>
        <w:pStyle w:val="Heading1"/>
        <w:framePr w:wrap="around"/>
      </w:pPr>
      <w:bookmarkStart w:id="63" w:name="_Toc17103962"/>
      <w:r w:rsidRPr="0005708D">
        <w:lastRenderedPageBreak/>
        <w:t>Key performance indicator 5</w:t>
      </w:r>
      <w:bookmarkEnd w:id="63"/>
    </w:p>
    <w:bookmarkEnd w:id="62"/>
    <w:p w14:paraId="3B3683D9" w14:textId="04DABFD0" w:rsidR="00C10A40" w:rsidRPr="002729C7" w:rsidRDefault="00C10A40">
      <w:pPr>
        <w:pStyle w:val="Heading3"/>
      </w:pPr>
      <w:r w:rsidRPr="002729C7">
        <w:t>Proportion of new live donor transplants that are pre-emptive</w:t>
      </w:r>
    </w:p>
    <w:p w14:paraId="5558C57C" w14:textId="4CBE8C99" w:rsidR="002729C7" w:rsidRPr="00B1282F" w:rsidRDefault="002729C7" w:rsidP="00343A2D">
      <w:pPr>
        <w:pStyle w:val="Normalfollowingheading"/>
      </w:pPr>
      <w:r w:rsidRPr="00564975">
        <w:t xml:space="preserve">Kidney transplantation </w:t>
      </w:r>
      <w:r w:rsidR="003277E4">
        <w:t>is</w:t>
      </w:r>
      <w:r w:rsidRPr="000F4969">
        <w:t xml:space="preserve"> the optimal form of RRT for ESKD.</w:t>
      </w:r>
      <w:r w:rsidR="003277E4">
        <w:t xml:space="preserve"> </w:t>
      </w:r>
      <w:r w:rsidRPr="0005708D">
        <w:t>Live do</w:t>
      </w:r>
      <w:r w:rsidRPr="00564975">
        <w:t>nor (related or unrelated) transplantation currently represents about 40 per cent of all transplants and offers excellent patient and transpl</w:t>
      </w:r>
      <w:r w:rsidRPr="00B1282F">
        <w:t>ant outcomes.</w:t>
      </w:r>
    </w:p>
    <w:p w14:paraId="28E32430" w14:textId="4524A5D2" w:rsidR="002729C7" w:rsidRPr="0005708D" w:rsidRDefault="002729C7" w:rsidP="00343A2D">
      <w:r w:rsidRPr="00F35A12">
        <w:t>Timeliness of live donor transplantation potentially avoids prolonged periods of dialysis, which carries increased risk of morbidity and significant cost.</w:t>
      </w:r>
      <w:r w:rsidR="00DB6E2B">
        <w:t xml:space="preserve"> </w:t>
      </w:r>
      <w:r w:rsidRPr="0005708D">
        <w:t>In many instances, the timing of live donor transplantation can be such that dialysis can be completely avoided (pre-emptive transplantation).</w:t>
      </w:r>
    </w:p>
    <w:p w14:paraId="2CF00F65" w14:textId="183F6AD4" w:rsidR="002729C7" w:rsidRPr="00B1282F" w:rsidRDefault="002729C7" w:rsidP="00343A2D">
      <w:r w:rsidRPr="00564975">
        <w:t xml:space="preserve">Pre-emptive transplantation is associated with better post-transplant </w:t>
      </w:r>
      <w:r w:rsidR="00437585">
        <w:t>kidney</w:t>
      </w:r>
      <w:r w:rsidRPr="00564975">
        <w:t xml:space="preserve"> function, rejection rates, graft survival and reduced costs of treatment of ESKD, and earlier return to work for the patien</w:t>
      </w:r>
      <w:r w:rsidRPr="00B1282F">
        <w:t>t.</w:t>
      </w:r>
    </w:p>
    <w:p w14:paraId="2FD9A8BA" w14:textId="77777777" w:rsidR="00141B91" w:rsidRDefault="002729C7" w:rsidP="00141B91">
      <w:r w:rsidRPr="002729C7">
        <w:t>The quality and efficiency of a live donor program can be measured in part by the proportion of live donor transplants that are pre-emptive.</w:t>
      </w:r>
    </w:p>
    <w:p w14:paraId="60CCBD24" w14:textId="667A89E3" w:rsidR="002729C7" w:rsidRPr="00343A2D" w:rsidRDefault="002729C7">
      <w:pPr>
        <w:pStyle w:val="Heading2"/>
      </w:pPr>
      <w:r w:rsidRPr="00343A2D">
        <w:t>Current definition and targets</w:t>
      </w:r>
    </w:p>
    <w:p w14:paraId="356CE8B6" w14:textId="64D56D87" w:rsidR="00C10A40" w:rsidRPr="00F35A12" w:rsidRDefault="00C10A40" w:rsidP="0054741F">
      <w:pPr>
        <w:pStyle w:val="Normalfollowingheading"/>
      </w:pPr>
      <w:r w:rsidRPr="00343A2D">
        <w:rPr>
          <w:rFonts w:ascii="VIC SemiBold" w:hAnsi="VIC SemiBold"/>
        </w:rPr>
        <w:t>Target</w:t>
      </w:r>
      <w:r w:rsidRPr="00F35A12">
        <w:t xml:space="preserve">: 40 </w:t>
      </w:r>
      <w:r w:rsidR="007C3AD3" w:rsidRPr="00F35A12">
        <w:t>per cent</w:t>
      </w:r>
      <w:r w:rsidRPr="002729C7">
        <w:t xml:space="preserve"> of new live donor transplants are pre-emptive</w:t>
      </w:r>
      <w:r w:rsidR="0054741F">
        <w:t>.</w:t>
      </w:r>
    </w:p>
    <w:p w14:paraId="2E284F88" w14:textId="293955D9" w:rsidR="00C10A40" w:rsidRPr="00F35A12" w:rsidRDefault="00C10A40" w:rsidP="0054741F">
      <w:r w:rsidRPr="00343A2D">
        <w:rPr>
          <w:rFonts w:ascii="VIC SemiBold" w:hAnsi="VIC SemiBold"/>
        </w:rPr>
        <w:t>New patients</w:t>
      </w:r>
      <w:r w:rsidRPr="00F35A12">
        <w:t xml:space="preserve">: </w:t>
      </w:r>
      <w:r w:rsidR="0054741F">
        <w:t>P</w:t>
      </w:r>
      <w:r w:rsidRPr="00F35A12">
        <w:t>atients new to ESKD (not previously had a transplant)</w:t>
      </w:r>
      <w:r w:rsidR="0054741F">
        <w:t>.</w:t>
      </w:r>
    </w:p>
    <w:p w14:paraId="5B7FDDD6" w14:textId="44624B63" w:rsidR="00C10A40" w:rsidRPr="00F35A12" w:rsidRDefault="00C10A40" w:rsidP="0054741F">
      <w:r w:rsidRPr="00343A2D">
        <w:rPr>
          <w:rFonts w:ascii="VIC SemiBold" w:hAnsi="VIC SemiBold"/>
        </w:rPr>
        <w:t>Pre-emptive transplant</w:t>
      </w:r>
      <w:r w:rsidRPr="00F35A12">
        <w:t>: patients who are transplanted requiring no or under two weeks of dialysis</w:t>
      </w:r>
    </w:p>
    <w:p w14:paraId="536E34E1" w14:textId="431808D3" w:rsidR="00C10A40" w:rsidRPr="00F35A12" w:rsidRDefault="00C10A40" w:rsidP="0054741F">
      <w:r w:rsidRPr="00343A2D">
        <w:rPr>
          <w:rFonts w:ascii="VIC SemiBold" w:hAnsi="VIC SemiBold"/>
        </w:rPr>
        <w:t>Exclusions</w:t>
      </w:r>
      <w:r w:rsidRPr="00F35A12">
        <w:t>:</w:t>
      </w:r>
    </w:p>
    <w:p w14:paraId="45EF8949" w14:textId="705E9B73" w:rsidR="00C10A40" w:rsidRPr="00343A2D" w:rsidRDefault="00B23FFD" w:rsidP="0054741F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</w:t>
      </w:r>
      <w:r w:rsidR="00C10A40" w:rsidRPr="00343A2D">
        <w:rPr>
          <w:rFonts w:ascii="VIC" w:hAnsi="VIC"/>
        </w:rPr>
        <w:t>atients with a failed transplant recommencing RRT</w:t>
      </w:r>
      <w:r w:rsidR="0054741F" w:rsidRPr="0054741F">
        <w:rPr>
          <w:rFonts w:ascii="VIC" w:hAnsi="VIC"/>
        </w:rPr>
        <w:t>.</w:t>
      </w:r>
    </w:p>
    <w:p w14:paraId="11727E6E" w14:textId="57B19184" w:rsidR="00C10A40" w:rsidRPr="00343A2D" w:rsidRDefault="00B23FFD" w:rsidP="0054741F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</w:t>
      </w:r>
      <w:r w:rsidR="00C10A40" w:rsidRPr="00343A2D">
        <w:rPr>
          <w:rFonts w:ascii="VIC" w:hAnsi="VIC"/>
        </w:rPr>
        <w:t>atients having a combined organ transplant</w:t>
      </w:r>
      <w:r w:rsidR="009A033A" w:rsidRPr="0054741F">
        <w:rPr>
          <w:rFonts w:ascii="VIC" w:hAnsi="VIC"/>
        </w:rPr>
        <w:t>.</w:t>
      </w:r>
    </w:p>
    <w:p w14:paraId="35FB2802" w14:textId="0B8B5CBD" w:rsidR="006B0DA8" w:rsidRPr="006B0DA8" w:rsidRDefault="00C10A40" w:rsidP="006B0DA8">
      <w:pPr>
        <w:pStyle w:val="Heading2"/>
      </w:pPr>
      <w:bookmarkStart w:id="64" w:name="_Toc8637248"/>
      <w:bookmarkStart w:id="65" w:name="_Toc10460697"/>
      <w:r w:rsidRPr="003277E4">
        <w:t>Assessment</w:t>
      </w:r>
      <w:bookmarkEnd w:id="64"/>
      <w:bookmarkEnd w:id="65"/>
    </w:p>
    <w:p w14:paraId="5101D39D" w14:textId="271C545A" w:rsidR="00DD3BDB" w:rsidRPr="00DD3BDB" w:rsidRDefault="00DD3BDB" w:rsidP="000A1146">
      <w:pPr>
        <w:pStyle w:val="Heading3"/>
      </w:pPr>
      <w:r>
        <w:t>Assessment of KPI evidence</w:t>
      </w:r>
    </w:p>
    <w:p w14:paraId="352B314F" w14:textId="77777777" w:rsidR="00C10A40" w:rsidRPr="00564975" w:rsidRDefault="00C10A40" w:rsidP="00343A2D">
      <w:pPr>
        <w:pStyle w:val="Normalfollowingheading"/>
      </w:pPr>
      <w:r w:rsidRPr="00564975">
        <w:t>Access to kidney transplantation is an important quality goal for ESKD treatment programs.</w:t>
      </w:r>
    </w:p>
    <w:p w14:paraId="550F851B" w14:textId="6ABB393C" w:rsidR="00C10A40" w:rsidRPr="00F35A12" w:rsidRDefault="00C10A40" w:rsidP="00343A2D">
      <w:r w:rsidRPr="00B1282F">
        <w:t xml:space="preserve">Live donor kidney transplantation </w:t>
      </w:r>
      <w:r w:rsidR="00D55CB3">
        <w:t>has better rates of</w:t>
      </w:r>
      <w:r w:rsidRPr="000F4969">
        <w:t xml:space="preserve"> patient and graft survival compared </w:t>
      </w:r>
      <w:r w:rsidR="00626902" w:rsidRPr="0005708D">
        <w:t xml:space="preserve">with </w:t>
      </w:r>
      <w:r w:rsidRPr="00564975">
        <w:t>deceased donor kidney transplantation</w:t>
      </w:r>
      <w:r w:rsidR="00626902" w:rsidRPr="00B1282F">
        <w:t>.</w:t>
      </w:r>
      <w:r w:rsidRPr="00F35A12">
        <w:rPr>
          <w:vertAlign w:val="superscript"/>
        </w:rPr>
        <w:t>30</w:t>
      </w:r>
    </w:p>
    <w:p w14:paraId="6C6AC72E" w14:textId="7D0BAF34" w:rsidR="00C10A40" w:rsidRPr="000F4969" w:rsidRDefault="00C10A40" w:rsidP="00343A2D">
      <w:r w:rsidRPr="00343A2D">
        <w:t>International rates of pre-emptive live donor kidney transplantation range from 22</w:t>
      </w:r>
      <w:r w:rsidR="00BB5300" w:rsidRPr="00343A2D">
        <w:t xml:space="preserve"> to </w:t>
      </w:r>
      <w:r w:rsidRPr="00343A2D">
        <w:t>42</w:t>
      </w:r>
      <w:r w:rsidR="003308F2" w:rsidRPr="00343A2D">
        <w:t xml:space="preserve"> per cent</w:t>
      </w:r>
      <w:r w:rsidR="00626902" w:rsidRPr="00343A2D">
        <w:t>.</w:t>
      </w:r>
      <w:r w:rsidRPr="00343A2D">
        <w:rPr>
          <w:vertAlign w:val="superscript"/>
        </w:rPr>
        <w:t>30</w:t>
      </w:r>
      <w:r w:rsidR="00626902" w:rsidRPr="00343A2D">
        <w:rPr>
          <w:vertAlign w:val="superscript"/>
        </w:rPr>
        <w:t>–</w:t>
      </w:r>
      <w:r w:rsidRPr="00343A2D">
        <w:rPr>
          <w:vertAlign w:val="superscript"/>
        </w:rPr>
        <w:t>34</w:t>
      </w:r>
      <w:r w:rsidR="00967810">
        <w:t xml:space="preserve"> </w:t>
      </w:r>
      <w:r w:rsidRPr="0005708D">
        <w:t xml:space="preserve">The </w:t>
      </w:r>
      <w:r w:rsidR="00564975">
        <w:t>Renal Clinical Network</w:t>
      </w:r>
      <w:r w:rsidRPr="0005708D">
        <w:t xml:space="preserve"> initially targeted 20</w:t>
      </w:r>
      <w:r w:rsidR="003308F2" w:rsidRPr="00564975">
        <w:t xml:space="preserve"> per cent</w:t>
      </w:r>
      <w:r w:rsidRPr="00B1282F">
        <w:t xml:space="preserve"> for KPI</w:t>
      </w:r>
      <w:r w:rsidR="001C1AEB">
        <w:t xml:space="preserve"> </w:t>
      </w:r>
      <w:r w:rsidRPr="0005708D">
        <w:t>5, with a subsequent increase to 40</w:t>
      </w:r>
      <w:r w:rsidR="0086046C" w:rsidRPr="00564975">
        <w:t xml:space="preserve"> per cent</w:t>
      </w:r>
      <w:r w:rsidRPr="00B1282F">
        <w:t xml:space="preserve"> based on </w:t>
      </w:r>
      <w:r w:rsidR="001C1AEB">
        <w:t>performance</w:t>
      </w:r>
      <w:r w:rsidRPr="000F4969">
        <w:t>.</w:t>
      </w:r>
    </w:p>
    <w:p w14:paraId="51314AB4" w14:textId="444D67E9" w:rsidR="00C10A40" w:rsidRPr="00343A2D" w:rsidRDefault="00C10A40" w:rsidP="00343A2D">
      <w:r w:rsidRPr="0005708D">
        <w:t>Internationally, the proportion of RRT patients whose first treatment modality is a pre-emptive kidney transplant ranges from 2.5</w:t>
      </w:r>
      <w:r w:rsidR="00BB5300" w:rsidRPr="00564975">
        <w:t xml:space="preserve"> to </w:t>
      </w:r>
      <w:r w:rsidRPr="00B1282F">
        <w:t>4.3</w:t>
      </w:r>
      <w:r w:rsidR="003308F2" w:rsidRPr="00F35A12">
        <w:t xml:space="preserve"> per cent</w:t>
      </w:r>
      <w:r w:rsidR="00626902" w:rsidRPr="00343A2D">
        <w:t>.</w:t>
      </w:r>
      <w:r w:rsidRPr="00343A2D">
        <w:rPr>
          <w:vertAlign w:val="superscript"/>
        </w:rPr>
        <w:t>30,31,33,34</w:t>
      </w:r>
      <w:r w:rsidR="001C1AEB">
        <w:t xml:space="preserve"> </w:t>
      </w:r>
      <w:r w:rsidRPr="0005708D">
        <w:t xml:space="preserve">Studies showing </w:t>
      </w:r>
      <w:r w:rsidR="00BB5300" w:rsidRPr="00564975">
        <w:t xml:space="preserve">the </w:t>
      </w:r>
      <w:r w:rsidRPr="00B1282F">
        <w:t>benefits of pre-emptive kidney transplantation may be limited by observational and selection bias</w:t>
      </w:r>
      <w:r w:rsidR="00626902" w:rsidRPr="00F35A12">
        <w:t>.</w:t>
      </w:r>
      <w:r w:rsidRPr="00F35A12">
        <w:rPr>
          <w:vertAlign w:val="superscript"/>
        </w:rPr>
        <w:t>35,36</w:t>
      </w:r>
    </w:p>
    <w:p w14:paraId="6B0BCB2E" w14:textId="4E8C8EE5" w:rsidR="00C10A40" w:rsidRPr="00343A2D" w:rsidRDefault="00C10A40" w:rsidP="00343A2D">
      <w:pPr>
        <w:rPr>
          <w:lang w:val="en-US"/>
        </w:rPr>
      </w:pPr>
      <w:r w:rsidRPr="00343A2D">
        <w:t xml:space="preserve">Live donor kidney transplants performed within the first </w:t>
      </w:r>
      <w:r w:rsidR="008F4A7B" w:rsidRPr="00343A2D">
        <w:t xml:space="preserve">six to </w:t>
      </w:r>
      <w:r w:rsidRPr="00343A2D">
        <w:t xml:space="preserve">12 months of </w:t>
      </w:r>
      <w:r w:rsidR="00B712F3" w:rsidRPr="00B712F3">
        <w:rPr>
          <w:szCs w:val="18"/>
        </w:rPr>
        <w:t>haemodialysis</w:t>
      </w:r>
      <w:r w:rsidR="00A24EB4" w:rsidRPr="00B1282F">
        <w:t xml:space="preserve"> </w:t>
      </w:r>
      <w:r w:rsidRPr="00F35A12">
        <w:t xml:space="preserve">also achieve excellent patient and graft survival, </w:t>
      </w:r>
      <w:r w:rsidR="00BB5300" w:rsidRPr="00343A2D">
        <w:t xml:space="preserve">which is </w:t>
      </w:r>
      <w:r w:rsidRPr="00343A2D">
        <w:t>only slightly inferior to pre-emptive kidney transplantation</w:t>
      </w:r>
      <w:r w:rsidR="00626902" w:rsidRPr="00343A2D">
        <w:t>.</w:t>
      </w:r>
      <w:r w:rsidRPr="00343A2D">
        <w:rPr>
          <w:vertAlign w:val="superscript"/>
        </w:rPr>
        <w:t>31,37,38</w:t>
      </w:r>
    </w:p>
    <w:p w14:paraId="3E7EA437" w14:textId="68981F99" w:rsidR="00C10A40" w:rsidRPr="00F35A12" w:rsidRDefault="00C10A40" w:rsidP="00343A2D">
      <w:r w:rsidRPr="00343A2D">
        <w:lastRenderedPageBreak/>
        <w:t>Improved performance in KPI</w:t>
      </w:r>
      <w:r w:rsidR="001C1AEB">
        <w:t xml:space="preserve"> </w:t>
      </w:r>
      <w:r w:rsidRPr="0005708D">
        <w:t>5 could potentially be indirectly achieved by reduc</w:t>
      </w:r>
      <w:r w:rsidR="00BB5300" w:rsidRPr="00564975">
        <w:t>ing the</w:t>
      </w:r>
      <w:r w:rsidRPr="00B1282F">
        <w:t xml:space="preserve"> number of live donor transplants, rather than an increase in the numbe</w:t>
      </w:r>
      <w:r w:rsidRPr="00F35A12">
        <w:t>r of pre-emptive live donor transplants.</w:t>
      </w:r>
    </w:p>
    <w:p w14:paraId="7BEACB76" w14:textId="5794B069" w:rsidR="00141B91" w:rsidRDefault="00C10A40" w:rsidP="00343A2D">
      <w:r w:rsidRPr="00343A2D">
        <w:t>KPI</w:t>
      </w:r>
      <w:r w:rsidR="001C1AEB">
        <w:t xml:space="preserve"> </w:t>
      </w:r>
      <w:r w:rsidRPr="0005708D">
        <w:t>5 performance might be inadvertently negatively affect</w:t>
      </w:r>
      <w:r w:rsidRPr="00564975">
        <w:t>ed by increased use of the Australian Paired Kidney Exchange Program (AKX), if transplant services prioritise benefits of improved immunologi</w:t>
      </w:r>
      <w:r w:rsidRPr="00B1282F">
        <w:t>cal compatibili</w:t>
      </w:r>
      <w:r w:rsidRPr="00F35A12">
        <w:t>ty achieved by AKX over earlier direct live donor transplantation.</w:t>
      </w:r>
    </w:p>
    <w:p w14:paraId="0C0AE9E0" w14:textId="17842A7C" w:rsidR="00C10A40" w:rsidRPr="000F4969" w:rsidRDefault="00C10A40" w:rsidP="00343A2D">
      <w:r w:rsidRPr="000F4969">
        <w:t>KPI</w:t>
      </w:r>
      <w:r w:rsidR="001C1AEB">
        <w:t xml:space="preserve"> </w:t>
      </w:r>
      <w:r w:rsidRPr="0005708D">
        <w:t>5 is not included in the CK</w:t>
      </w:r>
      <w:r w:rsidRPr="00564975">
        <w:t xml:space="preserve">D ICHOM </w:t>
      </w:r>
      <w:r w:rsidR="00BB5300" w:rsidRPr="00B1282F">
        <w:t>s</w:t>
      </w:r>
      <w:r w:rsidRPr="00F35A12">
        <w:t xml:space="preserve">tandard </w:t>
      </w:r>
      <w:r w:rsidR="00BB5300" w:rsidRPr="00F35A12">
        <w:t>s</w:t>
      </w:r>
      <w:r w:rsidRPr="00343A2D">
        <w:t>et as a tier-1 (essential) or important (tier-2) outcome measure.</w:t>
      </w:r>
      <w:r w:rsidR="001C1AEB">
        <w:t xml:space="preserve"> </w:t>
      </w:r>
      <w:r w:rsidRPr="0005708D">
        <w:t>KPI</w:t>
      </w:r>
      <w:r w:rsidR="001C1AEB">
        <w:t xml:space="preserve"> </w:t>
      </w:r>
      <w:r w:rsidRPr="0005708D">
        <w:t>5 does not directly function as a safety (</w:t>
      </w:r>
      <w:r w:rsidR="001C1AEB">
        <w:t>quality assurance</w:t>
      </w:r>
      <w:r w:rsidRPr="000F4969">
        <w:t>) indicator.</w:t>
      </w:r>
    </w:p>
    <w:p w14:paraId="19BAF47E" w14:textId="445E8CC5" w:rsidR="00C10A40" w:rsidRPr="00564975" w:rsidRDefault="00C10A40" w:rsidP="00343A2D">
      <w:r w:rsidRPr="0005708D">
        <w:t>Overall, the quality of the evidence underpinning KPI</w:t>
      </w:r>
      <w:r w:rsidR="001C1AEB">
        <w:t xml:space="preserve"> </w:t>
      </w:r>
      <w:r w:rsidRPr="0005708D">
        <w:t>5 was assessed as moderate (</w:t>
      </w:r>
      <w:r w:rsidRPr="006464FB">
        <w:rPr>
          <w:b/>
        </w:rPr>
        <w:t>Appendix 3</w:t>
      </w:r>
      <w:r w:rsidRPr="00564975">
        <w:t>).</w:t>
      </w:r>
    </w:p>
    <w:p w14:paraId="34424F81" w14:textId="7A4B4478" w:rsidR="00C10A40" w:rsidRPr="003277E4" w:rsidRDefault="00C10A40" w:rsidP="00BB6413">
      <w:pPr>
        <w:pStyle w:val="Heading3"/>
      </w:pPr>
      <w:bookmarkStart w:id="66" w:name="_Toc8637249"/>
      <w:bookmarkStart w:id="67" w:name="_Toc10460698"/>
      <w:r w:rsidRPr="00BB6413">
        <w:t xml:space="preserve">Potential </w:t>
      </w:r>
      <w:r w:rsidR="00F34043" w:rsidRPr="000F4969">
        <w:t>r</w:t>
      </w:r>
      <w:r w:rsidRPr="0005708D">
        <w:t xml:space="preserve">easons for </w:t>
      </w:r>
      <w:r w:rsidR="00F34043" w:rsidRPr="003277E4">
        <w:t>v</w:t>
      </w:r>
      <w:r w:rsidRPr="003277E4">
        <w:t xml:space="preserve">ariation </w:t>
      </w:r>
      <w:r w:rsidR="00F34043" w:rsidRPr="003277E4">
        <w:t>b</w:t>
      </w:r>
      <w:r w:rsidRPr="003277E4">
        <w:t xml:space="preserve">etween </w:t>
      </w:r>
      <w:r w:rsidR="00F34043" w:rsidRPr="003277E4">
        <w:t>s</w:t>
      </w:r>
      <w:r w:rsidRPr="003277E4">
        <w:t>ervices</w:t>
      </w:r>
      <w:bookmarkEnd w:id="66"/>
      <w:bookmarkEnd w:id="67"/>
    </w:p>
    <w:p w14:paraId="6EF0D782" w14:textId="5083EE97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Timely access to relevant services</w:t>
      </w:r>
      <w:r w:rsidR="006464FB">
        <w:rPr>
          <w:rFonts w:ascii="VIC" w:hAnsi="VIC"/>
        </w:rPr>
        <w:t>.</w:t>
      </w:r>
    </w:p>
    <w:p w14:paraId="288899A7" w14:textId="6C1966D5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Appropriate education of patients and potential donors</w:t>
      </w:r>
      <w:r w:rsidR="006464FB">
        <w:rPr>
          <w:rFonts w:ascii="VIC" w:hAnsi="VIC"/>
        </w:rPr>
        <w:t>.</w:t>
      </w:r>
    </w:p>
    <w:p w14:paraId="1B7B6639" w14:textId="7064F50A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Physician attitudes</w:t>
      </w:r>
      <w:r w:rsidR="006464FB">
        <w:rPr>
          <w:rFonts w:ascii="VIC" w:hAnsi="VIC"/>
        </w:rPr>
        <w:t>.</w:t>
      </w:r>
    </w:p>
    <w:p w14:paraId="680D6847" w14:textId="258AF04B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Substantial variation in rates of live donor transplants</w:t>
      </w:r>
      <w:r w:rsidR="006464FB">
        <w:rPr>
          <w:rFonts w:ascii="VIC" w:hAnsi="VIC"/>
        </w:rPr>
        <w:t>.</w:t>
      </w:r>
    </w:p>
    <w:p w14:paraId="24BA2DC7" w14:textId="58F4442B" w:rsidR="00C10A40" w:rsidRPr="00F35A12" w:rsidRDefault="00C10A40" w:rsidP="00343A2D">
      <w:pPr>
        <w:pStyle w:val="Normalfollowingheading"/>
      </w:pPr>
      <w:r w:rsidRPr="00564975">
        <w:t xml:space="preserve">A significant </w:t>
      </w:r>
      <w:r w:rsidR="001C1AEB">
        <w:t>reason for</w:t>
      </w:r>
      <w:r w:rsidRPr="000F4969">
        <w:t xml:space="preserve"> variation in</w:t>
      </w:r>
      <w:r w:rsidR="001C1AEB">
        <w:t xml:space="preserve"> KPI 5</w:t>
      </w:r>
      <w:r w:rsidRPr="000F4969">
        <w:t xml:space="preserve"> performance </w:t>
      </w:r>
      <w:r w:rsidRPr="00F35A12">
        <w:t>is the small numbers of applicable patients in many services</w:t>
      </w:r>
      <w:r w:rsidR="00DB4349" w:rsidRPr="00343A2D">
        <w:t>.</w:t>
      </w:r>
      <w:r w:rsidR="00A81A9B" w:rsidRPr="00343A2D">
        <w:t xml:space="preserve"> </w:t>
      </w:r>
      <w:r w:rsidR="00DB4349" w:rsidRPr="00343A2D">
        <w:t>F</w:t>
      </w:r>
      <w:r w:rsidRPr="00343A2D">
        <w:t>or example</w:t>
      </w:r>
      <w:r w:rsidR="00C05829" w:rsidRPr="00343A2D">
        <w:t>,</w:t>
      </w:r>
      <w:r w:rsidRPr="00343A2D">
        <w:t xml:space="preserve"> </w:t>
      </w:r>
      <w:r w:rsidR="00D014D1" w:rsidRPr="00343A2D">
        <w:t xml:space="preserve">the </w:t>
      </w:r>
      <w:r w:rsidRPr="00343A2D">
        <w:t xml:space="preserve">KPI Q1 2018 report range is </w:t>
      </w:r>
      <w:r w:rsidR="008F4A7B" w:rsidRPr="00343A2D">
        <w:t xml:space="preserve">between two and </w:t>
      </w:r>
      <w:r w:rsidRPr="00343A2D">
        <w:t xml:space="preserve">26 applicable patients in the service, with eight of </w:t>
      </w:r>
      <w:r w:rsidR="008F4A7B" w:rsidRPr="00343A2D">
        <w:t xml:space="preserve">10 </w:t>
      </w:r>
      <w:r w:rsidRPr="00343A2D">
        <w:t xml:space="preserve">hubs reporting fewer than </w:t>
      </w:r>
      <w:r w:rsidR="008F4A7B" w:rsidRPr="00343A2D">
        <w:t xml:space="preserve">10 </w:t>
      </w:r>
      <w:r w:rsidRPr="00343A2D">
        <w:t>applicable patients. These low numbers contribute to wide variability between services, and within services</w:t>
      </w:r>
      <w:r w:rsidR="004027A8" w:rsidRPr="00343A2D">
        <w:t>,</w:t>
      </w:r>
      <w:r w:rsidRPr="00343A2D">
        <w:t xml:space="preserve"> from year to year. This variability and low numbers have a negative impact on the reliability of the indicator as a measure of actual performance. This large data variability negatively affects the capacity of the data measurement to accurately reflect actual performance (</w:t>
      </w:r>
      <w:r w:rsidRPr="00343A2D">
        <w:rPr>
          <w:b/>
        </w:rPr>
        <w:t>Appendix 3</w:t>
      </w:r>
      <w:r w:rsidRPr="00F35A12">
        <w:t>).</w:t>
      </w:r>
    </w:p>
    <w:p w14:paraId="157AEC8F" w14:textId="2DE7FF76" w:rsidR="00C10A40" w:rsidRPr="00564975" w:rsidRDefault="00C10A40" w:rsidP="00343A2D">
      <w:r w:rsidRPr="00343A2D">
        <w:rPr>
          <w:lang w:val="en-US"/>
        </w:rPr>
        <w:t>Social disadvantage reduces living donor transplantation and pre-emptive (living) transplantation in Australia</w:t>
      </w:r>
      <w:r w:rsidR="008F4A7B" w:rsidRPr="00343A2D">
        <w:rPr>
          <w:lang w:val="en-US"/>
        </w:rPr>
        <w:t>.</w:t>
      </w:r>
      <w:r w:rsidRPr="00343A2D">
        <w:rPr>
          <w:vertAlign w:val="superscript"/>
          <w:lang w:val="en-US"/>
        </w:rPr>
        <w:t>39</w:t>
      </w:r>
      <w:r w:rsidRPr="00343A2D">
        <w:rPr>
          <w:lang w:val="en-US"/>
        </w:rPr>
        <w:t xml:space="preserve"> Services with a higher burden of social disadvantage may have more difficulty in achieving KPI</w:t>
      </w:r>
      <w:r w:rsidR="001C1AEB">
        <w:rPr>
          <w:lang w:val="en-US"/>
        </w:rPr>
        <w:t xml:space="preserve"> </w:t>
      </w:r>
      <w:r w:rsidRPr="0005708D">
        <w:rPr>
          <w:lang w:val="en-US"/>
        </w:rPr>
        <w:t>5.</w:t>
      </w:r>
    </w:p>
    <w:p w14:paraId="27D1E572" w14:textId="3840238A" w:rsidR="00C10A40" w:rsidRPr="0005708D" w:rsidRDefault="00C10A40" w:rsidP="00BB6413">
      <w:pPr>
        <w:pStyle w:val="Heading3"/>
      </w:pPr>
      <w:bookmarkStart w:id="68" w:name="_Toc8637251"/>
      <w:bookmarkStart w:id="69" w:name="_Toc10460700"/>
      <w:r w:rsidRPr="00BB6413">
        <w:t xml:space="preserve">Assessment of </w:t>
      </w:r>
      <w:r w:rsidR="00F34043" w:rsidRPr="000F4969">
        <w:t>p</w:t>
      </w:r>
      <w:r w:rsidRPr="0005708D">
        <w:t>erformance</w:t>
      </w:r>
      <w:bookmarkEnd w:id="68"/>
      <w:bookmarkEnd w:id="69"/>
    </w:p>
    <w:p w14:paraId="7BFC504C" w14:textId="587DE913" w:rsidR="00FA50FA" w:rsidRDefault="00FA50FA" w:rsidP="00343A2D">
      <w:pPr>
        <w:pStyle w:val="Normalfollowingheading"/>
        <w:spacing w:after="120"/>
      </w:pPr>
      <w:proofErr w:type="spellStart"/>
      <w:r>
        <w:t>Statewide</w:t>
      </w:r>
      <w:proofErr w:type="spellEnd"/>
      <w:r>
        <w:t xml:space="preserve"> results have varied</w:t>
      </w:r>
      <w:r w:rsidR="00C10A40" w:rsidRPr="000F4969">
        <w:t xml:space="preserve"> with a trend to improvement in the state average </w:t>
      </w:r>
      <w:r w:rsidR="00D746C6" w:rsidRPr="00564975">
        <w:t xml:space="preserve">between </w:t>
      </w:r>
      <w:r w:rsidR="00C10A40" w:rsidRPr="00B1282F">
        <w:t>2012</w:t>
      </w:r>
      <w:r w:rsidR="00D746C6" w:rsidRPr="00F35A12">
        <w:t xml:space="preserve"> and 20</w:t>
      </w:r>
      <w:r w:rsidR="00C10A40" w:rsidRPr="00F35A12">
        <w:t>18</w:t>
      </w:r>
      <w:r w:rsidR="008D2E9C">
        <w:t>.</w:t>
      </w:r>
      <w:r w:rsidR="00C10A40" w:rsidRPr="0005708D">
        <w:t xml:space="preserve"> </w:t>
      </w:r>
      <w:r w:rsidR="008D2E9C">
        <w:t>The</w:t>
      </w:r>
      <w:r w:rsidR="00C10A40" w:rsidRPr="000F4969">
        <w:t xml:space="preserve"> state target </w:t>
      </w:r>
      <w:r>
        <w:t xml:space="preserve">has been </w:t>
      </w:r>
      <w:r w:rsidR="00C10A40" w:rsidRPr="000F4969">
        <w:t>consistently</w:t>
      </w:r>
      <w:r w:rsidR="00C10A40" w:rsidRPr="00564975">
        <w:t xml:space="preserve"> met over the past </w:t>
      </w:r>
      <w:r w:rsidR="00C10A40" w:rsidRPr="0005708D">
        <w:t xml:space="preserve">two years. </w:t>
      </w:r>
    </w:p>
    <w:p w14:paraId="0284341A" w14:textId="77777777" w:rsidR="00FA50FA" w:rsidRDefault="00D746C6" w:rsidP="00343A2D">
      <w:pPr>
        <w:spacing w:before="120" w:after="120"/>
      </w:pPr>
      <w:r w:rsidRPr="000F4969">
        <w:t>A c</w:t>
      </w:r>
      <w:r w:rsidR="00C10A40" w:rsidRPr="0005708D">
        <w:t>ollaborative includ</w:t>
      </w:r>
      <w:r w:rsidRPr="00564975">
        <w:t>ing</w:t>
      </w:r>
      <w:r w:rsidR="00C10A40" w:rsidRPr="00B1282F">
        <w:t xml:space="preserve"> Austin, Barwon, St Vincent’s, Eastern and Bendigo Health services</w:t>
      </w:r>
      <w:r w:rsidRPr="00F35A12">
        <w:t xml:space="preserve"> has shown the greatest improvement in percentage of live donor transplants that are pre-empti</w:t>
      </w:r>
      <w:r w:rsidRPr="00343A2D">
        <w:t>ve across this time period</w:t>
      </w:r>
      <w:r w:rsidR="00C10A40" w:rsidRPr="00343A2D">
        <w:t xml:space="preserve">. </w:t>
      </w:r>
    </w:p>
    <w:p w14:paraId="3A5C026F" w14:textId="30A6214B" w:rsidR="00C10A40" w:rsidRPr="00F35A12" w:rsidRDefault="00FA50FA" w:rsidP="00343A2D">
      <w:pPr>
        <w:spacing w:before="120" w:after="120"/>
      </w:pPr>
      <w:r>
        <w:t>There is a</w:t>
      </w:r>
      <w:r w:rsidR="00C10A40" w:rsidRPr="000F4969">
        <w:t xml:space="preserve"> high degree of variation between services </w:t>
      </w:r>
      <w:r w:rsidR="00C10A40" w:rsidRPr="0005708D">
        <w:t>and wit</w:t>
      </w:r>
      <w:r w:rsidR="00C10A40" w:rsidRPr="00564975">
        <w:t>hin services from year to year. This variation could be largely explained by the small number of cases contributing to the denominator in man</w:t>
      </w:r>
      <w:r w:rsidR="00C10A40" w:rsidRPr="00B1282F">
        <w:t>y of the servic</w:t>
      </w:r>
      <w:r w:rsidR="00C10A40" w:rsidRPr="00F35A12">
        <w:t>es.</w:t>
      </w:r>
    </w:p>
    <w:p w14:paraId="76D622C1" w14:textId="74517082" w:rsidR="00C10A40" w:rsidRPr="0005708D" w:rsidRDefault="00C10A40" w:rsidP="00343A2D">
      <w:pPr>
        <w:spacing w:before="120" w:after="120"/>
      </w:pPr>
      <w:r w:rsidRPr="00343A2D">
        <w:t>It is unclear to what extent KPI</w:t>
      </w:r>
      <w:r w:rsidR="00FA50FA">
        <w:t xml:space="preserve"> </w:t>
      </w:r>
      <w:r w:rsidRPr="0005708D">
        <w:t xml:space="preserve">5 is currently functioning as a </w:t>
      </w:r>
      <w:r w:rsidR="00FA50FA">
        <w:t>quality improvement</w:t>
      </w:r>
      <w:r w:rsidR="00FA50FA" w:rsidRPr="000F4969">
        <w:t xml:space="preserve"> </w:t>
      </w:r>
      <w:r w:rsidRPr="0005708D">
        <w:t>indicat</w:t>
      </w:r>
      <w:r w:rsidRPr="00564975">
        <w:t>or</w:t>
      </w:r>
      <w:r w:rsidR="00FA50FA">
        <w:t>, or</w:t>
      </w:r>
      <w:r w:rsidRPr="0005708D">
        <w:t xml:space="preserve"> impacting significantly on current practice (</w:t>
      </w:r>
      <w:r w:rsidRPr="006464FB">
        <w:rPr>
          <w:b/>
        </w:rPr>
        <w:t>Appendix 3</w:t>
      </w:r>
      <w:r w:rsidRPr="0005708D">
        <w:t>).</w:t>
      </w:r>
    </w:p>
    <w:p w14:paraId="62600144" w14:textId="45EBCF33" w:rsidR="006464FB" w:rsidRDefault="006464FB" w:rsidP="00C9262C">
      <w:bookmarkStart w:id="70" w:name="_Toc8637252"/>
      <w:bookmarkStart w:id="71" w:name="_Toc10460701"/>
      <w:r>
        <w:rPr>
          <w:noProof/>
        </w:rPr>
        <w:lastRenderedPageBreak/>
        <mc:AlternateContent>
          <mc:Choice Requires="wps">
            <w:drawing>
              <wp:inline distT="0" distB="0" distL="0" distR="0" wp14:anchorId="0278A9A7" wp14:editId="6A112223">
                <wp:extent cx="6464410" cy="1764000"/>
                <wp:effectExtent l="0" t="0" r="12700" b="17780"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410" cy="176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E7F92" w14:textId="77777777" w:rsidR="00AE683F" w:rsidRPr="004D6898" w:rsidRDefault="00AE683F" w:rsidP="006464FB">
                            <w:pPr>
                              <w:pStyle w:val="PulloutHeading"/>
                            </w:pPr>
                            <w:r>
                              <w:t>Recommendations and next steps</w:t>
                            </w:r>
                          </w:p>
                          <w:p w14:paraId="376CD936" w14:textId="65E27C72" w:rsidR="00AE683F" w:rsidRPr="0005708D" w:rsidRDefault="00AE683F" w:rsidP="00343A2D">
                            <w:pPr>
                              <w:pStyle w:val="PulloutText"/>
                            </w:pPr>
                            <w:r>
                              <w:t>Responses to the</w:t>
                            </w:r>
                            <w:r w:rsidRPr="000F4969">
                              <w:t xml:space="preserve"> KPI survey indicated there was </w:t>
                            </w:r>
                            <w:r w:rsidRPr="0005708D">
                              <w:t xml:space="preserve">enough </w:t>
                            </w:r>
                            <w:r w:rsidRPr="00564975">
                              <w:t xml:space="preserve">evidence </w:t>
                            </w:r>
                            <w:r>
                              <w:t xml:space="preserve">to </w:t>
                            </w:r>
                            <w:r w:rsidRPr="000F4969">
                              <w:t>suppor</w:t>
                            </w:r>
                            <w:r>
                              <w:t>t</w:t>
                            </w:r>
                            <w:r w:rsidRPr="0005708D">
                              <w:t xml:space="preserve"> pre-emptive living donatio</w:t>
                            </w:r>
                            <w:r w:rsidRPr="00564975">
                              <w:t>n and that it improves quality of life for recipients (</w:t>
                            </w:r>
                            <w:r w:rsidRPr="006464FB">
                              <w:rPr>
                                <w:b/>
                              </w:rPr>
                              <w:t>Appendix 1</w:t>
                            </w:r>
                            <w:r w:rsidRPr="00564975">
                              <w:t>). Although the majority supported continuation of KPI</w:t>
                            </w:r>
                            <w:r>
                              <w:t xml:space="preserve"> </w:t>
                            </w:r>
                            <w:r w:rsidRPr="0005708D">
                              <w:t>5, many were unsure about an appropriate target.</w:t>
                            </w:r>
                          </w:p>
                          <w:p w14:paraId="65D5B7EB" w14:textId="3DA28304" w:rsidR="00AE683F" w:rsidRPr="0005708D" w:rsidRDefault="00AE683F" w:rsidP="00343A2D">
                            <w:pPr>
                              <w:pStyle w:val="PulloutText"/>
                            </w:pPr>
                            <w:r w:rsidRPr="00564975">
                              <w:t>We r</w:t>
                            </w:r>
                            <w:r w:rsidRPr="00B1282F">
                              <w:t xml:space="preserve">ecommend that </w:t>
                            </w:r>
                            <w:r>
                              <w:t xml:space="preserve">the Renal Clinical Network </w:t>
                            </w:r>
                            <w:r w:rsidRPr="00B1282F">
                              <w:t>retain</w:t>
                            </w:r>
                            <w:r w:rsidRPr="00F35A12">
                              <w:t xml:space="preserve">s access to living donor kidney transplantation as a </w:t>
                            </w:r>
                            <w:r>
                              <w:t>quality improvement</w:t>
                            </w:r>
                            <w:r w:rsidRPr="000F4969">
                              <w:t xml:space="preserve"> </w:t>
                            </w:r>
                            <w:r w:rsidRPr="0005708D">
                              <w:t>goal (see also recommendations for KPI</w:t>
                            </w:r>
                            <w:r>
                              <w:t xml:space="preserve"> </w:t>
                            </w:r>
                            <w:r w:rsidRPr="0005708D">
                              <w:t>6).</w:t>
                            </w:r>
                          </w:p>
                          <w:p w14:paraId="52FDA144" w14:textId="0C5F39C6" w:rsidR="00AE683F" w:rsidRPr="00B1282F" w:rsidRDefault="00AE683F" w:rsidP="00343A2D">
                            <w:pPr>
                              <w:pStyle w:val="PulloutText"/>
                            </w:pPr>
                            <w:r w:rsidRPr="00564975">
                              <w:t>KPI</w:t>
                            </w:r>
                            <w:r>
                              <w:t xml:space="preserve"> </w:t>
                            </w:r>
                            <w:r w:rsidRPr="0005708D">
                              <w:t xml:space="preserve">5 in its current form is significantly limited by its </w:t>
                            </w:r>
                            <w:r w:rsidRPr="00B1282F">
                              <w:t>variability given the low number of live donor transplants performed by many hub services.</w:t>
                            </w:r>
                          </w:p>
                          <w:p w14:paraId="7E9FA84F" w14:textId="4AB079FA" w:rsidR="00AE683F" w:rsidRPr="00B1282F" w:rsidRDefault="00AE683F" w:rsidP="006464FB">
                            <w:pPr>
                              <w:pStyle w:val="PulloutText"/>
                            </w:pPr>
                            <w:r w:rsidRPr="00F35A12">
                              <w:t xml:space="preserve">We recommend </w:t>
                            </w:r>
                            <w:r w:rsidRPr="003277E4">
                              <w:t xml:space="preserve">replacing </w:t>
                            </w:r>
                            <w:r>
                              <w:t xml:space="preserve">KPI 5 </w:t>
                            </w:r>
                            <w:r w:rsidRPr="0005708D">
                              <w:t xml:space="preserve">with </w:t>
                            </w:r>
                            <w:r w:rsidRPr="00564975">
                              <w:t>a new measure of access to live donor kidney transplantation, as detailed in the recommend</w:t>
                            </w:r>
                            <w:r w:rsidRPr="00B1282F">
                              <w:t>ations for KPI</w:t>
                            </w:r>
                            <w:r>
                              <w:t xml:space="preserve"> </w:t>
                            </w:r>
                            <w:r w:rsidRPr="0005708D">
                              <w:t>6.</w:t>
                            </w:r>
                          </w:p>
                        </w:txbxContent>
                      </wps:txbx>
                      <wps:bodyPr rot="0" vert="horz" wrap="square" lIns="180000" tIns="180000" rIns="144000" bIns="36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78A9A7" id="_x0000_s1031" type="#_x0000_t202" style="width:509pt;height:1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" fillcolor="#edf5f7 [3214]" strokecolor="#edf5f7 [3214]" strokeweight=".5pt">
                <v:textbox style="mso-fit-shape-to-text:t" inset="5mm,5mm,4mm,1mm">
                  <w:txbxContent>
                    <w:p w14:paraId="684E7F92" w14:textId="77777777" w:rsidR="00AE683F" w:rsidRPr="004D6898" w:rsidRDefault="00AE683F" w:rsidP="006464FB">
                      <w:pPr>
                        <w:pStyle w:val="PulloutHeading"/>
                      </w:pPr>
                      <w:r>
                        <w:t>Recommendations and next steps</w:t>
                      </w:r>
                    </w:p>
                    <w:p w14:paraId="376CD936" w14:textId="65E27C72" w:rsidR="00AE683F" w:rsidRPr="0005708D" w:rsidRDefault="00AE683F" w:rsidP="00343A2D">
                      <w:pPr>
                        <w:pStyle w:val="PulloutText"/>
                      </w:pPr>
                      <w:r>
                        <w:t>Responses to the</w:t>
                      </w:r>
                      <w:r w:rsidRPr="000F4969">
                        <w:t xml:space="preserve"> KPI survey indicated there was </w:t>
                      </w:r>
                      <w:r w:rsidRPr="0005708D">
                        <w:t xml:space="preserve">enough </w:t>
                      </w:r>
                      <w:r w:rsidRPr="00564975">
                        <w:t xml:space="preserve">evidence </w:t>
                      </w:r>
                      <w:r>
                        <w:t xml:space="preserve">to </w:t>
                      </w:r>
                      <w:r w:rsidRPr="000F4969">
                        <w:t>suppor</w:t>
                      </w:r>
                      <w:r>
                        <w:t>t</w:t>
                      </w:r>
                      <w:r w:rsidRPr="0005708D">
                        <w:t xml:space="preserve"> pre-emptive living donatio</w:t>
                      </w:r>
                      <w:r w:rsidRPr="00564975">
                        <w:t>n and that it improves quality of life for recipients (</w:t>
                      </w:r>
                      <w:r w:rsidRPr="006464FB">
                        <w:rPr>
                          <w:b/>
                        </w:rPr>
                        <w:t>Appendix 1</w:t>
                      </w:r>
                      <w:r w:rsidRPr="00564975">
                        <w:t>). Although the majority supported continuation of KPI</w:t>
                      </w:r>
                      <w:r>
                        <w:t xml:space="preserve"> </w:t>
                      </w:r>
                      <w:r w:rsidRPr="0005708D">
                        <w:t>5, many were unsure about an appropriate target.</w:t>
                      </w:r>
                    </w:p>
                    <w:p w14:paraId="65D5B7EB" w14:textId="3DA28304" w:rsidR="00AE683F" w:rsidRPr="0005708D" w:rsidRDefault="00AE683F" w:rsidP="00343A2D">
                      <w:pPr>
                        <w:pStyle w:val="PulloutText"/>
                      </w:pPr>
                      <w:r w:rsidRPr="00564975">
                        <w:t>We r</w:t>
                      </w:r>
                      <w:r w:rsidRPr="00B1282F">
                        <w:t xml:space="preserve">ecommend that </w:t>
                      </w:r>
                      <w:r>
                        <w:t xml:space="preserve">the Renal Clinical Network </w:t>
                      </w:r>
                      <w:r w:rsidRPr="00B1282F">
                        <w:t>retain</w:t>
                      </w:r>
                      <w:r w:rsidRPr="00F35A12">
                        <w:t xml:space="preserve">s access to living donor kidney transplantation as a </w:t>
                      </w:r>
                      <w:r>
                        <w:t>quality improvement</w:t>
                      </w:r>
                      <w:r w:rsidRPr="000F4969">
                        <w:t xml:space="preserve"> </w:t>
                      </w:r>
                      <w:r w:rsidRPr="0005708D">
                        <w:t>goal (see also recommendations for KPI</w:t>
                      </w:r>
                      <w:r>
                        <w:t xml:space="preserve"> </w:t>
                      </w:r>
                      <w:r w:rsidRPr="0005708D">
                        <w:t>6).</w:t>
                      </w:r>
                    </w:p>
                    <w:p w14:paraId="52FDA144" w14:textId="0C5F39C6" w:rsidR="00AE683F" w:rsidRPr="00B1282F" w:rsidRDefault="00AE683F" w:rsidP="00343A2D">
                      <w:pPr>
                        <w:pStyle w:val="PulloutText"/>
                      </w:pPr>
                      <w:r w:rsidRPr="00564975">
                        <w:t>KPI</w:t>
                      </w:r>
                      <w:r>
                        <w:t xml:space="preserve"> </w:t>
                      </w:r>
                      <w:r w:rsidRPr="0005708D">
                        <w:t xml:space="preserve">5 in its current form is significantly limited by its </w:t>
                      </w:r>
                      <w:r w:rsidRPr="00B1282F">
                        <w:t>variability given the low number of live donor transplants performed by many hub services.</w:t>
                      </w:r>
                    </w:p>
                    <w:p w14:paraId="7E9FA84F" w14:textId="4AB079FA" w:rsidR="00AE683F" w:rsidRPr="00B1282F" w:rsidRDefault="00AE683F" w:rsidP="006464FB">
                      <w:pPr>
                        <w:pStyle w:val="PulloutText"/>
                      </w:pPr>
                      <w:r w:rsidRPr="00F35A12">
                        <w:t xml:space="preserve">We recommend </w:t>
                      </w:r>
                      <w:r w:rsidRPr="003277E4">
                        <w:t xml:space="preserve">replacing </w:t>
                      </w:r>
                      <w:r>
                        <w:t xml:space="preserve">KPI 5 </w:t>
                      </w:r>
                      <w:r w:rsidRPr="0005708D">
                        <w:t xml:space="preserve">with </w:t>
                      </w:r>
                      <w:r w:rsidRPr="00564975">
                        <w:t>a new measure of access to live donor kidney transplantation, as detailed in the recommend</w:t>
                      </w:r>
                      <w:r w:rsidRPr="00B1282F">
                        <w:t>ations for KPI</w:t>
                      </w:r>
                      <w:r>
                        <w:t xml:space="preserve"> </w:t>
                      </w:r>
                      <w:r w:rsidRPr="0005708D">
                        <w:t>6.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70"/>
    <w:bookmarkEnd w:id="71"/>
    <w:p w14:paraId="4BC1B57E" w14:textId="152E5059" w:rsidR="00C10A40" w:rsidRDefault="00F524E2">
      <w:r>
        <w:br w:type="page"/>
      </w:r>
    </w:p>
    <w:p w14:paraId="615C8527" w14:textId="25A86EB9" w:rsidR="0033438E" w:rsidRPr="0005708D" w:rsidRDefault="00DB6E2B">
      <w:pPr>
        <w:pStyle w:val="Heading1"/>
        <w:framePr w:wrap="around"/>
      </w:pPr>
      <w:bookmarkStart w:id="72" w:name="_Toc17103963"/>
      <w:r w:rsidRPr="000F4969">
        <w:lastRenderedPageBreak/>
        <w:t>Key performance indicator 6</w:t>
      </w:r>
      <w:bookmarkEnd w:id="72"/>
    </w:p>
    <w:p w14:paraId="07B909C9" w14:textId="53FC9DBE" w:rsidR="00C10A40" w:rsidRPr="00343A2D" w:rsidRDefault="00C10A40">
      <w:pPr>
        <w:pStyle w:val="Heading3"/>
      </w:pPr>
      <w:r w:rsidRPr="00141B91">
        <w:t>Proportion of new end</w:t>
      </w:r>
      <w:r w:rsidR="00D746C6" w:rsidRPr="00141B91">
        <w:t>-</w:t>
      </w:r>
      <w:r w:rsidRPr="00141B91">
        <w:t xml:space="preserve">stage kidney disease patients under 65 years old who have </w:t>
      </w:r>
      <w:r w:rsidR="00DD2D03" w:rsidRPr="00343A2D">
        <w:t xml:space="preserve">received </w:t>
      </w:r>
      <w:r w:rsidRPr="000F4969">
        <w:t>a transplant or are on the active list</w:t>
      </w:r>
    </w:p>
    <w:p w14:paraId="119E5592" w14:textId="442025EB" w:rsidR="00DB6E2B" w:rsidRPr="0022611A" w:rsidDel="00EB7E18" w:rsidRDefault="00DB6E2B" w:rsidP="00343A2D">
      <w:pPr>
        <w:pStyle w:val="Normalfollowingheading"/>
      </w:pPr>
      <w:r w:rsidRPr="0022611A">
        <w:t xml:space="preserve">For </w:t>
      </w:r>
      <w:r w:rsidR="00533EBC">
        <w:t>patients</w:t>
      </w:r>
      <w:r w:rsidRPr="0022611A">
        <w:t xml:space="preserve"> with ESKD who are medically, surgically and psychologically suitable, early transplantation is the best life-extending treatment option.</w:t>
      </w:r>
      <w:r w:rsidR="00DD2D03">
        <w:t xml:space="preserve"> </w:t>
      </w:r>
      <w:r w:rsidRPr="0022611A" w:rsidDel="00EB7E18">
        <w:t>Increasing time on dialysis is associated with reduced survival</w:t>
      </w:r>
      <w:r w:rsidR="00DD2D03">
        <w:t xml:space="preserve"> and e</w:t>
      </w:r>
      <w:r w:rsidRPr="0022611A" w:rsidDel="00EB7E18">
        <w:t>arly transplantation is associated with increased survival</w:t>
      </w:r>
      <w:r w:rsidRPr="0022611A">
        <w:t>.</w:t>
      </w:r>
    </w:p>
    <w:p w14:paraId="3C24CCDC" w14:textId="205B8609" w:rsidR="00DB6E2B" w:rsidRPr="0022611A" w:rsidRDefault="00DB6E2B" w:rsidP="00343A2D">
      <w:r w:rsidRPr="0022611A">
        <w:t>Early live donor transplantation or timely listing for deceased donor transplantation provides the best chance of reducing time on dialysis.</w:t>
      </w:r>
      <w:r w:rsidR="0044055F">
        <w:t xml:space="preserve"> </w:t>
      </w:r>
      <w:r w:rsidRPr="0022611A">
        <w:t>Significant planning before starting dialysis is required.</w:t>
      </w:r>
    </w:p>
    <w:p w14:paraId="6AD3F2EE" w14:textId="7231BCB1" w:rsidR="00DB6E2B" w:rsidRPr="0022611A" w:rsidRDefault="00DB6E2B" w:rsidP="00343A2D">
      <w:r w:rsidRPr="0022611A">
        <w:t>KPI</w:t>
      </w:r>
      <w:r w:rsidR="0044055F">
        <w:t xml:space="preserve"> </w:t>
      </w:r>
      <w:r w:rsidRPr="0022611A">
        <w:t>6 is a measure of the efficiency of the work-up process and may identify barriers.</w:t>
      </w:r>
    </w:p>
    <w:p w14:paraId="1CAD34E2" w14:textId="7920BFB1" w:rsidR="00DB6E2B" w:rsidRDefault="00DB6E2B" w:rsidP="00343A2D">
      <w:r w:rsidRPr="0022611A">
        <w:t>The target dialysis group for transplantation is those aged 65 years or older.</w:t>
      </w:r>
      <w:r w:rsidR="005243E1">
        <w:t xml:space="preserve"> </w:t>
      </w:r>
      <w:r w:rsidRPr="0022611A">
        <w:t>It is assumed that the percentage of unsuitable patients is similar across all health services (for example, due to obesity, smoking, cardiovascular disease, mental health, non-adherence and malignancy).</w:t>
      </w:r>
    </w:p>
    <w:p w14:paraId="3253B8EF" w14:textId="7CC649D6" w:rsidR="00DB6E2B" w:rsidRPr="00343A2D" w:rsidRDefault="00DB6E2B">
      <w:pPr>
        <w:pStyle w:val="Heading2"/>
      </w:pPr>
      <w:r w:rsidRPr="00BB6413">
        <w:t>Current definition and targets</w:t>
      </w:r>
    </w:p>
    <w:p w14:paraId="60B91DF0" w14:textId="77777777" w:rsidR="00C10A40" w:rsidRPr="00343A2D" w:rsidRDefault="00C10A40" w:rsidP="006464FB">
      <w:pPr>
        <w:pStyle w:val="Normalfollowingheading"/>
        <w:rPr>
          <w:b/>
        </w:rPr>
      </w:pPr>
      <w:r w:rsidRPr="00343A2D">
        <w:rPr>
          <w:b/>
        </w:rPr>
        <w:t>Targets:</w:t>
      </w:r>
    </w:p>
    <w:p w14:paraId="38BE69B0" w14:textId="5A83D57A" w:rsidR="00C10A40" w:rsidRPr="00343A2D" w:rsidRDefault="00C10A40" w:rsidP="006464FB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30</w:t>
      </w:r>
      <w:r w:rsidR="003308F2" w:rsidRPr="00343A2D">
        <w:rPr>
          <w:rFonts w:ascii="VIC" w:hAnsi="VIC"/>
        </w:rPr>
        <w:t xml:space="preserve"> per cent</w:t>
      </w:r>
      <w:r w:rsidRPr="00343A2D">
        <w:rPr>
          <w:rFonts w:ascii="VIC" w:hAnsi="VIC"/>
        </w:rPr>
        <w:t xml:space="preserve"> </w:t>
      </w:r>
      <w:bookmarkStart w:id="73" w:name="_Hlk531609040"/>
      <w:r w:rsidRPr="00343A2D">
        <w:rPr>
          <w:rFonts w:ascii="VIC" w:hAnsi="VIC"/>
        </w:rPr>
        <w:t>of new ESKD patients within three months of requiring RRT</w:t>
      </w:r>
      <w:r w:rsidR="006464FB">
        <w:rPr>
          <w:rFonts w:ascii="VIC" w:hAnsi="VIC"/>
        </w:rPr>
        <w:t>.</w:t>
      </w:r>
    </w:p>
    <w:bookmarkEnd w:id="73"/>
    <w:p w14:paraId="7BE9552F" w14:textId="0CFB77AC" w:rsidR="00C10A40" w:rsidRPr="00343A2D" w:rsidRDefault="00C10A40" w:rsidP="006464FB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40 </w:t>
      </w:r>
      <w:r w:rsidR="003308F2" w:rsidRPr="00343A2D">
        <w:rPr>
          <w:rFonts w:ascii="VIC" w:hAnsi="VIC"/>
        </w:rPr>
        <w:t>per cent</w:t>
      </w:r>
      <w:r w:rsidRPr="00343A2D">
        <w:rPr>
          <w:rFonts w:ascii="VIC" w:hAnsi="VIC"/>
        </w:rPr>
        <w:t xml:space="preserve"> of new ESKD patients within six months of requiring RRT</w:t>
      </w:r>
      <w:r w:rsidR="00564975" w:rsidRPr="006464FB">
        <w:rPr>
          <w:rFonts w:ascii="VIC" w:hAnsi="VIC"/>
        </w:rPr>
        <w:t>.</w:t>
      </w:r>
    </w:p>
    <w:p w14:paraId="4175DA85" w14:textId="695EDD74" w:rsidR="00C10A40" w:rsidRPr="00F35A12" w:rsidRDefault="00C10A40" w:rsidP="006464FB">
      <w:r w:rsidRPr="00343A2D">
        <w:rPr>
          <w:b/>
        </w:rPr>
        <w:t>New patients:</w:t>
      </w:r>
      <w:r w:rsidRPr="00F35A12">
        <w:t xml:space="preserve"> </w:t>
      </w:r>
      <w:r w:rsidR="006464FB">
        <w:t>P</w:t>
      </w:r>
      <w:r w:rsidRPr="00F35A12">
        <w:t>atients new to ESKD (no previous transplant)</w:t>
      </w:r>
      <w:r w:rsidR="00564975">
        <w:t>.</w:t>
      </w:r>
    </w:p>
    <w:p w14:paraId="614CF043" w14:textId="1F7C5ED5" w:rsidR="00C10A40" w:rsidRPr="00F35A12" w:rsidRDefault="00C10A40" w:rsidP="006464FB">
      <w:r w:rsidRPr="00343A2D">
        <w:rPr>
          <w:b/>
        </w:rPr>
        <w:t>Requiring RRT:</w:t>
      </w:r>
      <w:r w:rsidRPr="00F35A12">
        <w:t xml:space="preserve"> </w:t>
      </w:r>
      <w:r w:rsidR="006464FB">
        <w:t>E</w:t>
      </w:r>
      <w:r w:rsidRPr="00F35A12">
        <w:t>ither transplantation or dialysis is required to sustain life</w:t>
      </w:r>
      <w:r w:rsidR="00564975">
        <w:t>.</w:t>
      </w:r>
    </w:p>
    <w:p w14:paraId="5FAA3346" w14:textId="77777777" w:rsidR="00C10A40" w:rsidRPr="00343A2D" w:rsidRDefault="00C10A40" w:rsidP="006464FB">
      <w:pPr>
        <w:rPr>
          <w:b/>
        </w:rPr>
      </w:pPr>
      <w:r w:rsidRPr="00343A2D">
        <w:rPr>
          <w:b/>
        </w:rPr>
        <w:t>Inclusions:</w:t>
      </w:r>
    </w:p>
    <w:p w14:paraId="1F7DE4B7" w14:textId="3939B0DA" w:rsidR="00C10A40" w:rsidRPr="00343A2D" w:rsidRDefault="001529A6" w:rsidP="006464FB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 </w:t>
      </w:r>
      <w:r w:rsidR="00635F57" w:rsidRPr="00343A2D">
        <w:rPr>
          <w:rFonts w:ascii="VIC" w:hAnsi="VIC"/>
        </w:rPr>
        <w:t>a</w:t>
      </w:r>
      <w:r w:rsidR="00C10A40" w:rsidRPr="00343A2D">
        <w:rPr>
          <w:rFonts w:ascii="VIC" w:hAnsi="VIC"/>
        </w:rPr>
        <w:t xml:space="preserve">ny patient who has been ‘active’ within the </w:t>
      </w:r>
      <w:r w:rsidR="00626902" w:rsidRPr="00343A2D">
        <w:rPr>
          <w:rFonts w:ascii="VIC" w:hAnsi="VIC"/>
        </w:rPr>
        <w:t>three</w:t>
      </w:r>
      <w:r w:rsidR="00C10A40" w:rsidRPr="00343A2D">
        <w:rPr>
          <w:rFonts w:ascii="VIC" w:hAnsi="VIC"/>
        </w:rPr>
        <w:t xml:space="preserve"> or </w:t>
      </w:r>
      <w:r w:rsidR="00626902" w:rsidRPr="00343A2D">
        <w:rPr>
          <w:rFonts w:ascii="VIC" w:hAnsi="VIC"/>
        </w:rPr>
        <w:t>six</w:t>
      </w:r>
      <w:r w:rsidR="00C10A40" w:rsidRPr="00343A2D">
        <w:rPr>
          <w:rFonts w:ascii="VIC" w:hAnsi="VIC"/>
        </w:rPr>
        <w:t xml:space="preserve"> months</w:t>
      </w:r>
      <w:r w:rsidR="006464FB">
        <w:rPr>
          <w:rFonts w:ascii="VIC" w:hAnsi="VIC"/>
        </w:rPr>
        <w:t>.</w:t>
      </w:r>
    </w:p>
    <w:p w14:paraId="3BBC039E" w14:textId="5EDC01B0" w:rsidR="00C10A40" w:rsidRPr="00343A2D" w:rsidRDefault="001529A6" w:rsidP="006464FB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 </w:t>
      </w:r>
      <w:r w:rsidR="00635F57" w:rsidRPr="00343A2D">
        <w:rPr>
          <w:rFonts w:ascii="VIC" w:hAnsi="VIC"/>
        </w:rPr>
        <w:t>a</w:t>
      </w:r>
      <w:r w:rsidR="00C10A40" w:rsidRPr="00343A2D">
        <w:rPr>
          <w:rFonts w:ascii="VIC" w:hAnsi="VIC"/>
        </w:rPr>
        <w:t>ll pre-emptive transplants</w:t>
      </w:r>
      <w:r w:rsidR="00564975" w:rsidRPr="006464FB">
        <w:rPr>
          <w:rFonts w:ascii="VIC" w:hAnsi="VIC"/>
        </w:rPr>
        <w:t>.</w:t>
      </w:r>
    </w:p>
    <w:p w14:paraId="36E394A6" w14:textId="77777777" w:rsidR="00C10A40" w:rsidRPr="00343A2D" w:rsidRDefault="00C10A40" w:rsidP="006464FB">
      <w:pPr>
        <w:rPr>
          <w:b/>
        </w:rPr>
      </w:pPr>
      <w:r w:rsidRPr="00343A2D">
        <w:rPr>
          <w:b/>
        </w:rPr>
        <w:t xml:space="preserve">Exclusions: </w:t>
      </w:r>
    </w:p>
    <w:p w14:paraId="53CA6C63" w14:textId="01C76118" w:rsidR="00C10A40" w:rsidRPr="00343A2D" w:rsidRDefault="00635F57" w:rsidP="006464FB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</w:t>
      </w:r>
      <w:r w:rsidR="00C10A40" w:rsidRPr="00343A2D">
        <w:rPr>
          <w:rFonts w:ascii="VIC" w:hAnsi="VIC"/>
        </w:rPr>
        <w:t>atients with a failed transplant recommencing RRT</w:t>
      </w:r>
    </w:p>
    <w:p w14:paraId="17ACE1C4" w14:textId="7734E854" w:rsidR="00C10A40" w:rsidRPr="00343A2D" w:rsidRDefault="00635F57" w:rsidP="006464FB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</w:t>
      </w:r>
      <w:r w:rsidR="00C10A40" w:rsidRPr="00343A2D">
        <w:rPr>
          <w:rFonts w:ascii="VIC" w:hAnsi="VIC"/>
        </w:rPr>
        <w:t>atients having a combined organ transplant</w:t>
      </w:r>
      <w:r w:rsidR="00564975" w:rsidRPr="006464FB">
        <w:rPr>
          <w:rFonts w:ascii="VIC" w:hAnsi="VIC"/>
        </w:rPr>
        <w:t>.</w:t>
      </w:r>
    </w:p>
    <w:p w14:paraId="1B0710BB" w14:textId="77777777" w:rsidR="00233E01" w:rsidRDefault="00233E01">
      <w:pPr>
        <w:pStyle w:val="Heading3"/>
      </w:pPr>
      <w:bookmarkStart w:id="74" w:name="_Toc8637256"/>
      <w:bookmarkStart w:id="75" w:name="_Toc10460704"/>
      <w:r>
        <w:br w:type="page"/>
      </w:r>
    </w:p>
    <w:p w14:paraId="792045B5" w14:textId="033E77A6" w:rsidR="00C10A40" w:rsidRDefault="00C10A40" w:rsidP="000A1146">
      <w:pPr>
        <w:pStyle w:val="Heading2"/>
      </w:pPr>
      <w:bookmarkStart w:id="76" w:name="_Toc8637257"/>
      <w:bookmarkStart w:id="77" w:name="_Toc10460705"/>
      <w:bookmarkEnd w:id="74"/>
      <w:bookmarkEnd w:id="75"/>
      <w:r w:rsidRPr="00DB6E2B">
        <w:lastRenderedPageBreak/>
        <w:t>Assessment</w:t>
      </w:r>
      <w:bookmarkEnd w:id="76"/>
      <w:bookmarkEnd w:id="77"/>
    </w:p>
    <w:p w14:paraId="65A75604" w14:textId="3CD41EEF" w:rsidR="00535F88" w:rsidRPr="00535F88" w:rsidRDefault="00535F88" w:rsidP="00535F88">
      <w:pPr>
        <w:pStyle w:val="Heading3"/>
      </w:pPr>
      <w:r>
        <w:t>Assessment of KPI evidence</w:t>
      </w:r>
    </w:p>
    <w:p w14:paraId="661F18FA" w14:textId="130FA76B" w:rsidR="00C10A40" w:rsidRPr="0005708D" w:rsidRDefault="00C10A40" w:rsidP="00343A2D">
      <w:pPr>
        <w:pStyle w:val="Normalfollowingheading"/>
        <w:spacing w:after="120" w:line="240" w:lineRule="atLeast"/>
      </w:pPr>
      <w:r w:rsidRPr="00564975">
        <w:t>Quality indicator</w:t>
      </w:r>
      <w:r w:rsidRPr="00B1282F">
        <w:t xml:space="preserve">s </w:t>
      </w:r>
      <w:r w:rsidR="0018325D">
        <w:t>for</w:t>
      </w:r>
      <w:r w:rsidR="0018325D" w:rsidRPr="000F4969">
        <w:t xml:space="preserve"> </w:t>
      </w:r>
      <w:r w:rsidRPr="000F4969">
        <w:t>access to the kidney transplant waiting list should provide information about</w:t>
      </w:r>
      <w:r w:rsidRPr="0005708D">
        <w:t xml:space="preserve"> efficiency (timeliness of listing) and equity (transparency and fairness around criteria for transplant waitlist suitability).</w:t>
      </w:r>
    </w:p>
    <w:p w14:paraId="03406119" w14:textId="0BCDBE54" w:rsidR="00C10A40" w:rsidRPr="000F4969" w:rsidRDefault="0018325D" w:rsidP="00343A2D">
      <w:pPr>
        <w:spacing w:before="120" w:after="120" w:line="240" w:lineRule="atLeast"/>
      </w:pPr>
      <w:r>
        <w:t>T</w:t>
      </w:r>
      <w:r w:rsidR="00C10A40" w:rsidRPr="00343A2D">
        <w:rPr>
          <w:rFonts w:eastAsia="Times New Roman" w:cs="Calibri"/>
          <w:spacing w:val="2"/>
        </w:rPr>
        <w:t xml:space="preserve">ime to listing </w:t>
      </w:r>
      <w:r>
        <w:t>has not</w:t>
      </w:r>
      <w:r w:rsidR="00C10A40" w:rsidRPr="00343A2D">
        <w:rPr>
          <w:rFonts w:eastAsia="Times New Roman" w:cs="Calibri"/>
          <w:spacing w:val="2"/>
        </w:rPr>
        <w:t xml:space="preserve"> </w:t>
      </w:r>
      <w:r>
        <w:t xml:space="preserve">been established as </w:t>
      </w:r>
      <w:r w:rsidR="00C10A40" w:rsidRPr="00343A2D">
        <w:rPr>
          <w:rFonts w:eastAsia="Times New Roman" w:cs="Calibri"/>
          <w:spacing w:val="2"/>
        </w:rPr>
        <w:t>a reliable surrogate for time to transplantation for suitable patients.</w:t>
      </w:r>
      <w:r>
        <w:t xml:space="preserve"> </w:t>
      </w:r>
      <w:r w:rsidR="00C10A40" w:rsidRPr="000F4969">
        <w:t xml:space="preserve">Time to actual kidney transplantation may be a more meaningful </w:t>
      </w:r>
      <w:r w:rsidR="00AE5C23">
        <w:t>measure</w:t>
      </w:r>
      <w:r w:rsidR="00C10A40" w:rsidRPr="000F4969">
        <w:t xml:space="preserve"> than time to wait-listing.</w:t>
      </w:r>
    </w:p>
    <w:p w14:paraId="57D9C164" w14:textId="07A0DC4A" w:rsidR="00C10A40" w:rsidRPr="000F4969" w:rsidRDefault="00C10A40" w:rsidP="00343A2D">
      <w:pPr>
        <w:spacing w:before="120" w:after="120" w:line="240" w:lineRule="atLeast"/>
      </w:pPr>
      <w:r w:rsidRPr="0005708D">
        <w:t>The rationale for the 65 years age cut</w:t>
      </w:r>
      <w:r w:rsidR="006464FB">
        <w:t xml:space="preserve"> </w:t>
      </w:r>
      <w:r w:rsidRPr="0005708D">
        <w:t>off is unclear</w:t>
      </w:r>
      <w:r w:rsidR="0018325D">
        <w:t>. National guidelines</w:t>
      </w:r>
      <w:r w:rsidRPr="000F4969">
        <w:t xml:space="preserve"> </w:t>
      </w:r>
      <w:r w:rsidR="0018325D">
        <w:t xml:space="preserve">do not have </w:t>
      </w:r>
      <w:r w:rsidRPr="000F4969">
        <w:t>an age cut</w:t>
      </w:r>
      <w:r w:rsidR="006464FB">
        <w:t xml:space="preserve"> </w:t>
      </w:r>
      <w:r w:rsidRPr="000F4969">
        <w:t>off for kidney transplantation</w:t>
      </w:r>
      <w:r w:rsidR="0018325D">
        <w:t xml:space="preserve">. </w:t>
      </w:r>
      <w:r w:rsidR="0018325D" w:rsidRPr="000C0F86">
        <w:t>ANZDATA</w:t>
      </w:r>
      <w:r w:rsidR="0018325D">
        <w:t xml:space="preserve"> also show</w:t>
      </w:r>
      <w:r w:rsidR="00263C8C">
        <w:t>s</w:t>
      </w:r>
      <w:r w:rsidRPr="0005708D">
        <w:t xml:space="preserve"> </w:t>
      </w:r>
      <w:r w:rsidRPr="00564975">
        <w:t>that kidney transplants are being performed beyond the a</w:t>
      </w:r>
      <w:r w:rsidRPr="00B1282F">
        <w:t xml:space="preserve">ge of 65 years. </w:t>
      </w:r>
      <w:r w:rsidR="00263C8C" w:rsidRPr="00263C8C">
        <w:t>Consideration for cut</w:t>
      </w:r>
      <w:r w:rsidR="00263C8C">
        <w:t xml:space="preserve"> </w:t>
      </w:r>
      <w:r w:rsidR="00263C8C" w:rsidRPr="00263C8C">
        <w:t xml:space="preserve">offs could be given to more </w:t>
      </w:r>
      <w:r w:rsidRPr="0005708D">
        <w:t>global indices of post kidney transplant prognosis</w:t>
      </w:r>
      <w:r w:rsidR="006464FB">
        <w:t xml:space="preserve"> </w:t>
      </w:r>
      <w:r w:rsidR="005C1025" w:rsidRPr="00564975">
        <w:t>such as</w:t>
      </w:r>
      <w:r w:rsidRPr="00B1282F">
        <w:t xml:space="preserve"> Estimated Post Transplant Survival Score </w:t>
      </w:r>
      <w:r w:rsidR="005C1025" w:rsidRPr="00F35A12">
        <w:t>and the</w:t>
      </w:r>
      <w:r w:rsidRPr="00F35A12">
        <w:t xml:space="preserve"> Charlson Comorbidity </w:t>
      </w:r>
      <w:r w:rsidR="004E36A7" w:rsidRPr="00343A2D">
        <w:t>I</w:t>
      </w:r>
      <w:r w:rsidRPr="00343A2D">
        <w:t>ndex</w:t>
      </w:r>
      <w:r w:rsidR="007165CD">
        <w:t>.</w:t>
      </w:r>
    </w:p>
    <w:p w14:paraId="22206B70" w14:textId="11643EFF" w:rsidR="00141B91" w:rsidRPr="0005708D" w:rsidRDefault="009863B7" w:rsidP="00343A2D">
      <w:pPr>
        <w:spacing w:before="120" w:after="120" w:line="240" w:lineRule="atLeast"/>
      </w:pPr>
      <w:r>
        <w:t>There is n</w:t>
      </w:r>
      <w:r w:rsidR="00C10A40" w:rsidRPr="000F4969">
        <w:t xml:space="preserve">o direct data </w:t>
      </w:r>
      <w:r w:rsidR="00C10A40" w:rsidRPr="0005708D">
        <w:t xml:space="preserve">to support the </w:t>
      </w:r>
      <w:r w:rsidR="001D0F73">
        <w:t xml:space="preserve">validity of the </w:t>
      </w:r>
      <w:r w:rsidR="00C10A40" w:rsidRPr="0005708D">
        <w:t>current targets (30</w:t>
      </w:r>
      <w:r w:rsidR="00796380" w:rsidRPr="0005708D">
        <w:t xml:space="preserve"> per cent</w:t>
      </w:r>
      <w:r w:rsidR="00C10A40" w:rsidRPr="0005708D">
        <w:t xml:space="preserve"> at </w:t>
      </w:r>
      <w:r w:rsidR="00626902" w:rsidRPr="00564975">
        <w:t>three</w:t>
      </w:r>
      <w:r w:rsidR="00C10A40" w:rsidRPr="00B1282F">
        <w:t xml:space="preserve"> months and 40</w:t>
      </w:r>
      <w:r w:rsidR="00796380" w:rsidRPr="00F35A12">
        <w:t xml:space="preserve"> per cent</w:t>
      </w:r>
      <w:r w:rsidR="00C10A40" w:rsidRPr="00F35A12">
        <w:t xml:space="preserve"> at </w:t>
      </w:r>
      <w:r w:rsidR="00626902" w:rsidRPr="00343A2D">
        <w:t>six</w:t>
      </w:r>
      <w:r w:rsidR="00C10A40" w:rsidRPr="00343A2D">
        <w:t xml:space="preserve"> months)</w:t>
      </w:r>
      <w:r w:rsidR="001D0F73">
        <w:t>.</w:t>
      </w:r>
      <w:r w:rsidR="00C10A40" w:rsidRPr="000F4969">
        <w:t xml:space="preserve"> </w:t>
      </w:r>
      <w:r w:rsidR="001D0F73">
        <w:t>T</w:t>
      </w:r>
      <w:r w:rsidR="00C10A40" w:rsidRPr="000F4969">
        <w:t xml:space="preserve">hese </w:t>
      </w:r>
      <w:r w:rsidR="001D0F73">
        <w:t xml:space="preserve">targets were lowered from the original measures, </w:t>
      </w:r>
      <w:r w:rsidR="00C10A40" w:rsidRPr="000F4969">
        <w:t>which were 35</w:t>
      </w:r>
      <w:r w:rsidR="00796380" w:rsidRPr="0005708D">
        <w:t xml:space="preserve"> per cent</w:t>
      </w:r>
      <w:r w:rsidR="00C10A40" w:rsidRPr="0005708D">
        <w:t xml:space="preserve"> at </w:t>
      </w:r>
      <w:r w:rsidR="00626902" w:rsidRPr="0005708D">
        <w:t>three</w:t>
      </w:r>
      <w:r w:rsidR="00C10A40" w:rsidRPr="00564975">
        <w:t xml:space="preserve"> months and 50</w:t>
      </w:r>
      <w:r w:rsidR="00E81172" w:rsidRPr="00B1282F">
        <w:t xml:space="preserve"> per cent</w:t>
      </w:r>
      <w:r w:rsidR="00C10A40" w:rsidRPr="00F35A12">
        <w:t xml:space="preserve"> at </w:t>
      </w:r>
      <w:r w:rsidR="00626902" w:rsidRPr="00343A2D">
        <w:t>six</w:t>
      </w:r>
      <w:r w:rsidR="00C10A40" w:rsidRPr="00343A2D">
        <w:t xml:space="preserve"> months, as those targets were </w:t>
      </w:r>
      <w:r w:rsidR="001D0F73">
        <w:t>not achievable</w:t>
      </w:r>
      <w:r w:rsidR="00C10A40" w:rsidRPr="000F4969">
        <w:t xml:space="preserve">. This may explain some ambivalence </w:t>
      </w:r>
      <w:r w:rsidR="004E36A7" w:rsidRPr="000F4969">
        <w:t xml:space="preserve">among </w:t>
      </w:r>
      <w:r w:rsidR="00C10A40" w:rsidRPr="0005708D">
        <w:t>hubs about striving for these targets (</w:t>
      </w:r>
      <w:r w:rsidR="00C10A40" w:rsidRPr="00C9262C">
        <w:rPr>
          <w:b/>
        </w:rPr>
        <w:t>Appendix 3</w:t>
      </w:r>
      <w:r w:rsidR="00C10A40" w:rsidRPr="0005708D">
        <w:t xml:space="preserve">). </w:t>
      </w:r>
    </w:p>
    <w:p w14:paraId="19D769F3" w14:textId="7E8969FD" w:rsidR="00C10A40" w:rsidRPr="000F4969" w:rsidRDefault="00C10A40" w:rsidP="00343A2D">
      <w:pPr>
        <w:spacing w:before="120" w:after="120" w:line="240" w:lineRule="atLeast"/>
      </w:pPr>
      <w:r w:rsidRPr="00564975">
        <w:t>KPI</w:t>
      </w:r>
      <w:r w:rsidR="001D0F73">
        <w:t xml:space="preserve"> </w:t>
      </w:r>
      <w:r w:rsidRPr="000F4969">
        <w:t xml:space="preserve">6 is not included in the CKD ICHOM </w:t>
      </w:r>
      <w:r w:rsidR="004E36A7" w:rsidRPr="0005708D">
        <w:t>s</w:t>
      </w:r>
      <w:r w:rsidRPr="0005708D">
        <w:t xml:space="preserve">tandard </w:t>
      </w:r>
      <w:r w:rsidR="004E36A7" w:rsidRPr="0005708D">
        <w:t>s</w:t>
      </w:r>
      <w:r w:rsidRPr="00564975">
        <w:t>et as a tier-1 (essential) or important (tier-2) outcome measure (</w:t>
      </w:r>
      <w:r w:rsidRPr="00C9262C">
        <w:rPr>
          <w:b/>
        </w:rPr>
        <w:t>Appendix 3</w:t>
      </w:r>
      <w:r w:rsidRPr="00564975">
        <w:t>).</w:t>
      </w:r>
      <w:r w:rsidR="001D0F73">
        <w:t xml:space="preserve"> </w:t>
      </w:r>
      <w:r w:rsidRPr="000F4969">
        <w:t>KPI</w:t>
      </w:r>
      <w:r w:rsidR="001D0F73">
        <w:t xml:space="preserve"> </w:t>
      </w:r>
      <w:r w:rsidRPr="000F4969">
        <w:t>6 does not directly function as a safety indicator (</w:t>
      </w:r>
      <w:r w:rsidRPr="00C9262C">
        <w:rPr>
          <w:b/>
        </w:rPr>
        <w:t>Appendix 3</w:t>
      </w:r>
      <w:r w:rsidRPr="000F4969">
        <w:t>).</w:t>
      </w:r>
    </w:p>
    <w:p w14:paraId="780861B2" w14:textId="539F67F1" w:rsidR="00C10A40" w:rsidRPr="0005708D" w:rsidRDefault="001D0F73" w:rsidP="00343A2D">
      <w:pPr>
        <w:spacing w:before="120" w:after="120" w:line="240" w:lineRule="atLeast"/>
      </w:pPr>
      <w:r>
        <w:t xml:space="preserve">Responses to the survey indicate that </w:t>
      </w:r>
      <w:r w:rsidR="00C10A40" w:rsidRPr="000F4969">
        <w:t>KPI</w:t>
      </w:r>
      <w:r>
        <w:t xml:space="preserve"> </w:t>
      </w:r>
      <w:r w:rsidR="00C10A40" w:rsidRPr="000F4969">
        <w:t>6 should continue</w:t>
      </w:r>
      <w:r>
        <w:t xml:space="preserve"> </w:t>
      </w:r>
      <w:r w:rsidR="00C10A40" w:rsidRPr="000F4969">
        <w:t xml:space="preserve">with </w:t>
      </w:r>
      <w:r w:rsidR="00C10A40" w:rsidRPr="0005708D">
        <w:t>minor or major changes (</w:t>
      </w:r>
      <w:r w:rsidR="00C10A40" w:rsidRPr="00C9262C">
        <w:rPr>
          <w:b/>
        </w:rPr>
        <w:t>Appendix 1</w:t>
      </w:r>
      <w:r w:rsidR="00C10A40" w:rsidRPr="0005708D">
        <w:t>).</w:t>
      </w:r>
    </w:p>
    <w:p w14:paraId="7498E25F" w14:textId="2563720D" w:rsidR="00C10A40" w:rsidRPr="00DB6E2B" w:rsidRDefault="00C10A40" w:rsidP="00BB6413">
      <w:pPr>
        <w:pStyle w:val="Heading3"/>
      </w:pPr>
      <w:bookmarkStart w:id="78" w:name="_Toc8637258"/>
      <w:bookmarkStart w:id="79" w:name="_Toc10460706"/>
      <w:bookmarkStart w:id="80" w:name="_Hlk531348635"/>
      <w:r w:rsidRPr="00BB6413">
        <w:t xml:space="preserve">Potential </w:t>
      </w:r>
      <w:r w:rsidR="00F34043" w:rsidRPr="000F4969">
        <w:t>r</w:t>
      </w:r>
      <w:r w:rsidRPr="000F4969">
        <w:t xml:space="preserve">easons for </w:t>
      </w:r>
      <w:r w:rsidR="00F34043" w:rsidRPr="000F4969">
        <w:t>v</w:t>
      </w:r>
      <w:r w:rsidRPr="0005708D">
        <w:t xml:space="preserve">ariation </w:t>
      </w:r>
      <w:r w:rsidR="00F34043" w:rsidRPr="00DB6E2B">
        <w:t>b</w:t>
      </w:r>
      <w:r w:rsidRPr="00DB6E2B">
        <w:t xml:space="preserve">etween </w:t>
      </w:r>
      <w:r w:rsidR="00F34043" w:rsidRPr="00DB6E2B">
        <w:t>s</w:t>
      </w:r>
      <w:r w:rsidRPr="00DB6E2B">
        <w:t>ervices</w:t>
      </w:r>
      <w:bookmarkEnd w:id="78"/>
      <w:bookmarkEnd w:id="79"/>
      <w:bookmarkEnd w:id="80"/>
    </w:p>
    <w:p w14:paraId="28314854" w14:textId="47E6D929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Referral patterns to nephrology and transplant service</w:t>
      </w:r>
      <w:r w:rsidR="00DD0DF6" w:rsidRPr="00343A2D">
        <w:rPr>
          <w:rFonts w:ascii="VIC" w:hAnsi="VIC"/>
        </w:rPr>
        <w:t>s</w:t>
      </w:r>
      <w:r w:rsidR="00564975">
        <w:rPr>
          <w:rFonts w:ascii="VIC" w:hAnsi="VIC"/>
        </w:rPr>
        <w:t>.</w:t>
      </w:r>
    </w:p>
    <w:p w14:paraId="05B09510" w14:textId="32E2F53C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Decision</w:t>
      </w:r>
      <w:r w:rsidR="00764E05" w:rsidRPr="00343A2D">
        <w:rPr>
          <w:rFonts w:ascii="VIC" w:hAnsi="VIC"/>
        </w:rPr>
        <w:t>-</w:t>
      </w:r>
      <w:r w:rsidRPr="00343A2D">
        <w:rPr>
          <w:rFonts w:ascii="VIC" w:hAnsi="VIC"/>
        </w:rPr>
        <w:t>making processes regarding suitability</w:t>
      </w:r>
      <w:r w:rsidR="00564975">
        <w:rPr>
          <w:rFonts w:ascii="VIC" w:hAnsi="VIC"/>
        </w:rPr>
        <w:t>.</w:t>
      </w:r>
    </w:p>
    <w:p w14:paraId="6253326B" w14:textId="447EDA56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Access to investigations, appointments and referrals to other services (for example</w:t>
      </w:r>
      <w:r w:rsidR="00764E05" w:rsidRPr="00343A2D">
        <w:rPr>
          <w:rFonts w:ascii="VIC" w:hAnsi="VIC"/>
        </w:rPr>
        <w:t>,</w:t>
      </w:r>
      <w:r w:rsidRPr="00343A2D">
        <w:rPr>
          <w:rFonts w:ascii="VIC" w:hAnsi="VIC"/>
        </w:rPr>
        <w:t xml:space="preserve"> imaging, cardiology</w:t>
      </w:r>
      <w:r w:rsidR="004A38CD">
        <w:rPr>
          <w:rFonts w:ascii="VIC" w:hAnsi="VIC"/>
        </w:rPr>
        <w:t>,</w:t>
      </w:r>
      <w:r w:rsidRPr="00343A2D">
        <w:rPr>
          <w:rFonts w:ascii="VIC" w:hAnsi="VIC"/>
        </w:rPr>
        <w:t xml:space="preserve"> psychiatry)</w:t>
      </w:r>
      <w:r w:rsidR="00564975">
        <w:rPr>
          <w:rFonts w:ascii="VIC" w:hAnsi="VIC"/>
        </w:rPr>
        <w:t>.</w:t>
      </w:r>
    </w:p>
    <w:p w14:paraId="2CC22823" w14:textId="505BA84E" w:rsidR="00C10A40" w:rsidRPr="00343A2D" w:rsidRDefault="00C10A40" w:rsidP="00C40408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Physician attitudes regarding suitability factors (for example</w:t>
      </w:r>
      <w:r w:rsidR="00764E05" w:rsidRPr="00343A2D">
        <w:rPr>
          <w:rFonts w:ascii="VIC" w:hAnsi="VIC"/>
        </w:rPr>
        <w:t>,</w:t>
      </w:r>
      <w:r w:rsidRPr="00343A2D">
        <w:rPr>
          <w:rFonts w:ascii="VIC" w:hAnsi="VIC"/>
        </w:rPr>
        <w:t xml:space="preserve"> surgical, medical, smoking status and weight)</w:t>
      </w:r>
      <w:r w:rsidR="00564975">
        <w:rPr>
          <w:rFonts w:ascii="VIC" w:hAnsi="VIC"/>
        </w:rPr>
        <w:t>.</w:t>
      </w:r>
    </w:p>
    <w:p w14:paraId="5123D3F9" w14:textId="17C10C88" w:rsidR="00141B91" w:rsidRPr="005A4EF9" w:rsidRDefault="00C10A40" w:rsidP="005A4EF9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Patient demographics and comorbidities (cardiovascular disease, obesity, adherence, mental health, treatment refusal)</w:t>
      </w:r>
      <w:r w:rsidR="008F4A7B" w:rsidRPr="00343A2D">
        <w:rPr>
          <w:rFonts w:ascii="VIC" w:hAnsi="VIC"/>
        </w:rPr>
        <w:t>,</w:t>
      </w:r>
      <w:r w:rsidRPr="00343A2D">
        <w:rPr>
          <w:rFonts w:ascii="VIC" w:hAnsi="VIC"/>
        </w:rPr>
        <w:t xml:space="preserve"> geographic factors and educational factors</w:t>
      </w:r>
      <w:r w:rsidR="00564975">
        <w:rPr>
          <w:rFonts w:ascii="VIC" w:hAnsi="VIC"/>
        </w:rPr>
        <w:t>.</w:t>
      </w:r>
      <w:bookmarkStart w:id="81" w:name="_Toc8637259"/>
      <w:bookmarkStart w:id="82" w:name="_Toc10460707"/>
    </w:p>
    <w:bookmarkEnd w:id="81"/>
    <w:bookmarkEnd w:id="82"/>
    <w:p w14:paraId="0902555F" w14:textId="6BD6EF78" w:rsidR="00C10A40" w:rsidRPr="00F35A12" w:rsidRDefault="003663CC" w:rsidP="00343A2D">
      <w:pPr>
        <w:pStyle w:val="Normalfollowingheading"/>
      </w:pPr>
      <w:r>
        <w:t>P</w:t>
      </w:r>
      <w:r w:rsidR="00C10A40" w:rsidRPr="000F4969">
        <w:t xml:space="preserve">erformance is highly variable both between and within hubs over time. In addition to </w:t>
      </w:r>
      <w:r w:rsidR="00764E05" w:rsidRPr="0005708D">
        <w:t xml:space="preserve">the </w:t>
      </w:r>
      <w:r w:rsidR="00C10A40" w:rsidRPr="0005708D">
        <w:t xml:space="preserve">possible clinical factors </w:t>
      </w:r>
      <w:r>
        <w:t xml:space="preserve">outlined </w:t>
      </w:r>
      <w:r w:rsidR="00C10A40" w:rsidRPr="000F4969">
        <w:t xml:space="preserve">above, </w:t>
      </w:r>
      <w:r w:rsidR="00C10A40" w:rsidRPr="0005708D">
        <w:t xml:space="preserve">variability is likely to </w:t>
      </w:r>
      <w:r w:rsidR="00410C12">
        <w:t>be a result of</w:t>
      </w:r>
      <w:r w:rsidR="00C10A40" w:rsidRPr="0005708D">
        <w:t xml:space="preserve"> low patient numbers. For example, in </w:t>
      </w:r>
      <w:proofErr w:type="gramStart"/>
      <w:r w:rsidR="00C97D0D">
        <w:t xml:space="preserve">a </w:t>
      </w:r>
      <w:r w:rsidR="00C10A40" w:rsidRPr="0005708D">
        <w:t xml:space="preserve"> recent</w:t>
      </w:r>
      <w:proofErr w:type="gramEnd"/>
      <w:r w:rsidR="00C10A40" w:rsidRPr="0005708D">
        <w:t xml:space="preserve"> KPI quarterly report (</w:t>
      </w:r>
      <w:r w:rsidR="00476DB8" w:rsidRPr="00564975">
        <w:t xml:space="preserve">KPI </w:t>
      </w:r>
      <w:r w:rsidR="00C10A40" w:rsidRPr="00B1282F">
        <w:t>Q2 2018)</w:t>
      </w:r>
      <w:r w:rsidR="00764E05" w:rsidRPr="00F35A12">
        <w:t>,</w:t>
      </w:r>
      <w:r w:rsidR="00C10A40" w:rsidRPr="00F35A12">
        <w:t xml:space="preserve"> across the whole state at </w:t>
      </w:r>
      <w:r w:rsidR="00626902" w:rsidRPr="00343A2D">
        <w:t>three</w:t>
      </w:r>
      <w:r w:rsidR="00C10A40" w:rsidRPr="00343A2D">
        <w:t xml:space="preserve"> months</w:t>
      </w:r>
      <w:r w:rsidR="00764E05" w:rsidRPr="00343A2D">
        <w:t>,</w:t>
      </w:r>
      <w:r w:rsidR="00C10A40" w:rsidRPr="00343A2D">
        <w:t xml:space="preserve"> 79 patients had achieved the KPI (mean 7.9 patients per hub, range 0</w:t>
      </w:r>
      <w:r w:rsidR="00626902" w:rsidRPr="00343A2D">
        <w:t>–</w:t>
      </w:r>
      <w:r w:rsidR="00C10A40" w:rsidRPr="00343A2D">
        <w:t xml:space="preserve">20 per hub), and at </w:t>
      </w:r>
      <w:r w:rsidR="00626902" w:rsidRPr="00343A2D">
        <w:t>six</w:t>
      </w:r>
      <w:r w:rsidR="00C10A40" w:rsidRPr="00343A2D">
        <w:t xml:space="preserve"> months 111 patients had achieved the KPI (mean 11.1 patients per hub, range 0</w:t>
      </w:r>
      <w:r w:rsidR="00626902" w:rsidRPr="00343A2D">
        <w:t>–</w:t>
      </w:r>
      <w:r w:rsidR="00C10A40" w:rsidRPr="00343A2D">
        <w:t>24 per hub). This variability and low numbers have a negative impact on the reliability of the indicator as a measure of actual performance (</w:t>
      </w:r>
      <w:r w:rsidR="00C10A40" w:rsidRPr="00343A2D">
        <w:rPr>
          <w:b/>
        </w:rPr>
        <w:t>Appendix 3</w:t>
      </w:r>
      <w:r w:rsidR="00C10A40" w:rsidRPr="00F35A12">
        <w:t>).</w:t>
      </w:r>
    </w:p>
    <w:p w14:paraId="46CF612A" w14:textId="1D2A907B" w:rsidR="00233E01" w:rsidRDefault="00C10A40" w:rsidP="00233E01">
      <w:r w:rsidRPr="00DB6E2B">
        <w:t xml:space="preserve">It is possible that </w:t>
      </w:r>
      <w:r w:rsidR="00764E05" w:rsidRPr="00DB6E2B">
        <w:t>three</w:t>
      </w:r>
      <w:r w:rsidRPr="00DB6E2B">
        <w:t xml:space="preserve"> months is too soon after </w:t>
      </w:r>
      <w:r w:rsidR="007F4E20" w:rsidRPr="00DB6E2B">
        <w:t xml:space="preserve">starting </w:t>
      </w:r>
      <w:r w:rsidRPr="00DB6E2B">
        <w:t>RRT to assess the efficiency of the transplant work</w:t>
      </w:r>
      <w:r w:rsidR="006464FB">
        <w:t xml:space="preserve"> </w:t>
      </w:r>
      <w:r w:rsidRPr="00F35A12">
        <w:t>up process</w:t>
      </w:r>
      <w:r w:rsidR="005E07C7">
        <w:t>.</w:t>
      </w:r>
      <w:r w:rsidRPr="000F4969">
        <w:t xml:space="preserve"> </w:t>
      </w:r>
      <w:r w:rsidR="005E07C7">
        <w:t>D</w:t>
      </w:r>
      <w:r w:rsidR="005E07C7" w:rsidRPr="000F4969">
        <w:t xml:space="preserve">ata </w:t>
      </w:r>
      <w:r w:rsidRPr="000F4969">
        <w:t xml:space="preserve">at </w:t>
      </w:r>
      <w:r w:rsidR="00626902" w:rsidRPr="0005708D">
        <w:t>six</w:t>
      </w:r>
      <w:r w:rsidRPr="0005708D">
        <w:t xml:space="preserve"> and 12 months </w:t>
      </w:r>
      <w:r w:rsidR="005E07C7">
        <w:t xml:space="preserve">may be </w:t>
      </w:r>
      <w:r w:rsidRPr="000F4969">
        <w:t>more reliable and meaningful</w:t>
      </w:r>
      <w:r w:rsidRPr="00E178EA">
        <w:t>.</w:t>
      </w:r>
      <w:bookmarkStart w:id="83" w:name="_Toc8637260"/>
      <w:bookmarkStart w:id="84" w:name="_Toc10460708"/>
      <w:r w:rsidR="00233E01">
        <w:br w:type="page"/>
      </w:r>
    </w:p>
    <w:p w14:paraId="2A44C8FF" w14:textId="04F57011" w:rsidR="00C10A40" w:rsidRPr="000F4969" w:rsidRDefault="00C10A40" w:rsidP="00BB6413">
      <w:pPr>
        <w:pStyle w:val="Heading3"/>
      </w:pPr>
      <w:r w:rsidRPr="00BB6413">
        <w:lastRenderedPageBreak/>
        <w:t xml:space="preserve">Assessment of </w:t>
      </w:r>
      <w:r w:rsidR="00F34043" w:rsidRPr="000F4969">
        <w:t>p</w:t>
      </w:r>
      <w:r w:rsidRPr="000F4969">
        <w:t>erformance</w:t>
      </w:r>
      <w:bookmarkEnd w:id="83"/>
      <w:bookmarkEnd w:id="84"/>
    </w:p>
    <w:p w14:paraId="2BDFB255" w14:textId="46A2E226" w:rsidR="00C10A40" w:rsidRPr="000F4969" w:rsidRDefault="00C10A40" w:rsidP="00343A2D">
      <w:pPr>
        <w:pStyle w:val="Normalfollowingheading"/>
      </w:pPr>
      <w:r w:rsidRPr="0005708D">
        <w:t xml:space="preserve">The </w:t>
      </w:r>
      <w:proofErr w:type="spellStart"/>
      <w:r w:rsidRPr="0005708D">
        <w:t>statewide</w:t>
      </w:r>
      <w:proofErr w:type="spellEnd"/>
      <w:r w:rsidRPr="0005708D">
        <w:t xml:space="preserve"> performance for these KPIs has been </w:t>
      </w:r>
      <w:r w:rsidR="006464FB">
        <w:t>five to seven</w:t>
      </w:r>
      <w:r w:rsidR="006C4090" w:rsidRPr="00B1282F">
        <w:t xml:space="preserve"> per cent</w:t>
      </w:r>
      <w:r w:rsidRPr="00F35A12">
        <w:t xml:space="preserve"> below current benchmarks in most </w:t>
      </w:r>
      <w:r w:rsidR="0055304B">
        <w:t>quarters,</w:t>
      </w:r>
      <w:r w:rsidRPr="0005708D">
        <w:t xml:space="preserve"> despite the </w:t>
      </w:r>
      <w:r w:rsidR="0055304B">
        <w:t xml:space="preserve">reduction of the </w:t>
      </w:r>
      <w:r w:rsidRPr="000F4969">
        <w:t>targets</w:t>
      </w:r>
      <w:r w:rsidR="0055304B">
        <w:t>.</w:t>
      </w:r>
    </w:p>
    <w:p w14:paraId="3FC93C99" w14:textId="71CAA258" w:rsidR="00C10A40" w:rsidRPr="00343A2D" w:rsidRDefault="00C10A40" w:rsidP="00343A2D">
      <w:r w:rsidRPr="0005708D">
        <w:t>Many hubs are regularly failing to meet the</w:t>
      </w:r>
      <w:r w:rsidRPr="00B1282F">
        <w:t xml:space="preserve"> current KPI benchmarks. For example, in the KPI Q2 2018 report, </w:t>
      </w:r>
      <w:r w:rsidR="00752997" w:rsidRPr="00F35A12">
        <w:t>seven</w:t>
      </w:r>
      <w:r w:rsidRPr="00F35A12">
        <w:t xml:space="preserve"> of the </w:t>
      </w:r>
      <w:r w:rsidR="00752997" w:rsidRPr="00343A2D">
        <w:t>nine</w:t>
      </w:r>
      <w:r w:rsidRPr="00343A2D">
        <w:t xml:space="preserve"> reporting hubs did not achieve the KPI benchmark for </w:t>
      </w:r>
      <w:r w:rsidR="00626902" w:rsidRPr="00343A2D">
        <w:t>three</w:t>
      </w:r>
      <w:r w:rsidRPr="00343A2D">
        <w:t xml:space="preserve"> months</w:t>
      </w:r>
      <w:r w:rsidR="00E464BC" w:rsidRPr="00343A2D">
        <w:t>, and six of the nine hubs did not achieve the KPI benchmark at six months.</w:t>
      </w:r>
    </w:p>
    <w:p w14:paraId="26268BA1" w14:textId="253C3963" w:rsidR="00C10A40" w:rsidRPr="00F35A12" w:rsidRDefault="00C10A40" w:rsidP="00343A2D">
      <w:r w:rsidRPr="00343A2D">
        <w:t>Longer term results (KPI</w:t>
      </w:r>
      <w:r w:rsidR="001529A6" w:rsidRPr="00343A2D">
        <w:t xml:space="preserve"> </w:t>
      </w:r>
      <w:r w:rsidRPr="00343A2D">
        <w:t xml:space="preserve">Q 2012-18 reports) show a trend to gradual improvement for the number of new ESKD patients </w:t>
      </w:r>
      <w:r w:rsidR="005B3E9A" w:rsidRPr="00343A2D">
        <w:t>aged under</w:t>
      </w:r>
      <w:r w:rsidRPr="00343A2D">
        <w:t xml:space="preserve"> 65 years who are transplanted or </w:t>
      </w:r>
      <w:r w:rsidR="005B3E9A" w:rsidRPr="00343A2D">
        <w:t xml:space="preserve">are </w:t>
      </w:r>
      <w:r w:rsidRPr="00343A2D">
        <w:t xml:space="preserve">on an active list within </w:t>
      </w:r>
      <w:r w:rsidR="00626902" w:rsidRPr="00343A2D">
        <w:t>three</w:t>
      </w:r>
      <w:r w:rsidRPr="00343A2D">
        <w:t xml:space="preserve"> months (average annual increase 0.6</w:t>
      </w:r>
      <w:r w:rsidR="00A27122" w:rsidRPr="00343A2D">
        <w:t xml:space="preserve"> per cent</w:t>
      </w:r>
      <w:r w:rsidRPr="00343A2D">
        <w:t xml:space="preserve">) or </w:t>
      </w:r>
      <w:r w:rsidR="00626902" w:rsidRPr="00343A2D">
        <w:t>six</w:t>
      </w:r>
      <w:r w:rsidRPr="00343A2D">
        <w:t xml:space="preserve"> months (average annual increase 1.1</w:t>
      </w:r>
      <w:r w:rsidR="00A27122" w:rsidRPr="00343A2D">
        <w:t xml:space="preserve"> per cent</w:t>
      </w:r>
      <w:r w:rsidRPr="00343A2D">
        <w:t>). However, at this rate of improvement</w:t>
      </w:r>
      <w:r w:rsidR="005B3E9A" w:rsidRPr="00343A2D">
        <w:t>,</w:t>
      </w:r>
      <w:r w:rsidRPr="00343A2D">
        <w:t xml:space="preserve"> these KPI targets will not be achieved </w:t>
      </w:r>
      <w:proofErr w:type="spellStart"/>
      <w:r w:rsidRPr="00343A2D">
        <w:t>statewide</w:t>
      </w:r>
      <w:proofErr w:type="spellEnd"/>
      <w:r w:rsidRPr="00343A2D">
        <w:t xml:space="preserve"> for several years (</w:t>
      </w:r>
      <w:r w:rsidRPr="00343A2D">
        <w:rPr>
          <w:b/>
        </w:rPr>
        <w:t>Appendix 2</w:t>
      </w:r>
      <w:r w:rsidRPr="00F35A12">
        <w:t>).</w:t>
      </w:r>
    </w:p>
    <w:p w14:paraId="03F4AD99" w14:textId="4772BCF3" w:rsidR="005A4EF9" w:rsidRDefault="00C10A40" w:rsidP="005A4EF9">
      <w:r w:rsidRPr="00DB6E2B">
        <w:t>It is unclear to what extent KPI</w:t>
      </w:r>
      <w:r w:rsidR="0055304B">
        <w:t xml:space="preserve"> </w:t>
      </w:r>
      <w:r w:rsidRPr="000F4969">
        <w:t xml:space="preserve">6 is functioning as a </w:t>
      </w:r>
      <w:r w:rsidR="0055304B">
        <w:t>quality improvement</w:t>
      </w:r>
      <w:r w:rsidR="0055304B" w:rsidRPr="000F4969">
        <w:t xml:space="preserve"> </w:t>
      </w:r>
      <w:r w:rsidRPr="000F4969">
        <w:t>measure that active</w:t>
      </w:r>
      <w:r w:rsidRPr="0005708D">
        <w:t>ly influences the performance of the hubs.</w:t>
      </w:r>
    </w:p>
    <w:p w14:paraId="02A73280" w14:textId="77777777" w:rsidR="009110F5" w:rsidRDefault="006464FB">
      <w:r>
        <w:rPr>
          <w:noProof/>
        </w:rPr>
        <mc:AlternateContent>
          <mc:Choice Requires="wps">
            <w:drawing>
              <wp:inline distT="0" distB="0" distL="0" distR="0" wp14:anchorId="3D1EE3A5" wp14:editId="651000AA">
                <wp:extent cx="6464410" cy="1764000"/>
                <wp:effectExtent l="0" t="0" r="12700" b="17780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410" cy="176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31083" w14:textId="77777777" w:rsidR="00AE683F" w:rsidRPr="004D6898" w:rsidRDefault="00AE683F" w:rsidP="006464FB">
                            <w:pPr>
                              <w:pStyle w:val="PulloutHeading"/>
                            </w:pPr>
                            <w:r>
                              <w:t>Recommendations and next steps</w:t>
                            </w:r>
                          </w:p>
                          <w:p w14:paraId="0125186E" w14:textId="1CEC3E6C" w:rsidR="00AE683F" w:rsidRPr="0005708D" w:rsidRDefault="00AE683F" w:rsidP="00343A2D">
                            <w:pPr>
                              <w:pStyle w:val="PulloutText"/>
                            </w:pPr>
                            <w:r w:rsidRPr="00564975">
                              <w:t>We r</w:t>
                            </w:r>
                            <w:r w:rsidRPr="00B1282F">
                              <w:t xml:space="preserve">ecommend that </w:t>
                            </w:r>
                            <w:r>
                              <w:t>the Renal Clinical Network continues to monitor</w:t>
                            </w:r>
                            <w:r w:rsidRPr="000F4969">
                              <w:t xml:space="preserve"> </w:t>
                            </w:r>
                            <w:r>
                              <w:t xml:space="preserve">access to </w:t>
                            </w:r>
                            <w:r w:rsidRPr="000F4969">
                              <w:t xml:space="preserve">kidney transplantation as a </w:t>
                            </w:r>
                            <w:r>
                              <w:t>quality improvement measure</w:t>
                            </w:r>
                            <w:r w:rsidRPr="000F4969">
                              <w:t xml:space="preserve"> (see also recommendations for KPI</w:t>
                            </w:r>
                            <w:r>
                              <w:t xml:space="preserve"> </w:t>
                            </w:r>
                            <w:r w:rsidRPr="000F4969">
                              <w:t>5).</w:t>
                            </w:r>
                          </w:p>
                          <w:p w14:paraId="0726E69E" w14:textId="14BA4483" w:rsidR="00AE683F" w:rsidRPr="0005708D" w:rsidRDefault="00AE683F" w:rsidP="00343A2D">
                            <w:pPr>
                              <w:pStyle w:val="PulloutText"/>
                            </w:pPr>
                            <w:r w:rsidRPr="00564975">
                              <w:t>KPI</w:t>
                            </w:r>
                            <w:r>
                              <w:t xml:space="preserve"> </w:t>
                            </w:r>
                            <w:r w:rsidRPr="000F4969">
                              <w:t>6 should be modified</w:t>
                            </w:r>
                            <w:r>
                              <w:t xml:space="preserve"> to address the high</w:t>
                            </w:r>
                            <w:r w:rsidRPr="0005708D">
                              <w:t xml:space="preserve"> </w:t>
                            </w:r>
                            <w:r w:rsidRPr="00B1282F">
                              <w:t>varia</w:t>
                            </w:r>
                            <w:r>
                              <w:t xml:space="preserve">tion and </w:t>
                            </w:r>
                            <w:r w:rsidRPr="000F4969">
                              <w:t>low number of applicable patients for many hub services.</w:t>
                            </w:r>
                          </w:p>
                          <w:p w14:paraId="7A69E6C8" w14:textId="1FDB3B89" w:rsidR="00AE683F" w:rsidRPr="00F35A12" w:rsidRDefault="00AE683F" w:rsidP="00343A2D">
                            <w:pPr>
                              <w:pStyle w:val="PulloutText"/>
                            </w:pPr>
                            <w:r w:rsidRPr="0005708D">
                              <w:t>We r</w:t>
                            </w:r>
                            <w:r w:rsidRPr="00564975">
                              <w:t>ecommend KPI</w:t>
                            </w:r>
                            <w:r>
                              <w:t xml:space="preserve"> </w:t>
                            </w:r>
                            <w:r w:rsidRPr="000F4969">
                              <w:t xml:space="preserve">6 </w:t>
                            </w:r>
                            <w:r>
                              <w:t>instead capture</w:t>
                            </w:r>
                            <w:r w:rsidRPr="000F4969">
                              <w:t xml:space="preserve"> renal transplant status</w:t>
                            </w:r>
                            <w:r>
                              <w:t>, recording</w:t>
                            </w:r>
                            <w:r w:rsidRPr="00564975">
                              <w:t xml:space="preserve"> a patient’s transplant status at </w:t>
                            </w:r>
                            <w:r w:rsidRPr="00B1282F">
                              <w:t>six</w:t>
                            </w:r>
                            <w:r w:rsidRPr="00F35A12">
                              <w:t xml:space="preserve"> and 12 months after beginning RRT, documenting whether they are:</w:t>
                            </w:r>
                          </w:p>
                          <w:p w14:paraId="4BC77284" w14:textId="77777777" w:rsidR="00AE683F" w:rsidRPr="00F35A12" w:rsidRDefault="00AE683F" w:rsidP="00343A2D">
                            <w:pPr>
                              <w:pStyle w:val="PulloutText"/>
                              <w:numPr>
                                <w:ilvl w:val="0"/>
                                <w:numId w:val="91"/>
                              </w:numPr>
                            </w:pPr>
                            <w:bookmarkStart w:id="85" w:name="_Hlk535578847"/>
                            <w:r w:rsidRPr="00F35A12">
                              <w:t>transplanted from a living kidney donor (including pre-emptive)</w:t>
                            </w:r>
                          </w:p>
                          <w:p w14:paraId="3D810ABE" w14:textId="77777777" w:rsidR="00AE683F" w:rsidRPr="00343A2D" w:rsidRDefault="00AE683F" w:rsidP="00343A2D">
                            <w:pPr>
                              <w:pStyle w:val="PulloutText"/>
                              <w:numPr>
                                <w:ilvl w:val="0"/>
                                <w:numId w:val="91"/>
                              </w:numPr>
                            </w:pPr>
                            <w:r w:rsidRPr="00343A2D">
                              <w:t>transplanted from a deceased kidney donor</w:t>
                            </w:r>
                          </w:p>
                          <w:p w14:paraId="1A85FE3B" w14:textId="77777777" w:rsidR="00AE683F" w:rsidRPr="00343A2D" w:rsidRDefault="00AE683F" w:rsidP="00343A2D">
                            <w:pPr>
                              <w:pStyle w:val="PulloutText"/>
                              <w:numPr>
                                <w:ilvl w:val="0"/>
                                <w:numId w:val="91"/>
                              </w:numPr>
                            </w:pPr>
                            <w:r w:rsidRPr="00343A2D">
                              <w:t>active on the deceased donor kidney transplant waiting list</w:t>
                            </w:r>
                          </w:p>
                          <w:p w14:paraId="2176E3CB" w14:textId="77777777" w:rsidR="00AE683F" w:rsidRPr="00343A2D" w:rsidRDefault="00AE683F" w:rsidP="00343A2D">
                            <w:pPr>
                              <w:pStyle w:val="PulloutText"/>
                              <w:numPr>
                                <w:ilvl w:val="0"/>
                                <w:numId w:val="91"/>
                              </w:numPr>
                            </w:pPr>
                            <w:r w:rsidRPr="00343A2D">
                              <w:t>under assessment for kidney transplantation</w:t>
                            </w:r>
                          </w:p>
                          <w:p w14:paraId="690DABB9" w14:textId="77777777" w:rsidR="00AE683F" w:rsidRPr="00343A2D" w:rsidRDefault="00AE683F" w:rsidP="00343A2D">
                            <w:pPr>
                              <w:pStyle w:val="PulloutText"/>
                              <w:numPr>
                                <w:ilvl w:val="0"/>
                                <w:numId w:val="91"/>
                              </w:numPr>
                            </w:pPr>
                            <w:r w:rsidRPr="00343A2D">
                              <w:t>not proceeding to kidney transplantation.</w:t>
                            </w:r>
                          </w:p>
                          <w:bookmarkEnd w:id="85"/>
                          <w:p w14:paraId="350CED40" w14:textId="77777777" w:rsidR="00AE683F" w:rsidRPr="00343A2D" w:rsidRDefault="00AE683F" w:rsidP="00343A2D">
                            <w:pPr>
                              <w:pStyle w:val="PulloutText"/>
                            </w:pPr>
                            <w:r w:rsidRPr="00343A2D">
                              <w:t>We recommend that the target group for the above kidney transplant status KPI be:</w:t>
                            </w:r>
                          </w:p>
                          <w:p w14:paraId="4BF67961" w14:textId="6D94BD21" w:rsidR="00AE683F" w:rsidRPr="00343A2D" w:rsidRDefault="00AE683F" w:rsidP="00343A2D">
                            <w:pPr>
                              <w:pStyle w:val="PulloutText"/>
                              <w:numPr>
                                <w:ilvl w:val="0"/>
                                <w:numId w:val="92"/>
                              </w:numPr>
                            </w:pPr>
                            <w:r w:rsidRPr="00343A2D">
                              <w:t xml:space="preserve">new patients requiring RRT </w:t>
                            </w:r>
                            <w:r>
                              <w:t>at</w:t>
                            </w:r>
                            <w:r w:rsidR="00B1680C">
                              <w:t xml:space="preserve"> </w:t>
                            </w:r>
                            <w:r w:rsidRPr="00343A2D">
                              <w:t>70 years of age</w:t>
                            </w:r>
                            <w:r>
                              <w:t xml:space="preserve"> or younger</w:t>
                            </w:r>
                            <w:r w:rsidRPr="00343A2D">
                              <w:t xml:space="preserve"> </w:t>
                            </w:r>
                            <w:r>
                              <w:t xml:space="preserve">when </w:t>
                            </w:r>
                            <w:r w:rsidRPr="00343A2D">
                              <w:t>RRT commence</w:t>
                            </w:r>
                            <w:r>
                              <w:t>d</w:t>
                            </w:r>
                          </w:p>
                          <w:p w14:paraId="499B62DE" w14:textId="77777777" w:rsidR="00AE683F" w:rsidRPr="00343A2D" w:rsidRDefault="00AE683F" w:rsidP="00343A2D">
                            <w:pPr>
                              <w:pStyle w:val="PulloutText"/>
                              <w:numPr>
                                <w:ilvl w:val="0"/>
                                <w:numId w:val="92"/>
                              </w:numPr>
                            </w:pPr>
                            <w:r w:rsidRPr="00343A2D">
                              <w:t>late-presenters not excluded.</w:t>
                            </w:r>
                          </w:p>
                          <w:p w14:paraId="692CB650" w14:textId="759EA78A" w:rsidR="00AE683F" w:rsidRPr="0005708D" w:rsidRDefault="00AE683F" w:rsidP="00343A2D">
                            <w:pPr>
                              <w:pStyle w:val="PulloutText"/>
                            </w:pPr>
                            <w:r w:rsidRPr="000F4969">
                              <w:t xml:space="preserve">We recommend that the performance </w:t>
                            </w:r>
                            <w:r>
                              <w:t>for this KPI</w:t>
                            </w:r>
                            <w:r w:rsidRPr="000F4969">
                              <w:t xml:space="preserve"> be monitored with a benchmarking approach (that is, data comparison between services, with no targets). </w:t>
                            </w:r>
                          </w:p>
                          <w:p w14:paraId="735B08D4" w14:textId="6070DF15" w:rsidR="00AE683F" w:rsidRPr="00F35A12" w:rsidRDefault="00AE683F" w:rsidP="00343A2D">
                            <w:pPr>
                              <w:pStyle w:val="PulloutText"/>
                            </w:pPr>
                            <w:r w:rsidRPr="00564975">
                              <w:t>We r</w:t>
                            </w:r>
                            <w:r w:rsidRPr="00B1282F">
                              <w:t xml:space="preserve">ecommend that access to kidney transplantation results be interpreted in the context of kidney transplantation </w:t>
                            </w:r>
                            <w:r>
                              <w:t xml:space="preserve">outcomes data </w:t>
                            </w:r>
                            <w:r w:rsidRPr="00B1282F">
                              <w:t xml:space="preserve">at that service, measured by: </w:t>
                            </w:r>
                          </w:p>
                          <w:p w14:paraId="066EB131" w14:textId="22A99939" w:rsidR="00AE683F" w:rsidRPr="00343A2D" w:rsidRDefault="00AE683F" w:rsidP="00343A2D">
                            <w:pPr>
                              <w:pStyle w:val="PulloutText"/>
                              <w:numPr>
                                <w:ilvl w:val="0"/>
                                <w:numId w:val="93"/>
                              </w:numPr>
                            </w:pPr>
                            <w:r w:rsidRPr="00F35A12">
                              <w:t>ANZDATA outcomes of the standardised mortality ratio at one year for tr</w:t>
                            </w:r>
                            <w:r w:rsidRPr="00343A2D">
                              <w:t>ansplant recipients</w:t>
                            </w:r>
                          </w:p>
                          <w:p w14:paraId="2543CBAF" w14:textId="3C6C122E" w:rsidR="00AE683F" w:rsidRPr="00B1282F" w:rsidRDefault="00AE683F" w:rsidP="006464FB">
                            <w:pPr>
                              <w:pStyle w:val="PulloutText"/>
                              <w:numPr>
                                <w:ilvl w:val="0"/>
                                <w:numId w:val="93"/>
                              </w:numPr>
                            </w:pPr>
                            <w:r w:rsidRPr="00DB6E2B">
                              <w:t>ANZDATA outcomes of the risk-adjusted graft failure ratio at one year for transplant recipients.</w:t>
                            </w:r>
                          </w:p>
                        </w:txbxContent>
                      </wps:txbx>
                      <wps:bodyPr rot="0" vert="horz" wrap="square" lIns="180000" tIns="180000" rIns="144000" bIns="36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1EE3A5" id="_x0000_s1032" type="#_x0000_t202" style="width:509pt;height:1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" fillcolor="#edf5f7 [3214]" strokecolor="#edf5f7 [3214]" strokeweight=".5pt">
                <v:textbox style="mso-fit-shape-to-text:t" inset="5mm,5mm,4mm,1mm">
                  <w:txbxContent>
                    <w:p w14:paraId="45331083" w14:textId="77777777" w:rsidR="00AE683F" w:rsidRPr="004D6898" w:rsidRDefault="00AE683F" w:rsidP="006464FB">
                      <w:pPr>
                        <w:pStyle w:val="PulloutHeading"/>
                      </w:pPr>
                      <w:r>
                        <w:t>Recommendations and next steps</w:t>
                      </w:r>
                    </w:p>
                    <w:p w14:paraId="0125186E" w14:textId="1CEC3E6C" w:rsidR="00AE683F" w:rsidRPr="0005708D" w:rsidRDefault="00AE683F" w:rsidP="00343A2D">
                      <w:pPr>
                        <w:pStyle w:val="PulloutText"/>
                      </w:pPr>
                      <w:r w:rsidRPr="00564975">
                        <w:t>We r</w:t>
                      </w:r>
                      <w:r w:rsidRPr="00B1282F">
                        <w:t xml:space="preserve">ecommend that </w:t>
                      </w:r>
                      <w:r>
                        <w:t>the Renal Clinical Network continues to monitor</w:t>
                      </w:r>
                      <w:r w:rsidRPr="000F4969">
                        <w:t xml:space="preserve"> </w:t>
                      </w:r>
                      <w:r>
                        <w:t xml:space="preserve">access to </w:t>
                      </w:r>
                      <w:r w:rsidRPr="000F4969">
                        <w:t xml:space="preserve">kidney transplantation as a </w:t>
                      </w:r>
                      <w:r>
                        <w:t>quality improvement measure</w:t>
                      </w:r>
                      <w:r w:rsidRPr="000F4969">
                        <w:t xml:space="preserve"> (see also recommendations for KPI</w:t>
                      </w:r>
                      <w:r>
                        <w:t xml:space="preserve"> </w:t>
                      </w:r>
                      <w:r w:rsidRPr="000F4969">
                        <w:t>5).</w:t>
                      </w:r>
                    </w:p>
                    <w:p w14:paraId="0726E69E" w14:textId="14BA4483" w:rsidR="00AE683F" w:rsidRPr="0005708D" w:rsidRDefault="00AE683F" w:rsidP="00343A2D">
                      <w:pPr>
                        <w:pStyle w:val="PulloutText"/>
                      </w:pPr>
                      <w:r w:rsidRPr="00564975">
                        <w:t>KPI</w:t>
                      </w:r>
                      <w:r>
                        <w:t xml:space="preserve"> </w:t>
                      </w:r>
                      <w:r w:rsidRPr="000F4969">
                        <w:t>6 should be modified</w:t>
                      </w:r>
                      <w:r>
                        <w:t xml:space="preserve"> to address the high</w:t>
                      </w:r>
                      <w:r w:rsidRPr="0005708D">
                        <w:t xml:space="preserve"> </w:t>
                      </w:r>
                      <w:r w:rsidRPr="00B1282F">
                        <w:t>varia</w:t>
                      </w:r>
                      <w:r>
                        <w:t xml:space="preserve">tion and </w:t>
                      </w:r>
                      <w:r w:rsidRPr="000F4969">
                        <w:t>low number of applicable patients for many hub services.</w:t>
                      </w:r>
                    </w:p>
                    <w:p w14:paraId="7A69E6C8" w14:textId="1FDB3B89" w:rsidR="00AE683F" w:rsidRPr="00F35A12" w:rsidRDefault="00AE683F" w:rsidP="00343A2D">
                      <w:pPr>
                        <w:pStyle w:val="PulloutText"/>
                      </w:pPr>
                      <w:r w:rsidRPr="0005708D">
                        <w:t>We r</w:t>
                      </w:r>
                      <w:r w:rsidRPr="00564975">
                        <w:t>ecommend KPI</w:t>
                      </w:r>
                      <w:r>
                        <w:t xml:space="preserve"> </w:t>
                      </w:r>
                      <w:r w:rsidRPr="000F4969">
                        <w:t xml:space="preserve">6 </w:t>
                      </w:r>
                      <w:r>
                        <w:t>instead capture</w:t>
                      </w:r>
                      <w:r w:rsidRPr="000F4969">
                        <w:t xml:space="preserve"> renal transplant status</w:t>
                      </w:r>
                      <w:r>
                        <w:t>, recording</w:t>
                      </w:r>
                      <w:r w:rsidRPr="00564975">
                        <w:t xml:space="preserve"> a patient’s transplant status at </w:t>
                      </w:r>
                      <w:r w:rsidRPr="00B1282F">
                        <w:t>six</w:t>
                      </w:r>
                      <w:r w:rsidRPr="00F35A12">
                        <w:t xml:space="preserve"> and 12 months after beginning RRT, documenting whether they are:</w:t>
                      </w:r>
                    </w:p>
                    <w:p w14:paraId="4BC77284" w14:textId="77777777" w:rsidR="00AE683F" w:rsidRPr="00F35A12" w:rsidRDefault="00AE683F" w:rsidP="00343A2D">
                      <w:pPr>
                        <w:pStyle w:val="PulloutText"/>
                        <w:numPr>
                          <w:ilvl w:val="0"/>
                          <w:numId w:val="91"/>
                        </w:numPr>
                      </w:pPr>
                      <w:bookmarkStart w:id="86" w:name="_Hlk535578847"/>
                      <w:r w:rsidRPr="00F35A12">
                        <w:t>transplanted from a living kidney donor (including pre-emptive)</w:t>
                      </w:r>
                    </w:p>
                    <w:p w14:paraId="3D810ABE" w14:textId="77777777" w:rsidR="00AE683F" w:rsidRPr="00343A2D" w:rsidRDefault="00AE683F" w:rsidP="00343A2D">
                      <w:pPr>
                        <w:pStyle w:val="PulloutText"/>
                        <w:numPr>
                          <w:ilvl w:val="0"/>
                          <w:numId w:val="91"/>
                        </w:numPr>
                      </w:pPr>
                      <w:r w:rsidRPr="00343A2D">
                        <w:t>transplanted from a deceased kidney donor</w:t>
                      </w:r>
                    </w:p>
                    <w:p w14:paraId="1A85FE3B" w14:textId="77777777" w:rsidR="00AE683F" w:rsidRPr="00343A2D" w:rsidRDefault="00AE683F" w:rsidP="00343A2D">
                      <w:pPr>
                        <w:pStyle w:val="PulloutText"/>
                        <w:numPr>
                          <w:ilvl w:val="0"/>
                          <w:numId w:val="91"/>
                        </w:numPr>
                      </w:pPr>
                      <w:r w:rsidRPr="00343A2D">
                        <w:t>active on the deceased donor kidney transplant waiting list</w:t>
                      </w:r>
                    </w:p>
                    <w:p w14:paraId="2176E3CB" w14:textId="77777777" w:rsidR="00AE683F" w:rsidRPr="00343A2D" w:rsidRDefault="00AE683F" w:rsidP="00343A2D">
                      <w:pPr>
                        <w:pStyle w:val="PulloutText"/>
                        <w:numPr>
                          <w:ilvl w:val="0"/>
                          <w:numId w:val="91"/>
                        </w:numPr>
                      </w:pPr>
                      <w:r w:rsidRPr="00343A2D">
                        <w:t>under assessment for kidney transplantation</w:t>
                      </w:r>
                    </w:p>
                    <w:p w14:paraId="690DABB9" w14:textId="77777777" w:rsidR="00AE683F" w:rsidRPr="00343A2D" w:rsidRDefault="00AE683F" w:rsidP="00343A2D">
                      <w:pPr>
                        <w:pStyle w:val="PulloutText"/>
                        <w:numPr>
                          <w:ilvl w:val="0"/>
                          <w:numId w:val="91"/>
                        </w:numPr>
                      </w:pPr>
                      <w:r w:rsidRPr="00343A2D">
                        <w:t>not proceeding to kidney transplantation.</w:t>
                      </w:r>
                    </w:p>
                    <w:bookmarkEnd w:id="86"/>
                    <w:p w14:paraId="350CED40" w14:textId="77777777" w:rsidR="00AE683F" w:rsidRPr="00343A2D" w:rsidRDefault="00AE683F" w:rsidP="00343A2D">
                      <w:pPr>
                        <w:pStyle w:val="PulloutText"/>
                      </w:pPr>
                      <w:r w:rsidRPr="00343A2D">
                        <w:t>We recommend that the target group for the above kidney transplant status KPI be:</w:t>
                      </w:r>
                    </w:p>
                    <w:p w14:paraId="4BF67961" w14:textId="6D94BD21" w:rsidR="00AE683F" w:rsidRPr="00343A2D" w:rsidRDefault="00AE683F" w:rsidP="00343A2D">
                      <w:pPr>
                        <w:pStyle w:val="PulloutText"/>
                        <w:numPr>
                          <w:ilvl w:val="0"/>
                          <w:numId w:val="92"/>
                        </w:numPr>
                      </w:pPr>
                      <w:r w:rsidRPr="00343A2D">
                        <w:t xml:space="preserve">new patients requiring RRT </w:t>
                      </w:r>
                      <w:r>
                        <w:t>at</w:t>
                      </w:r>
                      <w:r w:rsidR="00B1680C">
                        <w:t xml:space="preserve"> </w:t>
                      </w:r>
                      <w:r w:rsidRPr="00343A2D">
                        <w:t>70 years of age</w:t>
                      </w:r>
                      <w:r>
                        <w:t xml:space="preserve"> or younger</w:t>
                      </w:r>
                      <w:r w:rsidRPr="00343A2D">
                        <w:t xml:space="preserve"> </w:t>
                      </w:r>
                      <w:r>
                        <w:t xml:space="preserve">when </w:t>
                      </w:r>
                      <w:r w:rsidRPr="00343A2D">
                        <w:t>RRT commence</w:t>
                      </w:r>
                      <w:r>
                        <w:t>d</w:t>
                      </w:r>
                    </w:p>
                    <w:p w14:paraId="499B62DE" w14:textId="77777777" w:rsidR="00AE683F" w:rsidRPr="00343A2D" w:rsidRDefault="00AE683F" w:rsidP="00343A2D">
                      <w:pPr>
                        <w:pStyle w:val="PulloutText"/>
                        <w:numPr>
                          <w:ilvl w:val="0"/>
                          <w:numId w:val="92"/>
                        </w:numPr>
                      </w:pPr>
                      <w:r w:rsidRPr="00343A2D">
                        <w:t>late-presenters not excluded.</w:t>
                      </w:r>
                    </w:p>
                    <w:p w14:paraId="692CB650" w14:textId="759EA78A" w:rsidR="00AE683F" w:rsidRPr="0005708D" w:rsidRDefault="00AE683F" w:rsidP="00343A2D">
                      <w:pPr>
                        <w:pStyle w:val="PulloutText"/>
                      </w:pPr>
                      <w:r w:rsidRPr="000F4969">
                        <w:t xml:space="preserve">We recommend that the performance </w:t>
                      </w:r>
                      <w:r>
                        <w:t>for this KPI</w:t>
                      </w:r>
                      <w:r w:rsidRPr="000F4969">
                        <w:t xml:space="preserve"> be monitored with a benchmarking approach (that is, data comparison between services, with no targets). </w:t>
                      </w:r>
                    </w:p>
                    <w:p w14:paraId="735B08D4" w14:textId="6070DF15" w:rsidR="00AE683F" w:rsidRPr="00F35A12" w:rsidRDefault="00AE683F" w:rsidP="00343A2D">
                      <w:pPr>
                        <w:pStyle w:val="PulloutText"/>
                      </w:pPr>
                      <w:r w:rsidRPr="00564975">
                        <w:t>We r</w:t>
                      </w:r>
                      <w:r w:rsidRPr="00B1282F">
                        <w:t xml:space="preserve">ecommend that access to kidney transplantation results be interpreted in the context of kidney transplantation </w:t>
                      </w:r>
                      <w:r>
                        <w:t xml:space="preserve">outcomes data </w:t>
                      </w:r>
                      <w:r w:rsidRPr="00B1282F">
                        <w:t xml:space="preserve">at that service, measured by: </w:t>
                      </w:r>
                    </w:p>
                    <w:p w14:paraId="066EB131" w14:textId="22A99939" w:rsidR="00AE683F" w:rsidRPr="00343A2D" w:rsidRDefault="00AE683F" w:rsidP="00343A2D">
                      <w:pPr>
                        <w:pStyle w:val="PulloutText"/>
                        <w:numPr>
                          <w:ilvl w:val="0"/>
                          <w:numId w:val="93"/>
                        </w:numPr>
                      </w:pPr>
                      <w:r w:rsidRPr="00F35A12">
                        <w:t>ANZDATA outcomes of the standardised mortality ratio at one year for tr</w:t>
                      </w:r>
                      <w:r w:rsidRPr="00343A2D">
                        <w:t>ansplant recipients</w:t>
                      </w:r>
                    </w:p>
                    <w:p w14:paraId="2543CBAF" w14:textId="3C6C122E" w:rsidR="00AE683F" w:rsidRPr="00B1282F" w:rsidRDefault="00AE683F" w:rsidP="006464FB">
                      <w:pPr>
                        <w:pStyle w:val="PulloutText"/>
                        <w:numPr>
                          <w:ilvl w:val="0"/>
                          <w:numId w:val="93"/>
                        </w:numPr>
                      </w:pPr>
                      <w:r w:rsidRPr="00DB6E2B">
                        <w:t>ANZDATA outcomes of the risk-adjusted graft failure ratio at one year for transplant recipients.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A65746" w14:textId="77777777" w:rsidR="009110F5" w:rsidRDefault="009110F5" w:rsidP="009110F5"/>
    <w:p w14:paraId="6348FDD0" w14:textId="2E44FCE3" w:rsidR="009110F5" w:rsidRPr="009110F5" w:rsidRDefault="009110F5" w:rsidP="009110F5">
      <w:pPr>
        <w:pStyle w:val="Heading1numbered"/>
        <w:framePr w:wrap="around"/>
        <w:numPr>
          <w:ilvl w:val="0"/>
          <w:numId w:val="0"/>
        </w:numPr>
      </w:pPr>
      <w:bookmarkStart w:id="87" w:name="_Toc17103964"/>
      <w:r w:rsidRPr="009110F5">
        <w:t>Patient-reported outcomes and experiences</w:t>
      </w:r>
      <w:bookmarkEnd w:id="87"/>
    </w:p>
    <w:p w14:paraId="023DFFF1" w14:textId="77777777" w:rsidR="009110F5" w:rsidRPr="000F4969" w:rsidRDefault="009110F5" w:rsidP="003E353E">
      <w:pPr>
        <w:pStyle w:val="Heading2"/>
      </w:pPr>
      <w:r w:rsidRPr="00BB6413">
        <w:t xml:space="preserve">Definitions </w:t>
      </w:r>
      <w:r>
        <w:t>and background</w:t>
      </w:r>
    </w:p>
    <w:p w14:paraId="1F906FD5" w14:textId="7E289F4F" w:rsidR="009110F5" w:rsidRPr="000D70FC" w:rsidRDefault="009110F5" w:rsidP="009110F5">
      <w:r w:rsidRPr="009110F5">
        <w:rPr>
          <w:rFonts w:ascii="VIC SemiBold" w:hAnsi="VIC SemiBold"/>
        </w:rPr>
        <w:t>Patient-reported outcomes (PROs)</w:t>
      </w:r>
      <w:r w:rsidR="00B1680C">
        <w:rPr>
          <w:rFonts w:ascii="VIC SemiBold" w:hAnsi="VIC SemiBold"/>
        </w:rPr>
        <w:t>:</w:t>
      </w:r>
      <w:r w:rsidRPr="009110F5">
        <w:rPr>
          <w:rFonts w:ascii="VIC SemiBold" w:hAnsi="VIC SemiBold"/>
        </w:rPr>
        <w:t xml:space="preserve"> </w:t>
      </w:r>
      <w:r w:rsidRPr="000D70FC">
        <w:t>PROs provide direct reports from patients about their own health, quality of life, symptoms or functional status associated with healthcare or treatment received (for example, rating of pain).</w:t>
      </w:r>
    </w:p>
    <w:p w14:paraId="031F0977" w14:textId="3485F5FD" w:rsidR="009110F5" w:rsidRPr="000D70FC" w:rsidRDefault="009110F5" w:rsidP="009110F5">
      <w:r w:rsidRPr="009110F5">
        <w:rPr>
          <w:rFonts w:ascii="VIC SemiBold" w:hAnsi="VIC SemiBold"/>
        </w:rPr>
        <w:t>Patient-reported outcome measures (PROMs)</w:t>
      </w:r>
      <w:r w:rsidR="00B1680C">
        <w:rPr>
          <w:rFonts w:ascii="VIC SemiBold" w:hAnsi="VIC SemiBold"/>
        </w:rPr>
        <w:t>:</w:t>
      </w:r>
      <w:r w:rsidRPr="000D70FC">
        <w:rPr>
          <w:vertAlign w:val="superscript"/>
        </w:rPr>
        <w:t>40–42</w:t>
      </w:r>
      <w:r w:rsidR="00B1680C">
        <w:rPr>
          <w:vertAlign w:val="superscript"/>
        </w:rPr>
        <w:t xml:space="preserve"> </w:t>
      </w:r>
      <w:r w:rsidRPr="000D70FC">
        <w:t>PROMs are tools or instruments used to report PROs (for example, self-completed questionnaires).</w:t>
      </w:r>
    </w:p>
    <w:p w14:paraId="58BABE7F" w14:textId="123AA8BB" w:rsidR="009110F5" w:rsidRPr="000D70FC" w:rsidRDefault="009110F5" w:rsidP="009110F5">
      <w:r w:rsidRPr="009110F5">
        <w:rPr>
          <w:rFonts w:ascii="VIC SemiBold" w:hAnsi="VIC SemiBold"/>
        </w:rPr>
        <w:t>Patient-reported experience measures (PREMs)</w:t>
      </w:r>
      <w:r w:rsidR="00B1680C">
        <w:rPr>
          <w:rFonts w:ascii="VIC SemiBold" w:hAnsi="VIC SemiBold"/>
        </w:rPr>
        <w:t>:</w:t>
      </w:r>
      <w:r w:rsidRPr="009110F5">
        <w:rPr>
          <w:rFonts w:ascii="VIC SemiBold" w:hAnsi="VIC SemiBold"/>
        </w:rPr>
        <w:t xml:space="preserve"> </w:t>
      </w:r>
      <w:r w:rsidRPr="000D70FC">
        <w:t xml:space="preserve">PREMs provide insight into patients’ experiences with care or a health service such as satisfaction scales and more general aspects (for example, customer service). </w:t>
      </w:r>
    </w:p>
    <w:p w14:paraId="0F2AE4AF" w14:textId="77777777" w:rsidR="009110F5" w:rsidRPr="000F4969" w:rsidRDefault="009110F5" w:rsidP="009110F5">
      <w:pPr>
        <w:pStyle w:val="Normalfollowingheading"/>
      </w:pPr>
      <w:r w:rsidRPr="00564975">
        <w:t>These measures are patient</w:t>
      </w:r>
      <w:r w:rsidRPr="00B1282F">
        <w:t>-</w:t>
      </w:r>
      <w:r w:rsidRPr="00F35A12">
        <w:t>focused.</w:t>
      </w:r>
      <w:r>
        <w:t xml:space="preserve"> </w:t>
      </w:r>
      <w:r w:rsidRPr="0005708D">
        <w:t xml:space="preserve">PREMS reflect </w:t>
      </w:r>
      <w:r w:rsidRPr="00564975">
        <w:t xml:space="preserve">an </w:t>
      </w:r>
      <w:r w:rsidRPr="00B1282F">
        <w:t xml:space="preserve">ongoing health service commitment </w:t>
      </w:r>
      <w:r>
        <w:t>to</w:t>
      </w:r>
      <w:r w:rsidRPr="000F4969">
        <w:t xml:space="preserve"> </w:t>
      </w:r>
      <w:r w:rsidRPr="0005708D">
        <w:t>involv</w:t>
      </w:r>
      <w:r>
        <w:t xml:space="preserve">e </w:t>
      </w:r>
      <w:r w:rsidRPr="000F4969">
        <w:t>patients and the public in developing</w:t>
      </w:r>
      <w:r w:rsidRPr="0005708D">
        <w:t xml:space="preserve"> and evaluating</w:t>
      </w:r>
      <w:r w:rsidRPr="00564975">
        <w:t xml:space="preserve"> healthcare service delivery and </w:t>
      </w:r>
      <w:r>
        <w:t>quality improvement</w:t>
      </w:r>
      <w:r w:rsidRPr="000F4969">
        <w:t>.</w:t>
      </w:r>
    </w:p>
    <w:p w14:paraId="7B93D02F" w14:textId="77777777" w:rsidR="009110F5" w:rsidRPr="000F4969" w:rsidRDefault="009110F5" w:rsidP="009110F5">
      <w:r w:rsidRPr="0005708D">
        <w:t>There is increasing international attention regarding use of PROMs and PREMs as quality indicators of patient care and safety.</w:t>
      </w:r>
      <w:r>
        <w:t xml:space="preserve"> </w:t>
      </w:r>
      <w:r w:rsidRPr="0005708D">
        <w:t>The U</w:t>
      </w:r>
      <w:r w:rsidRPr="00564975">
        <w:t xml:space="preserve">nited </w:t>
      </w:r>
      <w:r w:rsidRPr="00B1282F">
        <w:t>K</w:t>
      </w:r>
      <w:r w:rsidRPr="00F35A12">
        <w:t>ingdom (N</w:t>
      </w:r>
      <w:r w:rsidRPr="00343A2D">
        <w:t xml:space="preserve">ational Health Service) has mandatory reporting of PROMs </w:t>
      </w:r>
      <w:r>
        <w:t>for some of</w:t>
      </w:r>
      <w:r w:rsidRPr="00343A2D">
        <w:t xml:space="preserve"> its health services</w:t>
      </w:r>
      <w:r>
        <w:t xml:space="preserve">, </w:t>
      </w:r>
      <w:r w:rsidRPr="001C3FAD">
        <w:t xml:space="preserve">as well as a comprehensive PREMs program for renal services by the United Kingdom Renal Registry. </w:t>
      </w:r>
      <w:r w:rsidRPr="0005708D">
        <w:t>Large-</w:t>
      </w:r>
      <w:r w:rsidRPr="00564975">
        <w:t>scale use of these measures</w:t>
      </w:r>
      <w:r w:rsidRPr="00B1282F">
        <w:t xml:space="preserve"> r</w:t>
      </w:r>
      <w:r w:rsidRPr="00F35A12">
        <w:t xml:space="preserve">equires </w:t>
      </w:r>
      <w:r>
        <w:t xml:space="preserve">significant </w:t>
      </w:r>
      <w:r w:rsidRPr="00343A2D">
        <w:t>resources and infrastructure to co</w:t>
      </w:r>
      <w:r>
        <w:t xml:space="preserve">llect </w:t>
      </w:r>
      <w:r w:rsidRPr="000F4969">
        <w:t xml:space="preserve">and </w:t>
      </w:r>
      <w:r>
        <w:t>analyse</w:t>
      </w:r>
      <w:r w:rsidRPr="000F4969">
        <w:t xml:space="preserve"> data.</w:t>
      </w:r>
    </w:p>
    <w:p w14:paraId="70A68745" w14:textId="77777777" w:rsidR="009110F5" w:rsidRDefault="009110F5" w:rsidP="003E353E">
      <w:pPr>
        <w:pStyle w:val="Heading2"/>
      </w:pPr>
      <w:r>
        <w:t>Assessment</w:t>
      </w:r>
    </w:p>
    <w:p w14:paraId="3FA046FF" w14:textId="77777777" w:rsidR="009110F5" w:rsidRPr="00B1282F" w:rsidRDefault="009110F5" w:rsidP="009110F5">
      <w:pPr>
        <w:pStyle w:val="Normalfollowingheading"/>
      </w:pPr>
      <w:r w:rsidRPr="000C0F86">
        <w:t xml:space="preserve">PROMs and PREMs provide data </w:t>
      </w:r>
      <w:r>
        <w:t>on</w:t>
      </w:r>
      <w:r w:rsidRPr="000C0F86">
        <w:t xml:space="preserve"> how well a health service is performing from a patient-centred perspective.</w:t>
      </w:r>
      <w:r>
        <w:t xml:space="preserve"> Results from the</w:t>
      </w:r>
      <w:r w:rsidRPr="000F4969">
        <w:t xml:space="preserve"> KPI survey support</w:t>
      </w:r>
      <w:r w:rsidRPr="0005708D">
        <w:t xml:space="preserve"> the systematic collection and monitoring of PROMs</w:t>
      </w:r>
      <w:r w:rsidRPr="00564975">
        <w:t xml:space="preserve"> and PREMs data by </w:t>
      </w:r>
      <w:r>
        <w:t>the</w:t>
      </w:r>
      <w:r w:rsidRPr="00564975">
        <w:t xml:space="preserve"> </w:t>
      </w:r>
      <w:r>
        <w:t>Renal Clinical Network</w:t>
      </w:r>
      <w:r w:rsidRPr="00B1282F">
        <w:t xml:space="preserve"> (</w:t>
      </w:r>
      <w:r w:rsidRPr="00C9262C">
        <w:rPr>
          <w:b/>
        </w:rPr>
        <w:t>Appendix 1</w:t>
      </w:r>
      <w:r w:rsidRPr="00B1282F">
        <w:t>).</w:t>
      </w:r>
    </w:p>
    <w:p w14:paraId="02D071E4" w14:textId="77777777" w:rsidR="009110F5" w:rsidRPr="0005708D" w:rsidRDefault="009110F5" w:rsidP="009110F5">
      <w:r w:rsidRPr="00F35A12">
        <w:t>Between 2014 and 2015 the</w:t>
      </w:r>
      <w:r>
        <w:t xml:space="preserve"> </w:t>
      </w:r>
      <w:r w:rsidRPr="00343A2D">
        <w:t xml:space="preserve">Renal Clinical Network </w:t>
      </w:r>
      <w:r>
        <w:t>introduced</w:t>
      </w:r>
      <w:r w:rsidRPr="00343A2D">
        <w:t xml:space="preserve"> the POS-renal questionnaire and the </w:t>
      </w:r>
      <w:proofErr w:type="spellStart"/>
      <w:r w:rsidRPr="00343A2D">
        <w:t>Karnofsky</w:t>
      </w:r>
      <w:proofErr w:type="spellEnd"/>
      <w:r w:rsidRPr="00343A2D">
        <w:t xml:space="preserve"> performance scale every six months in stage 5 CKD patients over the age of 65 years.</w:t>
      </w:r>
      <w:r>
        <w:t xml:space="preserve"> </w:t>
      </w:r>
      <w:r w:rsidRPr="0005708D">
        <w:t xml:space="preserve">This process remains </w:t>
      </w:r>
      <w:r>
        <w:t>across many</w:t>
      </w:r>
      <w:r w:rsidRPr="0005708D">
        <w:t xml:space="preserve"> Victorian renal services.</w:t>
      </w:r>
      <w:r>
        <w:t xml:space="preserve"> </w:t>
      </w:r>
      <w:r w:rsidRPr="0005708D">
        <w:t>There is no organised process for collecting this PROMs data or analysing its impact on patient outcomes or care.</w:t>
      </w:r>
    </w:p>
    <w:p w14:paraId="11ADF5B9" w14:textId="77777777" w:rsidR="009110F5" w:rsidRDefault="009110F5" w:rsidP="009110F5">
      <w:r w:rsidRPr="00564975">
        <w:t>There is an existing ANZDATA working group looking at PROMs and PREMs</w:t>
      </w:r>
      <w:r w:rsidRPr="00B1282F">
        <w:t>.</w:t>
      </w:r>
      <w:r>
        <w:t xml:space="preserve"> </w:t>
      </w:r>
    </w:p>
    <w:p w14:paraId="59B86F08" w14:textId="77777777" w:rsidR="009110F5" w:rsidRPr="0005708D" w:rsidRDefault="009110F5" w:rsidP="009110F5">
      <w:r w:rsidRPr="0005708D">
        <w:t>Existing tools include:</w:t>
      </w:r>
    </w:p>
    <w:p w14:paraId="138878ED" w14:textId="799C1483" w:rsidR="009110F5" w:rsidRPr="00343A2D" w:rsidRDefault="009110F5" w:rsidP="009110F5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generic tools such as SF-36, EQ-5D, </w:t>
      </w:r>
      <w:proofErr w:type="spellStart"/>
      <w:r w:rsidRPr="00343A2D">
        <w:rPr>
          <w:rFonts w:ascii="VIC" w:hAnsi="VIC"/>
        </w:rPr>
        <w:t>EuroQ</w:t>
      </w:r>
      <w:r w:rsidR="00B1680C">
        <w:rPr>
          <w:rFonts w:ascii="VIC" w:hAnsi="VIC"/>
        </w:rPr>
        <w:t>o</w:t>
      </w:r>
      <w:r w:rsidRPr="00343A2D">
        <w:rPr>
          <w:rFonts w:ascii="VIC" w:hAnsi="VIC"/>
        </w:rPr>
        <w:t>l</w:t>
      </w:r>
      <w:proofErr w:type="spellEnd"/>
    </w:p>
    <w:p w14:paraId="7593C89A" w14:textId="77777777" w:rsidR="009110F5" w:rsidRPr="00343A2D" w:rsidRDefault="009110F5" w:rsidP="009110F5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renal-specific tools such as KDQOL (adapted from SF-36), POS-renal.</w:t>
      </w:r>
    </w:p>
    <w:p w14:paraId="4183B81A" w14:textId="77777777" w:rsidR="009110F5" w:rsidRPr="00F35A12" w:rsidRDefault="009110F5" w:rsidP="009110F5">
      <w:proofErr w:type="gramStart"/>
      <w:r w:rsidRPr="000F4969">
        <w:t>Sufficient</w:t>
      </w:r>
      <w:proofErr w:type="gramEnd"/>
      <w:r w:rsidRPr="000F4969">
        <w:t xml:space="preserve"> infrastructure would be needed to collect this data.</w:t>
      </w:r>
      <w:r>
        <w:t xml:space="preserve"> </w:t>
      </w:r>
      <w:r w:rsidRPr="0005708D">
        <w:t>Including</w:t>
      </w:r>
      <w:r w:rsidRPr="00564975">
        <w:t xml:space="preserve"> </w:t>
      </w:r>
      <w:r>
        <w:t>patient-reported outcomes as well as</w:t>
      </w:r>
      <w:r w:rsidRPr="000F4969">
        <w:t xml:space="preserve"> </w:t>
      </w:r>
      <w:r w:rsidRPr="00F35A12">
        <w:t>clinical outcomes in research and clinical practice provides a more patient-centred understanding of the impact of an intervention, therapy or service.</w:t>
      </w:r>
    </w:p>
    <w:p w14:paraId="753A9688" w14:textId="77777777" w:rsidR="009110F5" w:rsidRPr="00343A2D" w:rsidRDefault="009110F5" w:rsidP="009110F5">
      <w:r w:rsidRPr="00343A2D">
        <w:lastRenderedPageBreak/>
        <w:t>Validity, sensitivity, reliability, generalisability and feasibility should influence selection.</w:t>
      </w:r>
      <w:r w:rsidRPr="006A733D">
        <w:t xml:space="preserve"> In addition, the benefits of PROMs and PREMs need to be assessed in the context of the costs and resources required to collect and analyse the data.</w:t>
      </w:r>
    </w:p>
    <w:p w14:paraId="63ADDE7C" w14:textId="77777777" w:rsidR="009110F5" w:rsidRDefault="009110F5" w:rsidP="009110F5">
      <w:r w:rsidRPr="00343A2D">
        <w:t>PROMS are recommended as a tier-1 (essential) outcome measure in the CKD ICHOM standard set</w:t>
      </w:r>
      <w:r>
        <w:t xml:space="preserve"> (</w:t>
      </w:r>
      <w:r w:rsidRPr="006A733D">
        <w:rPr>
          <w:b/>
        </w:rPr>
        <w:t>Appendix 6</w:t>
      </w:r>
      <w:r>
        <w:t>)</w:t>
      </w:r>
      <w:r w:rsidRPr="00343A2D">
        <w:t>. Suggested PROMs in the CKD ICHOM standard set include health-related quality of life, pain, fatigue, physical function, daily activity and depression.</w:t>
      </w:r>
      <w:r>
        <w:t xml:space="preserve"> </w:t>
      </w:r>
      <w:r w:rsidRPr="000F4969">
        <w:t>PREMs</w:t>
      </w:r>
      <w:r w:rsidRPr="0005708D">
        <w:t xml:space="preserve"> do not form part of the CKD ICHOM standard set.</w:t>
      </w:r>
      <w:r>
        <w:t xml:space="preserve"> </w:t>
      </w:r>
      <w:r w:rsidRPr="0005708D">
        <w:t>Clinical trials assessing the role of PROMs</w:t>
      </w:r>
      <w:r w:rsidRPr="00564975">
        <w:t xml:space="preserve"> in CKD care are in development (for example</w:t>
      </w:r>
      <w:r w:rsidRPr="00B1282F">
        <w:t>, the SWIFT trial).</w:t>
      </w:r>
      <w:r w:rsidRPr="00F35A12">
        <w:rPr>
          <w:vertAlign w:val="superscript"/>
        </w:rPr>
        <w:t>43</w:t>
      </w:r>
      <w:r w:rsidRPr="00F35A12">
        <w:t xml:space="preserve"> </w:t>
      </w:r>
    </w:p>
    <w:p w14:paraId="553D4FF4" w14:textId="10428CA1" w:rsidR="009110F5" w:rsidRDefault="009110F5">
      <w:r>
        <w:rPr>
          <w:noProof/>
        </w:rPr>
        <mc:AlternateContent>
          <mc:Choice Requires="wps">
            <w:drawing>
              <wp:inline distT="0" distB="0" distL="0" distR="0" wp14:anchorId="6419A65F" wp14:editId="471078F5">
                <wp:extent cx="6464410" cy="1764000"/>
                <wp:effectExtent l="0" t="0" r="12700" b="1778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410" cy="176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12520" w14:textId="77777777" w:rsidR="009110F5" w:rsidRPr="004D6898" w:rsidRDefault="009110F5" w:rsidP="009110F5">
                            <w:pPr>
                              <w:pStyle w:val="PulloutHeading"/>
                            </w:pPr>
                            <w:r>
                              <w:t>Recommendations and next steps</w:t>
                            </w:r>
                          </w:p>
                          <w:p w14:paraId="7469FC29" w14:textId="77777777" w:rsidR="009110F5" w:rsidRPr="0005708D" w:rsidRDefault="009110F5" w:rsidP="009110F5">
                            <w:pPr>
                              <w:pStyle w:val="PulloutText"/>
                            </w:pPr>
                            <w:r w:rsidRPr="00564975">
                              <w:t xml:space="preserve">There are </w:t>
                            </w:r>
                            <w:r w:rsidRPr="00B1282F">
                              <w:t xml:space="preserve">currently insufficient resources for </w:t>
                            </w:r>
                            <w:r>
                              <w:t xml:space="preserve">the Renal Clinical Network </w:t>
                            </w:r>
                            <w:r w:rsidRPr="00F35A12">
                              <w:t>to collect and report on PROMs or PREMs data in a comprehensive way.</w:t>
                            </w:r>
                            <w:r>
                              <w:t xml:space="preserve"> </w:t>
                            </w:r>
                            <w:r w:rsidRPr="0005708D">
                              <w:t>The systematic collection of PROMs and PR</w:t>
                            </w:r>
                            <w:r>
                              <w:t>E</w:t>
                            </w:r>
                            <w:r w:rsidRPr="0005708D">
                              <w:t>Ms data for Victorian renal patients may require collaboration with VAHI.</w:t>
                            </w:r>
                          </w:p>
                          <w:p w14:paraId="20FBB24C" w14:textId="77777777" w:rsidR="009110F5" w:rsidRPr="00B1282F" w:rsidRDefault="009110F5" w:rsidP="009110F5">
                            <w:pPr>
                              <w:pStyle w:val="PulloutText"/>
                            </w:pPr>
                            <w:r w:rsidRPr="00FD4AD8">
                              <w:t xml:space="preserve">The Renal Clinical Network should explore options with VAHI to systematically collect consumer outcome and experience data on Victorian renal patients. </w:t>
                            </w:r>
                            <w:r>
                              <w:t xml:space="preserve">We also recommend that the Renal Clinical Network </w:t>
                            </w:r>
                            <w:r w:rsidRPr="0005708D">
                              <w:t>monitor national plans (ANZDATA) for the introduction of PROMs and PREMs in CKD patie</w:t>
                            </w:r>
                            <w:r w:rsidRPr="00564975">
                              <w:t>nts, as well as emerging evidence in this area.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0" tIns="180000" rIns="144000" bIns="36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19A65F" id="_x0000_s1033" type="#_x0000_t202" style="width:509pt;height:1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" fillcolor="#edf5f7 [3214]" strokecolor="#edf5f7 [3214]" strokeweight=".5pt">
                <v:textbox style="mso-fit-shape-to-text:t" inset="5mm,5mm,4mm,1mm">
                  <w:txbxContent>
                    <w:p w14:paraId="2C312520" w14:textId="77777777" w:rsidR="009110F5" w:rsidRPr="004D6898" w:rsidRDefault="009110F5" w:rsidP="009110F5">
                      <w:pPr>
                        <w:pStyle w:val="PulloutHeading"/>
                      </w:pPr>
                      <w:r>
                        <w:t>Recommendations and next steps</w:t>
                      </w:r>
                    </w:p>
                    <w:p w14:paraId="7469FC29" w14:textId="77777777" w:rsidR="009110F5" w:rsidRPr="0005708D" w:rsidRDefault="009110F5" w:rsidP="009110F5">
                      <w:pPr>
                        <w:pStyle w:val="PulloutText"/>
                      </w:pPr>
                      <w:r w:rsidRPr="00564975">
                        <w:t xml:space="preserve">There are </w:t>
                      </w:r>
                      <w:r w:rsidRPr="00B1282F">
                        <w:t xml:space="preserve">currently insufficient resources for </w:t>
                      </w:r>
                      <w:r>
                        <w:t xml:space="preserve">the Renal Clinical Network </w:t>
                      </w:r>
                      <w:r w:rsidRPr="00F35A12">
                        <w:t>to collect and report on PROMs or PREMs data in a comprehensive way.</w:t>
                      </w:r>
                      <w:r>
                        <w:t xml:space="preserve"> </w:t>
                      </w:r>
                      <w:r w:rsidRPr="0005708D">
                        <w:t>The systematic collection of PROMs and PR</w:t>
                      </w:r>
                      <w:r>
                        <w:t>E</w:t>
                      </w:r>
                      <w:r w:rsidRPr="0005708D">
                        <w:t>Ms data for Victorian renal patients may require collaboration with VAHI.</w:t>
                      </w:r>
                    </w:p>
                    <w:p w14:paraId="20FBB24C" w14:textId="77777777" w:rsidR="009110F5" w:rsidRPr="00B1282F" w:rsidRDefault="009110F5" w:rsidP="009110F5">
                      <w:pPr>
                        <w:pStyle w:val="PulloutText"/>
                      </w:pPr>
                      <w:r w:rsidRPr="00FD4AD8">
                        <w:t xml:space="preserve">The Renal Clinical Network should explore options with VAHI to systematically collect consumer outcome and experience data on Victorian renal patients. </w:t>
                      </w:r>
                      <w:r>
                        <w:t xml:space="preserve">We also recommend that the Renal Clinical Network </w:t>
                      </w:r>
                      <w:r w:rsidRPr="0005708D">
                        <w:t>monitor national plans (ANZDATA) for the introduction of PROMs and PREMs in CKD patie</w:t>
                      </w:r>
                      <w:r w:rsidRPr="00564975">
                        <w:t>nts, as well as emerging evidence in this area.</w:t>
                      </w:r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C2D8D7" w14:textId="3866A7BA" w:rsidR="00564975" w:rsidRDefault="00564975">
      <w:r>
        <w:br w:type="page"/>
      </w:r>
    </w:p>
    <w:p w14:paraId="4B1DFA86" w14:textId="282699F1" w:rsidR="009110F5" w:rsidRPr="00B87E59" w:rsidRDefault="009110F5" w:rsidP="00B87E59">
      <w:pPr>
        <w:pStyle w:val="Heading1numbered"/>
        <w:framePr w:wrap="around"/>
        <w:numPr>
          <w:ilvl w:val="0"/>
          <w:numId w:val="0"/>
        </w:numPr>
      </w:pPr>
      <w:bookmarkStart w:id="88" w:name="_Toc17103965"/>
      <w:r w:rsidRPr="00B87E59">
        <w:lastRenderedPageBreak/>
        <w:t xml:space="preserve">ANZDATA </w:t>
      </w:r>
      <w:r w:rsidR="00B87E59">
        <w:t>r</w:t>
      </w:r>
      <w:r w:rsidRPr="00B87E59">
        <w:t>egistry</w:t>
      </w:r>
      <w:bookmarkEnd w:id="88"/>
    </w:p>
    <w:p w14:paraId="5820C3D0" w14:textId="77777777" w:rsidR="009110F5" w:rsidRDefault="009110F5" w:rsidP="00655832">
      <w:pPr>
        <w:pStyle w:val="Heading2"/>
      </w:pPr>
      <w:r>
        <w:t>About</w:t>
      </w:r>
    </w:p>
    <w:p w14:paraId="7C04FA4B" w14:textId="77777777" w:rsidR="009110F5" w:rsidRPr="00B1282F" w:rsidRDefault="009110F5" w:rsidP="009110F5">
      <w:pPr>
        <w:pStyle w:val="Normalfollowingheading"/>
        <w:spacing w:after="120" w:line="240" w:lineRule="atLeast"/>
      </w:pPr>
      <w:r>
        <w:t xml:space="preserve">The </w:t>
      </w:r>
      <w:r w:rsidRPr="000F4969">
        <w:t xml:space="preserve">ANZDATA </w:t>
      </w:r>
      <w:r>
        <w:t>registry</w:t>
      </w:r>
      <w:r w:rsidRPr="000F4969">
        <w:t xml:space="preserve"> monitor</w:t>
      </w:r>
      <w:r>
        <w:t>s</w:t>
      </w:r>
      <w:r w:rsidRPr="000F4969">
        <w:t xml:space="preserve"> epidemiological trends and patient outcomes for ESKD patients in Australia and New Zealand.</w:t>
      </w:r>
      <w:r>
        <w:t xml:space="preserve"> All </w:t>
      </w:r>
      <w:r w:rsidRPr="0005708D">
        <w:t>Victorian renal</w:t>
      </w:r>
      <w:r>
        <w:t xml:space="preserve"> hub</w:t>
      </w:r>
      <w:r w:rsidRPr="0005708D">
        <w:t xml:space="preserve"> </w:t>
      </w:r>
      <w:r w:rsidRPr="00B1282F">
        <w:t>service providers submit annual data on each dialysis and transplant patient to ANZDATA.</w:t>
      </w:r>
      <w:r w:rsidRPr="00351A8F">
        <w:t xml:space="preserve"> Other activities of ANZDATA include quality indicators, research projects, annual reports and clinical trials.  </w:t>
      </w:r>
    </w:p>
    <w:p w14:paraId="6603197D" w14:textId="77777777" w:rsidR="009110F5" w:rsidRDefault="009110F5" w:rsidP="009110F5">
      <w:pPr>
        <w:spacing w:before="120" w:after="120" w:line="240" w:lineRule="atLeast"/>
      </w:pPr>
      <w:r w:rsidRPr="00343A2D">
        <w:t>ANZDATA publishes annual hospital reports for both dialysis and transplant</w:t>
      </w:r>
      <w:r>
        <w:t xml:space="preserve">s, including </w:t>
      </w:r>
      <w:r w:rsidRPr="00046C82">
        <w:t xml:space="preserve">outcomes from each service over a five-year period. The Individual hospitals reports data includes patient survival, dialysis technique survival and transplant survival. The details of the Individual </w:t>
      </w:r>
      <w:proofErr w:type="gramStart"/>
      <w:r w:rsidRPr="00046C82">
        <w:t>hospitals</w:t>
      </w:r>
      <w:proofErr w:type="gramEnd"/>
      <w:r w:rsidRPr="00046C82">
        <w:t xml:space="preserve"> reports are not publicly available or available to state-based health authorities.</w:t>
      </w:r>
      <w:r>
        <w:t xml:space="preserve"> </w:t>
      </w:r>
      <w:r w:rsidRPr="00AC7EFF">
        <w:t xml:space="preserve">An abridged version of the report including hospital-specific data is made publicly available on the ANZDATA website. </w:t>
      </w:r>
      <w:r>
        <w:t>The abridged reports include:</w:t>
      </w:r>
      <w:r w:rsidRPr="000F4969">
        <w:t xml:space="preserve"> </w:t>
      </w:r>
    </w:p>
    <w:p w14:paraId="1FF5AF32" w14:textId="77777777" w:rsidR="009110F5" w:rsidRDefault="009110F5" w:rsidP="009110F5">
      <w:pPr>
        <w:pStyle w:val="Bullet1"/>
        <w:spacing w:line="240" w:lineRule="atLeast"/>
        <w:rPr>
          <w:rFonts w:ascii="VIC" w:hAnsi="VIC"/>
        </w:rPr>
      </w:pPr>
      <w:r>
        <w:rPr>
          <w:rFonts w:ascii="VIC" w:hAnsi="VIC"/>
        </w:rPr>
        <w:t>standard mortality ratio (SMR)</w:t>
      </w:r>
      <w:r w:rsidRPr="00343A2D">
        <w:rPr>
          <w:rFonts w:ascii="VIC" w:hAnsi="VIC"/>
        </w:rPr>
        <w:t xml:space="preserve"> for each health service for dialysis and transplan</w:t>
      </w:r>
      <w:r>
        <w:rPr>
          <w:rFonts w:ascii="VIC" w:hAnsi="VIC"/>
        </w:rPr>
        <w:t>t</w:t>
      </w:r>
    </w:p>
    <w:p w14:paraId="2F4EE263" w14:textId="77777777" w:rsidR="009110F5" w:rsidRPr="00D34E7B" w:rsidRDefault="009110F5" w:rsidP="009110F5">
      <w:pPr>
        <w:pStyle w:val="Bullet1"/>
        <w:spacing w:line="240" w:lineRule="atLeast"/>
      </w:pPr>
      <w:r w:rsidRPr="00343A2D">
        <w:rPr>
          <w:rFonts w:ascii="VIC" w:hAnsi="VIC"/>
        </w:rPr>
        <w:t>risk-adjusted graft failure ratio for transplant</w:t>
      </w:r>
    </w:p>
    <w:p w14:paraId="63F77DE1" w14:textId="77777777" w:rsidR="009110F5" w:rsidRDefault="009110F5" w:rsidP="003E353E">
      <w:pPr>
        <w:pStyle w:val="Heading2"/>
      </w:pPr>
      <w:r>
        <w:t>Assessment</w:t>
      </w:r>
    </w:p>
    <w:p w14:paraId="28A4FFAD" w14:textId="77777777" w:rsidR="009110F5" w:rsidRPr="00B7413F" w:rsidRDefault="009110F5" w:rsidP="009110F5">
      <w:pPr>
        <w:pStyle w:val="Normalfollowingheading"/>
        <w:spacing w:after="120" w:line="240" w:lineRule="atLeast"/>
        <w:rPr>
          <w:rFonts w:eastAsia="Times New Roman" w:cs="Calibri"/>
          <w:spacing w:val="2"/>
        </w:rPr>
      </w:pPr>
      <w:r w:rsidRPr="00B7413F">
        <w:rPr>
          <w:rFonts w:eastAsia="Times New Roman" w:cs="Calibri"/>
          <w:spacing w:val="2"/>
        </w:rPr>
        <w:t>ANZDATA also collects and reports quarterly data on incident vascular access (</w:t>
      </w:r>
      <w:proofErr w:type="gramStart"/>
      <w:r w:rsidRPr="00B7413F">
        <w:rPr>
          <w:rFonts w:eastAsia="Times New Roman" w:cs="Calibri"/>
          <w:spacing w:val="2"/>
        </w:rPr>
        <w:t>similar to</w:t>
      </w:r>
      <w:proofErr w:type="gramEnd"/>
      <w:r w:rsidRPr="00B7413F">
        <w:rPr>
          <w:rFonts w:eastAsia="Times New Roman" w:cs="Calibri"/>
          <w:spacing w:val="2"/>
        </w:rPr>
        <w:t xml:space="preserve"> KPI</w:t>
      </w:r>
      <w:r>
        <w:rPr>
          <w:rFonts w:eastAsia="Times New Roman" w:cs="Calibri"/>
          <w:spacing w:val="2"/>
        </w:rPr>
        <w:t xml:space="preserve"> </w:t>
      </w:r>
      <w:r w:rsidRPr="00B7413F">
        <w:rPr>
          <w:rFonts w:eastAsia="Times New Roman" w:cs="Calibri"/>
          <w:spacing w:val="2"/>
        </w:rPr>
        <w:t>2) and peritonitis (similar to KPI</w:t>
      </w:r>
      <w:r>
        <w:rPr>
          <w:rFonts w:eastAsia="Times New Roman" w:cs="Calibri"/>
          <w:spacing w:val="2"/>
        </w:rPr>
        <w:t xml:space="preserve"> </w:t>
      </w:r>
      <w:r w:rsidRPr="00B7413F">
        <w:rPr>
          <w:rFonts w:eastAsia="Times New Roman" w:cs="Calibri"/>
          <w:spacing w:val="2"/>
        </w:rPr>
        <w:t>4), although there are methodological differences to the Victorian KPIs.</w:t>
      </w:r>
    </w:p>
    <w:p w14:paraId="5CF148A4" w14:textId="77777777" w:rsidR="009110F5" w:rsidRDefault="009110F5" w:rsidP="009110F5">
      <w:pPr>
        <w:pStyle w:val="Normalfollowingheading"/>
        <w:spacing w:after="120" w:line="240" w:lineRule="atLeast"/>
        <w:rPr>
          <w:rFonts w:eastAsia="Times New Roman" w:cs="Calibri"/>
          <w:spacing w:val="2"/>
        </w:rPr>
      </w:pPr>
      <w:r w:rsidRPr="00B7413F">
        <w:rPr>
          <w:rFonts w:eastAsia="Times New Roman" w:cs="Calibri"/>
          <w:spacing w:val="2"/>
        </w:rPr>
        <w:t>ANZDATA is investigating options for collecting additional data on a variety of other quality indicators including PROMs and PREMs.</w:t>
      </w:r>
    </w:p>
    <w:p w14:paraId="2F7CAFA5" w14:textId="77777777" w:rsidR="009110F5" w:rsidRPr="00564975" w:rsidRDefault="009110F5" w:rsidP="009110F5">
      <w:pPr>
        <w:pStyle w:val="Normalfollowingheading"/>
        <w:spacing w:after="120" w:line="240" w:lineRule="atLeast"/>
      </w:pPr>
      <w:r w:rsidRPr="00343A2D">
        <w:rPr>
          <w:rFonts w:eastAsia="Times New Roman" w:cs="Calibri"/>
          <w:spacing w:val="2"/>
        </w:rPr>
        <w:t>There is</w:t>
      </w:r>
      <w:r>
        <w:t xml:space="preserve"> currently</w:t>
      </w:r>
      <w:r w:rsidRPr="00343A2D">
        <w:rPr>
          <w:rFonts w:eastAsia="Times New Roman" w:cs="Calibri"/>
          <w:spacing w:val="2"/>
        </w:rPr>
        <w:t xml:space="preserve"> no formal relationship between ANZDATA</w:t>
      </w:r>
      <w:r>
        <w:rPr>
          <w:rFonts w:eastAsia="Times New Roman" w:cs="Calibri"/>
          <w:spacing w:val="2"/>
        </w:rPr>
        <w:t xml:space="preserve"> </w:t>
      </w:r>
      <w:r w:rsidRPr="00B7413F">
        <w:rPr>
          <w:rFonts w:eastAsia="Times New Roman" w:cs="Calibri"/>
          <w:spacing w:val="2"/>
        </w:rPr>
        <w:t>and state-based agencies such as SCV</w:t>
      </w:r>
      <w:r>
        <w:t xml:space="preserve">. </w:t>
      </w:r>
      <w:r w:rsidRPr="000F4969">
        <w:t>Both ANZDATA and SCV</w:t>
      </w:r>
      <w:r w:rsidRPr="0005708D">
        <w:t xml:space="preserve"> collect quality indicator data with the objective of improving the quality of care for dialysis and transplant patients.</w:t>
      </w:r>
      <w:r w:rsidRPr="00B7413F">
        <w:t xml:space="preserve"> ANZDATA data entry for Victorian renal patients is routinely performed by Victorian </w:t>
      </w:r>
      <w:r>
        <w:t>g</w:t>
      </w:r>
      <w:r w:rsidRPr="00B7413F">
        <w:t>overnment employees working for renal hub providers.</w:t>
      </w:r>
    </w:p>
    <w:p w14:paraId="5D6B0E47" w14:textId="77777777" w:rsidR="009110F5" w:rsidRPr="00564975" w:rsidRDefault="009110F5" w:rsidP="009110F5">
      <w:pPr>
        <w:pStyle w:val="Normalfollowingheading"/>
        <w:spacing w:before="120" w:after="120" w:line="240" w:lineRule="atLeast"/>
      </w:pPr>
      <w:r>
        <w:t xml:space="preserve">Responses to the </w:t>
      </w:r>
      <w:r w:rsidRPr="000F4969">
        <w:t>KPI</w:t>
      </w:r>
      <w:r w:rsidRPr="0005708D">
        <w:t xml:space="preserve"> survey indicated that if ANZSN and ANZDATA introduced a national set of standardised KPIs, this would be likely to be supporte</w:t>
      </w:r>
      <w:r w:rsidRPr="00564975">
        <w:t>d by Victorian renal hub service providers (</w:t>
      </w:r>
      <w:r w:rsidRPr="00C9262C">
        <w:rPr>
          <w:b/>
        </w:rPr>
        <w:t>Appendix 1</w:t>
      </w:r>
      <w:r w:rsidRPr="00564975">
        <w:t>).</w:t>
      </w:r>
    </w:p>
    <w:p w14:paraId="6F0FA29D" w14:textId="77777777" w:rsidR="009110F5" w:rsidRDefault="009110F5" w:rsidP="009110F5">
      <w:pPr>
        <w:spacing w:before="120" w:after="120" w:line="240" w:lineRule="atLeast"/>
      </w:pPr>
      <w:r>
        <w:t>There was no</w:t>
      </w:r>
      <w:r w:rsidRPr="000F4969">
        <w:t xml:space="preserve"> consensus</w:t>
      </w:r>
      <w:r w:rsidRPr="0005708D">
        <w:t xml:space="preserve"> on whether a national system of renal KPIs would make the system of Victorian renal KPIs redundant (</w:t>
      </w:r>
      <w:r w:rsidRPr="00C9262C">
        <w:rPr>
          <w:b/>
        </w:rPr>
        <w:t>Appendix 1</w:t>
      </w:r>
      <w:r w:rsidRPr="0005708D">
        <w:t xml:space="preserve">). </w:t>
      </w:r>
    </w:p>
    <w:p w14:paraId="45DE65A9" w14:textId="77777777" w:rsidR="009110F5" w:rsidRPr="00BB6413" w:rsidRDefault="009110F5" w:rsidP="009110F5">
      <w:pPr>
        <w:pStyle w:val="Heading3"/>
      </w:pPr>
      <w:r w:rsidRPr="00343A2D">
        <w:t xml:space="preserve">Potential disadvantages of replacing current KPIs with a national </w:t>
      </w:r>
      <w:r>
        <w:t xml:space="preserve">ANZDATA </w:t>
      </w:r>
      <w:r w:rsidRPr="00343A2D">
        <w:t>set</w:t>
      </w:r>
    </w:p>
    <w:p w14:paraId="7FEECB59" w14:textId="77777777" w:rsidR="009110F5" w:rsidRPr="00343A2D" w:rsidRDefault="009110F5" w:rsidP="009110F5">
      <w:pPr>
        <w:pStyle w:val="Bullet1"/>
        <w:rPr>
          <w:rFonts w:ascii="VIC" w:hAnsi="VIC"/>
        </w:rPr>
      </w:pPr>
      <w:r>
        <w:rPr>
          <w:rFonts w:ascii="VIC" w:hAnsi="VIC"/>
        </w:rPr>
        <w:t>Not yet</w:t>
      </w:r>
      <w:r w:rsidRPr="00343A2D">
        <w:rPr>
          <w:rFonts w:ascii="VIC" w:hAnsi="VIC"/>
        </w:rPr>
        <w:t xml:space="preserve"> known what renal KPIs ANZDATA will develop</w:t>
      </w:r>
    </w:p>
    <w:p w14:paraId="06FC1610" w14:textId="77777777" w:rsidR="009110F5" w:rsidRPr="00343A2D" w:rsidRDefault="009110F5" w:rsidP="009110F5">
      <w:pPr>
        <w:pStyle w:val="Bullet1"/>
        <w:rPr>
          <w:rFonts w:ascii="VIC" w:hAnsi="VIC"/>
        </w:rPr>
      </w:pPr>
      <w:r>
        <w:rPr>
          <w:rFonts w:ascii="VIC" w:hAnsi="VIC"/>
        </w:rPr>
        <w:t>We would</w:t>
      </w:r>
      <w:r w:rsidRPr="00343A2D">
        <w:rPr>
          <w:rFonts w:ascii="VIC" w:hAnsi="VIC"/>
        </w:rPr>
        <w:t xml:space="preserve"> need </w:t>
      </w:r>
      <w:r>
        <w:rPr>
          <w:rFonts w:ascii="VIC" w:hAnsi="VIC"/>
        </w:rPr>
        <w:t xml:space="preserve">to work with ANZDATA to set </w:t>
      </w:r>
      <w:r w:rsidRPr="00343A2D">
        <w:rPr>
          <w:rFonts w:ascii="VIC" w:hAnsi="VIC"/>
        </w:rPr>
        <w:t>agreed timelines</w:t>
      </w:r>
    </w:p>
    <w:p w14:paraId="0FE719B0" w14:textId="77777777" w:rsidR="009110F5" w:rsidRPr="00343A2D" w:rsidRDefault="009110F5" w:rsidP="009110F5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Data completeness and timeliness would be outside </w:t>
      </w:r>
      <w:r>
        <w:rPr>
          <w:rFonts w:ascii="VIC" w:hAnsi="VIC"/>
        </w:rPr>
        <w:t>our</w:t>
      </w:r>
      <w:r w:rsidRPr="00343A2D">
        <w:rPr>
          <w:rFonts w:ascii="VIC" w:hAnsi="VIC"/>
        </w:rPr>
        <w:t xml:space="preserve"> control</w:t>
      </w:r>
    </w:p>
    <w:p w14:paraId="2FD13F6B" w14:textId="77777777" w:rsidR="009110F5" w:rsidRPr="00343A2D" w:rsidRDefault="009110F5" w:rsidP="009110F5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Replacing </w:t>
      </w:r>
      <w:r w:rsidRPr="00564975">
        <w:rPr>
          <w:rFonts w:ascii="VIC" w:hAnsi="VIC"/>
        </w:rPr>
        <w:t>Renal Clinical Network</w:t>
      </w:r>
      <w:r w:rsidRPr="00343A2D">
        <w:rPr>
          <w:rFonts w:ascii="VIC" w:hAnsi="VIC"/>
        </w:rPr>
        <w:t xml:space="preserve"> KPIs might lead to a loss of Victorian identity</w:t>
      </w:r>
      <w:r>
        <w:rPr>
          <w:rFonts w:ascii="VIC" w:hAnsi="VIC"/>
        </w:rPr>
        <w:t>.</w:t>
      </w:r>
    </w:p>
    <w:p w14:paraId="097AB47B" w14:textId="77777777" w:rsidR="009110F5" w:rsidRPr="00BB6413" w:rsidRDefault="009110F5" w:rsidP="009110F5">
      <w:pPr>
        <w:pStyle w:val="Heading3"/>
      </w:pPr>
      <w:r w:rsidRPr="00343A2D">
        <w:t xml:space="preserve">Potential advantages of replacing current KPIs with a national </w:t>
      </w:r>
      <w:r>
        <w:t xml:space="preserve">ANZDATA </w:t>
      </w:r>
      <w:r w:rsidRPr="00343A2D">
        <w:t>set</w:t>
      </w:r>
    </w:p>
    <w:p w14:paraId="436A8689" w14:textId="77777777" w:rsidR="009110F5" w:rsidRPr="00343A2D" w:rsidRDefault="009110F5" w:rsidP="009110F5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There is an existing reporting system in place that is being refined</w:t>
      </w:r>
    </w:p>
    <w:p w14:paraId="68B803EB" w14:textId="77777777" w:rsidR="009110F5" w:rsidRPr="00343A2D" w:rsidRDefault="009110F5" w:rsidP="009110F5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There is potential to include all but KPI</w:t>
      </w:r>
      <w:r>
        <w:rPr>
          <w:rFonts w:ascii="VIC" w:hAnsi="VIC"/>
        </w:rPr>
        <w:t xml:space="preserve"> 1</w:t>
      </w:r>
    </w:p>
    <w:p w14:paraId="767B3984" w14:textId="77777777" w:rsidR="009110F5" w:rsidRPr="00343A2D" w:rsidRDefault="009110F5" w:rsidP="009110F5">
      <w:pPr>
        <w:pStyle w:val="Bullet1"/>
        <w:rPr>
          <w:rFonts w:ascii="VIC" w:hAnsi="VIC"/>
        </w:rPr>
      </w:pPr>
      <w:r w:rsidRPr="00343A2D">
        <w:rPr>
          <w:rFonts w:ascii="VIC" w:hAnsi="VIC"/>
        </w:rPr>
        <w:lastRenderedPageBreak/>
        <w:t>There is potential to include new KPIs</w:t>
      </w:r>
    </w:p>
    <w:p w14:paraId="705A736A" w14:textId="77777777" w:rsidR="009110F5" w:rsidRPr="00343A2D" w:rsidRDefault="009110F5" w:rsidP="009110F5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SMRs could be reported</w:t>
      </w:r>
    </w:p>
    <w:p w14:paraId="590A8A17" w14:textId="77777777" w:rsidR="009110F5" w:rsidRPr="00343A2D" w:rsidRDefault="009110F5" w:rsidP="009110F5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ANZDATA captures demographics and could adjust for ‘case mix’ differences</w:t>
      </w:r>
    </w:p>
    <w:p w14:paraId="04607372" w14:textId="77777777" w:rsidR="009110F5" w:rsidRPr="00343A2D" w:rsidRDefault="009110F5" w:rsidP="009110F5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Victorian data could be compared with other states.</w:t>
      </w:r>
    </w:p>
    <w:p w14:paraId="2CDB934E" w14:textId="00FD2DB6" w:rsidR="009110F5" w:rsidRDefault="009110F5">
      <w:pPr>
        <w:rPr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0BCF5C30" wp14:editId="2D105257">
                <wp:extent cx="6464410" cy="1764000"/>
                <wp:effectExtent l="0" t="0" r="12700" b="17780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410" cy="176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D2316" w14:textId="77777777" w:rsidR="009110F5" w:rsidRPr="004D6898" w:rsidRDefault="009110F5" w:rsidP="009110F5">
                            <w:pPr>
                              <w:pStyle w:val="PulloutHeading"/>
                            </w:pPr>
                            <w:r>
                              <w:t>Recommendations and next steps</w:t>
                            </w:r>
                          </w:p>
                          <w:p w14:paraId="3927C262" w14:textId="77777777" w:rsidR="009110F5" w:rsidRPr="000F4969" w:rsidRDefault="009110F5" w:rsidP="009110F5">
                            <w:pPr>
                              <w:pStyle w:val="PulloutText"/>
                            </w:pPr>
                            <w:r>
                              <w:t>We recommend that</w:t>
                            </w:r>
                            <w:r w:rsidRPr="000F4969">
                              <w:t xml:space="preserve"> </w:t>
                            </w:r>
                            <w:r>
                              <w:t xml:space="preserve">the Renal Clinical Network </w:t>
                            </w:r>
                            <w:r w:rsidRPr="00343A2D">
                              <w:t>review</w:t>
                            </w:r>
                            <w:r>
                              <w:t>s</w:t>
                            </w:r>
                            <w:r w:rsidRPr="00B1282F">
                              <w:t xml:space="preserve"> the </w:t>
                            </w:r>
                            <w:r>
                              <w:t>outcomes from</w:t>
                            </w:r>
                            <w:r w:rsidRPr="000F4969">
                              <w:t xml:space="preserve"> Victorian renal hub providers published in the annual ANZDATA hospital </w:t>
                            </w:r>
                            <w:r w:rsidRPr="0005708D">
                              <w:t>reports</w:t>
                            </w:r>
                            <w:r>
                              <w:t>. In particular,</w:t>
                            </w:r>
                            <w:r w:rsidRPr="000F4969">
                              <w:t xml:space="preserve"> </w:t>
                            </w:r>
                            <w:r>
                              <w:t>the</w:t>
                            </w:r>
                            <w:r w:rsidRPr="000F4969">
                              <w:t xml:space="preserve"> dialysis and transplant</w:t>
                            </w:r>
                            <w:r w:rsidRPr="0005708D">
                              <w:t xml:space="preserve"> SMR a</w:t>
                            </w:r>
                            <w:r w:rsidRPr="00564975">
                              <w:t xml:space="preserve">nd </w:t>
                            </w:r>
                            <w:r w:rsidRPr="00B1282F">
                              <w:t>the r</w:t>
                            </w:r>
                            <w:r w:rsidRPr="00F35A12">
                              <w:t xml:space="preserve">isk-adjusted </w:t>
                            </w:r>
                            <w:r w:rsidRPr="00343A2D">
                              <w:t>graft failure ratio</w:t>
                            </w:r>
                            <w:r>
                              <w:t xml:space="preserve"> should be reviewed. This will help us to</w:t>
                            </w:r>
                            <w:r w:rsidRPr="0005708D">
                              <w:t xml:space="preserve"> work constructively with </w:t>
                            </w:r>
                            <w:r w:rsidRPr="00B1282F">
                              <w:t>hub provider</w:t>
                            </w:r>
                            <w:r>
                              <w:t xml:space="preserve">s who </w:t>
                            </w:r>
                            <w:r w:rsidRPr="000C0F86">
                              <w:t>fall outside of the 95 per cent confidence intervals</w:t>
                            </w:r>
                            <w:r w:rsidRPr="000F4969">
                              <w:t xml:space="preserve"> to improve these outcomes.</w:t>
                            </w:r>
                          </w:p>
                          <w:p w14:paraId="4558F6B4" w14:textId="77777777" w:rsidR="009110F5" w:rsidRPr="00B1282F" w:rsidRDefault="009110F5" w:rsidP="009110F5">
                            <w:pPr>
                              <w:pStyle w:val="PulloutText"/>
                            </w:pPr>
                            <w:r w:rsidRPr="0005708D">
                              <w:t xml:space="preserve">The </w:t>
                            </w:r>
                            <w:r>
                              <w:t xml:space="preserve">Renal Clinical Network </w:t>
                            </w:r>
                            <w:r w:rsidRPr="00B1282F">
                              <w:t xml:space="preserve">should </w:t>
                            </w:r>
                            <w:r w:rsidRPr="00F35A12">
                              <w:t>continue to engage with and monitor the quality initiatives of ANZDATA and ANZSN</w:t>
                            </w:r>
                            <w:r w:rsidRPr="008F6565">
                              <w:t>, with the longer</w:t>
                            </w:r>
                            <w:r>
                              <w:t>-</w:t>
                            </w:r>
                            <w:r w:rsidRPr="000F4969">
                              <w:t xml:space="preserve">term objective of maximising synergies and minimising redundancies in the </w:t>
                            </w:r>
                            <w:r w:rsidRPr="00DF7280">
                              <w:t xml:space="preserve">quality assurance </w:t>
                            </w:r>
                            <w:r w:rsidRPr="000F4969">
                              <w:t xml:space="preserve">and </w:t>
                            </w:r>
                            <w:r>
                              <w:t>quality improvement</w:t>
                            </w:r>
                            <w:r w:rsidRPr="000F4969">
                              <w:t xml:space="preserve"> efforts of these organisations.</w:t>
                            </w:r>
                          </w:p>
                        </w:txbxContent>
                      </wps:txbx>
                      <wps:bodyPr rot="0" vert="horz" wrap="square" lIns="180000" tIns="180000" rIns="144000" bIns="36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CF5C30" id="_x0000_s1034" type="#_x0000_t202" style="width:509pt;height:1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" fillcolor="#edf5f7 [3214]" strokecolor="#edf5f7 [3214]" strokeweight=".5pt">
                <v:textbox style="mso-fit-shape-to-text:t" inset="5mm,5mm,4mm,1mm">
                  <w:txbxContent>
                    <w:p w14:paraId="1CAD2316" w14:textId="77777777" w:rsidR="009110F5" w:rsidRPr="004D6898" w:rsidRDefault="009110F5" w:rsidP="009110F5">
                      <w:pPr>
                        <w:pStyle w:val="PulloutHeading"/>
                      </w:pPr>
                      <w:r>
                        <w:t>Recommendations and next steps</w:t>
                      </w:r>
                    </w:p>
                    <w:p w14:paraId="3927C262" w14:textId="77777777" w:rsidR="009110F5" w:rsidRPr="000F4969" w:rsidRDefault="009110F5" w:rsidP="009110F5">
                      <w:pPr>
                        <w:pStyle w:val="PulloutText"/>
                      </w:pPr>
                      <w:r>
                        <w:t>We recommend that</w:t>
                      </w:r>
                      <w:r w:rsidRPr="000F4969">
                        <w:t xml:space="preserve"> </w:t>
                      </w:r>
                      <w:r>
                        <w:t xml:space="preserve">the Renal Clinical Network </w:t>
                      </w:r>
                      <w:r w:rsidRPr="00343A2D">
                        <w:t>review</w:t>
                      </w:r>
                      <w:r>
                        <w:t>s</w:t>
                      </w:r>
                      <w:r w:rsidRPr="00B1282F">
                        <w:t xml:space="preserve"> the </w:t>
                      </w:r>
                      <w:r>
                        <w:t>outcomes from</w:t>
                      </w:r>
                      <w:r w:rsidRPr="000F4969">
                        <w:t xml:space="preserve"> Victorian renal hub providers published in the annual ANZDATA hospital </w:t>
                      </w:r>
                      <w:r w:rsidRPr="0005708D">
                        <w:t>reports</w:t>
                      </w:r>
                      <w:r>
                        <w:t>. In particular,</w:t>
                      </w:r>
                      <w:r w:rsidRPr="000F4969">
                        <w:t xml:space="preserve"> </w:t>
                      </w:r>
                      <w:r>
                        <w:t>the</w:t>
                      </w:r>
                      <w:r w:rsidRPr="000F4969">
                        <w:t xml:space="preserve"> dialysis and transplant</w:t>
                      </w:r>
                      <w:r w:rsidRPr="0005708D">
                        <w:t xml:space="preserve"> SMR a</w:t>
                      </w:r>
                      <w:r w:rsidRPr="00564975">
                        <w:t xml:space="preserve">nd </w:t>
                      </w:r>
                      <w:r w:rsidRPr="00B1282F">
                        <w:t>the r</w:t>
                      </w:r>
                      <w:r w:rsidRPr="00F35A12">
                        <w:t xml:space="preserve">isk-adjusted </w:t>
                      </w:r>
                      <w:r w:rsidRPr="00343A2D">
                        <w:t>graft failure ratio</w:t>
                      </w:r>
                      <w:r>
                        <w:t xml:space="preserve"> should be reviewed. This will help us to</w:t>
                      </w:r>
                      <w:r w:rsidRPr="0005708D">
                        <w:t xml:space="preserve"> work constructively with </w:t>
                      </w:r>
                      <w:r w:rsidRPr="00B1282F">
                        <w:t>hub provider</w:t>
                      </w:r>
                      <w:r>
                        <w:t xml:space="preserve">s who </w:t>
                      </w:r>
                      <w:r w:rsidRPr="000C0F86">
                        <w:t>fall outside of the 95 per cent confidence intervals</w:t>
                      </w:r>
                      <w:r w:rsidRPr="000F4969">
                        <w:t xml:space="preserve"> to improve these outcomes.</w:t>
                      </w:r>
                    </w:p>
                    <w:p w14:paraId="4558F6B4" w14:textId="77777777" w:rsidR="009110F5" w:rsidRPr="00B1282F" w:rsidRDefault="009110F5" w:rsidP="009110F5">
                      <w:pPr>
                        <w:pStyle w:val="PulloutText"/>
                      </w:pPr>
                      <w:r w:rsidRPr="0005708D">
                        <w:t xml:space="preserve">The </w:t>
                      </w:r>
                      <w:r>
                        <w:t xml:space="preserve">Renal Clinical Network </w:t>
                      </w:r>
                      <w:r w:rsidRPr="00B1282F">
                        <w:t xml:space="preserve">should </w:t>
                      </w:r>
                      <w:r w:rsidRPr="00F35A12">
                        <w:t>continue to engage with and monitor the quality initiatives of ANZDATA and ANZSN</w:t>
                      </w:r>
                      <w:r w:rsidRPr="008F6565">
                        <w:t>, with the longer</w:t>
                      </w:r>
                      <w:r>
                        <w:t>-</w:t>
                      </w:r>
                      <w:r w:rsidRPr="000F4969">
                        <w:t xml:space="preserve">term objective of maximising synergies and minimising redundancies in the </w:t>
                      </w:r>
                      <w:r w:rsidRPr="00DF7280">
                        <w:t xml:space="preserve">quality assurance </w:t>
                      </w:r>
                      <w:r w:rsidRPr="000F4969">
                        <w:t xml:space="preserve">and </w:t>
                      </w:r>
                      <w:r>
                        <w:t>quality improvement</w:t>
                      </w:r>
                      <w:r w:rsidRPr="000F4969">
                        <w:t xml:space="preserve"> efforts of these organisations.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98A5CF" w14:textId="0F683C3C" w:rsidR="009110F5" w:rsidRDefault="009110F5">
      <w:r>
        <w:rPr>
          <w:bCs/>
        </w:rPr>
        <w:br w:type="page"/>
      </w:r>
    </w:p>
    <w:p w14:paraId="2B239884" w14:textId="6BF686A7" w:rsidR="00564975" w:rsidRPr="0005708D" w:rsidRDefault="00564975" w:rsidP="00564975">
      <w:pPr>
        <w:pStyle w:val="Heading1"/>
        <w:framePr w:wrap="around"/>
      </w:pPr>
      <w:bookmarkStart w:id="89" w:name="_Toc17103966"/>
      <w:r w:rsidRPr="00343A2D">
        <w:lastRenderedPageBreak/>
        <w:t>Potential</w:t>
      </w:r>
      <w:r w:rsidRPr="0005708D">
        <w:t xml:space="preserve"> </w:t>
      </w:r>
      <w:r w:rsidRPr="00343A2D">
        <w:t>new</w:t>
      </w:r>
      <w:r w:rsidRPr="0005708D">
        <w:t xml:space="preserve"> quality indicators</w:t>
      </w:r>
      <w:bookmarkEnd w:id="89"/>
    </w:p>
    <w:p w14:paraId="5C720E47" w14:textId="77777777" w:rsidR="00564975" w:rsidRPr="0005708D" w:rsidRDefault="00564975" w:rsidP="00564975">
      <w:pPr>
        <w:pStyle w:val="Heading2"/>
      </w:pPr>
      <w:bookmarkStart w:id="90" w:name="_Toc8637272"/>
      <w:bookmarkStart w:id="91" w:name="_Toc10460720"/>
      <w:r w:rsidRPr="0005708D">
        <w:t>Dialysis</w:t>
      </w:r>
      <w:bookmarkEnd w:id="90"/>
      <w:bookmarkEnd w:id="91"/>
    </w:p>
    <w:p w14:paraId="1E9AA8C4" w14:textId="348D6C14" w:rsidR="00564975" w:rsidRPr="00343A2D" w:rsidRDefault="00F1134B" w:rsidP="00564975">
      <w:pPr>
        <w:pStyle w:val="Heading3"/>
      </w:pPr>
      <w:r>
        <w:t>S</w:t>
      </w:r>
      <w:r w:rsidRPr="00DF7280">
        <w:t>tandardised mortality ratio</w:t>
      </w:r>
      <w:r>
        <w:t xml:space="preserve"> (SMR)</w:t>
      </w:r>
      <w:r w:rsidR="00564975" w:rsidRPr="0005708D">
        <w:t xml:space="preserve"> for patients starting dialysis at the health service in the preceding five years (as per ANZDATA reporting)</w:t>
      </w:r>
    </w:p>
    <w:p w14:paraId="1669E7DD" w14:textId="72D9307E" w:rsidR="00780733" w:rsidRPr="00655832" w:rsidRDefault="00564975" w:rsidP="00780733">
      <w:pPr>
        <w:pStyle w:val="Normalfollowingheading"/>
        <w:rPr>
          <w:rFonts w:ascii="VIC SemiBold" w:hAnsi="VIC SemiBold"/>
        </w:rPr>
      </w:pPr>
      <w:r w:rsidRPr="00655832">
        <w:rPr>
          <w:rFonts w:ascii="VIC SemiBold" w:hAnsi="VIC SemiBold"/>
        </w:rPr>
        <w:t>Rationale</w:t>
      </w:r>
      <w:r w:rsidR="00780733" w:rsidRPr="00655832">
        <w:rPr>
          <w:rFonts w:ascii="VIC SemiBold" w:hAnsi="VIC SemiBold"/>
        </w:rPr>
        <w:t xml:space="preserve"> </w:t>
      </w:r>
    </w:p>
    <w:p w14:paraId="459FB63C" w14:textId="6ADC5C1E" w:rsidR="00564975" w:rsidRPr="00343A2D" w:rsidRDefault="00780733" w:rsidP="00780733">
      <w:pPr>
        <w:pStyle w:val="Bullet1"/>
        <w:rPr>
          <w:rFonts w:ascii="VIC" w:hAnsi="VIC"/>
        </w:rPr>
      </w:pPr>
      <w:r>
        <w:rPr>
          <w:rFonts w:ascii="VIC" w:hAnsi="VIC"/>
        </w:rPr>
        <w:t>T</w:t>
      </w:r>
      <w:r w:rsidR="00564975" w:rsidRPr="00343A2D">
        <w:rPr>
          <w:rFonts w:ascii="VIC" w:hAnsi="VIC"/>
        </w:rPr>
        <w:t>ier-1 (essential) ICHOM treatment-specific outcome</w:t>
      </w:r>
      <w:r w:rsidR="00740317">
        <w:rPr>
          <w:rFonts w:ascii="VIC" w:hAnsi="VIC"/>
        </w:rPr>
        <w:t xml:space="preserve"> (</w:t>
      </w:r>
      <w:r w:rsidR="00740317" w:rsidRPr="00DE68FC">
        <w:rPr>
          <w:rFonts w:ascii="VIC" w:hAnsi="VIC"/>
          <w:b/>
        </w:rPr>
        <w:t>Appendix 6</w:t>
      </w:r>
      <w:r w:rsidR="00740317">
        <w:rPr>
          <w:rFonts w:ascii="VIC" w:hAnsi="VIC"/>
        </w:rPr>
        <w:t>)</w:t>
      </w:r>
      <w:r>
        <w:rPr>
          <w:rFonts w:ascii="VIC" w:hAnsi="VIC"/>
        </w:rPr>
        <w:t>.</w:t>
      </w:r>
    </w:p>
    <w:p w14:paraId="1B1F06F2" w14:textId="1AC751F4" w:rsidR="00564975" w:rsidRPr="00343A2D" w:rsidRDefault="00780733" w:rsidP="00780733">
      <w:pPr>
        <w:pStyle w:val="Bullet1"/>
        <w:rPr>
          <w:rFonts w:ascii="VIC" w:hAnsi="VIC"/>
        </w:rPr>
      </w:pPr>
      <w:r>
        <w:rPr>
          <w:rFonts w:ascii="VIC" w:hAnsi="VIC"/>
        </w:rPr>
        <w:t>V</w:t>
      </w:r>
      <w:r w:rsidR="00564975" w:rsidRPr="00343A2D">
        <w:rPr>
          <w:rFonts w:ascii="VIC" w:hAnsi="VIC"/>
        </w:rPr>
        <w:t>alid quality assurance (safety) measure</w:t>
      </w:r>
      <w:r>
        <w:rPr>
          <w:rFonts w:ascii="VIC" w:hAnsi="VIC"/>
        </w:rPr>
        <w:t>.</w:t>
      </w:r>
    </w:p>
    <w:p w14:paraId="71A34D98" w14:textId="4ED8E4FE" w:rsidR="00564975" w:rsidRPr="00F35A12" w:rsidRDefault="00564975" w:rsidP="00780733">
      <w:r w:rsidRPr="00655832">
        <w:rPr>
          <w:rFonts w:ascii="VIC SemiBold" w:hAnsi="VIC SemiBold"/>
        </w:rPr>
        <w:t>Data source:</w:t>
      </w:r>
      <w:r w:rsidRPr="00564975">
        <w:t xml:space="preserve"> </w:t>
      </w:r>
      <w:r w:rsidRPr="00F35A12">
        <w:t>ANZDATA annual hospital reports (publicly available)</w:t>
      </w:r>
      <w:r w:rsidR="00780733">
        <w:t>.</w:t>
      </w:r>
    </w:p>
    <w:p w14:paraId="0271C417" w14:textId="1EA1C263" w:rsidR="00564975" w:rsidRPr="00F35A12" w:rsidRDefault="00564975" w:rsidP="00780733">
      <w:r w:rsidRPr="00655832">
        <w:rPr>
          <w:rFonts w:ascii="VIC SemiBold" w:hAnsi="VIC SemiBold"/>
        </w:rPr>
        <w:t>Targets and response</w:t>
      </w:r>
      <w:r w:rsidR="00655832">
        <w:rPr>
          <w:rFonts w:ascii="VIC SemiBold" w:hAnsi="VIC SemiBold"/>
        </w:rPr>
        <w:t>:</w:t>
      </w:r>
      <w:r w:rsidR="00780733">
        <w:rPr>
          <w:b/>
        </w:rPr>
        <w:t xml:space="preserve"> </w:t>
      </w:r>
      <w:r w:rsidR="00780733" w:rsidRPr="00780733">
        <w:t>I</w:t>
      </w:r>
      <w:r w:rsidRPr="00F35A12">
        <w:t>f a service experiences an increased SMR outside of the 95 per cent confidence interval</w:t>
      </w:r>
      <w:r>
        <w:t xml:space="preserve"> the </w:t>
      </w:r>
      <w:r w:rsidRPr="00564975">
        <w:t xml:space="preserve">Renal Clinical Network </w:t>
      </w:r>
      <w:r w:rsidRPr="00F35A12">
        <w:t>should work constructively with the hub provider on a strategy to improve this outcome</w:t>
      </w:r>
      <w:r w:rsidR="00780733">
        <w:t>.</w:t>
      </w:r>
    </w:p>
    <w:p w14:paraId="617C502A" w14:textId="60568F79" w:rsidR="00564975" w:rsidRPr="00343A2D" w:rsidRDefault="00564975" w:rsidP="00564975">
      <w:pPr>
        <w:pStyle w:val="Heading3"/>
      </w:pPr>
      <w:r w:rsidRPr="00BB6413">
        <w:t>Vascular a</w:t>
      </w:r>
      <w:r w:rsidRPr="000F4969">
        <w:t xml:space="preserve">ccess bloodstream infection rates in </w:t>
      </w:r>
      <w:r w:rsidR="00B712F3" w:rsidRPr="00B712F3">
        <w:t>haemodialysis</w:t>
      </w:r>
      <w:r w:rsidRPr="0005708D">
        <w:t xml:space="preserve"> patients</w:t>
      </w:r>
    </w:p>
    <w:p w14:paraId="791C42BC" w14:textId="11263F3F" w:rsidR="00564975" w:rsidRPr="00655832" w:rsidRDefault="00564975" w:rsidP="00780733">
      <w:pPr>
        <w:pStyle w:val="Normalfollowingheading"/>
        <w:rPr>
          <w:rFonts w:ascii="VIC SemiBold" w:hAnsi="VIC SemiBold"/>
        </w:rPr>
      </w:pPr>
      <w:r w:rsidRPr="00655832">
        <w:rPr>
          <w:rFonts w:ascii="VIC SemiBold" w:hAnsi="VIC SemiBold"/>
        </w:rPr>
        <w:t>Rationale</w:t>
      </w:r>
    </w:p>
    <w:p w14:paraId="4C391138" w14:textId="60637857" w:rsidR="00564975" w:rsidRPr="00343A2D" w:rsidRDefault="00780733" w:rsidP="00780733">
      <w:pPr>
        <w:pStyle w:val="Bullet1"/>
        <w:rPr>
          <w:rFonts w:ascii="VIC" w:hAnsi="VIC"/>
        </w:rPr>
      </w:pPr>
      <w:r>
        <w:rPr>
          <w:rFonts w:ascii="VIC" w:hAnsi="VIC"/>
        </w:rPr>
        <w:t>T</w:t>
      </w:r>
      <w:r w:rsidR="00564975" w:rsidRPr="00343A2D">
        <w:rPr>
          <w:rFonts w:ascii="VIC" w:hAnsi="VIC"/>
        </w:rPr>
        <w:t>ier-2 (important) ICHOM treatment-specific outcome</w:t>
      </w:r>
      <w:r w:rsidR="00740317">
        <w:rPr>
          <w:rFonts w:ascii="VIC" w:hAnsi="VIC"/>
        </w:rPr>
        <w:t xml:space="preserve"> (</w:t>
      </w:r>
      <w:r w:rsidR="00740317" w:rsidRPr="00DE68FC">
        <w:rPr>
          <w:rFonts w:ascii="VIC" w:hAnsi="VIC"/>
          <w:b/>
        </w:rPr>
        <w:t>Appendix 6</w:t>
      </w:r>
      <w:r w:rsidR="00740317">
        <w:rPr>
          <w:rFonts w:ascii="VIC" w:hAnsi="VIC"/>
        </w:rPr>
        <w:t>)</w:t>
      </w:r>
      <w:r>
        <w:rPr>
          <w:rFonts w:ascii="VIC" w:hAnsi="VIC"/>
        </w:rPr>
        <w:t>.</w:t>
      </w:r>
    </w:p>
    <w:p w14:paraId="445672FA" w14:textId="24DB59D7" w:rsidR="00564975" w:rsidRPr="00343A2D" w:rsidRDefault="00780733" w:rsidP="00780733">
      <w:pPr>
        <w:pStyle w:val="Bullet1"/>
        <w:rPr>
          <w:rFonts w:ascii="VIC" w:hAnsi="VIC"/>
        </w:rPr>
      </w:pPr>
      <w:r>
        <w:rPr>
          <w:rFonts w:ascii="VIC" w:hAnsi="VIC"/>
        </w:rPr>
        <w:t>A</w:t>
      </w:r>
      <w:r w:rsidR="00564975" w:rsidRPr="00343A2D">
        <w:rPr>
          <w:rFonts w:ascii="VIC" w:hAnsi="VIC"/>
        </w:rPr>
        <w:t xml:space="preserve"> valid </w:t>
      </w:r>
      <w:r w:rsidR="00564975" w:rsidRPr="00780733">
        <w:rPr>
          <w:rFonts w:ascii="VIC" w:hAnsi="VIC"/>
        </w:rPr>
        <w:t xml:space="preserve">quality </w:t>
      </w:r>
      <w:r w:rsidR="00564975" w:rsidRPr="00343A2D">
        <w:rPr>
          <w:rFonts w:ascii="VIC" w:hAnsi="VIC"/>
        </w:rPr>
        <w:t>improvement measure</w:t>
      </w:r>
      <w:r>
        <w:rPr>
          <w:rFonts w:ascii="VIC" w:hAnsi="VIC"/>
        </w:rPr>
        <w:t>.</w:t>
      </w:r>
    </w:p>
    <w:p w14:paraId="4385AE4C" w14:textId="0E125231" w:rsidR="00564975" w:rsidRPr="00343A2D" w:rsidRDefault="00780733" w:rsidP="00780733">
      <w:pPr>
        <w:pStyle w:val="Bullet1"/>
        <w:rPr>
          <w:rFonts w:ascii="VIC" w:hAnsi="VIC"/>
        </w:rPr>
      </w:pPr>
      <w:r>
        <w:rPr>
          <w:rFonts w:ascii="VIC" w:hAnsi="VIC"/>
        </w:rPr>
        <w:t>A</w:t>
      </w:r>
      <w:r w:rsidR="00564975" w:rsidRPr="00343A2D">
        <w:rPr>
          <w:rFonts w:ascii="VIC" w:hAnsi="VIC"/>
        </w:rPr>
        <w:t xml:space="preserve"> possible </w:t>
      </w:r>
      <w:r w:rsidR="00564975" w:rsidRPr="00780733">
        <w:rPr>
          <w:rFonts w:ascii="VIC" w:hAnsi="VIC"/>
        </w:rPr>
        <w:t xml:space="preserve">quality assurance </w:t>
      </w:r>
      <w:r w:rsidR="00564975" w:rsidRPr="00343A2D">
        <w:rPr>
          <w:rFonts w:ascii="VIC" w:hAnsi="VIC"/>
        </w:rPr>
        <w:t>(safety) measure</w:t>
      </w:r>
      <w:r>
        <w:rPr>
          <w:rFonts w:ascii="VIC" w:hAnsi="VIC"/>
        </w:rPr>
        <w:t>.</w:t>
      </w:r>
    </w:p>
    <w:p w14:paraId="7A7C6C67" w14:textId="6FE7E768" w:rsidR="00564975" w:rsidRPr="00343A2D" w:rsidRDefault="00780733" w:rsidP="00780733">
      <w:pPr>
        <w:pStyle w:val="Bullet1"/>
        <w:rPr>
          <w:rFonts w:ascii="VIC" w:hAnsi="VIC"/>
        </w:rPr>
      </w:pPr>
      <w:r>
        <w:rPr>
          <w:rFonts w:ascii="VIC" w:hAnsi="VIC"/>
        </w:rPr>
        <w:t>M</w:t>
      </w:r>
      <w:r w:rsidR="00564975" w:rsidRPr="00343A2D">
        <w:rPr>
          <w:rFonts w:ascii="VIC" w:hAnsi="VIC"/>
        </w:rPr>
        <w:t xml:space="preserve">onitoring of bloodstream infection rates in </w:t>
      </w:r>
      <w:r w:rsidR="00B712F3" w:rsidRPr="00780733">
        <w:rPr>
          <w:rFonts w:ascii="VIC" w:hAnsi="VIC"/>
          <w:szCs w:val="18"/>
        </w:rPr>
        <w:t>haemodialysis</w:t>
      </w:r>
      <w:r w:rsidR="00B712F3" w:rsidRPr="00780733">
        <w:rPr>
          <w:rFonts w:ascii="VIC" w:hAnsi="VIC"/>
        </w:rPr>
        <w:t xml:space="preserve"> </w:t>
      </w:r>
      <w:r w:rsidR="00564975" w:rsidRPr="00343A2D">
        <w:rPr>
          <w:rFonts w:ascii="VIC" w:hAnsi="VIC"/>
        </w:rPr>
        <w:t>patients was the most commonly suggested new KPI in the survey</w:t>
      </w:r>
      <w:r>
        <w:rPr>
          <w:rFonts w:ascii="VIC" w:hAnsi="VIC"/>
        </w:rPr>
        <w:t>.</w:t>
      </w:r>
    </w:p>
    <w:p w14:paraId="1257A09C" w14:textId="1A9903DF" w:rsidR="00564975" w:rsidRPr="00F35A12" w:rsidRDefault="00564975" w:rsidP="00780733">
      <w:r w:rsidRPr="00655832">
        <w:rPr>
          <w:rFonts w:ascii="VIC SemiBold" w:hAnsi="VIC SemiBold"/>
        </w:rPr>
        <w:t>Results</w:t>
      </w:r>
      <w:r w:rsidR="008F56DE" w:rsidRPr="00655832">
        <w:rPr>
          <w:rFonts w:ascii="VIC SemiBold" w:hAnsi="VIC SemiBold"/>
        </w:rPr>
        <w:t>:</w:t>
      </w:r>
      <w:r w:rsidR="00B62532">
        <w:rPr>
          <w:b/>
        </w:rPr>
        <w:t xml:space="preserve"> </w:t>
      </w:r>
      <w:r w:rsidR="00D17699">
        <w:t>W</w:t>
      </w:r>
      <w:r w:rsidR="008F56DE" w:rsidRPr="008F56DE">
        <w:t>e recommend results</w:t>
      </w:r>
      <w:r w:rsidR="008F56DE">
        <w:rPr>
          <w:b/>
        </w:rPr>
        <w:t xml:space="preserve"> </w:t>
      </w:r>
      <w:r w:rsidR="00B62532" w:rsidRPr="008F56DE">
        <w:t>should be</w:t>
      </w:r>
      <w:r w:rsidRPr="008F56DE">
        <w:t xml:space="preserve"> reported</w:t>
      </w:r>
      <w:r w:rsidRPr="00F35A12">
        <w:t xml:space="preserve"> as:</w:t>
      </w:r>
    </w:p>
    <w:p w14:paraId="46B93772" w14:textId="68B48B76" w:rsidR="00564975" w:rsidRPr="00343A2D" w:rsidRDefault="00564975" w:rsidP="00780733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bloodstream infection rate per 1,000 patient days</w:t>
      </w:r>
      <w:r w:rsidR="003B1B18">
        <w:rPr>
          <w:rFonts w:ascii="VIC" w:hAnsi="VIC"/>
        </w:rPr>
        <w:t xml:space="preserve"> or per 100 patient-months</w:t>
      </w:r>
    </w:p>
    <w:p w14:paraId="4A90E1C9" w14:textId="48496A35" w:rsidR="00564975" w:rsidRPr="000A1146" w:rsidRDefault="00564975" w:rsidP="000A1146">
      <w:pPr>
        <w:pStyle w:val="Bullet2"/>
        <w:rPr>
          <w:rFonts w:ascii="VIC" w:hAnsi="VIC"/>
        </w:rPr>
      </w:pPr>
      <w:r w:rsidRPr="000A1146">
        <w:rPr>
          <w:rFonts w:ascii="VIC" w:hAnsi="VIC"/>
        </w:rPr>
        <w:t xml:space="preserve">overall rate for all </w:t>
      </w:r>
      <w:r w:rsidR="00B712F3" w:rsidRPr="000A1146">
        <w:rPr>
          <w:rFonts w:ascii="VIC" w:hAnsi="VIC"/>
          <w:szCs w:val="18"/>
        </w:rPr>
        <w:t>haemodialysis</w:t>
      </w:r>
      <w:r w:rsidRPr="000A1146">
        <w:rPr>
          <w:rFonts w:ascii="VIC" w:hAnsi="VIC"/>
        </w:rPr>
        <w:t xml:space="preserve"> patients</w:t>
      </w:r>
    </w:p>
    <w:p w14:paraId="3332BFE6" w14:textId="1116D55F" w:rsidR="00564975" w:rsidRPr="000A1146" w:rsidRDefault="00564975" w:rsidP="000A1146">
      <w:pPr>
        <w:pStyle w:val="Bullet2"/>
        <w:rPr>
          <w:rFonts w:ascii="VIC" w:hAnsi="VIC"/>
        </w:rPr>
      </w:pPr>
      <w:r w:rsidRPr="000A1146">
        <w:rPr>
          <w:rFonts w:ascii="VIC" w:hAnsi="VIC"/>
        </w:rPr>
        <w:t xml:space="preserve">rate for </w:t>
      </w:r>
      <w:r w:rsidR="00B712F3" w:rsidRPr="000A1146">
        <w:rPr>
          <w:rFonts w:ascii="VIC" w:hAnsi="VIC"/>
          <w:szCs w:val="18"/>
        </w:rPr>
        <w:t>haemodialysis</w:t>
      </w:r>
      <w:r w:rsidRPr="000A1146">
        <w:rPr>
          <w:rFonts w:ascii="VIC" w:hAnsi="VIC"/>
        </w:rPr>
        <w:t xml:space="preserve"> patients with an arteriovenous access</w:t>
      </w:r>
    </w:p>
    <w:p w14:paraId="3CF8B944" w14:textId="013CF53E" w:rsidR="00564975" w:rsidRPr="000A1146" w:rsidRDefault="00564975" w:rsidP="000A1146">
      <w:pPr>
        <w:pStyle w:val="Bullet2"/>
        <w:rPr>
          <w:rFonts w:ascii="VIC" w:hAnsi="VIC"/>
        </w:rPr>
      </w:pPr>
      <w:r w:rsidRPr="000A1146">
        <w:rPr>
          <w:rFonts w:ascii="VIC" w:hAnsi="VIC"/>
        </w:rPr>
        <w:t xml:space="preserve">rate for </w:t>
      </w:r>
      <w:r w:rsidR="00B712F3" w:rsidRPr="000A1146">
        <w:rPr>
          <w:rFonts w:ascii="VIC" w:hAnsi="VIC"/>
          <w:szCs w:val="18"/>
        </w:rPr>
        <w:t>haemodialysis</w:t>
      </w:r>
      <w:r w:rsidRPr="000A1146">
        <w:rPr>
          <w:rFonts w:ascii="VIC" w:hAnsi="VIC"/>
        </w:rPr>
        <w:t xml:space="preserve"> patients with a </w:t>
      </w:r>
      <w:r w:rsidR="00B712F3" w:rsidRPr="000A1146">
        <w:rPr>
          <w:rFonts w:ascii="VIC" w:hAnsi="VIC"/>
          <w:szCs w:val="18"/>
        </w:rPr>
        <w:t>haemodialysis</w:t>
      </w:r>
      <w:r w:rsidRPr="000A1146">
        <w:rPr>
          <w:rFonts w:ascii="VIC" w:hAnsi="VIC"/>
        </w:rPr>
        <w:t xml:space="preserve"> CVC</w:t>
      </w:r>
      <w:r w:rsidR="00780733" w:rsidRPr="000A1146">
        <w:rPr>
          <w:rFonts w:ascii="VIC" w:hAnsi="VIC"/>
        </w:rPr>
        <w:t>.</w:t>
      </w:r>
    </w:p>
    <w:p w14:paraId="159706C1" w14:textId="2EA5772B" w:rsidR="00564975" w:rsidRPr="00F35A12" w:rsidRDefault="00564975" w:rsidP="00780733">
      <w:r w:rsidRPr="00655832">
        <w:rPr>
          <w:rFonts w:ascii="VIC SemiBold" w:hAnsi="VIC SemiBold"/>
        </w:rPr>
        <w:t>Data source:</w:t>
      </w:r>
      <w:r w:rsidRPr="00564975">
        <w:t xml:space="preserve"> </w:t>
      </w:r>
      <w:r w:rsidRPr="00F35A12">
        <w:t>explore synergies with existing data collection systems</w:t>
      </w:r>
      <w:r w:rsidRPr="00564975">
        <w:t xml:space="preserve">, for </w:t>
      </w:r>
      <w:r w:rsidRPr="00F35A12">
        <w:t>example: VICNISS, REDUCCTION</w:t>
      </w:r>
      <w:r w:rsidR="00780733">
        <w:t>.</w:t>
      </w:r>
    </w:p>
    <w:p w14:paraId="5DEAE723" w14:textId="77777777" w:rsidR="00564975" w:rsidRPr="000C7B71" w:rsidRDefault="00564975" w:rsidP="00780733">
      <w:r w:rsidRPr="00655832">
        <w:rPr>
          <w:rFonts w:ascii="VIC SemiBold" w:hAnsi="VIC SemiBold"/>
        </w:rPr>
        <w:t>Proposed targets and response:</w:t>
      </w:r>
      <w:r w:rsidRPr="00F35A12">
        <w:rPr>
          <w:vertAlign w:val="superscript"/>
        </w:rPr>
        <w:t>44</w:t>
      </w:r>
    </w:p>
    <w:p w14:paraId="276C8026" w14:textId="1CD9862A" w:rsidR="00564975" w:rsidRPr="000A1146" w:rsidRDefault="00564975" w:rsidP="00780733">
      <w:pPr>
        <w:pStyle w:val="Bullet1"/>
        <w:rPr>
          <w:rFonts w:ascii="VIC" w:hAnsi="VIC"/>
        </w:rPr>
      </w:pPr>
      <w:r w:rsidRPr="000A1146">
        <w:rPr>
          <w:rFonts w:ascii="VIC" w:hAnsi="VIC"/>
        </w:rPr>
        <w:t xml:space="preserve">overall rate for </w:t>
      </w:r>
      <w:r w:rsidR="00B712F3" w:rsidRPr="000A1146">
        <w:rPr>
          <w:rFonts w:ascii="VIC" w:hAnsi="VIC"/>
          <w:szCs w:val="18"/>
        </w:rPr>
        <w:t>haemodialysis</w:t>
      </w:r>
      <w:r w:rsidR="00B712F3" w:rsidRPr="000A1146">
        <w:rPr>
          <w:rFonts w:ascii="VIC" w:hAnsi="VIC"/>
        </w:rPr>
        <w:t xml:space="preserve"> </w:t>
      </w:r>
      <w:r w:rsidRPr="000A1146">
        <w:rPr>
          <w:rFonts w:ascii="VIC" w:hAnsi="VIC"/>
        </w:rPr>
        <w:t>patients</w:t>
      </w:r>
    </w:p>
    <w:p w14:paraId="087D0CB2" w14:textId="6A3F41BC" w:rsidR="00564975" w:rsidRPr="000A1146" w:rsidRDefault="00564975" w:rsidP="000A1146">
      <w:pPr>
        <w:pStyle w:val="Bullet2"/>
        <w:rPr>
          <w:rFonts w:ascii="VIC" w:hAnsi="VIC"/>
        </w:rPr>
      </w:pPr>
      <w:r w:rsidRPr="000A1146">
        <w:rPr>
          <w:rFonts w:ascii="VIC" w:hAnsi="VIC"/>
        </w:rPr>
        <w:t>target &lt; 1.0 bloodstream infection/100 patient months</w:t>
      </w:r>
    </w:p>
    <w:p w14:paraId="6EE0ABAA" w14:textId="77777777" w:rsidR="000A1146" w:rsidRPr="000A1146" w:rsidRDefault="00564975" w:rsidP="000A1146">
      <w:pPr>
        <w:pStyle w:val="Bullet1"/>
        <w:rPr>
          <w:rFonts w:ascii="VIC" w:hAnsi="VIC"/>
        </w:rPr>
      </w:pPr>
      <w:r w:rsidRPr="000A1146">
        <w:rPr>
          <w:rFonts w:ascii="VIC" w:hAnsi="VIC"/>
        </w:rPr>
        <w:t xml:space="preserve">rate for </w:t>
      </w:r>
      <w:r w:rsidR="00B712F3" w:rsidRPr="000A1146">
        <w:rPr>
          <w:rFonts w:ascii="VIC" w:hAnsi="VIC"/>
          <w:szCs w:val="18"/>
        </w:rPr>
        <w:t>haemodialysis</w:t>
      </w:r>
      <w:r w:rsidRPr="000A1146">
        <w:rPr>
          <w:rFonts w:ascii="VIC" w:hAnsi="VIC"/>
        </w:rPr>
        <w:t xml:space="preserve"> patients with an arteriovenous acces</w:t>
      </w:r>
      <w:r w:rsidR="000A1146" w:rsidRPr="000A1146">
        <w:rPr>
          <w:rFonts w:ascii="VIC" w:hAnsi="VIC"/>
        </w:rPr>
        <w:t>s</w:t>
      </w:r>
      <w:r w:rsidR="00B81129" w:rsidRPr="000A1146">
        <w:rPr>
          <w:rFonts w:ascii="VIC" w:hAnsi="VIC"/>
        </w:rPr>
        <w:t xml:space="preserve"> </w:t>
      </w:r>
    </w:p>
    <w:p w14:paraId="42904CE5" w14:textId="09647B73" w:rsidR="00564975" w:rsidRPr="000A1146" w:rsidRDefault="00564975" w:rsidP="000A1146">
      <w:pPr>
        <w:pStyle w:val="Bullet2"/>
        <w:rPr>
          <w:rFonts w:ascii="VIC" w:hAnsi="VIC"/>
        </w:rPr>
      </w:pPr>
      <w:r w:rsidRPr="000A1146">
        <w:rPr>
          <w:rFonts w:ascii="VIC" w:hAnsi="VIC"/>
        </w:rPr>
        <w:t>target &lt; 0.5 bloodstream infections/100 patient months</w:t>
      </w:r>
    </w:p>
    <w:p w14:paraId="040CD871" w14:textId="77777777" w:rsidR="000A1146" w:rsidRPr="000A1146" w:rsidRDefault="00564975" w:rsidP="000A1146">
      <w:pPr>
        <w:pStyle w:val="Bullet1"/>
        <w:rPr>
          <w:rFonts w:ascii="VIC" w:hAnsi="VIC"/>
        </w:rPr>
      </w:pPr>
      <w:r w:rsidRPr="000A1146">
        <w:rPr>
          <w:rFonts w:ascii="VIC" w:hAnsi="VIC"/>
        </w:rPr>
        <w:t xml:space="preserve">rate for </w:t>
      </w:r>
      <w:r w:rsidR="00B712F3" w:rsidRPr="000A1146">
        <w:rPr>
          <w:rFonts w:ascii="VIC" w:hAnsi="VIC"/>
          <w:szCs w:val="18"/>
        </w:rPr>
        <w:t>haemodialysis</w:t>
      </w:r>
      <w:r w:rsidRPr="000A1146">
        <w:rPr>
          <w:rFonts w:ascii="VIC" w:hAnsi="VIC"/>
        </w:rPr>
        <w:t xml:space="preserve"> patients with a </w:t>
      </w:r>
      <w:r w:rsidR="00B712F3" w:rsidRPr="000A1146">
        <w:rPr>
          <w:rFonts w:ascii="VIC" w:hAnsi="VIC"/>
          <w:szCs w:val="18"/>
        </w:rPr>
        <w:t>haemodialysis</w:t>
      </w:r>
      <w:r w:rsidRPr="000A1146">
        <w:rPr>
          <w:rFonts w:ascii="VIC" w:hAnsi="VIC"/>
        </w:rPr>
        <w:t xml:space="preserve"> CVC</w:t>
      </w:r>
    </w:p>
    <w:p w14:paraId="7A05FA91" w14:textId="16779146" w:rsidR="00564975" w:rsidRPr="000A1146" w:rsidRDefault="00564975" w:rsidP="000A1146">
      <w:pPr>
        <w:pStyle w:val="Bullet2"/>
        <w:rPr>
          <w:rFonts w:ascii="VIC" w:hAnsi="VIC"/>
        </w:rPr>
      </w:pPr>
      <w:r w:rsidRPr="000A1146">
        <w:rPr>
          <w:rFonts w:ascii="VIC" w:hAnsi="VIC"/>
        </w:rPr>
        <w:t>target &lt; 3.0 bloodstream infections/100 patient months.</w:t>
      </w:r>
    </w:p>
    <w:p w14:paraId="526A9173" w14:textId="77777777" w:rsidR="00564975" w:rsidRPr="000F4969" w:rsidRDefault="00564975" w:rsidP="00564975">
      <w:pPr>
        <w:pStyle w:val="Heading2"/>
      </w:pPr>
      <w:bookmarkStart w:id="92" w:name="_Toc8637273"/>
      <w:bookmarkStart w:id="93" w:name="_Toc10460721"/>
      <w:r w:rsidRPr="00BB6413">
        <w:lastRenderedPageBreak/>
        <w:t>Kidney t</w:t>
      </w:r>
      <w:r w:rsidRPr="000F4969">
        <w:t>ransplantation</w:t>
      </w:r>
      <w:bookmarkEnd w:id="92"/>
      <w:bookmarkEnd w:id="93"/>
    </w:p>
    <w:p w14:paraId="5D5ABD85" w14:textId="77777777" w:rsidR="00564975" w:rsidRPr="00343A2D" w:rsidRDefault="00564975" w:rsidP="00564975">
      <w:pPr>
        <w:pStyle w:val="Heading3"/>
      </w:pPr>
      <w:r w:rsidRPr="000F4969">
        <w:t>SMR at one year for kidney transplants performed in the preceding five years</w:t>
      </w:r>
    </w:p>
    <w:p w14:paraId="7D2581DC" w14:textId="77777777" w:rsidR="00564975" w:rsidRPr="00343A2D" w:rsidRDefault="00564975" w:rsidP="00780733">
      <w:pPr>
        <w:pStyle w:val="Normalfollowingheading"/>
        <w:rPr>
          <w:b/>
        </w:rPr>
      </w:pPr>
      <w:r w:rsidRPr="00343A2D">
        <w:rPr>
          <w:b/>
        </w:rPr>
        <w:t>Rationale:</w:t>
      </w:r>
    </w:p>
    <w:p w14:paraId="22F3E05E" w14:textId="42E1A050" w:rsidR="00564975" w:rsidRPr="00343A2D" w:rsidRDefault="00780733" w:rsidP="00780733">
      <w:pPr>
        <w:pStyle w:val="Bullet1"/>
        <w:rPr>
          <w:rFonts w:ascii="VIC" w:hAnsi="VIC"/>
        </w:rPr>
      </w:pPr>
      <w:r>
        <w:rPr>
          <w:rFonts w:ascii="VIC" w:hAnsi="VIC"/>
        </w:rPr>
        <w:t>T</w:t>
      </w:r>
      <w:r w:rsidR="00564975" w:rsidRPr="00343A2D">
        <w:rPr>
          <w:rFonts w:ascii="VIC" w:hAnsi="VIC"/>
        </w:rPr>
        <w:t>ier-1 (essential) ICHOM treatment-specific outcome</w:t>
      </w:r>
      <w:r w:rsidR="0044094C">
        <w:rPr>
          <w:rFonts w:ascii="VIC" w:hAnsi="VIC"/>
        </w:rPr>
        <w:t xml:space="preserve"> (</w:t>
      </w:r>
      <w:r w:rsidR="0044094C" w:rsidRPr="00DE68FC">
        <w:rPr>
          <w:rFonts w:ascii="VIC" w:hAnsi="VIC"/>
          <w:b/>
        </w:rPr>
        <w:t>Appendix 6</w:t>
      </w:r>
      <w:r w:rsidR="0044094C">
        <w:rPr>
          <w:rFonts w:ascii="VIC" w:hAnsi="VIC"/>
        </w:rPr>
        <w:t>)</w:t>
      </w:r>
      <w:r>
        <w:rPr>
          <w:rFonts w:ascii="VIC" w:hAnsi="VIC"/>
        </w:rPr>
        <w:t>.</w:t>
      </w:r>
    </w:p>
    <w:p w14:paraId="00F32AFA" w14:textId="7769CACE" w:rsidR="00564975" w:rsidRPr="00343A2D" w:rsidRDefault="00780733" w:rsidP="00780733">
      <w:pPr>
        <w:pStyle w:val="Bullet1"/>
        <w:rPr>
          <w:rFonts w:ascii="VIC" w:hAnsi="VIC"/>
        </w:rPr>
      </w:pPr>
      <w:r>
        <w:rPr>
          <w:rFonts w:ascii="VIC" w:hAnsi="VIC"/>
        </w:rPr>
        <w:t>V</w:t>
      </w:r>
      <w:r w:rsidR="00564975" w:rsidRPr="00343A2D">
        <w:rPr>
          <w:rFonts w:ascii="VIC" w:hAnsi="VIC"/>
        </w:rPr>
        <w:t>alid quality assurance (safety) measure</w:t>
      </w:r>
      <w:r w:rsidR="00564975" w:rsidRPr="00780733">
        <w:rPr>
          <w:rFonts w:ascii="VIC" w:hAnsi="VIC"/>
        </w:rPr>
        <w:t>.</w:t>
      </w:r>
    </w:p>
    <w:p w14:paraId="09CECD89" w14:textId="66A90D47" w:rsidR="00564975" w:rsidRPr="00F35A12" w:rsidRDefault="00564975" w:rsidP="00780733">
      <w:r w:rsidRPr="00655832">
        <w:rPr>
          <w:rFonts w:ascii="VIC SemiBold" w:hAnsi="VIC SemiBold"/>
        </w:rPr>
        <w:t>Data source:</w:t>
      </w:r>
      <w:r w:rsidRPr="00564975">
        <w:t xml:space="preserve"> </w:t>
      </w:r>
      <w:r w:rsidRPr="00F35A12">
        <w:t>ANZDATA annual hospital reports (publicly available)</w:t>
      </w:r>
      <w:r>
        <w:t>.</w:t>
      </w:r>
    </w:p>
    <w:p w14:paraId="39A10B1D" w14:textId="2589CB18" w:rsidR="00564975" w:rsidRPr="00F35A12" w:rsidRDefault="00564975" w:rsidP="00780733">
      <w:r w:rsidRPr="00655832">
        <w:rPr>
          <w:rFonts w:ascii="VIC SemiBold" w:hAnsi="VIC SemiBold"/>
        </w:rPr>
        <w:t>Targets and response:</w:t>
      </w:r>
      <w:r w:rsidRPr="00564975">
        <w:t xml:space="preserve"> </w:t>
      </w:r>
      <w:r w:rsidR="00780733">
        <w:t>I</w:t>
      </w:r>
      <w:r w:rsidRPr="00F35A12">
        <w:t xml:space="preserve">f a service experiences an increased SMR outside of the 95 per cent confidence interval, </w:t>
      </w:r>
      <w:r>
        <w:t xml:space="preserve">the </w:t>
      </w:r>
      <w:r w:rsidRPr="00564975">
        <w:t>Renal Clinical Network</w:t>
      </w:r>
      <w:r w:rsidRPr="00F35A12">
        <w:t xml:space="preserve"> should work constructively with the hub provider on a strategy to improve this outcome</w:t>
      </w:r>
      <w:r>
        <w:t>.</w:t>
      </w:r>
    </w:p>
    <w:p w14:paraId="723430B2" w14:textId="77777777" w:rsidR="00564975" w:rsidRPr="00343A2D" w:rsidRDefault="00564975" w:rsidP="00564975">
      <w:pPr>
        <w:pStyle w:val="Heading3"/>
      </w:pPr>
      <w:bookmarkStart w:id="94" w:name="_Hlk535577958"/>
      <w:r w:rsidRPr="00BB6413">
        <w:t>Risk-adjusted g</w:t>
      </w:r>
      <w:r w:rsidRPr="000F4969">
        <w:t>raft failure ratio at one year for transplant recipients</w:t>
      </w:r>
    </w:p>
    <w:bookmarkEnd w:id="94"/>
    <w:p w14:paraId="573D22B6" w14:textId="70B353C3" w:rsidR="00564975" w:rsidRPr="00655832" w:rsidRDefault="00564975" w:rsidP="00780733">
      <w:pPr>
        <w:pStyle w:val="Normalfollowingheading"/>
        <w:rPr>
          <w:rFonts w:ascii="VIC SemiBold" w:hAnsi="VIC SemiBold"/>
        </w:rPr>
      </w:pPr>
      <w:r w:rsidRPr="00655832">
        <w:rPr>
          <w:rFonts w:ascii="VIC SemiBold" w:hAnsi="VIC SemiBold"/>
        </w:rPr>
        <w:t>Rationale</w:t>
      </w:r>
    </w:p>
    <w:p w14:paraId="5F69784E" w14:textId="68318CFD" w:rsidR="00564975" w:rsidRPr="00343A2D" w:rsidRDefault="00564975" w:rsidP="00780733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tier-1 (essential) ICHOM treatment-specific outcome</w:t>
      </w:r>
      <w:r w:rsidR="00780733">
        <w:rPr>
          <w:rFonts w:ascii="VIC" w:hAnsi="VIC"/>
        </w:rPr>
        <w:t>.</w:t>
      </w:r>
    </w:p>
    <w:p w14:paraId="6C394085" w14:textId="4FFAC510" w:rsidR="00564975" w:rsidRPr="00343A2D" w:rsidRDefault="00564975" w:rsidP="00780733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valid quality assurance (safety) measure</w:t>
      </w:r>
      <w:r w:rsidR="00780733">
        <w:rPr>
          <w:rFonts w:ascii="VIC" w:hAnsi="VIC"/>
        </w:rPr>
        <w:t>.</w:t>
      </w:r>
    </w:p>
    <w:p w14:paraId="52E42100" w14:textId="150EBB5D" w:rsidR="00564975" w:rsidRPr="00F35A12" w:rsidRDefault="00564975" w:rsidP="00780733">
      <w:r w:rsidRPr="00655832">
        <w:rPr>
          <w:rFonts w:ascii="VIC SemiBold" w:hAnsi="VIC SemiBold"/>
        </w:rPr>
        <w:t>Data source:</w:t>
      </w:r>
      <w:r>
        <w:t xml:space="preserve"> </w:t>
      </w:r>
      <w:r w:rsidRPr="00F35A12">
        <w:t>ANZDATA annual hospital reports (publicly available)</w:t>
      </w:r>
      <w:r>
        <w:t>.</w:t>
      </w:r>
    </w:p>
    <w:p w14:paraId="769752A3" w14:textId="437E0983" w:rsidR="00564975" w:rsidRDefault="00564975" w:rsidP="00780733">
      <w:r w:rsidRPr="00655832">
        <w:rPr>
          <w:rFonts w:ascii="VIC SemiBold" w:hAnsi="VIC SemiBold"/>
        </w:rPr>
        <w:t>Targets and response:</w:t>
      </w:r>
      <w:r>
        <w:t xml:space="preserve"> </w:t>
      </w:r>
      <w:r w:rsidR="00780733">
        <w:t>I</w:t>
      </w:r>
      <w:r w:rsidRPr="00F35A12">
        <w:t xml:space="preserve">f a service experiences an increased risk-adjusted graft failure ratio outside of the 95 per cent confidence interval, </w:t>
      </w:r>
      <w:r>
        <w:t>the</w:t>
      </w:r>
      <w:r w:rsidRPr="00564975">
        <w:t xml:space="preserve"> Renal Clinical Network</w:t>
      </w:r>
      <w:r w:rsidRPr="00F35A12">
        <w:t xml:space="preserve"> should work constructively with the hub provider on a strategy to improve this outcome</w:t>
      </w:r>
      <w:r>
        <w:t>.</w:t>
      </w:r>
    </w:p>
    <w:p w14:paraId="553FC513" w14:textId="5C00AA0D" w:rsidR="00046821" w:rsidRPr="00046821" w:rsidRDefault="00046821" w:rsidP="00780733">
      <w:pPr>
        <w:rPr>
          <w:b/>
        </w:rPr>
      </w:pPr>
      <w:r w:rsidRPr="00046821">
        <w:t xml:space="preserve">Potential new quality indicators are summarised in </w:t>
      </w:r>
      <w:r w:rsidRPr="00046821">
        <w:rPr>
          <w:b/>
        </w:rPr>
        <w:t>Appendix 4.</w:t>
      </w:r>
    </w:p>
    <w:p w14:paraId="264A37DE" w14:textId="314C0927" w:rsidR="00564975" w:rsidRPr="000F4969" w:rsidRDefault="00564975" w:rsidP="00564975">
      <w:pPr>
        <w:pStyle w:val="Heading2"/>
      </w:pPr>
      <w:bookmarkStart w:id="95" w:name="_Toc8637274"/>
      <w:bookmarkStart w:id="96" w:name="_Toc10460722"/>
      <w:r w:rsidRPr="00BB6413">
        <w:t xml:space="preserve">Other </w:t>
      </w:r>
      <w:r w:rsidRPr="000F4969">
        <w:t>considerations</w:t>
      </w:r>
      <w:bookmarkEnd w:id="95"/>
      <w:bookmarkEnd w:id="96"/>
    </w:p>
    <w:p w14:paraId="084E14D8" w14:textId="1692975C" w:rsidR="00564975" w:rsidRPr="00BB6413" w:rsidRDefault="00564975" w:rsidP="00564975">
      <w:pPr>
        <w:pStyle w:val="Normalfollowingheading"/>
      </w:pPr>
      <w:r w:rsidRPr="0005708D">
        <w:t>The KPI survey generated a wide range of suggestions for quality indicators</w:t>
      </w:r>
      <w:r>
        <w:t>, including</w:t>
      </w:r>
      <w:r w:rsidRPr="00BB6413">
        <w:t xml:space="preserve"> measures of renal supportive care, acute kidney injury, outpatient access,</w:t>
      </w:r>
      <w:r>
        <w:t xml:space="preserve"> and</w:t>
      </w:r>
      <w:r w:rsidRPr="00BB6413">
        <w:t xml:space="preserve"> CKD</w:t>
      </w:r>
      <w:r w:rsidRPr="000F4969">
        <w:t xml:space="preserve">. </w:t>
      </w:r>
      <w:r>
        <w:t>These suggestions will be considered</w:t>
      </w:r>
      <w:r w:rsidRPr="00BB6413">
        <w:t xml:space="preserve"> </w:t>
      </w:r>
      <w:r>
        <w:t>by the</w:t>
      </w:r>
      <w:r w:rsidRPr="00564975">
        <w:t xml:space="preserve"> </w:t>
      </w:r>
      <w:r>
        <w:t xml:space="preserve">Renal Clinical Network </w:t>
      </w:r>
      <w:r w:rsidRPr="00BB6413">
        <w:t>committees.</w:t>
      </w:r>
    </w:p>
    <w:p w14:paraId="226B0929" w14:textId="77777777" w:rsidR="00564975" w:rsidRDefault="00564975">
      <w:r>
        <w:br w:type="page"/>
      </w:r>
    </w:p>
    <w:p w14:paraId="37059C74" w14:textId="31F14661" w:rsidR="00141B91" w:rsidRPr="00780733" w:rsidRDefault="00141B91" w:rsidP="00780733">
      <w:pPr>
        <w:spacing w:before="0" w:after="0" w:line="240" w:lineRule="auto"/>
        <w:rPr>
          <w:sz w:val="2"/>
          <w:szCs w:val="2"/>
        </w:rPr>
      </w:pPr>
    </w:p>
    <w:p w14:paraId="304C178B" w14:textId="6BC70C82" w:rsidR="00564975" w:rsidRDefault="00564975" w:rsidP="00564975">
      <w:pPr>
        <w:pStyle w:val="Heading1"/>
        <w:framePr w:wrap="around"/>
      </w:pPr>
      <w:bookmarkStart w:id="97" w:name="_Toc17103967"/>
      <w:r>
        <w:t>Next steps</w:t>
      </w:r>
      <w:bookmarkEnd w:id="97"/>
    </w:p>
    <w:p w14:paraId="54348A29" w14:textId="5012EDDC" w:rsidR="00D94EFF" w:rsidRPr="00343A2D" w:rsidRDefault="00D94EFF" w:rsidP="00BB6413">
      <w:pPr>
        <w:pStyle w:val="Heading3"/>
      </w:pPr>
      <w:r w:rsidRPr="000F4969">
        <w:t>Implemen</w:t>
      </w:r>
      <w:r w:rsidR="00642A4F" w:rsidRPr="00343A2D">
        <w:t>t</w:t>
      </w:r>
      <w:r w:rsidRPr="00BB6413">
        <w:t xml:space="preserve"> recommended KPI changes</w:t>
      </w:r>
    </w:p>
    <w:p w14:paraId="7EA5265A" w14:textId="6189E90E" w:rsidR="00D94EFF" w:rsidRPr="00343A2D" w:rsidRDefault="00D94EFF" w:rsidP="00343A2D">
      <w:pPr>
        <w:pStyle w:val="Heading4"/>
        <w:rPr>
          <w:rFonts w:ascii="VIC" w:hAnsi="VIC"/>
        </w:rPr>
      </w:pPr>
      <w:r w:rsidRPr="0005708D">
        <w:t>Phase 1: June 2019</w:t>
      </w:r>
      <w:r w:rsidR="00481252" w:rsidRPr="00564975">
        <w:t xml:space="preserve"> to </w:t>
      </w:r>
      <w:r w:rsidRPr="00B1282F">
        <w:t>December 2019</w:t>
      </w:r>
      <w:r w:rsidRPr="00343A2D">
        <w:rPr>
          <w:rFonts w:ascii="VIC" w:hAnsi="VIC"/>
        </w:rPr>
        <w:t>:</w:t>
      </w:r>
    </w:p>
    <w:p w14:paraId="20BD3446" w14:textId="71203E3A" w:rsidR="00D94EFF" w:rsidRPr="00343A2D" w:rsidRDefault="00D94EFF" w:rsidP="00343A2D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Merg</w:t>
      </w:r>
      <w:r w:rsidR="008D7679" w:rsidRPr="00343A2D">
        <w:rPr>
          <w:rFonts w:ascii="VIC" w:hAnsi="VIC"/>
        </w:rPr>
        <w:t>e</w:t>
      </w:r>
      <w:r w:rsidRPr="00343A2D">
        <w:rPr>
          <w:rFonts w:ascii="VIC" w:hAnsi="VIC"/>
        </w:rPr>
        <w:t xml:space="preserve"> KPI</w:t>
      </w:r>
      <w:r w:rsidR="00642A4F" w:rsidRPr="00343A2D">
        <w:rPr>
          <w:rFonts w:ascii="VIC" w:hAnsi="VIC"/>
        </w:rPr>
        <w:t xml:space="preserve"> </w:t>
      </w:r>
      <w:r w:rsidRPr="00343A2D">
        <w:rPr>
          <w:rFonts w:ascii="VIC" w:hAnsi="VIC"/>
        </w:rPr>
        <w:t>5 and 6</w:t>
      </w:r>
      <w:r w:rsidR="002F0049">
        <w:rPr>
          <w:rFonts w:ascii="VIC" w:hAnsi="VIC"/>
        </w:rPr>
        <w:t>.</w:t>
      </w:r>
    </w:p>
    <w:p w14:paraId="158B125C" w14:textId="0AA3492C" w:rsidR="00D94EFF" w:rsidRPr="00343A2D" w:rsidRDefault="00D94EFF" w:rsidP="00343A2D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Remov</w:t>
      </w:r>
      <w:r w:rsidR="008D7679" w:rsidRPr="00343A2D">
        <w:rPr>
          <w:rFonts w:ascii="VIC" w:hAnsi="VIC"/>
        </w:rPr>
        <w:t>e</w:t>
      </w:r>
      <w:r w:rsidRPr="00343A2D">
        <w:rPr>
          <w:rFonts w:ascii="VIC" w:hAnsi="VIC"/>
        </w:rPr>
        <w:t xml:space="preserve"> KPI</w:t>
      </w:r>
      <w:r w:rsidR="00642A4F" w:rsidRPr="00343A2D">
        <w:rPr>
          <w:rFonts w:ascii="VIC" w:hAnsi="VIC"/>
        </w:rPr>
        <w:t xml:space="preserve"> </w:t>
      </w:r>
      <w:r w:rsidRPr="00343A2D">
        <w:rPr>
          <w:rFonts w:ascii="VIC" w:hAnsi="VIC"/>
        </w:rPr>
        <w:t>3 targets</w:t>
      </w:r>
      <w:r w:rsidR="002F0049">
        <w:rPr>
          <w:rFonts w:ascii="VIC" w:hAnsi="VIC"/>
        </w:rPr>
        <w:t>.</w:t>
      </w:r>
    </w:p>
    <w:p w14:paraId="235530A1" w14:textId="353AD781" w:rsidR="00642A4F" w:rsidRDefault="00D94EFF" w:rsidP="00642A4F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Introduce new KPI</w:t>
      </w:r>
      <w:r w:rsidR="00642A4F" w:rsidRPr="00343A2D">
        <w:rPr>
          <w:rFonts w:ascii="VIC" w:hAnsi="VIC"/>
        </w:rPr>
        <w:t>s</w:t>
      </w:r>
      <w:r w:rsidRPr="00343A2D">
        <w:rPr>
          <w:rFonts w:ascii="VIC" w:hAnsi="VIC"/>
        </w:rPr>
        <w:t xml:space="preserve">: </w:t>
      </w:r>
    </w:p>
    <w:p w14:paraId="134C1E5A" w14:textId="2D6A4462" w:rsidR="00D94EFF" w:rsidRPr="00343A2D" w:rsidRDefault="00D94EFF">
      <w:pPr>
        <w:pStyle w:val="Bullet2"/>
        <w:rPr>
          <w:rFonts w:ascii="VIC" w:hAnsi="VIC"/>
        </w:rPr>
      </w:pPr>
      <w:r w:rsidRPr="00343A2D">
        <w:rPr>
          <w:rFonts w:ascii="VIC" w:hAnsi="VIC"/>
        </w:rPr>
        <w:t xml:space="preserve">SMR for dialysis patients </w:t>
      </w:r>
      <w:r w:rsidR="007F4E20" w:rsidRPr="00343A2D">
        <w:rPr>
          <w:rFonts w:ascii="VIC" w:hAnsi="VIC"/>
        </w:rPr>
        <w:t xml:space="preserve">starting </w:t>
      </w:r>
      <w:r w:rsidRPr="00343A2D">
        <w:rPr>
          <w:rFonts w:ascii="VIC" w:hAnsi="VIC"/>
        </w:rPr>
        <w:t>dialysis at the health service in the preceding five years</w:t>
      </w:r>
      <w:r w:rsidR="002F0049">
        <w:rPr>
          <w:rFonts w:ascii="VIC" w:hAnsi="VIC"/>
        </w:rPr>
        <w:t>.</w:t>
      </w:r>
    </w:p>
    <w:p w14:paraId="6A352EBF" w14:textId="6E9AF7C3" w:rsidR="00D94EFF" w:rsidRPr="00343A2D" w:rsidRDefault="00D94EFF">
      <w:pPr>
        <w:pStyle w:val="Bullet2"/>
        <w:rPr>
          <w:rFonts w:ascii="VIC" w:hAnsi="VIC"/>
        </w:rPr>
      </w:pPr>
      <w:r w:rsidRPr="00343A2D">
        <w:rPr>
          <w:rFonts w:ascii="VIC" w:hAnsi="VIC"/>
        </w:rPr>
        <w:t>SMR for kidney transplants performed in the preceding five year</w:t>
      </w:r>
      <w:r w:rsidR="002550EE">
        <w:rPr>
          <w:rFonts w:ascii="VIC" w:hAnsi="VIC"/>
        </w:rPr>
        <w:t>s</w:t>
      </w:r>
      <w:r w:rsidR="002F0049">
        <w:rPr>
          <w:rFonts w:ascii="VIC" w:hAnsi="VIC"/>
        </w:rPr>
        <w:t>.</w:t>
      </w:r>
    </w:p>
    <w:p w14:paraId="154F3D3E" w14:textId="3D0DCFA2" w:rsidR="00D94EFF" w:rsidRPr="00343A2D" w:rsidRDefault="00D94EFF">
      <w:pPr>
        <w:pStyle w:val="Bullet2"/>
        <w:rPr>
          <w:rFonts w:ascii="VIC" w:hAnsi="VIC"/>
        </w:rPr>
      </w:pPr>
      <w:r w:rsidRPr="00343A2D">
        <w:rPr>
          <w:rFonts w:ascii="VIC" w:hAnsi="VIC"/>
        </w:rPr>
        <w:t xml:space="preserve">Risk-adjusted </w:t>
      </w:r>
      <w:r w:rsidR="008D7679" w:rsidRPr="00343A2D">
        <w:rPr>
          <w:rFonts w:ascii="VIC" w:hAnsi="VIC"/>
        </w:rPr>
        <w:t>g</w:t>
      </w:r>
      <w:r w:rsidRPr="00343A2D">
        <w:rPr>
          <w:rFonts w:ascii="VIC" w:hAnsi="VIC"/>
        </w:rPr>
        <w:t xml:space="preserve">raft </w:t>
      </w:r>
      <w:r w:rsidR="008D7679" w:rsidRPr="00343A2D">
        <w:rPr>
          <w:rFonts w:ascii="VIC" w:hAnsi="VIC"/>
        </w:rPr>
        <w:t>f</w:t>
      </w:r>
      <w:r w:rsidRPr="00343A2D">
        <w:rPr>
          <w:rFonts w:ascii="VIC" w:hAnsi="VIC"/>
        </w:rPr>
        <w:t>ailure ratio for transplant recipients.</w:t>
      </w:r>
    </w:p>
    <w:p w14:paraId="1BED1D90" w14:textId="22411576" w:rsidR="00D94EFF" w:rsidRPr="00343A2D" w:rsidRDefault="00D94EFF" w:rsidP="00343A2D">
      <w:pPr>
        <w:pStyle w:val="Heading4"/>
        <w:rPr>
          <w:rFonts w:ascii="VIC" w:hAnsi="VIC"/>
        </w:rPr>
      </w:pPr>
      <w:r w:rsidRPr="0005708D">
        <w:t xml:space="preserve">Phase 2: June 2019 </w:t>
      </w:r>
      <w:r w:rsidR="00481252" w:rsidRPr="00564975">
        <w:t>to</w:t>
      </w:r>
      <w:r w:rsidRPr="00B1282F">
        <w:t xml:space="preserve"> June 2020</w:t>
      </w:r>
      <w:r w:rsidRPr="00343A2D">
        <w:rPr>
          <w:rFonts w:ascii="VIC" w:hAnsi="VIC"/>
        </w:rPr>
        <w:t>:</w:t>
      </w:r>
    </w:p>
    <w:p w14:paraId="7293CCF7" w14:textId="38F4B3C2" w:rsidR="00D94EFF" w:rsidRPr="00343A2D" w:rsidRDefault="00D94EFF" w:rsidP="00343A2D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Vascular </w:t>
      </w:r>
      <w:r w:rsidR="008D7679" w:rsidRPr="00343A2D">
        <w:rPr>
          <w:rFonts w:ascii="VIC" w:hAnsi="VIC"/>
        </w:rPr>
        <w:t>a</w:t>
      </w:r>
      <w:r w:rsidRPr="00343A2D">
        <w:rPr>
          <w:rFonts w:ascii="VIC" w:hAnsi="VIC"/>
        </w:rPr>
        <w:t xml:space="preserve">ccess </w:t>
      </w:r>
      <w:r w:rsidR="008D7679" w:rsidRPr="00343A2D">
        <w:rPr>
          <w:rFonts w:ascii="VIC" w:hAnsi="VIC"/>
        </w:rPr>
        <w:t>b</w:t>
      </w:r>
      <w:r w:rsidRPr="00343A2D">
        <w:rPr>
          <w:rFonts w:ascii="VIC" w:hAnsi="VIC"/>
        </w:rPr>
        <w:t xml:space="preserve">loodstream infection rates in </w:t>
      </w:r>
      <w:r w:rsidR="00B712F3" w:rsidRPr="00B712F3">
        <w:rPr>
          <w:rFonts w:ascii="VIC" w:hAnsi="VIC"/>
          <w:szCs w:val="18"/>
        </w:rPr>
        <w:t>haemodialysis</w:t>
      </w:r>
      <w:r w:rsidR="008D7679" w:rsidRPr="00343A2D">
        <w:rPr>
          <w:rFonts w:ascii="VIC" w:hAnsi="VIC"/>
        </w:rPr>
        <w:t xml:space="preserve"> </w:t>
      </w:r>
      <w:r w:rsidRPr="00343A2D">
        <w:rPr>
          <w:rFonts w:ascii="VIC" w:hAnsi="VIC"/>
        </w:rPr>
        <w:t>patients.</w:t>
      </w:r>
    </w:p>
    <w:p w14:paraId="2B2B0DA7" w14:textId="046948D8" w:rsidR="00D94EFF" w:rsidRPr="00343A2D" w:rsidRDefault="00D94EFF" w:rsidP="00343A2D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KPI</w:t>
      </w:r>
      <w:r w:rsidR="00642A4F" w:rsidRPr="00343A2D">
        <w:rPr>
          <w:rFonts w:ascii="VIC" w:hAnsi="VIC"/>
        </w:rPr>
        <w:t xml:space="preserve"> </w:t>
      </w:r>
      <w:r w:rsidRPr="00343A2D">
        <w:rPr>
          <w:rFonts w:ascii="VIC" w:hAnsi="VIC"/>
        </w:rPr>
        <w:t xml:space="preserve">1: Develop a better measure of the quality of CKD education to replace </w:t>
      </w:r>
      <w:r w:rsidR="00642A4F">
        <w:rPr>
          <w:rFonts w:ascii="VIC" w:hAnsi="VIC"/>
        </w:rPr>
        <w:t>this KPI</w:t>
      </w:r>
      <w:r w:rsidR="002F0049">
        <w:rPr>
          <w:rFonts w:ascii="VIC" w:hAnsi="VIC"/>
        </w:rPr>
        <w:t>.</w:t>
      </w:r>
    </w:p>
    <w:p w14:paraId="2DB78521" w14:textId="561C3DFD" w:rsidR="00D94EFF" w:rsidRPr="00343A2D" w:rsidRDefault="00D94EFF" w:rsidP="00343A2D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KPI</w:t>
      </w:r>
      <w:r w:rsidR="00642A4F" w:rsidRPr="00343A2D">
        <w:rPr>
          <w:rFonts w:ascii="VIC" w:hAnsi="VIC"/>
        </w:rPr>
        <w:t xml:space="preserve"> </w:t>
      </w:r>
      <w:r w:rsidRPr="00343A2D">
        <w:rPr>
          <w:rFonts w:ascii="VIC" w:hAnsi="VIC"/>
        </w:rPr>
        <w:t xml:space="preserve">2: </w:t>
      </w:r>
      <w:r w:rsidR="008D7679" w:rsidRPr="00343A2D">
        <w:rPr>
          <w:rFonts w:ascii="VIC" w:hAnsi="VIC"/>
        </w:rPr>
        <w:t>S</w:t>
      </w:r>
      <w:r w:rsidRPr="00343A2D">
        <w:rPr>
          <w:rFonts w:ascii="VIC" w:hAnsi="VIC"/>
        </w:rPr>
        <w:t xml:space="preserve">ystematic data collection on the reasons why planned </w:t>
      </w:r>
      <w:r w:rsidR="00B712F3" w:rsidRPr="00B712F3">
        <w:rPr>
          <w:rFonts w:ascii="VIC" w:hAnsi="VIC"/>
          <w:szCs w:val="18"/>
        </w:rPr>
        <w:t>haemodialysis</w:t>
      </w:r>
      <w:r w:rsidRPr="00343A2D">
        <w:rPr>
          <w:rFonts w:ascii="VIC" w:hAnsi="VIC"/>
        </w:rPr>
        <w:t xml:space="preserve"> patients </w:t>
      </w:r>
      <w:r w:rsidR="007F4E20" w:rsidRPr="00343A2D">
        <w:rPr>
          <w:rFonts w:ascii="VIC" w:hAnsi="VIC"/>
        </w:rPr>
        <w:t xml:space="preserve">start </w:t>
      </w:r>
      <w:r w:rsidR="00B712F3" w:rsidRPr="00B712F3">
        <w:rPr>
          <w:rFonts w:ascii="VIC" w:hAnsi="VIC"/>
          <w:szCs w:val="18"/>
        </w:rPr>
        <w:t>haemodialysis</w:t>
      </w:r>
      <w:r w:rsidR="00B712F3" w:rsidRPr="00B1282F">
        <w:rPr>
          <w:rFonts w:ascii="VIC" w:hAnsi="VIC"/>
        </w:rPr>
        <w:t xml:space="preserve"> </w:t>
      </w:r>
      <w:r w:rsidRPr="00343A2D">
        <w:rPr>
          <w:rFonts w:ascii="VIC" w:hAnsi="VIC"/>
        </w:rPr>
        <w:t>without arteriovenous access.</w:t>
      </w:r>
    </w:p>
    <w:p w14:paraId="747B0512" w14:textId="77777777" w:rsidR="00D94EFF" w:rsidRPr="00343A2D" w:rsidRDefault="00D94EFF" w:rsidP="00BB6413">
      <w:pPr>
        <w:pStyle w:val="Heading3"/>
      </w:pPr>
      <w:r w:rsidRPr="00BB6413">
        <w:t>Ongoing review of KPI performance</w:t>
      </w:r>
    </w:p>
    <w:p w14:paraId="2E7E8BAF" w14:textId="6A197A74" w:rsidR="00D94EFF" w:rsidRPr="00B1282F" w:rsidRDefault="00D94EFF" w:rsidP="00343A2D">
      <w:pPr>
        <w:pStyle w:val="Normalfollowingheading"/>
      </w:pPr>
      <w:r w:rsidRPr="0005708D">
        <w:t xml:space="preserve">Existing KPIs should be assessed annually by the </w:t>
      </w:r>
      <w:r w:rsidR="008D7679" w:rsidRPr="00564975">
        <w:t>c</w:t>
      </w:r>
      <w:r w:rsidRPr="00B1282F">
        <w:t xml:space="preserve">linical </w:t>
      </w:r>
      <w:r w:rsidR="008D7679" w:rsidRPr="00F35A12">
        <w:t>l</w:t>
      </w:r>
      <w:r w:rsidRPr="00F35A12">
        <w:t xml:space="preserve">ead and </w:t>
      </w:r>
      <w:r w:rsidR="008D7679" w:rsidRPr="00343A2D">
        <w:t>c</w:t>
      </w:r>
      <w:r w:rsidRPr="00343A2D">
        <w:t>hair of</w:t>
      </w:r>
      <w:r w:rsidR="00A61E9E" w:rsidRPr="00343A2D">
        <w:t xml:space="preserve"> the </w:t>
      </w:r>
      <w:r w:rsidR="00ED56A3">
        <w:t>insight subc</w:t>
      </w:r>
      <w:r w:rsidR="00A61E9E" w:rsidRPr="00564975">
        <w:t xml:space="preserve">ommittee </w:t>
      </w:r>
      <w:r w:rsidRPr="00B1282F">
        <w:t xml:space="preserve">using the </w:t>
      </w:r>
      <w:r w:rsidR="008D7679" w:rsidRPr="00F35A12">
        <w:t>a</w:t>
      </w:r>
      <w:r w:rsidRPr="00F35A12">
        <w:t xml:space="preserve">ssessment </w:t>
      </w:r>
      <w:r w:rsidR="008D7679" w:rsidRPr="00343A2D">
        <w:t>m</w:t>
      </w:r>
      <w:r w:rsidRPr="00343A2D">
        <w:t>atrix (</w:t>
      </w:r>
      <w:r w:rsidRPr="00343A2D">
        <w:rPr>
          <w:b/>
        </w:rPr>
        <w:t>Appendices 3 and 4</w:t>
      </w:r>
      <w:r w:rsidRPr="00F35A12">
        <w:t xml:space="preserve">). These results should be reviewed annually by </w:t>
      </w:r>
      <w:r w:rsidR="00564975">
        <w:t xml:space="preserve">Renal Clinical Network </w:t>
      </w:r>
      <w:r w:rsidR="008D7679" w:rsidRPr="00564975">
        <w:t>c</w:t>
      </w:r>
      <w:r w:rsidRPr="00B1282F">
        <w:t xml:space="preserve">ommittees to ensure all KPIs </w:t>
      </w:r>
      <w:r w:rsidR="00ED56A3">
        <w:t xml:space="preserve">are </w:t>
      </w:r>
      <w:r w:rsidRPr="00564975">
        <w:t>useful and</w:t>
      </w:r>
      <w:r w:rsidRPr="00B1282F">
        <w:t xml:space="preserve"> relevant. KPIs that are not functioning effectively should be modified or removed.</w:t>
      </w:r>
    </w:p>
    <w:p w14:paraId="47C19410" w14:textId="6E7BA56E" w:rsidR="00D94EFF" w:rsidRPr="00343A2D" w:rsidRDefault="00D94EFF" w:rsidP="00BB6413">
      <w:pPr>
        <w:pStyle w:val="Heading3"/>
      </w:pPr>
      <w:r w:rsidRPr="00BB6413">
        <w:t>Consider</w:t>
      </w:r>
      <w:r w:rsidRPr="000F4969">
        <w:t xml:space="preserve"> future KPIs</w:t>
      </w:r>
    </w:p>
    <w:p w14:paraId="6859FB55" w14:textId="25F6980A" w:rsidR="00D94EFF" w:rsidRPr="00F35A12" w:rsidRDefault="00D94EFF" w:rsidP="00343A2D">
      <w:pPr>
        <w:pStyle w:val="Normalfollowingheading"/>
      </w:pPr>
      <w:r w:rsidRPr="0005708D">
        <w:t xml:space="preserve">The </w:t>
      </w:r>
      <w:r w:rsidR="00A61E9E" w:rsidRPr="00564975">
        <w:t>a</w:t>
      </w:r>
      <w:r w:rsidRPr="00B1282F">
        <w:t xml:space="preserve">ssessment </w:t>
      </w:r>
      <w:r w:rsidR="00A61E9E" w:rsidRPr="00F35A12">
        <w:t>m</w:t>
      </w:r>
      <w:r w:rsidRPr="00F35A12">
        <w:t>atrix (</w:t>
      </w:r>
      <w:r w:rsidRPr="00343A2D">
        <w:rPr>
          <w:b/>
        </w:rPr>
        <w:t>Appendices 3 and 4</w:t>
      </w:r>
      <w:r w:rsidRPr="00F35A12">
        <w:t xml:space="preserve">) should be used as a guide for future </w:t>
      </w:r>
      <w:r w:rsidRPr="00343A2D">
        <w:t xml:space="preserve">KPIs </w:t>
      </w:r>
      <w:r w:rsidR="00ED56A3">
        <w:t>to be assessed</w:t>
      </w:r>
      <w:r w:rsidRPr="00564975">
        <w:t xml:space="preserve"> </w:t>
      </w:r>
      <w:r w:rsidRPr="00F35A12">
        <w:t>by the</w:t>
      </w:r>
      <w:r w:rsidR="00564975" w:rsidRPr="00564975">
        <w:t xml:space="preserve"> </w:t>
      </w:r>
      <w:r w:rsidR="00564975">
        <w:t xml:space="preserve">Renal Clinical Network </w:t>
      </w:r>
      <w:r w:rsidR="00A5625E" w:rsidRPr="00F35A12">
        <w:t>c</w:t>
      </w:r>
      <w:r w:rsidRPr="00F35A12">
        <w:t>ommittees.</w:t>
      </w:r>
    </w:p>
    <w:p w14:paraId="5F0BDDB2" w14:textId="3CB93CE5" w:rsidR="00D94EFF" w:rsidRPr="00343A2D" w:rsidRDefault="00ED56A3" w:rsidP="00343A2D">
      <w:r>
        <w:t>We recommend a</w:t>
      </w:r>
      <w:r w:rsidR="00D94EFF" w:rsidRPr="00343A2D">
        <w:t xml:space="preserve"> process to audit the data entry of KPIs within the services is </w:t>
      </w:r>
      <w:r>
        <w:t>established.</w:t>
      </w:r>
    </w:p>
    <w:p w14:paraId="6544CC21" w14:textId="77777777" w:rsidR="00282C51" w:rsidRDefault="00282C51" w:rsidP="00343A2D">
      <w:r>
        <w:br w:type="page"/>
      </w:r>
    </w:p>
    <w:p w14:paraId="0CC2B39E" w14:textId="77777777" w:rsidR="00282C51" w:rsidRPr="00BB6413" w:rsidRDefault="00282C51">
      <w:pPr>
        <w:pStyle w:val="Heading1"/>
        <w:framePr w:wrap="around"/>
      </w:pPr>
      <w:bookmarkStart w:id="98" w:name="_Toc8637279"/>
      <w:bookmarkStart w:id="99" w:name="_Toc17103968"/>
      <w:r w:rsidRPr="00BB6413">
        <w:lastRenderedPageBreak/>
        <w:t>Appendices</w:t>
      </w:r>
      <w:bookmarkEnd w:id="99"/>
    </w:p>
    <w:p w14:paraId="2471742A" w14:textId="2961F229" w:rsidR="00D94EFF" w:rsidRPr="00BB6413" w:rsidRDefault="00D94EFF">
      <w:pPr>
        <w:pStyle w:val="Heading2"/>
      </w:pPr>
      <w:bookmarkStart w:id="100" w:name="_Toc10460726"/>
      <w:r w:rsidRPr="000F4969">
        <w:t xml:space="preserve">Appendix 1: Results of </w:t>
      </w:r>
      <w:r w:rsidR="00104428">
        <w:t>s</w:t>
      </w:r>
      <w:r w:rsidRPr="000F4969">
        <w:t>urvey</w:t>
      </w:r>
      <w:bookmarkEnd w:id="98"/>
      <w:bookmarkEnd w:id="100"/>
    </w:p>
    <w:p w14:paraId="2F8238D7" w14:textId="2D93E7FC" w:rsidR="00D94EFF" w:rsidRPr="00343A2D" w:rsidRDefault="00D94EFF">
      <w:pPr>
        <w:rPr>
          <w:rStyle w:val="Heading3Char"/>
        </w:rPr>
      </w:pPr>
      <w:bookmarkStart w:id="101" w:name="_Toc8637280"/>
      <w:r w:rsidRPr="000F4969">
        <w:rPr>
          <w:rStyle w:val="Heading3Char"/>
        </w:rPr>
        <w:t>KPI</w:t>
      </w:r>
      <w:r w:rsidR="00FC00D2" w:rsidRPr="000F4969">
        <w:rPr>
          <w:rStyle w:val="Heading3Char"/>
        </w:rPr>
        <w:t xml:space="preserve"> </w:t>
      </w:r>
      <w:r w:rsidRPr="0005708D">
        <w:rPr>
          <w:rStyle w:val="Heading3Char"/>
        </w:rPr>
        <w:t>1 and 1A</w:t>
      </w:r>
      <w:bookmarkEnd w:id="101"/>
    </w:p>
    <w:p w14:paraId="31CB51D2" w14:textId="77777777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6CBFDE17" wp14:editId="5FE4CC69">
            <wp:extent cx="4010025" cy="2657475"/>
            <wp:effectExtent l="0" t="0" r="9525" b="9525"/>
            <wp:docPr id="1" name="Picture 1" descr="Contact Safer Care Victoria on 03 9096 1384 or email &lt;safercarevictoria@dhhs.vic.gov.au&gt; for an accessible version of this PowerPoint presentatio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268" t="15451" r="6030" b="6162"/>
                    <a:stretch/>
                  </pic:blipFill>
                  <pic:spPr bwMode="auto">
                    <a:xfrm>
                      <a:off x="0" y="0"/>
                      <a:ext cx="4051358" cy="268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EA43A" w14:textId="77777777" w:rsidR="00904E91" w:rsidRDefault="00D94EFF">
      <w:pPr>
        <w:rPr>
          <w:rFonts w:eastAsia="Calibri"/>
        </w:rPr>
        <w:sectPr w:rsidR="00904E91" w:rsidSect="00D858D5">
          <w:type w:val="continuous"/>
          <w:pgSz w:w="11906" w:h="16838" w:code="9"/>
          <w:pgMar w:top="3402" w:right="851" w:bottom="1361" w:left="851" w:header="539" w:footer="624" w:gutter="0"/>
          <w:cols w:space="284"/>
          <w:docGrid w:linePitch="360"/>
        </w:sectPr>
      </w:pPr>
      <w:r w:rsidRPr="00C57721">
        <w:rPr>
          <w:rFonts w:eastAsia="Calibri"/>
          <w:noProof/>
        </w:rPr>
        <w:drawing>
          <wp:inline distT="0" distB="0" distL="0" distR="0" wp14:anchorId="0BDAFFFA" wp14:editId="785C5DAB">
            <wp:extent cx="4143375" cy="2685257"/>
            <wp:effectExtent l="0" t="0" r="0" b="1270"/>
            <wp:docPr id="64" name="Picture 64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33" t="15558" r="6002" b="6093"/>
                    <a:stretch/>
                  </pic:blipFill>
                  <pic:spPr bwMode="auto">
                    <a:xfrm>
                      <a:off x="0" y="0"/>
                      <a:ext cx="4154515" cy="269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F3517" w14:textId="77777777" w:rsidR="00D94EFF" w:rsidRPr="00C57721" w:rsidRDefault="00D94EFF">
      <w:pPr>
        <w:rPr>
          <w:rFonts w:eastAsia="Calibri"/>
        </w:rPr>
      </w:pPr>
    </w:p>
    <w:p w14:paraId="292E7F78" w14:textId="77777777" w:rsidR="0005708D" w:rsidRDefault="00D94EFF" w:rsidP="00956885">
      <w:pPr>
        <w:rPr>
          <w:rFonts w:eastAsia="Calibri"/>
          <w:noProof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2D04CB4F" wp14:editId="3D8FD441">
            <wp:extent cx="4152900" cy="2590800"/>
            <wp:effectExtent l="0" t="0" r="0" b="0"/>
            <wp:docPr id="65" name="Picture 65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16" t="17500" r="6250" b="6945"/>
                    <a:stretch/>
                  </pic:blipFill>
                  <pic:spPr bwMode="auto">
                    <a:xfrm>
                      <a:off x="0" y="0"/>
                      <a:ext cx="4153259" cy="259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721">
        <w:rPr>
          <w:rFonts w:eastAsia="Calibri"/>
          <w:noProof/>
        </w:rPr>
        <w:t xml:space="preserve"> </w:t>
      </w:r>
    </w:p>
    <w:p w14:paraId="720E592F" w14:textId="77777777" w:rsidR="0005708D" w:rsidRDefault="00D94EFF" w:rsidP="0005708D">
      <w:pPr>
        <w:rPr>
          <w:rFonts w:eastAsia="Calibri"/>
          <w:noProof/>
        </w:rPr>
      </w:pPr>
      <w:r w:rsidRPr="00C57721">
        <w:rPr>
          <w:rFonts w:eastAsia="Calibri"/>
          <w:noProof/>
        </w:rPr>
        <w:drawing>
          <wp:inline distT="0" distB="0" distL="0" distR="0" wp14:anchorId="7218B29E" wp14:editId="0AA24475">
            <wp:extent cx="4152900" cy="2762250"/>
            <wp:effectExtent l="0" t="0" r="0" b="0"/>
            <wp:docPr id="4" name="Picture 4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5" t="15000" r="7292" b="4444"/>
                    <a:stretch/>
                  </pic:blipFill>
                  <pic:spPr bwMode="auto">
                    <a:xfrm>
                      <a:off x="0" y="0"/>
                      <a:ext cx="4153261" cy="276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721">
        <w:rPr>
          <w:rFonts w:eastAsia="Calibri"/>
          <w:noProof/>
        </w:rPr>
        <w:t xml:space="preserve"> </w:t>
      </w:r>
    </w:p>
    <w:p w14:paraId="29341353" w14:textId="77DCF0C9" w:rsidR="0005708D" w:rsidRDefault="00D94EFF" w:rsidP="0005708D">
      <w:pPr>
        <w:rPr>
          <w:rFonts w:eastAsia="Calibri"/>
          <w:noProof/>
        </w:rPr>
      </w:pPr>
      <w:r w:rsidRPr="00C57721">
        <w:rPr>
          <w:rFonts w:eastAsia="Calibri"/>
          <w:noProof/>
        </w:rPr>
        <w:drawing>
          <wp:inline distT="0" distB="0" distL="0" distR="0" wp14:anchorId="0494277E" wp14:editId="78B6A423">
            <wp:extent cx="4171950" cy="2657475"/>
            <wp:effectExtent l="0" t="0" r="0" b="9525"/>
            <wp:docPr id="66" name="Picture 66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00" t="15556" r="6250" b="6944"/>
                    <a:stretch/>
                  </pic:blipFill>
                  <pic:spPr bwMode="auto">
                    <a:xfrm>
                      <a:off x="0" y="0"/>
                      <a:ext cx="4172311" cy="265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721">
        <w:rPr>
          <w:rFonts w:eastAsia="Calibri"/>
          <w:noProof/>
        </w:rPr>
        <w:t xml:space="preserve"> </w:t>
      </w:r>
    </w:p>
    <w:p w14:paraId="402AB45E" w14:textId="41565CD4" w:rsidR="0005708D" w:rsidRDefault="00D94EFF" w:rsidP="0005708D">
      <w:pPr>
        <w:rPr>
          <w:rFonts w:eastAsia="Calibri"/>
          <w:noProof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3A12AEAB" wp14:editId="3A05CDD4">
            <wp:extent cx="4019550" cy="2533650"/>
            <wp:effectExtent l="0" t="0" r="0" b="0"/>
            <wp:docPr id="6" name="Picture 6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625" t="14723" r="6458" b="11389"/>
                    <a:stretch/>
                  </pic:blipFill>
                  <pic:spPr bwMode="auto">
                    <a:xfrm>
                      <a:off x="0" y="0"/>
                      <a:ext cx="4019899" cy="253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721">
        <w:rPr>
          <w:rFonts w:eastAsia="Calibri"/>
          <w:noProof/>
        </w:rPr>
        <w:t xml:space="preserve"> </w:t>
      </w:r>
    </w:p>
    <w:p w14:paraId="76A9D928" w14:textId="77777777" w:rsidR="0005708D" w:rsidRDefault="00D94EFF" w:rsidP="0005708D">
      <w:pPr>
        <w:rPr>
          <w:rFonts w:eastAsia="Calibri"/>
          <w:noProof/>
        </w:rPr>
      </w:pPr>
      <w:r w:rsidRPr="00C57721">
        <w:rPr>
          <w:rFonts w:eastAsia="Calibri"/>
          <w:noProof/>
        </w:rPr>
        <w:drawing>
          <wp:inline distT="0" distB="0" distL="0" distR="0" wp14:anchorId="644D9603" wp14:editId="0F7AE7CF">
            <wp:extent cx="4010025" cy="2495550"/>
            <wp:effectExtent l="0" t="0" r="9525" b="0"/>
            <wp:docPr id="7" name="Picture 7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458" t="14446" r="5833" b="12777"/>
                    <a:stretch/>
                  </pic:blipFill>
                  <pic:spPr bwMode="auto">
                    <a:xfrm>
                      <a:off x="0" y="0"/>
                      <a:ext cx="4010372" cy="249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9395A" w14:textId="77777777" w:rsidR="0005708D" w:rsidRDefault="00D94EFF" w:rsidP="0005708D">
      <w:pPr>
        <w:rPr>
          <w:rFonts w:eastAsia="Calibri"/>
          <w:noProof/>
        </w:rPr>
      </w:pPr>
      <w:r w:rsidRPr="00C57721">
        <w:rPr>
          <w:rFonts w:eastAsia="Calibri"/>
          <w:noProof/>
        </w:rPr>
        <w:drawing>
          <wp:inline distT="0" distB="0" distL="0" distR="0" wp14:anchorId="5AF5DE22" wp14:editId="3A93C675">
            <wp:extent cx="4152900" cy="2676525"/>
            <wp:effectExtent l="0" t="0" r="0" b="9525"/>
            <wp:docPr id="8" name="Picture 8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126" t="14722" r="6041" b="7222"/>
                    <a:stretch/>
                  </pic:blipFill>
                  <pic:spPr bwMode="auto">
                    <a:xfrm>
                      <a:off x="0" y="0"/>
                      <a:ext cx="4153260" cy="267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47C09" w14:textId="6CFCDA8D" w:rsidR="00D94EFF" w:rsidRPr="00C57721" w:rsidRDefault="00D94EFF" w:rsidP="0005708D">
      <w:pPr>
        <w:rPr>
          <w:rFonts w:eastAsia="Calibri"/>
          <w:noProof/>
        </w:rPr>
      </w:pPr>
      <w:r w:rsidRPr="00C57721">
        <w:rPr>
          <w:rFonts w:eastAsia="Calibri"/>
          <w:noProof/>
        </w:rPr>
        <w:br w:type="page"/>
      </w:r>
    </w:p>
    <w:p w14:paraId="2FF74674" w14:textId="77777777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2C652240" wp14:editId="71E01A4B">
            <wp:extent cx="4200525" cy="2752725"/>
            <wp:effectExtent l="0" t="0" r="9525" b="9525"/>
            <wp:docPr id="9" name="Picture 9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84" t="14722" r="6042" b="5000"/>
                    <a:stretch/>
                  </pic:blipFill>
                  <pic:spPr bwMode="auto">
                    <a:xfrm>
                      <a:off x="0" y="0"/>
                      <a:ext cx="4200890" cy="275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69A2C" w14:textId="1E378744" w:rsidR="00D94EFF" w:rsidRPr="00343A2D" w:rsidRDefault="00D94EFF">
      <w:pPr>
        <w:pStyle w:val="Heading3"/>
        <w:rPr>
          <w:rFonts w:eastAsia="Times New Roman"/>
        </w:rPr>
      </w:pPr>
      <w:bookmarkStart w:id="102" w:name="_Toc8637281"/>
      <w:r w:rsidRPr="00343A2D">
        <w:rPr>
          <w:rFonts w:eastAsia="Times New Roman"/>
        </w:rPr>
        <w:t>KPI</w:t>
      </w:r>
      <w:r w:rsidR="00F1410E" w:rsidRPr="00343A2D">
        <w:rPr>
          <w:rFonts w:eastAsia="Times New Roman"/>
        </w:rPr>
        <w:t xml:space="preserve"> </w:t>
      </w:r>
      <w:r w:rsidRPr="00343A2D">
        <w:rPr>
          <w:rFonts w:eastAsia="Times New Roman"/>
        </w:rPr>
        <w:t>2 (</w:t>
      </w:r>
      <w:r w:rsidR="00F34043" w:rsidRPr="00343A2D">
        <w:rPr>
          <w:rFonts w:eastAsia="Times New Roman"/>
        </w:rPr>
        <w:t>v</w:t>
      </w:r>
      <w:r w:rsidRPr="00343A2D">
        <w:rPr>
          <w:rFonts w:eastAsia="Times New Roman"/>
        </w:rPr>
        <w:t xml:space="preserve">ascular </w:t>
      </w:r>
      <w:r w:rsidR="00F34043" w:rsidRPr="00343A2D">
        <w:rPr>
          <w:rFonts w:eastAsia="Times New Roman"/>
        </w:rPr>
        <w:t>a</w:t>
      </w:r>
      <w:r w:rsidRPr="00343A2D">
        <w:rPr>
          <w:rFonts w:eastAsia="Times New Roman"/>
        </w:rPr>
        <w:t>ccess)</w:t>
      </w:r>
      <w:bookmarkEnd w:id="102"/>
    </w:p>
    <w:p w14:paraId="61654F24" w14:textId="77777777" w:rsidR="00D94EFF" w:rsidRPr="00C57721" w:rsidRDefault="00D94EFF" w:rsidP="00343A2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28629B58" wp14:editId="1AEA943D">
            <wp:extent cx="4162425" cy="2819400"/>
            <wp:effectExtent l="0" t="0" r="9525" b="0"/>
            <wp:docPr id="10" name="Picture 10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708" t="14444" r="6250" b="3334"/>
                    <a:stretch/>
                  </pic:blipFill>
                  <pic:spPr bwMode="auto">
                    <a:xfrm>
                      <a:off x="0" y="0"/>
                      <a:ext cx="4162785" cy="281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C7460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732044ED" wp14:editId="7C15D821">
            <wp:extent cx="4181475" cy="2752725"/>
            <wp:effectExtent l="0" t="0" r="9525" b="9525"/>
            <wp:docPr id="11" name="Picture 11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09" t="14166" r="5833" b="5556"/>
                    <a:stretch/>
                  </pic:blipFill>
                  <pic:spPr bwMode="auto">
                    <a:xfrm>
                      <a:off x="0" y="0"/>
                      <a:ext cx="4181837" cy="275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58AB8" w14:textId="68F9FB59" w:rsidR="00D94EFF" w:rsidRPr="00C57721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2138BAF7" wp14:editId="230BE5E1">
            <wp:extent cx="4133850" cy="2876550"/>
            <wp:effectExtent l="0" t="0" r="0" b="0"/>
            <wp:docPr id="12" name="Picture 12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333" t="14166" r="6250" b="1945"/>
                    <a:stretch/>
                  </pic:blipFill>
                  <pic:spPr bwMode="auto">
                    <a:xfrm>
                      <a:off x="0" y="0"/>
                      <a:ext cx="4134208" cy="287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9D17A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1B3B5BA4" wp14:editId="53DA8668">
            <wp:extent cx="4162425" cy="2790825"/>
            <wp:effectExtent l="0" t="0" r="9525" b="9525"/>
            <wp:docPr id="13" name="Picture 13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125" t="14166" r="5833" b="4445"/>
                    <a:stretch/>
                  </pic:blipFill>
                  <pic:spPr bwMode="auto">
                    <a:xfrm>
                      <a:off x="0" y="0"/>
                      <a:ext cx="4162786" cy="279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78EC3" w14:textId="1979680F" w:rsidR="00D94EFF" w:rsidRPr="00C57721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1D6DD4E7" wp14:editId="2ECAAD51">
            <wp:extent cx="4152900" cy="2819400"/>
            <wp:effectExtent l="0" t="0" r="0" b="0"/>
            <wp:docPr id="14" name="Picture 14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542" t="14167" r="5625" b="3611"/>
                    <a:stretch/>
                  </pic:blipFill>
                  <pic:spPr bwMode="auto">
                    <a:xfrm>
                      <a:off x="0" y="0"/>
                      <a:ext cx="4153260" cy="281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C811D" w14:textId="534CF193" w:rsidR="00D94EFF" w:rsidRPr="00343A2D" w:rsidRDefault="00D94EFF">
      <w:pPr>
        <w:pStyle w:val="Heading3"/>
        <w:rPr>
          <w:rFonts w:eastAsia="Times New Roman"/>
        </w:rPr>
      </w:pPr>
      <w:bookmarkStart w:id="103" w:name="_Toc8637282"/>
      <w:r w:rsidRPr="00343A2D">
        <w:rPr>
          <w:rFonts w:eastAsia="Times New Roman"/>
        </w:rPr>
        <w:lastRenderedPageBreak/>
        <w:t>KPI</w:t>
      </w:r>
      <w:r w:rsidR="00F1410E" w:rsidRPr="00343A2D">
        <w:rPr>
          <w:rFonts w:eastAsia="Times New Roman"/>
        </w:rPr>
        <w:t xml:space="preserve"> </w:t>
      </w:r>
      <w:r w:rsidRPr="00343A2D">
        <w:rPr>
          <w:rFonts w:eastAsia="Times New Roman"/>
        </w:rPr>
        <w:t>3 (</w:t>
      </w:r>
      <w:r w:rsidR="00F34043" w:rsidRPr="00343A2D">
        <w:rPr>
          <w:rFonts w:eastAsia="Times New Roman"/>
        </w:rPr>
        <w:t>h</w:t>
      </w:r>
      <w:r w:rsidRPr="00343A2D">
        <w:rPr>
          <w:rFonts w:eastAsia="Times New Roman"/>
        </w:rPr>
        <w:t>ome therapies)</w:t>
      </w:r>
      <w:bookmarkEnd w:id="103"/>
    </w:p>
    <w:p w14:paraId="2616ADA5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5D907B2E" wp14:editId="2C4B2043">
            <wp:extent cx="3795824" cy="2571366"/>
            <wp:effectExtent l="0" t="0" r="0" b="635"/>
            <wp:docPr id="15" name="Picture 15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542" t="15279" r="6029" b="3043"/>
                    <a:stretch/>
                  </pic:blipFill>
                  <pic:spPr bwMode="auto">
                    <a:xfrm>
                      <a:off x="0" y="0"/>
                      <a:ext cx="3813585" cy="258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F8029" w14:textId="6DAD22A3" w:rsidR="0005708D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4A7BB573" wp14:editId="71E3387F">
            <wp:extent cx="3870395" cy="2636874"/>
            <wp:effectExtent l="0" t="0" r="0" b="0"/>
            <wp:docPr id="67" name="Picture 67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542" t="14445" r="6250" b="3611"/>
                    <a:stretch/>
                  </pic:blipFill>
                  <pic:spPr bwMode="auto">
                    <a:xfrm>
                      <a:off x="0" y="0"/>
                      <a:ext cx="3877769" cy="264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2312A" w14:textId="0591C8C2" w:rsidR="00D94EFF" w:rsidRPr="00C57721" w:rsidRDefault="0005708D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6A44A72A" wp14:editId="643256ED">
            <wp:extent cx="3683134" cy="2498651"/>
            <wp:effectExtent l="0" t="0" r="0" b="0"/>
            <wp:docPr id="17" name="Picture 17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625" t="14445" r="5625" b="5277"/>
                    <a:stretch/>
                  </pic:blipFill>
                  <pic:spPr bwMode="auto">
                    <a:xfrm>
                      <a:off x="0" y="0"/>
                      <a:ext cx="3699811" cy="250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ECBAD" w14:textId="7A3D9F3B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3DA0F427" wp14:editId="093461F2">
            <wp:extent cx="4152900" cy="2809875"/>
            <wp:effectExtent l="0" t="0" r="0" b="9525"/>
            <wp:docPr id="68" name="Picture 68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709" t="15001" r="6458" b="3055"/>
                    <a:stretch/>
                  </pic:blipFill>
                  <pic:spPr bwMode="auto">
                    <a:xfrm>
                      <a:off x="0" y="0"/>
                      <a:ext cx="4153259" cy="281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8A7B5" w14:textId="77777777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79490D98" wp14:editId="24974065">
            <wp:extent cx="4124325" cy="2838450"/>
            <wp:effectExtent l="0" t="0" r="9525" b="0"/>
            <wp:docPr id="19" name="Picture 19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125" t="14445" r="6667" b="2777"/>
                    <a:stretch/>
                  </pic:blipFill>
                  <pic:spPr bwMode="auto">
                    <a:xfrm>
                      <a:off x="0" y="0"/>
                      <a:ext cx="4124682" cy="283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687E5" w14:textId="49DC853E" w:rsidR="00D94EFF" w:rsidRPr="00343A2D" w:rsidRDefault="00D94EFF">
      <w:pPr>
        <w:pStyle w:val="Heading3"/>
        <w:rPr>
          <w:rFonts w:eastAsia="Times New Roman"/>
        </w:rPr>
      </w:pPr>
      <w:bookmarkStart w:id="104" w:name="_Toc8637283"/>
      <w:r w:rsidRPr="00343A2D">
        <w:rPr>
          <w:rFonts w:eastAsia="Times New Roman"/>
        </w:rPr>
        <w:t>KPI</w:t>
      </w:r>
      <w:r w:rsidR="00F1410E">
        <w:rPr>
          <w:rFonts w:eastAsia="Times New Roman"/>
          <w:b/>
        </w:rPr>
        <w:t xml:space="preserve"> </w:t>
      </w:r>
      <w:r w:rsidRPr="00343A2D">
        <w:rPr>
          <w:rFonts w:eastAsia="Times New Roman"/>
        </w:rPr>
        <w:t>4 (</w:t>
      </w:r>
      <w:r w:rsidR="00F34043" w:rsidRPr="00343A2D">
        <w:rPr>
          <w:rFonts w:eastAsia="Times New Roman"/>
        </w:rPr>
        <w:t>p</w:t>
      </w:r>
      <w:r w:rsidRPr="00343A2D">
        <w:rPr>
          <w:rFonts w:eastAsia="Times New Roman"/>
        </w:rPr>
        <w:t>eritonitis)</w:t>
      </w:r>
      <w:bookmarkEnd w:id="104"/>
    </w:p>
    <w:p w14:paraId="71283E6B" w14:textId="77777777" w:rsidR="00D94EFF" w:rsidRPr="00C57721" w:rsidRDefault="00D94EFF" w:rsidP="00343A2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242FCEAC" wp14:editId="02AE7E9E">
            <wp:extent cx="4162425" cy="2809875"/>
            <wp:effectExtent l="0" t="0" r="9525" b="9525"/>
            <wp:docPr id="20" name="Picture 20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125" t="14722" r="5833" b="3334"/>
                    <a:stretch/>
                  </pic:blipFill>
                  <pic:spPr bwMode="auto">
                    <a:xfrm>
                      <a:off x="0" y="0"/>
                      <a:ext cx="4162786" cy="281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E5FA6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1997614E" wp14:editId="254B139D">
            <wp:extent cx="4038600" cy="2695575"/>
            <wp:effectExtent l="0" t="0" r="0" b="0"/>
            <wp:docPr id="21" name="Picture 21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959" t="14445" r="7708" b="6944"/>
                    <a:stretch/>
                  </pic:blipFill>
                  <pic:spPr bwMode="auto">
                    <a:xfrm>
                      <a:off x="0" y="0"/>
                      <a:ext cx="4038950" cy="269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F942B" w14:textId="2912922C" w:rsidR="00D94EFF" w:rsidRPr="00C57721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4DCCFF3B" wp14:editId="425BCDE7">
            <wp:extent cx="4152900" cy="2838450"/>
            <wp:effectExtent l="0" t="0" r="0" b="0"/>
            <wp:docPr id="22" name="Picture 22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333" t="14445" r="5833" b="2777"/>
                    <a:stretch/>
                  </pic:blipFill>
                  <pic:spPr bwMode="auto">
                    <a:xfrm>
                      <a:off x="0" y="0"/>
                      <a:ext cx="4153260" cy="283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005A7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59D78EB4" wp14:editId="523E9159">
            <wp:extent cx="4143375" cy="2724150"/>
            <wp:effectExtent l="0" t="0" r="9525" b="0"/>
            <wp:docPr id="23" name="Picture 23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125" t="14445" r="6250" b="6111"/>
                    <a:stretch/>
                  </pic:blipFill>
                  <pic:spPr bwMode="auto">
                    <a:xfrm>
                      <a:off x="0" y="0"/>
                      <a:ext cx="4143734" cy="2724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0EA3A" w14:textId="33284FF4" w:rsidR="00D94EFF" w:rsidRPr="00C57721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03E237DE" wp14:editId="5A4D4F9A">
            <wp:extent cx="4114800" cy="2733675"/>
            <wp:effectExtent l="0" t="0" r="0" b="9525"/>
            <wp:docPr id="24" name="Picture 24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333" t="14722" r="6667" b="5556"/>
                    <a:stretch/>
                  </pic:blipFill>
                  <pic:spPr bwMode="auto">
                    <a:xfrm>
                      <a:off x="0" y="0"/>
                      <a:ext cx="4115157" cy="273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696A7" w14:textId="2BF08A7E" w:rsidR="00D94EFF" w:rsidRPr="00343A2D" w:rsidRDefault="00D94EFF">
      <w:pPr>
        <w:pStyle w:val="Heading3"/>
        <w:rPr>
          <w:rFonts w:eastAsia="Times New Roman"/>
        </w:rPr>
      </w:pPr>
      <w:bookmarkStart w:id="105" w:name="_Toc8637284"/>
      <w:r w:rsidRPr="00343A2D">
        <w:rPr>
          <w:rFonts w:eastAsia="Times New Roman"/>
        </w:rPr>
        <w:t>KPI</w:t>
      </w:r>
      <w:r w:rsidR="00F1410E" w:rsidRPr="00343A2D">
        <w:rPr>
          <w:rFonts w:eastAsia="Times New Roman"/>
        </w:rPr>
        <w:t xml:space="preserve"> </w:t>
      </w:r>
      <w:r w:rsidRPr="00343A2D">
        <w:rPr>
          <w:rFonts w:eastAsia="Times New Roman"/>
        </w:rPr>
        <w:t>5 (</w:t>
      </w:r>
      <w:r w:rsidR="00F34043" w:rsidRPr="00343A2D">
        <w:rPr>
          <w:rFonts w:eastAsia="Times New Roman"/>
        </w:rPr>
        <w:t>l</w:t>
      </w:r>
      <w:r w:rsidRPr="00343A2D">
        <w:rPr>
          <w:rFonts w:eastAsia="Times New Roman"/>
        </w:rPr>
        <w:t>ive donor transplantation)</w:t>
      </w:r>
      <w:bookmarkEnd w:id="105"/>
    </w:p>
    <w:p w14:paraId="230CF838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62FE44A0" wp14:editId="0C2EE2F4">
            <wp:extent cx="4143375" cy="2733675"/>
            <wp:effectExtent l="0" t="0" r="9525" b="9525"/>
            <wp:docPr id="25" name="Picture 25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542" t="15000" r="5833" b="5277"/>
                    <a:stretch/>
                  </pic:blipFill>
                  <pic:spPr bwMode="auto">
                    <a:xfrm>
                      <a:off x="0" y="0"/>
                      <a:ext cx="4143734" cy="273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E4782" w14:textId="2C35B27C" w:rsidR="00D94EFF" w:rsidRPr="00C57721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2195A889" wp14:editId="4FB2A9E0">
            <wp:extent cx="4191000" cy="2847975"/>
            <wp:effectExtent l="0" t="0" r="0" b="9525"/>
            <wp:docPr id="26" name="Picture 26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708" t="14444" r="5625" b="2501"/>
                    <a:stretch/>
                  </pic:blipFill>
                  <pic:spPr bwMode="auto">
                    <a:xfrm>
                      <a:off x="0" y="0"/>
                      <a:ext cx="4191363" cy="284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A2825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1BCC3306" wp14:editId="303B0799">
            <wp:extent cx="4143375" cy="2819400"/>
            <wp:effectExtent l="0" t="0" r="9525" b="0"/>
            <wp:docPr id="27" name="Picture 27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125" t="14444" r="6250" b="3334"/>
                    <a:stretch/>
                  </pic:blipFill>
                  <pic:spPr bwMode="auto">
                    <a:xfrm>
                      <a:off x="0" y="0"/>
                      <a:ext cx="4143734" cy="281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9FA99" w14:textId="4A0077A1" w:rsidR="00D94EFF" w:rsidRPr="00C57721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15A52042" wp14:editId="02148BD5">
            <wp:extent cx="4191000" cy="2800350"/>
            <wp:effectExtent l="0" t="0" r="0" b="0"/>
            <wp:docPr id="28" name="Picture 28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666" t="15001" r="6667" b="3332"/>
                    <a:stretch/>
                  </pic:blipFill>
                  <pic:spPr bwMode="auto">
                    <a:xfrm>
                      <a:off x="0" y="0"/>
                      <a:ext cx="4191363" cy="280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FBE82" w14:textId="77777777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159B5C73" wp14:editId="3EB53332">
            <wp:extent cx="4143375" cy="2781300"/>
            <wp:effectExtent l="0" t="0" r="9525" b="0"/>
            <wp:docPr id="29" name="Picture 29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916" t="14445" r="6458" b="4444"/>
                    <a:stretch/>
                  </pic:blipFill>
                  <pic:spPr bwMode="auto">
                    <a:xfrm>
                      <a:off x="0" y="0"/>
                      <a:ext cx="4143734" cy="278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C760A" w14:textId="45FDDDFD" w:rsidR="00D94EFF" w:rsidRPr="00343A2D" w:rsidRDefault="00D94EFF">
      <w:pPr>
        <w:pStyle w:val="Heading3"/>
        <w:rPr>
          <w:rFonts w:eastAsia="Times New Roman"/>
        </w:rPr>
      </w:pPr>
      <w:bookmarkStart w:id="106" w:name="_Toc8637285"/>
      <w:r w:rsidRPr="00343A2D">
        <w:rPr>
          <w:rFonts w:eastAsia="Times New Roman"/>
        </w:rPr>
        <w:lastRenderedPageBreak/>
        <w:t>KPI</w:t>
      </w:r>
      <w:r w:rsidR="00F1410E" w:rsidRPr="00343A2D">
        <w:rPr>
          <w:rFonts w:eastAsia="Times New Roman"/>
        </w:rPr>
        <w:t xml:space="preserve"> </w:t>
      </w:r>
      <w:r w:rsidRPr="00343A2D">
        <w:rPr>
          <w:rFonts w:eastAsia="Times New Roman"/>
        </w:rPr>
        <w:t>6 (</w:t>
      </w:r>
      <w:r w:rsidR="00F34043" w:rsidRPr="00343A2D">
        <w:rPr>
          <w:rFonts w:eastAsia="Times New Roman"/>
        </w:rPr>
        <w:t>t</w:t>
      </w:r>
      <w:r w:rsidRPr="00343A2D">
        <w:rPr>
          <w:rFonts w:eastAsia="Times New Roman"/>
        </w:rPr>
        <w:t>ransplant work-up)</w:t>
      </w:r>
      <w:bookmarkEnd w:id="106"/>
    </w:p>
    <w:p w14:paraId="02C93E5F" w14:textId="77777777" w:rsidR="00D94EFF" w:rsidRPr="00C57721" w:rsidRDefault="00D94EFF" w:rsidP="00343A2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38906DA9" wp14:editId="7E6A68EB">
            <wp:extent cx="4057650" cy="2800350"/>
            <wp:effectExtent l="0" t="0" r="0" b="0"/>
            <wp:docPr id="30" name="Picture 30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125" t="14445" r="8125" b="3889"/>
                    <a:stretch/>
                  </pic:blipFill>
                  <pic:spPr bwMode="auto">
                    <a:xfrm>
                      <a:off x="0" y="0"/>
                      <a:ext cx="4058002" cy="280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AA311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7D30981B" wp14:editId="68231334">
            <wp:extent cx="4162425" cy="2809875"/>
            <wp:effectExtent l="0" t="0" r="9525" b="9525"/>
            <wp:docPr id="31" name="Picture 31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333" t="14722" r="5625" b="3334"/>
                    <a:stretch/>
                  </pic:blipFill>
                  <pic:spPr bwMode="auto">
                    <a:xfrm>
                      <a:off x="0" y="0"/>
                      <a:ext cx="4162786" cy="281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A62BA" w14:textId="2DE2BFF3" w:rsidR="00D94EFF" w:rsidRPr="00C57721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0C127115" wp14:editId="632EB006">
            <wp:extent cx="3952875" cy="2628900"/>
            <wp:effectExtent l="0" t="0" r="9525" b="0"/>
            <wp:docPr id="32" name="Picture 32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6875" t="14445" r="6667" b="8889"/>
                    <a:stretch/>
                  </pic:blipFill>
                  <pic:spPr bwMode="auto">
                    <a:xfrm>
                      <a:off x="0" y="0"/>
                      <a:ext cx="3953218" cy="262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A9356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2F5B1DB7" wp14:editId="25F5EC59">
            <wp:extent cx="4105275" cy="2847975"/>
            <wp:effectExtent l="0" t="0" r="9525" b="9525"/>
            <wp:docPr id="33" name="Picture 33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750" t="13889" r="6458" b="3055"/>
                    <a:stretch/>
                  </pic:blipFill>
                  <pic:spPr bwMode="auto">
                    <a:xfrm>
                      <a:off x="0" y="0"/>
                      <a:ext cx="4105631" cy="284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A7DD1" w14:textId="3A7EC28E" w:rsidR="00D94EFF" w:rsidRPr="00C57721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09D7A58B" wp14:editId="16566153">
            <wp:extent cx="4114800" cy="2867025"/>
            <wp:effectExtent l="0" t="0" r="0" b="9525"/>
            <wp:docPr id="34" name="Picture 34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3750" t="14445" r="6250" b="1944"/>
                    <a:stretch/>
                  </pic:blipFill>
                  <pic:spPr bwMode="auto">
                    <a:xfrm>
                      <a:off x="0" y="0"/>
                      <a:ext cx="4115156" cy="286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9C29F" w14:textId="77777777" w:rsidR="00D94EFF" w:rsidRPr="00343A2D" w:rsidRDefault="00D94EFF">
      <w:pPr>
        <w:pStyle w:val="Heading3"/>
        <w:rPr>
          <w:rFonts w:eastAsia="Times New Roman"/>
        </w:rPr>
      </w:pPr>
      <w:bookmarkStart w:id="107" w:name="_Toc8637286"/>
      <w:r w:rsidRPr="00343A2D">
        <w:rPr>
          <w:rFonts w:eastAsia="Times New Roman"/>
        </w:rPr>
        <w:t>PROMS and PREMS</w:t>
      </w:r>
      <w:bookmarkEnd w:id="107"/>
    </w:p>
    <w:p w14:paraId="73F66243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781BF631" wp14:editId="5140DAC3">
            <wp:extent cx="4152900" cy="2790825"/>
            <wp:effectExtent l="0" t="0" r="0" b="9525"/>
            <wp:docPr id="35" name="Picture 35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3751" t="14166" r="5416" b="4445"/>
                    <a:stretch/>
                  </pic:blipFill>
                  <pic:spPr bwMode="auto">
                    <a:xfrm>
                      <a:off x="0" y="0"/>
                      <a:ext cx="4153260" cy="279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313B8" w14:textId="6473AB04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6F0B2476" wp14:editId="30848FA9">
            <wp:extent cx="4124325" cy="2800350"/>
            <wp:effectExtent l="0" t="0" r="9525" b="0"/>
            <wp:docPr id="36" name="Picture 36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3333" t="14445" r="6458" b="3889"/>
                    <a:stretch/>
                  </pic:blipFill>
                  <pic:spPr bwMode="auto">
                    <a:xfrm>
                      <a:off x="0" y="0"/>
                      <a:ext cx="4124683" cy="280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E5C65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45F018FA" wp14:editId="2B5F1B3A">
            <wp:extent cx="4105275" cy="2867025"/>
            <wp:effectExtent l="0" t="0" r="9525" b="0"/>
            <wp:docPr id="37" name="Picture 37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3542" t="14166" r="6667" b="2222"/>
                    <a:stretch/>
                  </pic:blipFill>
                  <pic:spPr bwMode="auto">
                    <a:xfrm>
                      <a:off x="0" y="0"/>
                      <a:ext cx="4105631" cy="286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B6893" w14:textId="5B0B5D97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0740304E" wp14:editId="17602DE5">
            <wp:extent cx="4171950" cy="2714625"/>
            <wp:effectExtent l="0" t="0" r="0" b="9525"/>
            <wp:docPr id="38" name="Picture 38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709" t="14445" r="6041" b="6389"/>
                    <a:stretch/>
                  </pic:blipFill>
                  <pic:spPr bwMode="auto">
                    <a:xfrm>
                      <a:off x="0" y="0"/>
                      <a:ext cx="4172311" cy="271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770D2" w14:textId="77777777" w:rsidR="00D94EFF" w:rsidRPr="00343A2D" w:rsidRDefault="00D94EFF">
      <w:pPr>
        <w:pStyle w:val="Heading3"/>
        <w:rPr>
          <w:rFonts w:eastAsia="Times New Roman"/>
        </w:rPr>
      </w:pPr>
      <w:bookmarkStart w:id="108" w:name="_Toc8637287"/>
      <w:r w:rsidRPr="00343A2D">
        <w:rPr>
          <w:rFonts w:eastAsia="Times New Roman"/>
        </w:rPr>
        <w:lastRenderedPageBreak/>
        <w:t>ANZDATA</w:t>
      </w:r>
      <w:bookmarkEnd w:id="108"/>
    </w:p>
    <w:p w14:paraId="7F45A39D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74AF99D4" wp14:editId="3DFA4BB2">
            <wp:extent cx="4200525" cy="2752725"/>
            <wp:effectExtent l="0" t="0" r="0" b="9525"/>
            <wp:docPr id="39" name="Picture 39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290" t="14444" r="5833" b="5278"/>
                    <a:stretch/>
                  </pic:blipFill>
                  <pic:spPr bwMode="auto">
                    <a:xfrm>
                      <a:off x="0" y="0"/>
                      <a:ext cx="4200889" cy="275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00295" w14:textId="5E124DF5" w:rsidR="00D94EFF" w:rsidRPr="00C57721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08008CF4" wp14:editId="19D9E2D6">
            <wp:extent cx="4048125" cy="2819400"/>
            <wp:effectExtent l="0" t="0" r="9525" b="0"/>
            <wp:docPr id="40" name="Picture 40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3542" t="14167" r="7916" b="3611"/>
                    <a:stretch/>
                  </pic:blipFill>
                  <pic:spPr bwMode="auto">
                    <a:xfrm>
                      <a:off x="0" y="0"/>
                      <a:ext cx="4048476" cy="281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FCB45" w14:textId="77777777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71B8FAF8" wp14:editId="139AC587">
            <wp:extent cx="4171950" cy="2847975"/>
            <wp:effectExtent l="0" t="0" r="0" b="9525"/>
            <wp:docPr id="41" name="Picture 41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084" t="14445" r="6666" b="2500"/>
                    <a:stretch/>
                  </pic:blipFill>
                  <pic:spPr bwMode="auto">
                    <a:xfrm>
                      <a:off x="0" y="0"/>
                      <a:ext cx="4172312" cy="284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5F84D" w14:textId="77777777" w:rsidR="00D94EFF" w:rsidRPr="00B1282F" w:rsidRDefault="00D94EFF" w:rsidP="00774A9D">
      <w:pPr>
        <w:pStyle w:val="Heading3"/>
      </w:pPr>
      <w:bookmarkStart w:id="109" w:name="_Toc8637288"/>
      <w:r w:rsidRPr="00564975">
        <w:lastRenderedPageBreak/>
        <w:t>General</w:t>
      </w:r>
      <w:bookmarkEnd w:id="109"/>
    </w:p>
    <w:p w14:paraId="58F88A01" w14:textId="77777777" w:rsidR="0005708D" w:rsidRDefault="00D94EFF" w:rsidP="00956885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4FA39E0C" wp14:editId="2E4661FF">
            <wp:extent cx="4133850" cy="2705100"/>
            <wp:effectExtent l="0" t="0" r="0" b="0"/>
            <wp:docPr id="42" name="Picture 42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3333" t="15000" r="6250" b="6111"/>
                    <a:stretch/>
                  </pic:blipFill>
                  <pic:spPr bwMode="auto">
                    <a:xfrm>
                      <a:off x="0" y="0"/>
                      <a:ext cx="4134208" cy="270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DFAC2" w14:textId="77777777" w:rsidR="0005708D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52E55E27" wp14:editId="77033B73">
            <wp:extent cx="3971925" cy="2533650"/>
            <wp:effectExtent l="0" t="0" r="9525" b="0"/>
            <wp:docPr id="43" name="Picture 43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3542" t="14445" r="9583" b="11667"/>
                    <a:stretch/>
                  </pic:blipFill>
                  <pic:spPr bwMode="auto">
                    <a:xfrm>
                      <a:off x="0" y="0"/>
                      <a:ext cx="3972269" cy="253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8E236" w14:textId="77777777" w:rsidR="0005708D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47B1E006" wp14:editId="01324322">
            <wp:extent cx="4076700" cy="2686050"/>
            <wp:effectExtent l="0" t="0" r="0" b="0"/>
            <wp:docPr id="44" name="Picture 44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5000" t="14723" r="5833" b="6944"/>
                    <a:stretch/>
                  </pic:blipFill>
                  <pic:spPr bwMode="auto">
                    <a:xfrm>
                      <a:off x="0" y="0"/>
                      <a:ext cx="4077054" cy="268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A4224" w14:textId="77777777" w:rsidR="0005708D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38E836B8" wp14:editId="7A7F043E">
            <wp:extent cx="4114800" cy="2495550"/>
            <wp:effectExtent l="0" t="0" r="0" b="0"/>
            <wp:docPr id="45" name="Picture 45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709" t="14446" r="7291" b="12777"/>
                    <a:stretch/>
                  </pic:blipFill>
                  <pic:spPr bwMode="auto">
                    <a:xfrm>
                      <a:off x="0" y="0"/>
                      <a:ext cx="4115156" cy="249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B0007" w14:textId="48AD0088" w:rsidR="0005708D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5FA19DAB" wp14:editId="292C69CC">
            <wp:extent cx="3971925" cy="2552700"/>
            <wp:effectExtent l="0" t="0" r="9525" b="0"/>
            <wp:docPr id="46" name="Picture 46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5001" t="15001" r="8125" b="10555"/>
                    <a:stretch/>
                  </pic:blipFill>
                  <pic:spPr bwMode="auto">
                    <a:xfrm>
                      <a:off x="0" y="0"/>
                      <a:ext cx="3972269" cy="255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35A8C" w14:textId="320B077C" w:rsidR="00D94EFF" w:rsidRPr="00C57721" w:rsidRDefault="00D94EFF" w:rsidP="0005708D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3B8F5F44" wp14:editId="163177D3">
            <wp:extent cx="4105275" cy="2800350"/>
            <wp:effectExtent l="0" t="0" r="9525" b="0"/>
            <wp:docPr id="47" name="Picture 47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3542" t="14445" r="6667" b="3889"/>
                    <a:stretch/>
                  </pic:blipFill>
                  <pic:spPr bwMode="auto">
                    <a:xfrm>
                      <a:off x="0" y="0"/>
                      <a:ext cx="4105631" cy="280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565A8" w14:textId="77777777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5D5D2BE6" wp14:editId="6021493A">
            <wp:extent cx="4124325" cy="2790825"/>
            <wp:effectExtent l="0" t="0" r="9525" b="0"/>
            <wp:docPr id="48" name="Picture 48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916" t="14722" r="6875" b="3889"/>
                    <a:stretch/>
                  </pic:blipFill>
                  <pic:spPr bwMode="auto">
                    <a:xfrm>
                      <a:off x="0" y="0"/>
                      <a:ext cx="4124682" cy="279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9ABBB" w14:textId="77777777" w:rsidR="00D94EFF" w:rsidRDefault="00D94EFF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2D1E4587" wp14:editId="577EDC0F">
            <wp:extent cx="4162425" cy="2819400"/>
            <wp:effectExtent l="0" t="0" r="0" b="0"/>
            <wp:docPr id="49" name="Picture 49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2708" t="14167" r="6250" b="3611"/>
                    <a:stretch/>
                  </pic:blipFill>
                  <pic:spPr bwMode="auto">
                    <a:xfrm>
                      <a:off x="0" y="0"/>
                      <a:ext cx="4162786" cy="281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E0CA2" w14:textId="77777777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1F9E03C0" wp14:editId="36A24DBA">
            <wp:extent cx="4105275" cy="2781300"/>
            <wp:effectExtent l="0" t="0" r="9525" b="0"/>
            <wp:docPr id="50" name="Picture 50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2917" t="14445" r="7292" b="4444"/>
                    <a:stretch/>
                  </pic:blipFill>
                  <pic:spPr bwMode="auto">
                    <a:xfrm>
                      <a:off x="0" y="0"/>
                      <a:ext cx="4105631" cy="278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78BAD" w14:textId="77777777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lastRenderedPageBreak/>
        <w:drawing>
          <wp:inline distT="0" distB="0" distL="0" distR="0" wp14:anchorId="5C0A3438" wp14:editId="33AFF285">
            <wp:extent cx="4152900" cy="2838450"/>
            <wp:effectExtent l="0" t="0" r="0" b="0"/>
            <wp:docPr id="51" name="Picture 51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2916" t="14166" r="6250" b="3055"/>
                    <a:stretch/>
                  </pic:blipFill>
                  <pic:spPr bwMode="auto">
                    <a:xfrm>
                      <a:off x="0" y="0"/>
                      <a:ext cx="4153260" cy="283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64A1B" w14:textId="77777777" w:rsidR="00D94EFF" w:rsidRPr="00C57721" w:rsidRDefault="00D94EFF">
      <w:pPr>
        <w:rPr>
          <w:rFonts w:eastAsia="Calibri"/>
        </w:rPr>
      </w:pPr>
      <w:r w:rsidRPr="00C57721">
        <w:rPr>
          <w:rFonts w:eastAsia="Calibri"/>
          <w:noProof/>
        </w:rPr>
        <w:drawing>
          <wp:inline distT="0" distB="0" distL="0" distR="0" wp14:anchorId="350F4C96" wp14:editId="52193B47">
            <wp:extent cx="4057650" cy="2724150"/>
            <wp:effectExtent l="0" t="0" r="0" b="0"/>
            <wp:docPr id="52" name="Picture 52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3125" t="14445" r="8125" b="6111"/>
                    <a:stretch/>
                  </pic:blipFill>
                  <pic:spPr bwMode="auto">
                    <a:xfrm>
                      <a:off x="0" y="0"/>
                      <a:ext cx="4058002" cy="2724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010AD" w14:textId="77777777" w:rsidR="009360F9" w:rsidRDefault="009360F9">
      <w:pPr>
        <w:rPr>
          <w:rFonts w:asciiTheme="majorHAnsi" w:eastAsiaTheme="majorEastAsia" w:hAnsiTheme="majorHAnsi" w:cstheme="majorBidi"/>
          <w:color w:val="007586" w:themeColor="text2"/>
          <w:sz w:val="24"/>
          <w:szCs w:val="26"/>
        </w:rPr>
      </w:pPr>
      <w:bookmarkStart w:id="110" w:name="_Toc8637289"/>
      <w:r>
        <w:br w:type="page"/>
      </w:r>
    </w:p>
    <w:p w14:paraId="3A11FB17" w14:textId="1D624E76" w:rsidR="00774A9D" w:rsidRDefault="00774A9D" w:rsidP="00774A9D">
      <w:pPr>
        <w:pStyle w:val="Heading2"/>
      </w:pPr>
      <w:bookmarkStart w:id="111" w:name="_Toc10460727"/>
      <w:r w:rsidRPr="00774A9D">
        <w:lastRenderedPageBreak/>
        <w:t>A</w:t>
      </w:r>
      <w:r>
        <w:t>ppendix</w:t>
      </w:r>
      <w:r w:rsidRPr="00774A9D">
        <w:t xml:space="preserve"> 2: L</w:t>
      </w:r>
      <w:r>
        <w:t>onger term KPI performance</w:t>
      </w:r>
    </w:p>
    <w:bookmarkEnd w:id="110"/>
    <w:bookmarkEnd w:id="111"/>
    <w:p w14:paraId="058773E0" w14:textId="77777777" w:rsidR="00D94EFF" w:rsidRDefault="00D94EFF">
      <w:r w:rsidRPr="00914EB3">
        <w:rPr>
          <w:rFonts w:eastAsia="Calibri"/>
          <w:noProof/>
        </w:rPr>
        <w:drawing>
          <wp:inline distT="0" distB="0" distL="0" distR="0" wp14:anchorId="3A1B5204" wp14:editId="70F57739">
            <wp:extent cx="4333875" cy="2181225"/>
            <wp:effectExtent l="0" t="0" r="0" b="9525"/>
            <wp:docPr id="54" name="Picture 54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6346" t="15022" r="6133" b="6783"/>
                    <a:stretch/>
                  </pic:blipFill>
                  <pic:spPr bwMode="auto">
                    <a:xfrm>
                      <a:off x="0" y="0"/>
                      <a:ext cx="4348891" cy="218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5100C" w14:textId="77777777" w:rsidR="00D94EFF" w:rsidRDefault="00D94EFF">
      <w:r w:rsidRPr="00914EB3">
        <w:rPr>
          <w:rFonts w:eastAsia="Calibri"/>
          <w:noProof/>
        </w:rPr>
        <w:drawing>
          <wp:inline distT="0" distB="0" distL="0" distR="0" wp14:anchorId="679FB131" wp14:editId="45636695">
            <wp:extent cx="4152900" cy="2057230"/>
            <wp:effectExtent l="0" t="0" r="0" b="635"/>
            <wp:docPr id="55" name="Picture 55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6351" t="15148" r="7094" b="8739"/>
                    <a:stretch/>
                  </pic:blipFill>
                  <pic:spPr bwMode="auto">
                    <a:xfrm>
                      <a:off x="0" y="0"/>
                      <a:ext cx="4159168" cy="206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5749F" w14:textId="77777777" w:rsidR="00D94EFF" w:rsidRDefault="00D94EFF">
      <w:r w:rsidRPr="00914EB3">
        <w:rPr>
          <w:rFonts w:eastAsia="Calibri"/>
          <w:noProof/>
        </w:rPr>
        <w:drawing>
          <wp:inline distT="0" distB="0" distL="0" distR="0" wp14:anchorId="4420509C" wp14:editId="19DCB304">
            <wp:extent cx="4229100" cy="2142905"/>
            <wp:effectExtent l="0" t="0" r="0" b="0"/>
            <wp:docPr id="56" name="Picture 56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6116" t="14707" r="6275" b="6491"/>
                    <a:stretch/>
                  </pic:blipFill>
                  <pic:spPr bwMode="auto">
                    <a:xfrm>
                      <a:off x="0" y="0"/>
                      <a:ext cx="4239404" cy="214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7F6EA" w14:textId="77777777" w:rsidR="00D94EFF" w:rsidRDefault="00D94EFF">
      <w:r w:rsidRPr="00914EB3">
        <w:rPr>
          <w:rFonts w:eastAsia="Calibri"/>
          <w:noProof/>
        </w:rPr>
        <w:drawing>
          <wp:inline distT="0" distB="0" distL="0" distR="0" wp14:anchorId="5F855E92" wp14:editId="31A870F1">
            <wp:extent cx="4238625" cy="2152439"/>
            <wp:effectExtent l="0" t="0" r="0" b="635"/>
            <wp:docPr id="57" name="Picture 57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5129" t="15406" r="7064" b="5441"/>
                    <a:stretch/>
                  </pic:blipFill>
                  <pic:spPr bwMode="auto">
                    <a:xfrm>
                      <a:off x="0" y="0"/>
                      <a:ext cx="4262457" cy="216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8524A" w14:textId="77777777" w:rsidR="00D94EFF" w:rsidRDefault="00D94EFF">
      <w:r w:rsidRPr="00914EB3">
        <w:rPr>
          <w:rFonts w:eastAsia="Calibri"/>
          <w:noProof/>
        </w:rPr>
        <w:lastRenderedPageBreak/>
        <w:drawing>
          <wp:inline distT="0" distB="0" distL="0" distR="0" wp14:anchorId="3AAC798F" wp14:editId="3E8E8780">
            <wp:extent cx="4191000" cy="2114384"/>
            <wp:effectExtent l="0" t="0" r="0" b="635"/>
            <wp:docPr id="58" name="Picture 58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5953" t="15852" r="6698" b="5920"/>
                    <a:stretch/>
                  </pic:blipFill>
                  <pic:spPr bwMode="auto">
                    <a:xfrm>
                      <a:off x="0" y="0"/>
                      <a:ext cx="4202031" cy="2119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9AE36" w14:textId="77777777" w:rsidR="00D94EFF" w:rsidRDefault="00D94EFF">
      <w:r w:rsidRPr="00DA2524">
        <w:rPr>
          <w:rFonts w:eastAsia="Calibri"/>
          <w:noProof/>
        </w:rPr>
        <w:drawing>
          <wp:inline distT="0" distB="0" distL="0" distR="0" wp14:anchorId="3C4D5305" wp14:editId="3E75EB87">
            <wp:extent cx="4191000" cy="2114334"/>
            <wp:effectExtent l="0" t="0" r="0" b="635"/>
            <wp:docPr id="59" name="Picture 59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6116" t="15056" r="7064" b="7192"/>
                    <a:stretch/>
                  </pic:blipFill>
                  <pic:spPr bwMode="auto">
                    <a:xfrm>
                      <a:off x="0" y="0"/>
                      <a:ext cx="4211343" cy="212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D127A" w14:textId="77777777" w:rsidR="00D94EFF" w:rsidRDefault="00D94EFF">
      <w:r w:rsidRPr="00DA2524">
        <w:rPr>
          <w:rFonts w:eastAsia="Calibri"/>
          <w:noProof/>
        </w:rPr>
        <w:drawing>
          <wp:inline distT="0" distB="0" distL="0" distR="0" wp14:anchorId="4DE114B0" wp14:editId="2717BCF4">
            <wp:extent cx="4229100" cy="2095281"/>
            <wp:effectExtent l="0" t="0" r="0" b="635"/>
            <wp:docPr id="60" name="Picture 60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5535" t="14737" r="6670" b="8049"/>
                    <a:stretch/>
                  </pic:blipFill>
                  <pic:spPr bwMode="auto">
                    <a:xfrm>
                      <a:off x="0" y="0"/>
                      <a:ext cx="4236773" cy="209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AA964" w14:textId="77777777" w:rsidR="00D94EFF" w:rsidRDefault="00D94EFF">
      <w:r w:rsidRPr="00DA2524">
        <w:rPr>
          <w:rFonts w:eastAsia="Calibri"/>
          <w:noProof/>
        </w:rPr>
        <w:drawing>
          <wp:inline distT="0" distB="0" distL="0" distR="0" wp14:anchorId="09CCFC6A" wp14:editId="79852C77">
            <wp:extent cx="4391025" cy="2200113"/>
            <wp:effectExtent l="0" t="0" r="0" b="0"/>
            <wp:docPr id="61" name="Picture 61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5715" t="15217" r="6440" b="6652"/>
                    <a:stretch/>
                  </pic:blipFill>
                  <pic:spPr bwMode="auto">
                    <a:xfrm>
                      <a:off x="0" y="0"/>
                      <a:ext cx="4401812" cy="220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11759" w14:textId="77777777" w:rsidR="00D94EFF" w:rsidRDefault="00D94EFF">
      <w:r w:rsidRPr="00DA2524">
        <w:rPr>
          <w:rFonts w:eastAsia="Calibri"/>
          <w:noProof/>
        </w:rPr>
        <w:lastRenderedPageBreak/>
        <w:drawing>
          <wp:inline distT="0" distB="0" distL="0" distR="0" wp14:anchorId="400F4271" wp14:editId="5AEA2A9D">
            <wp:extent cx="4438650" cy="2219053"/>
            <wp:effectExtent l="0" t="0" r="0" b="0"/>
            <wp:docPr id="62" name="Picture 62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5684" t="14796" r="6014" b="6838"/>
                    <a:stretch/>
                  </pic:blipFill>
                  <pic:spPr bwMode="auto">
                    <a:xfrm>
                      <a:off x="0" y="0"/>
                      <a:ext cx="4448251" cy="222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9B01C" w14:textId="77777777" w:rsidR="00C453D7" w:rsidRDefault="00D94EFF">
      <w:pPr>
        <w:sectPr w:rsidR="00C453D7" w:rsidSect="00904E91">
          <w:type w:val="continuous"/>
          <w:pgSz w:w="11906" w:h="16838" w:code="9"/>
          <w:pgMar w:top="993" w:right="851" w:bottom="1361" w:left="851" w:header="539" w:footer="624" w:gutter="0"/>
          <w:cols w:space="284"/>
          <w:docGrid w:linePitch="360"/>
        </w:sectPr>
      </w:pPr>
      <w:bookmarkStart w:id="112" w:name="_Toc14163835"/>
      <w:r w:rsidRPr="0080289A">
        <w:rPr>
          <w:rFonts w:eastAsia="Calibri"/>
          <w:noProof/>
        </w:rPr>
        <w:drawing>
          <wp:inline distT="0" distB="0" distL="0" distR="0" wp14:anchorId="2DB8FE43" wp14:editId="2169FFBE">
            <wp:extent cx="4343400" cy="2238325"/>
            <wp:effectExtent l="0" t="0" r="0" b="0"/>
            <wp:docPr id="63" name="Picture 63" descr="Contact Safer Care Victoria on 03 9096 1384 or email &lt;safercarevictoria@dhhs.vic.gov.au&gt; for an accessible version of this PowerPoint pre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6416" t="14404" r="7512" b="6858"/>
                    <a:stretch/>
                  </pic:blipFill>
                  <pic:spPr bwMode="auto">
                    <a:xfrm>
                      <a:off x="0" y="0"/>
                      <a:ext cx="4355741" cy="224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12"/>
    </w:p>
    <w:p w14:paraId="015608E7" w14:textId="06EDBACB" w:rsidR="00C453D7" w:rsidRPr="000F4969" w:rsidRDefault="00C453D7">
      <w:pPr>
        <w:pStyle w:val="Heading2"/>
      </w:pPr>
      <w:bookmarkStart w:id="113" w:name="_Toc8637290"/>
      <w:bookmarkStart w:id="114" w:name="_Toc10460728"/>
      <w:r w:rsidRPr="000F4969">
        <w:lastRenderedPageBreak/>
        <w:t xml:space="preserve">Appendix 3: Assessment </w:t>
      </w:r>
      <w:r w:rsidR="00F34043" w:rsidRPr="0005708D">
        <w:t>m</w:t>
      </w:r>
      <w:r w:rsidRPr="00415267">
        <w:t>atrix for review</w:t>
      </w:r>
      <w:r w:rsidR="00013E35" w:rsidRPr="00415267">
        <w:t>ing</w:t>
      </w:r>
      <w:r w:rsidR="00E03123">
        <w:rPr>
          <w:b/>
        </w:rPr>
        <w:t xml:space="preserve"> </w:t>
      </w:r>
      <w:r w:rsidR="00F34043" w:rsidRPr="000F4969">
        <w:t>c</w:t>
      </w:r>
      <w:r w:rsidRPr="0005708D">
        <w:t>urrent</w:t>
      </w:r>
      <w:r w:rsidR="00E03123">
        <w:t xml:space="preserve"> </w:t>
      </w:r>
      <w:bookmarkEnd w:id="113"/>
      <w:bookmarkEnd w:id="114"/>
      <w:r w:rsidR="00415267" w:rsidRPr="00343A2D">
        <w:t>KPIs</w:t>
      </w:r>
    </w:p>
    <w:p w14:paraId="5CA03A84" w14:textId="6923AD8C" w:rsidR="00C453D7" w:rsidRPr="0005708D" w:rsidRDefault="00C453D7">
      <w:r w:rsidRPr="0005708D">
        <w:t>This matrix was developed to summarise the key characteristics of the KPIs</w:t>
      </w:r>
      <w:r w:rsidR="00415267">
        <w:t xml:space="preserve"> and</w:t>
      </w:r>
      <w:r w:rsidRPr="0005708D">
        <w:t xml:space="preserve"> help the authors in the review process.</w:t>
      </w:r>
      <w:r w:rsidR="00E03123">
        <w:t xml:space="preserve"> </w:t>
      </w:r>
    </w:p>
    <w:tbl>
      <w:tblPr>
        <w:tblStyle w:val="TableGrid"/>
        <w:tblpPr w:leftFromText="180" w:rightFromText="180" w:vertAnchor="page" w:horzAnchor="margin" w:tblpX="-142" w:tblpY="2971"/>
        <w:tblW w:w="12845" w:type="dxa"/>
        <w:tblLook w:val="04A0" w:firstRow="1" w:lastRow="0" w:firstColumn="1" w:lastColumn="0" w:noHBand="0" w:noVBand="1"/>
      </w:tblPr>
      <w:tblGrid>
        <w:gridCol w:w="1317"/>
        <w:gridCol w:w="1194"/>
        <w:gridCol w:w="1083"/>
        <w:gridCol w:w="1083"/>
        <w:gridCol w:w="1068"/>
        <w:gridCol w:w="1650"/>
        <w:gridCol w:w="1194"/>
        <w:gridCol w:w="1194"/>
        <w:gridCol w:w="1297"/>
        <w:gridCol w:w="1614"/>
        <w:gridCol w:w="924"/>
      </w:tblGrid>
      <w:tr w:rsidR="00C453D7" w:rsidRPr="00415267" w14:paraId="168F6D37" w14:textId="77777777" w:rsidTr="009360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</w:tcPr>
          <w:p w14:paraId="09F1C76E" w14:textId="77777777" w:rsidR="00C453D7" w:rsidRPr="00B87E59" w:rsidRDefault="00C453D7" w:rsidP="00564975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KPI</w:t>
            </w:r>
          </w:p>
        </w:tc>
        <w:tc>
          <w:tcPr>
            <w:tcW w:w="1272" w:type="dxa"/>
          </w:tcPr>
          <w:p w14:paraId="1B7C6E00" w14:textId="77777777" w:rsidR="00C453D7" w:rsidRPr="00B87E59" w:rsidRDefault="00C453D7" w:rsidP="00B128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Quality of evidence for indicator</w:t>
            </w:r>
          </w:p>
          <w:p w14:paraId="0F94C1D5" w14:textId="69E34C49" w:rsidR="00C453D7" w:rsidRPr="00B87E59" w:rsidRDefault="00C453D7" w:rsidP="00F35A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good</w:t>
            </w:r>
          </w:p>
          <w:p w14:paraId="58DCB4F6" w14:textId="2455C62E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moderate</w:t>
            </w:r>
          </w:p>
          <w:p w14:paraId="26171E21" w14:textId="0334038E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u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nsure </w:t>
            </w:r>
          </w:p>
          <w:p w14:paraId="5FEBACE1" w14:textId="2E52D8FE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 poor</w:t>
            </w:r>
          </w:p>
        </w:tc>
        <w:tc>
          <w:tcPr>
            <w:tcW w:w="1003" w:type="dxa"/>
          </w:tcPr>
          <w:p w14:paraId="6F542C38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QA measure</w:t>
            </w:r>
          </w:p>
          <w:p w14:paraId="2572B677" w14:textId="77777777" w:rsidR="00013E35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yes</w:t>
            </w:r>
          </w:p>
          <w:p w14:paraId="52A7F304" w14:textId="044E280F" w:rsidR="00013E35" w:rsidRPr="00B87E59" w:rsidRDefault="001529A6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="00C453D7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="00C453D7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="00C453D7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unsure </w:t>
            </w:r>
          </w:p>
          <w:p w14:paraId="0B31638C" w14:textId="008D955E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no</w:t>
            </w:r>
          </w:p>
        </w:tc>
        <w:tc>
          <w:tcPr>
            <w:tcW w:w="928" w:type="dxa"/>
          </w:tcPr>
          <w:p w14:paraId="00C4A770" w14:textId="7D79101C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QI 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easure</w:t>
            </w:r>
          </w:p>
          <w:p w14:paraId="201243B8" w14:textId="12D30E5E" w:rsidR="00013E35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yes </w:t>
            </w:r>
          </w:p>
          <w:p w14:paraId="1D44BDED" w14:textId="286C04DA" w:rsidR="00013E35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unsure </w:t>
            </w:r>
          </w:p>
          <w:p w14:paraId="1358224C" w14:textId="612FBAA0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no</w:t>
            </w:r>
          </w:p>
        </w:tc>
        <w:tc>
          <w:tcPr>
            <w:tcW w:w="939" w:type="dxa"/>
          </w:tcPr>
          <w:p w14:paraId="37287056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ICHOM status</w:t>
            </w:r>
          </w:p>
          <w:p w14:paraId="256A7776" w14:textId="4BB9428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t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ier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-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</w:p>
          <w:p w14:paraId="0075AE5B" w14:textId="56069508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t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ier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-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</w:p>
          <w:p w14:paraId="3DAE8D49" w14:textId="55904738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n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ot included</w:t>
            </w:r>
          </w:p>
          <w:p w14:paraId="6C6EF426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</w:p>
        </w:tc>
        <w:tc>
          <w:tcPr>
            <w:tcW w:w="1360" w:type="dxa"/>
          </w:tcPr>
          <w:p w14:paraId="779937CF" w14:textId="77777777" w:rsidR="00C453D7" w:rsidRPr="00B87E59" w:rsidRDefault="00C453D7" w:rsidP="000F49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  <w:vertAlign w:val="superscript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Reliability of measurement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  <w:vertAlign w:val="superscript"/>
              </w:rPr>
              <w:t>*</w:t>
            </w:r>
          </w:p>
          <w:p w14:paraId="4BFEF084" w14:textId="28880685" w:rsidR="00C453D7" w:rsidRPr="00B87E59" w:rsidRDefault="00C453D7" w:rsidP="000570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good</w:t>
            </w:r>
          </w:p>
          <w:p w14:paraId="0E5DDC96" w14:textId="0D0B8C86" w:rsidR="00C453D7" w:rsidRPr="00B87E59" w:rsidRDefault="00C453D7" w:rsidP="005649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moderate</w:t>
            </w:r>
          </w:p>
          <w:p w14:paraId="41E417CC" w14:textId="0F7F5D05" w:rsidR="00C453D7" w:rsidRPr="00B87E59" w:rsidRDefault="00C453D7" w:rsidP="00B128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unsure</w:t>
            </w:r>
          </w:p>
          <w:p w14:paraId="6671B484" w14:textId="063C9DD3" w:rsidR="00C453D7" w:rsidRPr="00B87E59" w:rsidRDefault="00C453D7" w:rsidP="00F35A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poor</w:t>
            </w:r>
          </w:p>
        </w:tc>
        <w:tc>
          <w:tcPr>
            <w:tcW w:w="1236" w:type="dxa"/>
          </w:tcPr>
          <w:p w14:paraId="332709C4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Validity of target</w:t>
            </w:r>
          </w:p>
          <w:p w14:paraId="7BAE678F" w14:textId="2F0CE5B8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good</w:t>
            </w:r>
          </w:p>
          <w:p w14:paraId="6CC7E477" w14:textId="4A5CB0C1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moderate</w:t>
            </w:r>
          </w:p>
          <w:p w14:paraId="4B948B76" w14:textId="4DD37D7E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unsure </w:t>
            </w:r>
          </w:p>
          <w:p w14:paraId="1CB70CCE" w14:textId="2DA6827E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poor</w:t>
            </w:r>
          </w:p>
        </w:tc>
        <w:tc>
          <w:tcPr>
            <w:tcW w:w="1219" w:type="dxa"/>
          </w:tcPr>
          <w:p w14:paraId="3572F3A2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Impact on practice</w:t>
            </w:r>
          </w:p>
          <w:p w14:paraId="30CCD1FE" w14:textId="77777777" w:rsidR="00013E35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high </w:t>
            </w:r>
          </w:p>
          <w:p w14:paraId="15F95B8E" w14:textId="50463785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moderate</w:t>
            </w:r>
          </w:p>
          <w:p w14:paraId="1A3A17ED" w14:textId="7FFC35A1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unsure</w:t>
            </w:r>
          </w:p>
          <w:p w14:paraId="41B4A18F" w14:textId="336B4D91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low</w:t>
            </w:r>
          </w:p>
        </w:tc>
        <w:tc>
          <w:tcPr>
            <w:tcW w:w="1119" w:type="dxa"/>
          </w:tcPr>
          <w:p w14:paraId="49A6C935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Benefits for consumers</w:t>
            </w:r>
          </w:p>
          <w:p w14:paraId="7D7EA5EA" w14:textId="77777777" w:rsidR="00013E35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high </w:t>
            </w:r>
          </w:p>
          <w:p w14:paraId="1E81E36D" w14:textId="0B7E0B28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moderate</w:t>
            </w:r>
          </w:p>
          <w:p w14:paraId="77FE9905" w14:textId="40C4C9C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unsure</w:t>
            </w:r>
          </w:p>
          <w:p w14:paraId="7D415F81" w14:textId="66CDD05F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low</w:t>
            </w:r>
          </w:p>
        </w:tc>
        <w:tc>
          <w:tcPr>
            <w:tcW w:w="1355" w:type="dxa"/>
          </w:tcPr>
          <w:p w14:paraId="4FF9E075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Adverse unintended consequences</w:t>
            </w:r>
          </w:p>
          <w:p w14:paraId="4024C770" w14:textId="539CD985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unlikely</w:t>
            </w:r>
          </w:p>
          <w:p w14:paraId="5E03F2D8" w14:textId="309EBB49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unsure</w:t>
            </w:r>
          </w:p>
          <w:p w14:paraId="58883C88" w14:textId="58FE1789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possible</w:t>
            </w:r>
          </w:p>
          <w:p w14:paraId="7D87151B" w14:textId="0E782C8E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probable</w:t>
            </w:r>
          </w:p>
        </w:tc>
        <w:tc>
          <w:tcPr>
            <w:tcW w:w="1181" w:type="dxa"/>
          </w:tcPr>
          <w:p w14:paraId="424195A2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Total score</w:t>
            </w:r>
          </w:p>
          <w:p w14:paraId="6916462F" w14:textId="51847951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(range: 0</w:t>
            </w:r>
            <w:r w:rsidR="00013E35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–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24)</w:t>
            </w:r>
          </w:p>
        </w:tc>
      </w:tr>
      <w:tr w:rsidR="00C453D7" w:rsidRPr="00415267" w14:paraId="4CF1E942" w14:textId="77777777" w:rsidTr="009360F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</w:tcPr>
          <w:p w14:paraId="175D9F4A" w14:textId="77777777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</w:p>
        </w:tc>
        <w:tc>
          <w:tcPr>
            <w:tcW w:w="1272" w:type="dxa"/>
          </w:tcPr>
          <w:p w14:paraId="7DB49838" w14:textId="77777777" w:rsidR="00C453D7" w:rsidRPr="000F4969" w:rsidRDefault="00C453D7" w:rsidP="0005708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2</w:t>
            </w:r>
          </w:p>
        </w:tc>
        <w:tc>
          <w:tcPr>
            <w:tcW w:w="1003" w:type="dxa"/>
          </w:tcPr>
          <w:p w14:paraId="1440A158" w14:textId="77777777" w:rsidR="00C453D7" w:rsidRPr="0005708D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0</w:t>
            </w:r>
          </w:p>
        </w:tc>
        <w:tc>
          <w:tcPr>
            <w:tcW w:w="928" w:type="dxa"/>
          </w:tcPr>
          <w:p w14:paraId="0E7A7055" w14:textId="77777777" w:rsidR="00C453D7" w:rsidRPr="00415267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0</w:t>
            </w:r>
          </w:p>
        </w:tc>
        <w:tc>
          <w:tcPr>
            <w:tcW w:w="939" w:type="dxa"/>
          </w:tcPr>
          <w:p w14:paraId="0A342BAC" w14:textId="77777777" w:rsidR="00C453D7" w:rsidRPr="00415267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0</w:t>
            </w:r>
          </w:p>
        </w:tc>
        <w:tc>
          <w:tcPr>
            <w:tcW w:w="1360" w:type="dxa"/>
          </w:tcPr>
          <w:p w14:paraId="0E7C2135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3</w:t>
            </w:r>
          </w:p>
        </w:tc>
        <w:tc>
          <w:tcPr>
            <w:tcW w:w="1236" w:type="dxa"/>
          </w:tcPr>
          <w:p w14:paraId="4B1298D0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219" w:type="dxa"/>
          </w:tcPr>
          <w:p w14:paraId="237D43FF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0</w:t>
            </w:r>
          </w:p>
        </w:tc>
        <w:tc>
          <w:tcPr>
            <w:tcW w:w="1119" w:type="dxa"/>
          </w:tcPr>
          <w:p w14:paraId="17A65EB6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355" w:type="dxa"/>
          </w:tcPr>
          <w:p w14:paraId="648C341F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3</w:t>
            </w:r>
          </w:p>
        </w:tc>
        <w:tc>
          <w:tcPr>
            <w:tcW w:w="1181" w:type="dxa"/>
          </w:tcPr>
          <w:p w14:paraId="71B87874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11</w:t>
            </w:r>
          </w:p>
        </w:tc>
      </w:tr>
      <w:tr w:rsidR="00C453D7" w:rsidRPr="00415267" w14:paraId="5B6E247F" w14:textId="77777777" w:rsidTr="009360F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</w:tcPr>
          <w:p w14:paraId="778E7133" w14:textId="77777777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1a</w:t>
            </w:r>
          </w:p>
        </w:tc>
        <w:tc>
          <w:tcPr>
            <w:tcW w:w="1272" w:type="dxa"/>
          </w:tcPr>
          <w:p w14:paraId="2E99A4C5" w14:textId="77777777" w:rsidR="00C453D7" w:rsidRPr="000F4969" w:rsidRDefault="00C453D7" w:rsidP="0005708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1</w:t>
            </w:r>
          </w:p>
        </w:tc>
        <w:tc>
          <w:tcPr>
            <w:tcW w:w="1003" w:type="dxa"/>
          </w:tcPr>
          <w:p w14:paraId="5752DB21" w14:textId="77777777" w:rsidR="00C453D7" w:rsidRPr="0005708D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0</w:t>
            </w:r>
          </w:p>
        </w:tc>
        <w:tc>
          <w:tcPr>
            <w:tcW w:w="928" w:type="dxa"/>
          </w:tcPr>
          <w:p w14:paraId="20AD585B" w14:textId="77777777" w:rsidR="00C453D7" w:rsidRPr="00415267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939" w:type="dxa"/>
          </w:tcPr>
          <w:p w14:paraId="35236CF5" w14:textId="77777777" w:rsidR="00C453D7" w:rsidRPr="00415267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0</w:t>
            </w:r>
          </w:p>
        </w:tc>
        <w:tc>
          <w:tcPr>
            <w:tcW w:w="1360" w:type="dxa"/>
          </w:tcPr>
          <w:p w14:paraId="2B17BAF0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236" w:type="dxa"/>
          </w:tcPr>
          <w:p w14:paraId="486B4B0D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219" w:type="dxa"/>
          </w:tcPr>
          <w:p w14:paraId="572AFE99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119" w:type="dxa"/>
          </w:tcPr>
          <w:p w14:paraId="27761B5C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355" w:type="dxa"/>
          </w:tcPr>
          <w:p w14:paraId="790461D9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181" w:type="dxa"/>
          </w:tcPr>
          <w:p w14:paraId="382AC256" w14:textId="77777777" w:rsidR="00C453D7" w:rsidRPr="00415267" w:rsidDel="003948F5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7</w:t>
            </w:r>
          </w:p>
        </w:tc>
      </w:tr>
      <w:tr w:rsidR="00C453D7" w:rsidRPr="00415267" w14:paraId="58FC71BA" w14:textId="77777777" w:rsidTr="009360F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</w:tcPr>
          <w:p w14:paraId="2B7B1260" w14:textId="77777777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</w:p>
        </w:tc>
        <w:tc>
          <w:tcPr>
            <w:tcW w:w="1272" w:type="dxa"/>
          </w:tcPr>
          <w:p w14:paraId="2B7CB87B" w14:textId="77777777" w:rsidR="00C453D7" w:rsidRPr="000F4969" w:rsidRDefault="00C453D7" w:rsidP="0005708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2</w:t>
            </w:r>
          </w:p>
        </w:tc>
        <w:tc>
          <w:tcPr>
            <w:tcW w:w="1003" w:type="dxa"/>
          </w:tcPr>
          <w:p w14:paraId="6ABE04B9" w14:textId="77777777" w:rsidR="00C453D7" w:rsidRPr="0005708D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0</w:t>
            </w:r>
          </w:p>
        </w:tc>
        <w:tc>
          <w:tcPr>
            <w:tcW w:w="928" w:type="dxa"/>
          </w:tcPr>
          <w:p w14:paraId="16C81656" w14:textId="77777777" w:rsidR="00C453D7" w:rsidRPr="00415267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939" w:type="dxa"/>
          </w:tcPr>
          <w:p w14:paraId="150D8EA7" w14:textId="77777777" w:rsidR="00C453D7" w:rsidRPr="00415267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0</w:t>
            </w:r>
          </w:p>
        </w:tc>
        <w:tc>
          <w:tcPr>
            <w:tcW w:w="1360" w:type="dxa"/>
          </w:tcPr>
          <w:p w14:paraId="442652FE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3</w:t>
            </w:r>
          </w:p>
        </w:tc>
        <w:tc>
          <w:tcPr>
            <w:tcW w:w="1236" w:type="dxa"/>
          </w:tcPr>
          <w:p w14:paraId="0D4AA834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219" w:type="dxa"/>
          </w:tcPr>
          <w:p w14:paraId="042382C6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119" w:type="dxa"/>
          </w:tcPr>
          <w:p w14:paraId="615C9C07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355" w:type="dxa"/>
          </w:tcPr>
          <w:p w14:paraId="38DA97ED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181" w:type="dxa"/>
          </w:tcPr>
          <w:p w14:paraId="350341B4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15</w:t>
            </w:r>
          </w:p>
        </w:tc>
      </w:tr>
      <w:tr w:rsidR="00C453D7" w:rsidRPr="00415267" w14:paraId="202660B5" w14:textId="77777777" w:rsidTr="009360F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</w:tcPr>
          <w:p w14:paraId="67A3D684" w14:textId="77777777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3 </w:t>
            </w:r>
            <w:proofErr w:type="gramStart"/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incidence</w:t>
            </w:r>
            <w:proofErr w:type="gramEnd"/>
          </w:p>
        </w:tc>
        <w:tc>
          <w:tcPr>
            <w:tcW w:w="1272" w:type="dxa"/>
          </w:tcPr>
          <w:p w14:paraId="13698004" w14:textId="77777777" w:rsidR="00C453D7" w:rsidRPr="000F4969" w:rsidRDefault="00C453D7" w:rsidP="0005708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2</w:t>
            </w:r>
          </w:p>
        </w:tc>
        <w:tc>
          <w:tcPr>
            <w:tcW w:w="1003" w:type="dxa"/>
          </w:tcPr>
          <w:p w14:paraId="5160C8CF" w14:textId="77777777" w:rsidR="00C453D7" w:rsidRPr="0005708D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0</w:t>
            </w:r>
          </w:p>
        </w:tc>
        <w:tc>
          <w:tcPr>
            <w:tcW w:w="928" w:type="dxa"/>
          </w:tcPr>
          <w:p w14:paraId="09047F40" w14:textId="77777777" w:rsidR="00C453D7" w:rsidRPr="00415267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939" w:type="dxa"/>
          </w:tcPr>
          <w:p w14:paraId="0C9269C2" w14:textId="77777777" w:rsidR="00C453D7" w:rsidRPr="00415267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0</w:t>
            </w:r>
          </w:p>
        </w:tc>
        <w:tc>
          <w:tcPr>
            <w:tcW w:w="1360" w:type="dxa"/>
          </w:tcPr>
          <w:p w14:paraId="67EFF118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3</w:t>
            </w:r>
          </w:p>
        </w:tc>
        <w:tc>
          <w:tcPr>
            <w:tcW w:w="1236" w:type="dxa"/>
          </w:tcPr>
          <w:p w14:paraId="7B0119B4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219" w:type="dxa"/>
          </w:tcPr>
          <w:p w14:paraId="7444157C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119" w:type="dxa"/>
          </w:tcPr>
          <w:p w14:paraId="72F92311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355" w:type="dxa"/>
          </w:tcPr>
          <w:p w14:paraId="5AC3281A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181" w:type="dxa"/>
          </w:tcPr>
          <w:p w14:paraId="0BE66110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12</w:t>
            </w:r>
          </w:p>
        </w:tc>
      </w:tr>
      <w:tr w:rsidR="00C453D7" w:rsidRPr="00415267" w14:paraId="65032053" w14:textId="77777777" w:rsidTr="009360F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</w:tcPr>
          <w:p w14:paraId="15146DC8" w14:textId="3453FC38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9360F9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prevalence</w:t>
            </w:r>
          </w:p>
        </w:tc>
        <w:tc>
          <w:tcPr>
            <w:tcW w:w="1272" w:type="dxa"/>
          </w:tcPr>
          <w:p w14:paraId="4BC4473B" w14:textId="77777777" w:rsidR="00C453D7" w:rsidRPr="000F4969" w:rsidRDefault="00C453D7" w:rsidP="0005708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2</w:t>
            </w:r>
          </w:p>
        </w:tc>
        <w:tc>
          <w:tcPr>
            <w:tcW w:w="1003" w:type="dxa"/>
          </w:tcPr>
          <w:p w14:paraId="43ED7767" w14:textId="77777777" w:rsidR="00C453D7" w:rsidRPr="0005708D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0</w:t>
            </w:r>
          </w:p>
        </w:tc>
        <w:tc>
          <w:tcPr>
            <w:tcW w:w="928" w:type="dxa"/>
          </w:tcPr>
          <w:p w14:paraId="080A8383" w14:textId="77777777" w:rsidR="00C453D7" w:rsidRPr="00415267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939" w:type="dxa"/>
          </w:tcPr>
          <w:p w14:paraId="1663EAF2" w14:textId="77777777" w:rsidR="00C453D7" w:rsidRPr="00415267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0</w:t>
            </w:r>
          </w:p>
        </w:tc>
        <w:tc>
          <w:tcPr>
            <w:tcW w:w="1360" w:type="dxa"/>
          </w:tcPr>
          <w:p w14:paraId="1238FBCA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3</w:t>
            </w:r>
          </w:p>
        </w:tc>
        <w:tc>
          <w:tcPr>
            <w:tcW w:w="1236" w:type="dxa"/>
          </w:tcPr>
          <w:p w14:paraId="2F203EDD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219" w:type="dxa"/>
          </w:tcPr>
          <w:p w14:paraId="03186CE5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119" w:type="dxa"/>
          </w:tcPr>
          <w:p w14:paraId="5B16410A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355" w:type="dxa"/>
          </w:tcPr>
          <w:p w14:paraId="7FCA1125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181" w:type="dxa"/>
          </w:tcPr>
          <w:p w14:paraId="0600BA99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11</w:t>
            </w:r>
          </w:p>
        </w:tc>
      </w:tr>
      <w:tr w:rsidR="00C453D7" w:rsidRPr="00415267" w14:paraId="1A16AFF7" w14:textId="77777777" w:rsidTr="009360F9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</w:tcPr>
          <w:p w14:paraId="43FBF874" w14:textId="77777777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4</w:t>
            </w:r>
          </w:p>
        </w:tc>
        <w:tc>
          <w:tcPr>
            <w:tcW w:w="1272" w:type="dxa"/>
          </w:tcPr>
          <w:p w14:paraId="34774DFD" w14:textId="77777777" w:rsidR="00C453D7" w:rsidRPr="000F4969" w:rsidRDefault="00C453D7" w:rsidP="0005708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3</w:t>
            </w:r>
          </w:p>
        </w:tc>
        <w:tc>
          <w:tcPr>
            <w:tcW w:w="1003" w:type="dxa"/>
          </w:tcPr>
          <w:p w14:paraId="5FF7A033" w14:textId="77777777" w:rsidR="00C453D7" w:rsidRPr="0005708D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2</w:t>
            </w:r>
          </w:p>
        </w:tc>
        <w:tc>
          <w:tcPr>
            <w:tcW w:w="928" w:type="dxa"/>
          </w:tcPr>
          <w:p w14:paraId="39C9B4B2" w14:textId="77777777" w:rsidR="00C453D7" w:rsidRPr="00415267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939" w:type="dxa"/>
          </w:tcPr>
          <w:p w14:paraId="0A25E749" w14:textId="77777777" w:rsidR="00C453D7" w:rsidRPr="00415267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360" w:type="dxa"/>
          </w:tcPr>
          <w:p w14:paraId="6B268E18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3</w:t>
            </w:r>
          </w:p>
        </w:tc>
        <w:tc>
          <w:tcPr>
            <w:tcW w:w="1236" w:type="dxa"/>
          </w:tcPr>
          <w:p w14:paraId="41261FDC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3</w:t>
            </w:r>
          </w:p>
        </w:tc>
        <w:tc>
          <w:tcPr>
            <w:tcW w:w="1219" w:type="dxa"/>
          </w:tcPr>
          <w:p w14:paraId="6EA11F8C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119" w:type="dxa"/>
          </w:tcPr>
          <w:p w14:paraId="36443BE4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3</w:t>
            </w:r>
          </w:p>
        </w:tc>
        <w:tc>
          <w:tcPr>
            <w:tcW w:w="1355" w:type="dxa"/>
          </w:tcPr>
          <w:p w14:paraId="72BA6162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3</w:t>
            </w:r>
          </w:p>
        </w:tc>
        <w:tc>
          <w:tcPr>
            <w:tcW w:w="1181" w:type="dxa"/>
          </w:tcPr>
          <w:p w14:paraId="7336D858" w14:textId="77777777" w:rsidR="00C453D7" w:rsidRPr="00415267" w:rsidDel="003948F5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22</w:t>
            </w:r>
          </w:p>
        </w:tc>
      </w:tr>
      <w:tr w:rsidR="00C453D7" w:rsidRPr="00415267" w14:paraId="4390C955" w14:textId="77777777" w:rsidTr="009360F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</w:tcPr>
          <w:p w14:paraId="73696447" w14:textId="77777777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5</w:t>
            </w:r>
          </w:p>
        </w:tc>
        <w:tc>
          <w:tcPr>
            <w:tcW w:w="1272" w:type="dxa"/>
          </w:tcPr>
          <w:p w14:paraId="2D38F7EC" w14:textId="77777777" w:rsidR="00C453D7" w:rsidRPr="000F4969" w:rsidRDefault="00C453D7" w:rsidP="0005708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2</w:t>
            </w:r>
          </w:p>
        </w:tc>
        <w:tc>
          <w:tcPr>
            <w:tcW w:w="1003" w:type="dxa"/>
          </w:tcPr>
          <w:p w14:paraId="7D8BE396" w14:textId="77777777" w:rsidR="00C453D7" w:rsidRPr="0005708D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0</w:t>
            </w:r>
          </w:p>
        </w:tc>
        <w:tc>
          <w:tcPr>
            <w:tcW w:w="928" w:type="dxa"/>
          </w:tcPr>
          <w:p w14:paraId="7AA6DCF0" w14:textId="77777777" w:rsidR="00C453D7" w:rsidRPr="00415267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939" w:type="dxa"/>
          </w:tcPr>
          <w:p w14:paraId="6E76CF4E" w14:textId="77777777" w:rsidR="00C453D7" w:rsidRPr="00415267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0</w:t>
            </w:r>
          </w:p>
        </w:tc>
        <w:tc>
          <w:tcPr>
            <w:tcW w:w="1360" w:type="dxa"/>
          </w:tcPr>
          <w:p w14:paraId="5EFBE7BC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236" w:type="dxa"/>
          </w:tcPr>
          <w:p w14:paraId="00F5EFA4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219" w:type="dxa"/>
          </w:tcPr>
          <w:p w14:paraId="75F71FF8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119" w:type="dxa"/>
          </w:tcPr>
          <w:p w14:paraId="2492728B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355" w:type="dxa"/>
          </w:tcPr>
          <w:p w14:paraId="214110D8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181" w:type="dxa"/>
          </w:tcPr>
          <w:p w14:paraId="582FF9D8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13</w:t>
            </w:r>
          </w:p>
        </w:tc>
      </w:tr>
      <w:tr w:rsidR="00C453D7" w:rsidRPr="00415267" w14:paraId="55AF0CC0" w14:textId="77777777" w:rsidTr="009360F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dxa"/>
          </w:tcPr>
          <w:p w14:paraId="24889101" w14:textId="77777777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6</w:t>
            </w:r>
          </w:p>
        </w:tc>
        <w:tc>
          <w:tcPr>
            <w:tcW w:w="1272" w:type="dxa"/>
          </w:tcPr>
          <w:p w14:paraId="262FA603" w14:textId="77777777" w:rsidR="00C453D7" w:rsidRPr="000F4969" w:rsidRDefault="00C453D7" w:rsidP="0005708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2</w:t>
            </w:r>
          </w:p>
        </w:tc>
        <w:tc>
          <w:tcPr>
            <w:tcW w:w="1003" w:type="dxa"/>
          </w:tcPr>
          <w:p w14:paraId="0D0081FB" w14:textId="77777777" w:rsidR="00C453D7" w:rsidRPr="0005708D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0</w:t>
            </w:r>
          </w:p>
        </w:tc>
        <w:tc>
          <w:tcPr>
            <w:tcW w:w="928" w:type="dxa"/>
          </w:tcPr>
          <w:p w14:paraId="67873932" w14:textId="77777777" w:rsidR="00C453D7" w:rsidRPr="00415267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939" w:type="dxa"/>
          </w:tcPr>
          <w:p w14:paraId="49AA2A26" w14:textId="77777777" w:rsidR="00C453D7" w:rsidRPr="00415267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0</w:t>
            </w:r>
          </w:p>
        </w:tc>
        <w:tc>
          <w:tcPr>
            <w:tcW w:w="1360" w:type="dxa"/>
          </w:tcPr>
          <w:p w14:paraId="201FDEBB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</w:t>
            </w:r>
          </w:p>
        </w:tc>
        <w:tc>
          <w:tcPr>
            <w:tcW w:w="1236" w:type="dxa"/>
          </w:tcPr>
          <w:p w14:paraId="01B06722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219" w:type="dxa"/>
          </w:tcPr>
          <w:p w14:paraId="6771237E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119" w:type="dxa"/>
          </w:tcPr>
          <w:p w14:paraId="7A6B960D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355" w:type="dxa"/>
          </w:tcPr>
          <w:p w14:paraId="0C687C8B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2</w:t>
            </w:r>
          </w:p>
        </w:tc>
        <w:tc>
          <w:tcPr>
            <w:tcW w:w="1181" w:type="dxa"/>
          </w:tcPr>
          <w:p w14:paraId="1F7E91E0" w14:textId="77777777" w:rsidR="00C453D7" w:rsidRPr="00415267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5267">
              <w:t>13</w:t>
            </w:r>
          </w:p>
        </w:tc>
      </w:tr>
    </w:tbl>
    <w:p w14:paraId="3788FB71" w14:textId="77777777" w:rsidR="00C453D7" w:rsidRPr="00343A2D" w:rsidRDefault="00C453D7" w:rsidP="000F4969">
      <w:pPr>
        <w:rPr>
          <w:rFonts w:eastAsia="Calibri"/>
        </w:rPr>
        <w:sectPr w:rsidR="00C453D7" w:rsidRPr="00343A2D" w:rsidSect="00C453D7">
          <w:pgSz w:w="16838" w:h="11906" w:orient="landscape" w:code="9"/>
          <w:pgMar w:top="851" w:right="3402" w:bottom="851" w:left="1361" w:header="539" w:footer="624" w:gutter="0"/>
          <w:cols w:space="284"/>
          <w:docGrid w:linePitch="360"/>
        </w:sectPr>
      </w:pPr>
    </w:p>
    <w:p w14:paraId="1D22E1CA" w14:textId="18C5CFB8" w:rsidR="00C453D7" w:rsidRPr="00343A2D" w:rsidRDefault="00C453D7" w:rsidP="000F4969">
      <w:r w:rsidRPr="00343A2D">
        <w:rPr>
          <w:rStyle w:val="Heading2Char"/>
          <w:rFonts w:eastAsiaTheme="minorEastAsia"/>
        </w:rPr>
        <w:lastRenderedPageBreak/>
        <w:t xml:space="preserve">Notes and </w:t>
      </w:r>
      <w:r w:rsidR="005C1025" w:rsidRPr="00343A2D">
        <w:rPr>
          <w:rStyle w:val="Heading2Char"/>
          <w:rFonts w:eastAsiaTheme="minorEastAsia"/>
        </w:rPr>
        <w:t>d</w:t>
      </w:r>
      <w:r w:rsidRPr="00343A2D">
        <w:rPr>
          <w:rStyle w:val="Heading2Char"/>
          <w:rFonts w:eastAsiaTheme="minorEastAsia"/>
        </w:rPr>
        <w:t>efinitions</w:t>
      </w:r>
    </w:p>
    <w:p w14:paraId="5E3CBDA6" w14:textId="1F0ED8EE" w:rsidR="00C453D7" w:rsidRPr="00343A2D" w:rsidRDefault="00C453D7" w:rsidP="005C1025">
      <w:pPr>
        <w:pStyle w:val="Bullet1"/>
        <w:rPr>
          <w:rFonts w:ascii="VIC" w:eastAsia="Calibri" w:hAnsi="VIC"/>
        </w:rPr>
      </w:pPr>
      <w:r w:rsidRPr="00343A2D">
        <w:rPr>
          <w:rFonts w:ascii="VIC" w:eastAsia="Calibri" w:hAnsi="VIC"/>
        </w:rPr>
        <w:t xml:space="preserve">A quality assurance measure defines a safety standard that all services are expected to achieve. Where </w:t>
      </w:r>
      <w:r w:rsidR="006F01F4" w:rsidRPr="006F01F4">
        <w:rPr>
          <w:rFonts w:ascii="VIC" w:hAnsi="VIC"/>
        </w:rPr>
        <w:t>quality assurance</w:t>
      </w:r>
      <w:r w:rsidRPr="00343A2D">
        <w:rPr>
          <w:rFonts w:ascii="VIC" w:eastAsia="Calibri" w:hAnsi="VIC"/>
        </w:rPr>
        <w:t xml:space="preserve"> standards are not met</w:t>
      </w:r>
      <w:r w:rsidR="00013E35" w:rsidRPr="00343A2D">
        <w:rPr>
          <w:rFonts w:ascii="VIC" w:eastAsia="Calibri" w:hAnsi="VIC"/>
        </w:rPr>
        <w:t>,</w:t>
      </w:r>
      <w:r w:rsidRPr="00343A2D">
        <w:rPr>
          <w:rFonts w:ascii="VIC" w:eastAsia="Calibri" w:hAnsi="VIC"/>
        </w:rPr>
        <w:t xml:space="preserve"> SCV should work cooperatively with service providers to understand</w:t>
      </w:r>
      <w:r w:rsidR="00415267">
        <w:rPr>
          <w:rFonts w:ascii="VIC" w:eastAsia="Calibri" w:hAnsi="VIC"/>
        </w:rPr>
        <w:t xml:space="preserve"> </w:t>
      </w:r>
      <w:r w:rsidRPr="00343A2D">
        <w:rPr>
          <w:rFonts w:ascii="VIC" w:eastAsia="Calibri" w:hAnsi="VIC"/>
        </w:rPr>
        <w:t xml:space="preserve">the reasons </w:t>
      </w:r>
      <w:r w:rsidR="00C753E3">
        <w:rPr>
          <w:rFonts w:ascii="VIC" w:eastAsia="Calibri" w:hAnsi="VIC"/>
        </w:rPr>
        <w:t xml:space="preserve">for this </w:t>
      </w:r>
      <w:r w:rsidRPr="00343A2D">
        <w:rPr>
          <w:rFonts w:ascii="VIC" w:eastAsia="Calibri" w:hAnsi="VIC"/>
        </w:rPr>
        <w:t>and facilitate corrective measures.</w:t>
      </w:r>
    </w:p>
    <w:p w14:paraId="5B447D24" w14:textId="539AF674" w:rsidR="00C453D7" w:rsidRPr="00343A2D" w:rsidRDefault="00C453D7" w:rsidP="005C1025">
      <w:pPr>
        <w:pStyle w:val="Bullet1"/>
        <w:rPr>
          <w:rFonts w:ascii="VIC" w:eastAsia="Calibri" w:hAnsi="VIC"/>
        </w:rPr>
      </w:pPr>
      <w:r w:rsidRPr="00343A2D">
        <w:rPr>
          <w:rFonts w:ascii="VIC" w:eastAsia="Calibri" w:hAnsi="VIC"/>
        </w:rPr>
        <w:t xml:space="preserve">A quality improvement measure defines an agreed improvement objective of a service or a network, which ideally should be linked to a plan to achieve that target. </w:t>
      </w:r>
      <w:r w:rsidR="006F01F4" w:rsidRPr="006F01F4">
        <w:rPr>
          <w:rFonts w:ascii="VIC" w:hAnsi="VIC"/>
        </w:rPr>
        <w:t>Quality improvement</w:t>
      </w:r>
      <w:r w:rsidRPr="00343A2D">
        <w:rPr>
          <w:rFonts w:ascii="VIC" w:eastAsia="Calibri" w:hAnsi="VIC"/>
        </w:rPr>
        <w:t xml:space="preserve"> measures are more aspirational than </w:t>
      </w:r>
      <w:r w:rsidR="006F01F4" w:rsidRPr="006F01F4">
        <w:rPr>
          <w:rFonts w:ascii="VIC" w:hAnsi="VIC"/>
        </w:rPr>
        <w:t>quality assurance</w:t>
      </w:r>
      <w:r w:rsidRPr="00343A2D">
        <w:rPr>
          <w:rFonts w:ascii="VIC" w:eastAsia="Calibri" w:hAnsi="VIC"/>
        </w:rPr>
        <w:t xml:space="preserve"> measures but should still be evidence</w:t>
      </w:r>
      <w:r w:rsidR="00013E35" w:rsidRPr="00343A2D">
        <w:rPr>
          <w:rFonts w:ascii="VIC" w:eastAsia="Calibri" w:hAnsi="VIC"/>
        </w:rPr>
        <w:t>-</w:t>
      </w:r>
      <w:r w:rsidRPr="00343A2D">
        <w:rPr>
          <w:rFonts w:ascii="VIC" w:eastAsia="Calibri" w:hAnsi="VIC"/>
        </w:rPr>
        <w:t>based and achievable.</w:t>
      </w:r>
    </w:p>
    <w:p w14:paraId="6D81C73C" w14:textId="7BBAF43A" w:rsidR="00C453D7" w:rsidRPr="00343A2D" w:rsidRDefault="00C453D7" w:rsidP="005C1025">
      <w:pPr>
        <w:pStyle w:val="Bullet1"/>
        <w:rPr>
          <w:rFonts w:ascii="VIC" w:eastAsia="Calibri" w:hAnsi="VIC"/>
        </w:rPr>
      </w:pPr>
      <w:r w:rsidRPr="00343A2D">
        <w:rPr>
          <w:rFonts w:ascii="VIC" w:eastAsia="Calibri" w:hAnsi="VIC"/>
        </w:rPr>
        <w:t xml:space="preserve">The ICHOM CKD </w:t>
      </w:r>
      <w:r w:rsidR="00013E35" w:rsidRPr="00343A2D">
        <w:rPr>
          <w:rFonts w:ascii="VIC" w:eastAsia="Calibri" w:hAnsi="VIC"/>
        </w:rPr>
        <w:t>s</w:t>
      </w:r>
      <w:r w:rsidRPr="00343A2D">
        <w:rPr>
          <w:rFonts w:ascii="VIC" w:eastAsia="Calibri" w:hAnsi="VIC"/>
        </w:rPr>
        <w:t xml:space="preserve">tandard </w:t>
      </w:r>
      <w:r w:rsidR="00013E35" w:rsidRPr="00343A2D">
        <w:rPr>
          <w:rFonts w:ascii="VIC" w:eastAsia="Calibri" w:hAnsi="VIC"/>
        </w:rPr>
        <w:t>s</w:t>
      </w:r>
      <w:r w:rsidRPr="00343A2D">
        <w:rPr>
          <w:rFonts w:ascii="VIC" w:eastAsia="Calibri" w:hAnsi="VIC"/>
        </w:rPr>
        <w:t>et (October 2017) defines a list of essential (</w:t>
      </w:r>
      <w:r w:rsidR="00013E35" w:rsidRPr="00343A2D">
        <w:rPr>
          <w:rFonts w:ascii="VIC" w:eastAsia="Calibri" w:hAnsi="VIC"/>
        </w:rPr>
        <w:t>t</w:t>
      </w:r>
      <w:r w:rsidRPr="00343A2D">
        <w:rPr>
          <w:rFonts w:ascii="VIC" w:eastAsia="Calibri" w:hAnsi="VIC"/>
        </w:rPr>
        <w:t>ier-1) and important (</w:t>
      </w:r>
      <w:r w:rsidR="00013E35" w:rsidRPr="00343A2D">
        <w:rPr>
          <w:rFonts w:ascii="VIC" w:eastAsia="Calibri" w:hAnsi="VIC"/>
        </w:rPr>
        <w:t>t</w:t>
      </w:r>
      <w:r w:rsidRPr="00343A2D">
        <w:rPr>
          <w:rFonts w:ascii="VIC" w:eastAsia="Calibri" w:hAnsi="VIC"/>
        </w:rPr>
        <w:t>ier-2) outcome measures for CKD patients.</w:t>
      </w:r>
    </w:p>
    <w:p w14:paraId="7A227ADA" w14:textId="0BB20C6C" w:rsidR="00013E35" w:rsidRPr="00343A2D" w:rsidRDefault="00013E35" w:rsidP="00013E35">
      <w:pPr>
        <w:pStyle w:val="Bullet1"/>
        <w:rPr>
          <w:rFonts w:ascii="VIC" w:eastAsia="Calibri" w:hAnsi="VIC"/>
        </w:rPr>
      </w:pPr>
      <w:r w:rsidRPr="00343A2D">
        <w:rPr>
          <w:rFonts w:ascii="VIC" w:eastAsia="Calibri" w:hAnsi="VIC"/>
        </w:rPr>
        <w:t xml:space="preserve">Values included in the table were decided on by chairs of the </w:t>
      </w:r>
      <w:r w:rsidR="00564975" w:rsidRPr="00564975">
        <w:rPr>
          <w:rFonts w:ascii="VIC" w:hAnsi="VIC"/>
        </w:rPr>
        <w:t xml:space="preserve">Renal Clinical Network </w:t>
      </w:r>
      <w:r w:rsidRPr="00343A2D">
        <w:rPr>
          <w:rFonts w:ascii="VIC" w:eastAsia="Calibri" w:hAnsi="VIC"/>
        </w:rPr>
        <w:t>committees.</w:t>
      </w:r>
    </w:p>
    <w:p w14:paraId="26C53DFD" w14:textId="48933F02" w:rsidR="00C453D7" w:rsidRPr="00564975" w:rsidRDefault="00C453D7" w:rsidP="00343A2D">
      <w:pPr>
        <w:rPr>
          <w:rFonts w:eastAsia="Calibri"/>
        </w:rPr>
      </w:pPr>
      <w:r w:rsidRPr="0005708D">
        <w:rPr>
          <w:rFonts w:eastAsia="Calibri"/>
        </w:rPr>
        <w:t>*</w:t>
      </w:r>
      <w:r w:rsidR="00013E35" w:rsidRPr="00564975">
        <w:rPr>
          <w:rFonts w:eastAsia="Calibri"/>
        </w:rPr>
        <w:t xml:space="preserve"> </w:t>
      </w:r>
      <w:r w:rsidRPr="00B1282F">
        <w:rPr>
          <w:rFonts w:eastAsia="Calibri"/>
        </w:rPr>
        <w:t xml:space="preserve">Reliability of measurement refers to the extent to which the data generated is a reliable measure of the parameter of interest. Factors that may impact adversely on </w:t>
      </w:r>
      <w:r w:rsidR="004352BE">
        <w:rPr>
          <w:rFonts w:eastAsia="Calibri"/>
        </w:rPr>
        <w:t>this</w:t>
      </w:r>
      <w:r w:rsidRPr="0005708D">
        <w:rPr>
          <w:rFonts w:eastAsia="Calibri"/>
        </w:rPr>
        <w:t xml:space="preserve"> include small sample sizes, causing large random variations, and varying interpretations of definitions.</w:t>
      </w:r>
    </w:p>
    <w:p w14:paraId="12310FF3" w14:textId="77777777" w:rsidR="00C453D7" w:rsidRPr="00343A2D" w:rsidRDefault="00C453D7" w:rsidP="000F4969">
      <w:pPr>
        <w:rPr>
          <w:rFonts w:eastAsia="Calibri"/>
        </w:rPr>
      </w:pPr>
    </w:p>
    <w:p w14:paraId="7F3D9AF1" w14:textId="77777777" w:rsidR="00C453D7" w:rsidRDefault="00C453D7">
      <w:pPr>
        <w:rPr>
          <w:rFonts w:eastAsia="Calibri"/>
        </w:rPr>
        <w:sectPr w:rsidR="00C453D7" w:rsidSect="00C453D7">
          <w:pgSz w:w="11906" w:h="16838" w:code="9"/>
          <w:pgMar w:top="3402" w:right="851" w:bottom="1361" w:left="851" w:header="539" w:footer="624" w:gutter="0"/>
          <w:cols w:space="284"/>
          <w:docGrid w:linePitch="360"/>
        </w:sectPr>
      </w:pPr>
    </w:p>
    <w:p w14:paraId="796DFC32" w14:textId="77777777" w:rsidR="00C453D7" w:rsidRPr="00265E5C" w:rsidRDefault="00C453D7">
      <w:pPr>
        <w:rPr>
          <w:rFonts w:eastAsia="Calibri"/>
        </w:rPr>
      </w:pPr>
    </w:p>
    <w:p w14:paraId="071B32C4" w14:textId="6E0908C9" w:rsidR="00C453D7" w:rsidRPr="004352BE" w:rsidRDefault="00C453D7">
      <w:pPr>
        <w:pStyle w:val="Heading2"/>
      </w:pPr>
      <w:bookmarkStart w:id="115" w:name="_Toc8637291"/>
      <w:bookmarkStart w:id="116" w:name="_Toc10460729"/>
      <w:r w:rsidRPr="000F4969">
        <w:t xml:space="preserve">Appendix 4: Assessment </w:t>
      </w:r>
      <w:r w:rsidR="00F34043" w:rsidRPr="0005708D">
        <w:t>m</w:t>
      </w:r>
      <w:r w:rsidRPr="004352BE">
        <w:t>atrix for review</w:t>
      </w:r>
      <w:r w:rsidR="00097CC0" w:rsidRPr="004352BE">
        <w:t>ing</w:t>
      </w:r>
      <w:r w:rsidRPr="004352BE">
        <w:t xml:space="preserve"> </w:t>
      </w:r>
      <w:r w:rsidR="00F34043" w:rsidRPr="004352BE">
        <w:t>f</w:t>
      </w:r>
      <w:r w:rsidRPr="004352BE">
        <w:t xml:space="preserve">uture </w:t>
      </w:r>
      <w:r w:rsidR="00F34043" w:rsidRPr="004352BE">
        <w:t>q</w:t>
      </w:r>
      <w:r w:rsidRPr="004352BE">
        <w:t xml:space="preserve">uality </w:t>
      </w:r>
      <w:r w:rsidR="00F34043" w:rsidRPr="004352BE">
        <w:t>i</w:t>
      </w:r>
      <w:r w:rsidRPr="004352BE">
        <w:t>ndicators</w:t>
      </w:r>
      <w:bookmarkEnd w:id="115"/>
      <w:bookmarkEnd w:id="116"/>
    </w:p>
    <w:tbl>
      <w:tblPr>
        <w:tblStyle w:val="TableGrid"/>
        <w:tblpPr w:leftFromText="180" w:rightFromText="180" w:vertAnchor="page" w:horzAnchor="margin" w:tblpY="2851"/>
        <w:tblW w:w="12703" w:type="dxa"/>
        <w:tblLook w:val="04A0" w:firstRow="1" w:lastRow="0" w:firstColumn="1" w:lastColumn="0" w:noHBand="0" w:noVBand="1"/>
      </w:tblPr>
      <w:tblGrid>
        <w:gridCol w:w="1669"/>
        <w:gridCol w:w="1194"/>
        <w:gridCol w:w="1083"/>
        <w:gridCol w:w="1083"/>
        <w:gridCol w:w="1068"/>
        <w:gridCol w:w="1650"/>
        <w:gridCol w:w="1194"/>
        <w:gridCol w:w="1194"/>
        <w:gridCol w:w="1297"/>
        <w:gridCol w:w="1614"/>
        <w:gridCol w:w="924"/>
      </w:tblGrid>
      <w:tr w:rsidR="00C453D7" w:rsidRPr="005C0B06" w14:paraId="20B814DC" w14:textId="77777777" w:rsidTr="009D48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977411A" w14:textId="298A9684" w:rsidR="00C453D7" w:rsidRPr="00B87E59" w:rsidRDefault="00C453D7" w:rsidP="00564975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Quality 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i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ndicator</w:t>
            </w:r>
          </w:p>
        </w:tc>
        <w:tc>
          <w:tcPr>
            <w:tcW w:w="1239" w:type="dxa"/>
          </w:tcPr>
          <w:p w14:paraId="2F094941" w14:textId="77777777" w:rsidR="00C453D7" w:rsidRPr="00B87E59" w:rsidRDefault="00C453D7" w:rsidP="00B128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Quality of evidence for indicator</w:t>
            </w:r>
          </w:p>
          <w:p w14:paraId="124C0F0B" w14:textId="4D71709D" w:rsidR="00C453D7" w:rsidRPr="00B87E59" w:rsidRDefault="00C453D7" w:rsidP="00F35A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good</w:t>
            </w:r>
          </w:p>
          <w:p w14:paraId="0AE9D6F7" w14:textId="7E2C331A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moderate</w:t>
            </w:r>
          </w:p>
          <w:p w14:paraId="47E87D86" w14:textId="44BD01BF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u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nsure </w:t>
            </w:r>
          </w:p>
          <w:p w14:paraId="3D245592" w14:textId="332CADC6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 poor</w:t>
            </w:r>
          </w:p>
        </w:tc>
        <w:tc>
          <w:tcPr>
            <w:tcW w:w="982" w:type="dxa"/>
          </w:tcPr>
          <w:p w14:paraId="35F39E5A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QA measure</w:t>
            </w:r>
          </w:p>
          <w:p w14:paraId="1FE3B52A" w14:textId="164152D2" w:rsidR="00097CC0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yes</w:t>
            </w:r>
            <w:r w:rsidR="001529A6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</w:p>
          <w:p w14:paraId="03283521" w14:textId="77777777" w:rsidR="00097CC0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unsure</w:t>
            </w:r>
          </w:p>
          <w:p w14:paraId="5E0EB424" w14:textId="21F8D448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097CC0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no</w:t>
            </w:r>
          </w:p>
        </w:tc>
        <w:tc>
          <w:tcPr>
            <w:tcW w:w="923" w:type="dxa"/>
          </w:tcPr>
          <w:p w14:paraId="7521B3EC" w14:textId="61F4841A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QI 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easure</w:t>
            </w:r>
          </w:p>
          <w:p w14:paraId="2119EA72" w14:textId="6CC98B13" w:rsidR="00304253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yes</w:t>
            </w:r>
            <w:r w:rsidR="001529A6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</w:p>
          <w:p w14:paraId="1C7B043A" w14:textId="77777777" w:rsidR="00304253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unsure</w:t>
            </w:r>
          </w:p>
          <w:p w14:paraId="290065B0" w14:textId="7C7CD141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no</w:t>
            </w:r>
          </w:p>
        </w:tc>
        <w:tc>
          <w:tcPr>
            <w:tcW w:w="919" w:type="dxa"/>
          </w:tcPr>
          <w:p w14:paraId="0F49DBA5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ICHOM status</w:t>
            </w:r>
          </w:p>
          <w:p w14:paraId="1F7C0017" w14:textId="2296AA9C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t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ier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-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</w:p>
          <w:p w14:paraId="731C4034" w14:textId="0BC263AE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t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ier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-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</w:p>
          <w:p w14:paraId="1DD80088" w14:textId="3B76B692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n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ot included</w:t>
            </w:r>
          </w:p>
          <w:p w14:paraId="02991BC8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</w:p>
        </w:tc>
        <w:tc>
          <w:tcPr>
            <w:tcW w:w="1347" w:type="dxa"/>
          </w:tcPr>
          <w:p w14:paraId="46CB67E0" w14:textId="77777777" w:rsidR="00C453D7" w:rsidRPr="00B87E59" w:rsidRDefault="00C453D7" w:rsidP="000F49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  <w:vertAlign w:val="superscript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Reliability of measurement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  <w:vertAlign w:val="superscript"/>
              </w:rPr>
              <w:t>*</w:t>
            </w:r>
          </w:p>
          <w:p w14:paraId="045CDA44" w14:textId="123BE82C" w:rsidR="00C453D7" w:rsidRPr="00B87E59" w:rsidRDefault="00C453D7" w:rsidP="000570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good</w:t>
            </w:r>
          </w:p>
          <w:p w14:paraId="792E1DAB" w14:textId="7487E586" w:rsidR="00C453D7" w:rsidRPr="00B87E59" w:rsidRDefault="00C453D7" w:rsidP="005649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moderate</w:t>
            </w:r>
          </w:p>
          <w:p w14:paraId="79352772" w14:textId="0B6AB23C" w:rsidR="00C453D7" w:rsidRPr="00B87E59" w:rsidRDefault="00C453D7" w:rsidP="00B128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unsure</w:t>
            </w:r>
          </w:p>
          <w:p w14:paraId="07374A36" w14:textId="373FDDA4" w:rsidR="00C453D7" w:rsidRPr="00B87E59" w:rsidRDefault="00C453D7" w:rsidP="00F35A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poor</w:t>
            </w:r>
          </w:p>
        </w:tc>
        <w:tc>
          <w:tcPr>
            <w:tcW w:w="1211" w:type="dxa"/>
          </w:tcPr>
          <w:p w14:paraId="6F26AE97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Validity of target</w:t>
            </w:r>
          </w:p>
          <w:p w14:paraId="3A04C0CE" w14:textId="705656DC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good</w:t>
            </w:r>
          </w:p>
          <w:p w14:paraId="636572AE" w14:textId="66837679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moderate</w:t>
            </w:r>
          </w:p>
          <w:p w14:paraId="45ED60DE" w14:textId="28A1A3A1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unsure </w:t>
            </w:r>
          </w:p>
          <w:p w14:paraId="3EA9EE74" w14:textId="4CF59FEC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poor</w:t>
            </w:r>
          </w:p>
        </w:tc>
        <w:tc>
          <w:tcPr>
            <w:tcW w:w="1198" w:type="dxa"/>
          </w:tcPr>
          <w:p w14:paraId="182DAEC3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Impact on practice</w:t>
            </w:r>
          </w:p>
          <w:p w14:paraId="5F55F48C" w14:textId="77777777" w:rsidR="00304253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high </w:t>
            </w:r>
          </w:p>
          <w:p w14:paraId="2B96216B" w14:textId="2A4CCCB5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moderate</w:t>
            </w:r>
          </w:p>
          <w:p w14:paraId="398CD0A6" w14:textId="5B784F6F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unsure</w:t>
            </w:r>
          </w:p>
          <w:p w14:paraId="6A2D54C8" w14:textId="6C391610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low</w:t>
            </w:r>
          </w:p>
        </w:tc>
        <w:tc>
          <w:tcPr>
            <w:tcW w:w="1119" w:type="dxa"/>
          </w:tcPr>
          <w:p w14:paraId="681A6CBF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Benefits for consumers</w:t>
            </w:r>
          </w:p>
          <w:p w14:paraId="26DDF1D8" w14:textId="77777777" w:rsidR="00304253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high </w:t>
            </w:r>
          </w:p>
          <w:p w14:paraId="58CAD166" w14:textId="0D2A3272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moderate</w:t>
            </w:r>
          </w:p>
          <w:p w14:paraId="77D0131D" w14:textId="5AACCB6B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unsure</w:t>
            </w:r>
          </w:p>
          <w:p w14:paraId="047A304E" w14:textId="79F58FAB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low</w:t>
            </w:r>
          </w:p>
        </w:tc>
        <w:tc>
          <w:tcPr>
            <w:tcW w:w="1333" w:type="dxa"/>
          </w:tcPr>
          <w:p w14:paraId="5E9BE20C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Adverse unintended consequences</w:t>
            </w:r>
          </w:p>
          <w:p w14:paraId="1D3BCBAA" w14:textId="722A7E59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3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unlikely</w:t>
            </w:r>
          </w:p>
          <w:p w14:paraId="1A01026A" w14:textId="5CC054CB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unsure</w:t>
            </w:r>
          </w:p>
          <w:p w14:paraId="33C66530" w14:textId="66584C0C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1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possible</w:t>
            </w:r>
          </w:p>
          <w:p w14:paraId="5D24C39E" w14:textId="5C6345B9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0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=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probable</w:t>
            </w:r>
          </w:p>
        </w:tc>
        <w:tc>
          <w:tcPr>
            <w:tcW w:w="1087" w:type="dxa"/>
          </w:tcPr>
          <w:p w14:paraId="667174CA" w14:textId="77777777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Total score</w:t>
            </w:r>
          </w:p>
          <w:p w14:paraId="299A54E8" w14:textId="03B89274" w:rsidR="00C453D7" w:rsidRPr="00B87E59" w:rsidRDefault="00C453D7" w:rsidP="00343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(range: 0</w:t>
            </w:r>
            <w:r w:rsidR="00304253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–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24)</w:t>
            </w:r>
          </w:p>
        </w:tc>
      </w:tr>
      <w:tr w:rsidR="00C453D7" w:rsidRPr="005C0B06" w14:paraId="37B30E9E" w14:textId="77777777" w:rsidTr="009D488C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10507D3" w14:textId="77777777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Dialysis</w:t>
            </w:r>
          </w:p>
          <w:p w14:paraId="490A0391" w14:textId="737FC05F" w:rsidR="00C453D7" w:rsidRPr="00B87E59" w:rsidRDefault="00304253" w:rsidP="0005708D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m</w:t>
            </w:r>
            <w:r w:rsidR="00C453D7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ortality (SMR)</w:t>
            </w:r>
          </w:p>
        </w:tc>
        <w:tc>
          <w:tcPr>
            <w:tcW w:w="1239" w:type="dxa"/>
          </w:tcPr>
          <w:p w14:paraId="2037AA51" w14:textId="77777777" w:rsidR="00C453D7" w:rsidRPr="000F4969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3</w:t>
            </w:r>
          </w:p>
        </w:tc>
        <w:tc>
          <w:tcPr>
            <w:tcW w:w="982" w:type="dxa"/>
          </w:tcPr>
          <w:p w14:paraId="128DBAB3" w14:textId="77777777" w:rsidR="00C453D7" w:rsidRPr="0005708D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2</w:t>
            </w:r>
          </w:p>
        </w:tc>
        <w:tc>
          <w:tcPr>
            <w:tcW w:w="923" w:type="dxa"/>
          </w:tcPr>
          <w:p w14:paraId="62400D43" w14:textId="77777777" w:rsidR="00C453D7" w:rsidRPr="004352BE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1</w:t>
            </w:r>
          </w:p>
        </w:tc>
        <w:tc>
          <w:tcPr>
            <w:tcW w:w="919" w:type="dxa"/>
          </w:tcPr>
          <w:p w14:paraId="4E49B1EF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1347" w:type="dxa"/>
          </w:tcPr>
          <w:p w14:paraId="7C3BFB8E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3</w:t>
            </w:r>
          </w:p>
        </w:tc>
        <w:tc>
          <w:tcPr>
            <w:tcW w:w="1211" w:type="dxa"/>
          </w:tcPr>
          <w:p w14:paraId="242E7FB5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1198" w:type="dxa"/>
          </w:tcPr>
          <w:p w14:paraId="26E605D1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1</w:t>
            </w:r>
          </w:p>
        </w:tc>
        <w:tc>
          <w:tcPr>
            <w:tcW w:w="1119" w:type="dxa"/>
          </w:tcPr>
          <w:p w14:paraId="6179EC34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3</w:t>
            </w:r>
          </w:p>
        </w:tc>
        <w:tc>
          <w:tcPr>
            <w:tcW w:w="1333" w:type="dxa"/>
          </w:tcPr>
          <w:p w14:paraId="1D677975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3</w:t>
            </w:r>
          </w:p>
        </w:tc>
        <w:tc>
          <w:tcPr>
            <w:tcW w:w="1087" w:type="dxa"/>
          </w:tcPr>
          <w:p w14:paraId="25AB4CEE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20</w:t>
            </w:r>
          </w:p>
        </w:tc>
      </w:tr>
      <w:tr w:rsidR="00C453D7" w:rsidRPr="005C0B06" w14:paraId="7CB94220" w14:textId="77777777" w:rsidTr="009D488C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6B449A2A" w14:textId="77777777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Haemodialysis</w:t>
            </w:r>
          </w:p>
          <w:p w14:paraId="41DB2422" w14:textId="0703F586" w:rsidR="00C453D7" w:rsidRPr="00B87E59" w:rsidRDefault="00304253" w:rsidP="0005708D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b</w:t>
            </w:r>
            <w:r w:rsidR="00C453D7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loodstream infection</w:t>
            </w:r>
          </w:p>
        </w:tc>
        <w:tc>
          <w:tcPr>
            <w:tcW w:w="1239" w:type="dxa"/>
          </w:tcPr>
          <w:p w14:paraId="0F061554" w14:textId="77777777" w:rsidR="00C453D7" w:rsidRPr="000F4969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3</w:t>
            </w:r>
          </w:p>
        </w:tc>
        <w:tc>
          <w:tcPr>
            <w:tcW w:w="982" w:type="dxa"/>
          </w:tcPr>
          <w:p w14:paraId="776CFD59" w14:textId="77777777" w:rsidR="00C453D7" w:rsidRPr="0005708D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1</w:t>
            </w:r>
          </w:p>
        </w:tc>
        <w:tc>
          <w:tcPr>
            <w:tcW w:w="923" w:type="dxa"/>
          </w:tcPr>
          <w:p w14:paraId="2B402443" w14:textId="77777777" w:rsidR="00C453D7" w:rsidRPr="004352BE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919" w:type="dxa"/>
          </w:tcPr>
          <w:p w14:paraId="56BBEB97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1</w:t>
            </w:r>
          </w:p>
        </w:tc>
        <w:tc>
          <w:tcPr>
            <w:tcW w:w="1347" w:type="dxa"/>
          </w:tcPr>
          <w:p w14:paraId="0249E41D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1211" w:type="dxa"/>
          </w:tcPr>
          <w:p w14:paraId="67C0E15C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1198" w:type="dxa"/>
          </w:tcPr>
          <w:p w14:paraId="6D92626F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1119" w:type="dxa"/>
          </w:tcPr>
          <w:p w14:paraId="23D72F44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3</w:t>
            </w:r>
          </w:p>
        </w:tc>
        <w:tc>
          <w:tcPr>
            <w:tcW w:w="1333" w:type="dxa"/>
          </w:tcPr>
          <w:p w14:paraId="113D0FC2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3</w:t>
            </w:r>
          </w:p>
        </w:tc>
        <w:tc>
          <w:tcPr>
            <w:tcW w:w="1087" w:type="dxa"/>
          </w:tcPr>
          <w:p w14:paraId="6E9246F6" w14:textId="77777777" w:rsidR="00C453D7" w:rsidRPr="004352BE" w:rsidDel="003948F5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19</w:t>
            </w:r>
          </w:p>
        </w:tc>
      </w:tr>
      <w:tr w:rsidR="00C453D7" w:rsidRPr="005C0B06" w14:paraId="1AA5F4F3" w14:textId="77777777" w:rsidTr="009D488C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6A2AC214" w14:textId="77777777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Kidney transplant mortality (SMR)</w:t>
            </w:r>
          </w:p>
        </w:tc>
        <w:tc>
          <w:tcPr>
            <w:tcW w:w="1239" w:type="dxa"/>
          </w:tcPr>
          <w:p w14:paraId="05646E3C" w14:textId="77777777" w:rsidR="00C453D7" w:rsidRPr="000F4969" w:rsidRDefault="00C453D7" w:rsidP="0005708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3</w:t>
            </w:r>
          </w:p>
        </w:tc>
        <w:tc>
          <w:tcPr>
            <w:tcW w:w="982" w:type="dxa"/>
          </w:tcPr>
          <w:p w14:paraId="78E595A9" w14:textId="77777777" w:rsidR="00C453D7" w:rsidRPr="0005708D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2</w:t>
            </w:r>
          </w:p>
        </w:tc>
        <w:tc>
          <w:tcPr>
            <w:tcW w:w="923" w:type="dxa"/>
          </w:tcPr>
          <w:p w14:paraId="1AAB787F" w14:textId="77777777" w:rsidR="00C453D7" w:rsidRPr="004352BE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1</w:t>
            </w:r>
          </w:p>
        </w:tc>
        <w:tc>
          <w:tcPr>
            <w:tcW w:w="919" w:type="dxa"/>
          </w:tcPr>
          <w:p w14:paraId="3F3A5C9B" w14:textId="77777777" w:rsidR="00C453D7" w:rsidRPr="004352BE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1347" w:type="dxa"/>
          </w:tcPr>
          <w:p w14:paraId="3CFF7030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3</w:t>
            </w:r>
          </w:p>
        </w:tc>
        <w:tc>
          <w:tcPr>
            <w:tcW w:w="1211" w:type="dxa"/>
          </w:tcPr>
          <w:p w14:paraId="2E7FBF06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1198" w:type="dxa"/>
          </w:tcPr>
          <w:p w14:paraId="75D01DFF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1119" w:type="dxa"/>
          </w:tcPr>
          <w:p w14:paraId="4C1BB127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3</w:t>
            </w:r>
          </w:p>
        </w:tc>
        <w:tc>
          <w:tcPr>
            <w:tcW w:w="1333" w:type="dxa"/>
          </w:tcPr>
          <w:p w14:paraId="5D680633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1</w:t>
            </w:r>
          </w:p>
        </w:tc>
        <w:tc>
          <w:tcPr>
            <w:tcW w:w="1087" w:type="dxa"/>
          </w:tcPr>
          <w:p w14:paraId="7AC2B4FB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19</w:t>
            </w:r>
          </w:p>
        </w:tc>
      </w:tr>
      <w:tr w:rsidR="00C453D7" w:rsidRPr="005C0B06" w14:paraId="595ED00C" w14:textId="77777777" w:rsidTr="009D488C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6BB2DA2D" w14:textId="77777777" w:rsidR="00C453D7" w:rsidRPr="00B87E59" w:rsidRDefault="00C453D7" w:rsidP="000F4969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Kidney transplant</w:t>
            </w:r>
          </w:p>
          <w:p w14:paraId="4768F0A0" w14:textId="272D799A" w:rsidR="00C453D7" w:rsidRPr="00B87E59" w:rsidRDefault="00304253" w:rsidP="0005708D">
            <w:pPr>
              <w:rPr>
                <w:rFonts w:ascii="VIC SemiBold" w:hAnsi="VIC SemiBold"/>
                <w:b w:val="0"/>
              </w:rPr>
            </w:pP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(r</w:t>
            </w:r>
            <w:r w:rsidR="00C453D7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isk-adjusted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g</w:t>
            </w:r>
            <w:r w:rsidR="00C453D7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 xml:space="preserve">raft 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f</w:t>
            </w:r>
            <w:r w:rsidR="00C453D7"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ailure ratio</w:t>
            </w:r>
            <w:r w:rsidRPr="00B87E59">
              <w:rPr>
                <w:rFonts w:ascii="VIC SemiBold" w:eastAsiaTheme="minorEastAsia" w:hAnsi="VIC SemiBold"/>
                <w:b w:val="0"/>
                <w:sz w:val="20"/>
                <w:szCs w:val="20"/>
              </w:rPr>
              <w:t>)</w:t>
            </w:r>
          </w:p>
        </w:tc>
        <w:tc>
          <w:tcPr>
            <w:tcW w:w="1239" w:type="dxa"/>
          </w:tcPr>
          <w:p w14:paraId="1FE402C4" w14:textId="77777777" w:rsidR="00C453D7" w:rsidRPr="000F4969" w:rsidRDefault="00C453D7" w:rsidP="00564975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4969">
              <w:t>2</w:t>
            </w:r>
          </w:p>
        </w:tc>
        <w:tc>
          <w:tcPr>
            <w:tcW w:w="982" w:type="dxa"/>
          </w:tcPr>
          <w:p w14:paraId="094AEE7A" w14:textId="77777777" w:rsidR="00C453D7" w:rsidRPr="004352BE" w:rsidRDefault="00C453D7" w:rsidP="00B128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708D">
              <w:t>2</w:t>
            </w:r>
          </w:p>
        </w:tc>
        <w:tc>
          <w:tcPr>
            <w:tcW w:w="923" w:type="dxa"/>
          </w:tcPr>
          <w:p w14:paraId="1AAB668F" w14:textId="77777777" w:rsidR="00C453D7" w:rsidRPr="004352BE" w:rsidRDefault="00C453D7" w:rsidP="00F35A1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919" w:type="dxa"/>
          </w:tcPr>
          <w:p w14:paraId="3C8A442E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1347" w:type="dxa"/>
          </w:tcPr>
          <w:p w14:paraId="1F667673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3</w:t>
            </w:r>
          </w:p>
        </w:tc>
        <w:tc>
          <w:tcPr>
            <w:tcW w:w="1211" w:type="dxa"/>
          </w:tcPr>
          <w:p w14:paraId="38DAD62C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1198" w:type="dxa"/>
          </w:tcPr>
          <w:p w14:paraId="3E5718E5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2</w:t>
            </w:r>
          </w:p>
        </w:tc>
        <w:tc>
          <w:tcPr>
            <w:tcW w:w="1119" w:type="dxa"/>
          </w:tcPr>
          <w:p w14:paraId="2E62EAE6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3</w:t>
            </w:r>
          </w:p>
        </w:tc>
        <w:tc>
          <w:tcPr>
            <w:tcW w:w="1333" w:type="dxa"/>
          </w:tcPr>
          <w:p w14:paraId="23DA4E00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1</w:t>
            </w:r>
          </w:p>
        </w:tc>
        <w:tc>
          <w:tcPr>
            <w:tcW w:w="1087" w:type="dxa"/>
          </w:tcPr>
          <w:p w14:paraId="08EF24AE" w14:textId="77777777" w:rsidR="00C453D7" w:rsidRPr="004352BE" w:rsidRDefault="00C453D7" w:rsidP="00343A2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52BE">
              <w:t>19</w:t>
            </w:r>
          </w:p>
        </w:tc>
      </w:tr>
    </w:tbl>
    <w:p w14:paraId="256035FA" w14:textId="77777777" w:rsidR="00C453D7" w:rsidRDefault="00C453D7" w:rsidP="00343A2D">
      <w:pPr>
        <w:sectPr w:rsidR="00C453D7" w:rsidSect="00C453D7">
          <w:pgSz w:w="16838" w:h="11906" w:orient="landscape" w:code="9"/>
          <w:pgMar w:top="851" w:right="3402" w:bottom="851" w:left="1361" w:header="539" w:footer="624" w:gutter="0"/>
          <w:cols w:space="284"/>
          <w:docGrid w:linePitch="360"/>
        </w:sectPr>
      </w:pPr>
    </w:p>
    <w:p w14:paraId="77037496" w14:textId="3BDC39A9" w:rsidR="00C453D7" w:rsidRPr="000F4969" w:rsidRDefault="00C453D7" w:rsidP="000F4969">
      <w:pPr>
        <w:pStyle w:val="Heading2"/>
      </w:pPr>
      <w:bookmarkStart w:id="117" w:name="_Toc8637292"/>
      <w:bookmarkStart w:id="118" w:name="_Toc10460730"/>
      <w:r w:rsidRPr="000F4969">
        <w:lastRenderedPageBreak/>
        <w:t>Appendix 5: Acknowledgement</w:t>
      </w:r>
      <w:bookmarkEnd w:id="117"/>
      <w:r w:rsidR="00536695" w:rsidRPr="0005708D">
        <w:t>s</w:t>
      </w:r>
      <w:bookmarkEnd w:id="118"/>
    </w:p>
    <w:p w14:paraId="5A9C843E" w14:textId="1847EAF8" w:rsidR="00C453D7" w:rsidRPr="004352BE" w:rsidRDefault="00440F01" w:rsidP="00343A2D">
      <w:pPr>
        <w:pStyle w:val="Normalfollowingheading"/>
      </w:pPr>
      <w:r w:rsidRPr="004352BE">
        <w:t xml:space="preserve">Thank you to Associate Professor </w:t>
      </w:r>
      <w:r w:rsidR="00C453D7" w:rsidRPr="004352BE">
        <w:t xml:space="preserve">Peter Mount (Clinical Lead) </w:t>
      </w:r>
      <w:r w:rsidRPr="004352BE">
        <w:t>and the R</w:t>
      </w:r>
      <w:r w:rsidR="00E03123">
        <w:t>enal Clinical Network</w:t>
      </w:r>
      <w:r w:rsidRPr="0005708D">
        <w:t xml:space="preserve"> </w:t>
      </w:r>
      <w:r w:rsidR="00C453D7" w:rsidRPr="004352BE">
        <w:t xml:space="preserve">Governance and </w:t>
      </w:r>
      <w:r w:rsidRPr="004352BE">
        <w:t xml:space="preserve">Insight </w:t>
      </w:r>
      <w:r w:rsidR="00C453D7" w:rsidRPr="004352BE">
        <w:t>committee</w:t>
      </w:r>
      <w:r w:rsidRPr="004352BE">
        <w:t xml:space="preserve"> members</w:t>
      </w:r>
      <w:r w:rsidR="00C453D7" w:rsidRPr="004352BE">
        <w:t xml:space="preserve"> </w:t>
      </w:r>
      <w:r w:rsidRPr="004352BE">
        <w:t xml:space="preserve">for their contribution to this report. </w:t>
      </w:r>
    </w:p>
    <w:p w14:paraId="72901FF0" w14:textId="1D9308D9" w:rsidR="00440F01" w:rsidRPr="004352BE" w:rsidRDefault="00440F01">
      <w:r w:rsidRPr="004352BE">
        <w:t>We</w:t>
      </w:r>
      <w:r w:rsidR="00C453D7" w:rsidRPr="004352BE">
        <w:t xml:space="preserve"> would </w:t>
      </w:r>
      <w:r w:rsidRPr="004352BE">
        <w:t xml:space="preserve">also </w:t>
      </w:r>
      <w:r w:rsidR="00C453D7" w:rsidRPr="004352BE">
        <w:t>like to acknowledge all those who completed the KPI review survey</w:t>
      </w:r>
      <w:r w:rsidR="00E46D39">
        <w:t xml:space="preserve"> (including the h</w:t>
      </w:r>
      <w:r w:rsidR="00E46D39" w:rsidRPr="00E46D39">
        <w:t xml:space="preserve">eads of Victorian </w:t>
      </w:r>
      <w:proofErr w:type="spellStart"/>
      <w:r w:rsidR="00E46D39" w:rsidRPr="00E46D39">
        <w:t>renal</w:t>
      </w:r>
      <w:proofErr w:type="spellEnd"/>
      <w:r w:rsidR="00E46D39" w:rsidRPr="00E46D39">
        <w:t xml:space="preserve"> units</w:t>
      </w:r>
      <w:r w:rsidR="00E46D39">
        <w:t xml:space="preserve"> and </w:t>
      </w:r>
      <w:r w:rsidR="000C09EE">
        <w:t xml:space="preserve">our committees) </w:t>
      </w:r>
      <w:r w:rsidR="006853B1" w:rsidRPr="004352BE">
        <w:t xml:space="preserve">and </w:t>
      </w:r>
      <w:r w:rsidR="000C09EE">
        <w:t xml:space="preserve">those who </w:t>
      </w:r>
      <w:r w:rsidR="006853B1" w:rsidRPr="004352BE">
        <w:t xml:space="preserve">contributed to </w:t>
      </w:r>
      <w:r w:rsidR="00D056CD">
        <w:t>writing the</w:t>
      </w:r>
      <w:r w:rsidR="00F03E0F">
        <w:t xml:space="preserve"> review report</w:t>
      </w:r>
      <w:r w:rsidR="00D056CD">
        <w:t xml:space="preserve">. Thanks also to those who </w:t>
      </w:r>
      <w:r w:rsidR="00F03E0F">
        <w:t>presented at the</w:t>
      </w:r>
      <w:r w:rsidR="006853B1" w:rsidRPr="004352BE">
        <w:t xml:space="preserve"> 2019 leadership forum</w:t>
      </w:r>
      <w:r w:rsidR="00C453D7" w:rsidRPr="004352BE">
        <w:t xml:space="preserve"> including</w:t>
      </w:r>
      <w:r w:rsidRPr="004352BE">
        <w:t>:</w:t>
      </w:r>
    </w:p>
    <w:p w14:paraId="3EBA4A75" w14:textId="4F229613" w:rsidR="006853B1" w:rsidRPr="00343A2D" w:rsidRDefault="00C453D7" w:rsidP="000F4969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Mr Daniel Ussher (KPI</w:t>
      </w:r>
      <w:r w:rsidR="00B1282F">
        <w:rPr>
          <w:rFonts w:ascii="VIC" w:hAnsi="VIC"/>
        </w:rPr>
        <w:t xml:space="preserve"> </w:t>
      </w:r>
      <w:r w:rsidRPr="00343A2D">
        <w:rPr>
          <w:rFonts w:ascii="VIC" w:hAnsi="VIC"/>
        </w:rPr>
        <w:t>1 and 1a)</w:t>
      </w:r>
    </w:p>
    <w:p w14:paraId="2A54FD1E" w14:textId="7CE4366F" w:rsidR="006853B1" w:rsidRPr="00343A2D" w:rsidRDefault="00C453D7" w:rsidP="0005708D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Professor Kevan Polkinghorne (KPI</w:t>
      </w:r>
      <w:r w:rsidR="00B1282F">
        <w:rPr>
          <w:rFonts w:ascii="VIC" w:hAnsi="VIC"/>
        </w:rPr>
        <w:t xml:space="preserve"> </w:t>
      </w:r>
      <w:r w:rsidRPr="00343A2D">
        <w:rPr>
          <w:rFonts w:ascii="VIC" w:hAnsi="VIC"/>
        </w:rPr>
        <w:t>2)</w:t>
      </w:r>
    </w:p>
    <w:p w14:paraId="3B7F4865" w14:textId="5A0930DE" w:rsidR="006853B1" w:rsidRPr="00343A2D" w:rsidRDefault="00C453D7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Dr Timothy </w:t>
      </w:r>
      <w:proofErr w:type="spellStart"/>
      <w:r w:rsidRPr="00343A2D">
        <w:rPr>
          <w:rFonts w:ascii="VIC" w:hAnsi="VIC"/>
        </w:rPr>
        <w:t>Pianta</w:t>
      </w:r>
      <w:proofErr w:type="spellEnd"/>
      <w:r w:rsidRPr="00343A2D">
        <w:rPr>
          <w:rFonts w:ascii="VIC" w:hAnsi="VIC"/>
        </w:rPr>
        <w:t xml:space="preserve"> (KPI</w:t>
      </w:r>
      <w:r w:rsidR="00B1282F">
        <w:rPr>
          <w:rFonts w:ascii="VIC" w:hAnsi="VIC"/>
        </w:rPr>
        <w:t xml:space="preserve"> </w:t>
      </w:r>
      <w:r w:rsidRPr="00343A2D">
        <w:rPr>
          <w:rFonts w:ascii="VIC" w:hAnsi="VIC"/>
        </w:rPr>
        <w:t>3)</w:t>
      </w:r>
    </w:p>
    <w:p w14:paraId="68DEB083" w14:textId="2DA487E5" w:rsidR="006853B1" w:rsidRPr="00343A2D" w:rsidRDefault="00C453D7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Ms Nuala Barker (KPI</w:t>
      </w:r>
      <w:r w:rsidR="00B1282F">
        <w:rPr>
          <w:rFonts w:ascii="VIC" w:hAnsi="VIC"/>
        </w:rPr>
        <w:t xml:space="preserve"> </w:t>
      </w:r>
      <w:r w:rsidRPr="00343A2D">
        <w:rPr>
          <w:rFonts w:ascii="VIC" w:hAnsi="VIC"/>
        </w:rPr>
        <w:t>4)</w:t>
      </w:r>
    </w:p>
    <w:p w14:paraId="3DDE594D" w14:textId="1BFE2E77" w:rsidR="006853B1" w:rsidRPr="00343A2D" w:rsidRDefault="00C453D7">
      <w:pPr>
        <w:pStyle w:val="Bullet1"/>
        <w:rPr>
          <w:rFonts w:ascii="VIC" w:hAnsi="VIC"/>
        </w:rPr>
      </w:pPr>
      <w:r w:rsidRPr="00343A2D">
        <w:rPr>
          <w:rFonts w:ascii="VIC" w:hAnsi="VIC"/>
        </w:rPr>
        <w:t xml:space="preserve">Dr David </w:t>
      </w:r>
      <w:proofErr w:type="spellStart"/>
      <w:r w:rsidRPr="00343A2D">
        <w:rPr>
          <w:rFonts w:ascii="VIC" w:hAnsi="VIC"/>
        </w:rPr>
        <w:t>Langsford</w:t>
      </w:r>
      <w:proofErr w:type="spellEnd"/>
      <w:r w:rsidRPr="00343A2D">
        <w:rPr>
          <w:rFonts w:ascii="VIC" w:hAnsi="VIC"/>
        </w:rPr>
        <w:t xml:space="preserve"> (KPI</w:t>
      </w:r>
      <w:r w:rsidR="00B1282F">
        <w:rPr>
          <w:rFonts w:ascii="VIC" w:hAnsi="VIC"/>
        </w:rPr>
        <w:t xml:space="preserve"> </w:t>
      </w:r>
      <w:r w:rsidRPr="00343A2D">
        <w:rPr>
          <w:rFonts w:ascii="VIC" w:hAnsi="VIC"/>
        </w:rPr>
        <w:t>5)</w:t>
      </w:r>
    </w:p>
    <w:p w14:paraId="00E2514B" w14:textId="01494FA5" w:rsidR="006853B1" w:rsidRPr="00343A2D" w:rsidRDefault="00C453D7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Associate Professor Bill Mulley (KPI</w:t>
      </w:r>
      <w:r w:rsidR="00B1282F">
        <w:rPr>
          <w:rFonts w:ascii="VIC" w:hAnsi="VIC"/>
        </w:rPr>
        <w:t xml:space="preserve"> </w:t>
      </w:r>
      <w:r w:rsidRPr="00343A2D">
        <w:rPr>
          <w:rFonts w:ascii="VIC" w:hAnsi="VIC"/>
        </w:rPr>
        <w:t>6)</w:t>
      </w:r>
    </w:p>
    <w:p w14:paraId="65B4D6F1" w14:textId="74811A32" w:rsidR="006853B1" w:rsidRPr="00343A2D" w:rsidRDefault="00C453D7">
      <w:pPr>
        <w:pStyle w:val="Bullet1"/>
        <w:rPr>
          <w:rFonts w:ascii="VIC" w:hAnsi="VIC"/>
        </w:rPr>
      </w:pPr>
      <w:r w:rsidRPr="00343A2D">
        <w:rPr>
          <w:rFonts w:ascii="VIC" w:hAnsi="VIC"/>
        </w:rPr>
        <w:t>Associate Professor Matthew Roberts (ANZDATA)</w:t>
      </w:r>
    </w:p>
    <w:p w14:paraId="418A3223" w14:textId="2A3700D1" w:rsidR="00C453D7" w:rsidRDefault="00C453D7">
      <w:pPr>
        <w:pStyle w:val="Bullet1"/>
      </w:pPr>
      <w:r w:rsidRPr="00343A2D">
        <w:rPr>
          <w:rFonts w:ascii="VIC" w:hAnsi="VIC"/>
        </w:rPr>
        <w:t>Associate Professor Nigel Toussaint (PROMs and PREMs)</w:t>
      </w:r>
    </w:p>
    <w:p w14:paraId="6DB24CF7" w14:textId="77777777" w:rsidR="00282C51" w:rsidRDefault="00282C51" w:rsidP="00343A2D">
      <w:pPr>
        <w:rPr>
          <w:rFonts w:asciiTheme="majorHAnsi" w:eastAsiaTheme="majorEastAsia" w:hAnsiTheme="majorHAnsi" w:cstheme="majorBidi"/>
          <w:color w:val="007586" w:themeColor="text2"/>
          <w:sz w:val="24"/>
          <w:szCs w:val="26"/>
        </w:rPr>
      </w:pPr>
      <w:bookmarkStart w:id="119" w:name="_Toc8637294"/>
      <w:r>
        <w:br w:type="page"/>
      </w:r>
    </w:p>
    <w:p w14:paraId="6C3FA147" w14:textId="5E455624" w:rsidR="00C453D7" w:rsidRPr="00343A2D" w:rsidRDefault="00C453D7">
      <w:pPr>
        <w:pStyle w:val="Heading2"/>
        <w:rPr>
          <w:rStyle w:val="Heading2Char"/>
          <w:bCs/>
          <w:caps/>
        </w:rPr>
      </w:pPr>
      <w:bookmarkStart w:id="120" w:name="_Toc10460731"/>
      <w:r w:rsidRPr="000F4969">
        <w:lastRenderedPageBreak/>
        <w:t xml:space="preserve">Appendix 6: </w:t>
      </w:r>
      <w:r w:rsidRPr="00343A2D">
        <w:rPr>
          <w:rStyle w:val="Heading2Char"/>
          <w:bCs/>
          <w:caps/>
        </w:rPr>
        <w:t xml:space="preserve">The International Consortium for Health Outcomes Measurement </w:t>
      </w:r>
      <w:r w:rsidR="0086174B">
        <w:rPr>
          <w:rStyle w:val="Heading2Char"/>
          <w:bCs/>
          <w:caps/>
        </w:rPr>
        <w:t xml:space="preserve">(ICHOM) </w:t>
      </w:r>
      <w:r w:rsidRPr="00343A2D">
        <w:rPr>
          <w:rStyle w:val="Heading2Char"/>
          <w:bCs/>
          <w:caps/>
        </w:rPr>
        <w:t>for chronic kidney disease</w:t>
      </w:r>
      <w:bookmarkEnd w:id="120"/>
    </w:p>
    <w:p w14:paraId="601B233E" w14:textId="7199E27D" w:rsidR="00C453D7" w:rsidRPr="004352BE" w:rsidRDefault="00C453D7">
      <w:pPr>
        <w:rPr>
          <w:vertAlign w:val="superscript"/>
        </w:rPr>
      </w:pPr>
      <w:r w:rsidRPr="000F4969">
        <w:t>The ICHOM for chronic kidney disease define</w:t>
      </w:r>
      <w:r w:rsidR="0094588B" w:rsidRPr="0005708D">
        <w:t>s</w:t>
      </w:r>
      <w:r w:rsidRPr="004352BE">
        <w:t xml:space="preserve"> a set of essential (</w:t>
      </w:r>
      <w:r w:rsidR="00175D35" w:rsidRPr="004352BE">
        <w:t>t</w:t>
      </w:r>
      <w:r w:rsidRPr="004352BE">
        <w:t>ier-1) and important (</w:t>
      </w:r>
      <w:r w:rsidR="00175D35" w:rsidRPr="004352BE">
        <w:t>t</w:t>
      </w:r>
      <w:r w:rsidRPr="004352BE">
        <w:t>ier-2) outcomes.</w:t>
      </w:r>
      <w:r w:rsidRPr="004352BE">
        <w:rPr>
          <w:vertAlign w:val="superscript"/>
        </w:rPr>
        <w:t>1</w:t>
      </w:r>
    </w:p>
    <w:p w14:paraId="0C23E482" w14:textId="77777777" w:rsidR="00F33DB6" w:rsidRPr="00343A2D" w:rsidRDefault="00F33DB6" w:rsidP="00F33DB6">
      <w:pPr>
        <w:pStyle w:val="Tablechartdiagramheading"/>
        <w:rPr>
          <w:rFonts w:ascii="VIC SemiBold" w:hAnsi="VIC SemiBold"/>
          <w:b w:val="0"/>
        </w:rPr>
      </w:pPr>
      <w:r w:rsidRPr="00343A2D">
        <w:rPr>
          <w:rFonts w:ascii="VIC SemiBold" w:hAnsi="VIC SemiBold"/>
          <w:b w:val="0"/>
        </w:rPr>
        <w:t>Tier 1: Essential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2"/>
        <w:gridCol w:w="2217"/>
        <w:gridCol w:w="4204"/>
      </w:tblGrid>
      <w:tr w:rsidR="00C453D7" w:rsidRPr="004352BE" w14:paraId="71A373A3" w14:textId="77777777" w:rsidTr="00F33D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</w:tcPr>
          <w:p w14:paraId="580200AE" w14:textId="77777777" w:rsidR="00C453D7" w:rsidRPr="00B87E59" w:rsidRDefault="00C453D7" w:rsidP="000F4969">
            <w:pPr>
              <w:pStyle w:val="Tableheader"/>
              <w:rPr>
                <w:rFonts w:ascii="VIC SemiBold" w:hAnsi="VIC SemiBold"/>
                <w:sz w:val="18"/>
                <w:szCs w:val="18"/>
              </w:rPr>
            </w:pPr>
            <w:r w:rsidRPr="00B87E59">
              <w:rPr>
                <w:rFonts w:ascii="VIC SemiBold" w:hAnsi="VIC SemiBold"/>
                <w:sz w:val="18"/>
                <w:szCs w:val="18"/>
              </w:rPr>
              <w:t xml:space="preserve">Burden of </w:t>
            </w:r>
            <w:r w:rsidR="00F33DB6" w:rsidRPr="00B87E59">
              <w:rPr>
                <w:rFonts w:ascii="VIC SemiBold" w:hAnsi="VIC SemiBold"/>
                <w:sz w:val="18"/>
                <w:szCs w:val="18"/>
              </w:rPr>
              <w:t>c</w:t>
            </w:r>
            <w:r w:rsidRPr="00B87E59">
              <w:rPr>
                <w:rFonts w:ascii="VIC SemiBold" w:hAnsi="VIC SemiBold"/>
                <w:sz w:val="18"/>
                <w:szCs w:val="18"/>
              </w:rPr>
              <w:t>are</w:t>
            </w:r>
          </w:p>
        </w:tc>
        <w:tc>
          <w:tcPr>
            <w:tcW w:w="2217" w:type="dxa"/>
          </w:tcPr>
          <w:p w14:paraId="5FE0E88D" w14:textId="77777777" w:rsidR="00C453D7" w:rsidRPr="00B87E59" w:rsidRDefault="00C453D7" w:rsidP="0005708D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sz w:val="18"/>
                <w:szCs w:val="18"/>
              </w:rPr>
            </w:pPr>
            <w:r w:rsidRPr="00B87E59">
              <w:rPr>
                <w:rFonts w:ascii="VIC SemiBold" w:hAnsi="VIC SemiBold"/>
                <w:sz w:val="18"/>
                <w:szCs w:val="18"/>
              </w:rPr>
              <w:t>PROMs</w:t>
            </w:r>
          </w:p>
        </w:tc>
        <w:tc>
          <w:tcPr>
            <w:tcW w:w="4204" w:type="dxa"/>
          </w:tcPr>
          <w:p w14:paraId="52466527" w14:textId="77777777" w:rsidR="00C453D7" w:rsidRPr="00B87E59" w:rsidRDefault="00C453D7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IC SemiBold" w:hAnsi="VIC SemiBold"/>
                <w:sz w:val="18"/>
                <w:szCs w:val="18"/>
              </w:rPr>
            </w:pPr>
            <w:r w:rsidRPr="00B87E59">
              <w:rPr>
                <w:rFonts w:ascii="VIC SemiBold" w:hAnsi="VIC SemiBold"/>
                <w:sz w:val="18"/>
                <w:szCs w:val="18"/>
              </w:rPr>
              <w:t>Treatment-specific</w:t>
            </w:r>
          </w:p>
        </w:tc>
      </w:tr>
      <w:tr w:rsidR="00C453D7" w:rsidRPr="004352BE" w14:paraId="6CA126A9" w14:textId="77777777" w:rsidTr="00282C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</w:tcPr>
          <w:p w14:paraId="269838B1" w14:textId="77777777" w:rsidR="00C453D7" w:rsidRPr="00B87E59" w:rsidRDefault="00C453D7" w:rsidP="000F4969">
            <w:pPr>
              <w:pStyle w:val="Tablebullet"/>
              <w:rPr>
                <w:b w:val="0"/>
                <w:sz w:val="18"/>
                <w:szCs w:val="18"/>
              </w:rPr>
            </w:pPr>
            <w:r w:rsidRPr="00B87E59">
              <w:rPr>
                <w:b w:val="0"/>
                <w:sz w:val="18"/>
                <w:szCs w:val="18"/>
              </w:rPr>
              <w:t>Survival</w:t>
            </w:r>
          </w:p>
          <w:p w14:paraId="38C3972C" w14:textId="77777777" w:rsidR="00C453D7" w:rsidRPr="00B87E59" w:rsidRDefault="00C453D7" w:rsidP="0005708D">
            <w:pPr>
              <w:pStyle w:val="Tablebullet"/>
              <w:rPr>
                <w:b w:val="0"/>
                <w:sz w:val="18"/>
                <w:szCs w:val="18"/>
              </w:rPr>
            </w:pPr>
            <w:r w:rsidRPr="00B87E59">
              <w:rPr>
                <w:b w:val="0"/>
                <w:sz w:val="18"/>
                <w:szCs w:val="18"/>
              </w:rPr>
              <w:t>Hospitalisation</w:t>
            </w:r>
          </w:p>
          <w:p w14:paraId="428B47A7" w14:textId="77777777" w:rsidR="00C453D7" w:rsidRPr="00B87E59" w:rsidRDefault="00C453D7">
            <w:pPr>
              <w:pStyle w:val="Tablebullet"/>
              <w:rPr>
                <w:b w:val="0"/>
                <w:sz w:val="18"/>
                <w:szCs w:val="18"/>
              </w:rPr>
            </w:pPr>
            <w:r w:rsidRPr="00B87E59">
              <w:rPr>
                <w:b w:val="0"/>
                <w:sz w:val="18"/>
                <w:szCs w:val="18"/>
              </w:rPr>
              <w:t>Cardiovascular events</w:t>
            </w:r>
          </w:p>
          <w:p w14:paraId="7448B53F" w14:textId="77777777" w:rsidR="00C453D7" w:rsidRPr="00B87E59" w:rsidRDefault="00C453D7" w:rsidP="009D488C">
            <w:pPr>
              <w:pStyle w:val="Default"/>
              <w:rPr>
                <w:rFonts w:ascii="VIC" w:hAnsi="VIC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217" w:type="dxa"/>
          </w:tcPr>
          <w:p w14:paraId="245E1B17" w14:textId="77777777" w:rsidR="00C453D7" w:rsidRPr="00B87E59" w:rsidRDefault="00C453D7" w:rsidP="000F4969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Health-related quality of life</w:t>
            </w:r>
          </w:p>
          <w:p w14:paraId="4941F5BB" w14:textId="77777777" w:rsidR="00C453D7" w:rsidRPr="00B87E59" w:rsidRDefault="00C453D7" w:rsidP="0005708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Pain</w:t>
            </w:r>
          </w:p>
          <w:p w14:paraId="027CDF81" w14:textId="77777777" w:rsidR="00C453D7" w:rsidRPr="00B87E59" w:rsidRDefault="00C453D7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Fatigue</w:t>
            </w:r>
          </w:p>
          <w:p w14:paraId="0B96FFCE" w14:textId="77777777" w:rsidR="00C453D7" w:rsidRPr="00B87E59" w:rsidRDefault="00C453D7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Physical function</w:t>
            </w:r>
          </w:p>
          <w:p w14:paraId="3AE02E32" w14:textId="77777777" w:rsidR="00C453D7" w:rsidRPr="00B87E59" w:rsidRDefault="00C453D7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Daily activity</w:t>
            </w:r>
          </w:p>
          <w:p w14:paraId="45591304" w14:textId="77777777" w:rsidR="00C453D7" w:rsidRPr="00B87E59" w:rsidRDefault="00C453D7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Depression</w:t>
            </w:r>
          </w:p>
        </w:tc>
        <w:tc>
          <w:tcPr>
            <w:tcW w:w="4204" w:type="dxa"/>
          </w:tcPr>
          <w:p w14:paraId="053B495D" w14:textId="77777777" w:rsidR="00C453D7" w:rsidRPr="00B87E59" w:rsidRDefault="00C453D7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Malignancy</w:t>
            </w:r>
          </w:p>
          <w:p w14:paraId="4E7A1E25" w14:textId="64FAD4EB" w:rsidR="00C453D7" w:rsidRPr="00B87E59" w:rsidRDefault="00C453D7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Renal function</w:t>
            </w:r>
            <w:r w:rsidR="004D330A" w:rsidRPr="00B87E59">
              <w:rPr>
                <w:sz w:val="18"/>
                <w:szCs w:val="18"/>
              </w:rPr>
              <w:t xml:space="preserve"> </w:t>
            </w:r>
            <w:r w:rsidR="002B0396" w:rsidRPr="00B87E59">
              <w:rPr>
                <w:sz w:val="18"/>
                <w:szCs w:val="18"/>
              </w:rPr>
              <w:t>(</w:t>
            </w:r>
            <w:r w:rsidR="004D330A" w:rsidRPr="00B87E59">
              <w:rPr>
                <w:sz w:val="18"/>
                <w:szCs w:val="18"/>
              </w:rPr>
              <w:t>estimated glomerular filtration rate</w:t>
            </w:r>
            <w:r w:rsidR="002B0396" w:rsidRPr="00B87E59">
              <w:rPr>
                <w:sz w:val="18"/>
                <w:szCs w:val="18"/>
              </w:rPr>
              <w:t>)</w:t>
            </w:r>
          </w:p>
          <w:p w14:paraId="3DE35579" w14:textId="77777777" w:rsidR="00C453D7" w:rsidRPr="00B87E59" w:rsidRDefault="00C453D7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Vascular access survival</w:t>
            </w:r>
          </w:p>
          <w:p w14:paraId="5552C93D" w14:textId="0D691A71" w:rsidR="00C453D7" w:rsidRPr="00B87E59" w:rsidRDefault="00175D35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Peritoneal dialysis</w:t>
            </w:r>
            <w:r w:rsidRPr="00B87E59" w:rsidDel="00175D35">
              <w:rPr>
                <w:sz w:val="18"/>
                <w:szCs w:val="18"/>
              </w:rPr>
              <w:t xml:space="preserve"> </w:t>
            </w:r>
            <w:r w:rsidR="00C453D7" w:rsidRPr="00B87E59">
              <w:rPr>
                <w:sz w:val="18"/>
                <w:szCs w:val="18"/>
              </w:rPr>
              <w:t>modality survival</w:t>
            </w:r>
          </w:p>
          <w:p w14:paraId="63FF1189" w14:textId="77777777" w:rsidR="00C453D7" w:rsidRPr="00B87E59" w:rsidRDefault="00C453D7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Kidney allograft function</w:t>
            </w:r>
          </w:p>
          <w:p w14:paraId="4B508F95" w14:textId="77777777" w:rsidR="00C453D7" w:rsidRPr="00B87E59" w:rsidRDefault="00C453D7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87E59">
              <w:rPr>
                <w:sz w:val="18"/>
                <w:szCs w:val="18"/>
              </w:rPr>
              <w:t>Kidney allograft survival</w:t>
            </w:r>
          </w:p>
        </w:tc>
      </w:tr>
    </w:tbl>
    <w:p w14:paraId="7D5511EF" w14:textId="77777777" w:rsidR="00F33DB6" w:rsidRPr="00343A2D" w:rsidRDefault="00F33DB6" w:rsidP="00F33DB6">
      <w:pPr>
        <w:pStyle w:val="Tablechartdiagramheading"/>
        <w:rPr>
          <w:rFonts w:ascii="VIC SemiBold" w:hAnsi="VIC SemiBold"/>
          <w:b w:val="0"/>
        </w:rPr>
      </w:pPr>
      <w:r w:rsidRPr="00343A2D">
        <w:rPr>
          <w:rFonts w:ascii="VIC SemiBold" w:hAnsi="VIC SemiBold"/>
          <w:b w:val="0"/>
        </w:rPr>
        <w:t>Tier 2: Important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73"/>
      </w:tblGrid>
      <w:tr w:rsidR="00C453D7" w:rsidRPr="004352BE" w14:paraId="1E2A2FAC" w14:textId="77777777" w:rsidTr="00F33D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3" w:type="dxa"/>
          </w:tcPr>
          <w:p w14:paraId="439DF76F" w14:textId="77777777" w:rsidR="00C453D7" w:rsidRPr="00B87E59" w:rsidRDefault="00C453D7" w:rsidP="000F4969">
            <w:pPr>
              <w:pStyle w:val="Tableheader"/>
              <w:rPr>
                <w:rFonts w:ascii="VIC SemiBold" w:hAnsi="VIC SemiBold"/>
                <w:sz w:val="18"/>
              </w:rPr>
            </w:pPr>
            <w:r w:rsidRPr="00B87E59">
              <w:rPr>
                <w:rFonts w:ascii="VIC SemiBold" w:hAnsi="VIC SemiBold"/>
                <w:sz w:val="18"/>
              </w:rPr>
              <w:t>Treatment-specific</w:t>
            </w:r>
          </w:p>
        </w:tc>
      </w:tr>
      <w:tr w:rsidR="00C453D7" w:rsidRPr="004352BE" w14:paraId="2B8DBC3F" w14:textId="77777777" w:rsidTr="00282C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3" w:type="dxa"/>
          </w:tcPr>
          <w:p w14:paraId="5373A4DD" w14:textId="77777777" w:rsidR="00C453D7" w:rsidRPr="00B87E59" w:rsidRDefault="00C453D7" w:rsidP="000F4969">
            <w:pPr>
              <w:pStyle w:val="Tablebullet"/>
              <w:rPr>
                <w:b w:val="0"/>
                <w:sz w:val="18"/>
              </w:rPr>
            </w:pPr>
            <w:r w:rsidRPr="00B87E59">
              <w:rPr>
                <w:b w:val="0"/>
                <w:sz w:val="18"/>
              </w:rPr>
              <w:t>Bacteraemia</w:t>
            </w:r>
          </w:p>
          <w:p w14:paraId="168881C9" w14:textId="77777777" w:rsidR="00C453D7" w:rsidRPr="00B87E59" w:rsidRDefault="00C453D7" w:rsidP="0005708D">
            <w:pPr>
              <w:pStyle w:val="Tablebullet"/>
              <w:rPr>
                <w:b w:val="0"/>
                <w:sz w:val="18"/>
              </w:rPr>
            </w:pPr>
            <w:r w:rsidRPr="00B87E59">
              <w:rPr>
                <w:b w:val="0"/>
                <w:sz w:val="18"/>
              </w:rPr>
              <w:t>Albuminuria</w:t>
            </w:r>
          </w:p>
          <w:p w14:paraId="0DE7CB26" w14:textId="77777777" w:rsidR="00C453D7" w:rsidRPr="00B87E59" w:rsidRDefault="00C453D7">
            <w:pPr>
              <w:pStyle w:val="Tablebullet"/>
              <w:rPr>
                <w:b w:val="0"/>
                <w:sz w:val="18"/>
              </w:rPr>
            </w:pPr>
            <w:r w:rsidRPr="00B87E59">
              <w:rPr>
                <w:b w:val="0"/>
                <w:sz w:val="18"/>
              </w:rPr>
              <w:t>Peritonitis</w:t>
            </w:r>
          </w:p>
          <w:p w14:paraId="10691D17" w14:textId="77777777" w:rsidR="00C453D7" w:rsidRPr="00B87E59" w:rsidRDefault="00C453D7">
            <w:pPr>
              <w:pStyle w:val="Tablebullet"/>
              <w:rPr>
                <w:rFonts w:ascii="VIC SemiBold" w:hAnsi="VIC SemiBold"/>
                <w:b w:val="0"/>
                <w:sz w:val="18"/>
              </w:rPr>
            </w:pPr>
            <w:r w:rsidRPr="00B87E59">
              <w:rPr>
                <w:b w:val="0"/>
                <w:sz w:val="18"/>
              </w:rPr>
              <w:t>Acute rejection</w:t>
            </w:r>
          </w:p>
        </w:tc>
      </w:tr>
    </w:tbl>
    <w:p w14:paraId="777B7BE6" w14:textId="77777777" w:rsidR="00282C51" w:rsidRDefault="00282C51" w:rsidP="00343A2D">
      <w:pPr>
        <w:rPr>
          <w:rFonts w:asciiTheme="majorHAnsi" w:eastAsia="Times New Roman" w:hAnsiTheme="majorHAnsi" w:cstheme="majorBidi"/>
          <w:color w:val="007586" w:themeColor="text2"/>
          <w:sz w:val="24"/>
          <w:szCs w:val="26"/>
        </w:rPr>
      </w:pPr>
      <w:r>
        <w:rPr>
          <w:rFonts w:eastAsia="Times New Roman"/>
        </w:rPr>
        <w:br w:type="page"/>
      </w:r>
    </w:p>
    <w:bookmarkEnd w:id="119"/>
    <w:p w14:paraId="76F3B92A" w14:textId="202A828A" w:rsidR="009360F9" w:rsidRPr="001A15F9" w:rsidRDefault="009360F9" w:rsidP="001A15F9">
      <w:pPr>
        <w:spacing w:before="0" w:after="0" w:line="240" w:lineRule="auto"/>
        <w:rPr>
          <w:sz w:val="2"/>
          <w:szCs w:val="2"/>
        </w:rPr>
      </w:pPr>
    </w:p>
    <w:p w14:paraId="743D86C8" w14:textId="77777777" w:rsidR="009360F9" w:rsidRPr="000F4969" w:rsidRDefault="009360F9">
      <w:pPr>
        <w:pStyle w:val="Heading1"/>
        <w:framePr w:wrap="around"/>
      </w:pPr>
      <w:bookmarkStart w:id="121" w:name="_Toc17103969"/>
      <w:r w:rsidRPr="000F4969">
        <w:t>References</w:t>
      </w:r>
      <w:bookmarkEnd w:id="121"/>
    </w:p>
    <w:p w14:paraId="776889B5" w14:textId="651D40F9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bookmarkStart w:id="122" w:name="_Hlk9599316"/>
      <w:r w:rsidRPr="00343A2D">
        <w:rPr>
          <w:rFonts w:eastAsia="Calibri"/>
          <w:sz w:val="18"/>
        </w:rPr>
        <w:t>International Consortium for Health Outcomes Measurement (ICHOM). ICHOM chronic kidney disease data collection reference guide (Revised: October 25th, 2017). Available at: https://ichom.org/files/medical-conditions/chronic-kidney-disease/chronic-kidney-disease-reference-guide.pdf.</w:t>
      </w:r>
    </w:p>
    <w:p w14:paraId="0077EA0E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Kelly J, Stanley M, Harris D. The CARI guidelines. Acceptance onto dialysis guidelines. Pre-dialysis education. Nephrology. 2005;10 Suppl </w:t>
      </w:r>
      <w:proofErr w:type="gramStart"/>
      <w:r w:rsidRPr="00343A2D">
        <w:rPr>
          <w:rFonts w:eastAsia="Calibri"/>
          <w:sz w:val="18"/>
        </w:rPr>
        <w:t>4:S</w:t>
      </w:r>
      <w:proofErr w:type="gramEnd"/>
      <w:r w:rsidRPr="00343A2D">
        <w:rPr>
          <w:rFonts w:eastAsia="Calibri"/>
          <w:sz w:val="18"/>
        </w:rPr>
        <w:t>46-S60.</w:t>
      </w:r>
    </w:p>
    <w:p w14:paraId="135AD3F6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>Thomas M. Pre-dialysis education for patients with chronic kidney disease. Nephrology. 2007;</w:t>
      </w:r>
      <w:proofErr w:type="gramStart"/>
      <w:r w:rsidRPr="00343A2D">
        <w:rPr>
          <w:rFonts w:eastAsia="Calibri"/>
          <w:sz w:val="18"/>
        </w:rPr>
        <w:t>12:S</w:t>
      </w:r>
      <w:proofErr w:type="gramEnd"/>
      <w:r w:rsidRPr="00343A2D">
        <w:rPr>
          <w:rFonts w:eastAsia="Calibri"/>
          <w:sz w:val="18"/>
        </w:rPr>
        <w:t xml:space="preserve">46-S48. </w:t>
      </w:r>
    </w:p>
    <w:p w14:paraId="1E8232AD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Lacson</w:t>
      </w:r>
      <w:proofErr w:type="spellEnd"/>
      <w:r w:rsidRPr="00343A2D">
        <w:rPr>
          <w:rFonts w:eastAsia="Calibri"/>
          <w:sz w:val="18"/>
        </w:rPr>
        <w:t xml:space="preserve"> Jnr L, Wang W, DeVries C, et al. Effects of nationwide </w:t>
      </w:r>
      <w:proofErr w:type="spellStart"/>
      <w:r w:rsidRPr="00343A2D">
        <w:rPr>
          <w:rFonts w:eastAsia="Calibri"/>
          <w:sz w:val="18"/>
        </w:rPr>
        <w:t>predialysis</w:t>
      </w:r>
      <w:proofErr w:type="spellEnd"/>
      <w:r w:rsidRPr="00343A2D">
        <w:rPr>
          <w:rFonts w:eastAsia="Calibri"/>
          <w:sz w:val="18"/>
        </w:rPr>
        <w:t xml:space="preserve"> education program on modality choice, vascular access and patient outcomes. Am J Kidney Dis. 2011;58(2):235-242. </w:t>
      </w:r>
    </w:p>
    <w:p w14:paraId="03DEDF92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Saggi</w:t>
      </w:r>
      <w:proofErr w:type="spellEnd"/>
      <w:r w:rsidRPr="00343A2D">
        <w:rPr>
          <w:rFonts w:eastAsia="Calibri"/>
          <w:sz w:val="18"/>
        </w:rPr>
        <w:t xml:space="preserve"> SJ, </w:t>
      </w:r>
      <w:proofErr w:type="spellStart"/>
      <w:r w:rsidRPr="00343A2D">
        <w:rPr>
          <w:rFonts w:eastAsia="Calibri"/>
          <w:sz w:val="18"/>
        </w:rPr>
        <w:t>Allon</w:t>
      </w:r>
      <w:proofErr w:type="spellEnd"/>
      <w:r w:rsidRPr="00343A2D">
        <w:rPr>
          <w:rFonts w:eastAsia="Calibri"/>
          <w:sz w:val="18"/>
        </w:rPr>
        <w:t xml:space="preserve"> M, </w:t>
      </w:r>
      <w:proofErr w:type="spellStart"/>
      <w:r w:rsidRPr="00343A2D">
        <w:rPr>
          <w:rFonts w:eastAsia="Calibri"/>
          <w:sz w:val="18"/>
        </w:rPr>
        <w:t>Bernardinin</w:t>
      </w:r>
      <w:proofErr w:type="spellEnd"/>
      <w:r w:rsidRPr="00343A2D">
        <w:rPr>
          <w:rFonts w:eastAsia="Calibri"/>
          <w:sz w:val="18"/>
        </w:rPr>
        <w:t xml:space="preserve"> J, et al. Considerations in the Optimal Preparation of Patients for Dialysis. Nephrology. 2012; 8:381-389. </w:t>
      </w:r>
    </w:p>
    <w:p w14:paraId="18338F2A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Wu W, Wang S, Hsu K, et al. Multidisciplinary </w:t>
      </w:r>
      <w:proofErr w:type="spellStart"/>
      <w:r w:rsidRPr="00343A2D">
        <w:rPr>
          <w:rFonts w:eastAsia="Calibri"/>
          <w:sz w:val="18"/>
        </w:rPr>
        <w:t>predialysis</w:t>
      </w:r>
      <w:proofErr w:type="spellEnd"/>
      <w:r w:rsidRPr="00343A2D">
        <w:rPr>
          <w:rFonts w:eastAsia="Calibri"/>
          <w:sz w:val="18"/>
        </w:rPr>
        <w:t xml:space="preserve"> education decreases the incidence of dialysis and reduces mortality – a controlled cohort study based on the NKF/DOQI guidelines. </w:t>
      </w:r>
      <w:proofErr w:type="spellStart"/>
      <w:r w:rsidRPr="00343A2D">
        <w:rPr>
          <w:rFonts w:eastAsia="Calibri"/>
          <w:sz w:val="18"/>
        </w:rPr>
        <w:t>Nephrol</w:t>
      </w:r>
      <w:proofErr w:type="spellEnd"/>
      <w:r w:rsidRPr="00343A2D">
        <w:rPr>
          <w:rFonts w:eastAsia="Calibri"/>
          <w:sz w:val="18"/>
        </w:rPr>
        <w:t xml:space="preserve"> Dial Transplant. 2009; 24:3426-3433. </w:t>
      </w:r>
    </w:p>
    <w:p w14:paraId="0D07F30C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Van </w:t>
      </w:r>
      <w:proofErr w:type="spellStart"/>
      <w:r w:rsidRPr="00343A2D">
        <w:rPr>
          <w:rFonts w:eastAsia="Calibri"/>
          <w:sz w:val="18"/>
        </w:rPr>
        <w:t>Biesen</w:t>
      </w:r>
      <w:proofErr w:type="spellEnd"/>
      <w:r w:rsidRPr="00343A2D">
        <w:rPr>
          <w:rFonts w:eastAsia="Calibri"/>
          <w:sz w:val="18"/>
        </w:rPr>
        <w:t xml:space="preserve"> W, Verbeke F, </w:t>
      </w:r>
      <w:proofErr w:type="spellStart"/>
      <w:r w:rsidRPr="00343A2D">
        <w:rPr>
          <w:rFonts w:eastAsia="Calibri"/>
          <w:sz w:val="18"/>
        </w:rPr>
        <w:t>Vanholder</w:t>
      </w:r>
      <w:proofErr w:type="spellEnd"/>
      <w:r w:rsidRPr="00343A2D">
        <w:rPr>
          <w:rFonts w:eastAsia="Calibri"/>
          <w:sz w:val="18"/>
        </w:rPr>
        <w:t xml:space="preserve"> R. We don’t need no education…. (Pink Floyd, The Wall) Multidisciplinary </w:t>
      </w:r>
      <w:proofErr w:type="spellStart"/>
      <w:r w:rsidRPr="00343A2D">
        <w:rPr>
          <w:rFonts w:eastAsia="Calibri"/>
          <w:sz w:val="18"/>
        </w:rPr>
        <w:t>predialysis</w:t>
      </w:r>
      <w:proofErr w:type="spellEnd"/>
      <w:r w:rsidRPr="00343A2D">
        <w:rPr>
          <w:rFonts w:eastAsia="Calibri"/>
          <w:sz w:val="18"/>
        </w:rPr>
        <w:t xml:space="preserve"> education programmes: pass or fail? </w:t>
      </w:r>
      <w:proofErr w:type="spellStart"/>
      <w:r w:rsidRPr="00343A2D">
        <w:rPr>
          <w:rFonts w:eastAsia="Calibri"/>
          <w:sz w:val="18"/>
        </w:rPr>
        <w:t>Nephrol</w:t>
      </w:r>
      <w:proofErr w:type="spellEnd"/>
      <w:r w:rsidRPr="00343A2D">
        <w:rPr>
          <w:rFonts w:eastAsia="Calibri"/>
          <w:sz w:val="18"/>
        </w:rPr>
        <w:t xml:space="preserve"> Dial Transplant. 2009; 24:3277-3279. </w:t>
      </w:r>
    </w:p>
    <w:p w14:paraId="0503D8B6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Légaré</w:t>
      </w:r>
      <w:proofErr w:type="spellEnd"/>
      <w:r w:rsidRPr="00343A2D">
        <w:rPr>
          <w:rFonts w:eastAsia="Calibri"/>
          <w:sz w:val="18"/>
        </w:rPr>
        <w:t xml:space="preserve"> F, </w:t>
      </w:r>
      <w:proofErr w:type="spellStart"/>
      <w:r w:rsidRPr="00343A2D">
        <w:rPr>
          <w:rFonts w:eastAsia="Calibri"/>
          <w:sz w:val="18"/>
        </w:rPr>
        <w:t>Kearing</w:t>
      </w:r>
      <w:proofErr w:type="spellEnd"/>
      <w:r w:rsidRPr="00343A2D">
        <w:rPr>
          <w:rFonts w:eastAsia="Calibri"/>
          <w:sz w:val="18"/>
        </w:rPr>
        <w:t xml:space="preserve"> S, Clay K, et al.  Are you SURE? Assessing patient decisional conflict with a 4-item screening test. Canadian Family Physician. 2010; 56(8): e308-e314. </w:t>
      </w:r>
    </w:p>
    <w:p w14:paraId="7F9D6291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Polkinghorne KR, Chin GK, </w:t>
      </w:r>
      <w:proofErr w:type="spellStart"/>
      <w:r w:rsidRPr="00343A2D">
        <w:rPr>
          <w:rFonts w:eastAsia="Calibri"/>
          <w:sz w:val="18"/>
        </w:rPr>
        <w:t>MacGinley</w:t>
      </w:r>
      <w:proofErr w:type="spellEnd"/>
      <w:r w:rsidRPr="00343A2D">
        <w:rPr>
          <w:rFonts w:eastAsia="Calibri"/>
          <w:sz w:val="18"/>
        </w:rPr>
        <w:t xml:space="preserve"> RJ, et al. KHA-CARI Guideline: Vascular access – central venous catheters, arteriovenous fistulae and arteriovenous grafts. Nephrology. 2013;18(11):701-705. </w:t>
      </w:r>
    </w:p>
    <w:p w14:paraId="53DB4FD2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Jindal K, Chan CT, </w:t>
      </w:r>
      <w:proofErr w:type="spellStart"/>
      <w:r w:rsidRPr="00343A2D">
        <w:rPr>
          <w:rFonts w:eastAsia="Calibri"/>
          <w:sz w:val="18"/>
        </w:rPr>
        <w:t>Deziel</w:t>
      </w:r>
      <w:proofErr w:type="spellEnd"/>
      <w:r w:rsidRPr="00343A2D">
        <w:rPr>
          <w:rFonts w:eastAsia="Calibri"/>
          <w:sz w:val="18"/>
        </w:rPr>
        <w:t xml:space="preserve"> C, et al. Hemodialysis clinical practice guidelines for the Canadian Society of Nephrology. J Am Soc </w:t>
      </w:r>
      <w:proofErr w:type="spellStart"/>
      <w:r w:rsidRPr="00343A2D">
        <w:rPr>
          <w:rFonts w:eastAsia="Calibri"/>
          <w:sz w:val="18"/>
        </w:rPr>
        <w:t>Nephrol</w:t>
      </w:r>
      <w:proofErr w:type="spellEnd"/>
      <w:r w:rsidRPr="00343A2D">
        <w:rPr>
          <w:rFonts w:eastAsia="Calibri"/>
          <w:sz w:val="18"/>
        </w:rPr>
        <w:t xml:space="preserve">. 2006; 17(3 Suppl 1):S1-S27. </w:t>
      </w:r>
    </w:p>
    <w:p w14:paraId="1F92062E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Vascular Access Work Group. Clinical practice guidelines for vascular access. Am J Kidney Dis. 2006;48 Suppl </w:t>
      </w:r>
      <w:proofErr w:type="gramStart"/>
      <w:r w:rsidRPr="00343A2D">
        <w:rPr>
          <w:rFonts w:eastAsia="Calibri"/>
          <w:sz w:val="18"/>
        </w:rPr>
        <w:t>1:S</w:t>
      </w:r>
      <w:proofErr w:type="gramEnd"/>
      <w:r w:rsidRPr="00343A2D">
        <w:rPr>
          <w:rFonts w:eastAsia="Calibri"/>
          <w:sz w:val="18"/>
        </w:rPr>
        <w:t xml:space="preserve">248-S273. </w:t>
      </w:r>
    </w:p>
    <w:p w14:paraId="4003D2DA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Tordoir</w:t>
      </w:r>
      <w:proofErr w:type="spellEnd"/>
      <w:r w:rsidRPr="00343A2D">
        <w:rPr>
          <w:rFonts w:eastAsia="Calibri"/>
          <w:sz w:val="18"/>
        </w:rPr>
        <w:t xml:space="preserve"> JH, </w:t>
      </w:r>
      <w:proofErr w:type="spellStart"/>
      <w:r w:rsidRPr="00343A2D">
        <w:rPr>
          <w:rFonts w:eastAsia="Calibri"/>
          <w:sz w:val="18"/>
        </w:rPr>
        <w:t>Canaud</w:t>
      </w:r>
      <w:proofErr w:type="spellEnd"/>
      <w:r w:rsidRPr="00343A2D">
        <w:rPr>
          <w:rFonts w:eastAsia="Calibri"/>
          <w:sz w:val="18"/>
        </w:rPr>
        <w:t xml:space="preserve"> BJ, </w:t>
      </w:r>
      <w:proofErr w:type="spellStart"/>
      <w:r w:rsidRPr="00343A2D">
        <w:rPr>
          <w:rFonts w:eastAsia="Calibri"/>
          <w:sz w:val="18"/>
        </w:rPr>
        <w:t>Haage</w:t>
      </w:r>
      <w:proofErr w:type="spellEnd"/>
      <w:r w:rsidRPr="00343A2D">
        <w:rPr>
          <w:rFonts w:eastAsia="Calibri"/>
          <w:sz w:val="18"/>
        </w:rPr>
        <w:t xml:space="preserve"> P, et al. EBPG on vascular access. </w:t>
      </w:r>
      <w:proofErr w:type="spellStart"/>
      <w:r w:rsidRPr="00343A2D">
        <w:rPr>
          <w:rFonts w:eastAsia="Calibri"/>
          <w:sz w:val="18"/>
        </w:rPr>
        <w:t>Nephrol</w:t>
      </w:r>
      <w:proofErr w:type="spellEnd"/>
      <w:r w:rsidRPr="00343A2D">
        <w:rPr>
          <w:rFonts w:eastAsia="Calibri"/>
          <w:sz w:val="18"/>
        </w:rPr>
        <w:t xml:space="preserve"> Dial Transplant. 2007;22 Suppl </w:t>
      </w:r>
      <w:proofErr w:type="gramStart"/>
      <w:r w:rsidRPr="00343A2D">
        <w:rPr>
          <w:rFonts w:eastAsia="Calibri"/>
          <w:sz w:val="18"/>
        </w:rPr>
        <w:t>2:ii</w:t>
      </w:r>
      <w:proofErr w:type="gramEnd"/>
      <w:r w:rsidRPr="00343A2D">
        <w:rPr>
          <w:rFonts w:eastAsia="Calibri"/>
          <w:sz w:val="18"/>
        </w:rPr>
        <w:t xml:space="preserve">88-ii117. </w:t>
      </w:r>
    </w:p>
    <w:p w14:paraId="6DBCBB40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Ravani</w:t>
      </w:r>
      <w:proofErr w:type="spellEnd"/>
      <w:r w:rsidRPr="00343A2D">
        <w:rPr>
          <w:rFonts w:eastAsia="Calibri"/>
          <w:sz w:val="18"/>
        </w:rPr>
        <w:t xml:space="preserve"> P, Palmer SC, Oliver MJ, et al. Associations between hemodialysis access type and clinical outcomes: a systematic review. J Am Soc </w:t>
      </w:r>
      <w:proofErr w:type="spellStart"/>
      <w:r w:rsidRPr="00343A2D">
        <w:rPr>
          <w:rFonts w:eastAsia="Calibri"/>
          <w:sz w:val="18"/>
        </w:rPr>
        <w:t>Nephrol</w:t>
      </w:r>
      <w:proofErr w:type="spellEnd"/>
      <w:r w:rsidRPr="00343A2D">
        <w:rPr>
          <w:rFonts w:eastAsia="Calibri"/>
          <w:sz w:val="18"/>
        </w:rPr>
        <w:t>. 2013; 24(3):465-473.</w:t>
      </w:r>
    </w:p>
    <w:p w14:paraId="7C688014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Shingarev</w:t>
      </w:r>
      <w:proofErr w:type="spellEnd"/>
      <w:r w:rsidRPr="00343A2D">
        <w:rPr>
          <w:rFonts w:eastAsia="Calibri"/>
          <w:sz w:val="18"/>
        </w:rPr>
        <w:t xml:space="preserve"> R, Barker-Finkel J, </w:t>
      </w:r>
      <w:proofErr w:type="spellStart"/>
      <w:r w:rsidRPr="00343A2D">
        <w:rPr>
          <w:rFonts w:eastAsia="Calibri"/>
          <w:sz w:val="18"/>
        </w:rPr>
        <w:t>Allon</w:t>
      </w:r>
      <w:proofErr w:type="spellEnd"/>
      <w:r w:rsidRPr="00343A2D">
        <w:rPr>
          <w:rFonts w:eastAsia="Calibri"/>
          <w:sz w:val="18"/>
        </w:rPr>
        <w:t xml:space="preserve"> M. Natural history of </w:t>
      </w:r>
      <w:proofErr w:type="spellStart"/>
      <w:r w:rsidRPr="00343A2D">
        <w:rPr>
          <w:rFonts w:eastAsia="Calibri"/>
          <w:sz w:val="18"/>
        </w:rPr>
        <w:t>tunneled</w:t>
      </w:r>
      <w:proofErr w:type="spellEnd"/>
      <w:r w:rsidRPr="00343A2D">
        <w:rPr>
          <w:rFonts w:eastAsia="Calibri"/>
          <w:sz w:val="18"/>
        </w:rPr>
        <w:t xml:space="preserve"> dialysis catheters placed for hemodialysis initiation. J </w:t>
      </w:r>
      <w:proofErr w:type="spellStart"/>
      <w:r w:rsidRPr="00343A2D">
        <w:rPr>
          <w:rFonts w:eastAsia="Calibri"/>
          <w:sz w:val="18"/>
        </w:rPr>
        <w:t>Vasc</w:t>
      </w:r>
      <w:proofErr w:type="spellEnd"/>
      <w:r w:rsidRPr="00343A2D">
        <w:rPr>
          <w:rFonts w:eastAsia="Calibri"/>
          <w:sz w:val="18"/>
        </w:rPr>
        <w:t xml:space="preserve"> </w:t>
      </w:r>
      <w:proofErr w:type="spellStart"/>
      <w:r w:rsidRPr="00343A2D">
        <w:rPr>
          <w:rFonts w:eastAsia="Calibri"/>
          <w:sz w:val="18"/>
        </w:rPr>
        <w:t>Interv</w:t>
      </w:r>
      <w:proofErr w:type="spellEnd"/>
      <w:r w:rsidRPr="00343A2D">
        <w:rPr>
          <w:rFonts w:eastAsia="Calibri"/>
          <w:sz w:val="18"/>
        </w:rPr>
        <w:t xml:space="preserve"> </w:t>
      </w:r>
      <w:proofErr w:type="spellStart"/>
      <w:r w:rsidRPr="00343A2D">
        <w:rPr>
          <w:rFonts w:eastAsia="Calibri"/>
          <w:sz w:val="18"/>
        </w:rPr>
        <w:t>Radiol</w:t>
      </w:r>
      <w:proofErr w:type="spellEnd"/>
      <w:r w:rsidRPr="00343A2D">
        <w:rPr>
          <w:rFonts w:eastAsia="Calibri"/>
          <w:sz w:val="18"/>
        </w:rPr>
        <w:t xml:space="preserve">. 2013;24(9):1289-1294. </w:t>
      </w:r>
    </w:p>
    <w:p w14:paraId="50068CF4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>Griffiths RI, Newsome BB, Block GA, et al. Patterns of hemodialysis catheter dysfunction defined according to National Kidney Foundation guidelines as blood flow &lt;300</w:t>
      </w:r>
      <w:r w:rsidRPr="00343A2D">
        <w:rPr>
          <w:rFonts w:ascii="Times New Roman" w:eastAsia="Calibri" w:hAnsi="Times New Roman" w:cs="Times New Roman"/>
          <w:sz w:val="18"/>
        </w:rPr>
        <w:t> </w:t>
      </w:r>
      <w:r w:rsidRPr="00343A2D">
        <w:rPr>
          <w:rFonts w:eastAsia="Calibri"/>
          <w:sz w:val="18"/>
        </w:rPr>
        <w:t xml:space="preserve">mL/min. Int J </w:t>
      </w:r>
      <w:proofErr w:type="spellStart"/>
      <w:r w:rsidRPr="00343A2D">
        <w:rPr>
          <w:rFonts w:eastAsia="Calibri"/>
          <w:sz w:val="18"/>
        </w:rPr>
        <w:t>Nephrol</w:t>
      </w:r>
      <w:proofErr w:type="spellEnd"/>
      <w:r w:rsidRPr="00343A2D">
        <w:rPr>
          <w:rFonts w:eastAsia="Calibri"/>
          <w:sz w:val="18"/>
        </w:rPr>
        <w:t xml:space="preserve">. </w:t>
      </w:r>
      <w:proofErr w:type="gramStart"/>
      <w:r w:rsidRPr="00343A2D">
        <w:rPr>
          <w:rFonts w:eastAsia="Calibri"/>
          <w:sz w:val="18"/>
        </w:rPr>
        <w:t>2011;2011:891259</w:t>
      </w:r>
      <w:proofErr w:type="gramEnd"/>
      <w:r w:rsidRPr="00343A2D">
        <w:rPr>
          <w:rFonts w:eastAsia="Calibri"/>
          <w:sz w:val="18"/>
        </w:rPr>
        <w:t>.</w:t>
      </w:r>
    </w:p>
    <w:p w14:paraId="265A5910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Suhocki</w:t>
      </w:r>
      <w:proofErr w:type="spellEnd"/>
      <w:r w:rsidRPr="00343A2D">
        <w:rPr>
          <w:rFonts w:eastAsia="Calibri"/>
          <w:sz w:val="18"/>
        </w:rPr>
        <w:t xml:space="preserve"> PV, Conlon PJ, </w:t>
      </w:r>
      <w:proofErr w:type="spellStart"/>
      <w:r w:rsidRPr="00343A2D">
        <w:rPr>
          <w:rFonts w:eastAsia="Calibri"/>
          <w:sz w:val="18"/>
        </w:rPr>
        <w:t>Knelson</w:t>
      </w:r>
      <w:proofErr w:type="spellEnd"/>
      <w:r w:rsidRPr="00343A2D">
        <w:rPr>
          <w:rFonts w:eastAsia="Calibri"/>
          <w:sz w:val="18"/>
        </w:rPr>
        <w:t xml:space="preserve"> MH, et al. Silastic cuffed catheters for hemodialysis vascular access: thrombolytic and mechanical correction of malfunction. Am J Kidney Dis. 1996;28(3):379-386.</w:t>
      </w:r>
    </w:p>
    <w:p w14:paraId="73178E48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Poinen</w:t>
      </w:r>
      <w:proofErr w:type="spellEnd"/>
      <w:r w:rsidRPr="00343A2D">
        <w:rPr>
          <w:rFonts w:eastAsia="Calibri"/>
          <w:sz w:val="18"/>
        </w:rPr>
        <w:t xml:space="preserve"> K, Quinn RR, Clarke A, et al. Complications from </w:t>
      </w:r>
      <w:proofErr w:type="spellStart"/>
      <w:r w:rsidRPr="00343A2D">
        <w:rPr>
          <w:rFonts w:eastAsia="Calibri"/>
          <w:sz w:val="18"/>
        </w:rPr>
        <w:t>tunneled</w:t>
      </w:r>
      <w:proofErr w:type="spellEnd"/>
      <w:r w:rsidRPr="00343A2D">
        <w:rPr>
          <w:rFonts w:eastAsia="Calibri"/>
          <w:sz w:val="18"/>
        </w:rPr>
        <w:t xml:space="preserve"> </w:t>
      </w:r>
      <w:proofErr w:type="spellStart"/>
      <w:r w:rsidRPr="00343A2D">
        <w:rPr>
          <w:rFonts w:eastAsia="Calibri"/>
          <w:sz w:val="18"/>
        </w:rPr>
        <w:t>hemodialysis</w:t>
      </w:r>
      <w:proofErr w:type="spellEnd"/>
      <w:r w:rsidRPr="00343A2D">
        <w:rPr>
          <w:rFonts w:eastAsia="Calibri"/>
          <w:sz w:val="18"/>
        </w:rPr>
        <w:t xml:space="preserve"> catheters: a Canadian observational cohort study. Am J Kidney Dis. 2019;73(4):467–475.</w:t>
      </w:r>
    </w:p>
    <w:p w14:paraId="69BA4755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>Marshall MR, Polkinghorne KR, Kerr PG, et al. Intensive Hemodialysis and mortality risk in Australian and New Zealand populations. Am J Kidney Dis. 2016; 67(4):617-628.</w:t>
      </w:r>
    </w:p>
    <w:p w14:paraId="2A4F665D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Weinhandl</w:t>
      </w:r>
      <w:proofErr w:type="spellEnd"/>
      <w:r w:rsidRPr="00343A2D">
        <w:rPr>
          <w:rFonts w:eastAsia="Calibri"/>
          <w:sz w:val="18"/>
        </w:rPr>
        <w:t xml:space="preserve"> ED, Foley RN, Gilbertson DT, et al. Propensity-matched mortality comparison of incident hemodialysis and peritoneal dialysis patients. JASN. 2010; 21(3):499-506.</w:t>
      </w:r>
    </w:p>
    <w:p w14:paraId="4316D97F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Mehrotra R, Chiu YW, </w:t>
      </w:r>
      <w:proofErr w:type="spellStart"/>
      <w:r w:rsidRPr="00343A2D">
        <w:rPr>
          <w:rFonts w:eastAsia="Calibri"/>
          <w:sz w:val="18"/>
        </w:rPr>
        <w:t>Kalantar</w:t>
      </w:r>
      <w:proofErr w:type="spellEnd"/>
      <w:r w:rsidRPr="00343A2D">
        <w:rPr>
          <w:rFonts w:eastAsia="Calibri"/>
          <w:sz w:val="18"/>
        </w:rPr>
        <w:t>-Zadeh K, et al. Similar outcomes with hemodialysis and peritoneal dialysis in patients with end-stage renal disease. Arch Intern Med. 2011; 171(2):110-118.</w:t>
      </w:r>
    </w:p>
    <w:p w14:paraId="5EA2C390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lastRenderedPageBreak/>
        <w:t>McDonald SP, Marshall MR, Johnson DW, et al. Relationship between dialysis modality and mortality. JASN 2009; 20(1):155-163.</w:t>
      </w:r>
    </w:p>
    <w:p w14:paraId="253550C4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>Walker RC, Hanson CS, Palmer SC, et al. Patient and caregiver perspectives on home hemodialysis: a systematic review. Am J Kidney Dis. 2015;65(3):451-463.</w:t>
      </w:r>
    </w:p>
    <w:p w14:paraId="096846CC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Fortnum D, </w:t>
      </w:r>
      <w:proofErr w:type="spellStart"/>
      <w:r w:rsidRPr="00343A2D">
        <w:rPr>
          <w:rFonts w:eastAsia="Calibri"/>
          <w:sz w:val="18"/>
        </w:rPr>
        <w:t>Smolonogov</w:t>
      </w:r>
      <w:proofErr w:type="spellEnd"/>
      <w:r w:rsidRPr="00343A2D">
        <w:rPr>
          <w:rFonts w:eastAsia="Calibri"/>
          <w:sz w:val="18"/>
        </w:rPr>
        <w:t xml:space="preserve"> T, Walker R, et al. My kidneys, my choice, decision aid: supporting shared decision making. J Ren Care. 2015; 41(2):81-87.</w:t>
      </w:r>
    </w:p>
    <w:p w14:paraId="0070C08D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Shen JI, </w:t>
      </w:r>
      <w:proofErr w:type="spellStart"/>
      <w:r w:rsidRPr="00343A2D">
        <w:rPr>
          <w:rFonts w:eastAsia="Calibri"/>
          <w:sz w:val="18"/>
        </w:rPr>
        <w:t>Mitani</w:t>
      </w:r>
      <w:proofErr w:type="spellEnd"/>
      <w:r w:rsidRPr="00343A2D">
        <w:rPr>
          <w:rFonts w:eastAsia="Calibri"/>
          <w:sz w:val="18"/>
        </w:rPr>
        <w:t xml:space="preserve"> AA, Saxena AB, et al. Determinants of peritoneal dialysis technique failure in incident US patients. </w:t>
      </w:r>
      <w:proofErr w:type="spellStart"/>
      <w:r w:rsidRPr="00343A2D">
        <w:rPr>
          <w:rFonts w:eastAsia="Calibri"/>
          <w:sz w:val="18"/>
        </w:rPr>
        <w:t>Perit</w:t>
      </w:r>
      <w:proofErr w:type="spellEnd"/>
      <w:r w:rsidRPr="00343A2D">
        <w:rPr>
          <w:rFonts w:eastAsia="Calibri"/>
          <w:sz w:val="18"/>
        </w:rPr>
        <w:t xml:space="preserve"> Dial Int. 2013;33(2):155-166.</w:t>
      </w:r>
    </w:p>
    <w:p w14:paraId="00979CCB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Chidambaram M, </w:t>
      </w:r>
      <w:proofErr w:type="spellStart"/>
      <w:r w:rsidRPr="00343A2D">
        <w:rPr>
          <w:rFonts w:eastAsia="Calibri"/>
          <w:sz w:val="18"/>
        </w:rPr>
        <w:t>Bargman</w:t>
      </w:r>
      <w:proofErr w:type="spellEnd"/>
      <w:r w:rsidRPr="00343A2D">
        <w:rPr>
          <w:rFonts w:eastAsia="Calibri"/>
          <w:sz w:val="18"/>
        </w:rPr>
        <w:t xml:space="preserve"> JM, Quinn RR, et al. Patient and physician predictors of peritoneal dialysis technique failure: a population based, retrospective cohort study. </w:t>
      </w:r>
      <w:proofErr w:type="spellStart"/>
      <w:r w:rsidRPr="00343A2D">
        <w:rPr>
          <w:rFonts w:eastAsia="Calibri"/>
          <w:sz w:val="18"/>
        </w:rPr>
        <w:t>Perit</w:t>
      </w:r>
      <w:proofErr w:type="spellEnd"/>
      <w:r w:rsidRPr="00343A2D">
        <w:rPr>
          <w:rFonts w:eastAsia="Calibri"/>
          <w:sz w:val="18"/>
        </w:rPr>
        <w:t xml:space="preserve"> Dial Int. 2011; 31(5):565-573.</w:t>
      </w:r>
    </w:p>
    <w:p w14:paraId="5366DABB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Htay</w:t>
      </w:r>
      <w:proofErr w:type="spellEnd"/>
      <w:r w:rsidRPr="00343A2D">
        <w:rPr>
          <w:rFonts w:eastAsia="Calibri"/>
          <w:sz w:val="18"/>
        </w:rPr>
        <w:t xml:space="preserve"> H, Cho Y, Pascoe EM, et al. </w:t>
      </w:r>
      <w:proofErr w:type="spellStart"/>
      <w:r w:rsidRPr="00343A2D">
        <w:rPr>
          <w:rFonts w:eastAsia="Calibri"/>
          <w:sz w:val="18"/>
        </w:rPr>
        <w:t>Center</w:t>
      </w:r>
      <w:proofErr w:type="spellEnd"/>
      <w:r w:rsidRPr="00343A2D">
        <w:rPr>
          <w:rFonts w:eastAsia="Calibri"/>
          <w:sz w:val="18"/>
        </w:rPr>
        <w:t xml:space="preserve"> effects and peritoneal dialysis peritonitis outcomes: analysis of a national registry. Am J Kidney Dis. 2018;71(6):814-821 (ANZDATA 2004–2014).</w:t>
      </w:r>
    </w:p>
    <w:p w14:paraId="2BE22C1C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Li PK, Szeto CC, </w:t>
      </w:r>
      <w:proofErr w:type="spellStart"/>
      <w:r w:rsidRPr="00343A2D">
        <w:rPr>
          <w:rFonts w:eastAsia="Calibri"/>
          <w:sz w:val="18"/>
        </w:rPr>
        <w:t>Piraino</w:t>
      </w:r>
      <w:proofErr w:type="spellEnd"/>
      <w:r w:rsidRPr="00343A2D">
        <w:rPr>
          <w:rFonts w:eastAsia="Calibri"/>
          <w:sz w:val="18"/>
        </w:rPr>
        <w:t xml:space="preserve"> B, et al. The International Society of Peritoneal Dialysis (ISPD) peritonitis recommendations: 2016 update on prevention and treatment. </w:t>
      </w:r>
      <w:proofErr w:type="spellStart"/>
      <w:r w:rsidRPr="00343A2D">
        <w:rPr>
          <w:rFonts w:eastAsia="Calibri"/>
          <w:sz w:val="18"/>
        </w:rPr>
        <w:t>Perit</w:t>
      </w:r>
      <w:proofErr w:type="spellEnd"/>
      <w:r w:rsidRPr="00343A2D">
        <w:rPr>
          <w:rFonts w:eastAsia="Calibri"/>
          <w:sz w:val="18"/>
        </w:rPr>
        <w:t xml:space="preserve"> Dial Int. 2016;36(5):481-508; Erratum: </w:t>
      </w:r>
      <w:proofErr w:type="spellStart"/>
      <w:r w:rsidRPr="00343A2D">
        <w:rPr>
          <w:rFonts w:eastAsia="Calibri"/>
          <w:sz w:val="18"/>
        </w:rPr>
        <w:t>Perit</w:t>
      </w:r>
      <w:proofErr w:type="spellEnd"/>
      <w:r w:rsidRPr="00343A2D">
        <w:rPr>
          <w:rFonts w:eastAsia="Calibri"/>
          <w:sz w:val="18"/>
        </w:rPr>
        <w:t xml:space="preserve"> Dial Int. 2018 38(4):313.</w:t>
      </w:r>
    </w:p>
    <w:p w14:paraId="1EC2F62E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Strippoli</w:t>
      </w:r>
      <w:proofErr w:type="spellEnd"/>
      <w:r w:rsidRPr="00343A2D">
        <w:rPr>
          <w:rFonts w:eastAsia="Calibri"/>
          <w:sz w:val="18"/>
        </w:rPr>
        <w:t xml:space="preserve"> GF, Tong A, Johnson D, et al. Catheter-related interventions to prevent peritonitis in peritoneal dialysis: A systematic review of randomized, controlled trials. J Am Soc </w:t>
      </w:r>
      <w:proofErr w:type="spellStart"/>
      <w:r w:rsidRPr="00343A2D">
        <w:rPr>
          <w:rFonts w:eastAsia="Calibri"/>
          <w:sz w:val="18"/>
        </w:rPr>
        <w:t>Nephrol</w:t>
      </w:r>
      <w:proofErr w:type="spellEnd"/>
      <w:r w:rsidRPr="00343A2D">
        <w:rPr>
          <w:rFonts w:eastAsia="Calibri"/>
          <w:sz w:val="18"/>
        </w:rPr>
        <w:t xml:space="preserve">. 2004;15: 2735-2746. </w:t>
      </w:r>
    </w:p>
    <w:p w14:paraId="386B0B8B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Piraino</w:t>
      </w:r>
      <w:proofErr w:type="spellEnd"/>
      <w:r w:rsidRPr="00343A2D">
        <w:rPr>
          <w:rFonts w:eastAsia="Calibri"/>
          <w:sz w:val="18"/>
        </w:rPr>
        <w:t xml:space="preserve"> B, </w:t>
      </w:r>
      <w:proofErr w:type="spellStart"/>
      <w:r w:rsidRPr="00343A2D">
        <w:rPr>
          <w:rFonts w:eastAsia="Calibri"/>
          <w:sz w:val="18"/>
        </w:rPr>
        <w:t>Bernadini</w:t>
      </w:r>
      <w:proofErr w:type="spellEnd"/>
      <w:r w:rsidRPr="00343A2D">
        <w:rPr>
          <w:rFonts w:eastAsia="Calibri"/>
          <w:sz w:val="18"/>
        </w:rPr>
        <w:t xml:space="preserve"> J, Brown E, et al. ISPD position statement on reducing the risks of peritoneal dialysis-related infections. </w:t>
      </w:r>
      <w:proofErr w:type="spellStart"/>
      <w:r w:rsidRPr="00343A2D">
        <w:rPr>
          <w:rFonts w:eastAsia="Calibri"/>
          <w:sz w:val="18"/>
        </w:rPr>
        <w:t>Perit</w:t>
      </w:r>
      <w:proofErr w:type="spellEnd"/>
      <w:r w:rsidRPr="00343A2D">
        <w:rPr>
          <w:rFonts w:eastAsia="Calibri"/>
          <w:sz w:val="18"/>
        </w:rPr>
        <w:t xml:space="preserve"> Dial Int. 2011; 31:614-630.</w:t>
      </w:r>
    </w:p>
    <w:p w14:paraId="7DA69C3F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ANZDATA Registry. 40th Report, Chapter 7: Transplantation. Australia and New Zealand Dialysis and Transplant Registry, Adelaide, Australia. 2018. Available at: http://www.anzdata.org.au. </w:t>
      </w:r>
    </w:p>
    <w:p w14:paraId="7BC52B66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Gill JS, Rose C, </w:t>
      </w:r>
      <w:proofErr w:type="spellStart"/>
      <w:r w:rsidRPr="00343A2D">
        <w:rPr>
          <w:rFonts w:eastAsia="Calibri"/>
          <w:sz w:val="18"/>
        </w:rPr>
        <w:t>Joffres</w:t>
      </w:r>
      <w:proofErr w:type="spellEnd"/>
      <w:r w:rsidRPr="00343A2D">
        <w:rPr>
          <w:rFonts w:eastAsia="Calibri"/>
          <w:sz w:val="18"/>
        </w:rPr>
        <w:t xml:space="preserve"> Y, et al. Variation in dialysis exposure prior to non-</w:t>
      </w:r>
      <w:proofErr w:type="spellStart"/>
      <w:r w:rsidRPr="00343A2D">
        <w:rPr>
          <w:rFonts w:eastAsia="Calibri"/>
          <w:sz w:val="18"/>
        </w:rPr>
        <w:t>preemptive</w:t>
      </w:r>
      <w:proofErr w:type="spellEnd"/>
      <w:r w:rsidRPr="00343A2D">
        <w:rPr>
          <w:rFonts w:eastAsia="Calibri"/>
          <w:sz w:val="18"/>
        </w:rPr>
        <w:t xml:space="preserve"> living donor kidney transplantation in the United States and its association with allograft outcomes. Am J Kid Dis. 2018; 71(5):636-647.</w:t>
      </w:r>
    </w:p>
    <w:p w14:paraId="561ED47A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Foucher</w:t>
      </w:r>
      <w:proofErr w:type="spellEnd"/>
      <w:r w:rsidRPr="00343A2D">
        <w:rPr>
          <w:rFonts w:eastAsia="Calibri"/>
          <w:sz w:val="18"/>
        </w:rPr>
        <w:t xml:space="preserve"> Y, Le Borgne F, Legendre C, et al. Lack of impact of pre-emptive deceased-donor kidney transplantation on graft outcomes: a propensity score-based study. </w:t>
      </w:r>
      <w:bookmarkStart w:id="123" w:name="_Hlk536707376"/>
      <w:proofErr w:type="spellStart"/>
      <w:r w:rsidRPr="00343A2D">
        <w:rPr>
          <w:rFonts w:eastAsia="Calibri"/>
          <w:sz w:val="18"/>
        </w:rPr>
        <w:t>Nephrol</w:t>
      </w:r>
      <w:proofErr w:type="spellEnd"/>
      <w:r w:rsidRPr="00343A2D">
        <w:rPr>
          <w:rFonts w:eastAsia="Calibri"/>
          <w:sz w:val="18"/>
        </w:rPr>
        <w:t xml:space="preserve"> Dial Transplant</w:t>
      </w:r>
      <w:bookmarkEnd w:id="123"/>
      <w:r w:rsidRPr="00343A2D">
        <w:rPr>
          <w:rFonts w:eastAsia="Calibri"/>
          <w:sz w:val="18"/>
        </w:rPr>
        <w:t xml:space="preserve">. 2018. Oct 15. </w:t>
      </w:r>
      <w:proofErr w:type="spellStart"/>
      <w:r w:rsidRPr="00343A2D">
        <w:rPr>
          <w:rFonts w:eastAsia="Calibri"/>
          <w:sz w:val="18"/>
        </w:rPr>
        <w:t>doi</w:t>
      </w:r>
      <w:proofErr w:type="spellEnd"/>
      <w:r w:rsidRPr="00343A2D">
        <w:rPr>
          <w:rFonts w:eastAsia="Calibri"/>
          <w:sz w:val="18"/>
        </w:rPr>
        <w:t>: 10.1093/</w:t>
      </w:r>
      <w:proofErr w:type="spellStart"/>
      <w:r w:rsidRPr="00343A2D">
        <w:rPr>
          <w:rFonts w:eastAsia="Calibri"/>
          <w:sz w:val="18"/>
        </w:rPr>
        <w:t>ndt</w:t>
      </w:r>
      <w:proofErr w:type="spellEnd"/>
      <w:r w:rsidRPr="00343A2D">
        <w:rPr>
          <w:rFonts w:eastAsia="Calibri"/>
          <w:sz w:val="18"/>
        </w:rPr>
        <w:t>/gfy317.</w:t>
      </w:r>
    </w:p>
    <w:p w14:paraId="77CA1FDD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>Canadian Institute of Health Information. Organ replacement in Canada: Canadian Organ Replacement Register (CORR) annual statistics, 2018. Available at: https://www.cihi.ca/en/organ-replacement-in-canada-corr-annual-statistics-2018.</w:t>
      </w:r>
    </w:p>
    <w:p w14:paraId="20354F6F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>National Health Service (NHS). Annual report on kidney transplantation for 2017/2018. Available at: https://nhsbtdbe.blob.core.windows.net/umbraco-assets-corp/12256/nhsbt-kidney-transplantation-annual-report-2017-2018.pdf.</w:t>
      </w:r>
    </w:p>
    <w:p w14:paraId="38350966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Abramowicz</w:t>
      </w:r>
      <w:proofErr w:type="spellEnd"/>
      <w:r w:rsidRPr="00343A2D">
        <w:rPr>
          <w:rFonts w:eastAsia="Calibri"/>
          <w:sz w:val="18"/>
        </w:rPr>
        <w:t xml:space="preserve"> </w:t>
      </w:r>
      <w:proofErr w:type="spellStart"/>
      <w:proofErr w:type="gramStart"/>
      <w:r w:rsidRPr="00343A2D">
        <w:rPr>
          <w:rFonts w:eastAsia="Calibri"/>
          <w:sz w:val="18"/>
        </w:rPr>
        <w:t>D,Hazzan</w:t>
      </w:r>
      <w:proofErr w:type="spellEnd"/>
      <w:proofErr w:type="gramEnd"/>
      <w:r w:rsidRPr="00343A2D">
        <w:rPr>
          <w:rFonts w:eastAsia="Calibri"/>
          <w:sz w:val="18"/>
        </w:rPr>
        <w:t xml:space="preserve"> M, Maggiore U, et al. Does pre-emptive transplantation versus post start of dialysis transplantation with a kidney from a living donor improve outcomes after transplantation? A systematic literature review and position statement by the Descartes Working Group and ERBP. </w:t>
      </w:r>
      <w:proofErr w:type="spellStart"/>
      <w:r w:rsidRPr="00343A2D">
        <w:rPr>
          <w:rFonts w:eastAsia="Calibri"/>
          <w:sz w:val="18"/>
        </w:rPr>
        <w:t>Nephrol</w:t>
      </w:r>
      <w:proofErr w:type="spellEnd"/>
      <w:r w:rsidRPr="00343A2D">
        <w:rPr>
          <w:rFonts w:eastAsia="Calibri"/>
          <w:sz w:val="18"/>
        </w:rPr>
        <w:t xml:space="preserve"> Dial Transplant 2016; 31(5): 691-697. </w:t>
      </w:r>
    </w:p>
    <w:p w14:paraId="65B6711C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Haller MC, </w:t>
      </w:r>
      <w:proofErr w:type="spellStart"/>
      <w:r w:rsidRPr="00343A2D">
        <w:rPr>
          <w:rFonts w:eastAsia="Calibri"/>
          <w:sz w:val="18"/>
        </w:rPr>
        <w:t>Kammer</w:t>
      </w:r>
      <w:proofErr w:type="spellEnd"/>
      <w:r w:rsidRPr="00343A2D">
        <w:rPr>
          <w:rFonts w:eastAsia="Calibri"/>
          <w:sz w:val="18"/>
        </w:rPr>
        <w:t xml:space="preserve"> M, </w:t>
      </w:r>
      <w:proofErr w:type="spellStart"/>
      <w:r w:rsidRPr="00343A2D">
        <w:rPr>
          <w:rFonts w:eastAsia="Calibri"/>
          <w:sz w:val="18"/>
        </w:rPr>
        <w:t>Oberbauer</w:t>
      </w:r>
      <w:proofErr w:type="spellEnd"/>
      <w:r w:rsidRPr="00343A2D">
        <w:rPr>
          <w:rFonts w:eastAsia="Calibri"/>
          <w:sz w:val="18"/>
        </w:rPr>
        <w:t xml:space="preserve"> R. Dialysis vintage and outcomes in renal transplantation. </w:t>
      </w:r>
      <w:proofErr w:type="spellStart"/>
      <w:r w:rsidRPr="00343A2D">
        <w:rPr>
          <w:rFonts w:eastAsia="Calibri"/>
          <w:sz w:val="18"/>
        </w:rPr>
        <w:t>Nephrol</w:t>
      </w:r>
      <w:proofErr w:type="spellEnd"/>
      <w:r w:rsidRPr="00343A2D">
        <w:rPr>
          <w:rFonts w:eastAsia="Calibri"/>
          <w:sz w:val="18"/>
        </w:rPr>
        <w:t xml:space="preserve"> Dial Transplant 2018</w:t>
      </w:r>
      <w:r w:rsidRPr="00343A2D">
        <w:rPr>
          <w:sz w:val="18"/>
        </w:rPr>
        <w:t xml:space="preserve"> </w:t>
      </w:r>
      <w:r w:rsidRPr="00343A2D">
        <w:rPr>
          <w:rFonts w:eastAsia="Calibri"/>
          <w:sz w:val="18"/>
        </w:rPr>
        <w:t xml:space="preserve">Apr 20. </w:t>
      </w:r>
      <w:proofErr w:type="spellStart"/>
      <w:r w:rsidRPr="00343A2D">
        <w:rPr>
          <w:rFonts w:eastAsia="Calibri"/>
          <w:sz w:val="18"/>
        </w:rPr>
        <w:t>doi</w:t>
      </w:r>
      <w:proofErr w:type="spellEnd"/>
      <w:r w:rsidRPr="00343A2D">
        <w:rPr>
          <w:rFonts w:eastAsia="Calibri"/>
          <w:sz w:val="18"/>
        </w:rPr>
        <w:t>: 10.1093/</w:t>
      </w:r>
      <w:proofErr w:type="spellStart"/>
      <w:r w:rsidRPr="00343A2D">
        <w:rPr>
          <w:rFonts w:eastAsia="Calibri"/>
          <w:sz w:val="18"/>
        </w:rPr>
        <w:t>ndt</w:t>
      </w:r>
      <w:proofErr w:type="spellEnd"/>
      <w:r w:rsidRPr="00343A2D">
        <w:rPr>
          <w:rFonts w:eastAsia="Calibri"/>
          <w:sz w:val="18"/>
        </w:rPr>
        <w:t>/gfy099. [</w:t>
      </w:r>
      <w:proofErr w:type="spellStart"/>
      <w:r w:rsidRPr="00343A2D">
        <w:rPr>
          <w:rFonts w:eastAsia="Calibri"/>
          <w:sz w:val="18"/>
        </w:rPr>
        <w:t>Epub</w:t>
      </w:r>
      <w:proofErr w:type="spellEnd"/>
      <w:r w:rsidRPr="00343A2D">
        <w:rPr>
          <w:rFonts w:eastAsia="Calibri"/>
          <w:sz w:val="18"/>
        </w:rPr>
        <w:t xml:space="preserve"> ahead of print].</w:t>
      </w:r>
    </w:p>
    <w:p w14:paraId="231E1DF5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Jay CL, Dean PG, Helmick RA, et al. Reassessing </w:t>
      </w:r>
      <w:proofErr w:type="spellStart"/>
      <w:r w:rsidRPr="00343A2D">
        <w:rPr>
          <w:rFonts w:eastAsia="Calibri"/>
          <w:sz w:val="18"/>
        </w:rPr>
        <w:t>preemptive</w:t>
      </w:r>
      <w:proofErr w:type="spellEnd"/>
      <w:r w:rsidRPr="00343A2D">
        <w:rPr>
          <w:rFonts w:eastAsia="Calibri"/>
          <w:sz w:val="18"/>
        </w:rPr>
        <w:t xml:space="preserve"> kidney transplantation in the United States: Are we making progress? Transplantation 2016; 100(5):1120-1127.</w:t>
      </w:r>
    </w:p>
    <w:p w14:paraId="5570113A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Haller MC, </w:t>
      </w:r>
      <w:proofErr w:type="spellStart"/>
      <w:r w:rsidRPr="00343A2D">
        <w:rPr>
          <w:rFonts w:eastAsia="Calibri"/>
          <w:sz w:val="18"/>
        </w:rPr>
        <w:t>Kainz</w:t>
      </w:r>
      <w:proofErr w:type="spellEnd"/>
      <w:r w:rsidRPr="00343A2D">
        <w:rPr>
          <w:rFonts w:eastAsia="Calibri"/>
          <w:sz w:val="18"/>
        </w:rPr>
        <w:t xml:space="preserve"> A, Baer H, et al. Dialysis vintage and outcomes after kidney transplantation: a retrospective cohort study. CJASN 2017; 12(1):122-130.</w:t>
      </w:r>
    </w:p>
    <w:p w14:paraId="4751B403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lastRenderedPageBreak/>
        <w:t>Grace BS, Clayton PA, Cass A, et al. Transplantation rates for living- but not deceased-donor kidneys vary with socioeconomic status in Australia. Kidney Int. 2013; 83(1):138-145.</w:t>
      </w:r>
    </w:p>
    <w:p w14:paraId="2473BE0B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 xml:space="preserve">Anderson NE, Calvert M, </w:t>
      </w:r>
      <w:proofErr w:type="spellStart"/>
      <w:r w:rsidRPr="00343A2D">
        <w:rPr>
          <w:rFonts w:eastAsia="Calibri"/>
          <w:sz w:val="18"/>
        </w:rPr>
        <w:t>Cockwell</w:t>
      </w:r>
      <w:proofErr w:type="spellEnd"/>
      <w:r w:rsidRPr="00343A2D">
        <w:rPr>
          <w:rFonts w:eastAsia="Calibri"/>
          <w:sz w:val="18"/>
        </w:rPr>
        <w:t xml:space="preserve"> P, et al. Using patient-reported outcome measures (PROMs) to promote quality of care in the management of patients with established kidney disease requiring treatment with haemodialysis in the UK (PROM-HD): a qualitative study protocol. BMJ Open 2018; 8:e021532. </w:t>
      </w:r>
      <w:proofErr w:type="spellStart"/>
      <w:r w:rsidRPr="00343A2D">
        <w:rPr>
          <w:rFonts w:eastAsia="Calibri"/>
          <w:sz w:val="18"/>
        </w:rPr>
        <w:t>doi</w:t>
      </w:r>
      <w:proofErr w:type="spellEnd"/>
      <w:r w:rsidRPr="00343A2D">
        <w:rPr>
          <w:rFonts w:eastAsia="Calibri"/>
          <w:sz w:val="18"/>
        </w:rPr>
        <w:t>: 10.1136/bmjopen-2018-021532.</w:t>
      </w:r>
    </w:p>
    <w:p w14:paraId="074E7581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Aiyegbusi</w:t>
      </w:r>
      <w:proofErr w:type="spellEnd"/>
      <w:r w:rsidRPr="00343A2D">
        <w:rPr>
          <w:rFonts w:eastAsia="Calibri"/>
          <w:sz w:val="18"/>
        </w:rPr>
        <w:t xml:space="preserve"> OL, </w:t>
      </w:r>
      <w:proofErr w:type="spellStart"/>
      <w:r w:rsidRPr="00343A2D">
        <w:rPr>
          <w:rFonts w:eastAsia="Calibri"/>
          <w:sz w:val="18"/>
        </w:rPr>
        <w:t>Kyte</w:t>
      </w:r>
      <w:proofErr w:type="spellEnd"/>
      <w:r w:rsidRPr="00343A2D">
        <w:rPr>
          <w:rFonts w:eastAsia="Calibri"/>
          <w:sz w:val="18"/>
        </w:rPr>
        <w:t xml:space="preserve"> D, </w:t>
      </w:r>
      <w:proofErr w:type="spellStart"/>
      <w:r w:rsidRPr="00343A2D">
        <w:rPr>
          <w:rFonts w:eastAsia="Calibri"/>
          <w:sz w:val="18"/>
        </w:rPr>
        <w:t>Cockwell</w:t>
      </w:r>
      <w:proofErr w:type="spellEnd"/>
      <w:r w:rsidRPr="00343A2D">
        <w:rPr>
          <w:rFonts w:eastAsia="Calibri"/>
          <w:sz w:val="18"/>
        </w:rPr>
        <w:t xml:space="preserve"> P, et al. Using Patient-Reported Outcome Measures (PROMs) to promote quality of care and safety in the management of patients with advanced chronic kidney disease (PRO-</w:t>
      </w:r>
      <w:proofErr w:type="spellStart"/>
      <w:r w:rsidRPr="00343A2D">
        <w:rPr>
          <w:rFonts w:eastAsia="Calibri"/>
          <w:sz w:val="18"/>
        </w:rPr>
        <w:t>trACK</w:t>
      </w:r>
      <w:proofErr w:type="spellEnd"/>
      <w:r w:rsidRPr="00343A2D">
        <w:rPr>
          <w:rFonts w:eastAsia="Calibri"/>
          <w:sz w:val="18"/>
        </w:rPr>
        <w:t xml:space="preserve"> project): a mixed-methods project protocol. BMJ Open. 2017; 30;7(6</w:t>
      </w:r>
      <w:proofErr w:type="gramStart"/>
      <w:r w:rsidRPr="00343A2D">
        <w:rPr>
          <w:rFonts w:eastAsia="Calibri"/>
          <w:sz w:val="18"/>
        </w:rPr>
        <w:t>):e</w:t>
      </w:r>
      <w:proofErr w:type="gramEnd"/>
      <w:r w:rsidRPr="00343A2D">
        <w:rPr>
          <w:rFonts w:eastAsia="Calibri"/>
          <w:sz w:val="18"/>
        </w:rPr>
        <w:t xml:space="preserve">016687. </w:t>
      </w:r>
      <w:proofErr w:type="spellStart"/>
      <w:r w:rsidRPr="00343A2D">
        <w:rPr>
          <w:rFonts w:eastAsia="Calibri"/>
          <w:sz w:val="18"/>
        </w:rPr>
        <w:t>doi</w:t>
      </w:r>
      <w:proofErr w:type="spellEnd"/>
      <w:r w:rsidRPr="00343A2D">
        <w:rPr>
          <w:rFonts w:eastAsia="Calibri"/>
          <w:sz w:val="18"/>
        </w:rPr>
        <w:t>: 10.1136/bmjopen-2017-016687.</w:t>
      </w:r>
    </w:p>
    <w:p w14:paraId="67FE909B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proofErr w:type="spellStart"/>
      <w:r w:rsidRPr="00343A2D">
        <w:rPr>
          <w:rFonts w:eastAsia="Calibri"/>
          <w:sz w:val="18"/>
        </w:rPr>
        <w:t>Aiyegbusi</w:t>
      </w:r>
      <w:proofErr w:type="spellEnd"/>
      <w:r w:rsidRPr="00343A2D">
        <w:rPr>
          <w:rFonts w:eastAsia="Calibri"/>
          <w:sz w:val="18"/>
        </w:rPr>
        <w:t xml:space="preserve"> OL, </w:t>
      </w:r>
      <w:proofErr w:type="spellStart"/>
      <w:r w:rsidRPr="00343A2D">
        <w:rPr>
          <w:rFonts w:eastAsia="Calibri"/>
          <w:sz w:val="18"/>
        </w:rPr>
        <w:t>Kyte</w:t>
      </w:r>
      <w:proofErr w:type="spellEnd"/>
      <w:r w:rsidRPr="00343A2D">
        <w:rPr>
          <w:rFonts w:eastAsia="Calibri"/>
          <w:sz w:val="18"/>
        </w:rPr>
        <w:t xml:space="preserve"> D, </w:t>
      </w:r>
      <w:proofErr w:type="spellStart"/>
      <w:r w:rsidRPr="00343A2D">
        <w:rPr>
          <w:rFonts w:eastAsia="Calibri"/>
          <w:sz w:val="18"/>
        </w:rPr>
        <w:t>Cockwell</w:t>
      </w:r>
      <w:proofErr w:type="spellEnd"/>
      <w:r w:rsidRPr="00343A2D">
        <w:rPr>
          <w:rFonts w:eastAsia="Calibri"/>
          <w:sz w:val="18"/>
        </w:rPr>
        <w:t xml:space="preserve"> P, et al. Measurement properties of patient-reported outcome measures (PROMs) used in adult patients with chronic kidney disease: A systematic review. </w:t>
      </w:r>
      <w:proofErr w:type="spellStart"/>
      <w:r w:rsidRPr="00343A2D">
        <w:rPr>
          <w:rFonts w:eastAsia="Calibri"/>
          <w:sz w:val="18"/>
        </w:rPr>
        <w:t>PLoS</w:t>
      </w:r>
      <w:proofErr w:type="spellEnd"/>
      <w:r w:rsidRPr="00343A2D">
        <w:rPr>
          <w:rFonts w:eastAsia="Calibri"/>
          <w:sz w:val="18"/>
        </w:rPr>
        <w:t xml:space="preserve"> One. 2017; 21;12(6</w:t>
      </w:r>
      <w:proofErr w:type="gramStart"/>
      <w:r w:rsidRPr="00343A2D">
        <w:rPr>
          <w:rFonts w:eastAsia="Calibri"/>
          <w:sz w:val="18"/>
        </w:rPr>
        <w:t>):e</w:t>
      </w:r>
      <w:proofErr w:type="gramEnd"/>
      <w:r w:rsidRPr="00343A2D">
        <w:rPr>
          <w:rFonts w:eastAsia="Calibri"/>
          <w:sz w:val="18"/>
        </w:rPr>
        <w:t>0179733.</w:t>
      </w:r>
    </w:p>
    <w:p w14:paraId="2BFE73BC" w14:textId="77777777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>Morton R. Symptom Monitoring with Feedback Trial (SWIFT) Pilot: A feasibility and acceptability study of ANZDATA E-PROMs data capture and feedback. University of Sydney. Kidney Health Australia Medical and Scientific Research Grant 2018. Available at: https://kidney.org.au/researchgrants.</w:t>
      </w:r>
    </w:p>
    <w:p w14:paraId="61B4E838" w14:textId="6F47DF24" w:rsidR="009360F9" w:rsidRPr="00343A2D" w:rsidRDefault="009360F9">
      <w:pPr>
        <w:pStyle w:val="ListParagraph"/>
        <w:numPr>
          <w:ilvl w:val="0"/>
          <w:numId w:val="77"/>
        </w:numPr>
        <w:rPr>
          <w:rFonts w:eastAsia="Calibri"/>
          <w:sz w:val="18"/>
        </w:rPr>
      </w:pPr>
      <w:r w:rsidRPr="00343A2D">
        <w:rPr>
          <w:rFonts w:eastAsia="Calibri"/>
          <w:sz w:val="18"/>
        </w:rPr>
        <w:t>Worth LJ, Spelman T, Holt SG, et al. Epidemiology of infections and antimicrobial use in Australian haemodialysis outpatients: findings from a Victorian surveillance network, 2008-2015. Journal of Hospital Infection. 2017; 97:93-98.</w:t>
      </w:r>
      <w:bookmarkEnd w:id="122"/>
    </w:p>
    <w:sectPr w:rsidR="009360F9" w:rsidRPr="00343A2D" w:rsidSect="00C453D7">
      <w:pgSz w:w="11906" w:h="16838" w:code="9"/>
      <w:pgMar w:top="3402" w:right="851" w:bottom="1361" w:left="851" w:header="539" w:footer="62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2FAAB" w14:textId="77777777" w:rsidR="00AE683F" w:rsidRDefault="00AE683F" w:rsidP="00956885">
      <w:r>
        <w:separator/>
      </w:r>
    </w:p>
  </w:endnote>
  <w:endnote w:type="continuationSeparator" w:id="0">
    <w:p w14:paraId="57DA2065" w14:textId="77777777" w:rsidR="00AE683F" w:rsidRDefault="00AE683F" w:rsidP="00074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318B5" w14:textId="47224EFE" w:rsidR="00AE683F" w:rsidRDefault="00AE683F" w:rsidP="00343A2D">
    <w:pPr>
      <w:pStyle w:val="FooterEven"/>
      <w:framePr w:wrap="around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>
      <w:t>6</w:t>
    </w:r>
    <w:r>
      <w:fldChar w:fldCharType="end"/>
    </w:r>
    <w:r>
      <w:t> </w:t>
    </w:r>
    <w:r>
      <w:t> </w:t>
    </w:r>
    <w:r w:rsidRPr="00724F74">
      <w:rPr>
        <w:b/>
      </w:rPr>
      <w:t>Safer Care Victoria</w:t>
    </w:r>
    <w:r>
      <w:t> </w:t>
    </w:r>
    <w:r>
      <w:t> </w:t>
    </w:r>
    <w:sdt>
      <w:sdtPr>
        <w:alias w:val="Title"/>
        <w:tag w:val=""/>
        <w:id w:val="-27046663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Renal key performance indicators review</w:t>
        </w:r>
      </w:sdtContent>
    </w:sdt>
    <w:r>
      <w:t xml:space="preserve"> </w:t>
    </w:r>
    <w:r>
      <w:drawing>
        <wp:anchor distT="0" distB="0" distL="114300" distR="114300" simplePos="0" relativeHeight="251675648" behindDoc="0" locked="0" layoutInCell="1" allowOverlap="1" wp14:anchorId="42890BFB" wp14:editId="1E9D6E88">
          <wp:simplePos x="0" y="0"/>
          <wp:positionH relativeFrom="column">
            <wp:posOffset>4256126</wp:posOffset>
          </wp:positionH>
          <wp:positionV relativeFrom="page">
            <wp:posOffset>9493250</wp:posOffset>
          </wp:positionV>
          <wp:extent cx="1956435" cy="582930"/>
          <wp:effectExtent l="0" t="0" r="5715" b="7620"/>
          <wp:wrapNone/>
          <wp:docPr id="90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ctoria State Gov DTF right reverse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4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77A621" w14:textId="77777777" w:rsidR="00AE683F" w:rsidRPr="002A5891" w:rsidRDefault="00AE683F" w:rsidP="00343A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EEBF3" w14:textId="1EEBA285" w:rsidR="00AE683F" w:rsidRDefault="00876E2A" w:rsidP="00343A2D">
    <w:pPr>
      <w:pStyle w:val="FooterOdd"/>
      <w:framePr w:wrap="around"/>
    </w:pPr>
    <w:sdt>
      <w:sdtPr>
        <w:alias w:val="Title"/>
        <w:tag w:val=""/>
        <w:id w:val="118177649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E683F">
          <w:t>Renal key performance indicators review</w:t>
        </w:r>
      </w:sdtContent>
    </w:sdt>
    <w:r w:rsidR="00AE683F">
      <w:t> </w:t>
    </w:r>
    <w:r w:rsidR="00AE683F">
      <w:t> </w:t>
    </w:r>
    <w:r w:rsidR="00AE683F" w:rsidRPr="0097403D">
      <w:rPr>
        <w:b/>
      </w:rPr>
      <w:t>Safer Care Victoria</w:t>
    </w:r>
    <w:r w:rsidR="00AE683F">
      <w:t> </w:t>
    </w:r>
    <w:r w:rsidR="00AE683F">
      <w:t> </w:t>
    </w:r>
    <w:r w:rsidR="00AE683F">
      <w:rPr>
        <w:noProof w:val="0"/>
      </w:rPr>
      <w:fldChar w:fldCharType="begin"/>
    </w:r>
    <w:r w:rsidR="00AE683F">
      <w:instrText xml:space="preserve"> PAGE   \* MERGEFORMAT </w:instrText>
    </w:r>
    <w:r w:rsidR="00AE683F">
      <w:rPr>
        <w:noProof w:val="0"/>
      </w:rPr>
      <w:fldChar w:fldCharType="separate"/>
    </w:r>
    <w:r w:rsidR="00AE683F">
      <w:t>5</w:t>
    </w:r>
    <w:r w:rsidR="00AE683F">
      <w:fldChar w:fldCharType="end"/>
    </w:r>
  </w:p>
  <w:p w14:paraId="36EE848C" w14:textId="77777777" w:rsidR="00AE683F" w:rsidRPr="002A5891" w:rsidRDefault="00AE683F" w:rsidP="00343A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9675B" w14:textId="77777777" w:rsidR="00AE683F" w:rsidRDefault="00AE683F" w:rsidP="00343A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19ADC" w14:textId="77777777" w:rsidR="00AE683F" w:rsidRDefault="00AE683F" w:rsidP="00956885"/>
  </w:footnote>
  <w:footnote w:type="continuationSeparator" w:id="0">
    <w:p w14:paraId="02653ECD" w14:textId="77777777" w:rsidR="00AE683F" w:rsidRDefault="00AE683F" w:rsidP="009568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FC7DF" w14:textId="77777777" w:rsidR="00AE683F" w:rsidRDefault="00AE683F" w:rsidP="00343A2D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699E5C29" wp14:editId="7B4288DA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62088" cy="10698480"/>
          <wp:effectExtent l="0" t="0" r="1270" b="7620"/>
          <wp:wrapNone/>
          <wp:docPr id="89" name="Alternative back cover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ION PAGE_9545 DTF Covers A4 Final_Blue3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2088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9020A" w14:textId="77777777" w:rsidR="00AE683F" w:rsidRDefault="00AE683F" w:rsidP="0023694D">
    <w:pPr>
      <w:pStyle w:val="NoSpacing"/>
    </w:pPr>
    <w:r>
      <w:rPr>
        <w:noProof/>
      </w:rPr>
      <w:drawing>
        <wp:anchor distT="0" distB="0" distL="114300" distR="114300" simplePos="0" relativeHeight="251676672" behindDoc="1" locked="0" layoutInCell="1" allowOverlap="1" wp14:anchorId="18A622C9" wp14:editId="38914885">
          <wp:simplePos x="542925" y="342900"/>
          <wp:positionH relativeFrom="page">
            <wp:align>left</wp:align>
          </wp:positionH>
          <wp:positionV relativeFrom="page">
            <wp:align>top</wp:align>
          </wp:positionV>
          <wp:extent cx="7560000" cy="10691587"/>
          <wp:effectExtent l="0" t="0" r="3175" b="0"/>
          <wp:wrapNone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ront cover 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1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42D83" w14:textId="77777777" w:rsidR="00AE683F" w:rsidRDefault="00AE683F" w:rsidP="0086277A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5F65"/>
    <w:multiLevelType w:val="hybridMultilevel"/>
    <w:tmpl w:val="CCAC86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00149"/>
    <w:multiLevelType w:val="hybridMultilevel"/>
    <w:tmpl w:val="E3BC4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C01A1"/>
    <w:multiLevelType w:val="hybridMultilevel"/>
    <w:tmpl w:val="210AE6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07F63"/>
    <w:multiLevelType w:val="hybridMultilevel"/>
    <w:tmpl w:val="0136F6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B3C7D"/>
    <w:multiLevelType w:val="hybridMultilevel"/>
    <w:tmpl w:val="9EB86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22A7C"/>
    <w:multiLevelType w:val="hybridMultilevel"/>
    <w:tmpl w:val="41105A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FB4C16"/>
    <w:multiLevelType w:val="hybridMultilevel"/>
    <w:tmpl w:val="5D68ED5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65397"/>
    <w:multiLevelType w:val="hybridMultilevel"/>
    <w:tmpl w:val="2C7E66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57FDF"/>
    <w:multiLevelType w:val="hybridMultilevel"/>
    <w:tmpl w:val="C934853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13460C41"/>
    <w:multiLevelType w:val="hybridMultilevel"/>
    <w:tmpl w:val="77B27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46849"/>
    <w:multiLevelType w:val="hybridMultilevel"/>
    <w:tmpl w:val="0C7AE6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B3B37"/>
    <w:multiLevelType w:val="hybridMultilevel"/>
    <w:tmpl w:val="B73CE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C92FAE"/>
    <w:multiLevelType w:val="hybridMultilevel"/>
    <w:tmpl w:val="85C69446"/>
    <w:lvl w:ilvl="0" w:tplc="D36EA16E">
      <w:numFmt w:val="bullet"/>
      <w:lvlText w:val="-"/>
      <w:lvlJc w:val="left"/>
      <w:pPr>
        <w:ind w:left="644" w:hanging="360"/>
      </w:pPr>
      <w:rPr>
        <w:rFonts w:ascii="VIC" w:eastAsia="Times New Roman" w:hAnsi="VIC" w:cs="Calibri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193A0567"/>
    <w:multiLevelType w:val="hybridMultilevel"/>
    <w:tmpl w:val="E4D43A84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7B6388"/>
    <w:multiLevelType w:val="hybridMultilevel"/>
    <w:tmpl w:val="668443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BC3C4C"/>
    <w:multiLevelType w:val="hybridMultilevel"/>
    <w:tmpl w:val="8C82B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285533"/>
    <w:multiLevelType w:val="hybridMultilevel"/>
    <w:tmpl w:val="9CB8A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6839FA"/>
    <w:multiLevelType w:val="hybridMultilevel"/>
    <w:tmpl w:val="EC6A60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2B788B"/>
    <w:multiLevelType w:val="hybridMultilevel"/>
    <w:tmpl w:val="2FBCA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747963"/>
    <w:multiLevelType w:val="hybridMultilevel"/>
    <w:tmpl w:val="41584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F243DE"/>
    <w:multiLevelType w:val="hybridMultilevel"/>
    <w:tmpl w:val="DDE089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0F22C2"/>
    <w:multiLevelType w:val="hybridMultilevel"/>
    <w:tmpl w:val="3176E3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456FFD"/>
    <w:multiLevelType w:val="multilevel"/>
    <w:tmpl w:val="47D41E60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  <w:color w:val="4D92C0"/>
      </w:rPr>
    </w:lvl>
    <w:lvl w:ilvl="1">
      <w:start w:val="1"/>
      <w:numFmt w:val="bullet"/>
      <w:pStyle w:val="Tabledash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decimal"/>
      <w:pStyle w:val="Tablenum1"/>
      <w:lvlText w:val="%3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>
      <w:start w:val="1"/>
      <w:numFmt w:val="lowerLetter"/>
      <w:pStyle w:val="Tablenum2"/>
      <w:lvlText w:val="(%4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3" w15:restartNumberingAfterBreak="0">
    <w:nsid w:val="269E303E"/>
    <w:multiLevelType w:val="hybridMultilevel"/>
    <w:tmpl w:val="F43AE8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B0356"/>
    <w:multiLevelType w:val="hybridMultilevel"/>
    <w:tmpl w:val="395CE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0E7C35"/>
    <w:multiLevelType w:val="hybridMultilevel"/>
    <w:tmpl w:val="7EFE7E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214279"/>
    <w:multiLevelType w:val="hybridMultilevel"/>
    <w:tmpl w:val="D910C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3F4271"/>
    <w:multiLevelType w:val="hybridMultilevel"/>
    <w:tmpl w:val="6C36BA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BF75512"/>
    <w:multiLevelType w:val="hybridMultilevel"/>
    <w:tmpl w:val="DA42A330"/>
    <w:lvl w:ilvl="0" w:tplc="F09424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746F57"/>
    <w:multiLevelType w:val="hybridMultilevel"/>
    <w:tmpl w:val="5E9AC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EE37A0"/>
    <w:multiLevelType w:val="hybridMultilevel"/>
    <w:tmpl w:val="1102F692"/>
    <w:lvl w:ilvl="0" w:tplc="017402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FDE0FDB"/>
    <w:multiLevelType w:val="hybridMultilevel"/>
    <w:tmpl w:val="0A826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0492E25"/>
    <w:multiLevelType w:val="hybridMultilevel"/>
    <w:tmpl w:val="D8C0D8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0864CF8"/>
    <w:multiLevelType w:val="hybridMultilevel"/>
    <w:tmpl w:val="1E1C94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1960F15"/>
    <w:multiLevelType w:val="hybridMultilevel"/>
    <w:tmpl w:val="A336CE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30201A"/>
    <w:multiLevelType w:val="hybridMultilevel"/>
    <w:tmpl w:val="8342E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5652897"/>
    <w:multiLevelType w:val="hybridMultilevel"/>
    <w:tmpl w:val="BD1214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0B14E0"/>
    <w:multiLevelType w:val="hybridMultilevel"/>
    <w:tmpl w:val="0264F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6B86B01"/>
    <w:multiLevelType w:val="hybridMultilevel"/>
    <w:tmpl w:val="B1407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2655AD"/>
    <w:multiLevelType w:val="hybridMultilevel"/>
    <w:tmpl w:val="3110B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89A396C"/>
    <w:multiLevelType w:val="hybridMultilevel"/>
    <w:tmpl w:val="2AB01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93615B0"/>
    <w:multiLevelType w:val="multilevel"/>
    <w:tmpl w:val="F27293EC"/>
    <w:name w:val="List num2"/>
    <w:lvl w:ilvl="0">
      <w:start w:val="1"/>
      <w:numFmt w:val="decimal"/>
      <w:pStyle w:val="Heading1numbered"/>
      <w:suff w:val="space"/>
      <w:lvlText w:val="Section %1.0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bere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bere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bere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ind w:left="0" w:firstLine="0"/>
      </w:pPr>
      <w:rPr>
        <w:rFonts w:hint="default"/>
      </w:rPr>
    </w:lvl>
  </w:abstractNum>
  <w:abstractNum w:abstractNumId="42" w15:restartNumberingAfterBreak="0">
    <w:nsid w:val="393A12AA"/>
    <w:multiLevelType w:val="multilevel"/>
    <w:tmpl w:val="1DE6843E"/>
    <w:lvl w:ilvl="0">
      <w:start w:val="1"/>
      <w:numFmt w:val="bullet"/>
      <w:pStyle w:val="Bullet1"/>
      <w:lvlText w:val=""/>
      <w:lvlJc w:val="left"/>
      <w:pPr>
        <w:ind w:left="284" w:hanging="284"/>
      </w:pPr>
      <w:rPr>
        <w:rFonts w:ascii="Wingdings 2" w:hAnsi="Wingdings 2" w:hint="default"/>
        <w:color w:val="4D92C0"/>
        <w:position w:val="2"/>
        <w:sz w:val="16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 Black" w:hAnsi="Arial Black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3" w15:restartNumberingAfterBreak="0">
    <w:nsid w:val="3A213F5C"/>
    <w:multiLevelType w:val="hybridMultilevel"/>
    <w:tmpl w:val="F29E3778"/>
    <w:lvl w:ilvl="0" w:tplc="4B28B7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A476B36"/>
    <w:multiLevelType w:val="hybridMultilevel"/>
    <w:tmpl w:val="A03EE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574170"/>
    <w:multiLevelType w:val="hybridMultilevel"/>
    <w:tmpl w:val="71F8B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DAE0BFE"/>
    <w:multiLevelType w:val="hybridMultilevel"/>
    <w:tmpl w:val="7F426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E020845"/>
    <w:multiLevelType w:val="hybridMultilevel"/>
    <w:tmpl w:val="E174C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EDA7276"/>
    <w:multiLevelType w:val="hybridMultilevel"/>
    <w:tmpl w:val="33440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F06137A"/>
    <w:multiLevelType w:val="hybridMultilevel"/>
    <w:tmpl w:val="CAF490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05E2853"/>
    <w:multiLevelType w:val="hybridMultilevel"/>
    <w:tmpl w:val="9DB82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1F8019E"/>
    <w:multiLevelType w:val="hybridMultilevel"/>
    <w:tmpl w:val="955A14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43DB7B53"/>
    <w:multiLevelType w:val="hybridMultilevel"/>
    <w:tmpl w:val="EB047E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55058E8"/>
    <w:multiLevelType w:val="hybridMultilevel"/>
    <w:tmpl w:val="C2E42F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6673334"/>
    <w:multiLevelType w:val="hybridMultilevel"/>
    <w:tmpl w:val="3032791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77355C4"/>
    <w:multiLevelType w:val="hybridMultilevel"/>
    <w:tmpl w:val="224E81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F0356B"/>
    <w:multiLevelType w:val="hybridMultilevel"/>
    <w:tmpl w:val="20F0E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C0F1525"/>
    <w:multiLevelType w:val="hybridMultilevel"/>
    <w:tmpl w:val="C688E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FBB7721"/>
    <w:multiLevelType w:val="hybridMultilevel"/>
    <w:tmpl w:val="ECFAEE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0A50A6F"/>
    <w:multiLevelType w:val="hybridMultilevel"/>
    <w:tmpl w:val="EA88EA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2A25606"/>
    <w:multiLevelType w:val="hybridMultilevel"/>
    <w:tmpl w:val="C51442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2C2286E"/>
    <w:multiLevelType w:val="hybridMultilevel"/>
    <w:tmpl w:val="9F2A83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32045F0"/>
    <w:multiLevelType w:val="hybridMultilevel"/>
    <w:tmpl w:val="22882E54"/>
    <w:lvl w:ilvl="0" w:tplc="F0B62AA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5CF3032"/>
    <w:multiLevelType w:val="hybridMultilevel"/>
    <w:tmpl w:val="D2BAA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6FD615A"/>
    <w:multiLevelType w:val="hybridMultilevel"/>
    <w:tmpl w:val="08DC5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9D16006"/>
    <w:multiLevelType w:val="hybridMultilevel"/>
    <w:tmpl w:val="178A7F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A7C19F8"/>
    <w:multiLevelType w:val="hybridMultilevel"/>
    <w:tmpl w:val="8A0EBF4E"/>
    <w:lvl w:ilvl="0" w:tplc="1180D1F6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7" w15:restartNumberingAfterBreak="0">
    <w:nsid w:val="5DE26FE7"/>
    <w:multiLevelType w:val="multilevel"/>
    <w:tmpl w:val="82C423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1191" w:hanging="397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588" w:hanging="397"/>
      </w:pPr>
      <w:rPr>
        <w:rFonts w:hint="default"/>
      </w:rPr>
    </w:lvl>
    <w:lvl w:ilvl="4">
      <w:start w:val="1"/>
      <w:numFmt w:val="upperRoman"/>
      <w:lvlRestart w:val="1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decimal"/>
      <w:lvlText w:val="%3.%4.%5.%6"/>
      <w:lvlJc w:val="left"/>
      <w:pPr>
        <w:tabs>
          <w:tab w:val="num" w:pos="2345"/>
        </w:tabs>
        <w:ind w:left="2382" w:hanging="397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742"/>
        </w:tabs>
        <w:ind w:left="2779" w:hanging="397"/>
      </w:pPr>
      <w:rPr>
        <w:rFonts w:hint="default"/>
      </w:rPr>
    </w:lvl>
    <w:lvl w:ilvl="7">
      <w:start w:val="1"/>
      <w:numFmt w:val="lowerRoman"/>
      <w:lvlText w:val="(%8)"/>
      <w:lvlJc w:val="left"/>
      <w:pPr>
        <w:tabs>
          <w:tab w:val="num" w:pos="3139"/>
        </w:tabs>
        <w:ind w:left="3176" w:hanging="39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536"/>
        </w:tabs>
        <w:ind w:left="3573" w:hanging="397"/>
      </w:pPr>
      <w:rPr>
        <w:rFonts w:hint="default"/>
      </w:rPr>
    </w:lvl>
  </w:abstractNum>
  <w:abstractNum w:abstractNumId="68" w15:restartNumberingAfterBreak="0">
    <w:nsid w:val="60E216F9"/>
    <w:multiLevelType w:val="hybridMultilevel"/>
    <w:tmpl w:val="2690D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1C769CC"/>
    <w:multiLevelType w:val="hybridMultilevel"/>
    <w:tmpl w:val="F8DA64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3F62F0A"/>
    <w:multiLevelType w:val="hybridMultilevel"/>
    <w:tmpl w:val="999679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642065B3"/>
    <w:multiLevelType w:val="hybridMultilevel"/>
    <w:tmpl w:val="7FC879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57340A5"/>
    <w:multiLevelType w:val="hybridMultilevel"/>
    <w:tmpl w:val="74B4A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5B81D84"/>
    <w:multiLevelType w:val="hybridMultilevel"/>
    <w:tmpl w:val="7A7ECBD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65E96FF1"/>
    <w:multiLevelType w:val="hybridMultilevel"/>
    <w:tmpl w:val="6F8E16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76C7157"/>
    <w:multiLevelType w:val="hybridMultilevel"/>
    <w:tmpl w:val="5DDE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7723ED4"/>
    <w:multiLevelType w:val="hybridMultilevel"/>
    <w:tmpl w:val="86FCE6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8BC48A5"/>
    <w:multiLevelType w:val="hybridMultilevel"/>
    <w:tmpl w:val="705853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9AD4F8E"/>
    <w:multiLevelType w:val="hybridMultilevel"/>
    <w:tmpl w:val="C4267E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C780090"/>
    <w:multiLevelType w:val="hybridMultilevel"/>
    <w:tmpl w:val="A0E4C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C8622E4"/>
    <w:multiLevelType w:val="hybridMultilevel"/>
    <w:tmpl w:val="872AD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130062F"/>
    <w:multiLevelType w:val="hybridMultilevel"/>
    <w:tmpl w:val="BCC6AF80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2" w15:restartNumberingAfterBreak="0">
    <w:nsid w:val="72487CE7"/>
    <w:multiLevelType w:val="hybridMultilevel"/>
    <w:tmpl w:val="80F23A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620737C"/>
    <w:multiLevelType w:val="hybridMultilevel"/>
    <w:tmpl w:val="5B9E1C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6420167"/>
    <w:multiLevelType w:val="hybridMultilevel"/>
    <w:tmpl w:val="04A8F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784481C"/>
    <w:multiLevelType w:val="hybridMultilevel"/>
    <w:tmpl w:val="329CD2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8E07830"/>
    <w:multiLevelType w:val="hybridMultilevel"/>
    <w:tmpl w:val="1BC82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99407CD"/>
    <w:multiLevelType w:val="hybridMultilevel"/>
    <w:tmpl w:val="4DAE5C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CEC56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A7E12E5"/>
    <w:multiLevelType w:val="multilevel"/>
    <w:tmpl w:val="A574FE92"/>
    <w:lvl w:ilvl="0">
      <w:start w:val="1"/>
      <w:numFmt w:val="decimal"/>
      <w:pStyle w:val="Numpara"/>
      <w:lvlText w:val="%1."/>
      <w:lvlJc w:val="left"/>
      <w:pPr>
        <w:ind w:left="397" w:hanging="397"/>
      </w:pPr>
      <w:rPr>
        <w:rFonts w:ascii="VIC Medium" w:hAnsi="VIC Medium" w:hint="default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89" w15:restartNumberingAfterBreak="0">
    <w:nsid w:val="7AC77925"/>
    <w:multiLevelType w:val="hybridMultilevel"/>
    <w:tmpl w:val="56187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C6D41CE"/>
    <w:multiLevelType w:val="hybridMultilevel"/>
    <w:tmpl w:val="A036A8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EE16042"/>
    <w:multiLevelType w:val="hybridMultilevel"/>
    <w:tmpl w:val="9A9016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FD44514"/>
    <w:multiLevelType w:val="multilevel"/>
    <w:tmpl w:val="457635A8"/>
    <w:name w:val="List num"/>
    <w:lvl w:ilvl="0">
      <w:start w:val="1"/>
      <w:numFmt w:val="lowerLetter"/>
      <w:pStyle w:val="Listnum"/>
      <w:lvlText w:val="(%1)"/>
      <w:lvlJc w:val="left"/>
      <w:pPr>
        <w:ind w:left="397" w:hanging="397"/>
      </w:pPr>
      <w:rPr>
        <w:rFonts w:hint="default"/>
      </w:rPr>
    </w:lvl>
    <w:lvl w:ilvl="1">
      <w:start w:val="1"/>
      <w:numFmt w:val="lowerRoman"/>
      <w:pStyle w:val="Listnum2"/>
      <w:lvlText w:val="(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1191" w:hanging="397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588" w:hanging="397"/>
      </w:pPr>
      <w:rPr>
        <w:rFonts w:hint="default"/>
      </w:rPr>
    </w:lvl>
    <w:lvl w:ilvl="4">
      <w:start w:val="1"/>
      <w:numFmt w:val="upperRoman"/>
      <w:lvlRestart w:val="1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decimal"/>
      <w:lvlText w:val="%3.%4.%5.%6"/>
      <w:lvlJc w:val="left"/>
      <w:pPr>
        <w:tabs>
          <w:tab w:val="num" w:pos="2345"/>
        </w:tabs>
        <w:ind w:left="2382" w:hanging="397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742"/>
        </w:tabs>
        <w:ind w:left="2779" w:hanging="397"/>
      </w:pPr>
      <w:rPr>
        <w:rFonts w:hint="default"/>
      </w:rPr>
    </w:lvl>
    <w:lvl w:ilvl="7">
      <w:start w:val="1"/>
      <w:numFmt w:val="lowerRoman"/>
      <w:lvlText w:val="(%8)"/>
      <w:lvlJc w:val="left"/>
      <w:pPr>
        <w:tabs>
          <w:tab w:val="num" w:pos="3139"/>
        </w:tabs>
        <w:ind w:left="3176" w:hanging="39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536"/>
        </w:tabs>
        <w:ind w:left="3573" w:hanging="397"/>
      </w:pPr>
      <w:rPr>
        <w:rFonts w:hint="default"/>
      </w:rPr>
    </w:lvl>
  </w:abstractNum>
  <w:num w:numId="1">
    <w:abstractNumId w:val="92"/>
  </w:num>
  <w:num w:numId="2">
    <w:abstractNumId w:val="22"/>
  </w:num>
  <w:num w:numId="3">
    <w:abstractNumId w:val="88"/>
  </w:num>
  <w:num w:numId="4">
    <w:abstractNumId w:val="42"/>
  </w:num>
  <w:num w:numId="5">
    <w:abstractNumId w:val="41"/>
  </w:num>
  <w:num w:numId="6">
    <w:abstractNumId w:val="23"/>
  </w:num>
  <w:num w:numId="7">
    <w:abstractNumId w:val="58"/>
  </w:num>
  <w:num w:numId="8">
    <w:abstractNumId w:val="86"/>
  </w:num>
  <w:num w:numId="9">
    <w:abstractNumId w:val="60"/>
  </w:num>
  <w:num w:numId="10">
    <w:abstractNumId w:val="55"/>
  </w:num>
  <w:num w:numId="11">
    <w:abstractNumId w:val="47"/>
  </w:num>
  <w:num w:numId="12">
    <w:abstractNumId w:val="2"/>
  </w:num>
  <w:num w:numId="13">
    <w:abstractNumId w:val="66"/>
  </w:num>
  <w:num w:numId="14">
    <w:abstractNumId w:val="80"/>
  </w:num>
  <w:num w:numId="15">
    <w:abstractNumId w:val="63"/>
  </w:num>
  <w:num w:numId="16">
    <w:abstractNumId w:val="65"/>
  </w:num>
  <w:num w:numId="17">
    <w:abstractNumId w:val="77"/>
  </w:num>
  <w:num w:numId="18">
    <w:abstractNumId w:val="56"/>
  </w:num>
  <w:num w:numId="19">
    <w:abstractNumId w:val="83"/>
  </w:num>
  <w:num w:numId="20">
    <w:abstractNumId w:val="87"/>
  </w:num>
  <w:num w:numId="21">
    <w:abstractNumId w:val="72"/>
  </w:num>
  <w:num w:numId="22">
    <w:abstractNumId w:val="31"/>
  </w:num>
  <w:num w:numId="23">
    <w:abstractNumId w:val="4"/>
  </w:num>
  <w:num w:numId="24">
    <w:abstractNumId w:val="14"/>
  </w:num>
  <w:num w:numId="25">
    <w:abstractNumId w:val="57"/>
  </w:num>
  <w:num w:numId="26">
    <w:abstractNumId w:val="1"/>
  </w:num>
  <w:num w:numId="27">
    <w:abstractNumId w:val="20"/>
  </w:num>
  <w:num w:numId="28">
    <w:abstractNumId w:val="19"/>
  </w:num>
  <w:num w:numId="29">
    <w:abstractNumId w:val="9"/>
  </w:num>
  <w:num w:numId="30">
    <w:abstractNumId w:val="69"/>
  </w:num>
  <w:num w:numId="31">
    <w:abstractNumId w:val="3"/>
  </w:num>
  <w:num w:numId="32">
    <w:abstractNumId w:val="21"/>
  </w:num>
  <w:num w:numId="33">
    <w:abstractNumId w:val="85"/>
  </w:num>
  <w:num w:numId="34">
    <w:abstractNumId w:val="40"/>
  </w:num>
  <w:num w:numId="35">
    <w:abstractNumId w:val="75"/>
  </w:num>
  <w:num w:numId="36">
    <w:abstractNumId w:val="8"/>
  </w:num>
  <w:num w:numId="37">
    <w:abstractNumId w:val="59"/>
  </w:num>
  <w:num w:numId="38">
    <w:abstractNumId w:val="43"/>
  </w:num>
  <w:num w:numId="39">
    <w:abstractNumId w:val="39"/>
  </w:num>
  <w:num w:numId="40">
    <w:abstractNumId w:val="44"/>
  </w:num>
  <w:num w:numId="41">
    <w:abstractNumId w:val="38"/>
  </w:num>
  <w:num w:numId="42">
    <w:abstractNumId w:val="64"/>
  </w:num>
  <w:num w:numId="43">
    <w:abstractNumId w:val="90"/>
  </w:num>
  <w:num w:numId="44">
    <w:abstractNumId w:val="48"/>
  </w:num>
  <w:num w:numId="45">
    <w:abstractNumId w:val="26"/>
  </w:num>
  <w:num w:numId="46">
    <w:abstractNumId w:val="71"/>
  </w:num>
  <w:num w:numId="47">
    <w:abstractNumId w:val="49"/>
  </w:num>
  <w:num w:numId="48">
    <w:abstractNumId w:val="35"/>
  </w:num>
  <w:num w:numId="49">
    <w:abstractNumId w:val="29"/>
  </w:num>
  <w:num w:numId="50">
    <w:abstractNumId w:val="25"/>
  </w:num>
  <w:num w:numId="51">
    <w:abstractNumId w:val="24"/>
  </w:num>
  <w:num w:numId="52">
    <w:abstractNumId w:val="11"/>
  </w:num>
  <w:num w:numId="53">
    <w:abstractNumId w:val="53"/>
  </w:num>
  <w:num w:numId="54">
    <w:abstractNumId w:val="74"/>
  </w:num>
  <w:num w:numId="55">
    <w:abstractNumId w:val="84"/>
  </w:num>
  <w:num w:numId="56">
    <w:abstractNumId w:val="91"/>
  </w:num>
  <w:num w:numId="57">
    <w:abstractNumId w:val="37"/>
  </w:num>
  <w:num w:numId="58">
    <w:abstractNumId w:val="76"/>
  </w:num>
  <w:num w:numId="59">
    <w:abstractNumId w:val="68"/>
  </w:num>
  <w:num w:numId="60">
    <w:abstractNumId w:val="79"/>
  </w:num>
  <w:num w:numId="61">
    <w:abstractNumId w:val="33"/>
  </w:num>
  <w:num w:numId="62">
    <w:abstractNumId w:val="78"/>
  </w:num>
  <w:num w:numId="63">
    <w:abstractNumId w:val="50"/>
  </w:num>
  <w:num w:numId="64">
    <w:abstractNumId w:val="15"/>
  </w:num>
  <w:num w:numId="65">
    <w:abstractNumId w:val="45"/>
  </w:num>
  <w:num w:numId="66">
    <w:abstractNumId w:val="46"/>
  </w:num>
  <w:num w:numId="67">
    <w:abstractNumId w:val="7"/>
  </w:num>
  <w:num w:numId="68">
    <w:abstractNumId w:val="0"/>
  </w:num>
  <w:num w:numId="69">
    <w:abstractNumId w:val="82"/>
  </w:num>
  <w:num w:numId="70">
    <w:abstractNumId w:val="16"/>
  </w:num>
  <w:num w:numId="71">
    <w:abstractNumId w:val="32"/>
  </w:num>
  <w:num w:numId="72">
    <w:abstractNumId w:val="52"/>
  </w:num>
  <w:num w:numId="73">
    <w:abstractNumId w:val="89"/>
  </w:num>
  <w:num w:numId="74">
    <w:abstractNumId w:val="36"/>
  </w:num>
  <w:num w:numId="75">
    <w:abstractNumId w:val="18"/>
  </w:num>
  <w:num w:numId="76">
    <w:abstractNumId w:val="13"/>
  </w:num>
  <w:num w:numId="77">
    <w:abstractNumId w:val="54"/>
  </w:num>
  <w:num w:numId="78">
    <w:abstractNumId w:val="62"/>
  </w:num>
  <w:num w:numId="79">
    <w:abstractNumId w:val="17"/>
  </w:num>
  <w:num w:numId="80">
    <w:abstractNumId w:val="6"/>
  </w:num>
  <w:num w:numId="81">
    <w:abstractNumId w:val="73"/>
  </w:num>
  <w:num w:numId="82">
    <w:abstractNumId w:val="30"/>
  </w:num>
  <w:num w:numId="83">
    <w:abstractNumId w:val="10"/>
  </w:num>
  <w:num w:numId="84">
    <w:abstractNumId w:val="27"/>
  </w:num>
  <w:num w:numId="85">
    <w:abstractNumId w:val="34"/>
  </w:num>
  <w:num w:numId="86">
    <w:abstractNumId w:val="28"/>
  </w:num>
  <w:num w:numId="87">
    <w:abstractNumId w:val="81"/>
  </w:num>
  <w:num w:numId="88">
    <w:abstractNumId w:val="42"/>
  </w:num>
  <w:num w:numId="89">
    <w:abstractNumId w:val="67"/>
  </w:num>
  <w:num w:numId="90">
    <w:abstractNumId w:val="70"/>
  </w:num>
  <w:num w:numId="91">
    <w:abstractNumId w:val="5"/>
  </w:num>
  <w:num w:numId="92">
    <w:abstractNumId w:val="51"/>
  </w:num>
  <w:num w:numId="93">
    <w:abstractNumId w:val="61"/>
  </w:num>
  <w:num w:numId="94">
    <w:abstractNumId w:val="12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66E"/>
    <w:rsid w:val="000025BD"/>
    <w:rsid w:val="0000382D"/>
    <w:rsid w:val="000053FD"/>
    <w:rsid w:val="0000791A"/>
    <w:rsid w:val="00011530"/>
    <w:rsid w:val="00011773"/>
    <w:rsid w:val="00012330"/>
    <w:rsid w:val="00012F6F"/>
    <w:rsid w:val="00013E35"/>
    <w:rsid w:val="00014213"/>
    <w:rsid w:val="00014B55"/>
    <w:rsid w:val="00015F4B"/>
    <w:rsid w:val="00020BF4"/>
    <w:rsid w:val="00020E3E"/>
    <w:rsid w:val="00023BF3"/>
    <w:rsid w:val="00025FFB"/>
    <w:rsid w:val="00026811"/>
    <w:rsid w:val="00027F53"/>
    <w:rsid w:val="0003107D"/>
    <w:rsid w:val="000316F0"/>
    <w:rsid w:val="000335CD"/>
    <w:rsid w:val="00034747"/>
    <w:rsid w:val="0004185E"/>
    <w:rsid w:val="00041869"/>
    <w:rsid w:val="00042A89"/>
    <w:rsid w:val="00042FC8"/>
    <w:rsid w:val="000442F0"/>
    <w:rsid w:val="00046821"/>
    <w:rsid w:val="00046C82"/>
    <w:rsid w:val="00046FD9"/>
    <w:rsid w:val="000533E9"/>
    <w:rsid w:val="000534BD"/>
    <w:rsid w:val="00053E94"/>
    <w:rsid w:val="00056988"/>
    <w:rsid w:val="00056989"/>
    <w:rsid w:val="0005708D"/>
    <w:rsid w:val="000579D7"/>
    <w:rsid w:val="00060391"/>
    <w:rsid w:val="00061101"/>
    <w:rsid w:val="00061EF4"/>
    <w:rsid w:val="000621DE"/>
    <w:rsid w:val="00063348"/>
    <w:rsid w:val="00066386"/>
    <w:rsid w:val="000718B7"/>
    <w:rsid w:val="00072279"/>
    <w:rsid w:val="00073407"/>
    <w:rsid w:val="00074A50"/>
    <w:rsid w:val="00074AC7"/>
    <w:rsid w:val="00075E6C"/>
    <w:rsid w:val="00076A3A"/>
    <w:rsid w:val="00081C12"/>
    <w:rsid w:val="00081F18"/>
    <w:rsid w:val="000847D3"/>
    <w:rsid w:val="00087D42"/>
    <w:rsid w:val="000907A1"/>
    <w:rsid w:val="00090C32"/>
    <w:rsid w:val="000914E2"/>
    <w:rsid w:val="00091CDF"/>
    <w:rsid w:val="0009260A"/>
    <w:rsid w:val="00093F53"/>
    <w:rsid w:val="00095D24"/>
    <w:rsid w:val="0009658C"/>
    <w:rsid w:val="000968BE"/>
    <w:rsid w:val="00097CC0"/>
    <w:rsid w:val="000A0815"/>
    <w:rsid w:val="000A082E"/>
    <w:rsid w:val="000A08C4"/>
    <w:rsid w:val="000A1146"/>
    <w:rsid w:val="000A17EE"/>
    <w:rsid w:val="000A5879"/>
    <w:rsid w:val="000B29AD"/>
    <w:rsid w:val="000B5374"/>
    <w:rsid w:val="000C09EE"/>
    <w:rsid w:val="000C1030"/>
    <w:rsid w:val="000C1579"/>
    <w:rsid w:val="000C6372"/>
    <w:rsid w:val="000C6741"/>
    <w:rsid w:val="000C7B71"/>
    <w:rsid w:val="000D0AAC"/>
    <w:rsid w:val="000D638F"/>
    <w:rsid w:val="000D6DC6"/>
    <w:rsid w:val="000D70FC"/>
    <w:rsid w:val="000D7841"/>
    <w:rsid w:val="000E1605"/>
    <w:rsid w:val="000E2625"/>
    <w:rsid w:val="000E2BC5"/>
    <w:rsid w:val="000E3486"/>
    <w:rsid w:val="000E392D"/>
    <w:rsid w:val="000E39B6"/>
    <w:rsid w:val="000E3D05"/>
    <w:rsid w:val="000E7288"/>
    <w:rsid w:val="000E7F77"/>
    <w:rsid w:val="000F06FB"/>
    <w:rsid w:val="000F2DE5"/>
    <w:rsid w:val="000F4288"/>
    <w:rsid w:val="000F4969"/>
    <w:rsid w:val="000F7165"/>
    <w:rsid w:val="000F7CC2"/>
    <w:rsid w:val="0010027A"/>
    <w:rsid w:val="0010051E"/>
    <w:rsid w:val="00102379"/>
    <w:rsid w:val="00103722"/>
    <w:rsid w:val="00104428"/>
    <w:rsid w:val="00104FAB"/>
    <w:rsid w:val="00105122"/>
    <w:rsid w:val="001063A6"/>
    <w:rsid w:val="001065D6"/>
    <w:rsid w:val="001068D5"/>
    <w:rsid w:val="00107062"/>
    <w:rsid w:val="00113396"/>
    <w:rsid w:val="00121252"/>
    <w:rsid w:val="00121414"/>
    <w:rsid w:val="00123D8F"/>
    <w:rsid w:val="00123E79"/>
    <w:rsid w:val="00124609"/>
    <w:rsid w:val="001254CE"/>
    <w:rsid w:val="00127FAA"/>
    <w:rsid w:val="00130647"/>
    <w:rsid w:val="00131CB8"/>
    <w:rsid w:val="00133C22"/>
    <w:rsid w:val="00135353"/>
    <w:rsid w:val="001375D7"/>
    <w:rsid w:val="00137C32"/>
    <w:rsid w:val="00141B91"/>
    <w:rsid w:val="0014224F"/>
    <w:rsid w:val="001422CC"/>
    <w:rsid w:val="00144F81"/>
    <w:rsid w:val="00145346"/>
    <w:rsid w:val="00147AAB"/>
    <w:rsid w:val="00147E17"/>
    <w:rsid w:val="001509FC"/>
    <w:rsid w:val="001514F0"/>
    <w:rsid w:val="0015288B"/>
    <w:rsid w:val="001529A6"/>
    <w:rsid w:val="00154351"/>
    <w:rsid w:val="001556DE"/>
    <w:rsid w:val="00157A90"/>
    <w:rsid w:val="001617B6"/>
    <w:rsid w:val="00164A9B"/>
    <w:rsid w:val="00165D0C"/>
    <w:rsid w:val="00165DB8"/>
    <w:rsid w:val="00165E66"/>
    <w:rsid w:val="0016607C"/>
    <w:rsid w:val="0017033D"/>
    <w:rsid w:val="00171948"/>
    <w:rsid w:val="00171DF6"/>
    <w:rsid w:val="001757A5"/>
    <w:rsid w:val="00175D35"/>
    <w:rsid w:val="00176E84"/>
    <w:rsid w:val="0018325D"/>
    <w:rsid w:val="00183902"/>
    <w:rsid w:val="00183EDB"/>
    <w:rsid w:val="001850D0"/>
    <w:rsid w:val="001862A0"/>
    <w:rsid w:val="00186A25"/>
    <w:rsid w:val="0018751F"/>
    <w:rsid w:val="001903DC"/>
    <w:rsid w:val="001960C5"/>
    <w:rsid w:val="00196143"/>
    <w:rsid w:val="001970BE"/>
    <w:rsid w:val="001A13D4"/>
    <w:rsid w:val="001A15F9"/>
    <w:rsid w:val="001A24FC"/>
    <w:rsid w:val="001A706C"/>
    <w:rsid w:val="001A75D0"/>
    <w:rsid w:val="001B6237"/>
    <w:rsid w:val="001C063B"/>
    <w:rsid w:val="001C0DB6"/>
    <w:rsid w:val="001C1AEB"/>
    <w:rsid w:val="001C3FAD"/>
    <w:rsid w:val="001C55A2"/>
    <w:rsid w:val="001C5EB6"/>
    <w:rsid w:val="001C6C21"/>
    <w:rsid w:val="001C7BAE"/>
    <w:rsid w:val="001D0F73"/>
    <w:rsid w:val="001D2D43"/>
    <w:rsid w:val="001D4C35"/>
    <w:rsid w:val="001E0879"/>
    <w:rsid w:val="001E0C6A"/>
    <w:rsid w:val="001E2166"/>
    <w:rsid w:val="001E31FA"/>
    <w:rsid w:val="001E48F9"/>
    <w:rsid w:val="001E64F6"/>
    <w:rsid w:val="001E666A"/>
    <w:rsid w:val="001E6B8F"/>
    <w:rsid w:val="001E6F9A"/>
    <w:rsid w:val="001E7AB2"/>
    <w:rsid w:val="001E7AEB"/>
    <w:rsid w:val="001F5FE7"/>
    <w:rsid w:val="0020099E"/>
    <w:rsid w:val="002026E8"/>
    <w:rsid w:val="00204297"/>
    <w:rsid w:val="00204B82"/>
    <w:rsid w:val="002101DD"/>
    <w:rsid w:val="00210DE6"/>
    <w:rsid w:val="0021135A"/>
    <w:rsid w:val="002131C8"/>
    <w:rsid w:val="0021449E"/>
    <w:rsid w:val="002146E2"/>
    <w:rsid w:val="00214A3C"/>
    <w:rsid w:val="00221E7E"/>
    <w:rsid w:val="00222BEB"/>
    <w:rsid w:val="002237AB"/>
    <w:rsid w:val="00224699"/>
    <w:rsid w:val="00225E60"/>
    <w:rsid w:val="00230BBB"/>
    <w:rsid w:val="0023175B"/>
    <w:rsid w:val="0023202C"/>
    <w:rsid w:val="00232EDD"/>
    <w:rsid w:val="00233541"/>
    <w:rsid w:val="00233AFE"/>
    <w:rsid w:val="00233E01"/>
    <w:rsid w:val="00234619"/>
    <w:rsid w:val="00234CD6"/>
    <w:rsid w:val="00235C0E"/>
    <w:rsid w:val="0023694D"/>
    <w:rsid w:val="00240BFC"/>
    <w:rsid w:val="0024232C"/>
    <w:rsid w:val="00245043"/>
    <w:rsid w:val="0025022B"/>
    <w:rsid w:val="0025213B"/>
    <w:rsid w:val="002550EE"/>
    <w:rsid w:val="00255DD0"/>
    <w:rsid w:val="00257461"/>
    <w:rsid w:val="0026028E"/>
    <w:rsid w:val="00263221"/>
    <w:rsid w:val="002633C2"/>
    <w:rsid w:val="00263C8C"/>
    <w:rsid w:val="00265070"/>
    <w:rsid w:val="00265EC8"/>
    <w:rsid w:val="00266467"/>
    <w:rsid w:val="002678FA"/>
    <w:rsid w:val="002726B5"/>
    <w:rsid w:val="002726C1"/>
    <w:rsid w:val="002729C7"/>
    <w:rsid w:val="00273707"/>
    <w:rsid w:val="0027439D"/>
    <w:rsid w:val="00276D19"/>
    <w:rsid w:val="0028254B"/>
    <w:rsid w:val="00282C51"/>
    <w:rsid w:val="00283031"/>
    <w:rsid w:val="00284FA2"/>
    <w:rsid w:val="00286087"/>
    <w:rsid w:val="00286992"/>
    <w:rsid w:val="00286E37"/>
    <w:rsid w:val="00287E89"/>
    <w:rsid w:val="0029247C"/>
    <w:rsid w:val="0029274E"/>
    <w:rsid w:val="00292D36"/>
    <w:rsid w:val="00294A5A"/>
    <w:rsid w:val="00297281"/>
    <w:rsid w:val="0029740A"/>
    <w:rsid w:val="00297A47"/>
    <w:rsid w:val="002A2D9B"/>
    <w:rsid w:val="002A3F1E"/>
    <w:rsid w:val="002A5601"/>
    <w:rsid w:val="002A5891"/>
    <w:rsid w:val="002A59F0"/>
    <w:rsid w:val="002A5A2D"/>
    <w:rsid w:val="002B0396"/>
    <w:rsid w:val="002B03F1"/>
    <w:rsid w:val="002B123C"/>
    <w:rsid w:val="002B153D"/>
    <w:rsid w:val="002B2097"/>
    <w:rsid w:val="002B31C0"/>
    <w:rsid w:val="002B4701"/>
    <w:rsid w:val="002B5E2B"/>
    <w:rsid w:val="002B61FA"/>
    <w:rsid w:val="002B6DAA"/>
    <w:rsid w:val="002C111D"/>
    <w:rsid w:val="002C64D0"/>
    <w:rsid w:val="002D0C2B"/>
    <w:rsid w:val="002D0FD2"/>
    <w:rsid w:val="002D21A6"/>
    <w:rsid w:val="002D31DF"/>
    <w:rsid w:val="002D585A"/>
    <w:rsid w:val="002D6A62"/>
    <w:rsid w:val="002D6DB2"/>
    <w:rsid w:val="002D70F7"/>
    <w:rsid w:val="002D711A"/>
    <w:rsid w:val="002D7336"/>
    <w:rsid w:val="002D7FC6"/>
    <w:rsid w:val="002E02EA"/>
    <w:rsid w:val="002E09A8"/>
    <w:rsid w:val="002E1AE7"/>
    <w:rsid w:val="002E266E"/>
    <w:rsid w:val="002E269F"/>
    <w:rsid w:val="002E3396"/>
    <w:rsid w:val="002E371D"/>
    <w:rsid w:val="002E3B36"/>
    <w:rsid w:val="002E42F9"/>
    <w:rsid w:val="002E4FD5"/>
    <w:rsid w:val="002E5D87"/>
    <w:rsid w:val="002F0049"/>
    <w:rsid w:val="002F1744"/>
    <w:rsid w:val="002F2953"/>
    <w:rsid w:val="002F37C2"/>
    <w:rsid w:val="002F4FDD"/>
    <w:rsid w:val="002F565E"/>
    <w:rsid w:val="002F62E6"/>
    <w:rsid w:val="00300345"/>
    <w:rsid w:val="00301503"/>
    <w:rsid w:val="00302FB7"/>
    <w:rsid w:val="00304253"/>
    <w:rsid w:val="00306345"/>
    <w:rsid w:val="00307A30"/>
    <w:rsid w:val="0031149C"/>
    <w:rsid w:val="00311C11"/>
    <w:rsid w:val="00313019"/>
    <w:rsid w:val="00313256"/>
    <w:rsid w:val="00314AF9"/>
    <w:rsid w:val="00317E9B"/>
    <w:rsid w:val="003264DB"/>
    <w:rsid w:val="003277E4"/>
    <w:rsid w:val="003308F2"/>
    <w:rsid w:val="00333C59"/>
    <w:rsid w:val="0033438E"/>
    <w:rsid w:val="0033571C"/>
    <w:rsid w:val="00340EEC"/>
    <w:rsid w:val="00343A2D"/>
    <w:rsid w:val="00346B3A"/>
    <w:rsid w:val="0034723E"/>
    <w:rsid w:val="0034727C"/>
    <w:rsid w:val="00347FBF"/>
    <w:rsid w:val="00351A8F"/>
    <w:rsid w:val="0035302E"/>
    <w:rsid w:val="003566B1"/>
    <w:rsid w:val="00356EF5"/>
    <w:rsid w:val="003575EC"/>
    <w:rsid w:val="0036258C"/>
    <w:rsid w:val="003663CC"/>
    <w:rsid w:val="00367108"/>
    <w:rsid w:val="0036778F"/>
    <w:rsid w:val="003701AF"/>
    <w:rsid w:val="00375AB7"/>
    <w:rsid w:val="00376BA4"/>
    <w:rsid w:val="0038662E"/>
    <w:rsid w:val="0038771C"/>
    <w:rsid w:val="00392204"/>
    <w:rsid w:val="003943A9"/>
    <w:rsid w:val="00395078"/>
    <w:rsid w:val="00396552"/>
    <w:rsid w:val="003969A9"/>
    <w:rsid w:val="003974BC"/>
    <w:rsid w:val="003A430B"/>
    <w:rsid w:val="003A50B3"/>
    <w:rsid w:val="003A541A"/>
    <w:rsid w:val="003A6923"/>
    <w:rsid w:val="003A70EE"/>
    <w:rsid w:val="003B03DE"/>
    <w:rsid w:val="003B0C79"/>
    <w:rsid w:val="003B1B18"/>
    <w:rsid w:val="003B211F"/>
    <w:rsid w:val="003B4422"/>
    <w:rsid w:val="003B713B"/>
    <w:rsid w:val="003B75C2"/>
    <w:rsid w:val="003B7B6F"/>
    <w:rsid w:val="003C12F7"/>
    <w:rsid w:val="003C1B2F"/>
    <w:rsid w:val="003C2C67"/>
    <w:rsid w:val="003C2D4C"/>
    <w:rsid w:val="003C3B3A"/>
    <w:rsid w:val="003C5BA4"/>
    <w:rsid w:val="003C7395"/>
    <w:rsid w:val="003C7B3F"/>
    <w:rsid w:val="003D124D"/>
    <w:rsid w:val="003D1F26"/>
    <w:rsid w:val="003D27D1"/>
    <w:rsid w:val="003D49B4"/>
    <w:rsid w:val="003E1AAE"/>
    <w:rsid w:val="003E2CA4"/>
    <w:rsid w:val="003E30C1"/>
    <w:rsid w:val="003E353E"/>
    <w:rsid w:val="003E3E26"/>
    <w:rsid w:val="003E5DFC"/>
    <w:rsid w:val="003E608A"/>
    <w:rsid w:val="003E6D4D"/>
    <w:rsid w:val="003E7B59"/>
    <w:rsid w:val="003F1295"/>
    <w:rsid w:val="003F5102"/>
    <w:rsid w:val="003F6E9D"/>
    <w:rsid w:val="003F7061"/>
    <w:rsid w:val="003F76FC"/>
    <w:rsid w:val="003F7E24"/>
    <w:rsid w:val="004002EB"/>
    <w:rsid w:val="004027A8"/>
    <w:rsid w:val="00403B9C"/>
    <w:rsid w:val="00405D97"/>
    <w:rsid w:val="00405EF7"/>
    <w:rsid w:val="00407A79"/>
    <w:rsid w:val="00410C12"/>
    <w:rsid w:val="00412E12"/>
    <w:rsid w:val="00413174"/>
    <w:rsid w:val="00413967"/>
    <w:rsid w:val="00415267"/>
    <w:rsid w:val="00416903"/>
    <w:rsid w:val="00416EF5"/>
    <w:rsid w:val="00417CF4"/>
    <w:rsid w:val="00420F3A"/>
    <w:rsid w:val="00421354"/>
    <w:rsid w:val="00422DDC"/>
    <w:rsid w:val="004231B5"/>
    <w:rsid w:val="004233FF"/>
    <w:rsid w:val="004236C8"/>
    <w:rsid w:val="00424068"/>
    <w:rsid w:val="00424D0F"/>
    <w:rsid w:val="00427681"/>
    <w:rsid w:val="00427E71"/>
    <w:rsid w:val="004302DB"/>
    <w:rsid w:val="004330C3"/>
    <w:rsid w:val="00433123"/>
    <w:rsid w:val="00433DB7"/>
    <w:rsid w:val="004352BE"/>
    <w:rsid w:val="00436BFB"/>
    <w:rsid w:val="00437585"/>
    <w:rsid w:val="0044055F"/>
    <w:rsid w:val="0044094C"/>
    <w:rsid w:val="00440F01"/>
    <w:rsid w:val="004430C6"/>
    <w:rsid w:val="00445D48"/>
    <w:rsid w:val="0044621B"/>
    <w:rsid w:val="00451D48"/>
    <w:rsid w:val="00453750"/>
    <w:rsid w:val="004543CF"/>
    <w:rsid w:val="004560CD"/>
    <w:rsid w:val="00456941"/>
    <w:rsid w:val="00456F01"/>
    <w:rsid w:val="00457EA5"/>
    <w:rsid w:val="00461661"/>
    <w:rsid w:val="00465BF2"/>
    <w:rsid w:val="004664AA"/>
    <w:rsid w:val="004702EA"/>
    <w:rsid w:val="0047241B"/>
    <w:rsid w:val="00472DC7"/>
    <w:rsid w:val="00472E0A"/>
    <w:rsid w:val="0047577E"/>
    <w:rsid w:val="00475C55"/>
    <w:rsid w:val="00476DB8"/>
    <w:rsid w:val="00477FA7"/>
    <w:rsid w:val="00481252"/>
    <w:rsid w:val="004822FE"/>
    <w:rsid w:val="0048259C"/>
    <w:rsid w:val="00482D02"/>
    <w:rsid w:val="00483649"/>
    <w:rsid w:val="0048418C"/>
    <w:rsid w:val="00484326"/>
    <w:rsid w:val="00486861"/>
    <w:rsid w:val="0048751C"/>
    <w:rsid w:val="00490369"/>
    <w:rsid w:val="00493B61"/>
    <w:rsid w:val="00495572"/>
    <w:rsid w:val="00495979"/>
    <w:rsid w:val="00496E3B"/>
    <w:rsid w:val="004970EC"/>
    <w:rsid w:val="00497F6D"/>
    <w:rsid w:val="004A1482"/>
    <w:rsid w:val="004A269B"/>
    <w:rsid w:val="004A38CD"/>
    <w:rsid w:val="004A670F"/>
    <w:rsid w:val="004A7519"/>
    <w:rsid w:val="004B04C3"/>
    <w:rsid w:val="004B1D8A"/>
    <w:rsid w:val="004B2331"/>
    <w:rsid w:val="004B2789"/>
    <w:rsid w:val="004B2AB4"/>
    <w:rsid w:val="004B3DBC"/>
    <w:rsid w:val="004B3DE9"/>
    <w:rsid w:val="004B430D"/>
    <w:rsid w:val="004B44D1"/>
    <w:rsid w:val="004B5E72"/>
    <w:rsid w:val="004B64B1"/>
    <w:rsid w:val="004B6C00"/>
    <w:rsid w:val="004C3603"/>
    <w:rsid w:val="004C3729"/>
    <w:rsid w:val="004C4063"/>
    <w:rsid w:val="004C4E37"/>
    <w:rsid w:val="004C673F"/>
    <w:rsid w:val="004C6C48"/>
    <w:rsid w:val="004D01AC"/>
    <w:rsid w:val="004D10EC"/>
    <w:rsid w:val="004D28FF"/>
    <w:rsid w:val="004D330A"/>
    <w:rsid w:val="004D3518"/>
    <w:rsid w:val="004D4D97"/>
    <w:rsid w:val="004D62D6"/>
    <w:rsid w:val="004D6898"/>
    <w:rsid w:val="004D777B"/>
    <w:rsid w:val="004E026E"/>
    <w:rsid w:val="004E053B"/>
    <w:rsid w:val="004E251D"/>
    <w:rsid w:val="004E3515"/>
    <w:rsid w:val="004E36A7"/>
    <w:rsid w:val="004E52A9"/>
    <w:rsid w:val="004E6740"/>
    <w:rsid w:val="004E7C93"/>
    <w:rsid w:val="004F03FE"/>
    <w:rsid w:val="004F295D"/>
    <w:rsid w:val="004F38D2"/>
    <w:rsid w:val="004F3F4E"/>
    <w:rsid w:val="004F6BAA"/>
    <w:rsid w:val="00500814"/>
    <w:rsid w:val="0050356B"/>
    <w:rsid w:val="00504769"/>
    <w:rsid w:val="00510167"/>
    <w:rsid w:val="0051135A"/>
    <w:rsid w:val="005128FC"/>
    <w:rsid w:val="00513E86"/>
    <w:rsid w:val="005173A2"/>
    <w:rsid w:val="005178D0"/>
    <w:rsid w:val="00517C7C"/>
    <w:rsid w:val="005243E1"/>
    <w:rsid w:val="005306A2"/>
    <w:rsid w:val="00530E90"/>
    <w:rsid w:val="00531685"/>
    <w:rsid w:val="005325BB"/>
    <w:rsid w:val="00533909"/>
    <w:rsid w:val="00533EBC"/>
    <w:rsid w:val="0053416C"/>
    <w:rsid w:val="00535F88"/>
    <w:rsid w:val="00536695"/>
    <w:rsid w:val="00540588"/>
    <w:rsid w:val="00540B19"/>
    <w:rsid w:val="00541C2F"/>
    <w:rsid w:val="00541D18"/>
    <w:rsid w:val="00543FF3"/>
    <w:rsid w:val="00544CF7"/>
    <w:rsid w:val="00545D2C"/>
    <w:rsid w:val="005470C9"/>
    <w:rsid w:val="0054741F"/>
    <w:rsid w:val="00550BB2"/>
    <w:rsid w:val="005516AB"/>
    <w:rsid w:val="00551B95"/>
    <w:rsid w:val="0055252E"/>
    <w:rsid w:val="005529F9"/>
    <w:rsid w:val="00552DE4"/>
    <w:rsid w:val="0055304B"/>
    <w:rsid w:val="00555215"/>
    <w:rsid w:val="005557E2"/>
    <w:rsid w:val="00557776"/>
    <w:rsid w:val="00562984"/>
    <w:rsid w:val="00563527"/>
    <w:rsid w:val="00564802"/>
    <w:rsid w:val="00564975"/>
    <w:rsid w:val="00566605"/>
    <w:rsid w:val="005670B7"/>
    <w:rsid w:val="005677BF"/>
    <w:rsid w:val="00570340"/>
    <w:rsid w:val="0057407A"/>
    <w:rsid w:val="00574D41"/>
    <w:rsid w:val="0058124E"/>
    <w:rsid w:val="00583C23"/>
    <w:rsid w:val="00585BCF"/>
    <w:rsid w:val="005875A3"/>
    <w:rsid w:val="00592D08"/>
    <w:rsid w:val="00593AA7"/>
    <w:rsid w:val="00593FA2"/>
    <w:rsid w:val="005953EA"/>
    <w:rsid w:val="005959E2"/>
    <w:rsid w:val="00597E38"/>
    <w:rsid w:val="005A33FA"/>
    <w:rsid w:val="005A3416"/>
    <w:rsid w:val="005A3D2D"/>
    <w:rsid w:val="005A4EF9"/>
    <w:rsid w:val="005A6325"/>
    <w:rsid w:val="005A7F7C"/>
    <w:rsid w:val="005B1F2C"/>
    <w:rsid w:val="005B2053"/>
    <w:rsid w:val="005B27FE"/>
    <w:rsid w:val="005B3E9A"/>
    <w:rsid w:val="005B49C5"/>
    <w:rsid w:val="005B64BC"/>
    <w:rsid w:val="005B6A85"/>
    <w:rsid w:val="005B76DF"/>
    <w:rsid w:val="005B79CB"/>
    <w:rsid w:val="005C1025"/>
    <w:rsid w:val="005D3B4C"/>
    <w:rsid w:val="005D5CB4"/>
    <w:rsid w:val="005D70D3"/>
    <w:rsid w:val="005E07C7"/>
    <w:rsid w:val="005E08D7"/>
    <w:rsid w:val="005E2B6E"/>
    <w:rsid w:val="005E2C0B"/>
    <w:rsid w:val="005E4579"/>
    <w:rsid w:val="005E4C16"/>
    <w:rsid w:val="005E5836"/>
    <w:rsid w:val="005E5947"/>
    <w:rsid w:val="005F15F1"/>
    <w:rsid w:val="005F27E2"/>
    <w:rsid w:val="005F61DF"/>
    <w:rsid w:val="005F6902"/>
    <w:rsid w:val="005F7B54"/>
    <w:rsid w:val="0060163A"/>
    <w:rsid w:val="006023F9"/>
    <w:rsid w:val="00606291"/>
    <w:rsid w:val="0060655F"/>
    <w:rsid w:val="0061049B"/>
    <w:rsid w:val="00610559"/>
    <w:rsid w:val="0061058A"/>
    <w:rsid w:val="00613113"/>
    <w:rsid w:val="00614076"/>
    <w:rsid w:val="00614158"/>
    <w:rsid w:val="0061445D"/>
    <w:rsid w:val="00616BE0"/>
    <w:rsid w:val="0062105D"/>
    <w:rsid w:val="00625941"/>
    <w:rsid w:val="00626902"/>
    <w:rsid w:val="006316EF"/>
    <w:rsid w:val="00631FD9"/>
    <w:rsid w:val="00632088"/>
    <w:rsid w:val="006327CC"/>
    <w:rsid w:val="00632F2E"/>
    <w:rsid w:val="006332F6"/>
    <w:rsid w:val="00633831"/>
    <w:rsid w:val="00635792"/>
    <w:rsid w:val="00635F57"/>
    <w:rsid w:val="006377BA"/>
    <w:rsid w:val="006413F2"/>
    <w:rsid w:val="00641E39"/>
    <w:rsid w:val="00642A4F"/>
    <w:rsid w:val="006438A6"/>
    <w:rsid w:val="00645263"/>
    <w:rsid w:val="006464FB"/>
    <w:rsid w:val="0064798F"/>
    <w:rsid w:val="00647A44"/>
    <w:rsid w:val="006508B6"/>
    <w:rsid w:val="006534B2"/>
    <w:rsid w:val="00655832"/>
    <w:rsid w:val="0065615D"/>
    <w:rsid w:val="00657011"/>
    <w:rsid w:val="00660AF7"/>
    <w:rsid w:val="00661411"/>
    <w:rsid w:val="0066226D"/>
    <w:rsid w:val="00662270"/>
    <w:rsid w:val="00664D02"/>
    <w:rsid w:val="006650B5"/>
    <w:rsid w:val="006651B1"/>
    <w:rsid w:val="00665778"/>
    <w:rsid w:val="00665E95"/>
    <w:rsid w:val="0066600B"/>
    <w:rsid w:val="00673B51"/>
    <w:rsid w:val="00676E5F"/>
    <w:rsid w:val="00680D15"/>
    <w:rsid w:val="006836B3"/>
    <w:rsid w:val="006853B1"/>
    <w:rsid w:val="00686A81"/>
    <w:rsid w:val="0069041D"/>
    <w:rsid w:val="00692395"/>
    <w:rsid w:val="006945CA"/>
    <w:rsid w:val="00694F4F"/>
    <w:rsid w:val="00695DCA"/>
    <w:rsid w:val="00696617"/>
    <w:rsid w:val="006A1F90"/>
    <w:rsid w:val="006A3309"/>
    <w:rsid w:val="006A3A5A"/>
    <w:rsid w:val="006A5B34"/>
    <w:rsid w:val="006A733D"/>
    <w:rsid w:val="006B0DA8"/>
    <w:rsid w:val="006B3FCD"/>
    <w:rsid w:val="006C1BE4"/>
    <w:rsid w:val="006C1D31"/>
    <w:rsid w:val="006C265A"/>
    <w:rsid w:val="006C2AE3"/>
    <w:rsid w:val="006C3B6D"/>
    <w:rsid w:val="006C4090"/>
    <w:rsid w:val="006C6B7B"/>
    <w:rsid w:val="006C7713"/>
    <w:rsid w:val="006C77A9"/>
    <w:rsid w:val="006D2574"/>
    <w:rsid w:val="006D2B3F"/>
    <w:rsid w:val="006D32E4"/>
    <w:rsid w:val="006D46FB"/>
    <w:rsid w:val="006D4720"/>
    <w:rsid w:val="006D5E04"/>
    <w:rsid w:val="006D78B5"/>
    <w:rsid w:val="006D794D"/>
    <w:rsid w:val="006D7C42"/>
    <w:rsid w:val="006E047A"/>
    <w:rsid w:val="006E4D95"/>
    <w:rsid w:val="006E66EF"/>
    <w:rsid w:val="006E6CDF"/>
    <w:rsid w:val="006F01F4"/>
    <w:rsid w:val="006F1D55"/>
    <w:rsid w:val="006F2A78"/>
    <w:rsid w:val="006F37F2"/>
    <w:rsid w:val="006F4237"/>
    <w:rsid w:val="006F6693"/>
    <w:rsid w:val="006F7BD8"/>
    <w:rsid w:val="00700FF0"/>
    <w:rsid w:val="007017BD"/>
    <w:rsid w:val="00707FE8"/>
    <w:rsid w:val="007102E5"/>
    <w:rsid w:val="00711CA8"/>
    <w:rsid w:val="00712030"/>
    <w:rsid w:val="00712C5C"/>
    <w:rsid w:val="00712E79"/>
    <w:rsid w:val="00714632"/>
    <w:rsid w:val="00714AAE"/>
    <w:rsid w:val="007165CD"/>
    <w:rsid w:val="00716B2A"/>
    <w:rsid w:val="00716BBE"/>
    <w:rsid w:val="007239E4"/>
    <w:rsid w:val="00724962"/>
    <w:rsid w:val="00724A0F"/>
    <w:rsid w:val="00725ECB"/>
    <w:rsid w:val="00726D2F"/>
    <w:rsid w:val="00726F68"/>
    <w:rsid w:val="00727597"/>
    <w:rsid w:val="00727C45"/>
    <w:rsid w:val="00731335"/>
    <w:rsid w:val="00731C3A"/>
    <w:rsid w:val="0073321C"/>
    <w:rsid w:val="007337D0"/>
    <w:rsid w:val="007366B0"/>
    <w:rsid w:val="00736732"/>
    <w:rsid w:val="007377BC"/>
    <w:rsid w:val="00740019"/>
    <w:rsid w:val="00740317"/>
    <w:rsid w:val="00746426"/>
    <w:rsid w:val="00746A73"/>
    <w:rsid w:val="00750BF9"/>
    <w:rsid w:val="00750CBE"/>
    <w:rsid w:val="0075139F"/>
    <w:rsid w:val="007526F4"/>
    <w:rsid w:val="00752997"/>
    <w:rsid w:val="00753110"/>
    <w:rsid w:val="00753AB7"/>
    <w:rsid w:val="00755A7E"/>
    <w:rsid w:val="00756E38"/>
    <w:rsid w:val="00756F40"/>
    <w:rsid w:val="007618C5"/>
    <w:rsid w:val="0076292D"/>
    <w:rsid w:val="00763718"/>
    <w:rsid w:val="0076371B"/>
    <w:rsid w:val="00764E05"/>
    <w:rsid w:val="00764F3D"/>
    <w:rsid w:val="007650D2"/>
    <w:rsid w:val="00766173"/>
    <w:rsid w:val="007668B1"/>
    <w:rsid w:val="00766B5A"/>
    <w:rsid w:val="00766BC3"/>
    <w:rsid w:val="00770114"/>
    <w:rsid w:val="00771637"/>
    <w:rsid w:val="0077213F"/>
    <w:rsid w:val="00772209"/>
    <w:rsid w:val="00772AA5"/>
    <w:rsid w:val="00772B6B"/>
    <w:rsid w:val="00774A9D"/>
    <w:rsid w:val="0077525E"/>
    <w:rsid w:val="007770A5"/>
    <w:rsid w:val="0077729D"/>
    <w:rsid w:val="007801AD"/>
    <w:rsid w:val="00780733"/>
    <w:rsid w:val="00781C1C"/>
    <w:rsid w:val="007834F2"/>
    <w:rsid w:val="00786C76"/>
    <w:rsid w:val="007871AD"/>
    <w:rsid w:val="00790405"/>
    <w:rsid w:val="007905B3"/>
    <w:rsid w:val="00791020"/>
    <w:rsid w:val="00796380"/>
    <w:rsid w:val="007A04D2"/>
    <w:rsid w:val="007A31E2"/>
    <w:rsid w:val="007A42D9"/>
    <w:rsid w:val="007A4865"/>
    <w:rsid w:val="007A5C4F"/>
    <w:rsid w:val="007A5F82"/>
    <w:rsid w:val="007B169F"/>
    <w:rsid w:val="007B1916"/>
    <w:rsid w:val="007B2ED3"/>
    <w:rsid w:val="007B48AB"/>
    <w:rsid w:val="007B5B33"/>
    <w:rsid w:val="007B6328"/>
    <w:rsid w:val="007B7924"/>
    <w:rsid w:val="007C2AFD"/>
    <w:rsid w:val="007C3AD3"/>
    <w:rsid w:val="007C4073"/>
    <w:rsid w:val="007C6A81"/>
    <w:rsid w:val="007C723B"/>
    <w:rsid w:val="007D139F"/>
    <w:rsid w:val="007D2B75"/>
    <w:rsid w:val="007D375B"/>
    <w:rsid w:val="007D460F"/>
    <w:rsid w:val="007D5F9E"/>
    <w:rsid w:val="007D6131"/>
    <w:rsid w:val="007D6F6D"/>
    <w:rsid w:val="007D7FC4"/>
    <w:rsid w:val="007E00F8"/>
    <w:rsid w:val="007E071D"/>
    <w:rsid w:val="007E098F"/>
    <w:rsid w:val="007E0A19"/>
    <w:rsid w:val="007E1233"/>
    <w:rsid w:val="007E1A38"/>
    <w:rsid w:val="007E1D3B"/>
    <w:rsid w:val="007E2AE2"/>
    <w:rsid w:val="007E3BA2"/>
    <w:rsid w:val="007F05A8"/>
    <w:rsid w:val="007F1793"/>
    <w:rsid w:val="007F1A4C"/>
    <w:rsid w:val="007F1F43"/>
    <w:rsid w:val="007F1F60"/>
    <w:rsid w:val="007F3667"/>
    <w:rsid w:val="007F393F"/>
    <w:rsid w:val="007F398D"/>
    <w:rsid w:val="007F4E20"/>
    <w:rsid w:val="007F61CA"/>
    <w:rsid w:val="007F6DF0"/>
    <w:rsid w:val="007F723F"/>
    <w:rsid w:val="007F7DF9"/>
    <w:rsid w:val="008022C3"/>
    <w:rsid w:val="008041E6"/>
    <w:rsid w:val="00805EDB"/>
    <w:rsid w:val="008065D2"/>
    <w:rsid w:val="00807912"/>
    <w:rsid w:val="008116D8"/>
    <w:rsid w:val="008117ED"/>
    <w:rsid w:val="008136B4"/>
    <w:rsid w:val="008144D6"/>
    <w:rsid w:val="00815A8A"/>
    <w:rsid w:val="00815F4E"/>
    <w:rsid w:val="0082194C"/>
    <w:rsid w:val="008222FF"/>
    <w:rsid w:val="00823CC2"/>
    <w:rsid w:val="008241FF"/>
    <w:rsid w:val="008251D4"/>
    <w:rsid w:val="00825AE3"/>
    <w:rsid w:val="0083382F"/>
    <w:rsid w:val="00833E05"/>
    <w:rsid w:val="00834EE8"/>
    <w:rsid w:val="008411E9"/>
    <w:rsid w:val="00841617"/>
    <w:rsid w:val="0084200F"/>
    <w:rsid w:val="00843645"/>
    <w:rsid w:val="00843B2C"/>
    <w:rsid w:val="00844127"/>
    <w:rsid w:val="00844F16"/>
    <w:rsid w:val="00845D34"/>
    <w:rsid w:val="00850B9C"/>
    <w:rsid w:val="0085216E"/>
    <w:rsid w:val="00855088"/>
    <w:rsid w:val="008551ED"/>
    <w:rsid w:val="00855F29"/>
    <w:rsid w:val="00855FF9"/>
    <w:rsid w:val="0086046C"/>
    <w:rsid w:val="0086174B"/>
    <w:rsid w:val="0086277A"/>
    <w:rsid w:val="008646CD"/>
    <w:rsid w:val="008668A8"/>
    <w:rsid w:val="00867308"/>
    <w:rsid w:val="0087139B"/>
    <w:rsid w:val="008741DB"/>
    <w:rsid w:val="00874925"/>
    <w:rsid w:val="00876170"/>
    <w:rsid w:val="008768AD"/>
    <w:rsid w:val="00876E2A"/>
    <w:rsid w:val="00877FC7"/>
    <w:rsid w:val="00880AC4"/>
    <w:rsid w:val="008831BF"/>
    <w:rsid w:val="00886034"/>
    <w:rsid w:val="00886801"/>
    <w:rsid w:val="00886FB3"/>
    <w:rsid w:val="00887B3A"/>
    <w:rsid w:val="00891C9B"/>
    <w:rsid w:val="00897447"/>
    <w:rsid w:val="008A39CF"/>
    <w:rsid w:val="008A4900"/>
    <w:rsid w:val="008A5547"/>
    <w:rsid w:val="008A55FE"/>
    <w:rsid w:val="008A598A"/>
    <w:rsid w:val="008B146D"/>
    <w:rsid w:val="008B42AD"/>
    <w:rsid w:val="008B4319"/>
    <w:rsid w:val="008B5666"/>
    <w:rsid w:val="008B7B62"/>
    <w:rsid w:val="008B7FE0"/>
    <w:rsid w:val="008C012D"/>
    <w:rsid w:val="008D0281"/>
    <w:rsid w:val="008D0EFD"/>
    <w:rsid w:val="008D2E9C"/>
    <w:rsid w:val="008D3421"/>
    <w:rsid w:val="008D5BA3"/>
    <w:rsid w:val="008D6970"/>
    <w:rsid w:val="008D7679"/>
    <w:rsid w:val="008E1C1D"/>
    <w:rsid w:val="008E2348"/>
    <w:rsid w:val="008E6CE2"/>
    <w:rsid w:val="008E73F7"/>
    <w:rsid w:val="008F250E"/>
    <w:rsid w:val="008F34B1"/>
    <w:rsid w:val="008F4503"/>
    <w:rsid w:val="008F4A7B"/>
    <w:rsid w:val="008F56DE"/>
    <w:rsid w:val="008F6565"/>
    <w:rsid w:val="008F6D45"/>
    <w:rsid w:val="009003EC"/>
    <w:rsid w:val="00903948"/>
    <w:rsid w:val="00904E91"/>
    <w:rsid w:val="00905CA2"/>
    <w:rsid w:val="00905D90"/>
    <w:rsid w:val="0090640F"/>
    <w:rsid w:val="00907B78"/>
    <w:rsid w:val="00910254"/>
    <w:rsid w:val="00910565"/>
    <w:rsid w:val="009110F5"/>
    <w:rsid w:val="0091550B"/>
    <w:rsid w:val="0091650D"/>
    <w:rsid w:val="00917722"/>
    <w:rsid w:val="0092089F"/>
    <w:rsid w:val="00922944"/>
    <w:rsid w:val="009243D7"/>
    <w:rsid w:val="00926E0F"/>
    <w:rsid w:val="0092746F"/>
    <w:rsid w:val="00930A67"/>
    <w:rsid w:val="00931C4B"/>
    <w:rsid w:val="0093220B"/>
    <w:rsid w:val="00934151"/>
    <w:rsid w:val="00936047"/>
    <w:rsid w:val="009360F9"/>
    <w:rsid w:val="00936479"/>
    <w:rsid w:val="00936F50"/>
    <w:rsid w:val="00937A10"/>
    <w:rsid w:val="00942161"/>
    <w:rsid w:val="0094588B"/>
    <w:rsid w:val="00946CEC"/>
    <w:rsid w:val="00947559"/>
    <w:rsid w:val="00947DBE"/>
    <w:rsid w:val="00950AF5"/>
    <w:rsid w:val="00950E62"/>
    <w:rsid w:val="009532FA"/>
    <w:rsid w:val="00955FB0"/>
    <w:rsid w:val="00956885"/>
    <w:rsid w:val="00957169"/>
    <w:rsid w:val="00957819"/>
    <w:rsid w:val="00963B75"/>
    <w:rsid w:val="00963E94"/>
    <w:rsid w:val="00966115"/>
    <w:rsid w:val="00967381"/>
    <w:rsid w:val="00967810"/>
    <w:rsid w:val="009741FB"/>
    <w:rsid w:val="009765C5"/>
    <w:rsid w:val="0097708A"/>
    <w:rsid w:val="009804C2"/>
    <w:rsid w:val="0098145E"/>
    <w:rsid w:val="00981A18"/>
    <w:rsid w:val="0098296F"/>
    <w:rsid w:val="009834C0"/>
    <w:rsid w:val="009839BC"/>
    <w:rsid w:val="00984974"/>
    <w:rsid w:val="00985A3B"/>
    <w:rsid w:val="009863B7"/>
    <w:rsid w:val="00986AAC"/>
    <w:rsid w:val="0099035B"/>
    <w:rsid w:val="00990B68"/>
    <w:rsid w:val="00990BDD"/>
    <w:rsid w:val="00991D9B"/>
    <w:rsid w:val="009934C0"/>
    <w:rsid w:val="00993DAF"/>
    <w:rsid w:val="009945B6"/>
    <w:rsid w:val="009950BC"/>
    <w:rsid w:val="00995526"/>
    <w:rsid w:val="009971E2"/>
    <w:rsid w:val="009A033A"/>
    <w:rsid w:val="009A0AA3"/>
    <w:rsid w:val="009A1DA2"/>
    <w:rsid w:val="009A34E8"/>
    <w:rsid w:val="009A3704"/>
    <w:rsid w:val="009A4739"/>
    <w:rsid w:val="009A674F"/>
    <w:rsid w:val="009A6D22"/>
    <w:rsid w:val="009B0293"/>
    <w:rsid w:val="009B0966"/>
    <w:rsid w:val="009B199C"/>
    <w:rsid w:val="009B58C9"/>
    <w:rsid w:val="009B5997"/>
    <w:rsid w:val="009B61F1"/>
    <w:rsid w:val="009B62E0"/>
    <w:rsid w:val="009B65D6"/>
    <w:rsid w:val="009B6D44"/>
    <w:rsid w:val="009B768C"/>
    <w:rsid w:val="009B7DDE"/>
    <w:rsid w:val="009C2BB5"/>
    <w:rsid w:val="009C3D88"/>
    <w:rsid w:val="009D159B"/>
    <w:rsid w:val="009D2BA9"/>
    <w:rsid w:val="009D2D45"/>
    <w:rsid w:val="009D3EFA"/>
    <w:rsid w:val="009D488C"/>
    <w:rsid w:val="009D5B0E"/>
    <w:rsid w:val="009E1651"/>
    <w:rsid w:val="009E2C5E"/>
    <w:rsid w:val="009E3858"/>
    <w:rsid w:val="009E467D"/>
    <w:rsid w:val="009E70DD"/>
    <w:rsid w:val="009F1413"/>
    <w:rsid w:val="009F1ABF"/>
    <w:rsid w:val="009F2ED9"/>
    <w:rsid w:val="009F3231"/>
    <w:rsid w:val="009F4E8F"/>
    <w:rsid w:val="009F5C58"/>
    <w:rsid w:val="009F5D39"/>
    <w:rsid w:val="009F62A3"/>
    <w:rsid w:val="009F767F"/>
    <w:rsid w:val="00A023A0"/>
    <w:rsid w:val="00A039F2"/>
    <w:rsid w:val="00A05983"/>
    <w:rsid w:val="00A05EBC"/>
    <w:rsid w:val="00A1562B"/>
    <w:rsid w:val="00A170F4"/>
    <w:rsid w:val="00A179EB"/>
    <w:rsid w:val="00A20BEF"/>
    <w:rsid w:val="00A21408"/>
    <w:rsid w:val="00A21CFD"/>
    <w:rsid w:val="00A22AFB"/>
    <w:rsid w:val="00A24A37"/>
    <w:rsid w:val="00A24EB4"/>
    <w:rsid w:val="00A258A5"/>
    <w:rsid w:val="00A25B78"/>
    <w:rsid w:val="00A27122"/>
    <w:rsid w:val="00A27A2F"/>
    <w:rsid w:val="00A30ACF"/>
    <w:rsid w:val="00A315C3"/>
    <w:rsid w:val="00A336B6"/>
    <w:rsid w:val="00A34DB2"/>
    <w:rsid w:val="00A34DEC"/>
    <w:rsid w:val="00A35503"/>
    <w:rsid w:val="00A402C6"/>
    <w:rsid w:val="00A41EA5"/>
    <w:rsid w:val="00A42126"/>
    <w:rsid w:val="00A4361C"/>
    <w:rsid w:val="00A44837"/>
    <w:rsid w:val="00A4491D"/>
    <w:rsid w:val="00A46288"/>
    <w:rsid w:val="00A46BA8"/>
    <w:rsid w:val="00A47634"/>
    <w:rsid w:val="00A51C99"/>
    <w:rsid w:val="00A52031"/>
    <w:rsid w:val="00A531CD"/>
    <w:rsid w:val="00A55335"/>
    <w:rsid w:val="00A553B3"/>
    <w:rsid w:val="00A5625E"/>
    <w:rsid w:val="00A612FE"/>
    <w:rsid w:val="00A61E9E"/>
    <w:rsid w:val="00A67A3E"/>
    <w:rsid w:val="00A70230"/>
    <w:rsid w:val="00A70B49"/>
    <w:rsid w:val="00A72B16"/>
    <w:rsid w:val="00A73229"/>
    <w:rsid w:val="00A74E05"/>
    <w:rsid w:val="00A754AB"/>
    <w:rsid w:val="00A75C90"/>
    <w:rsid w:val="00A7667B"/>
    <w:rsid w:val="00A772CC"/>
    <w:rsid w:val="00A7765F"/>
    <w:rsid w:val="00A77E2E"/>
    <w:rsid w:val="00A81A9B"/>
    <w:rsid w:val="00A81D4C"/>
    <w:rsid w:val="00A864CF"/>
    <w:rsid w:val="00A873B1"/>
    <w:rsid w:val="00A8793D"/>
    <w:rsid w:val="00A92D94"/>
    <w:rsid w:val="00A945BB"/>
    <w:rsid w:val="00A962C4"/>
    <w:rsid w:val="00A96EDD"/>
    <w:rsid w:val="00AA150A"/>
    <w:rsid w:val="00AA26B8"/>
    <w:rsid w:val="00AA2FED"/>
    <w:rsid w:val="00AB1082"/>
    <w:rsid w:val="00AC0B87"/>
    <w:rsid w:val="00AC2624"/>
    <w:rsid w:val="00AC32A8"/>
    <w:rsid w:val="00AC3659"/>
    <w:rsid w:val="00AC5691"/>
    <w:rsid w:val="00AC5B5F"/>
    <w:rsid w:val="00AC7EFF"/>
    <w:rsid w:val="00AD1C8B"/>
    <w:rsid w:val="00AD26D9"/>
    <w:rsid w:val="00AD3AEC"/>
    <w:rsid w:val="00AD4BF1"/>
    <w:rsid w:val="00AD7E4E"/>
    <w:rsid w:val="00AE3748"/>
    <w:rsid w:val="00AE3FDF"/>
    <w:rsid w:val="00AE4B81"/>
    <w:rsid w:val="00AE5C23"/>
    <w:rsid w:val="00AE683F"/>
    <w:rsid w:val="00AF3939"/>
    <w:rsid w:val="00AF39BD"/>
    <w:rsid w:val="00AF3F81"/>
    <w:rsid w:val="00AF4D58"/>
    <w:rsid w:val="00AF4EE8"/>
    <w:rsid w:val="00AF6666"/>
    <w:rsid w:val="00AF7BC5"/>
    <w:rsid w:val="00AF7BF7"/>
    <w:rsid w:val="00B00154"/>
    <w:rsid w:val="00B01178"/>
    <w:rsid w:val="00B02D1F"/>
    <w:rsid w:val="00B04B0E"/>
    <w:rsid w:val="00B10FDB"/>
    <w:rsid w:val="00B118B1"/>
    <w:rsid w:val="00B119B5"/>
    <w:rsid w:val="00B1282F"/>
    <w:rsid w:val="00B1305B"/>
    <w:rsid w:val="00B150CF"/>
    <w:rsid w:val="00B15F25"/>
    <w:rsid w:val="00B1680C"/>
    <w:rsid w:val="00B169E0"/>
    <w:rsid w:val="00B16EE9"/>
    <w:rsid w:val="00B17BDB"/>
    <w:rsid w:val="00B17C24"/>
    <w:rsid w:val="00B23FFD"/>
    <w:rsid w:val="00B24C68"/>
    <w:rsid w:val="00B2575A"/>
    <w:rsid w:val="00B277EB"/>
    <w:rsid w:val="00B306E7"/>
    <w:rsid w:val="00B319F0"/>
    <w:rsid w:val="00B3333C"/>
    <w:rsid w:val="00B34690"/>
    <w:rsid w:val="00B406D0"/>
    <w:rsid w:val="00B40E30"/>
    <w:rsid w:val="00B4164F"/>
    <w:rsid w:val="00B44C82"/>
    <w:rsid w:val="00B4568B"/>
    <w:rsid w:val="00B54E60"/>
    <w:rsid w:val="00B57DC8"/>
    <w:rsid w:val="00B60D4E"/>
    <w:rsid w:val="00B6188E"/>
    <w:rsid w:val="00B62532"/>
    <w:rsid w:val="00B62A10"/>
    <w:rsid w:val="00B62A81"/>
    <w:rsid w:val="00B64F05"/>
    <w:rsid w:val="00B665D6"/>
    <w:rsid w:val="00B66EB8"/>
    <w:rsid w:val="00B671C2"/>
    <w:rsid w:val="00B70C32"/>
    <w:rsid w:val="00B712F3"/>
    <w:rsid w:val="00B72B30"/>
    <w:rsid w:val="00B7413F"/>
    <w:rsid w:val="00B754D0"/>
    <w:rsid w:val="00B76475"/>
    <w:rsid w:val="00B80D71"/>
    <w:rsid w:val="00B81129"/>
    <w:rsid w:val="00B81B44"/>
    <w:rsid w:val="00B81F98"/>
    <w:rsid w:val="00B87E59"/>
    <w:rsid w:val="00B9053B"/>
    <w:rsid w:val="00B92A77"/>
    <w:rsid w:val="00B934E2"/>
    <w:rsid w:val="00B94900"/>
    <w:rsid w:val="00B967CD"/>
    <w:rsid w:val="00B96E71"/>
    <w:rsid w:val="00B9703C"/>
    <w:rsid w:val="00BA0721"/>
    <w:rsid w:val="00BA0C37"/>
    <w:rsid w:val="00BA19A2"/>
    <w:rsid w:val="00BA2841"/>
    <w:rsid w:val="00BA3782"/>
    <w:rsid w:val="00BA4E07"/>
    <w:rsid w:val="00BA56CC"/>
    <w:rsid w:val="00BA6AB4"/>
    <w:rsid w:val="00BA769C"/>
    <w:rsid w:val="00BB1B62"/>
    <w:rsid w:val="00BB219D"/>
    <w:rsid w:val="00BB4994"/>
    <w:rsid w:val="00BB4D98"/>
    <w:rsid w:val="00BB4EBF"/>
    <w:rsid w:val="00BB5300"/>
    <w:rsid w:val="00BB59E0"/>
    <w:rsid w:val="00BB5B3F"/>
    <w:rsid w:val="00BB6413"/>
    <w:rsid w:val="00BC0A48"/>
    <w:rsid w:val="00BC3125"/>
    <w:rsid w:val="00BC3422"/>
    <w:rsid w:val="00BC3F7D"/>
    <w:rsid w:val="00BC6CDA"/>
    <w:rsid w:val="00BC6E19"/>
    <w:rsid w:val="00BD11C2"/>
    <w:rsid w:val="00BD2728"/>
    <w:rsid w:val="00BD48B8"/>
    <w:rsid w:val="00BD5018"/>
    <w:rsid w:val="00BD5962"/>
    <w:rsid w:val="00BE0526"/>
    <w:rsid w:val="00BE3251"/>
    <w:rsid w:val="00BE3360"/>
    <w:rsid w:val="00BE4D04"/>
    <w:rsid w:val="00BE5ADC"/>
    <w:rsid w:val="00BF1462"/>
    <w:rsid w:val="00BF2C7D"/>
    <w:rsid w:val="00BF3854"/>
    <w:rsid w:val="00BF4A75"/>
    <w:rsid w:val="00BF4F96"/>
    <w:rsid w:val="00BF5400"/>
    <w:rsid w:val="00BF5B35"/>
    <w:rsid w:val="00C001A8"/>
    <w:rsid w:val="00C015B9"/>
    <w:rsid w:val="00C01BD7"/>
    <w:rsid w:val="00C022F9"/>
    <w:rsid w:val="00C031EC"/>
    <w:rsid w:val="00C032EA"/>
    <w:rsid w:val="00C03A72"/>
    <w:rsid w:val="00C04AA9"/>
    <w:rsid w:val="00C05829"/>
    <w:rsid w:val="00C06EB5"/>
    <w:rsid w:val="00C07AC4"/>
    <w:rsid w:val="00C10A40"/>
    <w:rsid w:val="00C1145F"/>
    <w:rsid w:val="00C11CD1"/>
    <w:rsid w:val="00C11E7C"/>
    <w:rsid w:val="00C15734"/>
    <w:rsid w:val="00C1747D"/>
    <w:rsid w:val="00C2072E"/>
    <w:rsid w:val="00C20A0E"/>
    <w:rsid w:val="00C27112"/>
    <w:rsid w:val="00C316EA"/>
    <w:rsid w:val="00C32D49"/>
    <w:rsid w:val="00C33AD3"/>
    <w:rsid w:val="00C35002"/>
    <w:rsid w:val="00C35496"/>
    <w:rsid w:val="00C37B87"/>
    <w:rsid w:val="00C40408"/>
    <w:rsid w:val="00C40AAF"/>
    <w:rsid w:val="00C4128D"/>
    <w:rsid w:val="00C41A27"/>
    <w:rsid w:val="00C41B3C"/>
    <w:rsid w:val="00C42727"/>
    <w:rsid w:val="00C43F06"/>
    <w:rsid w:val="00C445DE"/>
    <w:rsid w:val="00C453D7"/>
    <w:rsid w:val="00C47E1C"/>
    <w:rsid w:val="00C50E22"/>
    <w:rsid w:val="00C51C01"/>
    <w:rsid w:val="00C56762"/>
    <w:rsid w:val="00C5705E"/>
    <w:rsid w:val="00C57CB8"/>
    <w:rsid w:val="00C611AF"/>
    <w:rsid w:val="00C61978"/>
    <w:rsid w:val="00C62584"/>
    <w:rsid w:val="00C629D4"/>
    <w:rsid w:val="00C62CB7"/>
    <w:rsid w:val="00C630E4"/>
    <w:rsid w:val="00C637E1"/>
    <w:rsid w:val="00C67EAC"/>
    <w:rsid w:val="00C70D50"/>
    <w:rsid w:val="00C72252"/>
    <w:rsid w:val="00C72486"/>
    <w:rsid w:val="00C74E35"/>
    <w:rsid w:val="00C753E3"/>
    <w:rsid w:val="00C80D88"/>
    <w:rsid w:val="00C854A7"/>
    <w:rsid w:val="00C8662E"/>
    <w:rsid w:val="00C87AC0"/>
    <w:rsid w:val="00C907D7"/>
    <w:rsid w:val="00C90DC3"/>
    <w:rsid w:val="00C91AD8"/>
    <w:rsid w:val="00C92338"/>
    <w:rsid w:val="00C923A1"/>
    <w:rsid w:val="00C9262C"/>
    <w:rsid w:val="00C941BF"/>
    <w:rsid w:val="00C95285"/>
    <w:rsid w:val="00C95366"/>
    <w:rsid w:val="00C954FA"/>
    <w:rsid w:val="00C960A1"/>
    <w:rsid w:val="00C97D0D"/>
    <w:rsid w:val="00CA00ED"/>
    <w:rsid w:val="00CA05DC"/>
    <w:rsid w:val="00CA0B67"/>
    <w:rsid w:val="00CA2921"/>
    <w:rsid w:val="00CA2D5A"/>
    <w:rsid w:val="00CA4170"/>
    <w:rsid w:val="00CA7B47"/>
    <w:rsid w:val="00CB0E38"/>
    <w:rsid w:val="00CB3976"/>
    <w:rsid w:val="00CB5275"/>
    <w:rsid w:val="00CB6716"/>
    <w:rsid w:val="00CC23E0"/>
    <w:rsid w:val="00CC74AC"/>
    <w:rsid w:val="00CC7D32"/>
    <w:rsid w:val="00CD0307"/>
    <w:rsid w:val="00CD3D1B"/>
    <w:rsid w:val="00CD3F21"/>
    <w:rsid w:val="00CD5169"/>
    <w:rsid w:val="00CD60A6"/>
    <w:rsid w:val="00CD773D"/>
    <w:rsid w:val="00CE060D"/>
    <w:rsid w:val="00CE218B"/>
    <w:rsid w:val="00CE3A1D"/>
    <w:rsid w:val="00CE4257"/>
    <w:rsid w:val="00CE4E92"/>
    <w:rsid w:val="00CE53F1"/>
    <w:rsid w:val="00CF00D2"/>
    <w:rsid w:val="00CF7688"/>
    <w:rsid w:val="00D014D1"/>
    <w:rsid w:val="00D02663"/>
    <w:rsid w:val="00D031DF"/>
    <w:rsid w:val="00D039E2"/>
    <w:rsid w:val="00D056CD"/>
    <w:rsid w:val="00D059A8"/>
    <w:rsid w:val="00D0633E"/>
    <w:rsid w:val="00D06866"/>
    <w:rsid w:val="00D07AAA"/>
    <w:rsid w:val="00D10097"/>
    <w:rsid w:val="00D10DB8"/>
    <w:rsid w:val="00D11806"/>
    <w:rsid w:val="00D11F41"/>
    <w:rsid w:val="00D12E74"/>
    <w:rsid w:val="00D1608A"/>
    <w:rsid w:val="00D17699"/>
    <w:rsid w:val="00D20B74"/>
    <w:rsid w:val="00D22613"/>
    <w:rsid w:val="00D22FE8"/>
    <w:rsid w:val="00D2312F"/>
    <w:rsid w:val="00D23B04"/>
    <w:rsid w:val="00D23D6C"/>
    <w:rsid w:val="00D24D47"/>
    <w:rsid w:val="00D269C1"/>
    <w:rsid w:val="00D31783"/>
    <w:rsid w:val="00D33F7D"/>
    <w:rsid w:val="00D34993"/>
    <w:rsid w:val="00D34E7B"/>
    <w:rsid w:val="00D35785"/>
    <w:rsid w:val="00D36566"/>
    <w:rsid w:val="00D36FE3"/>
    <w:rsid w:val="00D37163"/>
    <w:rsid w:val="00D37F84"/>
    <w:rsid w:val="00D403D4"/>
    <w:rsid w:val="00D410BA"/>
    <w:rsid w:val="00D4160C"/>
    <w:rsid w:val="00D41B2F"/>
    <w:rsid w:val="00D43B40"/>
    <w:rsid w:val="00D44953"/>
    <w:rsid w:val="00D44A96"/>
    <w:rsid w:val="00D4539E"/>
    <w:rsid w:val="00D47000"/>
    <w:rsid w:val="00D47729"/>
    <w:rsid w:val="00D504B6"/>
    <w:rsid w:val="00D52EDD"/>
    <w:rsid w:val="00D542F3"/>
    <w:rsid w:val="00D54513"/>
    <w:rsid w:val="00D54AAE"/>
    <w:rsid w:val="00D5529B"/>
    <w:rsid w:val="00D55CB3"/>
    <w:rsid w:val="00D5644B"/>
    <w:rsid w:val="00D56657"/>
    <w:rsid w:val="00D56E25"/>
    <w:rsid w:val="00D57E89"/>
    <w:rsid w:val="00D60433"/>
    <w:rsid w:val="00D60B99"/>
    <w:rsid w:val="00D6110E"/>
    <w:rsid w:val="00D63972"/>
    <w:rsid w:val="00D6560D"/>
    <w:rsid w:val="00D6599B"/>
    <w:rsid w:val="00D65D77"/>
    <w:rsid w:val="00D67710"/>
    <w:rsid w:val="00D718D7"/>
    <w:rsid w:val="00D71ABD"/>
    <w:rsid w:val="00D72AA5"/>
    <w:rsid w:val="00D746C6"/>
    <w:rsid w:val="00D75A48"/>
    <w:rsid w:val="00D7642B"/>
    <w:rsid w:val="00D775D4"/>
    <w:rsid w:val="00D814B7"/>
    <w:rsid w:val="00D858D5"/>
    <w:rsid w:val="00D8623D"/>
    <w:rsid w:val="00D87B61"/>
    <w:rsid w:val="00D90509"/>
    <w:rsid w:val="00D90549"/>
    <w:rsid w:val="00D90688"/>
    <w:rsid w:val="00D945D1"/>
    <w:rsid w:val="00D94EFF"/>
    <w:rsid w:val="00DA0AA1"/>
    <w:rsid w:val="00DA1863"/>
    <w:rsid w:val="00DA3AAD"/>
    <w:rsid w:val="00DA5351"/>
    <w:rsid w:val="00DA5805"/>
    <w:rsid w:val="00DB1478"/>
    <w:rsid w:val="00DB312B"/>
    <w:rsid w:val="00DB373B"/>
    <w:rsid w:val="00DB4325"/>
    <w:rsid w:val="00DB4349"/>
    <w:rsid w:val="00DB51C9"/>
    <w:rsid w:val="00DB54B0"/>
    <w:rsid w:val="00DB6E2B"/>
    <w:rsid w:val="00DB78CB"/>
    <w:rsid w:val="00DC1553"/>
    <w:rsid w:val="00DC1F32"/>
    <w:rsid w:val="00DC4176"/>
    <w:rsid w:val="00DC5654"/>
    <w:rsid w:val="00DC658F"/>
    <w:rsid w:val="00DC674A"/>
    <w:rsid w:val="00DC6EA2"/>
    <w:rsid w:val="00DC73F3"/>
    <w:rsid w:val="00DC7B5F"/>
    <w:rsid w:val="00DD047B"/>
    <w:rsid w:val="00DD0DF6"/>
    <w:rsid w:val="00DD1FC4"/>
    <w:rsid w:val="00DD2816"/>
    <w:rsid w:val="00DD2D03"/>
    <w:rsid w:val="00DD3BDB"/>
    <w:rsid w:val="00DD518D"/>
    <w:rsid w:val="00DD693A"/>
    <w:rsid w:val="00DE03C0"/>
    <w:rsid w:val="00DE1EE6"/>
    <w:rsid w:val="00DE214E"/>
    <w:rsid w:val="00DE58AB"/>
    <w:rsid w:val="00DE60CC"/>
    <w:rsid w:val="00DE6789"/>
    <w:rsid w:val="00DE68FC"/>
    <w:rsid w:val="00DF1679"/>
    <w:rsid w:val="00DF31EE"/>
    <w:rsid w:val="00DF4AA4"/>
    <w:rsid w:val="00DF5C25"/>
    <w:rsid w:val="00DF6FDC"/>
    <w:rsid w:val="00DF7280"/>
    <w:rsid w:val="00E026FD"/>
    <w:rsid w:val="00E03123"/>
    <w:rsid w:val="00E07EA4"/>
    <w:rsid w:val="00E1060E"/>
    <w:rsid w:val="00E1121B"/>
    <w:rsid w:val="00E112E4"/>
    <w:rsid w:val="00E1150D"/>
    <w:rsid w:val="00E12270"/>
    <w:rsid w:val="00E13355"/>
    <w:rsid w:val="00E155DD"/>
    <w:rsid w:val="00E16BCF"/>
    <w:rsid w:val="00E171A7"/>
    <w:rsid w:val="00E17DB8"/>
    <w:rsid w:val="00E213A3"/>
    <w:rsid w:val="00E21E7A"/>
    <w:rsid w:val="00E235A5"/>
    <w:rsid w:val="00E26B32"/>
    <w:rsid w:val="00E26BE6"/>
    <w:rsid w:val="00E274BD"/>
    <w:rsid w:val="00E30294"/>
    <w:rsid w:val="00E31CD4"/>
    <w:rsid w:val="00E31E60"/>
    <w:rsid w:val="00E33455"/>
    <w:rsid w:val="00E33556"/>
    <w:rsid w:val="00E33E08"/>
    <w:rsid w:val="00E341AB"/>
    <w:rsid w:val="00E34D60"/>
    <w:rsid w:val="00E36E36"/>
    <w:rsid w:val="00E36EE1"/>
    <w:rsid w:val="00E403F8"/>
    <w:rsid w:val="00E407B6"/>
    <w:rsid w:val="00E407F3"/>
    <w:rsid w:val="00E41EF1"/>
    <w:rsid w:val="00E42942"/>
    <w:rsid w:val="00E4322C"/>
    <w:rsid w:val="00E437F7"/>
    <w:rsid w:val="00E45870"/>
    <w:rsid w:val="00E464BC"/>
    <w:rsid w:val="00E4651D"/>
    <w:rsid w:val="00E466DA"/>
    <w:rsid w:val="00E46D39"/>
    <w:rsid w:val="00E51B1D"/>
    <w:rsid w:val="00E51C25"/>
    <w:rsid w:val="00E547F6"/>
    <w:rsid w:val="00E54951"/>
    <w:rsid w:val="00E55F97"/>
    <w:rsid w:val="00E613B1"/>
    <w:rsid w:val="00E61D9F"/>
    <w:rsid w:val="00E63125"/>
    <w:rsid w:val="00E63564"/>
    <w:rsid w:val="00E64969"/>
    <w:rsid w:val="00E65A0A"/>
    <w:rsid w:val="00E71BDF"/>
    <w:rsid w:val="00E72F03"/>
    <w:rsid w:val="00E7312F"/>
    <w:rsid w:val="00E74E73"/>
    <w:rsid w:val="00E74F31"/>
    <w:rsid w:val="00E75CCB"/>
    <w:rsid w:val="00E76BA9"/>
    <w:rsid w:val="00E77056"/>
    <w:rsid w:val="00E77E60"/>
    <w:rsid w:val="00E81172"/>
    <w:rsid w:val="00E81662"/>
    <w:rsid w:val="00E8245B"/>
    <w:rsid w:val="00E82C21"/>
    <w:rsid w:val="00E82F59"/>
    <w:rsid w:val="00E83CA7"/>
    <w:rsid w:val="00E84F39"/>
    <w:rsid w:val="00E87DD6"/>
    <w:rsid w:val="00E918C7"/>
    <w:rsid w:val="00E91ECD"/>
    <w:rsid w:val="00E92192"/>
    <w:rsid w:val="00E92FBE"/>
    <w:rsid w:val="00E94FAC"/>
    <w:rsid w:val="00E95A71"/>
    <w:rsid w:val="00E97B5C"/>
    <w:rsid w:val="00EA09E0"/>
    <w:rsid w:val="00EA3616"/>
    <w:rsid w:val="00EA396C"/>
    <w:rsid w:val="00EA49ED"/>
    <w:rsid w:val="00EA51DB"/>
    <w:rsid w:val="00EB48A9"/>
    <w:rsid w:val="00EB7014"/>
    <w:rsid w:val="00EC05F3"/>
    <w:rsid w:val="00EC31CD"/>
    <w:rsid w:val="00EC5CDE"/>
    <w:rsid w:val="00EC6182"/>
    <w:rsid w:val="00EC7F8B"/>
    <w:rsid w:val="00ED1EDE"/>
    <w:rsid w:val="00ED3077"/>
    <w:rsid w:val="00ED487E"/>
    <w:rsid w:val="00ED56A3"/>
    <w:rsid w:val="00ED5AAE"/>
    <w:rsid w:val="00ED64F1"/>
    <w:rsid w:val="00ED6539"/>
    <w:rsid w:val="00ED681A"/>
    <w:rsid w:val="00EE05C0"/>
    <w:rsid w:val="00EE33A1"/>
    <w:rsid w:val="00EE4584"/>
    <w:rsid w:val="00EE5CF6"/>
    <w:rsid w:val="00EE7A0D"/>
    <w:rsid w:val="00EF0E78"/>
    <w:rsid w:val="00EF2BBC"/>
    <w:rsid w:val="00EF2E1E"/>
    <w:rsid w:val="00EF2E2E"/>
    <w:rsid w:val="00EF31BA"/>
    <w:rsid w:val="00EF5F4A"/>
    <w:rsid w:val="00EF6980"/>
    <w:rsid w:val="00F00739"/>
    <w:rsid w:val="00F00AFD"/>
    <w:rsid w:val="00F0222C"/>
    <w:rsid w:val="00F02DBC"/>
    <w:rsid w:val="00F03E0F"/>
    <w:rsid w:val="00F060F2"/>
    <w:rsid w:val="00F06273"/>
    <w:rsid w:val="00F1134B"/>
    <w:rsid w:val="00F12312"/>
    <w:rsid w:val="00F12743"/>
    <w:rsid w:val="00F13A1B"/>
    <w:rsid w:val="00F1410E"/>
    <w:rsid w:val="00F173DB"/>
    <w:rsid w:val="00F17CE1"/>
    <w:rsid w:val="00F208B7"/>
    <w:rsid w:val="00F20925"/>
    <w:rsid w:val="00F2115C"/>
    <w:rsid w:val="00F22ABA"/>
    <w:rsid w:val="00F25F4B"/>
    <w:rsid w:val="00F33DB6"/>
    <w:rsid w:val="00F34043"/>
    <w:rsid w:val="00F34D9B"/>
    <w:rsid w:val="00F35A12"/>
    <w:rsid w:val="00F36B12"/>
    <w:rsid w:val="00F40F29"/>
    <w:rsid w:val="00F4385E"/>
    <w:rsid w:val="00F43DD7"/>
    <w:rsid w:val="00F52308"/>
    <w:rsid w:val="00F524E2"/>
    <w:rsid w:val="00F53723"/>
    <w:rsid w:val="00F56A8E"/>
    <w:rsid w:val="00F57F3B"/>
    <w:rsid w:val="00F60E30"/>
    <w:rsid w:val="00F60F9F"/>
    <w:rsid w:val="00F63BC0"/>
    <w:rsid w:val="00F64F08"/>
    <w:rsid w:val="00F65C7A"/>
    <w:rsid w:val="00F66370"/>
    <w:rsid w:val="00F70055"/>
    <w:rsid w:val="00F71E2C"/>
    <w:rsid w:val="00F72AED"/>
    <w:rsid w:val="00F734F5"/>
    <w:rsid w:val="00F73B5B"/>
    <w:rsid w:val="00F7786E"/>
    <w:rsid w:val="00F80F92"/>
    <w:rsid w:val="00F81428"/>
    <w:rsid w:val="00F82CD2"/>
    <w:rsid w:val="00F843A9"/>
    <w:rsid w:val="00F8534E"/>
    <w:rsid w:val="00F8697D"/>
    <w:rsid w:val="00F90EA5"/>
    <w:rsid w:val="00F91F5A"/>
    <w:rsid w:val="00F95E46"/>
    <w:rsid w:val="00F95FF1"/>
    <w:rsid w:val="00F966B1"/>
    <w:rsid w:val="00F97A23"/>
    <w:rsid w:val="00F97D48"/>
    <w:rsid w:val="00FA0311"/>
    <w:rsid w:val="00FA1489"/>
    <w:rsid w:val="00FA30C9"/>
    <w:rsid w:val="00FA3A0D"/>
    <w:rsid w:val="00FA3EF1"/>
    <w:rsid w:val="00FA50FA"/>
    <w:rsid w:val="00FA5C61"/>
    <w:rsid w:val="00FA7E64"/>
    <w:rsid w:val="00FB1F69"/>
    <w:rsid w:val="00FB37FC"/>
    <w:rsid w:val="00FB5584"/>
    <w:rsid w:val="00FB58AF"/>
    <w:rsid w:val="00FB7741"/>
    <w:rsid w:val="00FB78C0"/>
    <w:rsid w:val="00FC00D2"/>
    <w:rsid w:val="00FC0559"/>
    <w:rsid w:val="00FC09F3"/>
    <w:rsid w:val="00FC0C9F"/>
    <w:rsid w:val="00FC0ED8"/>
    <w:rsid w:val="00FC5E37"/>
    <w:rsid w:val="00FC7D82"/>
    <w:rsid w:val="00FD073A"/>
    <w:rsid w:val="00FD27E4"/>
    <w:rsid w:val="00FD4AD8"/>
    <w:rsid w:val="00FD50F0"/>
    <w:rsid w:val="00FD5AB0"/>
    <w:rsid w:val="00FD640F"/>
    <w:rsid w:val="00FD65A2"/>
    <w:rsid w:val="00FD6B4C"/>
    <w:rsid w:val="00FE0553"/>
    <w:rsid w:val="00FE0DB6"/>
    <w:rsid w:val="00FE17A9"/>
    <w:rsid w:val="00FE1F2B"/>
    <w:rsid w:val="00FE25D0"/>
    <w:rsid w:val="00FE442A"/>
    <w:rsid w:val="00FE5D2F"/>
    <w:rsid w:val="00FE61AB"/>
    <w:rsid w:val="00FE66E3"/>
    <w:rsid w:val="00FE6CB3"/>
    <w:rsid w:val="00FF1752"/>
    <w:rsid w:val="00FF2F69"/>
    <w:rsid w:val="00FF4A92"/>
    <w:rsid w:val="00FF4E99"/>
    <w:rsid w:val="00FF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649F2B3"/>
  <w15:docId w15:val="{DF58B0B6-E719-4D6D-B4A4-DBF80079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>
      <w:pPr>
        <w:spacing w:before="160" w:after="160" w:line="280" w:lineRule="atLeast"/>
      </w:pPr>
    </w:pPrDefault>
  </w:docDefaults>
  <w:latentStyles w:defLockedState="0" w:defUIPriority="1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 w:unhideWhenUsed="1"/>
    <w:lsdException w:name="index 2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iPriority="99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uiPriority="99" w:unhideWhenUsed="1"/>
    <w:lsdException w:name="caption" w:uiPriority="35" w:unhideWhenUsed="1"/>
    <w:lsdException w:name="table of figures" w:semiHidden="1" w:uiPriority="2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uiPriority="49" w:unhideWhenUsed="1"/>
    <w:lsdException w:name="endnote reference" w:semiHidden="1" w:unhideWhenUsed="1"/>
    <w:lsdException w:name="endnote text" w:semiHidden="1" w:unhideWhenUsed="1"/>
    <w:lsdException w:name="table of authorities" w:semiHidden="1" w:uiPriority="2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4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Salutation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/>
    <w:lsdException w:name="No Spacing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/>
    <w:lsdException w:name="Subtle Reference" w:semiHidden="1" w:qFormat="1"/>
    <w:lsdException w:name="Intense Reference" w:semiHidden="1"/>
    <w:lsdException w:name="Book Title" w:semiHidden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uiPriority w:val="1"/>
    <w:qFormat/>
    <w:rsid w:val="00956885"/>
    <w:rPr>
      <w:rFonts w:ascii="VIC" w:hAnsi="VIC"/>
    </w:rPr>
  </w:style>
  <w:style w:type="paragraph" w:styleId="Heading1">
    <w:name w:val="heading 1"/>
    <w:basedOn w:val="Normal"/>
    <w:next w:val="Normalfollowingheading"/>
    <w:link w:val="Heading1Char"/>
    <w:qFormat/>
    <w:rsid w:val="00956885"/>
    <w:pPr>
      <w:keepNext/>
      <w:keepLines/>
      <w:framePr w:wrap="around" w:vAnchor="page" w:hAnchor="margin" w:y="1022"/>
      <w:spacing w:before="0" w:after="120" w:line="240" w:lineRule="auto"/>
      <w:outlineLvl w:val="0"/>
    </w:pPr>
    <w:rPr>
      <w:rFonts w:ascii="VIC SemiBold" w:eastAsiaTheme="majorEastAsia" w:hAnsi="VIC SemiBold" w:cstheme="majorBidi"/>
      <w:bCs/>
      <w:color w:val="007586" w:themeColor="text2"/>
      <w:spacing w:val="-1"/>
      <w:sz w:val="48"/>
      <w:szCs w:val="28"/>
    </w:rPr>
  </w:style>
  <w:style w:type="paragraph" w:styleId="Heading2">
    <w:name w:val="heading 2"/>
    <w:basedOn w:val="Normal"/>
    <w:next w:val="Normalfollowingheading"/>
    <w:link w:val="Heading2Char"/>
    <w:qFormat/>
    <w:rsid w:val="00956885"/>
    <w:pPr>
      <w:keepNext/>
      <w:keepLines/>
      <w:spacing w:before="280" w:after="60" w:line="240" w:lineRule="auto"/>
      <w:outlineLvl w:val="1"/>
    </w:pPr>
    <w:rPr>
      <w:rFonts w:ascii="VIC SemiBold" w:eastAsia="Times New Roman" w:hAnsi="VIC SemiBold" w:cstheme="majorBidi"/>
      <w:bCs/>
      <w:caps/>
      <w:color w:val="007586" w:themeColor="text2"/>
      <w:sz w:val="24"/>
      <w:szCs w:val="26"/>
    </w:rPr>
  </w:style>
  <w:style w:type="paragraph" w:styleId="Heading3">
    <w:name w:val="heading 3"/>
    <w:basedOn w:val="Normal"/>
    <w:next w:val="Normalfollowingheading"/>
    <w:link w:val="Heading3Char"/>
    <w:qFormat/>
    <w:rsid w:val="00956885"/>
    <w:pPr>
      <w:keepNext/>
      <w:keepLines/>
      <w:spacing w:before="240" w:after="50" w:line="240" w:lineRule="auto"/>
      <w:outlineLvl w:val="2"/>
    </w:pPr>
    <w:rPr>
      <w:rFonts w:ascii="VIC SemiBold" w:eastAsiaTheme="majorEastAsia" w:hAnsi="VIC SemiBold" w:cstheme="majorBidi"/>
      <w:bCs/>
      <w:color w:val="000000" w:themeColor="text1"/>
      <w:sz w:val="24"/>
      <w:szCs w:val="22"/>
    </w:rPr>
  </w:style>
  <w:style w:type="paragraph" w:styleId="Heading4">
    <w:name w:val="heading 4"/>
    <w:basedOn w:val="Normal"/>
    <w:next w:val="Normalfollowingheading"/>
    <w:link w:val="Heading4Char"/>
    <w:qFormat/>
    <w:rsid w:val="00956885"/>
    <w:pPr>
      <w:keepNext/>
      <w:keepLines/>
      <w:spacing w:before="320" w:after="70" w:line="240" w:lineRule="auto"/>
      <w:outlineLvl w:val="3"/>
    </w:pPr>
    <w:rPr>
      <w:rFonts w:ascii="VIC SemiBold" w:eastAsiaTheme="majorEastAsia" w:hAnsi="VIC SemiBold" w:cstheme="majorBidi"/>
      <w:bCs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semiHidden/>
    <w:rsid w:val="008219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9E1651"/>
    <w:pPr>
      <w:spacing w:before="60" w:after="60" w:line="192" w:lineRule="atLeast"/>
    </w:pPr>
    <w:rPr>
      <w:rFonts w:eastAsiaTheme="minorHAnsi"/>
      <w:sz w:val="16"/>
      <w:szCs w:val="21"/>
      <w:lang w:eastAsia="en-US"/>
    </w:rPr>
    <w:tblPr>
      <w:tblStyleColBandSize w:val="1"/>
      <w:tblBorders>
        <w:top w:val="single" w:sz="2" w:space="0" w:color="80808B" w:themeColor="accent5"/>
        <w:bottom w:val="single" w:sz="2" w:space="0" w:color="80808B" w:themeColor="accent5"/>
        <w:insideH w:val="single" w:sz="2" w:space="0" w:color="80808B" w:themeColor="accent5"/>
      </w:tblBorders>
      <w:tblCellMar>
        <w:left w:w="113" w:type="dxa"/>
        <w:right w:w="113" w:type="dxa"/>
      </w:tblCellMar>
    </w:tblPr>
    <w:tblStylePr w:type="firstRow">
      <w:pPr>
        <w:keepNext/>
        <w:keepLines/>
        <w:widowControl/>
        <w:wordWrap/>
        <w:spacing w:beforeLines="0" w:before="0" w:beforeAutospacing="0" w:afterLines="0" w:after="0" w:afterAutospacing="0" w:line="260" w:lineRule="atLeast"/>
        <w:ind w:leftChars="0" w:left="0"/>
        <w:jc w:val="left"/>
      </w:pPr>
      <w:rPr>
        <w:b/>
        <w:i w:val="0"/>
        <w:color w:val="007586" w:themeColor="text2"/>
        <w:sz w:val="16"/>
      </w:rPr>
      <w:tblPr/>
      <w:tcPr>
        <w:tcBorders>
          <w:top w:val="single" w:sz="2" w:space="0" w:color="EDF5F7" w:themeColor="background2"/>
          <w:left w:val="nil"/>
          <w:bottom w:val="single" w:sz="24" w:space="0" w:color="CCCCD0" w:themeColor="accent6"/>
          <w:right w:val="nil"/>
          <w:insideH w:val="nil"/>
          <w:insideV w:val="nil"/>
          <w:tl2br w:val="nil"/>
          <w:tr2bl w:val="nil"/>
        </w:tcBorders>
        <w:shd w:val="clear" w:color="auto" w:fill="EDF5F7"/>
        <w:tcMar>
          <w:top w:w="80" w:type="dxa"/>
          <w:left w:w="113" w:type="dxa"/>
          <w:bottom w:w="80" w:type="dxa"/>
          <w:right w:w="113" w:type="dxa"/>
        </w:tcMar>
      </w:tcPr>
    </w:tblStylePr>
    <w:tblStylePr w:type="lastRow">
      <w:rPr>
        <w:b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beforeLines="0" w:before="50" w:beforeAutospacing="0" w:line="260" w:lineRule="atLeast"/>
        <w:ind w:leftChars="0" w:left="0"/>
        <w:jc w:val="left"/>
      </w:pPr>
      <w:rPr>
        <w:b/>
        <w:color w:val="007586" w:themeColor="text2"/>
        <w:sz w:val="16"/>
      </w:rPr>
    </w:tblStylePr>
    <w:tblStylePr w:type="band1Vert">
      <w:pPr>
        <w:jc w:val="right"/>
      </w:pPr>
    </w:tblStylePr>
    <w:tblStylePr w:type="band2Vert">
      <w:pPr>
        <w:jc w:val="right"/>
      </w:pPr>
    </w:tblStylePr>
  </w:style>
  <w:style w:type="table" w:styleId="LightList-Accent4">
    <w:name w:val="Light List Accent 4"/>
    <w:basedOn w:val="TableNormal"/>
    <w:uiPriority w:val="61"/>
    <w:semiHidden/>
    <w:rsid w:val="009A674F"/>
    <w:pPr>
      <w:spacing w:after="0" w:line="240" w:lineRule="auto"/>
    </w:pPr>
    <w:tblPr>
      <w:tblStyleRowBandSize w:val="1"/>
      <w:tblStyleColBandSize w:val="1"/>
      <w:tblBorders>
        <w:top w:val="single" w:sz="8" w:space="0" w:color="404050" w:themeColor="accent4"/>
        <w:left w:val="single" w:sz="8" w:space="0" w:color="404050" w:themeColor="accent4"/>
        <w:bottom w:val="single" w:sz="8" w:space="0" w:color="404050" w:themeColor="accent4"/>
        <w:right w:val="single" w:sz="8" w:space="0" w:color="404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4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</w:tcBorders>
      </w:tcPr>
    </w:tblStylePr>
    <w:tblStylePr w:type="band1Horz"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9A674F"/>
    <w:pPr>
      <w:spacing w:after="0" w:line="240" w:lineRule="auto"/>
    </w:pPr>
    <w:tblPr>
      <w:tblStyleRowBandSize w:val="1"/>
      <w:tblStyleColBandSize w:val="1"/>
      <w:tblBorders>
        <w:top w:val="single" w:sz="8" w:space="0" w:color="4098A4" w:themeColor="accent1"/>
        <w:left w:val="single" w:sz="8" w:space="0" w:color="4098A4" w:themeColor="accent1"/>
        <w:bottom w:val="single" w:sz="8" w:space="0" w:color="4098A4" w:themeColor="accent1"/>
        <w:right w:val="single" w:sz="8" w:space="0" w:color="4098A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98A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98A4" w:themeColor="accent1"/>
          <w:left w:val="single" w:sz="8" w:space="0" w:color="4098A4" w:themeColor="accent1"/>
          <w:bottom w:val="single" w:sz="8" w:space="0" w:color="4098A4" w:themeColor="accent1"/>
          <w:right w:val="single" w:sz="8" w:space="0" w:color="4098A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98A4" w:themeColor="accent1"/>
          <w:left w:val="single" w:sz="8" w:space="0" w:color="4098A4" w:themeColor="accent1"/>
          <w:bottom w:val="single" w:sz="8" w:space="0" w:color="4098A4" w:themeColor="accent1"/>
          <w:right w:val="single" w:sz="8" w:space="0" w:color="4098A4" w:themeColor="accent1"/>
        </w:tcBorders>
      </w:tcPr>
    </w:tblStylePr>
    <w:tblStylePr w:type="band1Horz">
      <w:tblPr/>
      <w:tcPr>
        <w:tcBorders>
          <w:top w:val="single" w:sz="8" w:space="0" w:color="4098A4" w:themeColor="accent1"/>
          <w:left w:val="single" w:sz="8" w:space="0" w:color="4098A4" w:themeColor="accent1"/>
          <w:bottom w:val="single" w:sz="8" w:space="0" w:color="4098A4" w:themeColor="accent1"/>
          <w:right w:val="single" w:sz="8" w:space="0" w:color="4098A4" w:themeColor="accent1"/>
        </w:tcBorders>
      </w:tcPr>
    </w:tblStylePr>
  </w:style>
  <w:style w:type="paragraph" w:styleId="TOC1">
    <w:name w:val="toc 1"/>
    <w:basedOn w:val="Normal"/>
    <w:next w:val="Normal"/>
    <w:uiPriority w:val="39"/>
    <w:rsid w:val="00ED64F1"/>
    <w:pPr>
      <w:pBdr>
        <w:bottom w:val="single" w:sz="2" w:space="4" w:color="000016"/>
        <w:between w:val="single" w:sz="2" w:space="1" w:color="000000" w:themeColor="text1"/>
      </w:pBdr>
      <w:tabs>
        <w:tab w:val="right" w:pos="10206"/>
      </w:tabs>
      <w:spacing w:before="0" w:after="0"/>
      <w:ind w:right="57"/>
    </w:pPr>
    <w:rPr>
      <w:b/>
      <w:noProof/>
      <w:lang w:eastAsia="en-US"/>
    </w:rPr>
  </w:style>
  <w:style w:type="paragraph" w:styleId="TOC2">
    <w:name w:val="toc 2"/>
    <w:basedOn w:val="Normal"/>
    <w:next w:val="Normal"/>
    <w:uiPriority w:val="39"/>
    <w:rsid w:val="009E1651"/>
    <w:pPr>
      <w:pBdr>
        <w:bottom w:val="single" w:sz="2" w:space="4" w:color="000000" w:themeColor="text1"/>
        <w:between w:val="single" w:sz="2" w:space="0" w:color="000000" w:themeColor="text1"/>
      </w:pBdr>
      <w:tabs>
        <w:tab w:val="left" w:pos="340"/>
        <w:tab w:val="right" w:pos="10206"/>
      </w:tabs>
      <w:spacing w:after="60" w:line="240" w:lineRule="auto"/>
      <w:ind w:right="57"/>
    </w:pPr>
    <w:rPr>
      <w:b/>
      <w:noProof/>
      <w:color w:val="007586" w:themeColor="text2"/>
    </w:rPr>
  </w:style>
  <w:style w:type="paragraph" w:styleId="TOC3">
    <w:name w:val="toc 3"/>
    <w:basedOn w:val="TOC2"/>
    <w:next w:val="Normal"/>
    <w:uiPriority w:val="39"/>
    <w:rsid w:val="009E1651"/>
  </w:style>
  <w:style w:type="paragraph" w:styleId="Index1">
    <w:name w:val="index 1"/>
    <w:basedOn w:val="Normal"/>
    <w:next w:val="Normal"/>
    <w:uiPriority w:val="1"/>
    <w:semiHidden/>
    <w:rsid w:val="00DA3AAD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1"/>
    <w:semiHidden/>
    <w:rsid w:val="00014B55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F966B1"/>
    <w:rPr>
      <w:color w:val="000000" w:themeColor="hyperlink"/>
      <w:u w:val="none"/>
    </w:rPr>
  </w:style>
  <w:style w:type="character" w:customStyle="1" w:styleId="Heading1Char">
    <w:name w:val="Heading 1 Char"/>
    <w:basedOn w:val="DefaultParagraphFont"/>
    <w:link w:val="Heading1"/>
    <w:rsid w:val="00956885"/>
    <w:rPr>
      <w:rFonts w:ascii="VIC SemiBold" w:eastAsiaTheme="majorEastAsia" w:hAnsi="VIC SemiBold" w:cstheme="majorBidi"/>
      <w:bCs/>
      <w:color w:val="007586" w:themeColor="text2"/>
      <w:spacing w:val="-1"/>
      <w:sz w:val="48"/>
      <w:szCs w:val="28"/>
    </w:rPr>
  </w:style>
  <w:style w:type="character" w:customStyle="1" w:styleId="Heading2Char">
    <w:name w:val="Heading 2 Char"/>
    <w:basedOn w:val="DefaultParagraphFont"/>
    <w:link w:val="Heading2"/>
    <w:rsid w:val="00956885"/>
    <w:rPr>
      <w:rFonts w:ascii="VIC SemiBold" w:eastAsia="Times New Roman" w:hAnsi="VIC SemiBold" w:cstheme="majorBidi"/>
      <w:bCs/>
      <w:caps/>
      <w:color w:val="007586" w:themeColor="text2"/>
      <w:sz w:val="24"/>
      <w:szCs w:val="26"/>
    </w:rPr>
  </w:style>
  <w:style w:type="paragraph" w:customStyle="1" w:styleId="Bullet1">
    <w:name w:val="Bullet 1"/>
    <w:uiPriority w:val="1"/>
    <w:qFormat/>
    <w:rsid w:val="00294A5A"/>
    <w:pPr>
      <w:numPr>
        <w:numId w:val="4"/>
      </w:numPr>
      <w:spacing w:before="60" w:after="60"/>
    </w:pPr>
    <w:rPr>
      <w:rFonts w:eastAsia="Times New Roman" w:cs="Calibri"/>
      <w:spacing w:val="2"/>
    </w:rPr>
  </w:style>
  <w:style w:type="paragraph" w:customStyle="1" w:styleId="Bullet2">
    <w:name w:val="Bullet 2"/>
    <w:basedOn w:val="Bullet1"/>
    <w:uiPriority w:val="1"/>
    <w:qFormat/>
    <w:rsid w:val="00294A5A"/>
    <w:pPr>
      <w:numPr>
        <w:ilvl w:val="1"/>
      </w:numPr>
    </w:pPr>
  </w:style>
  <w:style w:type="paragraph" w:styleId="Quote">
    <w:name w:val="Quote"/>
    <w:basedOn w:val="Normal"/>
    <w:next w:val="Normal"/>
    <w:link w:val="QuoteChar"/>
    <w:uiPriority w:val="1"/>
    <w:qFormat/>
    <w:rsid w:val="00A05EBC"/>
    <w:pPr>
      <w:ind w:left="567" w:right="567"/>
      <w:jc w:val="center"/>
    </w:pPr>
    <w:rPr>
      <w:i/>
      <w:iCs/>
      <w:color w:val="000000" w:themeColor="text1"/>
    </w:rPr>
  </w:style>
  <w:style w:type="paragraph" w:customStyle="1" w:styleId="Heading1numbered">
    <w:name w:val="Heading 1 numbered"/>
    <w:basedOn w:val="Heading1"/>
    <w:next w:val="NormalIndent"/>
    <w:qFormat/>
    <w:rsid w:val="00BD5018"/>
    <w:pPr>
      <w:framePr w:wrap="around"/>
      <w:numPr>
        <w:numId w:val="5"/>
      </w:numPr>
    </w:pPr>
  </w:style>
  <w:style w:type="paragraph" w:customStyle="1" w:styleId="Heading2numbered">
    <w:name w:val="Heading 2 numbered"/>
    <w:basedOn w:val="Heading2"/>
    <w:next w:val="NormalIndent"/>
    <w:qFormat/>
    <w:rsid w:val="00BD5018"/>
    <w:pPr>
      <w:numPr>
        <w:ilvl w:val="1"/>
        <w:numId w:val="5"/>
      </w:numPr>
    </w:pPr>
  </w:style>
  <w:style w:type="paragraph" w:customStyle="1" w:styleId="Heading3numbered">
    <w:name w:val="Heading 3 numbered"/>
    <w:basedOn w:val="Heading3"/>
    <w:next w:val="NormalIndent"/>
    <w:qFormat/>
    <w:rsid w:val="00BD5018"/>
    <w:pPr>
      <w:numPr>
        <w:ilvl w:val="2"/>
        <w:numId w:val="5"/>
      </w:numPr>
    </w:pPr>
  </w:style>
  <w:style w:type="character" w:customStyle="1" w:styleId="Heading3Char">
    <w:name w:val="Heading 3 Char"/>
    <w:basedOn w:val="DefaultParagraphFont"/>
    <w:link w:val="Heading3"/>
    <w:rsid w:val="00956885"/>
    <w:rPr>
      <w:rFonts w:ascii="VIC SemiBold" w:eastAsiaTheme="majorEastAsia" w:hAnsi="VIC SemiBold" w:cstheme="majorBidi"/>
      <w:bCs/>
      <w:color w:val="000000" w:themeColor="text1"/>
      <w:sz w:val="24"/>
      <w:szCs w:val="22"/>
    </w:rPr>
  </w:style>
  <w:style w:type="paragraph" w:customStyle="1" w:styleId="Heading4numbered">
    <w:name w:val="Heading 4 numbered"/>
    <w:basedOn w:val="Heading4"/>
    <w:next w:val="NormalIndent"/>
    <w:qFormat/>
    <w:rsid w:val="00BD5018"/>
    <w:pPr>
      <w:numPr>
        <w:ilvl w:val="3"/>
        <w:numId w:val="5"/>
      </w:numPr>
    </w:pPr>
  </w:style>
  <w:style w:type="character" w:customStyle="1" w:styleId="Heading4Char">
    <w:name w:val="Heading 4 Char"/>
    <w:basedOn w:val="DefaultParagraphFont"/>
    <w:link w:val="Heading4"/>
    <w:rsid w:val="00956885"/>
    <w:rPr>
      <w:rFonts w:ascii="VIC SemiBold" w:eastAsiaTheme="majorEastAsia" w:hAnsi="VIC SemiBold" w:cstheme="majorBidi"/>
      <w:bCs/>
      <w:iCs/>
      <w:color w:val="000000" w:themeColor="text1"/>
    </w:rPr>
  </w:style>
  <w:style w:type="paragraph" w:styleId="NormalIndent">
    <w:name w:val="Normal Indent"/>
    <w:basedOn w:val="Normal"/>
    <w:uiPriority w:val="1"/>
    <w:qFormat/>
    <w:rsid w:val="009B62E0"/>
    <w:pPr>
      <w:spacing w:line="252" w:lineRule="auto"/>
      <w:ind w:left="792"/>
    </w:pPr>
  </w:style>
  <w:style w:type="paragraph" w:customStyle="1" w:styleId="NoteNormal">
    <w:name w:val="Note Normal"/>
    <w:basedOn w:val="Normal"/>
    <w:next w:val="Normal"/>
    <w:uiPriority w:val="1"/>
    <w:rsid w:val="00297A47"/>
    <w:pPr>
      <w:spacing w:line="240" w:lineRule="atLeast"/>
      <w:contextualSpacing/>
    </w:pPr>
    <w:rPr>
      <w:sz w:val="16"/>
    </w:rPr>
  </w:style>
  <w:style w:type="paragraph" w:customStyle="1" w:styleId="Spacer">
    <w:name w:val="Spacer"/>
    <w:basedOn w:val="Normal"/>
    <w:uiPriority w:val="1"/>
    <w:semiHidden/>
    <w:qFormat/>
    <w:rsid w:val="00165E66"/>
    <w:pPr>
      <w:spacing w:before="0" w:after="0" w:line="120" w:lineRule="atLeast"/>
    </w:pPr>
    <w:rPr>
      <w:rFonts w:eastAsia="Times New Roman" w:cs="Calibri"/>
      <w:sz w:val="10"/>
      <w:szCs w:val="22"/>
    </w:rPr>
  </w:style>
  <w:style w:type="paragraph" w:styleId="Subtitle">
    <w:name w:val="Subtitle"/>
    <w:next w:val="Normal"/>
    <w:link w:val="SubtitleChar"/>
    <w:uiPriority w:val="99"/>
    <w:rsid w:val="0050356B"/>
    <w:pPr>
      <w:framePr w:hSpace="5670" w:wrap="around" w:vAnchor="page" w:hAnchor="page" w:x="852" w:y="4254"/>
      <w:spacing w:before="0" w:after="0" w:line="240" w:lineRule="auto"/>
      <w:suppressOverlap/>
    </w:pPr>
    <w:rPr>
      <w:rFonts w:asciiTheme="majorHAnsi" w:eastAsia="Times New Roman" w:hAnsiTheme="majorHAnsi" w:cstheme="majorHAnsi"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50356B"/>
    <w:rPr>
      <w:rFonts w:asciiTheme="majorHAnsi" w:eastAsia="Times New Roman" w:hAnsiTheme="majorHAnsi" w:cstheme="majorHAnsi"/>
      <w:color w:val="000000" w:themeColor="text1"/>
      <w:sz w:val="40"/>
      <w:szCs w:val="24"/>
    </w:rPr>
  </w:style>
  <w:style w:type="paragraph" w:styleId="TOC4">
    <w:name w:val="toc 4"/>
    <w:basedOn w:val="Normal"/>
    <w:next w:val="Normal"/>
    <w:autoRedefine/>
    <w:uiPriority w:val="39"/>
    <w:rsid w:val="00ED64F1"/>
    <w:pPr>
      <w:spacing w:after="100"/>
      <w:ind w:left="600"/>
    </w:pPr>
  </w:style>
  <w:style w:type="paragraph" w:styleId="Title">
    <w:name w:val="Title"/>
    <w:next w:val="Subtitle"/>
    <w:link w:val="TitleChar"/>
    <w:uiPriority w:val="99"/>
    <w:rsid w:val="0050356B"/>
    <w:pPr>
      <w:framePr w:hSpace="5670" w:wrap="around" w:vAnchor="page" w:hAnchor="page" w:x="852" w:y="4310"/>
      <w:spacing w:before="0" w:after="200" w:line="192" w:lineRule="auto"/>
      <w:ind w:right="284"/>
      <w:contextualSpacing/>
      <w:suppressOverlap/>
    </w:pPr>
    <w:rPr>
      <w:rFonts w:asciiTheme="majorHAnsi" w:eastAsia="Times New Roman" w:hAnsiTheme="majorHAnsi" w:cstheme="majorHAnsi"/>
      <w:b/>
      <w:color w:val="007586" w:themeColor="text2"/>
      <w:spacing w:val="-4"/>
      <w:sz w:val="76"/>
      <w:szCs w:val="22"/>
    </w:rPr>
  </w:style>
  <w:style w:type="character" w:customStyle="1" w:styleId="TitleChar">
    <w:name w:val="Title Char"/>
    <w:basedOn w:val="DefaultParagraphFont"/>
    <w:link w:val="Title"/>
    <w:uiPriority w:val="99"/>
    <w:rsid w:val="0050356B"/>
    <w:rPr>
      <w:rFonts w:asciiTheme="majorHAnsi" w:eastAsia="Times New Roman" w:hAnsiTheme="majorHAnsi" w:cstheme="majorHAnsi"/>
      <w:b/>
      <w:color w:val="007586" w:themeColor="text2"/>
      <w:spacing w:val="-4"/>
      <w:sz w:val="76"/>
      <w:szCs w:val="22"/>
    </w:rPr>
  </w:style>
  <w:style w:type="paragraph" w:styleId="BalloonText">
    <w:name w:val="Balloon Text"/>
    <w:basedOn w:val="Normal"/>
    <w:link w:val="BalloonTextChar"/>
    <w:uiPriority w:val="1"/>
    <w:semiHidden/>
    <w:rsid w:val="0023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"/>
    <w:semiHidden/>
    <w:rsid w:val="00A05EBC"/>
    <w:rPr>
      <w:rFonts w:ascii="Tahoma" w:hAnsi="Tahoma" w:cs="Tahoma"/>
      <w:sz w:val="16"/>
      <w:szCs w:val="16"/>
    </w:rPr>
  </w:style>
  <w:style w:type="character" w:customStyle="1" w:styleId="QuoteChar">
    <w:name w:val="Quote Char"/>
    <w:basedOn w:val="DefaultParagraphFont"/>
    <w:link w:val="Quote"/>
    <w:uiPriority w:val="1"/>
    <w:rsid w:val="00A05EBC"/>
    <w:rPr>
      <w:i/>
      <w:iCs/>
      <w:color w:val="000000" w:themeColor="text1"/>
    </w:rPr>
  </w:style>
  <w:style w:type="paragraph" w:styleId="IndexHeading">
    <w:name w:val="index heading"/>
    <w:basedOn w:val="Normal"/>
    <w:next w:val="Index1"/>
    <w:uiPriority w:val="1"/>
    <w:semiHidden/>
    <w:rsid w:val="00014B55"/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rsid w:val="00F25F4B"/>
    <w:pPr>
      <w:pBdr>
        <w:bottom w:val="single" w:sz="24" w:space="1" w:color="CCCCD0" w:themeColor="accent6"/>
      </w:pBd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F4B"/>
  </w:style>
  <w:style w:type="paragraph" w:styleId="Footer">
    <w:name w:val="footer"/>
    <w:basedOn w:val="Normal"/>
    <w:link w:val="FooterChar"/>
    <w:uiPriority w:val="99"/>
    <w:rsid w:val="0026028E"/>
    <w:pPr>
      <w:tabs>
        <w:tab w:val="left" w:pos="1304"/>
      </w:tabs>
      <w:spacing w:before="0" w:after="0" w:line="156" w:lineRule="exact"/>
    </w:pPr>
    <w:rPr>
      <w:noProof/>
      <w:sz w:val="13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05EBC"/>
    <w:rPr>
      <w:noProof/>
      <w:sz w:val="13"/>
      <w:szCs w:val="18"/>
    </w:rPr>
  </w:style>
  <w:style w:type="character" w:styleId="PageNumber">
    <w:name w:val="page number"/>
    <w:uiPriority w:val="1"/>
    <w:semiHidden/>
    <w:rsid w:val="00BB59E0"/>
    <w:rPr>
      <w:rFonts w:asciiTheme="minorHAnsi" w:hAnsiTheme="minorHAnsi"/>
      <w:b w:val="0"/>
      <w:color w:val="000000" w:themeColor="text1"/>
    </w:rPr>
  </w:style>
  <w:style w:type="paragraph" w:styleId="TOCHeading">
    <w:name w:val="TOC Heading"/>
    <w:basedOn w:val="Heading1"/>
    <w:next w:val="Normal"/>
    <w:uiPriority w:val="39"/>
    <w:qFormat/>
    <w:rsid w:val="0026028E"/>
    <w:pPr>
      <w:framePr w:vSpace="1418" w:wrap="around"/>
      <w:outlineLvl w:val="9"/>
    </w:pPr>
    <w:rPr>
      <w:spacing w:val="2"/>
    </w:rPr>
  </w:style>
  <w:style w:type="paragraph" w:customStyle="1" w:styleId="NormalTight">
    <w:name w:val="Normal Tight"/>
    <w:uiPriority w:val="1"/>
    <w:semiHidden/>
    <w:rsid w:val="008D0281"/>
    <w:pPr>
      <w:spacing w:after="0" w:line="240" w:lineRule="auto"/>
      <w:ind w:right="2366"/>
    </w:pPr>
    <w:rPr>
      <w:rFonts w:eastAsia="Times New Roman" w:cs="Calibri"/>
      <w:sz w:val="18"/>
      <w:szCs w:val="19"/>
      <w:lang w:eastAsia="en-US"/>
    </w:rPr>
  </w:style>
  <w:style w:type="paragraph" w:styleId="BodyText">
    <w:name w:val="Body Text"/>
    <w:basedOn w:val="Normal"/>
    <w:link w:val="BodyTextChar"/>
    <w:uiPriority w:val="1"/>
    <w:semiHidden/>
    <w:rsid w:val="00750CBE"/>
    <w:pPr>
      <w:spacing w:before="100" w:line="240" w:lineRule="auto"/>
      <w:ind w:left="794"/>
    </w:pPr>
    <w:rPr>
      <w:rFonts w:ascii="Calibri" w:eastAsia="Times New Roman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05EBC"/>
    <w:rPr>
      <w:rFonts w:ascii="Calibri" w:eastAsia="Times New Roman" w:hAnsi="Calibri" w:cs="Calibri"/>
      <w:sz w:val="22"/>
      <w:szCs w:val="22"/>
    </w:rPr>
  </w:style>
  <w:style w:type="paragraph" w:customStyle="1" w:styleId="Insidecoverspacer">
    <w:name w:val="Inside cover spacer"/>
    <w:basedOn w:val="NormalTight"/>
    <w:uiPriority w:val="1"/>
    <w:semiHidden/>
    <w:qFormat/>
    <w:rsid w:val="00E26B32"/>
    <w:pPr>
      <w:spacing w:before="5800"/>
      <w:ind w:right="1382"/>
    </w:pPr>
  </w:style>
  <w:style w:type="table" w:styleId="ColorfulGrid">
    <w:name w:val="Colorful Grid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CEF" w:themeFill="accent1" w:themeFillTint="33"/>
    </w:tcPr>
    <w:tblStylePr w:type="firstRow">
      <w:rPr>
        <w:b/>
        <w:bCs/>
      </w:rPr>
      <w:tblPr/>
      <w:tcPr>
        <w:shd w:val="clear" w:color="auto" w:fill="ADD9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DD9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717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717A" w:themeFill="accent1" w:themeFillShade="BF"/>
      </w:tcPr>
    </w:tblStylePr>
    <w:tblStylePr w:type="band1Vert">
      <w:tblPr/>
      <w:tcPr>
        <w:shd w:val="clear" w:color="auto" w:fill="99D0D7" w:themeFill="accent1" w:themeFillTint="7F"/>
      </w:tcPr>
    </w:tblStylePr>
    <w:tblStylePr w:type="band1Horz">
      <w:tblPr/>
      <w:tcPr>
        <w:shd w:val="clear" w:color="auto" w:fill="99D0D7" w:themeFill="accent1" w:themeFillTint="7F"/>
      </w:tcPr>
    </w:tblStylePr>
  </w:style>
  <w:style w:type="paragraph" w:customStyle="1" w:styleId="Tabletext">
    <w:name w:val="Table text"/>
    <w:basedOn w:val="Normal"/>
    <w:uiPriority w:val="2"/>
    <w:qFormat/>
    <w:rsid w:val="009E1651"/>
    <w:pPr>
      <w:spacing w:before="60" w:after="60" w:line="192" w:lineRule="atLeast"/>
    </w:pPr>
    <w:rPr>
      <w:rFonts w:eastAsiaTheme="minorHAnsi"/>
      <w:sz w:val="16"/>
      <w:szCs w:val="21"/>
      <w:lang w:eastAsia="en-US"/>
    </w:rPr>
  </w:style>
  <w:style w:type="paragraph" w:customStyle="1" w:styleId="Tabletextright">
    <w:name w:val="Table text right"/>
    <w:basedOn w:val="Tabletext"/>
    <w:uiPriority w:val="2"/>
    <w:qFormat/>
    <w:rsid w:val="00B9053B"/>
    <w:pPr>
      <w:jc w:val="right"/>
    </w:pPr>
  </w:style>
  <w:style w:type="paragraph" w:customStyle="1" w:styleId="Listnum">
    <w:name w:val="List num"/>
    <w:basedOn w:val="Normal"/>
    <w:uiPriority w:val="1"/>
    <w:qFormat/>
    <w:rsid w:val="004A7519"/>
    <w:pPr>
      <w:numPr>
        <w:numId w:val="1"/>
      </w:numPr>
    </w:pPr>
  </w:style>
  <w:style w:type="paragraph" w:customStyle="1" w:styleId="Listnum2">
    <w:name w:val="List num 2"/>
    <w:basedOn w:val="Normal"/>
    <w:uiPriority w:val="1"/>
    <w:qFormat/>
    <w:rsid w:val="004A7519"/>
    <w:pPr>
      <w:numPr>
        <w:ilvl w:val="1"/>
        <w:numId w:val="1"/>
      </w:numPr>
    </w:pPr>
  </w:style>
  <w:style w:type="paragraph" w:customStyle="1" w:styleId="Tabletextcentred">
    <w:name w:val="Table text centred"/>
    <w:basedOn w:val="Tabletext"/>
    <w:uiPriority w:val="2"/>
    <w:qFormat/>
    <w:rsid w:val="00B9053B"/>
    <w:pPr>
      <w:jc w:val="center"/>
    </w:pPr>
  </w:style>
  <w:style w:type="paragraph" w:customStyle="1" w:styleId="Tableheader">
    <w:name w:val="Table header"/>
    <w:basedOn w:val="Normal"/>
    <w:uiPriority w:val="2"/>
    <w:qFormat/>
    <w:rsid w:val="009E1651"/>
    <w:pPr>
      <w:keepNext/>
      <w:keepLines/>
      <w:spacing w:before="0" w:after="0" w:line="260" w:lineRule="atLeast"/>
    </w:pPr>
    <w:rPr>
      <w:rFonts w:eastAsiaTheme="minorHAnsi"/>
      <w:b/>
      <w:color w:val="007586" w:themeColor="text2"/>
      <w:sz w:val="16"/>
      <w:szCs w:val="21"/>
      <w:lang w:eastAsia="en-US"/>
    </w:rPr>
  </w:style>
  <w:style w:type="paragraph" w:customStyle="1" w:styleId="Tablebullet">
    <w:name w:val="Table bullet"/>
    <w:basedOn w:val="Tabletext"/>
    <w:uiPriority w:val="2"/>
    <w:rsid w:val="00937A10"/>
    <w:pPr>
      <w:numPr>
        <w:numId w:val="2"/>
      </w:numPr>
    </w:pPr>
  </w:style>
  <w:style w:type="paragraph" w:customStyle="1" w:styleId="Tabledash">
    <w:name w:val="Table dash"/>
    <w:basedOn w:val="Tablebullet"/>
    <w:uiPriority w:val="2"/>
    <w:rsid w:val="00937A10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2"/>
    <w:qFormat/>
    <w:rsid w:val="00C11CD1"/>
    <w:pPr>
      <w:ind w:left="288"/>
    </w:pPr>
  </w:style>
  <w:style w:type="paragraph" w:styleId="ListParagraph">
    <w:name w:val="List Paragraph"/>
    <w:basedOn w:val="Normal"/>
    <w:uiPriority w:val="34"/>
    <w:qFormat/>
    <w:rsid w:val="004231B5"/>
    <w:pPr>
      <w:ind w:left="720"/>
      <w:contextualSpacing/>
    </w:pPr>
  </w:style>
  <w:style w:type="paragraph" w:customStyle="1" w:styleId="Numpara">
    <w:name w:val="Num para"/>
    <w:basedOn w:val="ListParagraph"/>
    <w:uiPriority w:val="1"/>
    <w:qFormat/>
    <w:rsid w:val="00C72252"/>
    <w:pPr>
      <w:numPr>
        <w:numId w:val="3"/>
      </w:numPr>
      <w:tabs>
        <w:tab w:val="left" w:pos="540"/>
      </w:tabs>
    </w:pPr>
  </w:style>
  <w:style w:type="paragraph" w:styleId="FootnoteText">
    <w:name w:val="footnote text"/>
    <w:basedOn w:val="Normal"/>
    <w:link w:val="FootnoteTextChar"/>
    <w:uiPriority w:val="99"/>
    <w:rsid w:val="006945CA"/>
    <w:pPr>
      <w:spacing w:before="57" w:after="0" w:line="160" w:lineRule="atLeast"/>
    </w:pPr>
    <w:rPr>
      <w:sz w:val="13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05EBC"/>
    <w:rPr>
      <w:sz w:val="13"/>
    </w:rPr>
  </w:style>
  <w:style w:type="character" w:styleId="FootnoteReference">
    <w:name w:val="footnote reference"/>
    <w:basedOn w:val="DefaultParagraphFont"/>
    <w:uiPriority w:val="99"/>
    <w:rsid w:val="00726D2F"/>
    <w:rPr>
      <w:vertAlign w:val="superscript"/>
    </w:rPr>
  </w:style>
  <w:style w:type="table" w:styleId="ColorfulGrid-Accent2">
    <w:name w:val="Colorful Grid Accent 2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F1F3" w:themeFill="accent2" w:themeFillTint="33"/>
    </w:tcPr>
    <w:tblStylePr w:type="firstRow">
      <w:rPr>
        <w:b/>
        <w:bCs/>
      </w:rPr>
      <w:tblPr/>
      <w:tcPr>
        <w:shd w:val="clear" w:color="auto" w:fill="CCE3E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E3E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D98A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D98A4" w:themeFill="accent2" w:themeFillShade="BF"/>
      </w:tcPr>
    </w:tblStylePr>
    <w:tblStylePr w:type="band1Vert">
      <w:tblPr/>
      <w:tcPr>
        <w:shd w:val="clear" w:color="auto" w:fill="BFDCE1" w:themeFill="accent2" w:themeFillTint="7F"/>
      </w:tcPr>
    </w:tblStylePr>
    <w:tblStylePr w:type="band1Horz">
      <w:tblPr/>
      <w:tcPr>
        <w:shd w:val="clear" w:color="auto" w:fill="BFDCE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8F9" w:themeFill="accent3" w:themeFillTint="33"/>
    </w:tcPr>
    <w:tblStylePr w:type="firstRow">
      <w:rPr>
        <w:b/>
        <w:bCs/>
      </w:rPr>
      <w:tblPr/>
      <w:tcPr>
        <w:shd w:val="clear" w:color="auto" w:fill="E5F1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F1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7B7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7B7BF" w:themeFill="accent3" w:themeFillShade="BF"/>
      </w:tcPr>
    </w:tblStylePr>
    <w:tblStylePr w:type="band1Vert">
      <w:tblPr/>
      <w:tcPr>
        <w:shd w:val="clear" w:color="auto" w:fill="DFEEF0" w:themeFill="accent3" w:themeFillTint="7F"/>
      </w:tcPr>
    </w:tblStylePr>
    <w:tblStylePr w:type="band1Horz">
      <w:tblPr/>
      <w:tcPr>
        <w:shd w:val="clear" w:color="auto" w:fill="DFEEF0" w:themeFill="accent3" w:themeFillTint="7F"/>
      </w:tcPr>
    </w:tblStylePr>
  </w:style>
  <w:style w:type="paragraph" w:customStyle="1" w:styleId="Tablenum1">
    <w:name w:val="Table num 1"/>
    <w:basedOn w:val="Normal"/>
    <w:uiPriority w:val="2"/>
    <w:rsid w:val="007F723F"/>
    <w:pPr>
      <w:numPr>
        <w:ilvl w:val="2"/>
        <w:numId w:val="2"/>
      </w:numPr>
      <w:spacing w:before="60" w:after="60"/>
    </w:pPr>
    <w:rPr>
      <w:sz w:val="17"/>
    </w:rPr>
  </w:style>
  <w:style w:type="paragraph" w:customStyle="1" w:styleId="Tablenum2">
    <w:name w:val="Table num 2"/>
    <w:basedOn w:val="Normal"/>
    <w:uiPriority w:val="2"/>
    <w:rsid w:val="007F723F"/>
    <w:pPr>
      <w:numPr>
        <w:ilvl w:val="3"/>
        <w:numId w:val="2"/>
      </w:numPr>
      <w:spacing w:before="60" w:after="60"/>
    </w:pPr>
    <w:rPr>
      <w:sz w:val="17"/>
    </w:rPr>
  </w:style>
  <w:style w:type="paragraph" w:styleId="Caption">
    <w:name w:val="caption"/>
    <w:basedOn w:val="Normal"/>
    <w:next w:val="Normal"/>
    <w:uiPriority w:val="1"/>
    <w:rsid w:val="00A92D94"/>
    <w:pPr>
      <w:spacing w:before="280" w:after="210" w:line="260" w:lineRule="atLeast"/>
    </w:pPr>
    <w:rPr>
      <w:b/>
      <w:bCs/>
      <w:color w:val="007586" w:themeColor="text2"/>
      <w:szCs w:val="18"/>
    </w:rPr>
  </w:style>
  <w:style w:type="paragraph" w:customStyle="1" w:styleId="Tablechartdiagramheading">
    <w:name w:val="Table/chart/diagram heading"/>
    <w:next w:val="Normal"/>
    <w:uiPriority w:val="2"/>
    <w:qFormat/>
    <w:rsid w:val="009E1651"/>
    <w:pPr>
      <w:tabs>
        <w:tab w:val="left" w:pos="1080"/>
      </w:tabs>
      <w:spacing w:before="280" w:after="210" w:line="260" w:lineRule="atLeast"/>
    </w:pPr>
    <w:rPr>
      <w:b/>
      <w:bCs/>
      <w:color w:val="007586" w:themeColor="text2"/>
      <w:spacing w:val="2"/>
      <w:szCs w:val="18"/>
    </w:rPr>
  </w:style>
  <w:style w:type="character" w:styleId="PlaceholderText">
    <w:name w:val="Placeholder Text"/>
    <w:basedOn w:val="DefaultParagraphFont"/>
    <w:uiPriority w:val="1"/>
    <w:semiHidden/>
    <w:rsid w:val="00966115"/>
    <w:rPr>
      <w:color w:val="808080"/>
    </w:rPr>
  </w:style>
  <w:style w:type="paragraph" w:customStyle="1" w:styleId="FooterOdd">
    <w:name w:val="Footer Odd"/>
    <w:basedOn w:val="Footer"/>
    <w:uiPriority w:val="99"/>
    <w:qFormat/>
    <w:rsid w:val="002A5891"/>
    <w:pPr>
      <w:framePr w:hSpace="17010" w:wrap="around" w:vAnchor="text" w:hAnchor="margin" w:xAlign="right" w:y="1"/>
      <w:pBdr>
        <w:top w:val="single" w:sz="8" w:space="6" w:color="CCCCD0" w:themeColor="accent6"/>
      </w:pBdr>
      <w:jc w:val="right"/>
    </w:pPr>
  </w:style>
  <w:style w:type="paragraph" w:customStyle="1" w:styleId="FooterEven">
    <w:name w:val="Footer Even"/>
    <w:basedOn w:val="Footer"/>
    <w:uiPriority w:val="99"/>
    <w:qFormat/>
    <w:rsid w:val="002A5891"/>
    <w:pPr>
      <w:framePr w:hSpace="17010" w:wrap="around" w:vAnchor="text" w:hAnchor="margin" w:y="1"/>
      <w:pBdr>
        <w:top w:val="single" w:sz="8" w:space="6" w:color="CCCCD0" w:themeColor="accent6"/>
      </w:pBdr>
    </w:pPr>
  </w:style>
  <w:style w:type="paragraph" w:customStyle="1" w:styleId="IntroductoryText">
    <w:name w:val="Introductory Text"/>
    <w:basedOn w:val="Normal"/>
    <w:uiPriority w:val="1"/>
    <w:qFormat/>
    <w:rsid w:val="00956885"/>
    <w:pPr>
      <w:spacing w:before="280" w:after="60"/>
    </w:pPr>
    <w:rPr>
      <w:rFonts w:ascii="VIC Medium" w:hAnsi="VIC Medium"/>
      <w:color w:val="007586" w:themeColor="text2"/>
    </w:rPr>
  </w:style>
  <w:style w:type="paragraph" w:styleId="NoSpacing">
    <w:name w:val="No Spacing"/>
    <w:uiPriority w:val="1"/>
    <w:qFormat/>
    <w:rsid w:val="00294A5A"/>
    <w:pPr>
      <w:spacing w:before="0" w:after="0" w:line="240" w:lineRule="auto"/>
    </w:pPr>
  </w:style>
  <w:style w:type="paragraph" w:customStyle="1" w:styleId="Normalfollowingheading">
    <w:name w:val="Normal following heading"/>
    <w:basedOn w:val="Normal"/>
    <w:next w:val="Normal"/>
    <w:uiPriority w:val="1"/>
    <w:qFormat/>
    <w:rsid w:val="00294A5A"/>
    <w:pPr>
      <w:spacing w:before="0"/>
    </w:pPr>
  </w:style>
  <w:style w:type="table" w:styleId="ColorfulGrid-Accent4">
    <w:name w:val="Colorful Grid Accent 4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6DE" w:themeFill="accent4" w:themeFillTint="33"/>
    </w:tcPr>
    <w:tblStylePr w:type="firstRow">
      <w:rPr>
        <w:b/>
        <w:bCs/>
      </w:rPr>
      <w:tblPr/>
      <w:tcPr>
        <w:shd w:val="clear" w:color="auto" w:fill="ADAD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DAD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B" w:themeFill="accent4" w:themeFillShade="BF"/>
      </w:tcPr>
    </w:tblStylePr>
    <w:tblStylePr w:type="band1Vert">
      <w:tblPr/>
      <w:tcPr>
        <w:shd w:val="clear" w:color="auto" w:fill="9999AE" w:themeFill="accent4" w:themeFillTint="7F"/>
      </w:tcPr>
    </w:tblStylePr>
    <w:tblStylePr w:type="band1Horz">
      <w:tblPr/>
      <w:tcPr>
        <w:shd w:val="clear" w:color="auto" w:fill="9999A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7" w:themeFill="accent5" w:themeFillTint="33"/>
    </w:tcPr>
    <w:tblStylePr w:type="firstRow">
      <w:rPr>
        <w:b/>
        <w:bCs/>
      </w:rPr>
      <w:tblPr/>
      <w:tcPr>
        <w:shd w:val="clear" w:color="auto" w:fill="CCCC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F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F68" w:themeFill="accent5" w:themeFillShade="BF"/>
      </w:tcPr>
    </w:tblStylePr>
    <w:tblStylePr w:type="band1Vert">
      <w:tblPr/>
      <w:tcPr>
        <w:shd w:val="clear" w:color="auto" w:fill="BFBFC5" w:themeFill="accent5" w:themeFillTint="7F"/>
      </w:tcPr>
    </w:tblStylePr>
    <w:tblStylePr w:type="band1Horz">
      <w:tblPr/>
      <w:tcPr>
        <w:shd w:val="clear" w:color="auto" w:fill="BFBFC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5" w:themeFill="accent6" w:themeFillTint="33"/>
    </w:tcPr>
    <w:tblStylePr w:type="firstRow">
      <w:rPr>
        <w:b/>
        <w:bCs/>
      </w:rPr>
      <w:tblPr/>
      <w:tcPr>
        <w:shd w:val="clear" w:color="auto" w:fill="EAEA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A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6969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6969E" w:themeFill="accent6" w:themeFillShade="BF"/>
      </w:tcPr>
    </w:tblStylePr>
    <w:tblStylePr w:type="band1Vert">
      <w:tblPr/>
      <w:tcPr>
        <w:shd w:val="clear" w:color="auto" w:fill="E5E5E7" w:themeFill="accent6" w:themeFillTint="7F"/>
      </w:tcPr>
    </w:tblStylePr>
    <w:tblStylePr w:type="band1Horz">
      <w:tblPr/>
      <w:tcPr>
        <w:shd w:val="clear" w:color="auto" w:fill="E5E5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A1AE" w:themeFill="accent2" w:themeFillShade="CC"/>
      </w:tcPr>
    </w:tblStylePr>
    <w:tblStylePr w:type="lastRow">
      <w:rPr>
        <w:b/>
        <w:bCs/>
        <w:color w:val="54A1A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A1AE" w:themeFill="accent2" w:themeFillShade="CC"/>
      </w:tcPr>
    </w:tblStylePr>
    <w:tblStylePr w:type="lastRow">
      <w:rPr>
        <w:b/>
        <w:bCs/>
        <w:color w:val="54A1A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7EB" w:themeFill="accent1" w:themeFillTint="3F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8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A1AE" w:themeFill="accent2" w:themeFillShade="CC"/>
      </w:tcPr>
    </w:tblStylePr>
    <w:tblStylePr w:type="lastRow">
      <w:rPr>
        <w:b/>
        <w:bCs/>
        <w:color w:val="54A1A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DF0" w:themeFill="accent2" w:themeFillTint="3F"/>
      </w:tcPr>
    </w:tblStylePr>
    <w:tblStylePr w:type="band1Horz">
      <w:tblPr/>
      <w:tcPr>
        <w:shd w:val="clear" w:color="auto" w:fill="E5F1F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B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333F" w:themeFill="accent4" w:themeFillShade="CC"/>
      </w:tcPr>
    </w:tblStylePr>
    <w:tblStylePr w:type="lastRow">
      <w:rPr>
        <w:b/>
        <w:bCs/>
        <w:color w:val="33333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6F7" w:themeFill="accent3" w:themeFillTint="3F"/>
      </w:tcPr>
    </w:tblStylePr>
    <w:tblStylePr w:type="band1Horz">
      <w:tblPr/>
      <w:tcPr>
        <w:shd w:val="clear" w:color="auto" w:fill="F2F8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EB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6BEC6" w:themeFill="accent3" w:themeFillShade="CC"/>
      </w:tcPr>
    </w:tblStylePr>
    <w:tblStylePr w:type="lastRow">
      <w:rPr>
        <w:b/>
        <w:bCs/>
        <w:color w:val="86BE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D6" w:themeFill="accent4" w:themeFillTint="3F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1A1A8" w:themeFill="accent6" w:themeFillShade="CC"/>
      </w:tcPr>
    </w:tblStylePr>
    <w:tblStylePr w:type="lastRow">
      <w:rPr>
        <w:b/>
        <w:bCs/>
        <w:color w:val="A1A1A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2" w:themeFill="accent5" w:themeFillTint="3F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9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F" w:themeFill="accent5" w:themeFillShade="CC"/>
      </w:tcPr>
    </w:tblStylePr>
    <w:tblStylePr w:type="lastRow">
      <w:rPr>
        <w:b/>
        <w:bCs/>
        <w:color w:val="6666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3" w:themeFill="accent6" w:themeFillTint="3F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BAC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BAC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BAC3" w:themeColor="accent2"/>
        <w:left w:val="single" w:sz="4" w:space="0" w:color="4098A4" w:themeColor="accent1"/>
        <w:bottom w:val="single" w:sz="4" w:space="0" w:color="4098A4" w:themeColor="accent1"/>
        <w:right w:val="single" w:sz="4" w:space="0" w:color="4098A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BAC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5A6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5A62" w:themeColor="accent1" w:themeShade="99"/>
          <w:insideV w:val="nil"/>
        </w:tcBorders>
        <w:shd w:val="clear" w:color="auto" w:fill="265A6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5A62" w:themeFill="accent1" w:themeFillShade="99"/>
      </w:tcPr>
    </w:tblStylePr>
    <w:tblStylePr w:type="band1Vert">
      <w:tblPr/>
      <w:tcPr>
        <w:shd w:val="clear" w:color="auto" w:fill="ADD9DF" w:themeFill="accent1" w:themeFillTint="66"/>
      </w:tcPr>
    </w:tblStylePr>
    <w:tblStylePr w:type="band1Horz">
      <w:tblPr/>
      <w:tcPr>
        <w:shd w:val="clear" w:color="auto" w:fill="99D0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BAC3" w:themeColor="accent2"/>
        <w:left w:val="single" w:sz="4" w:space="0" w:color="80BAC3" w:themeColor="accent2"/>
        <w:bottom w:val="single" w:sz="4" w:space="0" w:color="80BAC3" w:themeColor="accent2"/>
        <w:right w:val="single" w:sz="4" w:space="0" w:color="80BAC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BAC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798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7983" w:themeColor="accent2" w:themeShade="99"/>
          <w:insideV w:val="nil"/>
        </w:tcBorders>
        <w:shd w:val="clear" w:color="auto" w:fill="3E798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983" w:themeFill="accent2" w:themeFillShade="99"/>
      </w:tcPr>
    </w:tblStylePr>
    <w:tblStylePr w:type="band1Vert">
      <w:tblPr/>
      <w:tcPr>
        <w:shd w:val="clear" w:color="auto" w:fill="CCE3E7" w:themeFill="accent2" w:themeFillTint="66"/>
      </w:tcPr>
    </w:tblStylePr>
    <w:tblStylePr w:type="band1Horz">
      <w:tblPr/>
      <w:tcPr>
        <w:shd w:val="clear" w:color="auto" w:fill="BFDCE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04050" w:themeColor="accent4"/>
        <w:left w:val="single" w:sz="4" w:space="0" w:color="BFDDE1" w:themeColor="accent3"/>
        <w:bottom w:val="single" w:sz="4" w:space="0" w:color="BFDDE1" w:themeColor="accent3"/>
        <w:right w:val="single" w:sz="4" w:space="0" w:color="BFDD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4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9FA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9FA9" w:themeColor="accent3" w:themeShade="99"/>
          <w:insideV w:val="nil"/>
        </w:tcBorders>
        <w:shd w:val="clear" w:color="auto" w:fill="4F9FA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9FA9" w:themeFill="accent3" w:themeFillShade="99"/>
      </w:tcPr>
    </w:tblStylePr>
    <w:tblStylePr w:type="band1Vert">
      <w:tblPr/>
      <w:tcPr>
        <w:shd w:val="clear" w:color="auto" w:fill="E5F1F3" w:themeFill="accent3" w:themeFillTint="66"/>
      </w:tcPr>
    </w:tblStylePr>
    <w:tblStylePr w:type="band1Horz">
      <w:tblPr/>
      <w:tcPr>
        <w:shd w:val="clear" w:color="auto" w:fill="DFEEF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DDE1" w:themeColor="accent3"/>
        <w:left w:val="single" w:sz="4" w:space="0" w:color="404050" w:themeColor="accent4"/>
        <w:bottom w:val="single" w:sz="4" w:space="0" w:color="404050" w:themeColor="accent4"/>
        <w:right w:val="single" w:sz="4" w:space="0" w:color="404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DD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262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262F" w:themeColor="accent4" w:themeShade="99"/>
          <w:insideV w:val="nil"/>
        </w:tcBorders>
        <w:shd w:val="clear" w:color="auto" w:fill="26262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F" w:themeFill="accent4" w:themeFillShade="99"/>
      </w:tcPr>
    </w:tblStylePr>
    <w:tblStylePr w:type="band1Vert">
      <w:tblPr/>
      <w:tcPr>
        <w:shd w:val="clear" w:color="auto" w:fill="ADADBD" w:themeFill="accent4" w:themeFillTint="66"/>
      </w:tcPr>
    </w:tblStylePr>
    <w:tblStylePr w:type="band1Horz">
      <w:tblPr/>
      <w:tcPr>
        <w:shd w:val="clear" w:color="auto" w:fill="9999A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CD0" w:themeColor="accent6"/>
        <w:left w:val="single" w:sz="4" w:space="0" w:color="80808B" w:themeColor="accent5"/>
        <w:bottom w:val="single" w:sz="4" w:space="0" w:color="80808B" w:themeColor="accent5"/>
        <w:right w:val="single" w:sz="4" w:space="0" w:color="8080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53" w:themeColor="accent5" w:themeShade="99"/>
          <w:insideV w:val="nil"/>
        </w:tcBorders>
        <w:shd w:val="clear" w:color="auto" w:fill="4C4C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53" w:themeFill="accent5" w:themeFillShade="99"/>
      </w:tcPr>
    </w:tblStylePr>
    <w:tblStylePr w:type="band1Vert">
      <w:tblPr/>
      <w:tcPr>
        <w:shd w:val="clear" w:color="auto" w:fill="CCCCD0" w:themeFill="accent5" w:themeFillTint="66"/>
      </w:tcPr>
    </w:tblStylePr>
    <w:tblStylePr w:type="band1Horz">
      <w:tblPr/>
      <w:tcPr>
        <w:shd w:val="clear" w:color="auto" w:fill="BFBF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B" w:themeColor="accent5"/>
        <w:left w:val="single" w:sz="4" w:space="0" w:color="CCCCD0" w:themeColor="accent6"/>
        <w:bottom w:val="single" w:sz="4" w:space="0" w:color="CCCCD0" w:themeColor="accent6"/>
        <w:right w:val="single" w:sz="4" w:space="0" w:color="CCCC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768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7680" w:themeColor="accent6" w:themeShade="99"/>
          <w:insideV w:val="nil"/>
        </w:tcBorders>
        <w:shd w:val="clear" w:color="auto" w:fill="76768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7680" w:themeFill="accent6" w:themeFillShade="99"/>
      </w:tcPr>
    </w:tblStylePr>
    <w:tblStylePr w:type="band1Vert">
      <w:tblPr/>
      <w:tcPr>
        <w:shd w:val="clear" w:color="auto" w:fill="EAEAEC" w:themeFill="accent6" w:themeFillTint="66"/>
      </w:tcPr>
    </w:tblStylePr>
    <w:tblStylePr w:type="band1Horz">
      <w:tblPr/>
      <w:tcPr>
        <w:shd w:val="clear" w:color="auto" w:fill="E5E5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98A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B5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17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17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17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17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BAC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656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98A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98A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98A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98A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DD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848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B7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B7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B7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B7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4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6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294A5A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CC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626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6969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6969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E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ADD9DF" w:themeColor="accent1" w:themeTint="66"/>
        <w:left w:val="single" w:sz="4" w:space="0" w:color="ADD9DF" w:themeColor="accent1" w:themeTint="66"/>
        <w:bottom w:val="single" w:sz="4" w:space="0" w:color="ADD9DF" w:themeColor="accent1" w:themeTint="66"/>
        <w:right w:val="single" w:sz="4" w:space="0" w:color="ADD9DF" w:themeColor="accent1" w:themeTint="66"/>
        <w:insideH w:val="single" w:sz="4" w:space="0" w:color="ADD9DF" w:themeColor="accent1" w:themeTint="66"/>
        <w:insideV w:val="single" w:sz="4" w:space="0" w:color="ADD9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5C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C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CCE3E7" w:themeColor="accent2" w:themeTint="66"/>
        <w:left w:val="single" w:sz="4" w:space="0" w:color="CCE3E7" w:themeColor="accent2" w:themeTint="66"/>
        <w:bottom w:val="single" w:sz="4" w:space="0" w:color="CCE3E7" w:themeColor="accent2" w:themeTint="66"/>
        <w:right w:val="single" w:sz="4" w:space="0" w:color="CCE3E7" w:themeColor="accent2" w:themeTint="66"/>
        <w:insideH w:val="single" w:sz="4" w:space="0" w:color="CCE3E7" w:themeColor="accent2" w:themeTint="66"/>
        <w:insideV w:val="single" w:sz="4" w:space="0" w:color="CCE3E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2D5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D5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5F1F3" w:themeColor="accent3" w:themeTint="66"/>
        <w:left w:val="single" w:sz="4" w:space="0" w:color="E5F1F3" w:themeColor="accent3" w:themeTint="66"/>
        <w:bottom w:val="single" w:sz="4" w:space="0" w:color="E5F1F3" w:themeColor="accent3" w:themeTint="66"/>
        <w:right w:val="single" w:sz="4" w:space="0" w:color="E5F1F3" w:themeColor="accent3" w:themeTint="66"/>
        <w:insideH w:val="single" w:sz="4" w:space="0" w:color="E5F1F3" w:themeColor="accent3" w:themeTint="66"/>
        <w:insideV w:val="single" w:sz="4" w:space="0" w:color="E5F1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EA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EA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ADADBD" w:themeColor="accent4" w:themeTint="66"/>
        <w:left w:val="single" w:sz="4" w:space="0" w:color="ADADBD" w:themeColor="accent4" w:themeTint="66"/>
        <w:bottom w:val="single" w:sz="4" w:space="0" w:color="ADADBD" w:themeColor="accent4" w:themeTint="66"/>
        <w:right w:val="single" w:sz="4" w:space="0" w:color="ADADBD" w:themeColor="accent4" w:themeTint="66"/>
        <w:insideH w:val="single" w:sz="4" w:space="0" w:color="ADADBD" w:themeColor="accent4" w:themeTint="66"/>
        <w:insideV w:val="single" w:sz="4" w:space="0" w:color="ADAD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484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4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CCCCD0" w:themeColor="accent5" w:themeTint="66"/>
        <w:left w:val="single" w:sz="4" w:space="0" w:color="CCCCD0" w:themeColor="accent5" w:themeTint="66"/>
        <w:bottom w:val="single" w:sz="4" w:space="0" w:color="CCCCD0" w:themeColor="accent5" w:themeTint="66"/>
        <w:right w:val="single" w:sz="4" w:space="0" w:color="CCCCD0" w:themeColor="accent5" w:themeTint="66"/>
        <w:insideH w:val="single" w:sz="4" w:space="0" w:color="CCCCD0" w:themeColor="accent5" w:themeTint="66"/>
        <w:insideV w:val="single" w:sz="4" w:space="0" w:color="CCCC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AEAEC" w:themeColor="accent6" w:themeTint="66"/>
        <w:left w:val="single" w:sz="4" w:space="0" w:color="EAEAEC" w:themeColor="accent6" w:themeTint="66"/>
        <w:bottom w:val="single" w:sz="4" w:space="0" w:color="EAEAEC" w:themeColor="accent6" w:themeTint="66"/>
        <w:right w:val="single" w:sz="4" w:space="0" w:color="EAEAEC" w:themeColor="accent6" w:themeTint="66"/>
        <w:insideH w:val="single" w:sz="4" w:space="0" w:color="EAEAEC" w:themeColor="accent6" w:themeTint="66"/>
        <w:insideV w:val="single" w:sz="4" w:space="0" w:color="EAEA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0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0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85C6CF" w:themeColor="accent1" w:themeTint="99"/>
        <w:bottom w:val="single" w:sz="2" w:space="0" w:color="85C6CF" w:themeColor="accent1" w:themeTint="99"/>
        <w:insideH w:val="single" w:sz="2" w:space="0" w:color="85C6CF" w:themeColor="accent1" w:themeTint="99"/>
        <w:insideV w:val="single" w:sz="2" w:space="0" w:color="85C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C6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C6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B2D5DB" w:themeColor="accent2" w:themeTint="99"/>
        <w:bottom w:val="single" w:sz="2" w:space="0" w:color="B2D5DB" w:themeColor="accent2" w:themeTint="99"/>
        <w:insideH w:val="single" w:sz="2" w:space="0" w:color="B2D5DB" w:themeColor="accent2" w:themeTint="99"/>
        <w:insideV w:val="single" w:sz="2" w:space="0" w:color="B2D5D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5D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5D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F3" w:themeFill="accent2" w:themeFillTint="33"/>
      </w:tcPr>
    </w:tblStylePr>
    <w:tblStylePr w:type="band1Horz">
      <w:tblPr/>
      <w:tcPr>
        <w:shd w:val="clear" w:color="auto" w:fill="E5F1F3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D8EAED" w:themeColor="accent3" w:themeTint="99"/>
        <w:bottom w:val="single" w:sz="2" w:space="0" w:color="D8EAED" w:themeColor="accent3" w:themeTint="99"/>
        <w:insideH w:val="single" w:sz="2" w:space="0" w:color="D8EAED" w:themeColor="accent3" w:themeTint="99"/>
        <w:insideV w:val="single" w:sz="2" w:space="0" w:color="D8EA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EA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EA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3" w:themeFillTint="33"/>
      </w:tcPr>
    </w:tblStylePr>
    <w:tblStylePr w:type="band1Horz">
      <w:tblPr/>
      <w:tcPr>
        <w:shd w:val="clear" w:color="auto" w:fill="F2F8F9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84849D" w:themeColor="accent4" w:themeTint="99"/>
        <w:bottom w:val="single" w:sz="2" w:space="0" w:color="84849D" w:themeColor="accent4" w:themeTint="99"/>
        <w:insideH w:val="single" w:sz="2" w:space="0" w:color="84849D" w:themeColor="accent4" w:themeTint="99"/>
        <w:insideV w:val="single" w:sz="2" w:space="0" w:color="8484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84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84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B2B2B9" w:themeColor="accent5" w:themeTint="99"/>
        <w:bottom w:val="single" w:sz="2" w:space="0" w:color="B2B2B9" w:themeColor="accent5" w:themeTint="99"/>
        <w:insideH w:val="single" w:sz="2" w:space="0" w:color="B2B2B9" w:themeColor="accent5" w:themeTint="99"/>
        <w:insideV w:val="single" w:sz="2" w:space="0" w:color="B2B2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2" w:space="0" w:color="E0E0E2" w:themeColor="accent6" w:themeTint="99"/>
        <w:bottom w:val="single" w:sz="2" w:space="0" w:color="E0E0E2" w:themeColor="accent6" w:themeTint="99"/>
        <w:insideH w:val="single" w:sz="2" w:space="0" w:color="E0E0E2" w:themeColor="accent6" w:themeTint="99"/>
        <w:insideV w:val="single" w:sz="2" w:space="0" w:color="E0E0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E0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E0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5C6CF" w:themeColor="accent1" w:themeTint="99"/>
        <w:left w:val="single" w:sz="4" w:space="0" w:color="85C6CF" w:themeColor="accent1" w:themeTint="99"/>
        <w:bottom w:val="single" w:sz="4" w:space="0" w:color="85C6CF" w:themeColor="accent1" w:themeTint="99"/>
        <w:right w:val="single" w:sz="4" w:space="0" w:color="85C6CF" w:themeColor="accent1" w:themeTint="99"/>
        <w:insideH w:val="single" w:sz="4" w:space="0" w:color="85C6CF" w:themeColor="accent1" w:themeTint="99"/>
        <w:insideV w:val="single" w:sz="4" w:space="0" w:color="85C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  <w:tblStylePr w:type="neCell">
      <w:tblPr/>
      <w:tcPr>
        <w:tcBorders>
          <w:bottom w:val="single" w:sz="4" w:space="0" w:color="85C6CF" w:themeColor="accent1" w:themeTint="99"/>
        </w:tcBorders>
      </w:tcPr>
    </w:tblStylePr>
    <w:tblStylePr w:type="nwCell">
      <w:tblPr/>
      <w:tcPr>
        <w:tcBorders>
          <w:bottom w:val="single" w:sz="4" w:space="0" w:color="85C6CF" w:themeColor="accent1" w:themeTint="99"/>
        </w:tcBorders>
      </w:tcPr>
    </w:tblStylePr>
    <w:tblStylePr w:type="seCell">
      <w:tblPr/>
      <w:tcPr>
        <w:tcBorders>
          <w:top w:val="single" w:sz="4" w:space="0" w:color="85C6CF" w:themeColor="accent1" w:themeTint="99"/>
        </w:tcBorders>
      </w:tcPr>
    </w:tblStylePr>
    <w:tblStylePr w:type="swCell">
      <w:tblPr/>
      <w:tcPr>
        <w:tcBorders>
          <w:top w:val="single" w:sz="4" w:space="0" w:color="85C6C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D5DB" w:themeColor="accent2" w:themeTint="99"/>
        <w:left w:val="single" w:sz="4" w:space="0" w:color="B2D5DB" w:themeColor="accent2" w:themeTint="99"/>
        <w:bottom w:val="single" w:sz="4" w:space="0" w:color="B2D5DB" w:themeColor="accent2" w:themeTint="99"/>
        <w:right w:val="single" w:sz="4" w:space="0" w:color="B2D5DB" w:themeColor="accent2" w:themeTint="99"/>
        <w:insideH w:val="single" w:sz="4" w:space="0" w:color="B2D5DB" w:themeColor="accent2" w:themeTint="99"/>
        <w:insideV w:val="single" w:sz="4" w:space="0" w:color="B2D5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1F3" w:themeFill="accent2" w:themeFillTint="33"/>
      </w:tcPr>
    </w:tblStylePr>
    <w:tblStylePr w:type="band1Horz">
      <w:tblPr/>
      <w:tcPr>
        <w:shd w:val="clear" w:color="auto" w:fill="E5F1F3" w:themeFill="accent2" w:themeFillTint="33"/>
      </w:tcPr>
    </w:tblStylePr>
    <w:tblStylePr w:type="neCell">
      <w:tblPr/>
      <w:tcPr>
        <w:tcBorders>
          <w:bottom w:val="single" w:sz="4" w:space="0" w:color="B2D5DB" w:themeColor="accent2" w:themeTint="99"/>
        </w:tcBorders>
      </w:tcPr>
    </w:tblStylePr>
    <w:tblStylePr w:type="nwCell">
      <w:tblPr/>
      <w:tcPr>
        <w:tcBorders>
          <w:bottom w:val="single" w:sz="4" w:space="0" w:color="B2D5DB" w:themeColor="accent2" w:themeTint="99"/>
        </w:tcBorders>
      </w:tcPr>
    </w:tblStylePr>
    <w:tblStylePr w:type="seCell">
      <w:tblPr/>
      <w:tcPr>
        <w:tcBorders>
          <w:top w:val="single" w:sz="4" w:space="0" w:color="B2D5DB" w:themeColor="accent2" w:themeTint="99"/>
        </w:tcBorders>
      </w:tcPr>
    </w:tblStylePr>
    <w:tblStylePr w:type="swCell">
      <w:tblPr/>
      <w:tcPr>
        <w:tcBorders>
          <w:top w:val="single" w:sz="4" w:space="0" w:color="B2D5D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D8EAED" w:themeColor="accent3" w:themeTint="99"/>
        <w:left w:val="single" w:sz="4" w:space="0" w:color="D8EAED" w:themeColor="accent3" w:themeTint="99"/>
        <w:bottom w:val="single" w:sz="4" w:space="0" w:color="D8EAED" w:themeColor="accent3" w:themeTint="99"/>
        <w:right w:val="single" w:sz="4" w:space="0" w:color="D8EAED" w:themeColor="accent3" w:themeTint="99"/>
        <w:insideH w:val="single" w:sz="4" w:space="0" w:color="D8EAED" w:themeColor="accent3" w:themeTint="99"/>
        <w:insideV w:val="single" w:sz="4" w:space="0" w:color="D8EA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8F9" w:themeFill="accent3" w:themeFillTint="33"/>
      </w:tcPr>
    </w:tblStylePr>
    <w:tblStylePr w:type="band1Horz">
      <w:tblPr/>
      <w:tcPr>
        <w:shd w:val="clear" w:color="auto" w:fill="F2F8F9" w:themeFill="accent3" w:themeFillTint="33"/>
      </w:tcPr>
    </w:tblStylePr>
    <w:tblStylePr w:type="neCell">
      <w:tblPr/>
      <w:tcPr>
        <w:tcBorders>
          <w:bottom w:val="single" w:sz="4" w:space="0" w:color="D8EAED" w:themeColor="accent3" w:themeTint="99"/>
        </w:tcBorders>
      </w:tcPr>
    </w:tblStylePr>
    <w:tblStylePr w:type="nwCell">
      <w:tblPr/>
      <w:tcPr>
        <w:tcBorders>
          <w:bottom w:val="single" w:sz="4" w:space="0" w:color="D8EAED" w:themeColor="accent3" w:themeTint="99"/>
        </w:tcBorders>
      </w:tcPr>
    </w:tblStylePr>
    <w:tblStylePr w:type="seCell">
      <w:tblPr/>
      <w:tcPr>
        <w:tcBorders>
          <w:top w:val="single" w:sz="4" w:space="0" w:color="D8EAED" w:themeColor="accent3" w:themeTint="99"/>
        </w:tcBorders>
      </w:tcPr>
    </w:tblStylePr>
    <w:tblStylePr w:type="swCell">
      <w:tblPr/>
      <w:tcPr>
        <w:tcBorders>
          <w:top w:val="single" w:sz="4" w:space="0" w:color="D8EAED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4849D" w:themeColor="accent4" w:themeTint="99"/>
        <w:left w:val="single" w:sz="4" w:space="0" w:color="84849D" w:themeColor="accent4" w:themeTint="99"/>
        <w:bottom w:val="single" w:sz="4" w:space="0" w:color="84849D" w:themeColor="accent4" w:themeTint="99"/>
        <w:right w:val="single" w:sz="4" w:space="0" w:color="84849D" w:themeColor="accent4" w:themeTint="99"/>
        <w:insideH w:val="single" w:sz="4" w:space="0" w:color="84849D" w:themeColor="accent4" w:themeTint="99"/>
        <w:insideV w:val="single" w:sz="4" w:space="0" w:color="8484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  <w:tblStylePr w:type="neCell">
      <w:tblPr/>
      <w:tcPr>
        <w:tcBorders>
          <w:bottom w:val="single" w:sz="4" w:space="0" w:color="84849D" w:themeColor="accent4" w:themeTint="99"/>
        </w:tcBorders>
      </w:tcPr>
    </w:tblStylePr>
    <w:tblStylePr w:type="nwCell">
      <w:tblPr/>
      <w:tcPr>
        <w:tcBorders>
          <w:bottom w:val="single" w:sz="4" w:space="0" w:color="84849D" w:themeColor="accent4" w:themeTint="99"/>
        </w:tcBorders>
      </w:tcPr>
    </w:tblStylePr>
    <w:tblStylePr w:type="seCell">
      <w:tblPr/>
      <w:tcPr>
        <w:tcBorders>
          <w:top w:val="single" w:sz="4" w:space="0" w:color="84849D" w:themeColor="accent4" w:themeTint="99"/>
        </w:tcBorders>
      </w:tcPr>
    </w:tblStylePr>
    <w:tblStylePr w:type="swCell">
      <w:tblPr/>
      <w:tcPr>
        <w:tcBorders>
          <w:top w:val="single" w:sz="4" w:space="0" w:color="84849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B2B9" w:themeColor="accent5" w:themeTint="99"/>
        <w:left w:val="single" w:sz="4" w:space="0" w:color="B2B2B9" w:themeColor="accent5" w:themeTint="99"/>
        <w:bottom w:val="single" w:sz="4" w:space="0" w:color="B2B2B9" w:themeColor="accent5" w:themeTint="99"/>
        <w:right w:val="single" w:sz="4" w:space="0" w:color="B2B2B9" w:themeColor="accent5" w:themeTint="99"/>
        <w:insideH w:val="single" w:sz="4" w:space="0" w:color="B2B2B9" w:themeColor="accent5" w:themeTint="99"/>
        <w:insideV w:val="single" w:sz="4" w:space="0" w:color="B2B2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bottom w:val="single" w:sz="4" w:space="0" w:color="B2B2B9" w:themeColor="accent5" w:themeTint="99"/>
        </w:tcBorders>
      </w:tcPr>
    </w:tblStylePr>
    <w:tblStylePr w:type="nwCell">
      <w:tblPr/>
      <w:tcPr>
        <w:tcBorders>
          <w:bottom w:val="single" w:sz="4" w:space="0" w:color="B2B2B9" w:themeColor="accent5" w:themeTint="99"/>
        </w:tcBorders>
      </w:tcPr>
    </w:tblStylePr>
    <w:tblStylePr w:type="seCell">
      <w:tblPr/>
      <w:tcPr>
        <w:tcBorders>
          <w:top w:val="single" w:sz="4" w:space="0" w:color="B2B2B9" w:themeColor="accent5" w:themeTint="99"/>
        </w:tcBorders>
      </w:tcPr>
    </w:tblStylePr>
    <w:tblStylePr w:type="swCell">
      <w:tblPr/>
      <w:tcPr>
        <w:tcBorders>
          <w:top w:val="single" w:sz="4" w:space="0" w:color="B2B2B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0E0E2" w:themeColor="accent6" w:themeTint="99"/>
        <w:left w:val="single" w:sz="4" w:space="0" w:color="E0E0E2" w:themeColor="accent6" w:themeTint="99"/>
        <w:bottom w:val="single" w:sz="4" w:space="0" w:color="E0E0E2" w:themeColor="accent6" w:themeTint="99"/>
        <w:right w:val="single" w:sz="4" w:space="0" w:color="E0E0E2" w:themeColor="accent6" w:themeTint="99"/>
        <w:insideH w:val="single" w:sz="4" w:space="0" w:color="E0E0E2" w:themeColor="accent6" w:themeTint="99"/>
        <w:insideV w:val="single" w:sz="4" w:space="0" w:color="E0E0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  <w:tblStylePr w:type="neCell">
      <w:tblPr/>
      <w:tcPr>
        <w:tcBorders>
          <w:bottom w:val="single" w:sz="4" w:space="0" w:color="E0E0E2" w:themeColor="accent6" w:themeTint="99"/>
        </w:tcBorders>
      </w:tcPr>
    </w:tblStylePr>
    <w:tblStylePr w:type="nwCell">
      <w:tblPr/>
      <w:tcPr>
        <w:tcBorders>
          <w:bottom w:val="single" w:sz="4" w:space="0" w:color="E0E0E2" w:themeColor="accent6" w:themeTint="99"/>
        </w:tcBorders>
      </w:tcPr>
    </w:tblStylePr>
    <w:tblStylePr w:type="seCell">
      <w:tblPr/>
      <w:tcPr>
        <w:tcBorders>
          <w:top w:val="single" w:sz="4" w:space="0" w:color="E0E0E2" w:themeColor="accent6" w:themeTint="99"/>
        </w:tcBorders>
      </w:tcPr>
    </w:tblStylePr>
    <w:tblStylePr w:type="swCell">
      <w:tblPr/>
      <w:tcPr>
        <w:tcBorders>
          <w:top w:val="single" w:sz="4" w:space="0" w:color="E0E0E2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5C6CF" w:themeColor="accent1" w:themeTint="99"/>
        <w:left w:val="single" w:sz="4" w:space="0" w:color="85C6CF" w:themeColor="accent1" w:themeTint="99"/>
        <w:bottom w:val="single" w:sz="4" w:space="0" w:color="85C6CF" w:themeColor="accent1" w:themeTint="99"/>
        <w:right w:val="single" w:sz="4" w:space="0" w:color="85C6CF" w:themeColor="accent1" w:themeTint="99"/>
        <w:insideH w:val="single" w:sz="4" w:space="0" w:color="85C6CF" w:themeColor="accent1" w:themeTint="99"/>
        <w:insideV w:val="single" w:sz="4" w:space="0" w:color="85C6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98A4" w:themeColor="accent1"/>
          <w:left w:val="single" w:sz="4" w:space="0" w:color="4098A4" w:themeColor="accent1"/>
          <w:bottom w:val="single" w:sz="4" w:space="0" w:color="4098A4" w:themeColor="accent1"/>
          <w:right w:val="single" w:sz="4" w:space="0" w:color="4098A4" w:themeColor="accent1"/>
          <w:insideH w:val="nil"/>
          <w:insideV w:val="nil"/>
        </w:tcBorders>
        <w:shd w:val="clear" w:color="auto" w:fill="4098A4" w:themeFill="accent1"/>
      </w:tcPr>
    </w:tblStylePr>
    <w:tblStylePr w:type="lastRow">
      <w:rPr>
        <w:b/>
        <w:bCs/>
      </w:rPr>
      <w:tblPr/>
      <w:tcPr>
        <w:tcBorders>
          <w:top w:val="double" w:sz="4" w:space="0" w:color="4098A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D5DB" w:themeColor="accent2" w:themeTint="99"/>
        <w:left w:val="single" w:sz="4" w:space="0" w:color="B2D5DB" w:themeColor="accent2" w:themeTint="99"/>
        <w:bottom w:val="single" w:sz="4" w:space="0" w:color="B2D5DB" w:themeColor="accent2" w:themeTint="99"/>
        <w:right w:val="single" w:sz="4" w:space="0" w:color="B2D5DB" w:themeColor="accent2" w:themeTint="99"/>
        <w:insideH w:val="single" w:sz="4" w:space="0" w:color="B2D5DB" w:themeColor="accent2" w:themeTint="99"/>
        <w:insideV w:val="single" w:sz="4" w:space="0" w:color="B2D5D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AC3" w:themeColor="accent2"/>
          <w:left w:val="single" w:sz="4" w:space="0" w:color="80BAC3" w:themeColor="accent2"/>
          <w:bottom w:val="single" w:sz="4" w:space="0" w:color="80BAC3" w:themeColor="accent2"/>
          <w:right w:val="single" w:sz="4" w:space="0" w:color="80BAC3" w:themeColor="accent2"/>
          <w:insideH w:val="nil"/>
          <w:insideV w:val="nil"/>
        </w:tcBorders>
        <w:shd w:val="clear" w:color="auto" w:fill="80BAC3" w:themeFill="accent2"/>
      </w:tcPr>
    </w:tblStylePr>
    <w:tblStylePr w:type="lastRow">
      <w:rPr>
        <w:b/>
        <w:bCs/>
      </w:rPr>
      <w:tblPr/>
      <w:tcPr>
        <w:tcBorders>
          <w:top w:val="double" w:sz="4" w:space="0" w:color="80BAC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F3" w:themeFill="accent2" w:themeFillTint="33"/>
      </w:tcPr>
    </w:tblStylePr>
    <w:tblStylePr w:type="band1Horz">
      <w:tblPr/>
      <w:tcPr>
        <w:shd w:val="clear" w:color="auto" w:fill="E5F1F3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D8EAED" w:themeColor="accent3" w:themeTint="99"/>
        <w:left w:val="single" w:sz="4" w:space="0" w:color="D8EAED" w:themeColor="accent3" w:themeTint="99"/>
        <w:bottom w:val="single" w:sz="4" w:space="0" w:color="D8EAED" w:themeColor="accent3" w:themeTint="99"/>
        <w:right w:val="single" w:sz="4" w:space="0" w:color="D8EAED" w:themeColor="accent3" w:themeTint="99"/>
        <w:insideH w:val="single" w:sz="4" w:space="0" w:color="D8EAED" w:themeColor="accent3" w:themeTint="99"/>
        <w:insideV w:val="single" w:sz="4" w:space="0" w:color="D8EA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DDE1" w:themeColor="accent3"/>
          <w:left w:val="single" w:sz="4" w:space="0" w:color="BFDDE1" w:themeColor="accent3"/>
          <w:bottom w:val="single" w:sz="4" w:space="0" w:color="BFDDE1" w:themeColor="accent3"/>
          <w:right w:val="single" w:sz="4" w:space="0" w:color="BFDDE1" w:themeColor="accent3"/>
          <w:insideH w:val="nil"/>
          <w:insideV w:val="nil"/>
        </w:tcBorders>
        <w:shd w:val="clear" w:color="auto" w:fill="BFDDE1" w:themeFill="accent3"/>
      </w:tcPr>
    </w:tblStylePr>
    <w:tblStylePr w:type="lastRow">
      <w:rPr>
        <w:b/>
        <w:bCs/>
      </w:rPr>
      <w:tblPr/>
      <w:tcPr>
        <w:tcBorders>
          <w:top w:val="double" w:sz="4" w:space="0" w:color="BFDD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3" w:themeFillTint="33"/>
      </w:tcPr>
    </w:tblStylePr>
    <w:tblStylePr w:type="band1Horz">
      <w:tblPr/>
      <w:tcPr>
        <w:shd w:val="clear" w:color="auto" w:fill="F2F8F9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4849D" w:themeColor="accent4" w:themeTint="99"/>
        <w:left w:val="single" w:sz="4" w:space="0" w:color="84849D" w:themeColor="accent4" w:themeTint="99"/>
        <w:bottom w:val="single" w:sz="4" w:space="0" w:color="84849D" w:themeColor="accent4" w:themeTint="99"/>
        <w:right w:val="single" w:sz="4" w:space="0" w:color="84849D" w:themeColor="accent4" w:themeTint="99"/>
        <w:insideH w:val="single" w:sz="4" w:space="0" w:color="84849D" w:themeColor="accent4" w:themeTint="99"/>
        <w:insideV w:val="single" w:sz="4" w:space="0" w:color="8484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4050" w:themeColor="accent4"/>
          <w:left w:val="single" w:sz="4" w:space="0" w:color="404050" w:themeColor="accent4"/>
          <w:bottom w:val="single" w:sz="4" w:space="0" w:color="404050" w:themeColor="accent4"/>
          <w:right w:val="single" w:sz="4" w:space="0" w:color="404050" w:themeColor="accent4"/>
          <w:insideH w:val="nil"/>
          <w:insideV w:val="nil"/>
        </w:tcBorders>
        <w:shd w:val="clear" w:color="auto" w:fill="404050" w:themeFill="accent4"/>
      </w:tcPr>
    </w:tblStylePr>
    <w:tblStylePr w:type="lastRow">
      <w:rPr>
        <w:b/>
        <w:bCs/>
      </w:rPr>
      <w:tblPr/>
      <w:tcPr>
        <w:tcBorders>
          <w:top w:val="double" w:sz="4" w:space="0" w:color="404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B2B9" w:themeColor="accent5" w:themeTint="99"/>
        <w:left w:val="single" w:sz="4" w:space="0" w:color="B2B2B9" w:themeColor="accent5" w:themeTint="99"/>
        <w:bottom w:val="single" w:sz="4" w:space="0" w:color="B2B2B9" w:themeColor="accent5" w:themeTint="99"/>
        <w:right w:val="single" w:sz="4" w:space="0" w:color="B2B2B9" w:themeColor="accent5" w:themeTint="99"/>
        <w:insideH w:val="single" w:sz="4" w:space="0" w:color="B2B2B9" w:themeColor="accent5" w:themeTint="99"/>
        <w:insideV w:val="single" w:sz="4" w:space="0" w:color="B2B2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B" w:themeColor="accent5"/>
          <w:left w:val="single" w:sz="4" w:space="0" w:color="80808B" w:themeColor="accent5"/>
          <w:bottom w:val="single" w:sz="4" w:space="0" w:color="80808B" w:themeColor="accent5"/>
          <w:right w:val="single" w:sz="4" w:space="0" w:color="80808B" w:themeColor="accent5"/>
          <w:insideH w:val="nil"/>
          <w:insideV w:val="nil"/>
        </w:tcBorders>
        <w:shd w:val="clear" w:color="auto" w:fill="80808B" w:themeFill="accent5"/>
      </w:tcPr>
    </w:tblStylePr>
    <w:tblStylePr w:type="lastRow">
      <w:rPr>
        <w:b/>
        <w:bCs/>
      </w:rPr>
      <w:tblPr/>
      <w:tcPr>
        <w:tcBorders>
          <w:top w:val="double" w:sz="4" w:space="0" w:color="8080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0E0E2" w:themeColor="accent6" w:themeTint="99"/>
        <w:left w:val="single" w:sz="4" w:space="0" w:color="E0E0E2" w:themeColor="accent6" w:themeTint="99"/>
        <w:bottom w:val="single" w:sz="4" w:space="0" w:color="E0E0E2" w:themeColor="accent6" w:themeTint="99"/>
        <w:right w:val="single" w:sz="4" w:space="0" w:color="E0E0E2" w:themeColor="accent6" w:themeTint="99"/>
        <w:insideH w:val="single" w:sz="4" w:space="0" w:color="E0E0E2" w:themeColor="accent6" w:themeTint="99"/>
        <w:insideV w:val="single" w:sz="4" w:space="0" w:color="E0E0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CD0" w:themeColor="accent6"/>
          <w:left w:val="single" w:sz="4" w:space="0" w:color="CCCCD0" w:themeColor="accent6"/>
          <w:bottom w:val="single" w:sz="4" w:space="0" w:color="CCCCD0" w:themeColor="accent6"/>
          <w:right w:val="single" w:sz="4" w:space="0" w:color="CCCCD0" w:themeColor="accent6"/>
          <w:insideH w:val="nil"/>
          <w:insideV w:val="nil"/>
        </w:tcBorders>
        <w:shd w:val="clear" w:color="auto" w:fill="CCCCD0" w:themeFill="accent6"/>
      </w:tcPr>
    </w:tblStylePr>
    <w:tblStylePr w:type="lastRow">
      <w:rPr>
        <w:b/>
        <w:bCs/>
      </w:rPr>
      <w:tblPr/>
      <w:tcPr>
        <w:tcBorders>
          <w:top w:val="double" w:sz="4" w:space="0" w:color="CCCC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C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98A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98A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98A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98A4" w:themeFill="accent1"/>
      </w:tcPr>
    </w:tblStylePr>
    <w:tblStylePr w:type="band1Vert">
      <w:tblPr/>
      <w:tcPr>
        <w:shd w:val="clear" w:color="auto" w:fill="ADD9DF" w:themeFill="accent1" w:themeFillTint="66"/>
      </w:tcPr>
    </w:tblStylePr>
    <w:tblStylePr w:type="band1Horz">
      <w:tblPr/>
      <w:tcPr>
        <w:shd w:val="clear" w:color="auto" w:fill="ADD9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AC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AC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BAC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BAC3" w:themeFill="accent2"/>
      </w:tcPr>
    </w:tblStylePr>
    <w:tblStylePr w:type="band1Vert">
      <w:tblPr/>
      <w:tcPr>
        <w:shd w:val="clear" w:color="auto" w:fill="CCE3E7" w:themeFill="accent2" w:themeFillTint="66"/>
      </w:tcPr>
    </w:tblStylePr>
    <w:tblStylePr w:type="band1Horz">
      <w:tblPr/>
      <w:tcPr>
        <w:shd w:val="clear" w:color="auto" w:fill="CCE3E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DD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DD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DD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DDE1" w:themeFill="accent3"/>
      </w:tcPr>
    </w:tblStylePr>
    <w:tblStylePr w:type="band1Vert">
      <w:tblPr/>
      <w:tcPr>
        <w:shd w:val="clear" w:color="auto" w:fill="E5F1F3" w:themeFill="accent3" w:themeFillTint="66"/>
      </w:tcPr>
    </w:tblStylePr>
    <w:tblStylePr w:type="band1Horz">
      <w:tblPr/>
      <w:tcPr>
        <w:shd w:val="clear" w:color="auto" w:fill="E5F1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6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4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4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4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4050" w:themeFill="accent4"/>
      </w:tcPr>
    </w:tblStylePr>
    <w:tblStylePr w:type="band1Vert">
      <w:tblPr/>
      <w:tcPr>
        <w:shd w:val="clear" w:color="auto" w:fill="ADADBD" w:themeFill="accent4" w:themeFillTint="66"/>
      </w:tcPr>
    </w:tblStylePr>
    <w:tblStylePr w:type="band1Horz">
      <w:tblPr/>
      <w:tcPr>
        <w:shd w:val="clear" w:color="auto" w:fill="ADADB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B" w:themeFill="accent5"/>
      </w:tcPr>
    </w:tblStylePr>
    <w:tblStylePr w:type="band1Vert">
      <w:tblPr/>
      <w:tcPr>
        <w:shd w:val="clear" w:color="auto" w:fill="CCCCD0" w:themeFill="accent5" w:themeFillTint="66"/>
      </w:tcPr>
    </w:tblStylePr>
    <w:tblStylePr w:type="band1Horz">
      <w:tblPr/>
      <w:tcPr>
        <w:shd w:val="clear" w:color="auto" w:fill="CCCCD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CC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CCD0" w:themeFill="accent6"/>
      </w:tcPr>
    </w:tblStylePr>
    <w:tblStylePr w:type="band1Vert">
      <w:tblPr/>
      <w:tcPr>
        <w:shd w:val="clear" w:color="auto" w:fill="EAEAEC" w:themeFill="accent6" w:themeFillTint="66"/>
      </w:tcPr>
    </w:tblStylePr>
    <w:tblStylePr w:type="band1Horz">
      <w:tblPr/>
      <w:tcPr>
        <w:shd w:val="clear" w:color="auto" w:fill="EAEAEC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294A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294A5A"/>
    <w:pPr>
      <w:spacing w:after="0" w:line="240" w:lineRule="auto"/>
    </w:pPr>
    <w:rPr>
      <w:color w:val="30717A" w:themeColor="accent1" w:themeShade="BF"/>
    </w:rPr>
    <w:tblPr>
      <w:tblStyleRowBandSize w:val="1"/>
      <w:tblStyleColBandSize w:val="1"/>
      <w:tblBorders>
        <w:top w:val="single" w:sz="4" w:space="0" w:color="85C6CF" w:themeColor="accent1" w:themeTint="99"/>
        <w:left w:val="single" w:sz="4" w:space="0" w:color="85C6CF" w:themeColor="accent1" w:themeTint="99"/>
        <w:bottom w:val="single" w:sz="4" w:space="0" w:color="85C6CF" w:themeColor="accent1" w:themeTint="99"/>
        <w:right w:val="single" w:sz="4" w:space="0" w:color="85C6CF" w:themeColor="accent1" w:themeTint="99"/>
        <w:insideH w:val="single" w:sz="4" w:space="0" w:color="85C6CF" w:themeColor="accent1" w:themeTint="99"/>
        <w:insideV w:val="single" w:sz="4" w:space="0" w:color="85C6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5C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C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294A5A"/>
    <w:pPr>
      <w:spacing w:after="0" w:line="240" w:lineRule="auto"/>
    </w:pPr>
    <w:rPr>
      <w:color w:val="4D98A4" w:themeColor="accent2" w:themeShade="BF"/>
    </w:rPr>
    <w:tblPr>
      <w:tblStyleRowBandSize w:val="1"/>
      <w:tblStyleColBandSize w:val="1"/>
      <w:tblBorders>
        <w:top w:val="single" w:sz="4" w:space="0" w:color="B2D5DB" w:themeColor="accent2" w:themeTint="99"/>
        <w:left w:val="single" w:sz="4" w:space="0" w:color="B2D5DB" w:themeColor="accent2" w:themeTint="99"/>
        <w:bottom w:val="single" w:sz="4" w:space="0" w:color="B2D5DB" w:themeColor="accent2" w:themeTint="99"/>
        <w:right w:val="single" w:sz="4" w:space="0" w:color="B2D5DB" w:themeColor="accent2" w:themeTint="99"/>
        <w:insideH w:val="single" w:sz="4" w:space="0" w:color="B2D5DB" w:themeColor="accent2" w:themeTint="99"/>
        <w:insideV w:val="single" w:sz="4" w:space="0" w:color="B2D5D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2D5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D5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F3" w:themeFill="accent2" w:themeFillTint="33"/>
      </w:tcPr>
    </w:tblStylePr>
    <w:tblStylePr w:type="band1Horz">
      <w:tblPr/>
      <w:tcPr>
        <w:shd w:val="clear" w:color="auto" w:fill="E5F1F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294A5A"/>
    <w:pPr>
      <w:spacing w:after="0" w:line="240" w:lineRule="auto"/>
    </w:pPr>
    <w:rPr>
      <w:color w:val="77B7BF" w:themeColor="accent3" w:themeShade="BF"/>
    </w:rPr>
    <w:tblPr>
      <w:tblStyleRowBandSize w:val="1"/>
      <w:tblStyleColBandSize w:val="1"/>
      <w:tblBorders>
        <w:top w:val="single" w:sz="4" w:space="0" w:color="D8EAED" w:themeColor="accent3" w:themeTint="99"/>
        <w:left w:val="single" w:sz="4" w:space="0" w:color="D8EAED" w:themeColor="accent3" w:themeTint="99"/>
        <w:bottom w:val="single" w:sz="4" w:space="0" w:color="D8EAED" w:themeColor="accent3" w:themeTint="99"/>
        <w:right w:val="single" w:sz="4" w:space="0" w:color="D8EAED" w:themeColor="accent3" w:themeTint="99"/>
        <w:insideH w:val="single" w:sz="4" w:space="0" w:color="D8EAED" w:themeColor="accent3" w:themeTint="99"/>
        <w:insideV w:val="single" w:sz="4" w:space="0" w:color="D8EA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EA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EA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3" w:themeFillTint="33"/>
      </w:tcPr>
    </w:tblStylePr>
    <w:tblStylePr w:type="band1Horz">
      <w:tblPr/>
      <w:tcPr>
        <w:shd w:val="clear" w:color="auto" w:fill="F2F8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294A5A"/>
    <w:pPr>
      <w:spacing w:after="0" w:line="240" w:lineRule="auto"/>
    </w:pPr>
    <w:rPr>
      <w:color w:val="30303B" w:themeColor="accent4" w:themeShade="BF"/>
    </w:rPr>
    <w:tblPr>
      <w:tblStyleRowBandSize w:val="1"/>
      <w:tblStyleColBandSize w:val="1"/>
      <w:tblBorders>
        <w:top w:val="single" w:sz="4" w:space="0" w:color="84849D" w:themeColor="accent4" w:themeTint="99"/>
        <w:left w:val="single" w:sz="4" w:space="0" w:color="84849D" w:themeColor="accent4" w:themeTint="99"/>
        <w:bottom w:val="single" w:sz="4" w:space="0" w:color="84849D" w:themeColor="accent4" w:themeTint="99"/>
        <w:right w:val="single" w:sz="4" w:space="0" w:color="84849D" w:themeColor="accent4" w:themeTint="99"/>
        <w:insideH w:val="single" w:sz="4" w:space="0" w:color="84849D" w:themeColor="accent4" w:themeTint="99"/>
        <w:insideV w:val="single" w:sz="4" w:space="0" w:color="8484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484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84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294A5A"/>
    <w:pPr>
      <w:spacing w:after="0" w:line="240" w:lineRule="auto"/>
    </w:pPr>
    <w:rPr>
      <w:color w:val="5F5F68" w:themeColor="accent5" w:themeShade="BF"/>
    </w:rPr>
    <w:tblPr>
      <w:tblStyleRowBandSize w:val="1"/>
      <w:tblStyleColBandSize w:val="1"/>
      <w:tblBorders>
        <w:top w:val="single" w:sz="4" w:space="0" w:color="B2B2B9" w:themeColor="accent5" w:themeTint="99"/>
        <w:left w:val="single" w:sz="4" w:space="0" w:color="B2B2B9" w:themeColor="accent5" w:themeTint="99"/>
        <w:bottom w:val="single" w:sz="4" w:space="0" w:color="B2B2B9" w:themeColor="accent5" w:themeTint="99"/>
        <w:right w:val="single" w:sz="4" w:space="0" w:color="B2B2B9" w:themeColor="accent5" w:themeTint="99"/>
        <w:insideH w:val="single" w:sz="4" w:space="0" w:color="B2B2B9" w:themeColor="accent5" w:themeTint="99"/>
        <w:insideV w:val="single" w:sz="4" w:space="0" w:color="B2B2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294A5A"/>
    <w:pPr>
      <w:spacing w:after="0" w:line="240" w:lineRule="auto"/>
    </w:pPr>
    <w:rPr>
      <w:color w:val="96969E" w:themeColor="accent6" w:themeShade="BF"/>
    </w:rPr>
    <w:tblPr>
      <w:tblStyleRowBandSize w:val="1"/>
      <w:tblStyleColBandSize w:val="1"/>
      <w:tblBorders>
        <w:top w:val="single" w:sz="4" w:space="0" w:color="E0E0E2" w:themeColor="accent6" w:themeTint="99"/>
        <w:left w:val="single" w:sz="4" w:space="0" w:color="E0E0E2" w:themeColor="accent6" w:themeTint="99"/>
        <w:bottom w:val="single" w:sz="4" w:space="0" w:color="E0E0E2" w:themeColor="accent6" w:themeTint="99"/>
        <w:right w:val="single" w:sz="4" w:space="0" w:color="E0E0E2" w:themeColor="accent6" w:themeTint="99"/>
        <w:insideH w:val="single" w:sz="4" w:space="0" w:color="E0E0E2" w:themeColor="accent6" w:themeTint="99"/>
        <w:insideV w:val="single" w:sz="4" w:space="0" w:color="E0E0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0E0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0E0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294A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294A5A"/>
    <w:pPr>
      <w:spacing w:after="0" w:line="240" w:lineRule="auto"/>
    </w:pPr>
    <w:rPr>
      <w:color w:val="30717A" w:themeColor="accent1" w:themeShade="BF"/>
    </w:rPr>
    <w:tblPr>
      <w:tblStyleRowBandSize w:val="1"/>
      <w:tblStyleColBandSize w:val="1"/>
      <w:tblBorders>
        <w:top w:val="single" w:sz="4" w:space="0" w:color="85C6CF" w:themeColor="accent1" w:themeTint="99"/>
        <w:left w:val="single" w:sz="4" w:space="0" w:color="85C6CF" w:themeColor="accent1" w:themeTint="99"/>
        <w:bottom w:val="single" w:sz="4" w:space="0" w:color="85C6CF" w:themeColor="accent1" w:themeTint="99"/>
        <w:right w:val="single" w:sz="4" w:space="0" w:color="85C6CF" w:themeColor="accent1" w:themeTint="99"/>
        <w:insideH w:val="single" w:sz="4" w:space="0" w:color="85C6CF" w:themeColor="accent1" w:themeTint="99"/>
        <w:insideV w:val="single" w:sz="4" w:space="0" w:color="85C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  <w:tblStylePr w:type="neCell">
      <w:tblPr/>
      <w:tcPr>
        <w:tcBorders>
          <w:bottom w:val="single" w:sz="4" w:space="0" w:color="85C6CF" w:themeColor="accent1" w:themeTint="99"/>
        </w:tcBorders>
      </w:tcPr>
    </w:tblStylePr>
    <w:tblStylePr w:type="nwCell">
      <w:tblPr/>
      <w:tcPr>
        <w:tcBorders>
          <w:bottom w:val="single" w:sz="4" w:space="0" w:color="85C6CF" w:themeColor="accent1" w:themeTint="99"/>
        </w:tcBorders>
      </w:tcPr>
    </w:tblStylePr>
    <w:tblStylePr w:type="seCell">
      <w:tblPr/>
      <w:tcPr>
        <w:tcBorders>
          <w:top w:val="single" w:sz="4" w:space="0" w:color="85C6CF" w:themeColor="accent1" w:themeTint="99"/>
        </w:tcBorders>
      </w:tcPr>
    </w:tblStylePr>
    <w:tblStylePr w:type="swCell">
      <w:tblPr/>
      <w:tcPr>
        <w:tcBorders>
          <w:top w:val="single" w:sz="4" w:space="0" w:color="85C6C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294A5A"/>
    <w:pPr>
      <w:spacing w:after="0" w:line="240" w:lineRule="auto"/>
    </w:pPr>
    <w:rPr>
      <w:color w:val="4D98A4" w:themeColor="accent2" w:themeShade="BF"/>
    </w:rPr>
    <w:tblPr>
      <w:tblStyleRowBandSize w:val="1"/>
      <w:tblStyleColBandSize w:val="1"/>
      <w:tblBorders>
        <w:top w:val="single" w:sz="4" w:space="0" w:color="B2D5DB" w:themeColor="accent2" w:themeTint="99"/>
        <w:left w:val="single" w:sz="4" w:space="0" w:color="B2D5DB" w:themeColor="accent2" w:themeTint="99"/>
        <w:bottom w:val="single" w:sz="4" w:space="0" w:color="B2D5DB" w:themeColor="accent2" w:themeTint="99"/>
        <w:right w:val="single" w:sz="4" w:space="0" w:color="B2D5DB" w:themeColor="accent2" w:themeTint="99"/>
        <w:insideH w:val="single" w:sz="4" w:space="0" w:color="B2D5DB" w:themeColor="accent2" w:themeTint="99"/>
        <w:insideV w:val="single" w:sz="4" w:space="0" w:color="B2D5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1F3" w:themeFill="accent2" w:themeFillTint="33"/>
      </w:tcPr>
    </w:tblStylePr>
    <w:tblStylePr w:type="band1Horz">
      <w:tblPr/>
      <w:tcPr>
        <w:shd w:val="clear" w:color="auto" w:fill="E5F1F3" w:themeFill="accent2" w:themeFillTint="33"/>
      </w:tcPr>
    </w:tblStylePr>
    <w:tblStylePr w:type="neCell">
      <w:tblPr/>
      <w:tcPr>
        <w:tcBorders>
          <w:bottom w:val="single" w:sz="4" w:space="0" w:color="B2D5DB" w:themeColor="accent2" w:themeTint="99"/>
        </w:tcBorders>
      </w:tcPr>
    </w:tblStylePr>
    <w:tblStylePr w:type="nwCell">
      <w:tblPr/>
      <w:tcPr>
        <w:tcBorders>
          <w:bottom w:val="single" w:sz="4" w:space="0" w:color="B2D5DB" w:themeColor="accent2" w:themeTint="99"/>
        </w:tcBorders>
      </w:tcPr>
    </w:tblStylePr>
    <w:tblStylePr w:type="seCell">
      <w:tblPr/>
      <w:tcPr>
        <w:tcBorders>
          <w:top w:val="single" w:sz="4" w:space="0" w:color="B2D5DB" w:themeColor="accent2" w:themeTint="99"/>
        </w:tcBorders>
      </w:tcPr>
    </w:tblStylePr>
    <w:tblStylePr w:type="swCell">
      <w:tblPr/>
      <w:tcPr>
        <w:tcBorders>
          <w:top w:val="single" w:sz="4" w:space="0" w:color="B2D5D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294A5A"/>
    <w:pPr>
      <w:spacing w:after="0" w:line="240" w:lineRule="auto"/>
    </w:pPr>
    <w:rPr>
      <w:color w:val="77B7BF" w:themeColor="accent3" w:themeShade="BF"/>
    </w:rPr>
    <w:tblPr>
      <w:tblStyleRowBandSize w:val="1"/>
      <w:tblStyleColBandSize w:val="1"/>
      <w:tblBorders>
        <w:top w:val="single" w:sz="4" w:space="0" w:color="D8EAED" w:themeColor="accent3" w:themeTint="99"/>
        <w:left w:val="single" w:sz="4" w:space="0" w:color="D8EAED" w:themeColor="accent3" w:themeTint="99"/>
        <w:bottom w:val="single" w:sz="4" w:space="0" w:color="D8EAED" w:themeColor="accent3" w:themeTint="99"/>
        <w:right w:val="single" w:sz="4" w:space="0" w:color="D8EAED" w:themeColor="accent3" w:themeTint="99"/>
        <w:insideH w:val="single" w:sz="4" w:space="0" w:color="D8EAED" w:themeColor="accent3" w:themeTint="99"/>
        <w:insideV w:val="single" w:sz="4" w:space="0" w:color="D8EA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8F9" w:themeFill="accent3" w:themeFillTint="33"/>
      </w:tcPr>
    </w:tblStylePr>
    <w:tblStylePr w:type="band1Horz">
      <w:tblPr/>
      <w:tcPr>
        <w:shd w:val="clear" w:color="auto" w:fill="F2F8F9" w:themeFill="accent3" w:themeFillTint="33"/>
      </w:tcPr>
    </w:tblStylePr>
    <w:tblStylePr w:type="neCell">
      <w:tblPr/>
      <w:tcPr>
        <w:tcBorders>
          <w:bottom w:val="single" w:sz="4" w:space="0" w:color="D8EAED" w:themeColor="accent3" w:themeTint="99"/>
        </w:tcBorders>
      </w:tcPr>
    </w:tblStylePr>
    <w:tblStylePr w:type="nwCell">
      <w:tblPr/>
      <w:tcPr>
        <w:tcBorders>
          <w:bottom w:val="single" w:sz="4" w:space="0" w:color="D8EAED" w:themeColor="accent3" w:themeTint="99"/>
        </w:tcBorders>
      </w:tcPr>
    </w:tblStylePr>
    <w:tblStylePr w:type="seCell">
      <w:tblPr/>
      <w:tcPr>
        <w:tcBorders>
          <w:top w:val="single" w:sz="4" w:space="0" w:color="D8EAED" w:themeColor="accent3" w:themeTint="99"/>
        </w:tcBorders>
      </w:tcPr>
    </w:tblStylePr>
    <w:tblStylePr w:type="swCell">
      <w:tblPr/>
      <w:tcPr>
        <w:tcBorders>
          <w:top w:val="single" w:sz="4" w:space="0" w:color="D8EAED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294A5A"/>
    <w:pPr>
      <w:spacing w:after="0" w:line="240" w:lineRule="auto"/>
    </w:pPr>
    <w:rPr>
      <w:color w:val="30303B" w:themeColor="accent4" w:themeShade="BF"/>
    </w:rPr>
    <w:tblPr>
      <w:tblStyleRowBandSize w:val="1"/>
      <w:tblStyleColBandSize w:val="1"/>
      <w:tblBorders>
        <w:top w:val="single" w:sz="4" w:space="0" w:color="84849D" w:themeColor="accent4" w:themeTint="99"/>
        <w:left w:val="single" w:sz="4" w:space="0" w:color="84849D" w:themeColor="accent4" w:themeTint="99"/>
        <w:bottom w:val="single" w:sz="4" w:space="0" w:color="84849D" w:themeColor="accent4" w:themeTint="99"/>
        <w:right w:val="single" w:sz="4" w:space="0" w:color="84849D" w:themeColor="accent4" w:themeTint="99"/>
        <w:insideH w:val="single" w:sz="4" w:space="0" w:color="84849D" w:themeColor="accent4" w:themeTint="99"/>
        <w:insideV w:val="single" w:sz="4" w:space="0" w:color="8484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  <w:tblStylePr w:type="neCell">
      <w:tblPr/>
      <w:tcPr>
        <w:tcBorders>
          <w:bottom w:val="single" w:sz="4" w:space="0" w:color="84849D" w:themeColor="accent4" w:themeTint="99"/>
        </w:tcBorders>
      </w:tcPr>
    </w:tblStylePr>
    <w:tblStylePr w:type="nwCell">
      <w:tblPr/>
      <w:tcPr>
        <w:tcBorders>
          <w:bottom w:val="single" w:sz="4" w:space="0" w:color="84849D" w:themeColor="accent4" w:themeTint="99"/>
        </w:tcBorders>
      </w:tcPr>
    </w:tblStylePr>
    <w:tblStylePr w:type="seCell">
      <w:tblPr/>
      <w:tcPr>
        <w:tcBorders>
          <w:top w:val="single" w:sz="4" w:space="0" w:color="84849D" w:themeColor="accent4" w:themeTint="99"/>
        </w:tcBorders>
      </w:tcPr>
    </w:tblStylePr>
    <w:tblStylePr w:type="swCell">
      <w:tblPr/>
      <w:tcPr>
        <w:tcBorders>
          <w:top w:val="single" w:sz="4" w:space="0" w:color="84849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294A5A"/>
    <w:pPr>
      <w:spacing w:after="0" w:line="240" w:lineRule="auto"/>
    </w:pPr>
    <w:rPr>
      <w:color w:val="5F5F68" w:themeColor="accent5" w:themeShade="BF"/>
    </w:rPr>
    <w:tblPr>
      <w:tblStyleRowBandSize w:val="1"/>
      <w:tblStyleColBandSize w:val="1"/>
      <w:tblBorders>
        <w:top w:val="single" w:sz="4" w:space="0" w:color="B2B2B9" w:themeColor="accent5" w:themeTint="99"/>
        <w:left w:val="single" w:sz="4" w:space="0" w:color="B2B2B9" w:themeColor="accent5" w:themeTint="99"/>
        <w:bottom w:val="single" w:sz="4" w:space="0" w:color="B2B2B9" w:themeColor="accent5" w:themeTint="99"/>
        <w:right w:val="single" w:sz="4" w:space="0" w:color="B2B2B9" w:themeColor="accent5" w:themeTint="99"/>
        <w:insideH w:val="single" w:sz="4" w:space="0" w:color="B2B2B9" w:themeColor="accent5" w:themeTint="99"/>
        <w:insideV w:val="single" w:sz="4" w:space="0" w:color="B2B2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bottom w:val="single" w:sz="4" w:space="0" w:color="B2B2B9" w:themeColor="accent5" w:themeTint="99"/>
        </w:tcBorders>
      </w:tcPr>
    </w:tblStylePr>
    <w:tblStylePr w:type="nwCell">
      <w:tblPr/>
      <w:tcPr>
        <w:tcBorders>
          <w:bottom w:val="single" w:sz="4" w:space="0" w:color="B2B2B9" w:themeColor="accent5" w:themeTint="99"/>
        </w:tcBorders>
      </w:tcPr>
    </w:tblStylePr>
    <w:tblStylePr w:type="seCell">
      <w:tblPr/>
      <w:tcPr>
        <w:tcBorders>
          <w:top w:val="single" w:sz="4" w:space="0" w:color="B2B2B9" w:themeColor="accent5" w:themeTint="99"/>
        </w:tcBorders>
      </w:tcPr>
    </w:tblStylePr>
    <w:tblStylePr w:type="swCell">
      <w:tblPr/>
      <w:tcPr>
        <w:tcBorders>
          <w:top w:val="single" w:sz="4" w:space="0" w:color="B2B2B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294A5A"/>
    <w:pPr>
      <w:spacing w:after="0" w:line="240" w:lineRule="auto"/>
    </w:pPr>
    <w:rPr>
      <w:color w:val="96969E" w:themeColor="accent6" w:themeShade="BF"/>
    </w:rPr>
    <w:tblPr>
      <w:tblStyleRowBandSize w:val="1"/>
      <w:tblStyleColBandSize w:val="1"/>
      <w:tblBorders>
        <w:top w:val="single" w:sz="4" w:space="0" w:color="E0E0E2" w:themeColor="accent6" w:themeTint="99"/>
        <w:left w:val="single" w:sz="4" w:space="0" w:color="E0E0E2" w:themeColor="accent6" w:themeTint="99"/>
        <w:bottom w:val="single" w:sz="4" w:space="0" w:color="E0E0E2" w:themeColor="accent6" w:themeTint="99"/>
        <w:right w:val="single" w:sz="4" w:space="0" w:color="E0E0E2" w:themeColor="accent6" w:themeTint="99"/>
        <w:insideH w:val="single" w:sz="4" w:space="0" w:color="E0E0E2" w:themeColor="accent6" w:themeTint="99"/>
        <w:insideV w:val="single" w:sz="4" w:space="0" w:color="E0E0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  <w:tblStylePr w:type="neCell">
      <w:tblPr/>
      <w:tcPr>
        <w:tcBorders>
          <w:bottom w:val="single" w:sz="4" w:space="0" w:color="E0E0E2" w:themeColor="accent6" w:themeTint="99"/>
        </w:tcBorders>
      </w:tcPr>
    </w:tblStylePr>
    <w:tblStylePr w:type="nwCell">
      <w:tblPr/>
      <w:tcPr>
        <w:tcBorders>
          <w:bottom w:val="single" w:sz="4" w:space="0" w:color="E0E0E2" w:themeColor="accent6" w:themeTint="99"/>
        </w:tcBorders>
      </w:tcPr>
    </w:tblStylePr>
    <w:tblStylePr w:type="seCell">
      <w:tblPr/>
      <w:tcPr>
        <w:tcBorders>
          <w:top w:val="single" w:sz="4" w:space="0" w:color="E0E0E2" w:themeColor="accent6" w:themeTint="99"/>
        </w:tcBorders>
      </w:tcPr>
    </w:tblStylePr>
    <w:tblStylePr w:type="swCell">
      <w:tblPr/>
      <w:tcPr>
        <w:tcBorders>
          <w:top w:val="single" w:sz="4" w:space="0" w:color="E0E0E2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98A4" w:themeColor="accent1"/>
        <w:left w:val="single" w:sz="8" w:space="0" w:color="4098A4" w:themeColor="accent1"/>
        <w:bottom w:val="single" w:sz="8" w:space="0" w:color="4098A4" w:themeColor="accent1"/>
        <w:right w:val="single" w:sz="8" w:space="0" w:color="4098A4" w:themeColor="accent1"/>
        <w:insideH w:val="single" w:sz="8" w:space="0" w:color="4098A4" w:themeColor="accent1"/>
        <w:insideV w:val="single" w:sz="8" w:space="0" w:color="4098A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98A4" w:themeColor="accent1"/>
          <w:left w:val="single" w:sz="8" w:space="0" w:color="4098A4" w:themeColor="accent1"/>
          <w:bottom w:val="single" w:sz="18" w:space="0" w:color="4098A4" w:themeColor="accent1"/>
          <w:right w:val="single" w:sz="8" w:space="0" w:color="4098A4" w:themeColor="accent1"/>
          <w:insideH w:val="nil"/>
          <w:insideV w:val="single" w:sz="8" w:space="0" w:color="4098A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98A4" w:themeColor="accent1"/>
          <w:left w:val="single" w:sz="8" w:space="0" w:color="4098A4" w:themeColor="accent1"/>
          <w:bottom w:val="single" w:sz="8" w:space="0" w:color="4098A4" w:themeColor="accent1"/>
          <w:right w:val="single" w:sz="8" w:space="0" w:color="4098A4" w:themeColor="accent1"/>
          <w:insideH w:val="nil"/>
          <w:insideV w:val="single" w:sz="8" w:space="0" w:color="4098A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98A4" w:themeColor="accent1"/>
          <w:left w:val="single" w:sz="8" w:space="0" w:color="4098A4" w:themeColor="accent1"/>
          <w:bottom w:val="single" w:sz="8" w:space="0" w:color="4098A4" w:themeColor="accent1"/>
          <w:right w:val="single" w:sz="8" w:space="0" w:color="4098A4" w:themeColor="accent1"/>
        </w:tcBorders>
      </w:tcPr>
    </w:tblStylePr>
    <w:tblStylePr w:type="band1Vert">
      <w:tblPr/>
      <w:tcPr>
        <w:tcBorders>
          <w:top w:val="single" w:sz="8" w:space="0" w:color="4098A4" w:themeColor="accent1"/>
          <w:left w:val="single" w:sz="8" w:space="0" w:color="4098A4" w:themeColor="accent1"/>
          <w:bottom w:val="single" w:sz="8" w:space="0" w:color="4098A4" w:themeColor="accent1"/>
          <w:right w:val="single" w:sz="8" w:space="0" w:color="4098A4" w:themeColor="accent1"/>
        </w:tcBorders>
        <w:shd w:val="clear" w:color="auto" w:fill="CCE7EB" w:themeFill="accent1" w:themeFillTint="3F"/>
      </w:tcPr>
    </w:tblStylePr>
    <w:tblStylePr w:type="band1Horz">
      <w:tblPr/>
      <w:tcPr>
        <w:tcBorders>
          <w:top w:val="single" w:sz="8" w:space="0" w:color="4098A4" w:themeColor="accent1"/>
          <w:left w:val="single" w:sz="8" w:space="0" w:color="4098A4" w:themeColor="accent1"/>
          <w:bottom w:val="single" w:sz="8" w:space="0" w:color="4098A4" w:themeColor="accent1"/>
          <w:right w:val="single" w:sz="8" w:space="0" w:color="4098A4" w:themeColor="accent1"/>
          <w:insideV w:val="single" w:sz="8" w:space="0" w:color="4098A4" w:themeColor="accent1"/>
        </w:tcBorders>
        <w:shd w:val="clear" w:color="auto" w:fill="CCE7EB" w:themeFill="accent1" w:themeFillTint="3F"/>
      </w:tcPr>
    </w:tblStylePr>
    <w:tblStylePr w:type="band2Horz">
      <w:tblPr/>
      <w:tcPr>
        <w:tcBorders>
          <w:top w:val="single" w:sz="8" w:space="0" w:color="4098A4" w:themeColor="accent1"/>
          <w:left w:val="single" w:sz="8" w:space="0" w:color="4098A4" w:themeColor="accent1"/>
          <w:bottom w:val="single" w:sz="8" w:space="0" w:color="4098A4" w:themeColor="accent1"/>
          <w:right w:val="single" w:sz="8" w:space="0" w:color="4098A4" w:themeColor="accent1"/>
          <w:insideV w:val="single" w:sz="8" w:space="0" w:color="4098A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0BAC3" w:themeColor="accent2"/>
        <w:left w:val="single" w:sz="8" w:space="0" w:color="80BAC3" w:themeColor="accent2"/>
        <w:bottom w:val="single" w:sz="8" w:space="0" w:color="80BAC3" w:themeColor="accent2"/>
        <w:right w:val="single" w:sz="8" w:space="0" w:color="80BAC3" w:themeColor="accent2"/>
        <w:insideH w:val="single" w:sz="8" w:space="0" w:color="80BAC3" w:themeColor="accent2"/>
        <w:insideV w:val="single" w:sz="8" w:space="0" w:color="80BAC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AC3" w:themeColor="accent2"/>
          <w:left w:val="single" w:sz="8" w:space="0" w:color="80BAC3" w:themeColor="accent2"/>
          <w:bottom w:val="single" w:sz="18" w:space="0" w:color="80BAC3" w:themeColor="accent2"/>
          <w:right w:val="single" w:sz="8" w:space="0" w:color="80BAC3" w:themeColor="accent2"/>
          <w:insideH w:val="nil"/>
          <w:insideV w:val="single" w:sz="8" w:space="0" w:color="80BAC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BAC3" w:themeColor="accent2"/>
          <w:left w:val="single" w:sz="8" w:space="0" w:color="80BAC3" w:themeColor="accent2"/>
          <w:bottom w:val="single" w:sz="8" w:space="0" w:color="80BAC3" w:themeColor="accent2"/>
          <w:right w:val="single" w:sz="8" w:space="0" w:color="80BAC3" w:themeColor="accent2"/>
          <w:insideH w:val="nil"/>
          <w:insideV w:val="single" w:sz="8" w:space="0" w:color="80BAC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AC3" w:themeColor="accent2"/>
          <w:left w:val="single" w:sz="8" w:space="0" w:color="80BAC3" w:themeColor="accent2"/>
          <w:bottom w:val="single" w:sz="8" w:space="0" w:color="80BAC3" w:themeColor="accent2"/>
          <w:right w:val="single" w:sz="8" w:space="0" w:color="80BAC3" w:themeColor="accent2"/>
        </w:tcBorders>
      </w:tcPr>
    </w:tblStylePr>
    <w:tblStylePr w:type="band1Vert">
      <w:tblPr/>
      <w:tcPr>
        <w:tcBorders>
          <w:top w:val="single" w:sz="8" w:space="0" w:color="80BAC3" w:themeColor="accent2"/>
          <w:left w:val="single" w:sz="8" w:space="0" w:color="80BAC3" w:themeColor="accent2"/>
          <w:bottom w:val="single" w:sz="8" w:space="0" w:color="80BAC3" w:themeColor="accent2"/>
          <w:right w:val="single" w:sz="8" w:space="0" w:color="80BAC3" w:themeColor="accent2"/>
        </w:tcBorders>
        <w:shd w:val="clear" w:color="auto" w:fill="DFEDF0" w:themeFill="accent2" w:themeFillTint="3F"/>
      </w:tcPr>
    </w:tblStylePr>
    <w:tblStylePr w:type="band1Horz">
      <w:tblPr/>
      <w:tcPr>
        <w:tcBorders>
          <w:top w:val="single" w:sz="8" w:space="0" w:color="80BAC3" w:themeColor="accent2"/>
          <w:left w:val="single" w:sz="8" w:space="0" w:color="80BAC3" w:themeColor="accent2"/>
          <w:bottom w:val="single" w:sz="8" w:space="0" w:color="80BAC3" w:themeColor="accent2"/>
          <w:right w:val="single" w:sz="8" w:space="0" w:color="80BAC3" w:themeColor="accent2"/>
          <w:insideV w:val="single" w:sz="8" w:space="0" w:color="80BAC3" w:themeColor="accent2"/>
        </w:tcBorders>
        <w:shd w:val="clear" w:color="auto" w:fill="DFEDF0" w:themeFill="accent2" w:themeFillTint="3F"/>
      </w:tcPr>
    </w:tblStylePr>
    <w:tblStylePr w:type="band2Horz">
      <w:tblPr/>
      <w:tcPr>
        <w:tcBorders>
          <w:top w:val="single" w:sz="8" w:space="0" w:color="80BAC3" w:themeColor="accent2"/>
          <w:left w:val="single" w:sz="8" w:space="0" w:color="80BAC3" w:themeColor="accent2"/>
          <w:bottom w:val="single" w:sz="8" w:space="0" w:color="80BAC3" w:themeColor="accent2"/>
          <w:right w:val="single" w:sz="8" w:space="0" w:color="80BAC3" w:themeColor="accent2"/>
          <w:insideV w:val="single" w:sz="8" w:space="0" w:color="80BAC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FDDE1" w:themeColor="accent3"/>
        <w:left w:val="single" w:sz="8" w:space="0" w:color="BFDDE1" w:themeColor="accent3"/>
        <w:bottom w:val="single" w:sz="8" w:space="0" w:color="BFDDE1" w:themeColor="accent3"/>
        <w:right w:val="single" w:sz="8" w:space="0" w:color="BFDDE1" w:themeColor="accent3"/>
        <w:insideH w:val="single" w:sz="8" w:space="0" w:color="BFDDE1" w:themeColor="accent3"/>
        <w:insideV w:val="single" w:sz="8" w:space="0" w:color="BFDD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DDE1" w:themeColor="accent3"/>
          <w:left w:val="single" w:sz="8" w:space="0" w:color="BFDDE1" w:themeColor="accent3"/>
          <w:bottom w:val="single" w:sz="18" w:space="0" w:color="BFDDE1" w:themeColor="accent3"/>
          <w:right w:val="single" w:sz="8" w:space="0" w:color="BFDDE1" w:themeColor="accent3"/>
          <w:insideH w:val="nil"/>
          <w:insideV w:val="single" w:sz="8" w:space="0" w:color="BFDD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DDE1" w:themeColor="accent3"/>
          <w:left w:val="single" w:sz="8" w:space="0" w:color="BFDDE1" w:themeColor="accent3"/>
          <w:bottom w:val="single" w:sz="8" w:space="0" w:color="BFDDE1" w:themeColor="accent3"/>
          <w:right w:val="single" w:sz="8" w:space="0" w:color="BFDDE1" w:themeColor="accent3"/>
          <w:insideH w:val="nil"/>
          <w:insideV w:val="single" w:sz="8" w:space="0" w:color="BFDD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DDE1" w:themeColor="accent3"/>
          <w:left w:val="single" w:sz="8" w:space="0" w:color="BFDDE1" w:themeColor="accent3"/>
          <w:bottom w:val="single" w:sz="8" w:space="0" w:color="BFDDE1" w:themeColor="accent3"/>
          <w:right w:val="single" w:sz="8" w:space="0" w:color="BFDDE1" w:themeColor="accent3"/>
        </w:tcBorders>
      </w:tcPr>
    </w:tblStylePr>
    <w:tblStylePr w:type="band1Vert">
      <w:tblPr/>
      <w:tcPr>
        <w:tcBorders>
          <w:top w:val="single" w:sz="8" w:space="0" w:color="BFDDE1" w:themeColor="accent3"/>
          <w:left w:val="single" w:sz="8" w:space="0" w:color="BFDDE1" w:themeColor="accent3"/>
          <w:bottom w:val="single" w:sz="8" w:space="0" w:color="BFDDE1" w:themeColor="accent3"/>
          <w:right w:val="single" w:sz="8" w:space="0" w:color="BFDDE1" w:themeColor="accent3"/>
        </w:tcBorders>
        <w:shd w:val="clear" w:color="auto" w:fill="EFF6F7" w:themeFill="accent3" w:themeFillTint="3F"/>
      </w:tcPr>
    </w:tblStylePr>
    <w:tblStylePr w:type="band1Horz">
      <w:tblPr/>
      <w:tcPr>
        <w:tcBorders>
          <w:top w:val="single" w:sz="8" w:space="0" w:color="BFDDE1" w:themeColor="accent3"/>
          <w:left w:val="single" w:sz="8" w:space="0" w:color="BFDDE1" w:themeColor="accent3"/>
          <w:bottom w:val="single" w:sz="8" w:space="0" w:color="BFDDE1" w:themeColor="accent3"/>
          <w:right w:val="single" w:sz="8" w:space="0" w:color="BFDDE1" w:themeColor="accent3"/>
          <w:insideV w:val="single" w:sz="8" w:space="0" w:color="BFDDE1" w:themeColor="accent3"/>
        </w:tcBorders>
        <w:shd w:val="clear" w:color="auto" w:fill="EFF6F7" w:themeFill="accent3" w:themeFillTint="3F"/>
      </w:tcPr>
    </w:tblStylePr>
    <w:tblStylePr w:type="band2Horz">
      <w:tblPr/>
      <w:tcPr>
        <w:tcBorders>
          <w:top w:val="single" w:sz="8" w:space="0" w:color="BFDDE1" w:themeColor="accent3"/>
          <w:left w:val="single" w:sz="8" w:space="0" w:color="BFDDE1" w:themeColor="accent3"/>
          <w:bottom w:val="single" w:sz="8" w:space="0" w:color="BFDDE1" w:themeColor="accent3"/>
          <w:right w:val="single" w:sz="8" w:space="0" w:color="BFDDE1" w:themeColor="accent3"/>
          <w:insideV w:val="single" w:sz="8" w:space="0" w:color="BFDDE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50" w:themeColor="accent4"/>
        <w:left w:val="single" w:sz="8" w:space="0" w:color="404050" w:themeColor="accent4"/>
        <w:bottom w:val="single" w:sz="8" w:space="0" w:color="404050" w:themeColor="accent4"/>
        <w:right w:val="single" w:sz="8" w:space="0" w:color="404050" w:themeColor="accent4"/>
        <w:insideH w:val="single" w:sz="8" w:space="0" w:color="404050" w:themeColor="accent4"/>
        <w:insideV w:val="single" w:sz="8" w:space="0" w:color="404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18" w:space="0" w:color="404050" w:themeColor="accent4"/>
          <w:right w:val="single" w:sz="8" w:space="0" w:color="404050" w:themeColor="accent4"/>
          <w:insideH w:val="nil"/>
          <w:insideV w:val="single" w:sz="8" w:space="0" w:color="404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  <w:insideH w:val="nil"/>
          <w:insideV w:val="single" w:sz="8" w:space="0" w:color="404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</w:tcBorders>
      </w:tcPr>
    </w:tblStylePr>
    <w:tblStylePr w:type="band1Vert"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</w:tcBorders>
        <w:shd w:val="clear" w:color="auto" w:fill="CCCCD6" w:themeFill="accent4" w:themeFillTint="3F"/>
      </w:tcPr>
    </w:tblStylePr>
    <w:tblStylePr w:type="band1Horz"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  <w:insideV w:val="single" w:sz="8" w:space="0" w:color="404050" w:themeColor="accent4"/>
        </w:tcBorders>
        <w:shd w:val="clear" w:color="auto" w:fill="CCCCD6" w:themeFill="accent4" w:themeFillTint="3F"/>
      </w:tcPr>
    </w:tblStylePr>
    <w:tblStylePr w:type="band2Horz">
      <w:tblPr/>
      <w:tcPr>
        <w:tcBorders>
          <w:top w:val="single" w:sz="8" w:space="0" w:color="404050" w:themeColor="accent4"/>
          <w:left w:val="single" w:sz="8" w:space="0" w:color="404050" w:themeColor="accent4"/>
          <w:bottom w:val="single" w:sz="8" w:space="0" w:color="404050" w:themeColor="accent4"/>
          <w:right w:val="single" w:sz="8" w:space="0" w:color="404050" w:themeColor="accent4"/>
          <w:insideV w:val="single" w:sz="8" w:space="0" w:color="404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0808B" w:themeColor="accent5"/>
        <w:left w:val="single" w:sz="8" w:space="0" w:color="80808B" w:themeColor="accent5"/>
        <w:bottom w:val="single" w:sz="8" w:space="0" w:color="80808B" w:themeColor="accent5"/>
        <w:right w:val="single" w:sz="8" w:space="0" w:color="80808B" w:themeColor="accent5"/>
        <w:insideH w:val="single" w:sz="8" w:space="0" w:color="80808B" w:themeColor="accent5"/>
        <w:insideV w:val="single" w:sz="8" w:space="0" w:color="8080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18" w:space="0" w:color="80808B" w:themeColor="accent5"/>
          <w:right w:val="single" w:sz="8" w:space="0" w:color="80808B" w:themeColor="accent5"/>
          <w:insideH w:val="nil"/>
          <w:insideV w:val="single" w:sz="8" w:space="0" w:color="8080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  <w:insideH w:val="nil"/>
          <w:insideV w:val="single" w:sz="8" w:space="0" w:color="8080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</w:tcBorders>
      </w:tcPr>
    </w:tblStylePr>
    <w:tblStylePr w:type="band1Vert"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</w:tcBorders>
        <w:shd w:val="clear" w:color="auto" w:fill="DFDFE2" w:themeFill="accent5" w:themeFillTint="3F"/>
      </w:tcPr>
    </w:tblStylePr>
    <w:tblStylePr w:type="band1Horz"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  <w:insideV w:val="single" w:sz="8" w:space="0" w:color="80808B" w:themeColor="accent5"/>
        </w:tcBorders>
        <w:shd w:val="clear" w:color="auto" w:fill="DFDFE2" w:themeFill="accent5" w:themeFillTint="3F"/>
      </w:tcPr>
    </w:tblStylePr>
    <w:tblStylePr w:type="band2Horz"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  <w:insideV w:val="single" w:sz="8" w:space="0" w:color="80808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CCCD0" w:themeColor="accent6"/>
        <w:left w:val="single" w:sz="8" w:space="0" w:color="CCCCD0" w:themeColor="accent6"/>
        <w:bottom w:val="single" w:sz="8" w:space="0" w:color="CCCCD0" w:themeColor="accent6"/>
        <w:right w:val="single" w:sz="8" w:space="0" w:color="CCCCD0" w:themeColor="accent6"/>
        <w:insideH w:val="single" w:sz="8" w:space="0" w:color="CCCCD0" w:themeColor="accent6"/>
        <w:insideV w:val="single" w:sz="8" w:space="0" w:color="CCCC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18" w:space="0" w:color="CCCCD0" w:themeColor="accent6"/>
          <w:right w:val="single" w:sz="8" w:space="0" w:color="CCCCD0" w:themeColor="accent6"/>
          <w:insideH w:val="nil"/>
          <w:insideV w:val="single" w:sz="8" w:space="0" w:color="CCCC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  <w:insideH w:val="nil"/>
          <w:insideV w:val="single" w:sz="8" w:space="0" w:color="CCCC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</w:tcBorders>
      </w:tcPr>
    </w:tblStylePr>
    <w:tblStylePr w:type="band1Vert"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</w:tcBorders>
        <w:shd w:val="clear" w:color="auto" w:fill="F2F2F3" w:themeFill="accent6" w:themeFillTint="3F"/>
      </w:tcPr>
    </w:tblStylePr>
    <w:tblStylePr w:type="band1Horz"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  <w:insideV w:val="single" w:sz="8" w:space="0" w:color="CCCCD0" w:themeColor="accent6"/>
        </w:tcBorders>
        <w:shd w:val="clear" w:color="auto" w:fill="F2F2F3" w:themeFill="accent6" w:themeFillTint="3F"/>
      </w:tcPr>
    </w:tblStylePr>
    <w:tblStylePr w:type="band2Horz"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  <w:insideV w:val="single" w:sz="8" w:space="0" w:color="CCCCD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0BAC3" w:themeColor="accent2"/>
        <w:left w:val="single" w:sz="8" w:space="0" w:color="80BAC3" w:themeColor="accent2"/>
        <w:bottom w:val="single" w:sz="8" w:space="0" w:color="80BAC3" w:themeColor="accent2"/>
        <w:right w:val="single" w:sz="8" w:space="0" w:color="80BAC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BAC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BAC3" w:themeColor="accent2"/>
          <w:left w:val="single" w:sz="8" w:space="0" w:color="80BAC3" w:themeColor="accent2"/>
          <w:bottom w:val="single" w:sz="8" w:space="0" w:color="80BAC3" w:themeColor="accent2"/>
          <w:right w:val="single" w:sz="8" w:space="0" w:color="80BAC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BAC3" w:themeColor="accent2"/>
          <w:left w:val="single" w:sz="8" w:space="0" w:color="80BAC3" w:themeColor="accent2"/>
          <w:bottom w:val="single" w:sz="8" w:space="0" w:color="80BAC3" w:themeColor="accent2"/>
          <w:right w:val="single" w:sz="8" w:space="0" w:color="80BAC3" w:themeColor="accent2"/>
        </w:tcBorders>
      </w:tcPr>
    </w:tblStylePr>
    <w:tblStylePr w:type="band1Horz">
      <w:tblPr/>
      <w:tcPr>
        <w:tcBorders>
          <w:top w:val="single" w:sz="8" w:space="0" w:color="80BAC3" w:themeColor="accent2"/>
          <w:left w:val="single" w:sz="8" w:space="0" w:color="80BAC3" w:themeColor="accent2"/>
          <w:bottom w:val="single" w:sz="8" w:space="0" w:color="80BAC3" w:themeColor="accent2"/>
          <w:right w:val="single" w:sz="8" w:space="0" w:color="80BAC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FDDE1" w:themeColor="accent3"/>
        <w:left w:val="single" w:sz="8" w:space="0" w:color="BFDDE1" w:themeColor="accent3"/>
        <w:bottom w:val="single" w:sz="8" w:space="0" w:color="BFDDE1" w:themeColor="accent3"/>
        <w:right w:val="single" w:sz="8" w:space="0" w:color="BFDD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DD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DDE1" w:themeColor="accent3"/>
          <w:left w:val="single" w:sz="8" w:space="0" w:color="BFDDE1" w:themeColor="accent3"/>
          <w:bottom w:val="single" w:sz="8" w:space="0" w:color="BFDDE1" w:themeColor="accent3"/>
          <w:right w:val="single" w:sz="8" w:space="0" w:color="BFDD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DDE1" w:themeColor="accent3"/>
          <w:left w:val="single" w:sz="8" w:space="0" w:color="BFDDE1" w:themeColor="accent3"/>
          <w:bottom w:val="single" w:sz="8" w:space="0" w:color="BFDDE1" w:themeColor="accent3"/>
          <w:right w:val="single" w:sz="8" w:space="0" w:color="BFDDE1" w:themeColor="accent3"/>
        </w:tcBorders>
      </w:tcPr>
    </w:tblStylePr>
    <w:tblStylePr w:type="band1Horz">
      <w:tblPr/>
      <w:tcPr>
        <w:tcBorders>
          <w:top w:val="single" w:sz="8" w:space="0" w:color="BFDDE1" w:themeColor="accent3"/>
          <w:left w:val="single" w:sz="8" w:space="0" w:color="BFDDE1" w:themeColor="accent3"/>
          <w:bottom w:val="single" w:sz="8" w:space="0" w:color="BFDDE1" w:themeColor="accent3"/>
          <w:right w:val="single" w:sz="8" w:space="0" w:color="BFDDE1" w:themeColor="accent3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0808B" w:themeColor="accent5"/>
        <w:left w:val="single" w:sz="8" w:space="0" w:color="80808B" w:themeColor="accent5"/>
        <w:bottom w:val="single" w:sz="8" w:space="0" w:color="80808B" w:themeColor="accent5"/>
        <w:right w:val="single" w:sz="8" w:space="0" w:color="8080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</w:tcBorders>
      </w:tcPr>
    </w:tblStylePr>
    <w:tblStylePr w:type="band1Horz">
      <w:tblPr/>
      <w:tcPr>
        <w:tcBorders>
          <w:top w:val="single" w:sz="8" w:space="0" w:color="80808B" w:themeColor="accent5"/>
          <w:left w:val="single" w:sz="8" w:space="0" w:color="80808B" w:themeColor="accent5"/>
          <w:bottom w:val="single" w:sz="8" w:space="0" w:color="80808B" w:themeColor="accent5"/>
          <w:right w:val="single" w:sz="8" w:space="0" w:color="80808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CCCD0" w:themeColor="accent6"/>
        <w:left w:val="single" w:sz="8" w:space="0" w:color="CCCCD0" w:themeColor="accent6"/>
        <w:bottom w:val="single" w:sz="8" w:space="0" w:color="CCCCD0" w:themeColor="accent6"/>
        <w:right w:val="single" w:sz="8" w:space="0" w:color="CCCC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C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</w:tcBorders>
      </w:tcPr>
    </w:tblStylePr>
    <w:tblStylePr w:type="band1Horz">
      <w:tblPr/>
      <w:tcPr>
        <w:tcBorders>
          <w:top w:val="single" w:sz="8" w:space="0" w:color="CCCCD0" w:themeColor="accent6"/>
          <w:left w:val="single" w:sz="8" w:space="0" w:color="CCCCD0" w:themeColor="accent6"/>
          <w:bottom w:val="single" w:sz="8" w:space="0" w:color="CCCCD0" w:themeColor="accent6"/>
          <w:right w:val="single" w:sz="8" w:space="0" w:color="CCCCD0" w:themeColor="accent6"/>
        </w:tcBorders>
      </w:tcPr>
    </w:tblStylePr>
  </w:style>
  <w:style w:type="table" w:styleId="LightShading-Accent1">
    <w:name w:val="Light Shading Accent 1"/>
    <w:basedOn w:val="TableNormal"/>
    <w:uiPriority w:val="60"/>
    <w:semiHidden/>
    <w:rsid w:val="00294A5A"/>
    <w:pPr>
      <w:spacing w:before="0" w:after="0" w:line="240" w:lineRule="auto"/>
    </w:pPr>
    <w:rPr>
      <w:color w:val="30717A" w:themeColor="accent1" w:themeShade="BF"/>
    </w:rPr>
    <w:tblPr>
      <w:tblStyleRowBandSize w:val="1"/>
      <w:tblStyleColBandSize w:val="1"/>
      <w:tblBorders>
        <w:top w:val="single" w:sz="8" w:space="0" w:color="4098A4" w:themeColor="accent1"/>
        <w:bottom w:val="single" w:sz="8" w:space="0" w:color="4098A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98A4" w:themeColor="accent1"/>
          <w:left w:val="nil"/>
          <w:bottom w:val="single" w:sz="8" w:space="0" w:color="4098A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98A4" w:themeColor="accent1"/>
          <w:left w:val="nil"/>
          <w:bottom w:val="single" w:sz="8" w:space="0" w:color="4098A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7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7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294A5A"/>
    <w:pPr>
      <w:spacing w:before="0" w:after="0" w:line="240" w:lineRule="auto"/>
    </w:pPr>
    <w:rPr>
      <w:color w:val="4D98A4" w:themeColor="accent2" w:themeShade="BF"/>
    </w:rPr>
    <w:tblPr>
      <w:tblStyleRowBandSize w:val="1"/>
      <w:tblStyleColBandSize w:val="1"/>
      <w:tblBorders>
        <w:top w:val="single" w:sz="8" w:space="0" w:color="80BAC3" w:themeColor="accent2"/>
        <w:bottom w:val="single" w:sz="8" w:space="0" w:color="80BAC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AC3" w:themeColor="accent2"/>
          <w:left w:val="nil"/>
          <w:bottom w:val="single" w:sz="8" w:space="0" w:color="80BAC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AC3" w:themeColor="accent2"/>
          <w:left w:val="nil"/>
          <w:bottom w:val="single" w:sz="8" w:space="0" w:color="80BAC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D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DF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294A5A"/>
    <w:pPr>
      <w:spacing w:before="0" w:after="0" w:line="240" w:lineRule="auto"/>
    </w:pPr>
    <w:rPr>
      <w:color w:val="77B7BF" w:themeColor="accent3" w:themeShade="BF"/>
    </w:rPr>
    <w:tblPr>
      <w:tblStyleRowBandSize w:val="1"/>
      <w:tblStyleColBandSize w:val="1"/>
      <w:tblBorders>
        <w:top w:val="single" w:sz="8" w:space="0" w:color="BFDDE1" w:themeColor="accent3"/>
        <w:bottom w:val="single" w:sz="8" w:space="0" w:color="BFDD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DE1" w:themeColor="accent3"/>
          <w:left w:val="nil"/>
          <w:bottom w:val="single" w:sz="8" w:space="0" w:color="BFDD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DDE1" w:themeColor="accent3"/>
          <w:left w:val="nil"/>
          <w:bottom w:val="single" w:sz="8" w:space="0" w:color="BFDD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6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6F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294A5A"/>
    <w:pPr>
      <w:spacing w:before="0" w:after="0" w:line="240" w:lineRule="auto"/>
    </w:pPr>
    <w:rPr>
      <w:color w:val="30303B" w:themeColor="accent4" w:themeShade="BF"/>
    </w:rPr>
    <w:tblPr>
      <w:tblStyleRowBandSize w:val="1"/>
      <w:tblStyleColBandSize w:val="1"/>
      <w:tblBorders>
        <w:top w:val="single" w:sz="8" w:space="0" w:color="404050" w:themeColor="accent4"/>
        <w:bottom w:val="single" w:sz="8" w:space="0" w:color="404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4050" w:themeColor="accent4"/>
          <w:left w:val="nil"/>
          <w:bottom w:val="single" w:sz="8" w:space="0" w:color="404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4050" w:themeColor="accent4"/>
          <w:left w:val="nil"/>
          <w:bottom w:val="single" w:sz="8" w:space="0" w:color="404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CD6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294A5A"/>
    <w:pPr>
      <w:spacing w:before="0" w:after="0" w:line="240" w:lineRule="auto"/>
    </w:pPr>
    <w:rPr>
      <w:color w:val="5F5F68" w:themeColor="accent5" w:themeShade="BF"/>
    </w:rPr>
    <w:tblPr>
      <w:tblStyleRowBandSize w:val="1"/>
      <w:tblStyleColBandSize w:val="1"/>
      <w:tblBorders>
        <w:top w:val="single" w:sz="8" w:space="0" w:color="80808B" w:themeColor="accent5"/>
        <w:bottom w:val="single" w:sz="8" w:space="0" w:color="8080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B" w:themeColor="accent5"/>
          <w:left w:val="nil"/>
          <w:bottom w:val="single" w:sz="8" w:space="0" w:color="8080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B" w:themeColor="accent5"/>
          <w:left w:val="nil"/>
          <w:bottom w:val="single" w:sz="8" w:space="0" w:color="8080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E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294A5A"/>
    <w:pPr>
      <w:spacing w:before="0" w:after="0" w:line="240" w:lineRule="auto"/>
    </w:pPr>
    <w:rPr>
      <w:color w:val="96969E" w:themeColor="accent6" w:themeShade="BF"/>
    </w:rPr>
    <w:tblPr>
      <w:tblStyleRowBandSize w:val="1"/>
      <w:tblStyleColBandSize w:val="1"/>
      <w:tblBorders>
        <w:top w:val="single" w:sz="8" w:space="0" w:color="CCCCD0" w:themeColor="accent6"/>
        <w:bottom w:val="single" w:sz="8" w:space="0" w:color="CCCC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D0" w:themeColor="accent6"/>
          <w:left w:val="nil"/>
          <w:bottom w:val="single" w:sz="8" w:space="0" w:color="CCCC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D0" w:themeColor="accent6"/>
          <w:left w:val="nil"/>
          <w:bottom w:val="single" w:sz="8" w:space="0" w:color="CCCC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2F3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C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C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D5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D5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F3" w:themeFill="accent2" w:themeFillTint="33"/>
      </w:tcPr>
    </w:tblStylePr>
    <w:tblStylePr w:type="band1Horz">
      <w:tblPr/>
      <w:tcPr>
        <w:shd w:val="clear" w:color="auto" w:fill="E5F1F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EA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EA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3" w:themeFillTint="33"/>
      </w:tcPr>
    </w:tblStylePr>
    <w:tblStylePr w:type="band1Horz">
      <w:tblPr/>
      <w:tcPr>
        <w:shd w:val="clear" w:color="auto" w:fill="F2F8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84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84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0E0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0E0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5C6CF" w:themeColor="accent1" w:themeTint="99"/>
        <w:bottom w:val="single" w:sz="4" w:space="0" w:color="85C6CF" w:themeColor="accent1" w:themeTint="99"/>
        <w:insideH w:val="single" w:sz="4" w:space="0" w:color="85C6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D5DB" w:themeColor="accent2" w:themeTint="99"/>
        <w:bottom w:val="single" w:sz="4" w:space="0" w:color="B2D5DB" w:themeColor="accent2" w:themeTint="99"/>
        <w:insideH w:val="single" w:sz="4" w:space="0" w:color="B2D5D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F3" w:themeFill="accent2" w:themeFillTint="33"/>
      </w:tcPr>
    </w:tblStylePr>
    <w:tblStylePr w:type="band1Horz">
      <w:tblPr/>
      <w:tcPr>
        <w:shd w:val="clear" w:color="auto" w:fill="E5F1F3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D8EAED" w:themeColor="accent3" w:themeTint="99"/>
        <w:bottom w:val="single" w:sz="4" w:space="0" w:color="D8EAED" w:themeColor="accent3" w:themeTint="99"/>
        <w:insideH w:val="single" w:sz="4" w:space="0" w:color="D8EA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3" w:themeFillTint="33"/>
      </w:tcPr>
    </w:tblStylePr>
    <w:tblStylePr w:type="band1Horz">
      <w:tblPr/>
      <w:tcPr>
        <w:shd w:val="clear" w:color="auto" w:fill="F2F8F9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4849D" w:themeColor="accent4" w:themeTint="99"/>
        <w:bottom w:val="single" w:sz="4" w:space="0" w:color="84849D" w:themeColor="accent4" w:themeTint="99"/>
        <w:insideH w:val="single" w:sz="4" w:space="0" w:color="8484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B2B9" w:themeColor="accent5" w:themeTint="99"/>
        <w:bottom w:val="single" w:sz="4" w:space="0" w:color="B2B2B9" w:themeColor="accent5" w:themeTint="99"/>
        <w:insideH w:val="single" w:sz="4" w:space="0" w:color="B2B2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0E0E2" w:themeColor="accent6" w:themeTint="99"/>
        <w:bottom w:val="single" w:sz="4" w:space="0" w:color="E0E0E2" w:themeColor="accent6" w:themeTint="99"/>
        <w:insideH w:val="single" w:sz="4" w:space="0" w:color="E0E0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4098A4" w:themeColor="accent1"/>
        <w:left w:val="single" w:sz="4" w:space="0" w:color="4098A4" w:themeColor="accent1"/>
        <w:bottom w:val="single" w:sz="4" w:space="0" w:color="4098A4" w:themeColor="accent1"/>
        <w:right w:val="single" w:sz="4" w:space="0" w:color="4098A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98A4" w:themeFill="accent1"/>
      </w:tcPr>
    </w:tblStylePr>
    <w:tblStylePr w:type="lastRow">
      <w:rPr>
        <w:b/>
        <w:bCs/>
      </w:rPr>
      <w:tblPr/>
      <w:tcPr>
        <w:tcBorders>
          <w:top w:val="double" w:sz="4" w:space="0" w:color="4098A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98A4" w:themeColor="accent1"/>
          <w:right w:val="single" w:sz="4" w:space="0" w:color="4098A4" w:themeColor="accent1"/>
        </w:tcBorders>
      </w:tcPr>
    </w:tblStylePr>
    <w:tblStylePr w:type="band1Horz">
      <w:tblPr/>
      <w:tcPr>
        <w:tcBorders>
          <w:top w:val="single" w:sz="4" w:space="0" w:color="4098A4" w:themeColor="accent1"/>
          <w:bottom w:val="single" w:sz="4" w:space="0" w:color="4098A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98A4" w:themeColor="accent1"/>
          <w:left w:val="nil"/>
        </w:tcBorders>
      </w:tcPr>
    </w:tblStylePr>
    <w:tblStylePr w:type="swCell">
      <w:tblPr/>
      <w:tcPr>
        <w:tcBorders>
          <w:top w:val="double" w:sz="4" w:space="0" w:color="4098A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0BAC3" w:themeColor="accent2"/>
        <w:left w:val="single" w:sz="4" w:space="0" w:color="80BAC3" w:themeColor="accent2"/>
        <w:bottom w:val="single" w:sz="4" w:space="0" w:color="80BAC3" w:themeColor="accent2"/>
        <w:right w:val="single" w:sz="4" w:space="0" w:color="80BAC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BAC3" w:themeFill="accent2"/>
      </w:tcPr>
    </w:tblStylePr>
    <w:tblStylePr w:type="lastRow">
      <w:rPr>
        <w:b/>
        <w:bCs/>
      </w:rPr>
      <w:tblPr/>
      <w:tcPr>
        <w:tcBorders>
          <w:top w:val="double" w:sz="4" w:space="0" w:color="80BAC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BAC3" w:themeColor="accent2"/>
          <w:right w:val="single" w:sz="4" w:space="0" w:color="80BAC3" w:themeColor="accent2"/>
        </w:tcBorders>
      </w:tcPr>
    </w:tblStylePr>
    <w:tblStylePr w:type="band1Horz">
      <w:tblPr/>
      <w:tcPr>
        <w:tcBorders>
          <w:top w:val="single" w:sz="4" w:space="0" w:color="80BAC3" w:themeColor="accent2"/>
          <w:bottom w:val="single" w:sz="4" w:space="0" w:color="80BAC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BAC3" w:themeColor="accent2"/>
          <w:left w:val="nil"/>
        </w:tcBorders>
      </w:tcPr>
    </w:tblStylePr>
    <w:tblStylePr w:type="swCell">
      <w:tblPr/>
      <w:tcPr>
        <w:tcBorders>
          <w:top w:val="double" w:sz="4" w:space="0" w:color="80BAC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FDDE1" w:themeColor="accent3"/>
        <w:left w:val="single" w:sz="4" w:space="0" w:color="BFDDE1" w:themeColor="accent3"/>
        <w:bottom w:val="single" w:sz="4" w:space="0" w:color="BFDDE1" w:themeColor="accent3"/>
        <w:right w:val="single" w:sz="4" w:space="0" w:color="BFDD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DDE1" w:themeFill="accent3"/>
      </w:tcPr>
    </w:tblStylePr>
    <w:tblStylePr w:type="lastRow">
      <w:rPr>
        <w:b/>
        <w:bCs/>
      </w:rPr>
      <w:tblPr/>
      <w:tcPr>
        <w:tcBorders>
          <w:top w:val="double" w:sz="4" w:space="0" w:color="BFDD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DDE1" w:themeColor="accent3"/>
          <w:right w:val="single" w:sz="4" w:space="0" w:color="BFDDE1" w:themeColor="accent3"/>
        </w:tcBorders>
      </w:tcPr>
    </w:tblStylePr>
    <w:tblStylePr w:type="band1Horz">
      <w:tblPr/>
      <w:tcPr>
        <w:tcBorders>
          <w:top w:val="single" w:sz="4" w:space="0" w:color="BFDDE1" w:themeColor="accent3"/>
          <w:bottom w:val="single" w:sz="4" w:space="0" w:color="BFDD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DDE1" w:themeColor="accent3"/>
          <w:left w:val="nil"/>
        </w:tcBorders>
      </w:tcPr>
    </w:tblStylePr>
    <w:tblStylePr w:type="swCell">
      <w:tblPr/>
      <w:tcPr>
        <w:tcBorders>
          <w:top w:val="double" w:sz="4" w:space="0" w:color="BFDDE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404050" w:themeColor="accent4"/>
        <w:left w:val="single" w:sz="4" w:space="0" w:color="404050" w:themeColor="accent4"/>
        <w:bottom w:val="single" w:sz="4" w:space="0" w:color="404050" w:themeColor="accent4"/>
        <w:right w:val="single" w:sz="4" w:space="0" w:color="404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4050" w:themeFill="accent4"/>
      </w:tcPr>
    </w:tblStylePr>
    <w:tblStylePr w:type="lastRow">
      <w:rPr>
        <w:b/>
        <w:bCs/>
      </w:rPr>
      <w:tblPr/>
      <w:tcPr>
        <w:tcBorders>
          <w:top w:val="double" w:sz="4" w:space="0" w:color="404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4050" w:themeColor="accent4"/>
          <w:right w:val="single" w:sz="4" w:space="0" w:color="404050" w:themeColor="accent4"/>
        </w:tcBorders>
      </w:tcPr>
    </w:tblStylePr>
    <w:tblStylePr w:type="band1Horz">
      <w:tblPr/>
      <w:tcPr>
        <w:tcBorders>
          <w:top w:val="single" w:sz="4" w:space="0" w:color="404050" w:themeColor="accent4"/>
          <w:bottom w:val="single" w:sz="4" w:space="0" w:color="404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4050" w:themeColor="accent4"/>
          <w:left w:val="nil"/>
        </w:tcBorders>
      </w:tcPr>
    </w:tblStylePr>
    <w:tblStylePr w:type="swCell">
      <w:tblPr/>
      <w:tcPr>
        <w:tcBorders>
          <w:top w:val="double" w:sz="4" w:space="0" w:color="404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0808B" w:themeColor="accent5"/>
        <w:left w:val="single" w:sz="4" w:space="0" w:color="80808B" w:themeColor="accent5"/>
        <w:bottom w:val="single" w:sz="4" w:space="0" w:color="80808B" w:themeColor="accent5"/>
        <w:right w:val="single" w:sz="4" w:space="0" w:color="8080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B" w:themeFill="accent5"/>
      </w:tcPr>
    </w:tblStylePr>
    <w:tblStylePr w:type="lastRow">
      <w:rPr>
        <w:b/>
        <w:bCs/>
      </w:rPr>
      <w:tblPr/>
      <w:tcPr>
        <w:tcBorders>
          <w:top w:val="double" w:sz="4" w:space="0" w:color="8080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B" w:themeColor="accent5"/>
          <w:right w:val="single" w:sz="4" w:space="0" w:color="80808B" w:themeColor="accent5"/>
        </w:tcBorders>
      </w:tcPr>
    </w:tblStylePr>
    <w:tblStylePr w:type="band1Horz">
      <w:tblPr/>
      <w:tcPr>
        <w:tcBorders>
          <w:top w:val="single" w:sz="4" w:space="0" w:color="80808B" w:themeColor="accent5"/>
          <w:bottom w:val="single" w:sz="4" w:space="0" w:color="8080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B" w:themeColor="accent5"/>
          <w:left w:val="nil"/>
        </w:tcBorders>
      </w:tcPr>
    </w:tblStylePr>
    <w:tblStylePr w:type="swCell">
      <w:tblPr/>
      <w:tcPr>
        <w:tcBorders>
          <w:top w:val="double" w:sz="4" w:space="0" w:color="80808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CCCCD0" w:themeColor="accent6"/>
        <w:left w:val="single" w:sz="4" w:space="0" w:color="CCCCD0" w:themeColor="accent6"/>
        <w:bottom w:val="single" w:sz="4" w:space="0" w:color="CCCCD0" w:themeColor="accent6"/>
        <w:right w:val="single" w:sz="4" w:space="0" w:color="CCCC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CCD0" w:themeFill="accent6"/>
      </w:tcPr>
    </w:tblStylePr>
    <w:tblStylePr w:type="lastRow">
      <w:rPr>
        <w:b/>
        <w:bCs/>
      </w:rPr>
      <w:tblPr/>
      <w:tcPr>
        <w:tcBorders>
          <w:top w:val="double" w:sz="4" w:space="0" w:color="CCCC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CCD0" w:themeColor="accent6"/>
          <w:right w:val="single" w:sz="4" w:space="0" w:color="CCCCD0" w:themeColor="accent6"/>
        </w:tcBorders>
      </w:tcPr>
    </w:tblStylePr>
    <w:tblStylePr w:type="band1Horz">
      <w:tblPr/>
      <w:tcPr>
        <w:tcBorders>
          <w:top w:val="single" w:sz="4" w:space="0" w:color="CCCCD0" w:themeColor="accent6"/>
          <w:bottom w:val="single" w:sz="4" w:space="0" w:color="CCCC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CCD0" w:themeColor="accent6"/>
          <w:left w:val="nil"/>
        </w:tcBorders>
      </w:tcPr>
    </w:tblStylePr>
    <w:tblStylePr w:type="swCell">
      <w:tblPr/>
      <w:tcPr>
        <w:tcBorders>
          <w:top w:val="double" w:sz="4" w:space="0" w:color="CCCC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5C6CF" w:themeColor="accent1" w:themeTint="99"/>
        <w:left w:val="single" w:sz="4" w:space="0" w:color="85C6CF" w:themeColor="accent1" w:themeTint="99"/>
        <w:bottom w:val="single" w:sz="4" w:space="0" w:color="85C6CF" w:themeColor="accent1" w:themeTint="99"/>
        <w:right w:val="single" w:sz="4" w:space="0" w:color="85C6CF" w:themeColor="accent1" w:themeTint="99"/>
        <w:insideH w:val="single" w:sz="4" w:space="0" w:color="85C6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98A4" w:themeColor="accent1"/>
          <w:left w:val="single" w:sz="4" w:space="0" w:color="4098A4" w:themeColor="accent1"/>
          <w:bottom w:val="single" w:sz="4" w:space="0" w:color="4098A4" w:themeColor="accent1"/>
          <w:right w:val="single" w:sz="4" w:space="0" w:color="4098A4" w:themeColor="accent1"/>
          <w:insideH w:val="nil"/>
        </w:tcBorders>
        <w:shd w:val="clear" w:color="auto" w:fill="4098A4" w:themeFill="accent1"/>
      </w:tcPr>
    </w:tblStylePr>
    <w:tblStylePr w:type="lastRow">
      <w:rPr>
        <w:b/>
        <w:bCs/>
      </w:rPr>
      <w:tblPr/>
      <w:tcPr>
        <w:tcBorders>
          <w:top w:val="double" w:sz="4" w:space="0" w:color="85C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D5DB" w:themeColor="accent2" w:themeTint="99"/>
        <w:left w:val="single" w:sz="4" w:space="0" w:color="B2D5DB" w:themeColor="accent2" w:themeTint="99"/>
        <w:bottom w:val="single" w:sz="4" w:space="0" w:color="B2D5DB" w:themeColor="accent2" w:themeTint="99"/>
        <w:right w:val="single" w:sz="4" w:space="0" w:color="B2D5DB" w:themeColor="accent2" w:themeTint="99"/>
        <w:insideH w:val="single" w:sz="4" w:space="0" w:color="B2D5D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AC3" w:themeColor="accent2"/>
          <w:left w:val="single" w:sz="4" w:space="0" w:color="80BAC3" w:themeColor="accent2"/>
          <w:bottom w:val="single" w:sz="4" w:space="0" w:color="80BAC3" w:themeColor="accent2"/>
          <w:right w:val="single" w:sz="4" w:space="0" w:color="80BAC3" w:themeColor="accent2"/>
          <w:insideH w:val="nil"/>
        </w:tcBorders>
        <w:shd w:val="clear" w:color="auto" w:fill="80BAC3" w:themeFill="accent2"/>
      </w:tcPr>
    </w:tblStylePr>
    <w:tblStylePr w:type="lastRow">
      <w:rPr>
        <w:b/>
        <w:bCs/>
      </w:rPr>
      <w:tblPr/>
      <w:tcPr>
        <w:tcBorders>
          <w:top w:val="double" w:sz="4" w:space="0" w:color="B2D5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F3" w:themeFill="accent2" w:themeFillTint="33"/>
      </w:tcPr>
    </w:tblStylePr>
    <w:tblStylePr w:type="band1Horz">
      <w:tblPr/>
      <w:tcPr>
        <w:shd w:val="clear" w:color="auto" w:fill="E5F1F3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D8EAED" w:themeColor="accent3" w:themeTint="99"/>
        <w:left w:val="single" w:sz="4" w:space="0" w:color="D8EAED" w:themeColor="accent3" w:themeTint="99"/>
        <w:bottom w:val="single" w:sz="4" w:space="0" w:color="D8EAED" w:themeColor="accent3" w:themeTint="99"/>
        <w:right w:val="single" w:sz="4" w:space="0" w:color="D8EAED" w:themeColor="accent3" w:themeTint="99"/>
        <w:insideH w:val="single" w:sz="4" w:space="0" w:color="D8EA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DDE1" w:themeColor="accent3"/>
          <w:left w:val="single" w:sz="4" w:space="0" w:color="BFDDE1" w:themeColor="accent3"/>
          <w:bottom w:val="single" w:sz="4" w:space="0" w:color="BFDDE1" w:themeColor="accent3"/>
          <w:right w:val="single" w:sz="4" w:space="0" w:color="BFDDE1" w:themeColor="accent3"/>
          <w:insideH w:val="nil"/>
        </w:tcBorders>
        <w:shd w:val="clear" w:color="auto" w:fill="BFDDE1" w:themeFill="accent3"/>
      </w:tcPr>
    </w:tblStylePr>
    <w:tblStylePr w:type="lastRow">
      <w:rPr>
        <w:b/>
        <w:bCs/>
      </w:rPr>
      <w:tblPr/>
      <w:tcPr>
        <w:tcBorders>
          <w:top w:val="double" w:sz="4" w:space="0" w:color="D8EA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3" w:themeFillTint="33"/>
      </w:tcPr>
    </w:tblStylePr>
    <w:tblStylePr w:type="band1Horz">
      <w:tblPr/>
      <w:tcPr>
        <w:shd w:val="clear" w:color="auto" w:fill="F2F8F9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84849D" w:themeColor="accent4" w:themeTint="99"/>
        <w:left w:val="single" w:sz="4" w:space="0" w:color="84849D" w:themeColor="accent4" w:themeTint="99"/>
        <w:bottom w:val="single" w:sz="4" w:space="0" w:color="84849D" w:themeColor="accent4" w:themeTint="99"/>
        <w:right w:val="single" w:sz="4" w:space="0" w:color="84849D" w:themeColor="accent4" w:themeTint="99"/>
        <w:insideH w:val="single" w:sz="4" w:space="0" w:color="8484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4050" w:themeColor="accent4"/>
          <w:left w:val="single" w:sz="4" w:space="0" w:color="404050" w:themeColor="accent4"/>
          <w:bottom w:val="single" w:sz="4" w:space="0" w:color="404050" w:themeColor="accent4"/>
          <w:right w:val="single" w:sz="4" w:space="0" w:color="404050" w:themeColor="accent4"/>
          <w:insideH w:val="nil"/>
        </w:tcBorders>
        <w:shd w:val="clear" w:color="auto" w:fill="404050" w:themeFill="accent4"/>
      </w:tcPr>
    </w:tblStylePr>
    <w:tblStylePr w:type="lastRow">
      <w:rPr>
        <w:b/>
        <w:bCs/>
      </w:rPr>
      <w:tblPr/>
      <w:tcPr>
        <w:tcBorders>
          <w:top w:val="double" w:sz="4" w:space="0" w:color="8484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2B2B9" w:themeColor="accent5" w:themeTint="99"/>
        <w:left w:val="single" w:sz="4" w:space="0" w:color="B2B2B9" w:themeColor="accent5" w:themeTint="99"/>
        <w:bottom w:val="single" w:sz="4" w:space="0" w:color="B2B2B9" w:themeColor="accent5" w:themeTint="99"/>
        <w:right w:val="single" w:sz="4" w:space="0" w:color="B2B2B9" w:themeColor="accent5" w:themeTint="99"/>
        <w:insideH w:val="single" w:sz="4" w:space="0" w:color="B2B2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B" w:themeColor="accent5"/>
          <w:left w:val="single" w:sz="4" w:space="0" w:color="80808B" w:themeColor="accent5"/>
          <w:bottom w:val="single" w:sz="4" w:space="0" w:color="80808B" w:themeColor="accent5"/>
          <w:right w:val="single" w:sz="4" w:space="0" w:color="80808B" w:themeColor="accent5"/>
          <w:insideH w:val="nil"/>
        </w:tcBorders>
        <w:shd w:val="clear" w:color="auto" w:fill="80808B" w:themeFill="accent5"/>
      </w:tcPr>
    </w:tblStylePr>
    <w:tblStylePr w:type="lastRow">
      <w:rPr>
        <w:b/>
        <w:bCs/>
      </w:rPr>
      <w:tblPr/>
      <w:tcPr>
        <w:tcBorders>
          <w:top w:val="double" w:sz="4" w:space="0" w:color="B2B2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E0E0E2" w:themeColor="accent6" w:themeTint="99"/>
        <w:left w:val="single" w:sz="4" w:space="0" w:color="E0E0E2" w:themeColor="accent6" w:themeTint="99"/>
        <w:bottom w:val="single" w:sz="4" w:space="0" w:color="E0E0E2" w:themeColor="accent6" w:themeTint="99"/>
        <w:right w:val="single" w:sz="4" w:space="0" w:color="E0E0E2" w:themeColor="accent6" w:themeTint="99"/>
        <w:insideH w:val="single" w:sz="4" w:space="0" w:color="E0E0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CD0" w:themeColor="accent6"/>
          <w:left w:val="single" w:sz="4" w:space="0" w:color="CCCCD0" w:themeColor="accent6"/>
          <w:bottom w:val="single" w:sz="4" w:space="0" w:color="CCCCD0" w:themeColor="accent6"/>
          <w:right w:val="single" w:sz="4" w:space="0" w:color="CCCCD0" w:themeColor="accent6"/>
          <w:insideH w:val="nil"/>
        </w:tcBorders>
        <w:shd w:val="clear" w:color="auto" w:fill="CCCCD0" w:themeFill="accent6"/>
      </w:tcPr>
    </w:tblStylePr>
    <w:tblStylePr w:type="lastRow">
      <w:rPr>
        <w:b/>
        <w:bCs/>
      </w:rPr>
      <w:tblPr/>
      <w:tcPr>
        <w:tcBorders>
          <w:top w:val="double" w:sz="4" w:space="0" w:color="E0E0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98A4" w:themeColor="accent1"/>
        <w:left w:val="single" w:sz="24" w:space="0" w:color="4098A4" w:themeColor="accent1"/>
        <w:bottom w:val="single" w:sz="24" w:space="0" w:color="4098A4" w:themeColor="accent1"/>
        <w:right w:val="single" w:sz="24" w:space="0" w:color="4098A4" w:themeColor="accent1"/>
      </w:tblBorders>
    </w:tblPr>
    <w:tcPr>
      <w:shd w:val="clear" w:color="auto" w:fill="4098A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BAC3" w:themeColor="accent2"/>
        <w:left w:val="single" w:sz="24" w:space="0" w:color="80BAC3" w:themeColor="accent2"/>
        <w:bottom w:val="single" w:sz="24" w:space="0" w:color="80BAC3" w:themeColor="accent2"/>
        <w:right w:val="single" w:sz="24" w:space="0" w:color="80BAC3" w:themeColor="accent2"/>
      </w:tblBorders>
    </w:tblPr>
    <w:tcPr>
      <w:shd w:val="clear" w:color="auto" w:fill="80BAC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DDE1" w:themeColor="accent3"/>
        <w:left w:val="single" w:sz="24" w:space="0" w:color="BFDDE1" w:themeColor="accent3"/>
        <w:bottom w:val="single" w:sz="24" w:space="0" w:color="BFDDE1" w:themeColor="accent3"/>
        <w:right w:val="single" w:sz="24" w:space="0" w:color="BFDDE1" w:themeColor="accent3"/>
      </w:tblBorders>
    </w:tblPr>
    <w:tcPr>
      <w:shd w:val="clear" w:color="auto" w:fill="BFDD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4050" w:themeColor="accent4"/>
        <w:left w:val="single" w:sz="24" w:space="0" w:color="404050" w:themeColor="accent4"/>
        <w:bottom w:val="single" w:sz="24" w:space="0" w:color="404050" w:themeColor="accent4"/>
        <w:right w:val="single" w:sz="24" w:space="0" w:color="404050" w:themeColor="accent4"/>
      </w:tblBorders>
    </w:tblPr>
    <w:tcPr>
      <w:shd w:val="clear" w:color="auto" w:fill="404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B" w:themeColor="accent5"/>
        <w:left w:val="single" w:sz="24" w:space="0" w:color="80808B" w:themeColor="accent5"/>
        <w:bottom w:val="single" w:sz="24" w:space="0" w:color="80808B" w:themeColor="accent5"/>
        <w:right w:val="single" w:sz="24" w:space="0" w:color="80808B" w:themeColor="accent5"/>
      </w:tblBorders>
    </w:tblPr>
    <w:tcPr>
      <w:shd w:val="clear" w:color="auto" w:fill="8080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294A5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CCD0" w:themeColor="accent6"/>
        <w:left w:val="single" w:sz="24" w:space="0" w:color="CCCCD0" w:themeColor="accent6"/>
        <w:bottom w:val="single" w:sz="24" w:space="0" w:color="CCCCD0" w:themeColor="accent6"/>
        <w:right w:val="single" w:sz="24" w:space="0" w:color="CCCCD0" w:themeColor="accent6"/>
      </w:tblBorders>
    </w:tblPr>
    <w:tcPr>
      <w:shd w:val="clear" w:color="auto" w:fill="CCCC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294A5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294A5A"/>
    <w:pPr>
      <w:spacing w:after="0" w:line="240" w:lineRule="auto"/>
    </w:pPr>
    <w:rPr>
      <w:color w:val="30717A" w:themeColor="accent1" w:themeShade="BF"/>
    </w:rPr>
    <w:tblPr>
      <w:tblStyleRowBandSize w:val="1"/>
      <w:tblStyleColBandSize w:val="1"/>
      <w:tblBorders>
        <w:top w:val="single" w:sz="4" w:space="0" w:color="4098A4" w:themeColor="accent1"/>
        <w:bottom w:val="single" w:sz="4" w:space="0" w:color="4098A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098A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098A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294A5A"/>
    <w:pPr>
      <w:spacing w:after="0" w:line="240" w:lineRule="auto"/>
    </w:pPr>
    <w:rPr>
      <w:color w:val="4D98A4" w:themeColor="accent2" w:themeShade="BF"/>
    </w:rPr>
    <w:tblPr>
      <w:tblStyleRowBandSize w:val="1"/>
      <w:tblStyleColBandSize w:val="1"/>
      <w:tblBorders>
        <w:top w:val="single" w:sz="4" w:space="0" w:color="80BAC3" w:themeColor="accent2"/>
        <w:bottom w:val="single" w:sz="4" w:space="0" w:color="80BAC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0BAC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0BAC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F3" w:themeFill="accent2" w:themeFillTint="33"/>
      </w:tcPr>
    </w:tblStylePr>
    <w:tblStylePr w:type="band1Horz">
      <w:tblPr/>
      <w:tcPr>
        <w:shd w:val="clear" w:color="auto" w:fill="E5F1F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294A5A"/>
    <w:pPr>
      <w:spacing w:after="0" w:line="240" w:lineRule="auto"/>
    </w:pPr>
    <w:rPr>
      <w:color w:val="77B7BF" w:themeColor="accent3" w:themeShade="BF"/>
    </w:rPr>
    <w:tblPr>
      <w:tblStyleRowBandSize w:val="1"/>
      <w:tblStyleColBandSize w:val="1"/>
      <w:tblBorders>
        <w:top w:val="single" w:sz="4" w:space="0" w:color="BFDDE1" w:themeColor="accent3"/>
        <w:bottom w:val="single" w:sz="4" w:space="0" w:color="BFDD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DD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DD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3" w:themeFillTint="33"/>
      </w:tcPr>
    </w:tblStylePr>
    <w:tblStylePr w:type="band1Horz">
      <w:tblPr/>
      <w:tcPr>
        <w:shd w:val="clear" w:color="auto" w:fill="F2F8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294A5A"/>
    <w:pPr>
      <w:spacing w:after="0" w:line="240" w:lineRule="auto"/>
    </w:pPr>
    <w:rPr>
      <w:color w:val="30303B" w:themeColor="accent4" w:themeShade="BF"/>
    </w:rPr>
    <w:tblPr>
      <w:tblStyleRowBandSize w:val="1"/>
      <w:tblStyleColBandSize w:val="1"/>
      <w:tblBorders>
        <w:top w:val="single" w:sz="4" w:space="0" w:color="404050" w:themeColor="accent4"/>
        <w:bottom w:val="single" w:sz="4" w:space="0" w:color="404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04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04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294A5A"/>
    <w:pPr>
      <w:spacing w:after="0" w:line="240" w:lineRule="auto"/>
    </w:pPr>
    <w:rPr>
      <w:color w:val="5F5F68" w:themeColor="accent5" w:themeShade="BF"/>
    </w:rPr>
    <w:tblPr>
      <w:tblStyleRowBandSize w:val="1"/>
      <w:tblStyleColBandSize w:val="1"/>
      <w:tblBorders>
        <w:top w:val="single" w:sz="4" w:space="0" w:color="80808B" w:themeColor="accent5"/>
        <w:bottom w:val="single" w:sz="4" w:space="0" w:color="8080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080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294A5A"/>
    <w:pPr>
      <w:spacing w:after="0" w:line="240" w:lineRule="auto"/>
    </w:pPr>
    <w:rPr>
      <w:color w:val="96969E" w:themeColor="accent6" w:themeShade="BF"/>
    </w:rPr>
    <w:tblPr>
      <w:tblStyleRowBandSize w:val="1"/>
      <w:tblStyleColBandSize w:val="1"/>
      <w:tblBorders>
        <w:top w:val="single" w:sz="4" w:space="0" w:color="CCCCD0" w:themeColor="accent6"/>
        <w:bottom w:val="single" w:sz="4" w:space="0" w:color="CCCC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CCC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CCC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294A5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294A5A"/>
    <w:pPr>
      <w:spacing w:after="0" w:line="240" w:lineRule="auto"/>
    </w:pPr>
    <w:rPr>
      <w:color w:val="30717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98A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98A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98A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98A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294A5A"/>
    <w:pPr>
      <w:spacing w:after="0" w:line="240" w:lineRule="auto"/>
    </w:pPr>
    <w:rPr>
      <w:color w:val="4D98A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BAC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BAC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BAC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BAC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5F1F3" w:themeFill="accent2" w:themeFillTint="33"/>
      </w:tcPr>
    </w:tblStylePr>
    <w:tblStylePr w:type="band1Horz">
      <w:tblPr/>
      <w:tcPr>
        <w:shd w:val="clear" w:color="auto" w:fill="E5F1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294A5A"/>
    <w:pPr>
      <w:spacing w:after="0" w:line="240" w:lineRule="auto"/>
    </w:pPr>
    <w:rPr>
      <w:color w:val="77B7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DD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DD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DD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DD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8F9" w:themeFill="accent3" w:themeFillTint="33"/>
      </w:tcPr>
    </w:tblStylePr>
    <w:tblStylePr w:type="band1Horz">
      <w:tblPr/>
      <w:tcPr>
        <w:shd w:val="clear" w:color="auto" w:fill="F2F8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294A5A"/>
    <w:pPr>
      <w:spacing w:after="0" w:line="240" w:lineRule="auto"/>
    </w:pPr>
    <w:rPr>
      <w:color w:val="30303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4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4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4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4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6D6DE" w:themeFill="accent4" w:themeFillTint="33"/>
      </w:tcPr>
    </w:tblStylePr>
    <w:tblStylePr w:type="band1Horz">
      <w:tblPr/>
      <w:tcPr>
        <w:shd w:val="clear" w:color="auto" w:fill="D6D6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294A5A"/>
    <w:pPr>
      <w:spacing w:after="0" w:line="240" w:lineRule="auto"/>
    </w:pPr>
    <w:rPr>
      <w:color w:val="5F5F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E5E7" w:themeFill="accent5" w:themeFillTint="33"/>
      </w:tcPr>
    </w:tblStylePr>
    <w:tblStylePr w:type="band1Horz">
      <w:tblPr/>
      <w:tcPr>
        <w:shd w:val="clear" w:color="auto" w:fill="E5E5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294A5A"/>
    <w:pPr>
      <w:spacing w:after="0" w:line="240" w:lineRule="auto"/>
    </w:pPr>
    <w:rPr>
      <w:color w:val="96969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CC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CC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CC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CC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4F4F5" w:themeFill="accent6" w:themeFillTint="33"/>
      </w:tcPr>
    </w:tblStylePr>
    <w:tblStylePr w:type="band1Horz">
      <w:tblPr/>
      <w:tcPr>
        <w:shd w:val="clear" w:color="auto" w:fill="F4F4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6B8C3" w:themeColor="accent1" w:themeTint="BF"/>
        <w:left w:val="single" w:sz="8" w:space="0" w:color="66B8C3" w:themeColor="accent1" w:themeTint="BF"/>
        <w:bottom w:val="single" w:sz="8" w:space="0" w:color="66B8C3" w:themeColor="accent1" w:themeTint="BF"/>
        <w:right w:val="single" w:sz="8" w:space="0" w:color="66B8C3" w:themeColor="accent1" w:themeTint="BF"/>
        <w:insideH w:val="single" w:sz="8" w:space="0" w:color="66B8C3" w:themeColor="accent1" w:themeTint="BF"/>
        <w:insideV w:val="single" w:sz="8" w:space="0" w:color="66B8C3" w:themeColor="accent1" w:themeTint="BF"/>
      </w:tblBorders>
    </w:tblPr>
    <w:tcPr>
      <w:shd w:val="clear" w:color="auto" w:fill="CCE7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B8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D0D7" w:themeFill="accent1" w:themeFillTint="7F"/>
      </w:tcPr>
    </w:tblStylePr>
    <w:tblStylePr w:type="band1Horz">
      <w:tblPr/>
      <w:tcPr>
        <w:shd w:val="clear" w:color="auto" w:fill="99D0D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FCBD2" w:themeColor="accent2" w:themeTint="BF"/>
        <w:left w:val="single" w:sz="8" w:space="0" w:color="9FCBD2" w:themeColor="accent2" w:themeTint="BF"/>
        <w:bottom w:val="single" w:sz="8" w:space="0" w:color="9FCBD2" w:themeColor="accent2" w:themeTint="BF"/>
        <w:right w:val="single" w:sz="8" w:space="0" w:color="9FCBD2" w:themeColor="accent2" w:themeTint="BF"/>
        <w:insideH w:val="single" w:sz="8" w:space="0" w:color="9FCBD2" w:themeColor="accent2" w:themeTint="BF"/>
        <w:insideV w:val="single" w:sz="8" w:space="0" w:color="9FCBD2" w:themeColor="accent2" w:themeTint="BF"/>
      </w:tblBorders>
    </w:tblPr>
    <w:tcPr>
      <w:shd w:val="clear" w:color="auto" w:fill="DFED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CBD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CE1" w:themeFill="accent2" w:themeFillTint="7F"/>
      </w:tcPr>
    </w:tblStylePr>
    <w:tblStylePr w:type="band1Horz">
      <w:tblPr/>
      <w:tcPr>
        <w:shd w:val="clear" w:color="auto" w:fill="BFDCE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EE5E8" w:themeColor="accent3" w:themeTint="BF"/>
        <w:left w:val="single" w:sz="8" w:space="0" w:color="CEE5E8" w:themeColor="accent3" w:themeTint="BF"/>
        <w:bottom w:val="single" w:sz="8" w:space="0" w:color="CEE5E8" w:themeColor="accent3" w:themeTint="BF"/>
        <w:right w:val="single" w:sz="8" w:space="0" w:color="CEE5E8" w:themeColor="accent3" w:themeTint="BF"/>
        <w:insideH w:val="single" w:sz="8" w:space="0" w:color="CEE5E8" w:themeColor="accent3" w:themeTint="BF"/>
        <w:insideV w:val="single" w:sz="8" w:space="0" w:color="CEE5E8" w:themeColor="accent3" w:themeTint="BF"/>
      </w:tblBorders>
    </w:tblPr>
    <w:tcPr>
      <w:shd w:val="clear" w:color="auto" w:fill="EFF6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5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0" w:themeFill="accent3" w:themeFillTint="7F"/>
      </w:tcPr>
    </w:tblStylePr>
    <w:tblStylePr w:type="band1Horz">
      <w:tblPr/>
      <w:tcPr>
        <w:shd w:val="clear" w:color="auto" w:fill="DFEEF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86882" w:themeColor="accent4" w:themeTint="BF"/>
        <w:left w:val="single" w:sz="8" w:space="0" w:color="686882" w:themeColor="accent4" w:themeTint="BF"/>
        <w:bottom w:val="single" w:sz="8" w:space="0" w:color="686882" w:themeColor="accent4" w:themeTint="BF"/>
        <w:right w:val="single" w:sz="8" w:space="0" w:color="686882" w:themeColor="accent4" w:themeTint="BF"/>
        <w:insideH w:val="single" w:sz="8" w:space="0" w:color="686882" w:themeColor="accent4" w:themeTint="BF"/>
        <w:insideV w:val="single" w:sz="8" w:space="0" w:color="686882" w:themeColor="accent4" w:themeTint="BF"/>
      </w:tblBorders>
    </w:tblPr>
    <w:tcPr>
      <w:shd w:val="clear" w:color="auto" w:fill="CCCC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8688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99AE" w:themeFill="accent4" w:themeFillTint="7F"/>
      </w:tcPr>
    </w:tblStylePr>
    <w:tblStylePr w:type="band1Horz">
      <w:tblPr/>
      <w:tcPr>
        <w:shd w:val="clear" w:color="auto" w:fill="9999A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F9FA8" w:themeColor="accent5" w:themeTint="BF"/>
        <w:left w:val="single" w:sz="8" w:space="0" w:color="9F9FA8" w:themeColor="accent5" w:themeTint="BF"/>
        <w:bottom w:val="single" w:sz="8" w:space="0" w:color="9F9FA8" w:themeColor="accent5" w:themeTint="BF"/>
        <w:right w:val="single" w:sz="8" w:space="0" w:color="9F9FA8" w:themeColor="accent5" w:themeTint="BF"/>
        <w:insideH w:val="single" w:sz="8" w:space="0" w:color="9F9FA8" w:themeColor="accent5" w:themeTint="BF"/>
        <w:insideV w:val="single" w:sz="8" w:space="0" w:color="9F9FA8" w:themeColor="accent5" w:themeTint="BF"/>
      </w:tblBorders>
    </w:tblPr>
    <w:tcPr>
      <w:shd w:val="clear" w:color="auto" w:fill="DFDF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C5" w:themeFill="accent5" w:themeFillTint="7F"/>
      </w:tcPr>
    </w:tblStylePr>
    <w:tblStylePr w:type="band1Horz">
      <w:tblPr/>
      <w:tcPr>
        <w:shd w:val="clear" w:color="auto" w:fill="BFBFC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D8D8DB" w:themeColor="accent6" w:themeTint="BF"/>
        <w:left w:val="single" w:sz="8" w:space="0" w:color="D8D8DB" w:themeColor="accent6" w:themeTint="BF"/>
        <w:bottom w:val="single" w:sz="8" w:space="0" w:color="D8D8DB" w:themeColor="accent6" w:themeTint="BF"/>
        <w:right w:val="single" w:sz="8" w:space="0" w:color="D8D8DB" w:themeColor="accent6" w:themeTint="BF"/>
        <w:insideH w:val="single" w:sz="8" w:space="0" w:color="D8D8DB" w:themeColor="accent6" w:themeTint="BF"/>
        <w:insideV w:val="single" w:sz="8" w:space="0" w:color="D8D8DB" w:themeColor="accent6" w:themeTint="BF"/>
      </w:tblBorders>
    </w:tblPr>
    <w:tcPr>
      <w:shd w:val="clear" w:color="auto" w:fill="F2F2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8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7" w:themeFill="accent6" w:themeFillTint="7F"/>
      </w:tcPr>
    </w:tblStylePr>
    <w:tblStylePr w:type="band1Horz">
      <w:tblPr/>
      <w:tcPr>
        <w:shd w:val="clear" w:color="auto" w:fill="E5E5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98A4" w:themeColor="accent1"/>
        <w:left w:val="single" w:sz="8" w:space="0" w:color="4098A4" w:themeColor="accent1"/>
        <w:bottom w:val="single" w:sz="8" w:space="0" w:color="4098A4" w:themeColor="accent1"/>
        <w:right w:val="single" w:sz="8" w:space="0" w:color="4098A4" w:themeColor="accent1"/>
        <w:insideH w:val="single" w:sz="8" w:space="0" w:color="4098A4" w:themeColor="accent1"/>
        <w:insideV w:val="single" w:sz="8" w:space="0" w:color="4098A4" w:themeColor="accent1"/>
      </w:tblBorders>
    </w:tblPr>
    <w:tcPr>
      <w:shd w:val="clear" w:color="auto" w:fill="CCE7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CEF" w:themeFill="accent1" w:themeFillTint="33"/>
      </w:tcPr>
    </w:tblStylePr>
    <w:tblStylePr w:type="band1Vert">
      <w:tblPr/>
      <w:tcPr>
        <w:shd w:val="clear" w:color="auto" w:fill="99D0D7" w:themeFill="accent1" w:themeFillTint="7F"/>
      </w:tcPr>
    </w:tblStylePr>
    <w:tblStylePr w:type="band1Horz">
      <w:tblPr/>
      <w:tcPr>
        <w:tcBorders>
          <w:insideH w:val="single" w:sz="6" w:space="0" w:color="4098A4" w:themeColor="accent1"/>
          <w:insideV w:val="single" w:sz="6" w:space="0" w:color="4098A4" w:themeColor="accent1"/>
        </w:tcBorders>
        <w:shd w:val="clear" w:color="auto" w:fill="99D0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BAC3" w:themeColor="accent2"/>
        <w:left w:val="single" w:sz="8" w:space="0" w:color="80BAC3" w:themeColor="accent2"/>
        <w:bottom w:val="single" w:sz="8" w:space="0" w:color="80BAC3" w:themeColor="accent2"/>
        <w:right w:val="single" w:sz="8" w:space="0" w:color="80BAC3" w:themeColor="accent2"/>
        <w:insideH w:val="single" w:sz="8" w:space="0" w:color="80BAC3" w:themeColor="accent2"/>
        <w:insideV w:val="single" w:sz="8" w:space="0" w:color="80BAC3" w:themeColor="accent2"/>
      </w:tblBorders>
    </w:tblPr>
    <w:tcPr>
      <w:shd w:val="clear" w:color="auto" w:fill="DFEDF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2F8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F3" w:themeFill="accent2" w:themeFillTint="33"/>
      </w:tcPr>
    </w:tblStylePr>
    <w:tblStylePr w:type="band1Vert">
      <w:tblPr/>
      <w:tcPr>
        <w:shd w:val="clear" w:color="auto" w:fill="BFDCE1" w:themeFill="accent2" w:themeFillTint="7F"/>
      </w:tcPr>
    </w:tblStylePr>
    <w:tblStylePr w:type="band1Horz">
      <w:tblPr/>
      <w:tcPr>
        <w:tcBorders>
          <w:insideH w:val="single" w:sz="6" w:space="0" w:color="80BAC3" w:themeColor="accent2"/>
          <w:insideV w:val="single" w:sz="6" w:space="0" w:color="80BAC3" w:themeColor="accent2"/>
        </w:tcBorders>
        <w:shd w:val="clear" w:color="auto" w:fill="BFDCE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DDE1" w:themeColor="accent3"/>
        <w:left w:val="single" w:sz="8" w:space="0" w:color="BFDDE1" w:themeColor="accent3"/>
        <w:bottom w:val="single" w:sz="8" w:space="0" w:color="BFDDE1" w:themeColor="accent3"/>
        <w:right w:val="single" w:sz="8" w:space="0" w:color="BFDDE1" w:themeColor="accent3"/>
        <w:insideH w:val="single" w:sz="8" w:space="0" w:color="BFDDE1" w:themeColor="accent3"/>
        <w:insideV w:val="single" w:sz="8" w:space="0" w:color="BFDDE1" w:themeColor="accent3"/>
      </w:tblBorders>
    </w:tblPr>
    <w:tcPr>
      <w:shd w:val="clear" w:color="auto" w:fill="EFF6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B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8F9" w:themeFill="accent3" w:themeFillTint="33"/>
      </w:tcPr>
    </w:tblStylePr>
    <w:tblStylePr w:type="band1Vert">
      <w:tblPr/>
      <w:tcPr>
        <w:shd w:val="clear" w:color="auto" w:fill="DFEEF0" w:themeFill="accent3" w:themeFillTint="7F"/>
      </w:tcPr>
    </w:tblStylePr>
    <w:tblStylePr w:type="band1Horz">
      <w:tblPr/>
      <w:tcPr>
        <w:tcBorders>
          <w:insideH w:val="single" w:sz="6" w:space="0" w:color="BFDDE1" w:themeColor="accent3"/>
          <w:insideV w:val="single" w:sz="6" w:space="0" w:color="BFDDE1" w:themeColor="accent3"/>
        </w:tcBorders>
        <w:shd w:val="clear" w:color="auto" w:fill="DFEE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4050" w:themeColor="accent4"/>
        <w:left w:val="single" w:sz="8" w:space="0" w:color="404050" w:themeColor="accent4"/>
        <w:bottom w:val="single" w:sz="8" w:space="0" w:color="404050" w:themeColor="accent4"/>
        <w:right w:val="single" w:sz="8" w:space="0" w:color="404050" w:themeColor="accent4"/>
        <w:insideH w:val="single" w:sz="8" w:space="0" w:color="404050" w:themeColor="accent4"/>
        <w:insideV w:val="single" w:sz="8" w:space="0" w:color="404050" w:themeColor="accent4"/>
      </w:tblBorders>
    </w:tblPr>
    <w:tcPr>
      <w:shd w:val="clear" w:color="auto" w:fill="CCCC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BEB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E" w:themeFill="accent4" w:themeFillTint="33"/>
      </w:tcPr>
    </w:tblStylePr>
    <w:tblStylePr w:type="band1Vert">
      <w:tblPr/>
      <w:tcPr>
        <w:shd w:val="clear" w:color="auto" w:fill="9999AE" w:themeFill="accent4" w:themeFillTint="7F"/>
      </w:tcPr>
    </w:tblStylePr>
    <w:tblStylePr w:type="band1Horz">
      <w:tblPr/>
      <w:tcPr>
        <w:tcBorders>
          <w:insideH w:val="single" w:sz="6" w:space="0" w:color="404050" w:themeColor="accent4"/>
          <w:insideV w:val="single" w:sz="6" w:space="0" w:color="404050" w:themeColor="accent4"/>
        </w:tcBorders>
        <w:shd w:val="clear" w:color="auto" w:fill="9999A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B" w:themeColor="accent5"/>
        <w:left w:val="single" w:sz="8" w:space="0" w:color="80808B" w:themeColor="accent5"/>
        <w:bottom w:val="single" w:sz="8" w:space="0" w:color="80808B" w:themeColor="accent5"/>
        <w:right w:val="single" w:sz="8" w:space="0" w:color="80808B" w:themeColor="accent5"/>
        <w:insideH w:val="single" w:sz="8" w:space="0" w:color="80808B" w:themeColor="accent5"/>
        <w:insideV w:val="single" w:sz="8" w:space="0" w:color="80808B" w:themeColor="accent5"/>
      </w:tblBorders>
    </w:tblPr>
    <w:tcPr>
      <w:shd w:val="clear" w:color="auto" w:fill="DFDF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7" w:themeFill="accent5" w:themeFillTint="33"/>
      </w:tcPr>
    </w:tblStylePr>
    <w:tblStylePr w:type="band1Vert">
      <w:tblPr/>
      <w:tcPr>
        <w:shd w:val="clear" w:color="auto" w:fill="BFBFC5" w:themeFill="accent5" w:themeFillTint="7F"/>
      </w:tcPr>
    </w:tblStylePr>
    <w:tblStylePr w:type="band1Horz">
      <w:tblPr/>
      <w:tcPr>
        <w:tcBorders>
          <w:insideH w:val="single" w:sz="6" w:space="0" w:color="80808B" w:themeColor="accent5"/>
          <w:insideV w:val="single" w:sz="6" w:space="0" w:color="80808B" w:themeColor="accent5"/>
        </w:tcBorders>
        <w:shd w:val="clear" w:color="auto" w:fill="BFBF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D0" w:themeColor="accent6"/>
        <w:left w:val="single" w:sz="8" w:space="0" w:color="CCCCD0" w:themeColor="accent6"/>
        <w:bottom w:val="single" w:sz="8" w:space="0" w:color="CCCCD0" w:themeColor="accent6"/>
        <w:right w:val="single" w:sz="8" w:space="0" w:color="CCCCD0" w:themeColor="accent6"/>
        <w:insideH w:val="single" w:sz="8" w:space="0" w:color="CCCCD0" w:themeColor="accent6"/>
        <w:insideV w:val="single" w:sz="8" w:space="0" w:color="CCCCD0" w:themeColor="accent6"/>
      </w:tblBorders>
    </w:tblPr>
    <w:tcPr>
      <w:shd w:val="clear" w:color="auto" w:fill="F2F2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F9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5" w:themeFill="accent6" w:themeFillTint="33"/>
      </w:tcPr>
    </w:tblStylePr>
    <w:tblStylePr w:type="band1Vert">
      <w:tblPr/>
      <w:tcPr>
        <w:shd w:val="clear" w:color="auto" w:fill="E5E5E7" w:themeFill="accent6" w:themeFillTint="7F"/>
      </w:tcPr>
    </w:tblStylePr>
    <w:tblStylePr w:type="band1Horz">
      <w:tblPr/>
      <w:tcPr>
        <w:tcBorders>
          <w:insideH w:val="single" w:sz="6" w:space="0" w:color="CCCCD0" w:themeColor="accent6"/>
          <w:insideV w:val="single" w:sz="6" w:space="0" w:color="CCCCD0" w:themeColor="accent6"/>
        </w:tcBorders>
        <w:shd w:val="clear" w:color="auto" w:fill="E5E5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7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98A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98A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98A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98A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D0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D0D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DF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AC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AC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BAC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BAC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DCE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DCE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6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DD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DD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DD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DD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E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EF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C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4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4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4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4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99A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99A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C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2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C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C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5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5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58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98A4" w:themeColor="accent1"/>
        <w:bottom w:val="single" w:sz="8" w:space="0" w:color="4098A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98A4" w:themeColor="accent1"/>
        </w:tcBorders>
      </w:tcPr>
    </w:tblStylePr>
    <w:tblStylePr w:type="lastRow">
      <w:rPr>
        <w:b/>
        <w:bCs/>
        <w:color w:val="007586" w:themeColor="text2"/>
      </w:rPr>
      <w:tblPr/>
      <w:tcPr>
        <w:tcBorders>
          <w:top w:val="single" w:sz="8" w:space="0" w:color="4098A4" w:themeColor="accent1"/>
          <w:bottom w:val="single" w:sz="8" w:space="0" w:color="4098A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98A4" w:themeColor="accent1"/>
          <w:bottom w:val="single" w:sz="8" w:space="0" w:color="4098A4" w:themeColor="accent1"/>
        </w:tcBorders>
      </w:tcPr>
    </w:tblStylePr>
    <w:tblStylePr w:type="band1Vert">
      <w:tblPr/>
      <w:tcPr>
        <w:shd w:val="clear" w:color="auto" w:fill="CCE7EB" w:themeFill="accent1" w:themeFillTint="3F"/>
      </w:tcPr>
    </w:tblStylePr>
    <w:tblStylePr w:type="band1Horz">
      <w:tblPr/>
      <w:tcPr>
        <w:shd w:val="clear" w:color="auto" w:fill="CCE7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AC3" w:themeColor="accent2"/>
        <w:bottom w:val="single" w:sz="8" w:space="0" w:color="80BAC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BAC3" w:themeColor="accent2"/>
        </w:tcBorders>
      </w:tcPr>
    </w:tblStylePr>
    <w:tblStylePr w:type="lastRow">
      <w:rPr>
        <w:b/>
        <w:bCs/>
        <w:color w:val="007586" w:themeColor="text2"/>
      </w:rPr>
      <w:tblPr/>
      <w:tcPr>
        <w:tcBorders>
          <w:top w:val="single" w:sz="8" w:space="0" w:color="80BAC3" w:themeColor="accent2"/>
          <w:bottom w:val="single" w:sz="8" w:space="0" w:color="80BAC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BAC3" w:themeColor="accent2"/>
          <w:bottom w:val="single" w:sz="8" w:space="0" w:color="80BAC3" w:themeColor="accent2"/>
        </w:tcBorders>
      </w:tcPr>
    </w:tblStylePr>
    <w:tblStylePr w:type="band1Vert">
      <w:tblPr/>
      <w:tcPr>
        <w:shd w:val="clear" w:color="auto" w:fill="DFEDF0" w:themeFill="accent2" w:themeFillTint="3F"/>
      </w:tcPr>
    </w:tblStylePr>
    <w:tblStylePr w:type="band1Horz">
      <w:tblPr/>
      <w:tcPr>
        <w:shd w:val="clear" w:color="auto" w:fill="DFEDF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DDE1" w:themeColor="accent3"/>
        <w:bottom w:val="single" w:sz="8" w:space="0" w:color="BFDD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DDE1" w:themeColor="accent3"/>
        </w:tcBorders>
      </w:tcPr>
    </w:tblStylePr>
    <w:tblStylePr w:type="lastRow">
      <w:rPr>
        <w:b/>
        <w:bCs/>
        <w:color w:val="007586" w:themeColor="text2"/>
      </w:rPr>
      <w:tblPr/>
      <w:tcPr>
        <w:tcBorders>
          <w:top w:val="single" w:sz="8" w:space="0" w:color="BFDDE1" w:themeColor="accent3"/>
          <w:bottom w:val="single" w:sz="8" w:space="0" w:color="BFDD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DDE1" w:themeColor="accent3"/>
          <w:bottom w:val="single" w:sz="8" w:space="0" w:color="BFDDE1" w:themeColor="accent3"/>
        </w:tcBorders>
      </w:tcPr>
    </w:tblStylePr>
    <w:tblStylePr w:type="band1Vert">
      <w:tblPr/>
      <w:tcPr>
        <w:shd w:val="clear" w:color="auto" w:fill="EFF6F7" w:themeFill="accent3" w:themeFillTint="3F"/>
      </w:tcPr>
    </w:tblStylePr>
    <w:tblStylePr w:type="band1Horz">
      <w:tblPr/>
      <w:tcPr>
        <w:shd w:val="clear" w:color="auto" w:fill="EFF6F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4050" w:themeColor="accent4"/>
        <w:bottom w:val="single" w:sz="8" w:space="0" w:color="404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4050" w:themeColor="accent4"/>
        </w:tcBorders>
      </w:tcPr>
    </w:tblStylePr>
    <w:tblStylePr w:type="lastRow">
      <w:rPr>
        <w:b/>
        <w:bCs/>
        <w:color w:val="007586" w:themeColor="text2"/>
      </w:rPr>
      <w:tblPr/>
      <w:tcPr>
        <w:tcBorders>
          <w:top w:val="single" w:sz="8" w:space="0" w:color="404050" w:themeColor="accent4"/>
          <w:bottom w:val="single" w:sz="8" w:space="0" w:color="404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4050" w:themeColor="accent4"/>
          <w:bottom w:val="single" w:sz="8" w:space="0" w:color="404050" w:themeColor="accent4"/>
        </w:tcBorders>
      </w:tcPr>
    </w:tblStylePr>
    <w:tblStylePr w:type="band1Vert">
      <w:tblPr/>
      <w:tcPr>
        <w:shd w:val="clear" w:color="auto" w:fill="CCCCD6" w:themeFill="accent4" w:themeFillTint="3F"/>
      </w:tcPr>
    </w:tblStylePr>
    <w:tblStylePr w:type="band1Horz">
      <w:tblPr/>
      <w:tcPr>
        <w:shd w:val="clear" w:color="auto" w:fill="CCCCD6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B" w:themeColor="accent5"/>
        <w:bottom w:val="single" w:sz="8" w:space="0" w:color="8080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B" w:themeColor="accent5"/>
        </w:tcBorders>
      </w:tcPr>
    </w:tblStylePr>
    <w:tblStylePr w:type="lastRow">
      <w:rPr>
        <w:b/>
        <w:bCs/>
        <w:color w:val="007586" w:themeColor="text2"/>
      </w:rPr>
      <w:tblPr/>
      <w:tcPr>
        <w:tcBorders>
          <w:top w:val="single" w:sz="8" w:space="0" w:color="80808B" w:themeColor="accent5"/>
          <w:bottom w:val="single" w:sz="8" w:space="0" w:color="8080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B" w:themeColor="accent5"/>
          <w:bottom w:val="single" w:sz="8" w:space="0" w:color="80808B" w:themeColor="accent5"/>
        </w:tcBorders>
      </w:tcPr>
    </w:tblStylePr>
    <w:tblStylePr w:type="band1Vert">
      <w:tblPr/>
      <w:tcPr>
        <w:shd w:val="clear" w:color="auto" w:fill="DFDFE2" w:themeFill="accent5" w:themeFillTint="3F"/>
      </w:tcPr>
    </w:tblStylePr>
    <w:tblStylePr w:type="band1Horz">
      <w:tblPr/>
      <w:tcPr>
        <w:shd w:val="clear" w:color="auto" w:fill="DFDFE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294A5A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CCD0" w:themeColor="accent6"/>
        <w:bottom w:val="single" w:sz="8" w:space="0" w:color="CCCC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CD0" w:themeColor="accent6"/>
        </w:tcBorders>
      </w:tcPr>
    </w:tblStylePr>
    <w:tblStylePr w:type="lastRow">
      <w:rPr>
        <w:b/>
        <w:bCs/>
        <w:color w:val="007586" w:themeColor="text2"/>
      </w:rPr>
      <w:tblPr/>
      <w:tcPr>
        <w:tcBorders>
          <w:top w:val="single" w:sz="8" w:space="0" w:color="CCCCD0" w:themeColor="accent6"/>
          <w:bottom w:val="single" w:sz="8" w:space="0" w:color="CCCC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CD0" w:themeColor="accent6"/>
          <w:bottom w:val="single" w:sz="8" w:space="0" w:color="CCCCD0" w:themeColor="accent6"/>
        </w:tcBorders>
      </w:tcPr>
    </w:tblStylePr>
    <w:tblStylePr w:type="band1Vert">
      <w:tblPr/>
      <w:tcPr>
        <w:shd w:val="clear" w:color="auto" w:fill="F2F2F3" w:themeFill="accent6" w:themeFillTint="3F"/>
      </w:tcPr>
    </w:tblStylePr>
    <w:tblStylePr w:type="band1Horz">
      <w:tblPr/>
      <w:tcPr>
        <w:shd w:val="clear" w:color="auto" w:fill="F2F2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98A4" w:themeColor="accent1"/>
        <w:left w:val="single" w:sz="8" w:space="0" w:color="4098A4" w:themeColor="accent1"/>
        <w:bottom w:val="single" w:sz="8" w:space="0" w:color="4098A4" w:themeColor="accent1"/>
        <w:right w:val="single" w:sz="8" w:space="0" w:color="4098A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98A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98A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98A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98A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7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7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BAC3" w:themeColor="accent2"/>
        <w:left w:val="single" w:sz="8" w:space="0" w:color="80BAC3" w:themeColor="accent2"/>
        <w:bottom w:val="single" w:sz="8" w:space="0" w:color="80BAC3" w:themeColor="accent2"/>
        <w:right w:val="single" w:sz="8" w:space="0" w:color="80BAC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BAC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BAC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BAC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BAC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D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DF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DDE1" w:themeColor="accent3"/>
        <w:left w:val="single" w:sz="8" w:space="0" w:color="BFDDE1" w:themeColor="accent3"/>
        <w:bottom w:val="single" w:sz="8" w:space="0" w:color="BFDDE1" w:themeColor="accent3"/>
        <w:right w:val="single" w:sz="8" w:space="0" w:color="BFDD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DD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FDDE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DD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DD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6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6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4050" w:themeColor="accent4"/>
        <w:left w:val="single" w:sz="8" w:space="0" w:color="404050" w:themeColor="accent4"/>
        <w:bottom w:val="single" w:sz="8" w:space="0" w:color="404050" w:themeColor="accent4"/>
        <w:right w:val="single" w:sz="8" w:space="0" w:color="404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4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4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4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4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C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B" w:themeColor="accent5"/>
        <w:left w:val="single" w:sz="8" w:space="0" w:color="80808B" w:themeColor="accent5"/>
        <w:bottom w:val="single" w:sz="8" w:space="0" w:color="80808B" w:themeColor="accent5"/>
        <w:right w:val="single" w:sz="8" w:space="0" w:color="8080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294A5A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D0" w:themeColor="accent6"/>
        <w:left w:val="single" w:sz="8" w:space="0" w:color="CCCCD0" w:themeColor="accent6"/>
        <w:bottom w:val="single" w:sz="8" w:space="0" w:color="CCCCD0" w:themeColor="accent6"/>
        <w:right w:val="single" w:sz="8" w:space="0" w:color="CCCC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C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CCD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C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C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2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6B8C3" w:themeColor="accent1" w:themeTint="BF"/>
        <w:left w:val="single" w:sz="8" w:space="0" w:color="66B8C3" w:themeColor="accent1" w:themeTint="BF"/>
        <w:bottom w:val="single" w:sz="8" w:space="0" w:color="66B8C3" w:themeColor="accent1" w:themeTint="BF"/>
        <w:right w:val="single" w:sz="8" w:space="0" w:color="66B8C3" w:themeColor="accent1" w:themeTint="BF"/>
        <w:insideH w:val="single" w:sz="8" w:space="0" w:color="66B8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B8C3" w:themeColor="accent1" w:themeTint="BF"/>
          <w:left w:val="single" w:sz="8" w:space="0" w:color="66B8C3" w:themeColor="accent1" w:themeTint="BF"/>
          <w:bottom w:val="single" w:sz="8" w:space="0" w:color="66B8C3" w:themeColor="accent1" w:themeTint="BF"/>
          <w:right w:val="single" w:sz="8" w:space="0" w:color="66B8C3" w:themeColor="accent1" w:themeTint="BF"/>
          <w:insideH w:val="nil"/>
          <w:insideV w:val="nil"/>
        </w:tcBorders>
        <w:shd w:val="clear" w:color="auto" w:fill="4098A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8C3" w:themeColor="accent1" w:themeTint="BF"/>
          <w:left w:val="single" w:sz="8" w:space="0" w:color="66B8C3" w:themeColor="accent1" w:themeTint="BF"/>
          <w:bottom w:val="single" w:sz="8" w:space="0" w:color="66B8C3" w:themeColor="accent1" w:themeTint="BF"/>
          <w:right w:val="single" w:sz="8" w:space="0" w:color="66B8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7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7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FCBD2" w:themeColor="accent2" w:themeTint="BF"/>
        <w:left w:val="single" w:sz="8" w:space="0" w:color="9FCBD2" w:themeColor="accent2" w:themeTint="BF"/>
        <w:bottom w:val="single" w:sz="8" w:space="0" w:color="9FCBD2" w:themeColor="accent2" w:themeTint="BF"/>
        <w:right w:val="single" w:sz="8" w:space="0" w:color="9FCBD2" w:themeColor="accent2" w:themeTint="BF"/>
        <w:insideH w:val="single" w:sz="8" w:space="0" w:color="9FCBD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CBD2" w:themeColor="accent2" w:themeTint="BF"/>
          <w:left w:val="single" w:sz="8" w:space="0" w:color="9FCBD2" w:themeColor="accent2" w:themeTint="BF"/>
          <w:bottom w:val="single" w:sz="8" w:space="0" w:color="9FCBD2" w:themeColor="accent2" w:themeTint="BF"/>
          <w:right w:val="single" w:sz="8" w:space="0" w:color="9FCBD2" w:themeColor="accent2" w:themeTint="BF"/>
          <w:insideH w:val="nil"/>
          <w:insideV w:val="nil"/>
        </w:tcBorders>
        <w:shd w:val="clear" w:color="auto" w:fill="80BAC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D2" w:themeColor="accent2" w:themeTint="BF"/>
          <w:left w:val="single" w:sz="8" w:space="0" w:color="9FCBD2" w:themeColor="accent2" w:themeTint="BF"/>
          <w:bottom w:val="single" w:sz="8" w:space="0" w:color="9FCBD2" w:themeColor="accent2" w:themeTint="BF"/>
          <w:right w:val="single" w:sz="8" w:space="0" w:color="9FCBD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D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D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EE5E8" w:themeColor="accent3" w:themeTint="BF"/>
        <w:left w:val="single" w:sz="8" w:space="0" w:color="CEE5E8" w:themeColor="accent3" w:themeTint="BF"/>
        <w:bottom w:val="single" w:sz="8" w:space="0" w:color="CEE5E8" w:themeColor="accent3" w:themeTint="BF"/>
        <w:right w:val="single" w:sz="8" w:space="0" w:color="CEE5E8" w:themeColor="accent3" w:themeTint="BF"/>
        <w:insideH w:val="single" w:sz="8" w:space="0" w:color="CEE5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5E8" w:themeColor="accent3" w:themeTint="BF"/>
          <w:left w:val="single" w:sz="8" w:space="0" w:color="CEE5E8" w:themeColor="accent3" w:themeTint="BF"/>
          <w:bottom w:val="single" w:sz="8" w:space="0" w:color="CEE5E8" w:themeColor="accent3" w:themeTint="BF"/>
          <w:right w:val="single" w:sz="8" w:space="0" w:color="CEE5E8" w:themeColor="accent3" w:themeTint="BF"/>
          <w:insideH w:val="nil"/>
          <w:insideV w:val="nil"/>
        </w:tcBorders>
        <w:shd w:val="clear" w:color="auto" w:fill="BFDD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5E8" w:themeColor="accent3" w:themeTint="BF"/>
          <w:left w:val="single" w:sz="8" w:space="0" w:color="CEE5E8" w:themeColor="accent3" w:themeTint="BF"/>
          <w:bottom w:val="single" w:sz="8" w:space="0" w:color="CEE5E8" w:themeColor="accent3" w:themeTint="BF"/>
          <w:right w:val="single" w:sz="8" w:space="0" w:color="CEE5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6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6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86882" w:themeColor="accent4" w:themeTint="BF"/>
        <w:left w:val="single" w:sz="8" w:space="0" w:color="686882" w:themeColor="accent4" w:themeTint="BF"/>
        <w:bottom w:val="single" w:sz="8" w:space="0" w:color="686882" w:themeColor="accent4" w:themeTint="BF"/>
        <w:right w:val="single" w:sz="8" w:space="0" w:color="686882" w:themeColor="accent4" w:themeTint="BF"/>
        <w:insideH w:val="single" w:sz="8" w:space="0" w:color="68688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86882" w:themeColor="accent4" w:themeTint="BF"/>
          <w:left w:val="single" w:sz="8" w:space="0" w:color="686882" w:themeColor="accent4" w:themeTint="BF"/>
          <w:bottom w:val="single" w:sz="8" w:space="0" w:color="686882" w:themeColor="accent4" w:themeTint="BF"/>
          <w:right w:val="single" w:sz="8" w:space="0" w:color="686882" w:themeColor="accent4" w:themeTint="BF"/>
          <w:insideH w:val="nil"/>
          <w:insideV w:val="nil"/>
        </w:tcBorders>
        <w:shd w:val="clear" w:color="auto" w:fill="404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86882" w:themeColor="accent4" w:themeTint="BF"/>
          <w:left w:val="single" w:sz="8" w:space="0" w:color="686882" w:themeColor="accent4" w:themeTint="BF"/>
          <w:bottom w:val="single" w:sz="8" w:space="0" w:color="686882" w:themeColor="accent4" w:themeTint="BF"/>
          <w:right w:val="single" w:sz="8" w:space="0" w:color="68688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C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F9FA8" w:themeColor="accent5" w:themeTint="BF"/>
        <w:left w:val="single" w:sz="8" w:space="0" w:color="9F9FA8" w:themeColor="accent5" w:themeTint="BF"/>
        <w:bottom w:val="single" w:sz="8" w:space="0" w:color="9F9FA8" w:themeColor="accent5" w:themeTint="BF"/>
        <w:right w:val="single" w:sz="8" w:space="0" w:color="9F9FA8" w:themeColor="accent5" w:themeTint="BF"/>
        <w:insideH w:val="single" w:sz="8" w:space="0" w:color="9F9F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A8" w:themeColor="accent5" w:themeTint="BF"/>
          <w:left w:val="single" w:sz="8" w:space="0" w:color="9F9FA8" w:themeColor="accent5" w:themeTint="BF"/>
          <w:bottom w:val="single" w:sz="8" w:space="0" w:color="9F9FA8" w:themeColor="accent5" w:themeTint="BF"/>
          <w:right w:val="single" w:sz="8" w:space="0" w:color="9F9FA8" w:themeColor="accent5" w:themeTint="BF"/>
          <w:insideH w:val="nil"/>
          <w:insideV w:val="nil"/>
        </w:tcBorders>
        <w:shd w:val="clear" w:color="auto" w:fill="8080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A8" w:themeColor="accent5" w:themeTint="BF"/>
          <w:left w:val="single" w:sz="8" w:space="0" w:color="9F9FA8" w:themeColor="accent5" w:themeTint="BF"/>
          <w:bottom w:val="single" w:sz="8" w:space="0" w:color="9F9FA8" w:themeColor="accent5" w:themeTint="BF"/>
          <w:right w:val="single" w:sz="8" w:space="0" w:color="9F9F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D8D8DB" w:themeColor="accent6" w:themeTint="BF"/>
        <w:left w:val="single" w:sz="8" w:space="0" w:color="D8D8DB" w:themeColor="accent6" w:themeTint="BF"/>
        <w:bottom w:val="single" w:sz="8" w:space="0" w:color="D8D8DB" w:themeColor="accent6" w:themeTint="BF"/>
        <w:right w:val="single" w:sz="8" w:space="0" w:color="D8D8DB" w:themeColor="accent6" w:themeTint="BF"/>
        <w:insideH w:val="single" w:sz="8" w:space="0" w:color="D8D8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8DB" w:themeColor="accent6" w:themeTint="BF"/>
          <w:left w:val="single" w:sz="8" w:space="0" w:color="D8D8DB" w:themeColor="accent6" w:themeTint="BF"/>
          <w:bottom w:val="single" w:sz="8" w:space="0" w:color="D8D8DB" w:themeColor="accent6" w:themeTint="BF"/>
          <w:right w:val="single" w:sz="8" w:space="0" w:color="D8D8DB" w:themeColor="accent6" w:themeTint="BF"/>
          <w:insideH w:val="nil"/>
          <w:insideV w:val="nil"/>
        </w:tcBorders>
        <w:shd w:val="clear" w:color="auto" w:fill="CCCC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8DB" w:themeColor="accent6" w:themeTint="BF"/>
          <w:left w:val="single" w:sz="8" w:space="0" w:color="D8D8DB" w:themeColor="accent6" w:themeTint="BF"/>
          <w:bottom w:val="single" w:sz="8" w:space="0" w:color="D8D8DB" w:themeColor="accent6" w:themeTint="BF"/>
          <w:right w:val="single" w:sz="8" w:space="0" w:color="D8D8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2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98A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98A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98A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BAC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BAC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BAC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DD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DD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DD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4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4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4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294A5A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C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294A5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294A5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294A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ulloutText">
    <w:name w:val="Pullout Text"/>
    <w:basedOn w:val="Normal"/>
    <w:uiPriority w:val="1"/>
    <w:qFormat/>
    <w:rsid w:val="007E098F"/>
    <w:pPr>
      <w:spacing w:before="100" w:after="100"/>
    </w:pPr>
    <w:rPr>
      <w:color w:val="007586" w:themeColor="text2"/>
    </w:rPr>
  </w:style>
  <w:style w:type="paragraph" w:customStyle="1" w:styleId="PulloutHeading">
    <w:name w:val="Pullout Heading"/>
    <w:basedOn w:val="PulloutText"/>
    <w:next w:val="PulloutText"/>
    <w:uiPriority w:val="1"/>
    <w:qFormat/>
    <w:rsid w:val="007E098F"/>
    <w:pPr>
      <w:spacing w:before="0" w:line="216" w:lineRule="auto"/>
    </w:pPr>
    <w:rPr>
      <w:b/>
      <w:sz w:val="24"/>
    </w:rPr>
  </w:style>
  <w:style w:type="table" w:customStyle="1" w:styleId="SCVInformationTable">
    <w:name w:val="SCV Information Table"/>
    <w:basedOn w:val="TableNormal"/>
    <w:uiPriority w:val="99"/>
    <w:rsid w:val="0086277A"/>
    <w:pPr>
      <w:spacing w:before="0" w:after="80" w:line="240" w:lineRule="auto"/>
      <w:ind w:left="170"/>
    </w:pPr>
    <w:rPr>
      <w:sz w:val="15"/>
    </w:rPr>
    <w:tblPr>
      <w:tblCellMar>
        <w:top w:w="323" w:type="dxa"/>
        <w:left w:w="0" w:type="dxa"/>
        <w:right w:w="0" w:type="dxa"/>
      </w:tblCellMar>
    </w:tblPr>
    <w:tcPr>
      <w:shd w:val="clear" w:color="auto" w:fill="F2F2F3"/>
    </w:tcPr>
  </w:style>
  <w:style w:type="paragraph" w:styleId="Date">
    <w:name w:val="Date"/>
    <w:basedOn w:val="Normal"/>
    <w:next w:val="Normal"/>
    <w:link w:val="DateChar"/>
    <w:uiPriority w:val="99"/>
    <w:rsid w:val="0050356B"/>
    <w:pPr>
      <w:framePr w:hSpace="5670" w:wrap="around" w:vAnchor="page" w:hAnchor="page" w:x="852" w:y="4310"/>
      <w:spacing w:before="0" w:after="70" w:line="312" w:lineRule="auto"/>
      <w:suppressOverlap/>
    </w:pPr>
    <w:rPr>
      <w:b/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50356B"/>
    <w:rPr>
      <w:b/>
      <w:sz w:val="28"/>
    </w:rPr>
  </w:style>
  <w:style w:type="paragraph" w:styleId="NormalWeb">
    <w:name w:val="Normal (Web)"/>
    <w:basedOn w:val="Normal"/>
    <w:uiPriority w:val="99"/>
    <w:semiHidden/>
    <w:rsid w:val="005F15F1"/>
    <w:pPr>
      <w:spacing w:before="0" w:after="0" w:line="260" w:lineRule="atLeast"/>
    </w:pPr>
    <w:rPr>
      <w:rFonts w:eastAsia="Times New Roman" w:cs="Times New Roman"/>
      <w:color w:val="000000" w:themeColor="text1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B2097"/>
    <w:rPr>
      <w:sz w:val="16"/>
      <w:szCs w:val="16"/>
    </w:rPr>
  </w:style>
  <w:style w:type="paragraph" w:customStyle="1" w:styleId="Default">
    <w:name w:val="Default"/>
    <w:rsid w:val="00C453D7"/>
    <w:pPr>
      <w:autoSpaceDE w:val="0"/>
      <w:autoSpaceDN w:val="0"/>
      <w:adjustRightInd w:val="0"/>
      <w:spacing w:before="0" w:after="0" w:line="240" w:lineRule="auto"/>
    </w:pPr>
    <w:rPr>
      <w:rFonts w:ascii="Corbel" w:eastAsiaTheme="minorHAnsi" w:hAnsi="Corbel" w:cs="Corbel"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699"/>
    <w:rPr>
      <w:color w:val="605E5C"/>
      <w:shd w:val="clear" w:color="auto" w:fill="E1DFDD"/>
    </w:rPr>
  </w:style>
  <w:style w:type="paragraph" w:styleId="TOC5">
    <w:name w:val="toc 5"/>
    <w:basedOn w:val="Normal"/>
    <w:next w:val="Normal"/>
    <w:autoRedefine/>
    <w:uiPriority w:val="39"/>
    <w:unhideWhenUsed/>
    <w:rsid w:val="008B7FE0"/>
    <w:pPr>
      <w:spacing w:before="0" w:after="100" w:line="259" w:lineRule="auto"/>
      <w:ind w:left="88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8B7FE0"/>
    <w:pPr>
      <w:spacing w:before="0" w:after="100" w:line="259" w:lineRule="auto"/>
      <w:ind w:left="110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B7FE0"/>
    <w:pPr>
      <w:spacing w:before="0" w:after="100" w:line="259" w:lineRule="auto"/>
      <w:ind w:left="132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B7FE0"/>
    <w:pPr>
      <w:spacing w:before="0" w:after="100" w:line="259" w:lineRule="auto"/>
      <w:ind w:left="154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B7FE0"/>
    <w:pPr>
      <w:spacing w:before="0" w:after="100" w:line="259" w:lineRule="auto"/>
      <w:ind w:left="1760"/>
    </w:pPr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1"/>
    <w:unhideWhenUsed/>
    <w:rsid w:val="00E1060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1"/>
    <w:rsid w:val="00E1060E"/>
  </w:style>
  <w:style w:type="paragraph" w:styleId="CommentSubject">
    <w:name w:val="annotation subject"/>
    <w:basedOn w:val="CommentText"/>
    <w:next w:val="CommentText"/>
    <w:link w:val="CommentSubjectChar"/>
    <w:uiPriority w:val="1"/>
    <w:semiHidden/>
    <w:unhideWhenUsed/>
    <w:rsid w:val="00E106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"/>
    <w:semiHidden/>
    <w:rsid w:val="00E1060E"/>
    <w:rPr>
      <w:b/>
      <w:bCs/>
    </w:rPr>
  </w:style>
  <w:style w:type="character" w:styleId="FollowedHyperlink">
    <w:name w:val="FollowedHyperlink"/>
    <w:basedOn w:val="DefaultParagraphFont"/>
    <w:uiPriority w:val="1"/>
    <w:semiHidden/>
    <w:unhideWhenUsed/>
    <w:rsid w:val="00E112E4"/>
    <w:rPr>
      <w:color w:val="007586" w:themeColor="followedHyperlink"/>
      <w:u w:val="single"/>
    </w:rPr>
  </w:style>
  <w:style w:type="paragraph" w:styleId="Revision">
    <w:name w:val="Revision"/>
    <w:hidden/>
    <w:uiPriority w:val="99"/>
    <w:semiHidden/>
    <w:rsid w:val="00440F01"/>
    <w:pPr>
      <w:spacing w:before="0"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E05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2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afercare.vic" TargetMode="External"/><Relationship Id="rId18" Type="http://schemas.openxmlformats.org/officeDocument/2006/relationships/hyperlink" Target="https://www.bettersafercare.vic.gov.au/reports-and-publications/victorian-renal-key-performance-indicators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6.png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glossaryDocument" Target="glossary/document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hyperlink" Target="mailto:renal.clinicalnetwork@safercare.vic.gov.au" TargetMode="External"/><Relationship Id="rId17" Type="http://schemas.openxmlformats.org/officeDocument/2006/relationships/footer" Target="footer3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6BEBCD330F4954BCC1D53C2592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FFBAC-5D14-4E24-9295-D558D326C10A}"/>
      </w:docPartPr>
      <w:docPartBody>
        <w:p w:rsidR="007B2084" w:rsidRDefault="007B2084">
          <w:pPr>
            <w:pStyle w:val="F96BEBCD330F4954BCC1D53C2592B1E0"/>
          </w:pPr>
          <w:r w:rsidRPr="006C5876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084"/>
    <w:rsid w:val="00054482"/>
    <w:rsid w:val="000776FF"/>
    <w:rsid w:val="000A3503"/>
    <w:rsid w:val="000E204E"/>
    <w:rsid w:val="00137E1D"/>
    <w:rsid w:val="00166897"/>
    <w:rsid w:val="001F1E4B"/>
    <w:rsid w:val="002F6AC9"/>
    <w:rsid w:val="002F7613"/>
    <w:rsid w:val="003715CB"/>
    <w:rsid w:val="0039046E"/>
    <w:rsid w:val="00407DDA"/>
    <w:rsid w:val="004232B6"/>
    <w:rsid w:val="00583C02"/>
    <w:rsid w:val="005F49E8"/>
    <w:rsid w:val="00603C60"/>
    <w:rsid w:val="00662A7A"/>
    <w:rsid w:val="006B3013"/>
    <w:rsid w:val="006C3BFF"/>
    <w:rsid w:val="00733849"/>
    <w:rsid w:val="0075454D"/>
    <w:rsid w:val="0077645E"/>
    <w:rsid w:val="0079272E"/>
    <w:rsid w:val="007B2084"/>
    <w:rsid w:val="00801899"/>
    <w:rsid w:val="008F20D1"/>
    <w:rsid w:val="00A67D93"/>
    <w:rsid w:val="00B12999"/>
    <w:rsid w:val="00BF666D"/>
    <w:rsid w:val="00C27701"/>
    <w:rsid w:val="00C35C9B"/>
    <w:rsid w:val="00CE4C5C"/>
    <w:rsid w:val="00E35C48"/>
    <w:rsid w:val="00E81C2A"/>
    <w:rsid w:val="00E852C0"/>
    <w:rsid w:val="00EE1EE7"/>
    <w:rsid w:val="00F1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1"/>
    <w:semiHidden/>
    <w:rPr>
      <w:color w:val="808080"/>
    </w:rPr>
  </w:style>
  <w:style w:type="paragraph" w:customStyle="1" w:styleId="F96BEBCD330F4954BCC1D53C2592B1E0">
    <w:name w:val="F96BEBCD330F4954BCC1D53C2592B1E0"/>
  </w:style>
  <w:style w:type="paragraph" w:customStyle="1" w:styleId="C4514E40AEFB4473BB1D254EE9420032">
    <w:name w:val="C4514E40AEFB4473BB1D254EE9420032"/>
  </w:style>
  <w:style w:type="paragraph" w:customStyle="1" w:styleId="4564A13082F14CAA9AA1D56806965863">
    <w:name w:val="4564A13082F14CAA9AA1D56806965863"/>
  </w:style>
  <w:style w:type="paragraph" w:customStyle="1" w:styleId="70F9BB9A469344709DB852975C60D489">
    <w:name w:val="70F9BB9A469344709DB852975C60D489"/>
    <w:rsid w:val="006B3013"/>
  </w:style>
  <w:style w:type="paragraph" w:customStyle="1" w:styleId="8C548B61E74B43E6AFA2D5C9DB7A0A87">
    <w:name w:val="8C548B61E74B43E6AFA2D5C9DB7A0A87"/>
    <w:rsid w:val="006B30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CV">
      <a:dk1>
        <a:srgbClr val="000000"/>
      </a:dk1>
      <a:lt1>
        <a:srgbClr val="FFFFFF"/>
      </a:lt1>
      <a:dk2>
        <a:srgbClr val="007586"/>
      </a:dk2>
      <a:lt2>
        <a:srgbClr val="EDF5F7"/>
      </a:lt2>
      <a:accent1>
        <a:srgbClr val="4098A4"/>
      </a:accent1>
      <a:accent2>
        <a:srgbClr val="80BAC3"/>
      </a:accent2>
      <a:accent3>
        <a:srgbClr val="BFDDE1"/>
      </a:accent3>
      <a:accent4>
        <a:srgbClr val="404050"/>
      </a:accent4>
      <a:accent5>
        <a:srgbClr val="80808B"/>
      </a:accent5>
      <a:accent6>
        <a:srgbClr val="CCCCD0"/>
      </a:accent6>
      <a:hlink>
        <a:srgbClr val="000000"/>
      </a:hlink>
      <a:folHlink>
        <a:srgbClr val="007586"/>
      </a:folHlink>
    </a:clrScheme>
    <a:fontScheme name="Arial">
      <a:majorFont>
        <a:latin typeface="Arial" panose="020F0302020204030204"/>
        <a:ea typeface="Arial"/>
        <a:cs typeface="Arial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F0502020204030204"/>
        <a:ea typeface="Arial"/>
        <a:cs typeface="Arial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8CE0D-C44E-4551-88B0-AEF2E1D04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61</Pages>
  <Words>9360</Words>
  <Characters>53354</Characters>
  <Application>Microsoft Office Word</Application>
  <DocSecurity>0</DocSecurity>
  <Lines>444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Renal key performance indicators review</vt:lpstr>
    </vt:vector>
  </TitlesOfParts>
  <Company>Department of Health and Human Services</Company>
  <LinksUpToDate>false</LinksUpToDate>
  <CharactersWithSpaces>62589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Renal key performance indicators review</dc:title>
  <dc:subject>Safer Care Victoria Renal Clinical Network Key Performance Indicators Review 2019 report</dc:subject>
  <dc:creator>Safer Care Victoria</dc:creator>
  <cp:keywords>Renal Clinical Network, KPI review</cp:keywords>
  <cp:lastModifiedBy>Freya Jones (DHHS)</cp:lastModifiedBy>
  <cp:revision>10</cp:revision>
  <cp:lastPrinted>2018-05-20T09:23:00Z</cp:lastPrinted>
  <dcterms:created xsi:type="dcterms:W3CDTF">2019-08-12T02:04:00Z</dcterms:created>
  <dcterms:modified xsi:type="dcterms:W3CDTF">2019-08-19T00:45:00Z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346754aa-f64f-4676-8998-5678c96f0a97</vt:lpwstr>
  </property>
  <property fmtid="{D5CDD505-2E9C-101B-9397-08002B2CF9AE}" pid="3" name="PSPFClassification">
    <vt:lpwstr>Do Not Mark</vt:lpwstr>
  </property>
</Properties>
</file>