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rsidTr="0050356B">
        <w:trPr>
          <w:trHeight w:val="57"/>
        </w:trPr>
        <w:tc>
          <w:tcPr>
            <w:tcW w:w="6804" w:type="dxa"/>
            <w:shd w:val="clear" w:color="auto" w:fill="auto"/>
            <w:tcMar>
              <w:top w:w="312" w:type="dxa"/>
            </w:tcMar>
          </w:tcPr>
          <w:p w:rsidR="0050356B" w:rsidRPr="0050356B" w:rsidRDefault="0050356B" w:rsidP="005F321E">
            <w:pPr>
              <w:pStyle w:val="Date"/>
              <w:framePr w:hSpace="0" w:wrap="auto" w:vAnchor="margin" w:hAnchor="text" w:xAlign="left" w:yAlign="inline"/>
              <w:suppressOverlap w:val="0"/>
            </w:pPr>
          </w:p>
        </w:tc>
      </w:tr>
      <w:tr w:rsidR="00A46288" w:rsidTr="0050356B">
        <w:trPr>
          <w:trHeight w:val="2948"/>
        </w:trPr>
        <w:tc>
          <w:tcPr>
            <w:tcW w:w="6804" w:type="dxa"/>
            <w:shd w:val="clear" w:color="auto" w:fill="auto"/>
            <w:tcMar>
              <w:top w:w="312" w:type="dxa"/>
            </w:tcMar>
          </w:tcPr>
          <w:sdt>
            <w:sdtPr>
              <w:rPr>
                <w:rFonts w:ascii="VIC SemiBold" w:hAnsi="VIC SemiBold"/>
                <w:b w:val="0"/>
              </w:rPr>
              <w:alias w:val="Title"/>
              <w:tag w:val=""/>
              <w:id w:val="-1484688983"/>
              <w:placeholder>
                <w:docPart w:val="CAA1C20478CF4F2CA7F05A607D567CBF"/>
              </w:placeholder>
              <w:dataBinding w:prefixMappings="xmlns:ns0='http://purl.org/dc/elements/1.1/' xmlns:ns1='http://schemas.openxmlformats.org/package/2006/metadata/core-properties' " w:xpath="/ns1:coreProperties[1]/ns0:title[1]" w:storeItemID="{6C3C8BC8-F283-45AE-878A-BAB7291924A1}"/>
              <w:text/>
            </w:sdtPr>
            <w:sdtContent>
              <w:p w:rsidR="00A46288" w:rsidRPr="005F321E" w:rsidRDefault="005F321E" w:rsidP="0050356B">
                <w:pPr>
                  <w:pStyle w:val="Title"/>
                  <w:framePr w:hSpace="0" w:wrap="auto" w:vAnchor="margin" w:hAnchor="text" w:xAlign="left" w:yAlign="inline"/>
                  <w:suppressOverlap w:val="0"/>
                  <w:rPr>
                    <w:rFonts w:ascii="VIC SemiBold" w:hAnsi="VIC SemiBold"/>
                    <w:b w:val="0"/>
                  </w:rPr>
                </w:pPr>
                <w:r w:rsidRPr="005F321E">
                  <w:rPr>
                    <w:rFonts w:ascii="VIC SemiBold" w:hAnsi="VIC SemiBold"/>
                    <w:b w:val="0"/>
                  </w:rPr>
                  <w:t>Corporate plan</w:t>
                </w:r>
              </w:p>
            </w:sdtContent>
          </w:sdt>
          <w:p w:rsidR="00A46288" w:rsidRPr="00BF3854" w:rsidRDefault="005F321E" w:rsidP="0050356B">
            <w:pPr>
              <w:pStyle w:val="Subtitle"/>
              <w:framePr w:hSpace="0" w:wrap="auto" w:vAnchor="margin" w:hAnchor="text" w:xAlign="left" w:yAlign="inline"/>
              <w:suppressOverlap w:val="0"/>
            </w:pPr>
            <w:r w:rsidRPr="00B83644">
              <w:rPr>
                <w:rFonts w:ascii="VIC SemiBold" w:hAnsi="VIC SemiBold"/>
              </w:rPr>
              <w:t>201</w:t>
            </w:r>
            <w:r>
              <w:rPr>
                <w:rFonts w:ascii="VIC SemiBold" w:hAnsi="VIC SemiBold"/>
              </w:rPr>
              <w:t>9</w:t>
            </w:r>
            <w:r w:rsidRPr="00B83644">
              <w:rPr>
                <w:rFonts w:ascii="VIC SemiBold" w:hAnsi="VIC SemiBold"/>
              </w:rPr>
              <w:t>–</w:t>
            </w:r>
            <w:r>
              <w:rPr>
                <w:rFonts w:ascii="VIC SemiBold" w:hAnsi="VIC SemiBold"/>
              </w:rPr>
              <w:t>20</w:t>
            </w:r>
          </w:p>
        </w:tc>
      </w:tr>
    </w:tbl>
    <w:p w:rsidR="00A46288" w:rsidRDefault="00A46288" w:rsidP="00A46288">
      <w:pPr>
        <w:pStyle w:val="NoSpacing"/>
      </w:pPr>
    </w:p>
    <w:p w:rsidR="00A46288" w:rsidRDefault="00A46288" w:rsidP="005F321E">
      <w:pPr>
        <w:sectPr w:rsidR="00A46288" w:rsidSect="00257461">
          <w:headerReference w:type="default" r:id="rId8"/>
          <w:footerReference w:type="even" r:id="rId9"/>
          <w:footerReference w:type="default" r:id="rId10"/>
          <w:headerReference w:type="first" r:id="rId11"/>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395"/>
        <w:gridCol w:w="3337"/>
        <w:gridCol w:w="2484"/>
      </w:tblGrid>
      <w:tr w:rsidR="008116D8" w:rsidRPr="00736C0C" w:rsidTr="00795272">
        <w:trPr>
          <w:trHeight w:val="2041"/>
        </w:trPr>
        <w:tc>
          <w:tcPr>
            <w:tcW w:w="4395" w:type="dxa"/>
            <w:tcMar>
              <w:left w:w="113" w:type="dxa"/>
            </w:tcMar>
          </w:tcPr>
          <w:p w:rsidR="008116D8" w:rsidRPr="008116D8" w:rsidRDefault="008116D8" w:rsidP="005F321E">
            <w:r w:rsidRPr="00795272">
              <w:rPr>
                <w:sz w:val="24"/>
              </w:rPr>
              <w:lastRenderedPageBreak/>
              <w:t xml:space="preserve">To receive this publication in an accessible format phone </w:t>
            </w:r>
            <w:r w:rsidRPr="00795272">
              <w:rPr>
                <w:sz w:val="24"/>
              </w:rPr>
              <w:br/>
              <w:t xml:space="preserve">03 9096 1384, using the National Relay Service 13 36 </w:t>
            </w:r>
            <w:r w:rsidRPr="00795272">
              <w:rPr>
                <w:spacing w:val="-2"/>
                <w:sz w:val="24"/>
              </w:rPr>
              <w:t xml:space="preserve">77 if required, or email </w:t>
            </w:r>
            <w:r w:rsidR="00795272" w:rsidRPr="00795272">
              <w:rPr>
                <w:sz w:val="24"/>
              </w:rPr>
              <w:t>info@safercare.vic.gov</w:t>
            </w:r>
            <w:r w:rsidRPr="00795272">
              <w:rPr>
                <w:spacing w:val="-4"/>
                <w:sz w:val="24"/>
              </w:rPr>
              <w:t>.au</w:t>
            </w:r>
          </w:p>
        </w:tc>
        <w:tc>
          <w:tcPr>
            <w:tcW w:w="3337" w:type="dxa"/>
          </w:tcPr>
          <w:p w:rsidR="008116D8" w:rsidRPr="005F321E" w:rsidRDefault="008116D8" w:rsidP="005F321E">
            <w:r w:rsidRPr="005F321E">
              <w:t xml:space="preserve">Authorised and </w:t>
            </w:r>
            <w:r w:rsidRPr="005F321E">
              <w:rPr>
                <w:spacing w:val="-2"/>
              </w:rPr>
              <w:t>published by the Victorian</w:t>
            </w:r>
            <w:r w:rsidRPr="005F321E">
              <w:t xml:space="preserve"> Government, 1 Treasury Place, Melbourne.</w:t>
            </w:r>
          </w:p>
          <w:p w:rsidR="005F321E" w:rsidRPr="005F321E" w:rsidRDefault="005F321E" w:rsidP="005F321E">
            <w:r w:rsidRPr="005F321E">
              <w:t xml:space="preserve">© State of Victoria, Safer Care Victoria, August 2019. </w:t>
            </w:r>
          </w:p>
          <w:p w:rsidR="005F321E" w:rsidRPr="005F321E" w:rsidRDefault="005F321E" w:rsidP="005F321E">
            <w:r w:rsidRPr="005F321E">
              <w:t>ISSN 2208-6927 (online)</w:t>
            </w:r>
          </w:p>
          <w:p w:rsidR="008116D8" w:rsidRPr="00736C0C" w:rsidRDefault="005F321E" w:rsidP="005F321E">
            <w:pPr>
              <w:rPr>
                <w:szCs w:val="15"/>
              </w:rPr>
            </w:pPr>
            <w:r w:rsidRPr="005F321E">
              <w:rPr>
                <w:sz w:val="16"/>
                <w:szCs w:val="18"/>
              </w:rPr>
              <w:t xml:space="preserve">Available </w:t>
            </w:r>
            <w:r w:rsidRPr="00795272">
              <w:rPr>
                <w:sz w:val="16"/>
                <w:szCs w:val="18"/>
              </w:rPr>
              <w:t xml:space="preserve">at </w:t>
            </w:r>
            <w:hyperlink r:id="rId12" w:history="1">
              <w:r w:rsidRPr="00795272">
                <w:rPr>
                  <w:sz w:val="16"/>
                  <w:szCs w:val="18"/>
                </w:rPr>
                <w:t>safercare.vic</w:t>
              </w:r>
            </w:hyperlink>
            <w:r w:rsidRPr="00795272">
              <w:rPr>
                <w:sz w:val="16"/>
                <w:szCs w:val="18"/>
              </w:rPr>
              <w:t>.gov.au</w:t>
            </w:r>
          </w:p>
        </w:tc>
        <w:tc>
          <w:tcPr>
            <w:tcW w:w="2484" w:type="dxa"/>
          </w:tcPr>
          <w:p w:rsidR="008116D8" w:rsidRPr="00736C0C" w:rsidRDefault="008116D8" w:rsidP="005F321E">
            <w:r w:rsidRPr="00736C0C">
              <w:rPr>
                <w:noProof/>
              </w:rPr>
              <w:drawing>
                <wp:inline distT="0" distB="0" distL="0" distR="0" wp14:anchorId="0B5B13D3" wp14:editId="40144C9C">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rsidR="0086277A" w:rsidRDefault="007C4073" w:rsidP="005F321E">
      <w:r>
        <w:fldChar w:fldCharType="begin"/>
      </w:r>
      <w:r>
        <w:instrText xml:space="preserve"> Macrobutton NoMacro  </w:instrText>
      </w:r>
      <w:r>
        <w:fldChar w:fldCharType="end"/>
      </w:r>
      <w:r>
        <w:rPr>
          <w:noProof/>
        </w:rPr>
        <w:drawing>
          <wp:anchor distT="0" distB="0" distL="114300" distR="114300" simplePos="0" relativeHeight="251661312" behindDoc="1" locked="1" layoutInCell="1" allowOverlap="1" wp14:anchorId="3D484B61" wp14:editId="19809E2F">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rsidR="0086277A" w:rsidRDefault="0086277A" w:rsidP="005F321E">
      <w:pPr>
        <w:sectPr w:rsidR="0086277A" w:rsidSect="007C4073">
          <w:headerReference w:type="first" r:id="rId15"/>
          <w:footerReference w:type="first" r:id="rId16"/>
          <w:pgSz w:w="11906" w:h="16838" w:code="9"/>
          <w:pgMar w:top="3402" w:right="851" w:bottom="1361" w:left="851" w:header="539" w:footer="624" w:gutter="0"/>
          <w:cols w:num="2" w:space="284"/>
          <w:docGrid w:linePitch="360"/>
        </w:sectPr>
      </w:pPr>
    </w:p>
    <w:p w:rsidR="005F321E" w:rsidRPr="005F321E" w:rsidRDefault="005F321E" w:rsidP="005F321E">
      <w:pPr>
        <w:pStyle w:val="Heading1"/>
        <w:framePr w:wrap="around"/>
      </w:pPr>
      <w:r w:rsidRPr="005F321E">
        <w:lastRenderedPageBreak/>
        <w:t xml:space="preserve">Measuring the impact of our work </w:t>
      </w:r>
    </w:p>
    <w:p w:rsidR="005F321E" w:rsidRPr="005F321E" w:rsidRDefault="005F321E" w:rsidP="005F321E">
      <w:pPr>
        <w:pStyle w:val="IntroductoryText"/>
        <w:spacing w:after="120"/>
      </w:pPr>
      <w:r w:rsidRPr="005F321E">
        <w:t xml:space="preserve">Approaching our third full year, we are excited and encouraged by the early results we are seeing from our work. In 2019–20 we look forward to more projects </w:t>
      </w:r>
      <w:proofErr w:type="gramStart"/>
      <w:r w:rsidRPr="005F321E">
        <w:t>maturing, and</w:t>
      </w:r>
      <w:proofErr w:type="gramEnd"/>
      <w:r w:rsidRPr="005F321E">
        <w:t xml:space="preserve"> being able to show you how we enable and support health services to improve health outcomes and experiences for Victorians. Here are just some of the results we’re targeting for the next year. You’ll see we have a focus on the most vulnerable life points – beginning of life and end of life.</w:t>
      </w:r>
    </w:p>
    <w:p w:rsidR="005F321E" w:rsidRPr="005F321E" w:rsidRDefault="005F321E" w:rsidP="005F321E">
      <w:pPr>
        <w:pStyle w:val="IntroductoryText"/>
        <w:sectPr w:rsidR="005F321E" w:rsidRPr="005F321E" w:rsidSect="005F321E">
          <w:pgSz w:w="11906" w:h="16838" w:code="9"/>
          <w:pgMar w:top="3402" w:right="851" w:bottom="1361" w:left="851" w:header="539" w:footer="624" w:gutter="0"/>
          <w:pgNumType w:start="1"/>
          <w:cols w:space="284"/>
          <w:docGrid w:linePitch="360"/>
        </w:sectPr>
      </w:pPr>
    </w:p>
    <w:p w:rsidR="005F321E" w:rsidRPr="005F321E" w:rsidRDefault="005F321E" w:rsidP="005F321E">
      <w:pPr>
        <w:pStyle w:val="Heading4"/>
      </w:pPr>
      <w:r w:rsidRPr="005F321E">
        <w:t>Women and babies</w:t>
      </w:r>
    </w:p>
    <w:p w:rsidR="005F321E" w:rsidRDefault="005F321E" w:rsidP="005F321E">
      <w:pPr>
        <w:pStyle w:val="Normalfollowingheading"/>
      </w:pPr>
      <w:r>
        <w:t xml:space="preserve">We have partnered with Victorian maternity services to deliver incredible benefits for women and families. The </w:t>
      </w:r>
      <w:r w:rsidRPr="00953C25">
        <w:rPr>
          <w:rFonts w:ascii="VIC Medium" w:hAnsi="VIC Medium"/>
        </w:rPr>
        <w:t>Safer baby collaborative</w:t>
      </w:r>
      <w:r>
        <w:t xml:space="preserve"> will result in fewer preventable stillbirths. And the </w:t>
      </w:r>
      <w:r w:rsidRPr="00953C25">
        <w:rPr>
          <w:rFonts w:ascii="VIC Medium" w:hAnsi="VIC Medium"/>
        </w:rPr>
        <w:t>Better births for women</w:t>
      </w:r>
      <w:r>
        <w:t xml:space="preserve"> </w:t>
      </w:r>
      <w:r w:rsidRPr="00953C25">
        <w:rPr>
          <w:rFonts w:ascii="VIC Medium" w:hAnsi="VIC Medium"/>
        </w:rPr>
        <w:t>collaborative</w:t>
      </w:r>
      <w:r>
        <w:t xml:space="preserve"> will prevent long-term health complications for women by </w:t>
      </w:r>
      <w:r w:rsidRPr="005F321E">
        <w:t>making severe tearing during childbirth less common. Intrinsic to this work is our commitment to supporting healthy outcomes for Aboriginal mothers and babies.</w:t>
      </w:r>
    </w:p>
    <w:p w:rsidR="005F321E" w:rsidRPr="00C96BF4" w:rsidRDefault="005F321E" w:rsidP="005F321E">
      <w:pPr>
        <w:spacing w:after="0"/>
      </w:pPr>
      <w:r>
        <w:rPr>
          <w:noProof/>
        </w:rPr>
        <mc:AlternateContent>
          <mc:Choice Requires="wps">
            <w:drawing>
              <wp:inline distT="0" distB="0" distL="0" distR="0" wp14:anchorId="071F0E0C" wp14:editId="4D6A9BD4">
                <wp:extent cx="3149600" cy="1718310"/>
                <wp:effectExtent l="0" t="0" r="12700"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718310"/>
                        </a:xfrm>
                        <a:prstGeom prst="rect">
                          <a:avLst/>
                        </a:prstGeom>
                        <a:solidFill>
                          <a:schemeClr val="bg2"/>
                        </a:solidFill>
                        <a:ln w="6350">
                          <a:solidFill>
                            <a:schemeClr val="bg2"/>
                          </a:solidFill>
                          <a:miter lim="800000"/>
                          <a:headEnd/>
                          <a:tailEnd/>
                        </a:ln>
                      </wps:spPr>
                      <wps:txbx>
                        <w:txbxContent>
                          <w:p w:rsidR="005F321E" w:rsidRDefault="005F321E" w:rsidP="005F321E">
                            <w:pPr>
                              <w:pStyle w:val="PulloutText"/>
                            </w:pPr>
                            <w:r w:rsidRPr="00F40C51">
                              <w:rPr>
                                <w:b/>
                                <w:sz w:val="24"/>
                              </w:rPr>
                              <w:t xml:space="preserve">↓ </w:t>
                            </w:r>
                            <w:r>
                              <w:rPr>
                                <w:b/>
                                <w:sz w:val="24"/>
                              </w:rPr>
                              <w:t>2</w:t>
                            </w:r>
                            <w:r w:rsidRPr="00F40C51">
                              <w:rPr>
                                <w:b/>
                                <w:sz w:val="24"/>
                              </w:rPr>
                              <w:t>0%</w:t>
                            </w:r>
                            <w:r w:rsidRPr="00F40C51">
                              <w:rPr>
                                <w:sz w:val="24"/>
                              </w:rPr>
                              <w:t xml:space="preserve"> </w:t>
                            </w:r>
                            <w:r>
                              <w:t xml:space="preserve">stillbirths </w:t>
                            </w:r>
                          </w:p>
                          <w:p w:rsidR="005F321E" w:rsidRDefault="005F321E" w:rsidP="005F321E">
                            <w:pPr>
                              <w:pStyle w:val="PulloutText"/>
                            </w:pPr>
                            <w:r w:rsidRPr="00F40C51">
                              <w:rPr>
                                <w:b/>
                                <w:sz w:val="24"/>
                              </w:rPr>
                              <w:t>↓ 20%</w:t>
                            </w:r>
                            <w:r w:rsidRPr="00F40C51">
                              <w:rPr>
                                <w:sz w:val="24"/>
                              </w:rPr>
                              <w:t xml:space="preserve"> </w:t>
                            </w:r>
                            <w:r>
                              <w:t>severe perineal tears*</w:t>
                            </w:r>
                          </w:p>
                        </w:txbxContent>
                      </wps:txbx>
                      <wps:bodyPr rot="0" vert="horz" wrap="square" lIns="180000" tIns="72000" rIns="144000" bIns="36000" anchor="t" anchorCtr="0">
                        <a:spAutoFit/>
                      </wps:bodyPr>
                    </wps:wsp>
                  </a:graphicData>
                </a:graphic>
              </wp:inline>
            </w:drawing>
          </mc:Choice>
          <mc:Fallback>
            <w:pict>
              <v:shapetype w14:anchorId="071F0E0C" id="_x0000_t202" coordsize="21600,21600" o:spt="202" path="m,l,21600r21600,l21600,xe">
                <v:stroke joinstyle="miter"/>
                <v:path gradientshapeok="t" o:connecttype="rect"/>
              </v:shapetype>
              <v:shape id="Text Box 6" o:spid="_x0000_s1026" type="#_x0000_t202" style="width:248pt;height:1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" fillcolor="#edf5f7 [3214]" strokecolor="#edf5f7 [3214]" strokeweight=".5pt">
                <v:textbox style="mso-fit-shape-to-text:t" inset="5mm,2mm,4mm,1mm">
                  <w:txbxContent>
                    <w:p w:rsidR="005F321E" w:rsidRDefault="005F321E" w:rsidP="005F321E">
                      <w:pPr>
                        <w:pStyle w:val="PulloutText"/>
                      </w:pPr>
                      <w:r w:rsidRPr="00F40C51">
                        <w:rPr>
                          <w:b/>
                          <w:sz w:val="24"/>
                        </w:rPr>
                        <w:t xml:space="preserve">↓ </w:t>
                      </w:r>
                      <w:r>
                        <w:rPr>
                          <w:b/>
                          <w:sz w:val="24"/>
                        </w:rPr>
                        <w:t>2</w:t>
                      </w:r>
                      <w:r w:rsidRPr="00F40C51">
                        <w:rPr>
                          <w:b/>
                          <w:sz w:val="24"/>
                        </w:rPr>
                        <w:t>0%</w:t>
                      </w:r>
                      <w:r w:rsidRPr="00F40C51">
                        <w:rPr>
                          <w:sz w:val="24"/>
                        </w:rPr>
                        <w:t xml:space="preserve"> </w:t>
                      </w:r>
                      <w:r>
                        <w:t xml:space="preserve">stillbirths </w:t>
                      </w:r>
                    </w:p>
                    <w:p w:rsidR="005F321E" w:rsidRDefault="005F321E" w:rsidP="005F321E">
                      <w:pPr>
                        <w:pStyle w:val="PulloutText"/>
                      </w:pPr>
                      <w:r w:rsidRPr="00F40C51">
                        <w:rPr>
                          <w:b/>
                          <w:sz w:val="24"/>
                        </w:rPr>
                        <w:t>↓ 20%</w:t>
                      </w:r>
                      <w:r w:rsidRPr="00F40C51">
                        <w:rPr>
                          <w:sz w:val="24"/>
                        </w:rPr>
                        <w:t xml:space="preserve"> </w:t>
                      </w:r>
                      <w:r>
                        <w:t>severe perineal tears*</w:t>
                      </w:r>
                    </w:p>
                  </w:txbxContent>
                </v:textbox>
                <w10:anchorlock/>
              </v:shape>
            </w:pict>
          </mc:Fallback>
        </mc:AlternateContent>
      </w:r>
    </w:p>
    <w:p w:rsidR="005F321E" w:rsidRDefault="005F321E" w:rsidP="005F321E">
      <w:pPr>
        <w:pStyle w:val="Heading4"/>
        <w:spacing w:before="120"/>
      </w:pPr>
      <w:r>
        <w:t>C</w:t>
      </w:r>
      <w:r w:rsidRPr="00DC7ADA">
        <w:t>hildren</w:t>
      </w:r>
    </w:p>
    <w:p w:rsidR="005F321E" w:rsidRPr="00871B22" w:rsidRDefault="005F321E" w:rsidP="005F321E">
      <w:pPr>
        <w:pStyle w:val="Normalfollowingheading"/>
        <w:spacing w:line="220" w:lineRule="atLeast"/>
      </w:pPr>
      <w:r>
        <w:t>We will drive down unnecessary procedures and prescriptions for children – some of which unintentionally cause harm. We are also supporting new performance measures to monitor how regularly our hospitals perform potentially unnecessary tonsillectomies and adenoidectomies in children.</w:t>
      </w:r>
    </w:p>
    <w:p w:rsidR="005F321E" w:rsidRDefault="005F321E" w:rsidP="005F321E">
      <w:pPr>
        <w:rPr>
          <w:highlight w:val="yellow"/>
        </w:rPr>
      </w:pPr>
      <w:r>
        <w:rPr>
          <w:noProof/>
        </w:rPr>
        <mc:AlternateContent>
          <mc:Choice Requires="wps">
            <w:drawing>
              <wp:inline distT="0" distB="0" distL="0" distR="0" wp14:anchorId="0DE8FA12" wp14:editId="3DCE4727">
                <wp:extent cx="3149600" cy="1791970"/>
                <wp:effectExtent l="0" t="0" r="1270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791970"/>
                        </a:xfrm>
                        <a:prstGeom prst="rect">
                          <a:avLst/>
                        </a:prstGeom>
                        <a:solidFill>
                          <a:schemeClr val="bg2"/>
                        </a:solidFill>
                        <a:ln w="6350">
                          <a:solidFill>
                            <a:schemeClr val="bg2"/>
                          </a:solidFill>
                          <a:miter lim="800000"/>
                          <a:headEnd/>
                          <a:tailEnd/>
                        </a:ln>
                      </wps:spPr>
                      <wps:txbx>
                        <w:txbxContent>
                          <w:p w:rsidR="005F321E" w:rsidRDefault="005F321E" w:rsidP="005F321E">
                            <w:pPr>
                              <w:pStyle w:val="PulloutText"/>
                            </w:pPr>
                            <w:r w:rsidRPr="00F40C51">
                              <w:rPr>
                                <w:b/>
                                <w:sz w:val="24"/>
                              </w:rPr>
                              <w:t>↓ 1</w:t>
                            </w:r>
                            <w:r>
                              <w:rPr>
                                <w:b/>
                                <w:sz w:val="24"/>
                              </w:rPr>
                              <w:t>0</w:t>
                            </w:r>
                            <w:r w:rsidRPr="00F40C51">
                              <w:rPr>
                                <w:b/>
                                <w:sz w:val="24"/>
                              </w:rPr>
                              <w:t>%</w:t>
                            </w:r>
                            <w:r>
                              <w:t xml:space="preserve"> paediatric adenotonsillectomies*</w:t>
                            </w:r>
                          </w:p>
                          <w:p w:rsidR="005F321E" w:rsidRDefault="005F321E" w:rsidP="005F321E">
                            <w:pPr>
                              <w:pStyle w:val="PulloutText"/>
                            </w:pPr>
                            <w:r w:rsidRPr="00F40C51">
                              <w:rPr>
                                <w:b/>
                                <w:sz w:val="24"/>
                              </w:rPr>
                              <w:t>↓ 20%</w:t>
                            </w:r>
                            <w:r>
                              <w:t xml:space="preserve"> prescription of reflux medication to children*</w:t>
                            </w:r>
                          </w:p>
                        </w:txbxContent>
                      </wps:txbx>
                      <wps:bodyPr rot="0" vert="horz" wrap="square" lIns="180000" tIns="72000" rIns="144000" bIns="36000" anchor="t" anchorCtr="0">
                        <a:spAutoFit/>
                      </wps:bodyPr>
                    </wps:wsp>
                  </a:graphicData>
                </a:graphic>
              </wp:inline>
            </w:drawing>
          </mc:Choice>
          <mc:Fallback>
            <w:pict>
              <v:shape w14:anchorId="0DE8FA12" id="Text Box 15" o:spid="_x0000_s1027" type="#_x0000_t202" style="width:248pt;height:14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" fillcolor="#edf5f7 [3214]" strokecolor="#edf5f7 [3214]" strokeweight=".5pt">
                <v:textbox style="mso-fit-shape-to-text:t" inset="5mm,2mm,4mm,1mm">
                  <w:txbxContent>
                    <w:p w:rsidR="005F321E" w:rsidRDefault="005F321E" w:rsidP="005F321E">
                      <w:pPr>
                        <w:pStyle w:val="PulloutText"/>
                      </w:pPr>
                      <w:r w:rsidRPr="00F40C51">
                        <w:rPr>
                          <w:b/>
                          <w:sz w:val="24"/>
                        </w:rPr>
                        <w:t>↓ 1</w:t>
                      </w:r>
                      <w:r>
                        <w:rPr>
                          <w:b/>
                          <w:sz w:val="24"/>
                        </w:rPr>
                        <w:t>0</w:t>
                      </w:r>
                      <w:r w:rsidRPr="00F40C51">
                        <w:rPr>
                          <w:b/>
                          <w:sz w:val="24"/>
                        </w:rPr>
                        <w:t>%</w:t>
                      </w:r>
                      <w:r>
                        <w:t xml:space="preserve"> paediatric adenotonsillectomies*</w:t>
                      </w:r>
                    </w:p>
                    <w:p w:rsidR="005F321E" w:rsidRDefault="005F321E" w:rsidP="005F321E">
                      <w:pPr>
                        <w:pStyle w:val="PulloutText"/>
                      </w:pPr>
                      <w:r w:rsidRPr="00F40C51">
                        <w:rPr>
                          <w:b/>
                          <w:sz w:val="24"/>
                        </w:rPr>
                        <w:t>↓ 20%</w:t>
                      </w:r>
                      <w:r>
                        <w:t xml:space="preserve"> prescription of reflux medication to children*</w:t>
                      </w:r>
                    </w:p>
                  </w:txbxContent>
                </v:textbox>
                <w10:anchorlock/>
              </v:shape>
            </w:pict>
          </mc:Fallback>
        </mc:AlternateContent>
      </w:r>
    </w:p>
    <w:p w:rsidR="005F321E" w:rsidRPr="00F40C51" w:rsidRDefault="005F321E" w:rsidP="005F321E">
      <w:pPr>
        <w:pStyle w:val="Heading4"/>
        <w:spacing w:before="120"/>
      </w:pPr>
      <w:r>
        <w:t>Regional Victorians</w:t>
      </w:r>
    </w:p>
    <w:p w:rsidR="005F321E" w:rsidRDefault="005F321E" w:rsidP="005F321E">
      <w:pPr>
        <w:pStyle w:val="Normalfollowingheading"/>
      </w:pPr>
      <w:r>
        <w:t>We will help Victorians access high-quality and potentially life-saving treatment, no matter where they live. We are expanding telehealth ICU to three more services, enabling the right care close to home and reducing the need for patients to travel to Melbourne.</w:t>
      </w:r>
    </w:p>
    <w:p w:rsidR="005F321E" w:rsidRPr="00241413" w:rsidRDefault="005F321E" w:rsidP="005F321E">
      <w:pPr>
        <w:pStyle w:val="Heading4"/>
      </w:pPr>
      <w:r>
        <w:rPr>
          <w:noProof/>
        </w:rPr>
        <mc:AlternateContent>
          <mc:Choice Requires="wps">
            <w:drawing>
              <wp:anchor distT="0" distB="0" distL="114300" distR="114300" simplePos="0" relativeHeight="251665408" behindDoc="0" locked="0" layoutInCell="1" allowOverlap="1" wp14:anchorId="2D8C6901" wp14:editId="7EA509ED">
                <wp:simplePos x="0" y="0"/>
                <wp:positionH relativeFrom="column">
                  <wp:posOffset>-83185</wp:posOffset>
                </wp:positionH>
                <wp:positionV relativeFrom="paragraph">
                  <wp:posOffset>188758</wp:posOffset>
                </wp:positionV>
                <wp:extent cx="3107055" cy="3333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107055" cy="333375"/>
                        </a:xfrm>
                        <a:prstGeom prst="rect">
                          <a:avLst/>
                        </a:prstGeom>
                        <a:solidFill>
                          <a:schemeClr val="lt1"/>
                        </a:solidFill>
                        <a:ln w="6350">
                          <a:noFill/>
                        </a:ln>
                      </wps:spPr>
                      <wps:txbx>
                        <w:txbxContent>
                          <w:p w:rsidR="005F321E" w:rsidRPr="00795272" w:rsidRDefault="005F321E" w:rsidP="005F321E">
                            <w:pPr>
                              <w:rPr>
                                <w:sz w:val="18"/>
                              </w:rPr>
                            </w:pPr>
                            <w:r w:rsidRPr="00795272">
                              <w:rPr>
                                <w:sz w:val="18"/>
                              </w:rPr>
                              <w:t>* in participating services</w:t>
                            </w:r>
                          </w:p>
                          <w:p w:rsidR="005F321E" w:rsidRPr="00132070" w:rsidRDefault="005F321E" w:rsidP="005F321E">
                            <w:r w:rsidRPr="00090A02">
                              <w:rPr>
                                <w:b/>
                              </w:rPr>
                              <w:t>ICU</w:t>
                            </w:r>
                            <w:r>
                              <w:t xml:space="preserve"> Intensive care unit</w:t>
                            </w:r>
                          </w:p>
                          <w:p w:rsidR="005F321E" w:rsidRDefault="005F321E" w:rsidP="005F32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C6901" id="Text Box 7" o:spid="_x0000_s1028" type="#_x0000_t202" style="position:absolute;margin-left:-6.55pt;margin-top:14.85pt;width:244.6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" fillcolor="white [3201]" stroked="f" strokeweight=".5pt">
                <v:textbox>
                  <w:txbxContent>
                    <w:p w:rsidR="005F321E" w:rsidRPr="00795272" w:rsidRDefault="005F321E" w:rsidP="005F321E">
                      <w:pPr>
                        <w:rPr>
                          <w:sz w:val="18"/>
                        </w:rPr>
                      </w:pPr>
                      <w:r w:rsidRPr="00795272">
                        <w:rPr>
                          <w:sz w:val="18"/>
                        </w:rPr>
                        <w:t>* in participating services</w:t>
                      </w:r>
                    </w:p>
                    <w:p w:rsidR="005F321E" w:rsidRPr="00132070" w:rsidRDefault="005F321E" w:rsidP="005F321E">
                      <w:r w:rsidRPr="00090A02">
                        <w:rPr>
                          <w:b/>
                        </w:rPr>
                        <w:t>ICU</w:t>
                      </w:r>
                      <w:r>
                        <w:t xml:space="preserve"> Intensive care unit</w:t>
                      </w:r>
                    </w:p>
                    <w:p w:rsidR="005F321E" w:rsidRDefault="005F321E" w:rsidP="005F321E"/>
                  </w:txbxContent>
                </v:textbox>
              </v:shape>
            </w:pict>
          </mc:Fallback>
        </mc:AlternateContent>
      </w:r>
      <w:r>
        <w:br w:type="column"/>
      </w:r>
      <w:r w:rsidRPr="00241413">
        <w:t>Older people</w:t>
      </w:r>
    </w:p>
    <w:p w:rsidR="005F321E" w:rsidRPr="009A5462" w:rsidRDefault="005F321E" w:rsidP="005F321E">
      <w:pPr>
        <w:pStyle w:val="Normalfollowingheading"/>
      </w:pPr>
      <w:r>
        <w:t xml:space="preserve">We will improve early recognition and treatment of common conditions and presentations in older people. As a </w:t>
      </w:r>
      <w:proofErr w:type="gramStart"/>
      <w:r>
        <w:t>result</w:t>
      </w:r>
      <w:proofErr w:type="gramEnd"/>
      <w:r>
        <w:t xml:space="preserve"> we will see fewer patients fall in our hospitals and more patients head home sooner because of our </w:t>
      </w:r>
      <w:r w:rsidRPr="00B51730">
        <w:rPr>
          <w:rFonts w:ascii="VIC Medium" w:hAnsi="VIC Medium"/>
        </w:rPr>
        <w:t>Delirium collaborative</w:t>
      </w:r>
      <w:r>
        <w:t xml:space="preserve">, the first under our partnership with the Institute for Healthcare Improvement. We will hasten recovery by keeping older patients active in </w:t>
      </w:r>
      <w:proofErr w:type="gramStart"/>
      <w:r>
        <w:t>hospital, and</w:t>
      </w:r>
      <w:proofErr w:type="gramEnd"/>
      <w:r>
        <w:t xml:space="preserve"> ensure </w:t>
      </w:r>
      <w:r w:rsidRPr="002C24D1">
        <w:rPr>
          <w:szCs w:val="18"/>
        </w:rPr>
        <w:t xml:space="preserve">better access to geriatrician assessment </w:t>
      </w:r>
      <w:r>
        <w:t xml:space="preserve">by expanding the successful </w:t>
      </w:r>
      <w:r w:rsidRPr="009A5462">
        <w:rPr>
          <w:rFonts w:ascii="VIC Medium" w:hAnsi="VIC Medium"/>
        </w:rPr>
        <w:t>Geri-Connect</w:t>
      </w:r>
      <w:r w:rsidRPr="009A5462">
        <w:t xml:space="preserve"> program.</w:t>
      </w:r>
    </w:p>
    <w:p w:rsidR="005F321E" w:rsidRPr="005F321E" w:rsidRDefault="005F321E" w:rsidP="005F321E">
      <w:r w:rsidRPr="005F321E">
        <w:t>With our work now extending to public residential aged care we will also consult the sector on its quality and safety priorities to inform future work.</w:t>
      </w:r>
    </w:p>
    <w:p w:rsidR="005F321E" w:rsidRDefault="005F321E" w:rsidP="005F321E">
      <w:r>
        <w:rPr>
          <w:noProof/>
        </w:rPr>
        <mc:AlternateContent>
          <mc:Choice Requires="wps">
            <w:drawing>
              <wp:inline distT="0" distB="0" distL="0" distR="0" wp14:anchorId="1C7ABCA4" wp14:editId="2BA396A7">
                <wp:extent cx="3149600" cy="1327868"/>
                <wp:effectExtent l="0" t="0" r="12700" b="247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327868"/>
                        </a:xfrm>
                        <a:prstGeom prst="rect">
                          <a:avLst/>
                        </a:prstGeom>
                        <a:solidFill>
                          <a:schemeClr val="bg2"/>
                        </a:solidFill>
                        <a:ln w="6350">
                          <a:solidFill>
                            <a:schemeClr val="bg2"/>
                          </a:solidFill>
                          <a:miter lim="800000"/>
                          <a:headEnd/>
                          <a:tailEnd/>
                        </a:ln>
                      </wps:spPr>
                      <wps:txbx>
                        <w:txbxContent>
                          <w:p w:rsidR="005F321E" w:rsidRPr="00B51730" w:rsidRDefault="005F321E" w:rsidP="005F321E">
                            <w:pPr>
                              <w:pStyle w:val="PulloutText"/>
                              <w:rPr>
                                <w:b/>
                                <w:sz w:val="24"/>
                              </w:rPr>
                            </w:pPr>
                            <w:r w:rsidRPr="00F40C51">
                              <w:rPr>
                                <w:b/>
                                <w:sz w:val="24"/>
                              </w:rPr>
                              <w:t xml:space="preserve">↓ </w:t>
                            </w:r>
                            <w:r w:rsidRPr="00B51730">
                              <w:rPr>
                                <w:b/>
                                <w:sz w:val="24"/>
                              </w:rPr>
                              <w:t xml:space="preserve">20% </w:t>
                            </w:r>
                            <w:r w:rsidRPr="00B51730">
                              <w:t>falls in patients &gt;65 years*</w:t>
                            </w:r>
                          </w:p>
                          <w:p w:rsidR="005F321E" w:rsidRDefault="005F321E" w:rsidP="005F321E">
                            <w:pPr>
                              <w:pStyle w:val="PulloutText"/>
                            </w:pPr>
                            <w:r w:rsidRPr="00B51730">
                              <w:rPr>
                                <w:b/>
                                <w:sz w:val="24"/>
                              </w:rPr>
                              <w:t>95%</w:t>
                            </w:r>
                            <w:r w:rsidRPr="00B51730">
                              <w:rPr>
                                <w:sz w:val="24"/>
                              </w:rPr>
                              <w:t xml:space="preserve"> </w:t>
                            </w:r>
                            <w:r>
                              <w:t>patients sit out of bed for lunch, get dressed and mobilise each day*</w:t>
                            </w:r>
                          </w:p>
                          <w:p w:rsidR="005F321E" w:rsidRDefault="005F321E" w:rsidP="005F321E">
                            <w:pPr>
                              <w:pStyle w:val="PulloutText"/>
                            </w:pPr>
                            <w:r w:rsidRPr="00B51730">
                              <w:rPr>
                                <w:b/>
                                <w:sz w:val="24"/>
                              </w:rPr>
                              <w:t>95%</w:t>
                            </w:r>
                            <w:r w:rsidRPr="00B51730">
                              <w:rPr>
                                <w:sz w:val="24"/>
                              </w:rPr>
                              <w:t xml:space="preserve"> </w:t>
                            </w:r>
                            <w:r>
                              <w:t>patients with hip fracture receive surgery within 24 hours*</w:t>
                            </w:r>
                          </w:p>
                        </w:txbxContent>
                      </wps:txbx>
                      <wps:bodyPr rot="0" vert="horz" wrap="square" lIns="180000" tIns="72000" rIns="144000" bIns="36000" anchor="t" anchorCtr="0">
                        <a:noAutofit/>
                      </wps:bodyPr>
                    </wps:wsp>
                  </a:graphicData>
                </a:graphic>
              </wp:inline>
            </w:drawing>
          </mc:Choice>
          <mc:Fallback>
            <w:pict>
              <v:shape w14:anchorId="1C7ABCA4" id="Text Box 8" o:spid="_x0000_s1029" type="#_x0000_t202" style="width:248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" fillcolor="#edf5f7 [3214]" strokecolor="#edf5f7 [3214]" strokeweight=".5pt">
                <v:textbox inset="5mm,2mm,4mm,1mm">
                  <w:txbxContent>
                    <w:p w:rsidR="005F321E" w:rsidRPr="00B51730" w:rsidRDefault="005F321E" w:rsidP="005F321E">
                      <w:pPr>
                        <w:pStyle w:val="PulloutText"/>
                        <w:rPr>
                          <w:b/>
                          <w:sz w:val="24"/>
                        </w:rPr>
                      </w:pPr>
                      <w:r w:rsidRPr="00F40C51">
                        <w:rPr>
                          <w:b/>
                          <w:sz w:val="24"/>
                        </w:rPr>
                        <w:t xml:space="preserve">↓ </w:t>
                      </w:r>
                      <w:r w:rsidRPr="00B51730">
                        <w:rPr>
                          <w:b/>
                          <w:sz w:val="24"/>
                        </w:rPr>
                        <w:t xml:space="preserve">20% </w:t>
                      </w:r>
                      <w:r w:rsidRPr="00B51730">
                        <w:t>falls in patients &gt;65 years*</w:t>
                      </w:r>
                    </w:p>
                    <w:p w:rsidR="005F321E" w:rsidRDefault="005F321E" w:rsidP="005F321E">
                      <w:pPr>
                        <w:pStyle w:val="PulloutText"/>
                      </w:pPr>
                      <w:r w:rsidRPr="00B51730">
                        <w:rPr>
                          <w:b/>
                          <w:sz w:val="24"/>
                        </w:rPr>
                        <w:t>95%</w:t>
                      </w:r>
                      <w:r w:rsidRPr="00B51730">
                        <w:rPr>
                          <w:sz w:val="24"/>
                        </w:rPr>
                        <w:t xml:space="preserve"> </w:t>
                      </w:r>
                      <w:r>
                        <w:t>patients sit out of bed for lunch, get dressed and mobilise each day*</w:t>
                      </w:r>
                    </w:p>
                    <w:p w:rsidR="005F321E" w:rsidRDefault="005F321E" w:rsidP="005F321E">
                      <w:pPr>
                        <w:pStyle w:val="PulloutText"/>
                      </w:pPr>
                      <w:r w:rsidRPr="00B51730">
                        <w:rPr>
                          <w:b/>
                          <w:sz w:val="24"/>
                        </w:rPr>
                        <w:t>95%</w:t>
                      </w:r>
                      <w:r w:rsidRPr="00B51730">
                        <w:rPr>
                          <w:sz w:val="24"/>
                        </w:rPr>
                        <w:t xml:space="preserve"> </w:t>
                      </w:r>
                      <w:r>
                        <w:t>patients with hip fracture receive surgery within 24 hours*</w:t>
                      </w:r>
                    </w:p>
                  </w:txbxContent>
                </v:textbox>
                <w10:anchorlock/>
              </v:shape>
            </w:pict>
          </mc:Fallback>
        </mc:AlternateContent>
      </w:r>
    </w:p>
    <w:p w:rsidR="005F321E" w:rsidRDefault="005F321E" w:rsidP="005F321E">
      <w:pPr>
        <w:pStyle w:val="Heading4"/>
      </w:pPr>
      <w:r>
        <w:t>End of life care</w:t>
      </w:r>
    </w:p>
    <w:p w:rsidR="005F321E" w:rsidRDefault="005F321E" w:rsidP="005F321E">
      <w:pPr>
        <w:pStyle w:val="Normalfollowingheading"/>
      </w:pPr>
      <w:r>
        <w:t xml:space="preserve">We have </w:t>
      </w:r>
      <w:proofErr w:type="gramStart"/>
      <w:r>
        <w:t>a number of</w:t>
      </w:r>
      <w:proofErr w:type="gramEnd"/>
      <w:r>
        <w:t xml:space="preserve"> projects to better identify and care for Victorians who have a life-limiting illness or are dying. We will also release new guidance for palliative sedation therapy and anticipatory medicines.</w:t>
      </w:r>
    </w:p>
    <w:p w:rsidR="005F321E" w:rsidRDefault="005F321E" w:rsidP="005F321E">
      <w:r>
        <w:rPr>
          <w:noProof/>
        </w:rPr>
        <mc:AlternateContent>
          <mc:Choice Requires="wps">
            <w:drawing>
              <wp:inline distT="0" distB="0" distL="0" distR="0" wp14:anchorId="3DD74B8D" wp14:editId="077A339F">
                <wp:extent cx="3149600" cy="1041621"/>
                <wp:effectExtent l="0" t="0" r="12700" b="254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041621"/>
                        </a:xfrm>
                        <a:prstGeom prst="rect">
                          <a:avLst/>
                        </a:prstGeom>
                        <a:solidFill>
                          <a:schemeClr val="bg2"/>
                        </a:solidFill>
                        <a:ln w="6350">
                          <a:solidFill>
                            <a:schemeClr val="bg2"/>
                          </a:solidFill>
                          <a:miter lim="800000"/>
                          <a:headEnd/>
                          <a:tailEnd/>
                        </a:ln>
                      </wps:spPr>
                      <wps:txbx>
                        <w:txbxContent>
                          <w:p w:rsidR="005F321E" w:rsidRDefault="005F321E" w:rsidP="005F321E">
                            <w:pPr>
                              <w:pStyle w:val="PulloutText"/>
                            </w:pPr>
                            <w:r>
                              <w:rPr>
                                <w:b/>
                                <w:sz w:val="24"/>
                              </w:rPr>
                              <w:t xml:space="preserve">↑ </w:t>
                            </w:r>
                            <w:r w:rsidRPr="00F40C51">
                              <w:rPr>
                                <w:b/>
                                <w:sz w:val="24"/>
                              </w:rPr>
                              <w:t>20%</w:t>
                            </w:r>
                            <w:r w:rsidRPr="00F40C51">
                              <w:rPr>
                                <w:sz w:val="24"/>
                              </w:rPr>
                              <w:t xml:space="preserve"> </w:t>
                            </w:r>
                            <w:r>
                              <w:t>patients in specialist clinics screened for life-limiting illness*</w:t>
                            </w:r>
                          </w:p>
                          <w:p w:rsidR="005F321E" w:rsidRDefault="005F321E" w:rsidP="005F321E">
                            <w:pPr>
                              <w:pStyle w:val="PulloutText"/>
                            </w:pPr>
                            <w:r w:rsidRPr="00F40C51">
                              <w:rPr>
                                <w:b/>
                                <w:sz w:val="24"/>
                              </w:rPr>
                              <w:t>↑ 20%</w:t>
                            </w:r>
                            <w:r w:rsidRPr="00F40C51">
                              <w:rPr>
                                <w:sz w:val="24"/>
                              </w:rPr>
                              <w:t xml:space="preserve"> </w:t>
                            </w:r>
                            <w:r>
                              <w:t>acute care patients cared for using agreed principles of end of life care*</w:t>
                            </w:r>
                          </w:p>
                        </w:txbxContent>
                      </wps:txbx>
                      <wps:bodyPr rot="0" vert="horz" wrap="square" lIns="180000" tIns="72000" rIns="144000" bIns="36000" anchor="t" anchorCtr="0">
                        <a:noAutofit/>
                      </wps:bodyPr>
                    </wps:wsp>
                  </a:graphicData>
                </a:graphic>
              </wp:inline>
            </w:drawing>
          </mc:Choice>
          <mc:Fallback>
            <w:pict>
              <v:shape w14:anchorId="3DD74B8D" id="Text Box 11" o:spid="_x0000_s1030" type="#_x0000_t202" style="width:248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" fillcolor="#edf5f7 [3214]" strokecolor="#edf5f7 [3214]" strokeweight=".5pt">
                <v:textbox inset="5mm,2mm,4mm,1mm">
                  <w:txbxContent>
                    <w:p w:rsidR="005F321E" w:rsidRDefault="005F321E" w:rsidP="005F321E">
                      <w:pPr>
                        <w:pStyle w:val="PulloutText"/>
                      </w:pPr>
                      <w:r>
                        <w:rPr>
                          <w:b/>
                          <w:sz w:val="24"/>
                        </w:rPr>
                        <w:t xml:space="preserve">↑ </w:t>
                      </w:r>
                      <w:r w:rsidRPr="00F40C51">
                        <w:rPr>
                          <w:b/>
                          <w:sz w:val="24"/>
                        </w:rPr>
                        <w:t>20%</w:t>
                      </w:r>
                      <w:r w:rsidRPr="00F40C51">
                        <w:rPr>
                          <w:sz w:val="24"/>
                        </w:rPr>
                        <w:t xml:space="preserve"> </w:t>
                      </w:r>
                      <w:r>
                        <w:t>patients in specialist clinics screened for life-limiting illness*</w:t>
                      </w:r>
                    </w:p>
                    <w:p w:rsidR="005F321E" w:rsidRDefault="005F321E" w:rsidP="005F321E">
                      <w:pPr>
                        <w:pStyle w:val="PulloutText"/>
                      </w:pPr>
                      <w:r w:rsidRPr="00F40C51">
                        <w:rPr>
                          <w:b/>
                          <w:sz w:val="24"/>
                        </w:rPr>
                        <w:t>↑ 20%</w:t>
                      </w:r>
                      <w:r w:rsidRPr="00F40C51">
                        <w:rPr>
                          <w:sz w:val="24"/>
                        </w:rPr>
                        <w:t xml:space="preserve"> </w:t>
                      </w:r>
                      <w:r>
                        <w:t>acute care patients cared for using agreed principles of end of life care*</w:t>
                      </w:r>
                    </w:p>
                  </w:txbxContent>
                </v:textbox>
                <w10:anchorlock/>
              </v:shape>
            </w:pict>
          </mc:Fallback>
        </mc:AlternateContent>
      </w:r>
    </w:p>
    <w:p w:rsidR="005F321E" w:rsidRPr="005F321E" w:rsidRDefault="005F321E" w:rsidP="005F321E">
      <w:pPr>
        <w:pStyle w:val="Heading3"/>
      </w:pPr>
      <w:r w:rsidRPr="005F321E">
        <w:lastRenderedPageBreak/>
        <w:t>Becoming a national leader…</w:t>
      </w:r>
    </w:p>
    <w:p w:rsidR="005F321E" w:rsidRPr="005F321E" w:rsidRDefault="005F321E" w:rsidP="005F321E">
      <w:pPr>
        <w:pStyle w:val="Heading4"/>
        <w:spacing w:before="240"/>
      </w:pPr>
      <w:r w:rsidRPr="005F321E">
        <w:t>In consumer engagement</w:t>
      </w:r>
    </w:p>
    <w:p w:rsidR="005F321E" w:rsidRPr="005F321E" w:rsidRDefault="005F321E" w:rsidP="005F321E">
      <w:pPr>
        <w:pStyle w:val="Normalfollowingheading"/>
      </w:pPr>
      <w:r w:rsidRPr="005F321E">
        <w:t xml:space="preserve">We are helping health services increase consumer participation by implementing our new </w:t>
      </w:r>
      <w:r w:rsidRPr="005F321E">
        <w:rPr>
          <w:i/>
        </w:rPr>
        <w:t>Partnering in healthcare framework</w:t>
      </w:r>
      <w:r w:rsidRPr="005F321E">
        <w:t xml:space="preserve">. Many of our projects respond to this framework by promoting diverse consumer representation, good communication by health practitioners, and shared decision making. Long called for by patients, we will also be trialling </w:t>
      </w:r>
      <w:r w:rsidRPr="005F321E">
        <w:rPr>
          <w:rFonts w:ascii="VIC Medium" w:hAnsi="VIC Medium"/>
        </w:rPr>
        <w:t>HEAR Me</w:t>
      </w:r>
      <w:r w:rsidRPr="005F321E">
        <w:t>, a 24/7 phone line for patients or carers to escalate concerns about care.</w:t>
      </w:r>
    </w:p>
    <w:p w:rsidR="005F321E" w:rsidRPr="005F321E" w:rsidRDefault="005F321E" w:rsidP="005F321E">
      <w:pPr>
        <w:pStyle w:val="Heading4"/>
        <w:spacing w:before="240"/>
      </w:pPr>
      <w:r w:rsidRPr="005F321E">
        <w:t>In healthcare innovation and improvement</w:t>
      </w:r>
    </w:p>
    <w:p w:rsidR="005F321E" w:rsidRPr="005F321E" w:rsidRDefault="005F321E" w:rsidP="005F321E">
      <w:pPr>
        <w:pStyle w:val="Normalfollowingheading"/>
      </w:pPr>
      <w:r w:rsidRPr="005F321E">
        <w:t xml:space="preserve">We are sharing successful ideas from individual health </w:t>
      </w:r>
      <w:proofErr w:type="gramStart"/>
      <w:r w:rsidRPr="005F321E">
        <w:t>services, and</w:t>
      </w:r>
      <w:proofErr w:type="gramEnd"/>
      <w:r w:rsidRPr="005F321E">
        <w:t xml:space="preserve"> seeing </w:t>
      </w:r>
      <w:proofErr w:type="spellStart"/>
      <w:r w:rsidRPr="005F321E">
        <w:t>statewide</w:t>
      </w:r>
      <w:proofErr w:type="spellEnd"/>
      <w:r w:rsidRPr="005F321E">
        <w:t xml:space="preserve"> improvement thanks to the unique Better Care Victoria innovation fund. Having funded 37 projects since 2016, we are now scaling seven of the best. And this time next year, we will be able to prove there’s been less harm from medication errors, unnecessary procedures, and more.</w:t>
      </w:r>
    </w:p>
    <w:p w:rsidR="005F321E" w:rsidRPr="005F321E" w:rsidRDefault="005F321E" w:rsidP="005F321E">
      <w:pPr>
        <w:pStyle w:val="Normalfollowingheading"/>
      </w:pPr>
      <w:r w:rsidRPr="005F321E">
        <w:t xml:space="preserve">We will continue to share and embed </w:t>
      </w:r>
      <w:r w:rsidRPr="005F321E">
        <w:rPr>
          <w:rFonts w:ascii="VIC Medium" w:hAnsi="VIC Medium"/>
        </w:rPr>
        <w:t>the model for improvement</w:t>
      </w:r>
      <w:r w:rsidRPr="005F321E">
        <w:t xml:space="preserve"> in our own agency and in health services, ensuring projects have the best chance of sustained success. We are the second state to use the internationally-proven model at scale.</w:t>
      </w:r>
    </w:p>
    <w:p w:rsidR="005F321E" w:rsidRPr="005F321E" w:rsidRDefault="005F321E" w:rsidP="005F321E">
      <w:pPr>
        <w:pStyle w:val="Heading4"/>
      </w:pPr>
      <w:r w:rsidRPr="005F321E">
        <w:t>In transparency around patient harm</w:t>
      </w:r>
    </w:p>
    <w:p w:rsidR="005F321E" w:rsidRPr="005F321E" w:rsidRDefault="005F321E" w:rsidP="005F321E">
      <w:pPr>
        <w:pStyle w:val="Normalfollowingheading"/>
      </w:pPr>
      <w:r w:rsidRPr="005F321E">
        <w:t xml:space="preserve">We continue to be the only state that openly publishes data about the most serious cases of patient harm in our hospitals. We do this to make sure we learn from it and to promote robust reviews and recommendations. In the next year, we will train more people in best-practice </w:t>
      </w:r>
      <w:proofErr w:type="gramStart"/>
      <w:r w:rsidRPr="005F321E">
        <w:t>reviews, and</w:t>
      </w:r>
      <w:proofErr w:type="gramEnd"/>
      <w:r w:rsidRPr="005F321E">
        <w:t xml:space="preserve"> increase the number of consumers and external experts on incident review teams. </w:t>
      </w:r>
    </w:p>
    <w:p w:rsidR="005F321E" w:rsidRPr="005F321E" w:rsidRDefault="005F321E" w:rsidP="005F321E">
      <w:r w:rsidRPr="005F321E">
        <w:t xml:space="preserve">Growing our reputation as a national leader, our inaugural </w:t>
      </w:r>
      <w:r w:rsidRPr="005F321E">
        <w:rPr>
          <w:rFonts w:ascii="VIC Medium" w:hAnsi="VIC Medium"/>
        </w:rPr>
        <w:t>Giant steps</w:t>
      </w:r>
      <w:r w:rsidRPr="005F321E">
        <w:t xml:space="preserve"> conference in November will bring together more than 500 thought leaders, health and consumer representatives.</w:t>
      </w:r>
    </w:p>
    <w:p w:rsidR="005F321E" w:rsidRPr="005F321E" w:rsidRDefault="005F321E" w:rsidP="005F321E">
      <w:pPr>
        <w:pStyle w:val="Heading3"/>
      </w:pPr>
      <w:r w:rsidRPr="005F321E">
        <w:br w:type="column"/>
      </w:r>
      <w:r w:rsidRPr="005F321E">
        <w:t>Guiding future care</w:t>
      </w:r>
    </w:p>
    <w:p w:rsidR="005F321E" w:rsidRPr="005F321E" w:rsidRDefault="005F321E" w:rsidP="005F321E">
      <w:pPr>
        <w:pStyle w:val="Normalfollowingheading"/>
      </w:pPr>
      <w:r w:rsidRPr="005F321E">
        <w:t xml:space="preserve">Our advisory role has already seen us working with health services and the department to ensure quality and safety underpins planning for delivery of procedures such as extracorporeal membrane oxygenation. Our role is expanding so SCV will be at the table as we prepare Victoria to: </w:t>
      </w:r>
    </w:p>
    <w:p w:rsidR="005F321E" w:rsidRPr="005F321E" w:rsidRDefault="005F321E" w:rsidP="005F321E">
      <w:pPr>
        <w:pStyle w:val="Bullet1"/>
      </w:pPr>
      <w:r w:rsidRPr="005F321E">
        <w:t>respond to the increasing complexity and growing burden of chronic disease</w:t>
      </w:r>
    </w:p>
    <w:p w:rsidR="005F321E" w:rsidRPr="005F321E" w:rsidRDefault="005F321E" w:rsidP="005F321E">
      <w:pPr>
        <w:pStyle w:val="Bullet1"/>
      </w:pPr>
      <w:r w:rsidRPr="005F321E">
        <w:t xml:space="preserve">design future models of care </w:t>
      </w:r>
    </w:p>
    <w:p w:rsidR="005F321E" w:rsidRPr="005F321E" w:rsidRDefault="005F321E" w:rsidP="005F321E">
      <w:pPr>
        <w:pStyle w:val="Bullet1"/>
      </w:pPr>
      <w:r w:rsidRPr="005F321E">
        <w:t>support sustainability of health services</w:t>
      </w:r>
    </w:p>
    <w:p w:rsidR="005F321E" w:rsidRPr="005F321E" w:rsidRDefault="005F321E" w:rsidP="005F321E">
      <w:pPr>
        <w:pStyle w:val="Bullet1"/>
      </w:pPr>
      <w:r w:rsidRPr="005F321E">
        <w:t>reduce unexpected variation.</w:t>
      </w:r>
    </w:p>
    <w:p w:rsidR="005F321E" w:rsidRDefault="005F321E" w:rsidP="005F321E">
      <w:pPr>
        <w:pStyle w:val="Heading3"/>
      </w:pPr>
      <w:r>
        <w:t xml:space="preserve">Refreshing our </w:t>
      </w:r>
      <w:proofErr w:type="gramStart"/>
      <w:r>
        <w:t>future plans</w:t>
      </w:r>
      <w:proofErr w:type="gramEnd"/>
    </w:p>
    <w:p w:rsidR="005F321E" w:rsidRDefault="005F321E" w:rsidP="005F321E">
      <w:pPr>
        <w:pStyle w:val="Normalfollowingheading"/>
      </w:pPr>
      <w:r>
        <w:t>This is our final year of planning against our inaugural strategic plan. We look forward to releasing a new strategy by July 2020 that will reflect our changing healthcare environment and better meet consumer needs.</w:t>
      </w:r>
    </w:p>
    <w:p w:rsidR="005F321E" w:rsidRPr="00B51CCF" w:rsidRDefault="005F321E" w:rsidP="005F321E">
      <w:pPr>
        <w:pStyle w:val="Heading3"/>
        <w:rPr>
          <w:b/>
        </w:rPr>
      </w:pPr>
      <w:r>
        <w:t>Thank you</w:t>
      </w:r>
    </w:p>
    <w:p w:rsidR="005F321E" w:rsidRDefault="005F321E" w:rsidP="005F321E">
      <w:pPr>
        <w:pStyle w:val="Normalfollowingheading"/>
      </w:pPr>
      <w:r>
        <w:t>Thank you to those who will support and work with us in the coming year, including:</w:t>
      </w:r>
    </w:p>
    <w:p w:rsidR="005F321E" w:rsidRDefault="005F321E" w:rsidP="005F321E">
      <w:pPr>
        <w:pStyle w:val="Bullet1"/>
      </w:pPr>
      <w:r>
        <w:t>health service leaders and clinicians</w:t>
      </w:r>
    </w:p>
    <w:p w:rsidR="005F321E" w:rsidRDefault="005F321E" w:rsidP="005F321E">
      <w:pPr>
        <w:pStyle w:val="Bullet1"/>
      </w:pPr>
      <w:r>
        <w:t xml:space="preserve">our consumer </w:t>
      </w:r>
      <w:proofErr w:type="gramStart"/>
      <w:r>
        <w:t>network</w:t>
      </w:r>
      <w:proofErr w:type="gramEnd"/>
    </w:p>
    <w:p w:rsidR="005F321E" w:rsidRDefault="005F321E" w:rsidP="005F321E">
      <w:pPr>
        <w:pStyle w:val="Bullet1"/>
      </w:pPr>
      <w:r>
        <w:t>members of our advisory groups, independent boards and councils</w:t>
      </w:r>
    </w:p>
    <w:p w:rsidR="005F321E" w:rsidRDefault="005F321E" w:rsidP="005F321E">
      <w:pPr>
        <w:pStyle w:val="Bullet1"/>
      </w:pPr>
      <w:r>
        <w:t>the Minister for Health</w:t>
      </w:r>
    </w:p>
    <w:p w:rsidR="005F321E" w:rsidRDefault="005F321E" w:rsidP="005F321E">
      <w:pPr>
        <w:pStyle w:val="Bullet1"/>
      </w:pPr>
      <w:r>
        <w:t>our fellow healthcare agencies and the Department of Health and Human Services.</w:t>
      </w:r>
    </w:p>
    <w:p w:rsidR="005F321E" w:rsidRDefault="005F321E" w:rsidP="005F321E">
      <w:pPr>
        <w:spacing w:after="120"/>
      </w:pPr>
      <w:r>
        <w:t>I look forward to sharing our results with you.</w:t>
      </w:r>
    </w:p>
    <w:p w:rsidR="005F321E" w:rsidRPr="00E90E5F" w:rsidRDefault="005F321E" w:rsidP="005F321E">
      <w:r>
        <w:rPr>
          <w:noProof/>
        </w:rPr>
        <w:drawing>
          <wp:inline distT="0" distB="0" distL="0" distR="0" wp14:anchorId="761B149A" wp14:editId="07F260D8">
            <wp:extent cx="2227580" cy="81920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W SIGNATURE.tif"/>
                    <pic:cNvPicPr/>
                  </pic:nvPicPr>
                  <pic:blipFill rotWithShape="1">
                    <a:blip r:embed="rId17" cstate="print">
                      <a:extLst>
                        <a:ext uri="{28A0092B-C50C-407E-A947-70E740481C1C}">
                          <a14:useLocalDpi xmlns:a14="http://schemas.microsoft.com/office/drawing/2010/main" val="0"/>
                        </a:ext>
                      </a:extLst>
                    </a:blip>
                    <a:srcRect l="19308" t="37288" r="20712" b="47122"/>
                    <a:stretch/>
                  </pic:blipFill>
                  <pic:spPr bwMode="auto">
                    <a:xfrm>
                      <a:off x="0" y="0"/>
                      <a:ext cx="2241084" cy="824166"/>
                    </a:xfrm>
                    <a:prstGeom prst="rect">
                      <a:avLst/>
                    </a:prstGeom>
                    <a:ln>
                      <a:noFill/>
                    </a:ln>
                    <a:extLst>
                      <a:ext uri="{53640926-AAD7-44D8-BBD7-CCE9431645EC}">
                        <a14:shadowObscured xmlns:a14="http://schemas.microsoft.com/office/drawing/2010/main"/>
                      </a:ext>
                    </a:extLst>
                  </pic:spPr>
                </pic:pic>
              </a:graphicData>
            </a:graphic>
          </wp:inline>
        </w:drawing>
      </w:r>
    </w:p>
    <w:p w:rsidR="005F321E" w:rsidRPr="00B83644" w:rsidRDefault="005F321E" w:rsidP="005F321E">
      <w:pPr>
        <w:pStyle w:val="Normalfollowingheading"/>
      </w:pPr>
      <w:r w:rsidRPr="005F321E">
        <w:rPr>
          <w:b/>
        </w:rPr>
        <w:t>Professor Euan Wallace AM</w:t>
      </w:r>
      <w:r w:rsidRPr="00B83644">
        <w:br/>
      </w:r>
      <w:r w:rsidRPr="006C0F55">
        <w:t>Chief Executive Officer</w:t>
      </w:r>
    </w:p>
    <w:p w:rsidR="005F321E" w:rsidRPr="005F321E" w:rsidRDefault="005F321E" w:rsidP="005F321E">
      <w:pPr>
        <w:spacing w:before="0" w:after="0" w:line="240" w:lineRule="auto"/>
        <w:rPr>
          <w:sz w:val="2"/>
          <w:szCs w:val="2"/>
        </w:rPr>
      </w:pPr>
    </w:p>
    <w:p w:rsidR="005F321E" w:rsidRPr="005F321E" w:rsidRDefault="005F321E" w:rsidP="005F321E">
      <w:pPr>
        <w:spacing w:before="0" w:after="0" w:line="240" w:lineRule="auto"/>
        <w:rPr>
          <w:sz w:val="2"/>
          <w:szCs w:val="2"/>
        </w:rPr>
        <w:sectPr w:rsidR="005F321E" w:rsidRPr="005F321E" w:rsidSect="005F321E">
          <w:type w:val="continuous"/>
          <w:pgSz w:w="11906" w:h="16838" w:code="9"/>
          <w:pgMar w:top="3402" w:right="851" w:bottom="1361" w:left="851" w:header="539" w:footer="624" w:gutter="0"/>
          <w:cols w:num="2" w:space="284"/>
          <w:docGrid w:linePitch="360"/>
        </w:sectPr>
      </w:pPr>
    </w:p>
    <w:p w:rsidR="005F321E" w:rsidRPr="005F321E" w:rsidRDefault="005F321E" w:rsidP="005F321E">
      <w:pPr>
        <w:spacing w:before="0" w:after="0" w:line="240" w:lineRule="auto"/>
        <w:rPr>
          <w:sz w:val="2"/>
          <w:szCs w:val="2"/>
        </w:rPr>
      </w:pPr>
      <w:r w:rsidRPr="005F321E">
        <w:rPr>
          <w:sz w:val="2"/>
          <w:szCs w:val="2"/>
        </w:rPr>
        <w:br w:type="page"/>
      </w:r>
    </w:p>
    <w:p w:rsidR="005F321E" w:rsidRPr="00B83644" w:rsidRDefault="005F321E" w:rsidP="005F321E">
      <w:pPr>
        <w:pStyle w:val="Heading1"/>
        <w:framePr w:wrap="around"/>
      </w:pPr>
      <w:r w:rsidRPr="00B83644">
        <w:lastRenderedPageBreak/>
        <w:t xml:space="preserve">Who we are and what we </w:t>
      </w:r>
      <w:proofErr w:type="gramStart"/>
      <w:r w:rsidRPr="00B83644">
        <w:t>do</w:t>
      </w:r>
      <w:proofErr w:type="gramEnd"/>
    </w:p>
    <w:p w:rsidR="005F321E" w:rsidRDefault="005F321E" w:rsidP="005F321E">
      <w:pPr>
        <w:pStyle w:val="IntroductoryText"/>
        <w:spacing w:after="120"/>
      </w:pPr>
      <w:r>
        <w:t>Established in January 2017, we are the state’s lead agency for improving quality and safety in Victorian healthcare. We support health services to monitor performance, guide best practice, and help them identify and respond to areas where they can improve.</w:t>
      </w:r>
    </w:p>
    <w:p w:rsidR="005F321E" w:rsidRDefault="005F321E" w:rsidP="005F321E">
      <w:pPr>
        <w:pStyle w:val="Heading3"/>
        <w:sectPr w:rsidR="005F321E" w:rsidSect="005F321E">
          <w:type w:val="continuous"/>
          <w:pgSz w:w="11906" w:h="16838" w:code="9"/>
          <w:pgMar w:top="3402" w:right="851" w:bottom="1361" w:left="851" w:header="539" w:footer="624" w:gutter="0"/>
          <w:cols w:space="284"/>
          <w:docGrid w:linePitch="360"/>
        </w:sectPr>
      </w:pPr>
    </w:p>
    <w:p w:rsidR="005F321E" w:rsidRDefault="005F321E" w:rsidP="005F321E">
      <w:pPr>
        <w:pStyle w:val="Heading3"/>
      </w:pPr>
      <w:r>
        <w:t>Our mission</w:t>
      </w:r>
    </w:p>
    <w:p w:rsidR="005F321E" w:rsidRDefault="005F321E" w:rsidP="005F321E">
      <w:pPr>
        <w:pStyle w:val="Normalfollowingheading"/>
      </w:pPr>
      <w:r>
        <w:t>Outstanding healthcare for all Victorians. Always.</w:t>
      </w:r>
    </w:p>
    <w:p w:rsidR="005F321E" w:rsidRDefault="005F321E" w:rsidP="005F321E">
      <w:pPr>
        <w:pStyle w:val="Heading3"/>
      </w:pPr>
      <w:r>
        <w:t>Our purpose</w:t>
      </w:r>
    </w:p>
    <w:p w:rsidR="005F321E" w:rsidRDefault="005F321E" w:rsidP="005F321E">
      <w:pPr>
        <w:pStyle w:val="Normalfollowingheading"/>
      </w:pPr>
      <w:r>
        <w:t xml:space="preserve">To enable all health services to deliver safe, </w:t>
      </w:r>
      <w:r>
        <w:br/>
        <w:t>high-quality care and experiences for patients, carers and staff.</w:t>
      </w:r>
    </w:p>
    <w:p w:rsidR="005F321E" w:rsidRDefault="005F321E" w:rsidP="005F321E">
      <w:pPr>
        <w:pStyle w:val="Heading3"/>
      </w:pPr>
      <w:r>
        <w:br w:type="column"/>
      </w:r>
      <w:r>
        <w:t>What we do</w:t>
      </w:r>
    </w:p>
    <w:p w:rsidR="005F321E" w:rsidRPr="00296E17" w:rsidRDefault="005F321E" w:rsidP="005F321E">
      <w:pPr>
        <w:pStyle w:val="Bullet1"/>
      </w:pPr>
      <w:r>
        <w:t>Healthcare improvement</w:t>
      </w:r>
    </w:p>
    <w:p w:rsidR="005F321E" w:rsidRPr="00296E17" w:rsidRDefault="005F321E" w:rsidP="005F321E">
      <w:pPr>
        <w:pStyle w:val="Bullet1"/>
      </w:pPr>
      <w:r w:rsidRPr="00296E17">
        <w:t>Consumer participation</w:t>
      </w:r>
    </w:p>
    <w:p w:rsidR="005F321E" w:rsidRPr="00296E17" w:rsidRDefault="005F321E" w:rsidP="005F321E">
      <w:pPr>
        <w:pStyle w:val="Bullet1"/>
      </w:pPr>
      <w:r w:rsidRPr="00296E17">
        <w:t>Leadership and governance</w:t>
      </w:r>
    </w:p>
    <w:p w:rsidR="005F321E" w:rsidRPr="00296E17" w:rsidRDefault="005F321E" w:rsidP="005F321E">
      <w:pPr>
        <w:pStyle w:val="Bullet1"/>
      </w:pPr>
      <w:r w:rsidRPr="00296E17">
        <w:t>Performance monitoring</w:t>
      </w:r>
    </w:p>
    <w:p w:rsidR="005F321E" w:rsidRPr="00296E17" w:rsidRDefault="005F321E" w:rsidP="005F321E">
      <w:pPr>
        <w:pStyle w:val="Bullet1"/>
      </w:pPr>
      <w:r w:rsidRPr="00296E17">
        <w:t>Patient feedback</w:t>
      </w:r>
    </w:p>
    <w:p w:rsidR="005F321E" w:rsidRPr="00296E17" w:rsidRDefault="005F321E" w:rsidP="005F321E">
      <w:pPr>
        <w:pStyle w:val="Bullet1"/>
      </w:pPr>
      <w:r w:rsidRPr="00296E17">
        <w:t>Sentinel event reports</w:t>
      </w:r>
    </w:p>
    <w:p w:rsidR="005F321E" w:rsidRPr="00296E17" w:rsidRDefault="005F321E" w:rsidP="005F321E">
      <w:pPr>
        <w:pStyle w:val="Bullet1"/>
      </w:pPr>
      <w:r w:rsidRPr="00296E17">
        <w:t>System safety reviews</w:t>
      </w:r>
    </w:p>
    <w:p w:rsidR="005F321E" w:rsidRPr="00296E17" w:rsidRDefault="005F321E" w:rsidP="005F321E">
      <w:pPr>
        <w:pStyle w:val="Bullet1"/>
      </w:pPr>
      <w:r w:rsidRPr="00296E17">
        <w:t>Safety alerts and advisories</w:t>
      </w:r>
    </w:p>
    <w:p w:rsidR="005F321E" w:rsidRPr="00296E17" w:rsidRDefault="005F321E" w:rsidP="005F321E">
      <w:pPr>
        <w:pStyle w:val="Bullet1"/>
      </w:pPr>
      <w:r w:rsidRPr="00296E17">
        <w:t>Clinical guidance and support</w:t>
      </w:r>
    </w:p>
    <w:p w:rsidR="005F321E" w:rsidRPr="00296E17" w:rsidRDefault="005F321E" w:rsidP="005F321E">
      <w:pPr>
        <w:pStyle w:val="Bullet1"/>
        <w:spacing w:after="120"/>
      </w:pPr>
      <w:r w:rsidRPr="00296E17">
        <w:t>Innovation partnerships</w:t>
      </w:r>
    </w:p>
    <w:p w:rsidR="005F321E" w:rsidRPr="005F321E" w:rsidRDefault="005F321E" w:rsidP="005F321E">
      <w:pPr>
        <w:spacing w:after="0" w:line="240" w:lineRule="auto"/>
        <w:rPr>
          <w:sz w:val="2"/>
          <w:szCs w:val="2"/>
        </w:rPr>
      </w:pPr>
    </w:p>
    <w:p w:rsidR="005F321E" w:rsidRPr="005F321E" w:rsidRDefault="005F321E" w:rsidP="005F321E">
      <w:pPr>
        <w:sectPr w:rsidR="005F321E" w:rsidRPr="005F321E" w:rsidSect="005F321E">
          <w:type w:val="continuous"/>
          <w:pgSz w:w="11906" w:h="16838" w:code="9"/>
          <w:pgMar w:top="3402" w:right="851" w:bottom="1361" w:left="851" w:header="539" w:footer="624" w:gutter="0"/>
          <w:cols w:num="2" w:space="284"/>
          <w:docGrid w:linePitch="360"/>
        </w:sectPr>
      </w:pPr>
    </w:p>
    <w:p w:rsidR="005F321E" w:rsidRDefault="005F321E" w:rsidP="005F321E">
      <w:r>
        <w:rPr>
          <w:noProof/>
        </w:rPr>
        <mc:AlternateContent>
          <mc:Choice Requires="wps">
            <w:drawing>
              <wp:inline distT="0" distB="0" distL="0" distR="0" wp14:anchorId="7879EC8C" wp14:editId="7874ABE5">
                <wp:extent cx="6458674" cy="1969770"/>
                <wp:effectExtent l="0" t="0" r="18415" b="1143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674" cy="1969770"/>
                        </a:xfrm>
                        <a:prstGeom prst="rect">
                          <a:avLst/>
                        </a:prstGeom>
                        <a:solidFill>
                          <a:schemeClr val="bg2"/>
                        </a:solidFill>
                        <a:ln w="6350">
                          <a:solidFill>
                            <a:schemeClr val="bg2"/>
                          </a:solidFill>
                          <a:miter lim="800000"/>
                          <a:headEnd/>
                          <a:tailEnd/>
                        </a:ln>
                      </wps:spPr>
                      <wps:txbx>
                        <w:txbxContent>
                          <w:p w:rsidR="005F321E" w:rsidRDefault="005F321E" w:rsidP="005F321E">
                            <w:pPr>
                              <w:pStyle w:val="PulloutHeading"/>
                            </w:pPr>
                            <w:r>
                              <w:t>Supporting departmental priorities</w:t>
                            </w:r>
                          </w:p>
                          <w:p w:rsidR="005F321E" w:rsidRDefault="005F321E" w:rsidP="005F321E">
                            <w:pPr>
                              <w:pStyle w:val="PulloutText"/>
                            </w:pPr>
                            <w:r>
                              <w:t xml:space="preserve">Our activities align with the Department of Health and Human Services (DHHS) strategic plan. The key results we contribute to are included below and noted </w:t>
                            </w:r>
                            <w:r w:rsidRPr="003402F1">
                              <w:rPr>
                                <w:rFonts w:ascii="VIC Medium" w:hAnsi="VIC Medium"/>
                              </w:rPr>
                              <w:t>[in brackets]</w:t>
                            </w:r>
                            <w:r>
                              <w:t xml:space="preserve"> next to each activity throughout this report.</w:t>
                            </w:r>
                          </w:p>
                          <w:p w:rsidR="005F321E" w:rsidRDefault="005F321E" w:rsidP="005F321E">
                            <w:pPr>
                              <w:pStyle w:val="PulloutText"/>
                            </w:pPr>
                            <w:r>
                              <w:t xml:space="preserve">SCV activities included in </w:t>
                            </w:r>
                            <w:r w:rsidRPr="00A729FD">
                              <w:t>the DHHS action plan for 2019</w:t>
                            </w:r>
                            <w:r>
                              <w:t>–</w:t>
                            </w:r>
                            <w:r w:rsidRPr="00A729FD">
                              <w:t>20 are</w:t>
                            </w:r>
                            <w:r>
                              <w:t xml:space="preserve"> highlighted in grey.</w:t>
                            </w:r>
                          </w:p>
                        </w:txbxContent>
                      </wps:txbx>
                      <wps:bodyPr rot="0" vert="horz" wrap="square" lIns="180000" tIns="180000" rIns="144000" bIns="36000" anchor="t" anchorCtr="0">
                        <a:spAutoFit/>
                      </wps:bodyPr>
                    </wps:wsp>
                  </a:graphicData>
                </a:graphic>
              </wp:inline>
            </w:drawing>
          </mc:Choice>
          <mc:Fallback>
            <w:pict>
              <v:shape w14:anchorId="7879EC8C" id="Text Box 12" o:spid="_x0000_s1031" type="#_x0000_t202" style="width:508.55pt;height:1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" fillcolor="#edf5f7 [3214]" strokecolor="#edf5f7 [3214]" strokeweight=".5pt">
                <v:textbox style="mso-fit-shape-to-text:t" inset="5mm,5mm,4mm,1mm">
                  <w:txbxContent>
                    <w:p w:rsidR="005F321E" w:rsidRDefault="005F321E" w:rsidP="005F321E">
                      <w:pPr>
                        <w:pStyle w:val="PulloutHeading"/>
                      </w:pPr>
                      <w:r>
                        <w:t>Supporting departmental priorities</w:t>
                      </w:r>
                    </w:p>
                    <w:p w:rsidR="005F321E" w:rsidRDefault="005F321E" w:rsidP="005F321E">
                      <w:pPr>
                        <w:pStyle w:val="PulloutText"/>
                      </w:pPr>
                      <w:r>
                        <w:t xml:space="preserve">Our activities align with the Department of Health and Human Services (DHHS) strategic plan. The key results we contribute to are included below and noted </w:t>
                      </w:r>
                      <w:r w:rsidRPr="003402F1">
                        <w:rPr>
                          <w:rFonts w:ascii="VIC Medium" w:hAnsi="VIC Medium"/>
                        </w:rPr>
                        <w:t>[in brackets]</w:t>
                      </w:r>
                      <w:r>
                        <w:t xml:space="preserve"> next to each activity throughout this report.</w:t>
                      </w:r>
                    </w:p>
                    <w:p w:rsidR="005F321E" w:rsidRDefault="005F321E" w:rsidP="005F321E">
                      <w:pPr>
                        <w:pStyle w:val="PulloutText"/>
                      </w:pPr>
                      <w:r>
                        <w:t xml:space="preserve">SCV activities included in </w:t>
                      </w:r>
                      <w:r w:rsidRPr="00A729FD">
                        <w:t>the DHHS action plan for 2019</w:t>
                      </w:r>
                      <w:r>
                        <w:t>–</w:t>
                      </w:r>
                      <w:r w:rsidRPr="00A729FD">
                        <w:t>20 are</w:t>
                      </w:r>
                      <w:r>
                        <w:t xml:space="preserve"> highlighted in grey.</w:t>
                      </w:r>
                    </w:p>
                  </w:txbxContent>
                </v:textbox>
                <w10:anchorlock/>
              </v:shape>
            </w:pict>
          </mc:Fallback>
        </mc:AlternateContent>
      </w:r>
    </w:p>
    <w:p w:rsidR="005F321E" w:rsidRDefault="005F321E" w:rsidP="005F321E">
      <w:pPr>
        <w:pStyle w:val="Heading4"/>
        <w:spacing w:before="180"/>
      </w:pPr>
      <w:r>
        <w:t>DHHS strategic plan key results</w:t>
      </w:r>
    </w:p>
    <w:p w:rsidR="005F321E" w:rsidRDefault="005F321E" w:rsidP="005F321E">
      <w:pPr>
        <w:pStyle w:val="Heading4"/>
        <w:sectPr w:rsidR="005F321E" w:rsidSect="005F321E">
          <w:type w:val="continuous"/>
          <w:pgSz w:w="11906" w:h="16838" w:code="9"/>
          <w:pgMar w:top="3402" w:right="851" w:bottom="1361" w:left="851" w:header="539" w:footer="624" w:gutter="0"/>
          <w:cols w:space="284"/>
          <w:docGrid w:linePitch="360"/>
        </w:sectPr>
      </w:pPr>
    </w:p>
    <w:p w:rsidR="005F321E" w:rsidRPr="0049392A" w:rsidRDefault="005F321E" w:rsidP="005F321E">
      <w:r w:rsidRPr="000374A9">
        <w:rPr>
          <w:b/>
        </w:rPr>
        <w:t xml:space="preserve">Key </w:t>
      </w:r>
      <w:r w:rsidRPr="0049392A">
        <w:rPr>
          <w:b/>
        </w:rPr>
        <w:t>result 1:</w:t>
      </w:r>
      <w:r w:rsidRPr="0049392A">
        <w:t xml:space="preserve"> Reduce the incidence of avoidable harm in Victorian hospitals</w:t>
      </w:r>
    </w:p>
    <w:p w:rsidR="005F321E" w:rsidRPr="0049392A" w:rsidRDefault="005F321E" w:rsidP="005F321E">
      <w:r w:rsidRPr="0049392A">
        <w:rPr>
          <w:b/>
        </w:rPr>
        <w:t>Key result 3:</w:t>
      </w:r>
      <w:r w:rsidRPr="0049392A">
        <w:t xml:space="preserve"> Increase the proportion of children with healthy birthweight – with a focus on reducing smoking during pregnancy</w:t>
      </w:r>
    </w:p>
    <w:p w:rsidR="005F321E" w:rsidRPr="0049392A" w:rsidRDefault="005F321E" w:rsidP="005F321E">
      <w:r w:rsidRPr="0049392A">
        <w:rPr>
          <w:b/>
        </w:rPr>
        <w:t>Key result 4:</w:t>
      </w:r>
      <w:r w:rsidRPr="0049392A">
        <w:t xml:space="preserve"> Reduce infant mortality</w:t>
      </w:r>
    </w:p>
    <w:p w:rsidR="005F321E" w:rsidRPr="0049392A" w:rsidRDefault="005F321E" w:rsidP="005F321E">
      <w:r w:rsidRPr="0049392A">
        <w:rPr>
          <w:b/>
        </w:rPr>
        <w:t>Key result 5:</w:t>
      </w:r>
      <w:r w:rsidRPr="0049392A">
        <w:t xml:space="preserve"> Reduce premature death</w:t>
      </w:r>
    </w:p>
    <w:p w:rsidR="005F321E" w:rsidRPr="0049392A" w:rsidRDefault="005F321E" w:rsidP="005F321E">
      <w:r w:rsidRPr="0049392A">
        <w:rPr>
          <w:b/>
        </w:rPr>
        <w:t xml:space="preserve">Key result 17: </w:t>
      </w:r>
      <w:r w:rsidRPr="0049392A">
        <w:t>Reduce the occurrence of occupational violence, bullying, assault and inappropriate behaviour in departmental and public health services</w:t>
      </w:r>
    </w:p>
    <w:p w:rsidR="005F321E" w:rsidRPr="0049392A" w:rsidRDefault="005F321E" w:rsidP="005F321E">
      <w:r w:rsidRPr="0049392A">
        <w:rPr>
          <w:b/>
        </w:rPr>
        <w:t>Key result 28:</w:t>
      </w:r>
      <w:r w:rsidRPr="0049392A">
        <w:t xml:space="preserve"> Improve the timeliness of access to elective surgery, emergency department treatment, outpatient services, ambulance services and palliative care</w:t>
      </w:r>
    </w:p>
    <w:p w:rsidR="005F321E" w:rsidRPr="0049392A" w:rsidRDefault="005F321E" w:rsidP="005F321E">
      <w:r w:rsidRPr="0049392A">
        <w:rPr>
          <w:b/>
        </w:rPr>
        <w:br w:type="column"/>
      </w:r>
      <w:r w:rsidRPr="0049392A">
        <w:rPr>
          <w:b/>
        </w:rPr>
        <w:t>Key result 29:</w:t>
      </w:r>
      <w:r w:rsidRPr="0049392A">
        <w:t xml:space="preserve"> Reduce unexplained variation in the care people receive – especially for disadvantaged groups</w:t>
      </w:r>
    </w:p>
    <w:p w:rsidR="005F321E" w:rsidRPr="0049392A" w:rsidRDefault="005F321E" w:rsidP="005F321E">
      <w:r w:rsidRPr="0049392A">
        <w:rPr>
          <w:b/>
        </w:rPr>
        <w:t>Key result 32:</w:t>
      </w:r>
      <w:r w:rsidRPr="0049392A">
        <w:t xml:space="preserve"> Increase citizen engagement in the design and delivery of services</w:t>
      </w:r>
    </w:p>
    <w:p w:rsidR="005F321E" w:rsidRPr="0049392A" w:rsidRDefault="005F321E" w:rsidP="005F321E">
      <w:r w:rsidRPr="0049392A">
        <w:rPr>
          <w:b/>
        </w:rPr>
        <w:t>Key result 34:</w:t>
      </w:r>
      <w:r w:rsidRPr="0049392A">
        <w:t xml:space="preserve"> Reduce demand for acute services to manage complex and chronic conditions</w:t>
      </w:r>
    </w:p>
    <w:p w:rsidR="005F321E" w:rsidRPr="0049392A" w:rsidRDefault="005F321E" w:rsidP="005F321E">
      <w:r w:rsidRPr="0049392A">
        <w:rPr>
          <w:b/>
        </w:rPr>
        <w:t>Key result 39:</w:t>
      </w:r>
      <w:r w:rsidRPr="0049392A">
        <w:t xml:space="preserve"> Improve patient- and client- reported experiences of care and treatment</w:t>
      </w:r>
    </w:p>
    <w:p w:rsidR="005F321E" w:rsidRPr="0049392A" w:rsidRDefault="005F321E" w:rsidP="005F321E">
      <w:r w:rsidRPr="0049392A">
        <w:rPr>
          <w:b/>
        </w:rPr>
        <w:t>Key result 41:</w:t>
      </w:r>
      <w:r w:rsidRPr="0049392A">
        <w:t xml:space="preserve"> Increase the transparency of service safety and quality</w:t>
      </w:r>
    </w:p>
    <w:p w:rsidR="005F321E" w:rsidRDefault="005F321E" w:rsidP="005F321E">
      <w:r w:rsidRPr="0049392A">
        <w:rPr>
          <w:b/>
        </w:rPr>
        <w:t>Key result 42:</w:t>
      </w:r>
      <w:r w:rsidRPr="0049392A">
        <w:t xml:space="preserve"> Reduce assault, exploitation and neglect of clients and patients cared for in formal settings</w:t>
      </w:r>
    </w:p>
    <w:p w:rsidR="00795272" w:rsidRPr="00795272" w:rsidRDefault="00795272" w:rsidP="00795272">
      <w:pPr>
        <w:spacing w:before="0" w:after="0" w:line="240" w:lineRule="auto"/>
        <w:rPr>
          <w:sz w:val="2"/>
          <w:szCs w:val="2"/>
        </w:rPr>
      </w:pPr>
      <w:r w:rsidRPr="00795272">
        <w:rPr>
          <w:sz w:val="2"/>
          <w:szCs w:val="2"/>
        </w:rPr>
        <w:lastRenderedPageBreak/>
        <w:br w:type="page"/>
      </w:r>
    </w:p>
    <w:p w:rsidR="005F321E" w:rsidRPr="00795272" w:rsidRDefault="005F321E" w:rsidP="00795272">
      <w:pPr>
        <w:spacing w:before="0" w:after="0" w:line="240" w:lineRule="auto"/>
        <w:rPr>
          <w:sz w:val="2"/>
          <w:szCs w:val="2"/>
        </w:rPr>
        <w:sectPr w:rsidR="005F321E" w:rsidRPr="00795272" w:rsidSect="005F321E">
          <w:type w:val="continuous"/>
          <w:pgSz w:w="11906" w:h="16838" w:code="9"/>
          <w:pgMar w:top="3402" w:right="851" w:bottom="1361" w:left="851" w:header="539" w:footer="624" w:gutter="0"/>
          <w:cols w:num="2" w:space="284"/>
          <w:docGrid w:linePitch="360"/>
        </w:sectPr>
      </w:pPr>
    </w:p>
    <w:p w:rsidR="005F321E" w:rsidRDefault="005F321E" w:rsidP="00795272">
      <w:pPr>
        <w:pStyle w:val="Heading1"/>
        <w:framePr w:w="7050" w:wrap="around"/>
      </w:pPr>
      <w:r>
        <w:lastRenderedPageBreak/>
        <w:t>Our strategic priorities</w:t>
      </w:r>
    </w:p>
    <w:p w:rsidR="00795272" w:rsidRPr="00795272" w:rsidRDefault="00795272" w:rsidP="00795272">
      <w:pPr>
        <w:pStyle w:val="Heading2"/>
        <w:spacing w:before="0" w:after="0"/>
        <w:rPr>
          <w:sz w:val="2"/>
          <w:szCs w:val="2"/>
        </w:rPr>
        <w:sectPr w:rsidR="00795272" w:rsidRPr="00795272" w:rsidSect="00265EC8">
          <w:type w:val="continuous"/>
          <w:pgSz w:w="11906" w:h="16838" w:code="9"/>
          <w:pgMar w:top="3402" w:right="851" w:bottom="1361" w:left="851" w:header="539" w:footer="624" w:gutter="0"/>
          <w:cols w:num="2" w:space="284"/>
          <w:docGrid w:linePitch="360"/>
          <w15:footnoteColumns w:val="1"/>
        </w:sectPr>
      </w:pPr>
    </w:p>
    <w:p w:rsidR="005F321E" w:rsidRPr="005F321E" w:rsidRDefault="005F321E" w:rsidP="00795272">
      <w:pPr>
        <w:pStyle w:val="Heading2"/>
        <w:spacing w:before="0"/>
      </w:pPr>
      <w:r w:rsidRPr="005F321E">
        <w:t>Partnering with consumers</w:t>
      </w:r>
    </w:p>
    <w:p w:rsidR="005F321E" w:rsidRDefault="005F321E" w:rsidP="005F321E">
      <w:pPr>
        <w:pStyle w:val="IntroductoryText"/>
        <w:spacing w:before="120"/>
      </w:pPr>
      <w:r>
        <w:t xml:space="preserve">We help </w:t>
      </w:r>
      <w:r w:rsidRPr="007D13B5">
        <w:t xml:space="preserve">improve </w:t>
      </w:r>
      <w:r>
        <w:t xml:space="preserve">how and when </w:t>
      </w:r>
      <w:r w:rsidRPr="007D13B5">
        <w:t>consumer</w:t>
      </w:r>
      <w:r>
        <w:t>s</w:t>
      </w:r>
      <w:r w:rsidRPr="007D13B5">
        <w:t xml:space="preserve"> </w:t>
      </w:r>
      <w:r>
        <w:t xml:space="preserve">get involved in their own healthcare – from doctor-patient care, hospital reviews and governance, through to </w:t>
      </w:r>
      <w:proofErr w:type="spellStart"/>
      <w:r>
        <w:t>statewide</w:t>
      </w:r>
      <w:proofErr w:type="spellEnd"/>
      <w:r>
        <w:t xml:space="preserve"> improvement activities. With our new </w:t>
      </w:r>
      <w:r w:rsidRPr="00C16134">
        <w:rPr>
          <w:i/>
        </w:rPr>
        <w:t>Partnering in healthcare framework</w:t>
      </w:r>
      <w:r>
        <w:t xml:space="preserve">, we are bringing a new and </w:t>
      </w:r>
      <w:r w:rsidRPr="00877D87">
        <w:t>exciting approach to consumer engagement in Victoria</w:t>
      </w:r>
      <w:r w:rsidRPr="003D566B">
        <w:t>.</w:t>
      </w:r>
    </w:p>
    <w:tbl>
      <w:tblPr>
        <w:tblStyle w:val="TableGrid"/>
        <w:tblW w:w="0" w:type="auto"/>
        <w:tblLook w:val="04A0" w:firstRow="1" w:lastRow="0" w:firstColumn="1" w:lastColumn="0" w:noHBand="0" w:noVBand="1"/>
      </w:tblPr>
      <w:tblGrid>
        <w:gridCol w:w="2071"/>
        <w:gridCol w:w="2074"/>
        <w:gridCol w:w="2914"/>
        <w:gridCol w:w="2410"/>
        <w:gridCol w:w="735"/>
      </w:tblGrid>
      <w:tr w:rsidR="005F321E" w:rsidRPr="005F321E" w:rsidTr="005F3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gridSpan w:val="2"/>
          </w:tcPr>
          <w:p w:rsidR="005F321E" w:rsidRPr="005F321E" w:rsidRDefault="005F321E" w:rsidP="005F321E">
            <w:pPr>
              <w:pStyle w:val="Tableheader"/>
              <w:rPr>
                <w:rFonts w:ascii="VIC SemiBold" w:hAnsi="VIC SemiBold"/>
                <w:sz w:val="18"/>
              </w:rPr>
            </w:pPr>
            <w:r w:rsidRPr="005F321E">
              <w:rPr>
                <w:rFonts w:ascii="VIC SemiBold" w:hAnsi="VIC SemiBold"/>
                <w:sz w:val="18"/>
              </w:rPr>
              <w:t>Objective</w:t>
            </w:r>
          </w:p>
        </w:tc>
        <w:tc>
          <w:tcPr>
            <w:tcW w:w="2914"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r w:rsidRPr="005F321E">
              <w:rPr>
                <w:rFonts w:ascii="VIC SemiBold" w:hAnsi="VIC SemiBold"/>
                <w:sz w:val="18"/>
              </w:rPr>
              <w:t>2019–20 activities</w:t>
            </w:r>
          </w:p>
        </w:tc>
        <w:tc>
          <w:tcPr>
            <w:tcW w:w="2410"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r w:rsidRPr="005F321E">
              <w:rPr>
                <w:rFonts w:ascii="VIC SemiBold" w:hAnsi="VIC SemiBold"/>
                <w:sz w:val="18"/>
              </w:rPr>
              <w:t>Target</w:t>
            </w:r>
          </w:p>
        </w:tc>
        <w:tc>
          <w:tcPr>
            <w:tcW w:w="735"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2071" w:type="dxa"/>
            <w:vMerge w:val="restart"/>
          </w:tcPr>
          <w:p w:rsidR="005F321E" w:rsidRPr="005F321E" w:rsidRDefault="005F321E" w:rsidP="005F321E">
            <w:pPr>
              <w:rPr>
                <w:b w:val="0"/>
                <w:sz w:val="18"/>
              </w:rPr>
            </w:pPr>
            <w:r w:rsidRPr="005F321E">
              <w:rPr>
                <w:b w:val="0"/>
                <w:sz w:val="18"/>
              </w:rPr>
              <w:t>Consumer voices and choices are central to own care</w:t>
            </w:r>
          </w:p>
        </w:tc>
        <w:tc>
          <w:tcPr>
            <w:tcW w:w="2074" w:type="dxa"/>
            <w:vMerge w:val="restart"/>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Consumer-defined outcome measures and improvement goals being delivered at a health service level and within SCV</w:t>
            </w:r>
          </w:p>
        </w:tc>
        <w:tc>
          <w:tcPr>
            <w:tcW w:w="2914" w:type="dxa"/>
            <w:shd w:val="clear" w:color="auto" w:fill="F2F2F2" w:themeFill="background1" w:themeFillShade="F2"/>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 xml:space="preserve">INCREASE consumer engagement by embedding </w:t>
            </w:r>
            <w:r w:rsidRPr="005F321E">
              <w:rPr>
                <w:i/>
                <w:sz w:val="18"/>
              </w:rPr>
              <w:t>Partnering in healthcare framework</w:t>
            </w:r>
            <w:r w:rsidRPr="005F321E">
              <w:rPr>
                <w:sz w:val="18"/>
              </w:rPr>
              <w:t xml:space="preserve">, including in public residential aged care </w:t>
            </w:r>
            <w:r w:rsidRPr="005F321E">
              <w:rPr>
                <w:sz w:val="18"/>
              </w:rPr>
              <w:br/>
            </w:r>
            <w:r w:rsidRPr="005F321E">
              <w:rPr>
                <w:rFonts w:ascii="VIC Medium" w:hAnsi="VIC Medium"/>
                <w:sz w:val="18"/>
              </w:rPr>
              <w:t>[DHHS KR32]</w:t>
            </w:r>
          </w:p>
        </w:tc>
        <w:tc>
          <w:tcPr>
            <w:tcW w:w="2410" w:type="dxa"/>
            <w:shd w:val="clear" w:color="auto" w:fill="F2F2F2" w:themeFill="background1" w:themeFillShade="F2"/>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100% services report progress against their identified priorities</w:t>
            </w:r>
          </w:p>
        </w:tc>
        <w:tc>
          <w:tcPr>
            <w:tcW w:w="735" w:type="dxa"/>
            <w:shd w:val="clear" w:color="auto" w:fill="F2F2F2" w:themeFill="background1" w:themeFillShade="F2"/>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2071" w:type="dxa"/>
            <w:vMerge/>
          </w:tcPr>
          <w:p w:rsidR="005F321E" w:rsidRPr="005F321E" w:rsidRDefault="005F321E" w:rsidP="005F321E">
            <w:pPr>
              <w:rPr>
                <w:b w:val="0"/>
                <w:sz w:val="18"/>
              </w:rPr>
            </w:pPr>
          </w:p>
        </w:tc>
        <w:tc>
          <w:tcPr>
            <w:tcW w:w="2074"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p>
        </w:tc>
        <w:tc>
          <w:tcPr>
            <w:tcW w:w="2914"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 xml:space="preserve">SUPPORT consumer representatives who work with health services </w:t>
            </w:r>
            <w:r w:rsidRPr="005F321E">
              <w:rPr>
                <w:sz w:val="18"/>
              </w:rPr>
              <w:br/>
            </w:r>
            <w:r w:rsidRPr="005F321E">
              <w:rPr>
                <w:rFonts w:ascii="VIC Medium" w:hAnsi="VIC Medium"/>
                <w:sz w:val="18"/>
              </w:rPr>
              <w:t>[DHHS KR32]</w:t>
            </w:r>
          </w:p>
        </w:tc>
        <w:tc>
          <w:tcPr>
            <w:tcW w:w="2410"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Refresh and publish community advisory committee guidelines</w:t>
            </w:r>
          </w:p>
        </w:tc>
        <w:tc>
          <w:tcPr>
            <w:tcW w:w="735"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April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2071" w:type="dxa"/>
            <w:vMerge/>
          </w:tcPr>
          <w:p w:rsidR="005F321E" w:rsidRPr="005F321E" w:rsidRDefault="005F321E" w:rsidP="005F321E">
            <w:pPr>
              <w:rPr>
                <w:b w:val="0"/>
                <w:sz w:val="18"/>
              </w:rPr>
            </w:pPr>
          </w:p>
        </w:tc>
        <w:tc>
          <w:tcPr>
            <w:tcW w:w="2074"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p>
        </w:tc>
        <w:tc>
          <w:tcPr>
            <w:tcW w:w="2914"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 xml:space="preserve">PROMOTE more diverse consumer representation </w:t>
            </w:r>
            <w:r w:rsidRPr="005F321E">
              <w:rPr>
                <w:rFonts w:ascii="VIC Medium" w:hAnsi="VIC Medium"/>
                <w:sz w:val="18"/>
              </w:rPr>
              <w:t>[DHHS KR32]</w:t>
            </w:r>
          </w:p>
        </w:tc>
        <w:tc>
          <w:tcPr>
            <w:tcW w:w="2410" w:type="dxa"/>
            <w:shd w:val="clear" w:color="auto" w:fill="auto"/>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Release guidance for health services and consumers</w:t>
            </w:r>
          </w:p>
        </w:tc>
        <w:tc>
          <w:tcPr>
            <w:tcW w:w="735"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April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2071" w:type="dxa"/>
            <w:vMerge w:val="restart"/>
          </w:tcPr>
          <w:p w:rsidR="005F321E" w:rsidRPr="005F321E" w:rsidRDefault="005F321E" w:rsidP="005F321E">
            <w:pPr>
              <w:rPr>
                <w:b w:val="0"/>
                <w:sz w:val="18"/>
              </w:rPr>
            </w:pPr>
            <w:r w:rsidRPr="005F321E">
              <w:rPr>
                <w:b w:val="0"/>
                <w:sz w:val="18"/>
              </w:rPr>
              <w:t>Consumer voices and experiences improve health services and the health system</w:t>
            </w:r>
          </w:p>
        </w:tc>
        <w:tc>
          <w:tcPr>
            <w:tcW w:w="2074" w:type="dxa"/>
            <w:vMerge w:val="restart"/>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Demonstrable improvement in patient experience</w:t>
            </w:r>
          </w:p>
        </w:tc>
        <w:tc>
          <w:tcPr>
            <w:tcW w:w="2914" w:type="dxa"/>
            <w:shd w:val="clear" w:color="auto" w:fill="F2F2F2" w:themeFill="background1" w:themeFillShade="F2"/>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 xml:space="preserve">TRIAL </w:t>
            </w:r>
            <w:r w:rsidRPr="005F321E">
              <w:rPr>
                <w:rFonts w:ascii="VIC Medium" w:hAnsi="VIC Medium"/>
                <w:sz w:val="18"/>
              </w:rPr>
              <w:t>HEAR Me</w:t>
            </w:r>
            <w:r w:rsidRPr="005F321E">
              <w:rPr>
                <w:sz w:val="18"/>
              </w:rPr>
              <w:t xml:space="preserve">, a new 24/7 phone service for patients and families to escalate care concerns </w:t>
            </w:r>
            <w:r w:rsidRPr="005F321E">
              <w:rPr>
                <w:sz w:val="18"/>
              </w:rPr>
              <w:br/>
            </w:r>
            <w:r w:rsidRPr="005F321E">
              <w:rPr>
                <w:rFonts w:ascii="VIC Medium" w:hAnsi="VIC Medium"/>
                <w:sz w:val="18"/>
              </w:rPr>
              <w:t>[DHHS KR1]</w:t>
            </w:r>
          </w:p>
        </w:tc>
        <w:tc>
          <w:tcPr>
            <w:tcW w:w="2410" w:type="dxa"/>
            <w:shd w:val="clear" w:color="auto" w:fill="F2F2F2" w:themeFill="background1" w:themeFillShade="F2"/>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Started in 17 health services</w:t>
            </w:r>
          </w:p>
        </w:tc>
        <w:tc>
          <w:tcPr>
            <w:tcW w:w="735" w:type="dxa"/>
            <w:shd w:val="clear" w:color="auto" w:fill="F2F2F2" w:themeFill="background1" w:themeFillShade="F2"/>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2071" w:type="dxa"/>
            <w:vMerge/>
          </w:tcPr>
          <w:p w:rsidR="005F321E" w:rsidRPr="005F321E" w:rsidRDefault="005F321E" w:rsidP="005F321E">
            <w:pPr>
              <w:rPr>
                <w:sz w:val="18"/>
              </w:rPr>
            </w:pPr>
          </w:p>
        </w:tc>
        <w:tc>
          <w:tcPr>
            <w:tcW w:w="2074"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p>
        </w:tc>
        <w:tc>
          <w:tcPr>
            <w:tcW w:w="2914"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IDENTIFY patient complaint themes by analysing data from 32 health services</w:t>
            </w:r>
            <w:r w:rsidRPr="005F321E">
              <w:rPr>
                <w:sz w:val="18"/>
              </w:rPr>
              <w:br/>
            </w:r>
            <w:r w:rsidRPr="005F321E">
              <w:rPr>
                <w:rFonts w:ascii="VIC Medium" w:hAnsi="VIC Medium"/>
                <w:sz w:val="18"/>
              </w:rPr>
              <w:t>[DHHS KR32]</w:t>
            </w:r>
          </w:p>
        </w:tc>
        <w:tc>
          <w:tcPr>
            <w:tcW w:w="2410"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Benchmark complaint rates across health services</w:t>
            </w:r>
          </w:p>
        </w:tc>
        <w:tc>
          <w:tcPr>
            <w:tcW w:w="735"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May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2071" w:type="dxa"/>
            <w:vMerge/>
          </w:tcPr>
          <w:p w:rsidR="005F321E" w:rsidRPr="005F321E" w:rsidRDefault="005F321E" w:rsidP="005F321E">
            <w:pPr>
              <w:rPr>
                <w:sz w:val="18"/>
              </w:rPr>
            </w:pPr>
          </w:p>
        </w:tc>
        <w:tc>
          <w:tcPr>
            <w:tcW w:w="2074"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p>
        </w:tc>
        <w:tc>
          <w:tcPr>
            <w:tcW w:w="2914"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 xml:space="preserve">COMPLETE the Patient Opinion online feedback trial in 7 health services </w:t>
            </w:r>
            <w:r w:rsidRPr="005F321E">
              <w:rPr>
                <w:sz w:val="18"/>
              </w:rPr>
              <w:br/>
            </w:r>
            <w:r w:rsidRPr="005F321E">
              <w:rPr>
                <w:rFonts w:ascii="VIC Medium" w:hAnsi="VIC Medium"/>
                <w:sz w:val="18"/>
              </w:rPr>
              <w:t>[DHHS KR32]</w:t>
            </w:r>
          </w:p>
        </w:tc>
        <w:tc>
          <w:tcPr>
            <w:tcW w:w="2410"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highlight w:val="yellow"/>
              </w:rPr>
            </w:pPr>
            <w:r w:rsidRPr="005F321E">
              <w:rPr>
                <w:sz w:val="18"/>
              </w:rPr>
              <w:t>Publish evaluation report on value of online feedback</w:t>
            </w:r>
          </w:p>
        </w:tc>
        <w:tc>
          <w:tcPr>
            <w:tcW w:w="735"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highlight w:val="yellow"/>
              </w:rPr>
            </w:pPr>
            <w:r w:rsidRPr="005F321E">
              <w:rPr>
                <w:sz w:val="18"/>
              </w:rPr>
              <w:t>Apr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2071" w:type="dxa"/>
            <w:vMerge/>
          </w:tcPr>
          <w:p w:rsidR="005F321E" w:rsidRPr="005F321E" w:rsidRDefault="005F321E" w:rsidP="005F321E">
            <w:pPr>
              <w:rPr>
                <w:sz w:val="18"/>
              </w:rPr>
            </w:pPr>
          </w:p>
        </w:tc>
        <w:tc>
          <w:tcPr>
            <w:tcW w:w="2074"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p>
        </w:tc>
        <w:tc>
          <w:tcPr>
            <w:tcW w:w="2914" w:type="dxa"/>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 xml:space="preserve">HELP clinicians improve communication skills by testing </w:t>
            </w:r>
            <w:r w:rsidRPr="005F321E">
              <w:rPr>
                <w:rFonts w:ascii="VIC Medium" w:hAnsi="VIC Medium"/>
                <w:sz w:val="18"/>
              </w:rPr>
              <w:t>Your thoughts matter</w:t>
            </w:r>
            <w:r w:rsidRPr="005F321E">
              <w:rPr>
                <w:sz w:val="18"/>
              </w:rPr>
              <w:t xml:space="preserve"> in 2 health services</w:t>
            </w:r>
            <w:r w:rsidRPr="005F321E">
              <w:rPr>
                <w:sz w:val="18"/>
              </w:rPr>
              <w:br/>
            </w:r>
            <w:r w:rsidRPr="005F321E">
              <w:rPr>
                <w:rFonts w:ascii="VIC Medium" w:hAnsi="VIC Medium"/>
                <w:sz w:val="18"/>
              </w:rPr>
              <w:t>[DHHS KR39]</w:t>
            </w:r>
          </w:p>
        </w:tc>
        <w:tc>
          <w:tcPr>
            <w:tcW w:w="2410" w:type="dxa"/>
            <w:tcBorders>
              <w:bottom w:val="single" w:sz="2" w:space="0" w:color="80808B" w:themeColor="accent5"/>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Implement pilot with plan for spread</w:t>
            </w:r>
          </w:p>
        </w:tc>
        <w:tc>
          <w:tcPr>
            <w:tcW w:w="735" w:type="dxa"/>
            <w:tcBorders>
              <w:bottom w:val="single" w:sz="2" w:space="0" w:color="80808B" w:themeColor="accent5"/>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June 2020</w:t>
            </w:r>
          </w:p>
        </w:tc>
      </w:tr>
    </w:tbl>
    <w:p w:rsidR="005F321E" w:rsidRDefault="005F321E" w:rsidP="005F321E">
      <w:r>
        <w:lastRenderedPageBreak/>
        <w:br w:type="page"/>
      </w:r>
    </w:p>
    <w:p w:rsidR="005F321E" w:rsidRDefault="005F321E" w:rsidP="005F321E">
      <w:pPr>
        <w:pStyle w:val="Heading2"/>
      </w:pPr>
      <w:r>
        <w:lastRenderedPageBreak/>
        <w:t>Improving healthcare quality</w:t>
      </w:r>
    </w:p>
    <w:p w:rsidR="005F321E" w:rsidRDefault="005F321E" w:rsidP="005F321E">
      <w:pPr>
        <w:pStyle w:val="IntroductoryText"/>
        <w:spacing w:before="120" w:after="120"/>
      </w:pPr>
      <w:r w:rsidRPr="00ED41F5">
        <w:t>We are bringing an international</w:t>
      </w:r>
      <w:r>
        <w:t>ly-</w:t>
      </w:r>
      <w:r w:rsidRPr="00ED41F5">
        <w:t xml:space="preserve">proven approach to all the new improvement projects we run or support. Through our strategic partnership with the Institute for Healthcare Improvement, we are </w:t>
      </w:r>
      <w:r>
        <w:t>driving improved outcomes for women and babies and older hospital patients, as well as other priority areas.</w:t>
      </w:r>
    </w:p>
    <w:tbl>
      <w:tblPr>
        <w:tblStyle w:val="TableGrid"/>
        <w:tblW w:w="10430" w:type="dxa"/>
        <w:tblLayout w:type="fixed"/>
        <w:tblLook w:val="04A0" w:firstRow="1" w:lastRow="0" w:firstColumn="1" w:lastColumn="0" w:noHBand="0" w:noVBand="1"/>
      </w:tblPr>
      <w:tblGrid>
        <w:gridCol w:w="1814"/>
        <w:gridCol w:w="1843"/>
        <w:gridCol w:w="3028"/>
        <w:gridCol w:w="3067"/>
        <w:gridCol w:w="678"/>
      </w:tblGrid>
      <w:tr w:rsidR="005F321E" w:rsidRPr="005F321E" w:rsidTr="005F3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5F321E" w:rsidRPr="005F321E" w:rsidRDefault="005F321E" w:rsidP="005F321E">
            <w:pPr>
              <w:pStyle w:val="Tableheader"/>
              <w:rPr>
                <w:rFonts w:ascii="VIC SemiBold" w:hAnsi="VIC SemiBold"/>
                <w:sz w:val="18"/>
                <w:szCs w:val="18"/>
              </w:rPr>
            </w:pPr>
            <w:r w:rsidRPr="005F321E">
              <w:rPr>
                <w:rFonts w:ascii="VIC SemiBold" w:hAnsi="VIC SemiBold"/>
                <w:sz w:val="18"/>
                <w:szCs w:val="18"/>
              </w:rPr>
              <w:t>Objective</w:t>
            </w:r>
          </w:p>
        </w:tc>
        <w:tc>
          <w:tcPr>
            <w:tcW w:w="1843"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p>
        </w:tc>
        <w:tc>
          <w:tcPr>
            <w:tcW w:w="3028"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r w:rsidRPr="005F321E">
              <w:rPr>
                <w:rFonts w:ascii="VIC SemiBold" w:hAnsi="VIC SemiBold"/>
                <w:sz w:val="18"/>
                <w:szCs w:val="18"/>
              </w:rPr>
              <w:t>2019–20 activities</w:t>
            </w:r>
          </w:p>
        </w:tc>
        <w:tc>
          <w:tcPr>
            <w:tcW w:w="3067"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r w:rsidRPr="005F321E">
              <w:rPr>
                <w:rFonts w:ascii="VIC SemiBold" w:hAnsi="VIC SemiBold"/>
                <w:sz w:val="18"/>
                <w:szCs w:val="18"/>
              </w:rPr>
              <w:t>Target</w:t>
            </w:r>
          </w:p>
        </w:tc>
        <w:tc>
          <w:tcPr>
            <w:tcW w:w="678"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24" w:space="0" w:color="CCCCD0" w:themeColor="accent6"/>
              <w:bottom w:val="single" w:sz="4" w:space="0" w:color="auto"/>
            </w:tcBorders>
          </w:tcPr>
          <w:p w:rsidR="005F321E" w:rsidRPr="005F321E" w:rsidRDefault="005F321E" w:rsidP="005F321E">
            <w:pPr>
              <w:spacing w:before="40"/>
              <w:rPr>
                <w:b w:val="0"/>
                <w:sz w:val="18"/>
                <w:szCs w:val="18"/>
              </w:rPr>
            </w:pPr>
            <w:r w:rsidRPr="005F321E">
              <w:rPr>
                <w:b w:val="0"/>
                <w:sz w:val="18"/>
                <w:szCs w:val="18"/>
              </w:rPr>
              <w:t>Lead improvements in priority areas</w:t>
            </w:r>
          </w:p>
        </w:tc>
        <w:tc>
          <w:tcPr>
            <w:tcW w:w="1843" w:type="dxa"/>
            <w:vMerge w:val="restart"/>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Demonstrable reductions in avoidable harm in priority areas</w:t>
            </w:r>
          </w:p>
        </w:tc>
        <w:tc>
          <w:tcPr>
            <w:tcW w:w="6773" w:type="dxa"/>
            <w:gridSpan w:val="3"/>
            <w:tcBorders>
              <w:bottom w:val="nil"/>
            </w:tcBorders>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IMPROVE outcomes for mothers, babies and families through:</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814" w:type="dxa"/>
            <w:vMerge/>
            <w:tcBorders>
              <w:bottom w:val="single" w:sz="4" w:space="0" w:color="auto"/>
            </w:tcBorders>
          </w:tcPr>
          <w:p w:rsidR="005F321E" w:rsidRPr="005F321E" w:rsidRDefault="005F321E" w:rsidP="005F321E">
            <w:pPr>
              <w:spacing w:before="40"/>
              <w:rPr>
                <w:sz w:val="18"/>
                <w:szCs w:val="18"/>
              </w:rPr>
            </w:pPr>
          </w:p>
        </w:tc>
        <w:tc>
          <w:tcPr>
            <w:tcW w:w="1843" w:type="dxa"/>
            <w:vMerge/>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3028" w:type="dxa"/>
            <w:tcBorders>
              <w:top w:val="nil"/>
              <w:bottom w:val="nil"/>
            </w:tcBorders>
            <w:shd w:val="clear" w:color="auto" w:fill="F2F2F2" w:themeFill="background1" w:themeFillShade="F2"/>
          </w:tcPr>
          <w:p w:rsidR="005F321E" w:rsidRPr="005F321E" w:rsidRDefault="005F321E" w:rsidP="005F321E">
            <w:pPr>
              <w:pStyle w:val="Bullet1"/>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the </w:t>
            </w:r>
            <w:r w:rsidRPr="005F321E">
              <w:rPr>
                <w:rFonts w:ascii="VIC Medium" w:hAnsi="VIC Medium"/>
                <w:sz w:val="18"/>
                <w:szCs w:val="18"/>
              </w:rPr>
              <w:t>Safer baby collaborative</w:t>
            </w:r>
            <w:r w:rsidRPr="005F321E">
              <w:rPr>
                <w:sz w:val="18"/>
                <w:szCs w:val="18"/>
                <w:vertAlign w:val="superscript"/>
              </w:rPr>
              <w:t>1</w:t>
            </w:r>
            <w:r w:rsidRPr="005F321E">
              <w:rPr>
                <w:sz w:val="18"/>
                <w:szCs w:val="18"/>
              </w:rPr>
              <w:t>, targeting preventable stillbirths, including in Aboriginal families</w:t>
            </w:r>
            <w:r w:rsidRPr="005F321E">
              <w:rPr>
                <w:sz w:val="18"/>
                <w:szCs w:val="18"/>
              </w:rPr>
              <w:br/>
            </w:r>
            <w:r w:rsidRPr="005F321E">
              <w:rPr>
                <w:rFonts w:ascii="VIC Medium" w:hAnsi="VIC Medium"/>
                <w:sz w:val="18"/>
                <w:szCs w:val="18"/>
              </w:rPr>
              <w:t>[DHHS KR3, 4]</w:t>
            </w:r>
          </w:p>
        </w:tc>
        <w:tc>
          <w:tcPr>
            <w:tcW w:w="3067" w:type="dxa"/>
            <w:tcBorders>
              <w:top w:val="nil"/>
              <w:bottom w:val="nil"/>
            </w:tcBorders>
            <w:shd w:val="clear" w:color="auto" w:fill="F2F2F2" w:themeFill="background1" w:themeFillShade="F2"/>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20% fall in stillbirths in the final trimester of pregnancy</w:t>
            </w:r>
          </w:p>
        </w:tc>
        <w:tc>
          <w:tcPr>
            <w:tcW w:w="678" w:type="dxa"/>
            <w:tcBorders>
              <w:top w:val="nil"/>
              <w:bottom w:val="nil"/>
            </w:tcBorders>
            <w:shd w:val="clear" w:color="auto" w:fill="F2F2F2" w:themeFill="background1" w:themeFillShade="F2"/>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814" w:type="dxa"/>
            <w:vMerge/>
            <w:tcBorders>
              <w:bottom w:val="single" w:sz="4" w:space="0" w:color="auto"/>
            </w:tcBorders>
          </w:tcPr>
          <w:p w:rsidR="005F321E" w:rsidRPr="005F321E" w:rsidRDefault="005F321E" w:rsidP="005F321E">
            <w:pPr>
              <w:spacing w:before="40"/>
              <w:rPr>
                <w:sz w:val="18"/>
                <w:szCs w:val="18"/>
              </w:rPr>
            </w:pPr>
          </w:p>
        </w:tc>
        <w:tc>
          <w:tcPr>
            <w:tcW w:w="1843" w:type="dxa"/>
            <w:vMerge/>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3028" w:type="dxa"/>
            <w:tcBorders>
              <w:top w:val="nil"/>
              <w:bottom w:val="nil"/>
            </w:tcBorders>
            <w:shd w:val="clear" w:color="auto" w:fill="F2F2F2" w:themeFill="background1" w:themeFillShade="F2"/>
          </w:tcPr>
          <w:p w:rsidR="005F321E" w:rsidRPr="005F321E" w:rsidRDefault="005F321E" w:rsidP="005F321E">
            <w:pPr>
              <w:pStyle w:val="Bullet1"/>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the </w:t>
            </w:r>
            <w:r w:rsidRPr="005F321E">
              <w:rPr>
                <w:rFonts w:ascii="VIC Medium" w:hAnsi="VIC Medium"/>
                <w:sz w:val="18"/>
                <w:szCs w:val="18"/>
              </w:rPr>
              <w:t>Better births for women collaborative</w:t>
            </w:r>
            <w:r w:rsidRPr="005F321E">
              <w:rPr>
                <w:sz w:val="18"/>
                <w:szCs w:val="18"/>
                <w:vertAlign w:val="superscript"/>
              </w:rPr>
              <w:t>2</w:t>
            </w:r>
            <w:r w:rsidRPr="005F321E">
              <w:rPr>
                <w:sz w:val="18"/>
                <w:szCs w:val="18"/>
              </w:rPr>
              <w:t>, reducing severe perineal tears and their long-lasting impacts</w:t>
            </w:r>
            <w:r w:rsidRPr="005F321E">
              <w:rPr>
                <w:sz w:val="18"/>
                <w:szCs w:val="18"/>
              </w:rPr>
              <w:br/>
            </w:r>
            <w:r w:rsidRPr="005F321E">
              <w:rPr>
                <w:rFonts w:ascii="VIC Medium" w:hAnsi="VIC Medium"/>
                <w:sz w:val="18"/>
                <w:szCs w:val="18"/>
              </w:rPr>
              <w:t>[DHHS KR1]</w:t>
            </w:r>
          </w:p>
        </w:tc>
        <w:tc>
          <w:tcPr>
            <w:tcW w:w="3067" w:type="dxa"/>
            <w:tcBorders>
              <w:top w:val="nil"/>
              <w:bottom w:val="nil"/>
            </w:tcBorders>
            <w:shd w:val="clear" w:color="auto" w:fill="F2F2F2" w:themeFill="background1" w:themeFillShade="F2"/>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20% drop in 3rd and 4th degree perineal tears*</w:t>
            </w:r>
          </w:p>
        </w:tc>
        <w:tc>
          <w:tcPr>
            <w:tcW w:w="678" w:type="dxa"/>
            <w:tcBorders>
              <w:top w:val="nil"/>
              <w:bottom w:val="nil"/>
            </w:tcBorders>
            <w:shd w:val="clear" w:color="auto" w:fill="F2F2F2" w:themeFill="background1" w:themeFillShade="F2"/>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814" w:type="dxa"/>
            <w:vMerge/>
            <w:tcBorders>
              <w:bottom w:val="single" w:sz="4" w:space="0" w:color="auto"/>
            </w:tcBorders>
          </w:tcPr>
          <w:p w:rsidR="005F321E" w:rsidRPr="005F321E" w:rsidRDefault="005F321E" w:rsidP="005F321E">
            <w:pPr>
              <w:spacing w:before="40"/>
              <w:rPr>
                <w:sz w:val="18"/>
                <w:szCs w:val="18"/>
              </w:rPr>
            </w:pPr>
          </w:p>
        </w:tc>
        <w:tc>
          <w:tcPr>
            <w:tcW w:w="1843" w:type="dxa"/>
            <w:vMerge/>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6773" w:type="dxa"/>
            <w:gridSpan w:val="3"/>
            <w:tcBorders>
              <w:bottom w:val="nil"/>
            </w:tcBorders>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ENHANCE care for patients with delirium through:</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814" w:type="dxa"/>
            <w:vMerge/>
            <w:tcBorders>
              <w:bottom w:val="single" w:sz="4" w:space="0" w:color="auto"/>
            </w:tcBorders>
          </w:tcPr>
          <w:p w:rsidR="005F321E" w:rsidRPr="005F321E" w:rsidRDefault="005F321E" w:rsidP="005F321E">
            <w:pPr>
              <w:spacing w:before="40"/>
              <w:rPr>
                <w:sz w:val="18"/>
                <w:szCs w:val="18"/>
              </w:rPr>
            </w:pPr>
          </w:p>
        </w:tc>
        <w:tc>
          <w:tcPr>
            <w:tcW w:w="1843" w:type="dxa"/>
            <w:vMerge/>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3028" w:type="dxa"/>
            <w:tcBorders>
              <w:top w:val="nil"/>
              <w:bottom w:val="nil"/>
            </w:tcBorders>
            <w:shd w:val="clear" w:color="auto" w:fill="F2F2F2" w:themeFill="background1" w:themeFillShade="F2"/>
          </w:tcPr>
          <w:p w:rsidR="005F321E" w:rsidRPr="005F321E" w:rsidRDefault="005F321E" w:rsidP="005F321E">
            <w:pPr>
              <w:pStyle w:val="Bullet1"/>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the </w:t>
            </w:r>
            <w:r w:rsidRPr="005F321E">
              <w:rPr>
                <w:rFonts w:ascii="VIC Medium" w:hAnsi="VIC Medium"/>
                <w:sz w:val="18"/>
                <w:szCs w:val="18"/>
              </w:rPr>
              <w:t>Delirium collaborative</w:t>
            </w:r>
            <w:r w:rsidRPr="005F321E">
              <w:rPr>
                <w:sz w:val="18"/>
                <w:szCs w:val="18"/>
                <w:vertAlign w:val="superscript"/>
              </w:rPr>
              <w:t>3</w:t>
            </w:r>
            <w:r w:rsidRPr="005F321E">
              <w:rPr>
                <w:sz w:val="18"/>
                <w:szCs w:val="18"/>
              </w:rPr>
              <w:t xml:space="preserve">, improving how hospital-acquired delirium is diagnosed, prevented and treated </w:t>
            </w:r>
            <w:r w:rsidRPr="005F321E">
              <w:rPr>
                <w:sz w:val="18"/>
                <w:szCs w:val="18"/>
              </w:rPr>
              <w:br/>
            </w:r>
            <w:r w:rsidRPr="005F321E">
              <w:rPr>
                <w:rFonts w:ascii="VIC Medium" w:hAnsi="VIC Medium"/>
                <w:sz w:val="18"/>
                <w:szCs w:val="18"/>
              </w:rPr>
              <w:t>[DHHS KR1, 39]</w:t>
            </w:r>
          </w:p>
        </w:tc>
        <w:tc>
          <w:tcPr>
            <w:tcW w:w="3067" w:type="dxa"/>
            <w:tcBorders>
              <w:top w:val="nil"/>
              <w:bottom w:val="nil"/>
            </w:tcBorders>
            <w:shd w:val="clear" w:color="auto" w:fill="F2F2F2" w:themeFill="background1" w:themeFillShade="F2"/>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20% fewer falls in patients &gt;65 years*</w:t>
            </w:r>
          </w:p>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Reduce length of stay by half a day*</w:t>
            </w:r>
          </w:p>
        </w:tc>
        <w:tc>
          <w:tcPr>
            <w:tcW w:w="678" w:type="dxa"/>
            <w:tcBorders>
              <w:top w:val="nil"/>
              <w:bottom w:val="nil"/>
            </w:tcBorders>
            <w:shd w:val="clear" w:color="auto" w:fill="F2F2F2" w:themeFill="background1" w:themeFillShade="F2"/>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Mar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814" w:type="dxa"/>
            <w:vMerge/>
            <w:tcBorders>
              <w:bottom w:val="single" w:sz="4" w:space="0" w:color="auto"/>
            </w:tcBorders>
          </w:tcPr>
          <w:p w:rsidR="005F321E" w:rsidRPr="005F321E" w:rsidRDefault="005F321E" w:rsidP="005F321E">
            <w:pPr>
              <w:spacing w:before="40"/>
              <w:rPr>
                <w:sz w:val="18"/>
                <w:szCs w:val="18"/>
              </w:rPr>
            </w:pPr>
          </w:p>
        </w:tc>
        <w:tc>
          <w:tcPr>
            <w:tcW w:w="1843" w:type="dxa"/>
            <w:vMerge/>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3028" w:type="dxa"/>
            <w:tcBorders>
              <w:top w:val="nil"/>
              <w:bottom w:val="nil"/>
            </w:tcBorders>
          </w:tcPr>
          <w:p w:rsidR="005F321E" w:rsidRPr="005F321E" w:rsidRDefault="005F321E" w:rsidP="005F321E">
            <w:pPr>
              <w:pStyle w:val="Bullet1"/>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clinical guidance to screen, prevent and manage delirium </w:t>
            </w:r>
            <w:r w:rsidRPr="005F321E">
              <w:rPr>
                <w:sz w:val="18"/>
                <w:szCs w:val="18"/>
              </w:rPr>
              <w:br/>
            </w:r>
            <w:r w:rsidRPr="005F321E">
              <w:rPr>
                <w:rFonts w:ascii="VIC Medium" w:hAnsi="VIC Medium"/>
                <w:sz w:val="18"/>
                <w:szCs w:val="18"/>
              </w:rPr>
              <w:t>[DHHS KR29]</w:t>
            </w:r>
          </w:p>
        </w:tc>
        <w:tc>
          <w:tcPr>
            <w:tcW w:w="3067" w:type="dxa"/>
            <w:tcBorders>
              <w:top w:val="nil"/>
              <w:bottom w:val="single" w:sz="2" w:space="0" w:color="80808B" w:themeColor="accent5"/>
            </w:tcBorders>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Release guidance</w:t>
            </w:r>
          </w:p>
        </w:tc>
        <w:tc>
          <w:tcPr>
            <w:tcW w:w="678" w:type="dxa"/>
            <w:tcBorders>
              <w:top w:val="nil"/>
              <w:bottom w:val="single" w:sz="2" w:space="0" w:color="80808B" w:themeColor="accent5"/>
            </w:tcBorders>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814" w:type="dxa"/>
            <w:vMerge/>
            <w:tcBorders>
              <w:bottom w:val="single" w:sz="4" w:space="0" w:color="auto"/>
            </w:tcBorders>
          </w:tcPr>
          <w:p w:rsidR="005F321E" w:rsidRPr="005F321E" w:rsidRDefault="005F321E" w:rsidP="005F321E">
            <w:pPr>
              <w:spacing w:before="40"/>
              <w:rPr>
                <w:sz w:val="18"/>
                <w:szCs w:val="18"/>
              </w:rPr>
            </w:pPr>
          </w:p>
        </w:tc>
        <w:tc>
          <w:tcPr>
            <w:tcW w:w="1843" w:type="dxa"/>
            <w:vMerge/>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3028" w:type="dxa"/>
            <w:shd w:val="clear" w:color="auto" w:fill="F2F2F2" w:themeFill="background1" w:themeFillShade="F2"/>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REDUCE harm and deaths through the </w:t>
            </w:r>
            <w:r w:rsidRPr="005F321E">
              <w:rPr>
                <w:rFonts w:ascii="VIC Medium" w:hAnsi="VIC Medium"/>
                <w:sz w:val="18"/>
                <w:szCs w:val="18"/>
              </w:rPr>
              <w:t xml:space="preserve">Sepsis scaling project </w:t>
            </w:r>
            <w:r w:rsidRPr="005F321E">
              <w:rPr>
                <w:rFonts w:ascii="VIC Medium" w:hAnsi="VIC Medium"/>
                <w:sz w:val="18"/>
                <w:szCs w:val="18"/>
              </w:rPr>
              <w:br/>
              <w:t>[DHHS KR1]</w:t>
            </w:r>
          </w:p>
        </w:tc>
        <w:tc>
          <w:tcPr>
            <w:tcW w:w="3067" w:type="dxa"/>
            <w:tcBorders>
              <w:bottom w:val="nil"/>
            </w:tcBorders>
            <w:shd w:val="clear" w:color="auto" w:fill="F2F2F2" w:themeFill="background1" w:themeFillShade="F2"/>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20% fewer people die from sepsis*</w:t>
            </w:r>
          </w:p>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10% fall in ICU admissions</w:t>
            </w:r>
          </w:p>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Reduce length of stay by half a day*</w:t>
            </w:r>
          </w:p>
        </w:tc>
        <w:tc>
          <w:tcPr>
            <w:tcW w:w="678" w:type="dxa"/>
            <w:tcBorders>
              <w:bottom w:val="nil"/>
            </w:tcBorders>
            <w:shd w:val="clear" w:color="auto" w:fill="F2F2F2" w:themeFill="background1" w:themeFillShade="F2"/>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814" w:type="dxa"/>
            <w:vMerge/>
            <w:tcBorders>
              <w:bottom w:val="single" w:sz="4" w:space="0" w:color="auto"/>
            </w:tcBorders>
          </w:tcPr>
          <w:p w:rsidR="005F321E" w:rsidRPr="005F321E" w:rsidRDefault="005F321E" w:rsidP="005F321E">
            <w:pPr>
              <w:spacing w:before="40"/>
              <w:rPr>
                <w:sz w:val="18"/>
                <w:szCs w:val="18"/>
              </w:rPr>
            </w:pPr>
          </w:p>
        </w:tc>
        <w:tc>
          <w:tcPr>
            <w:tcW w:w="1843" w:type="dxa"/>
            <w:vMerge/>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3028" w:type="dxa"/>
            <w:vMerge w:val="restart"/>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IDENTIFY opportunities to improve patient flow through the </w:t>
            </w:r>
            <w:r w:rsidRPr="005F321E">
              <w:rPr>
                <w:rFonts w:ascii="VIC Medium" w:hAnsi="VIC Medium"/>
                <w:sz w:val="18"/>
                <w:szCs w:val="18"/>
              </w:rPr>
              <w:t xml:space="preserve">Timely care program </w:t>
            </w:r>
            <w:r w:rsidRPr="005F321E">
              <w:rPr>
                <w:rFonts w:ascii="VIC Medium" w:hAnsi="VIC Medium"/>
                <w:sz w:val="18"/>
                <w:szCs w:val="18"/>
              </w:rPr>
              <w:br/>
              <w:t>[DHHS KR28]</w:t>
            </w:r>
          </w:p>
        </w:tc>
        <w:tc>
          <w:tcPr>
            <w:tcW w:w="3067" w:type="dxa"/>
            <w:tcBorders>
              <w:bottom w:val="nil"/>
            </w:tcBorders>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Complete diagnostic assessment in 6 health services</w:t>
            </w:r>
          </w:p>
        </w:tc>
        <w:tc>
          <w:tcPr>
            <w:tcW w:w="678" w:type="dxa"/>
            <w:tcBorders>
              <w:bottom w:val="nil"/>
            </w:tcBorders>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May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814" w:type="dxa"/>
            <w:vMerge/>
            <w:tcBorders>
              <w:bottom w:val="single" w:sz="4" w:space="0" w:color="auto"/>
            </w:tcBorders>
          </w:tcPr>
          <w:p w:rsidR="005F321E" w:rsidRPr="005F321E" w:rsidRDefault="005F321E" w:rsidP="005F321E">
            <w:pPr>
              <w:spacing w:before="40"/>
              <w:rPr>
                <w:sz w:val="18"/>
                <w:szCs w:val="18"/>
              </w:rPr>
            </w:pPr>
          </w:p>
        </w:tc>
        <w:tc>
          <w:tcPr>
            <w:tcW w:w="1843" w:type="dxa"/>
            <w:vMerge/>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3028" w:type="dxa"/>
            <w:vMerge/>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3067" w:type="dxa"/>
            <w:tcBorders>
              <w:top w:val="nil"/>
            </w:tcBorders>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Expand daily operating system to 6 more services</w:t>
            </w:r>
          </w:p>
        </w:tc>
        <w:tc>
          <w:tcPr>
            <w:tcW w:w="678" w:type="dxa"/>
            <w:tcBorders>
              <w:top w:val="nil"/>
            </w:tcBorders>
          </w:tcPr>
          <w:p w:rsidR="005F321E" w:rsidRPr="005F321E" w:rsidRDefault="005F321E" w:rsidP="005F32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bl>
    <w:p w:rsidR="005F321E" w:rsidRPr="00795272" w:rsidRDefault="005F321E" w:rsidP="005F321E">
      <w:pPr>
        <w:rPr>
          <w:sz w:val="18"/>
        </w:rPr>
      </w:pPr>
      <w:r w:rsidRPr="00795272">
        <w:rPr>
          <w:sz w:val="18"/>
        </w:rPr>
        <w:t>* in participating services.</w:t>
      </w:r>
    </w:p>
    <w:p w:rsidR="005F321E" w:rsidRDefault="005F321E" w:rsidP="005F321E">
      <w:r w:rsidRPr="00795272">
        <w:rPr>
          <w:b/>
          <w:sz w:val="18"/>
        </w:rPr>
        <w:t xml:space="preserve">ICU </w:t>
      </w:r>
      <w:r w:rsidRPr="00795272">
        <w:rPr>
          <w:sz w:val="18"/>
        </w:rPr>
        <w:t>Intensive care unit</w:t>
      </w:r>
      <w:r w:rsidR="00795272">
        <w:rPr>
          <w:sz w:val="18"/>
        </w:rPr>
        <w:t>.</w:t>
      </w:r>
      <w:r>
        <w:br w:type="page"/>
      </w:r>
    </w:p>
    <w:p w:rsidR="005F321E" w:rsidRDefault="005F321E" w:rsidP="005F321E">
      <w:pPr>
        <w:pStyle w:val="Heading2"/>
      </w:pPr>
      <w:r>
        <w:lastRenderedPageBreak/>
        <w:t>Reducing variation across the state</w:t>
      </w:r>
    </w:p>
    <w:p w:rsidR="005F321E" w:rsidRPr="00EB3002" w:rsidRDefault="005F321E" w:rsidP="005F321E">
      <w:pPr>
        <w:pStyle w:val="IntroductoryText"/>
        <w:spacing w:before="120" w:after="120"/>
      </w:pPr>
      <w:r w:rsidRPr="00F11E25">
        <w:t xml:space="preserve">With the help of our 11 speciality clinical networks, we identify and target areas of care </w:t>
      </w:r>
      <w:r>
        <w:t>that have different outcomes depending on which hospital you go to</w:t>
      </w:r>
      <w:r w:rsidRPr="00F11E25">
        <w:t xml:space="preserve">. </w:t>
      </w:r>
      <w:r>
        <w:t>By issuing best practice guidance and supporting resources, we can help all health services deliver consistently safe, high-quality care.</w:t>
      </w:r>
    </w:p>
    <w:tbl>
      <w:tblPr>
        <w:tblStyle w:val="TableGrid"/>
        <w:tblW w:w="10204" w:type="dxa"/>
        <w:tblLook w:val="04A0" w:firstRow="1" w:lastRow="0" w:firstColumn="1" w:lastColumn="0" w:noHBand="0" w:noVBand="1"/>
      </w:tblPr>
      <w:tblGrid>
        <w:gridCol w:w="1701"/>
        <w:gridCol w:w="1843"/>
        <w:gridCol w:w="3192"/>
        <w:gridCol w:w="210"/>
        <w:gridCol w:w="2552"/>
        <w:gridCol w:w="706"/>
      </w:tblGrid>
      <w:tr w:rsidR="005F321E" w:rsidRPr="005F321E" w:rsidTr="005F3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F321E" w:rsidRPr="005F321E" w:rsidRDefault="005F321E" w:rsidP="005F321E">
            <w:pPr>
              <w:pStyle w:val="Tableheader"/>
              <w:rPr>
                <w:rFonts w:ascii="VIC SemiBold" w:hAnsi="VIC SemiBold"/>
                <w:sz w:val="18"/>
                <w:szCs w:val="18"/>
              </w:rPr>
            </w:pPr>
            <w:bookmarkStart w:id="0" w:name="_Hlk12020124"/>
            <w:r w:rsidRPr="005F321E">
              <w:rPr>
                <w:rFonts w:ascii="VIC SemiBold" w:hAnsi="VIC SemiBold"/>
                <w:sz w:val="18"/>
                <w:szCs w:val="18"/>
              </w:rPr>
              <w:t>Objective</w:t>
            </w:r>
          </w:p>
        </w:tc>
        <w:tc>
          <w:tcPr>
            <w:tcW w:w="1843"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p>
        </w:tc>
        <w:tc>
          <w:tcPr>
            <w:tcW w:w="3402" w:type="dxa"/>
            <w:gridSpan w:val="2"/>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r w:rsidRPr="005F321E">
              <w:rPr>
                <w:rFonts w:ascii="VIC SemiBold" w:hAnsi="VIC SemiBold"/>
                <w:sz w:val="18"/>
                <w:szCs w:val="18"/>
              </w:rPr>
              <w:t>2019–20 activities</w:t>
            </w:r>
          </w:p>
        </w:tc>
        <w:tc>
          <w:tcPr>
            <w:tcW w:w="2552"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r w:rsidRPr="005F321E">
              <w:rPr>
                <w:rFonts w:ascii="VIC SemiBold" w:hAnsi="VIC SemiBold"/>
                <w:sz w:val="18"/>
                <w:szCs w:val="18"/>
              </w:rPr>
              <w:t>Target</w:t>
            </w:r>
          </w:p>
        </w:tc>
        <w:tc>
          <w:tcPr>
            <w:tcW w:w="706"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val="restart"/>
          </w:tcPr>
          <w:p w:rsidR="005F321E" w:rsidRPr="005F321E" w:rsidRDefault="005F321E" w:rsidP="005F321E">
            <w:pPr>
              <w:rPr>
                <w:b w:val="0"/>
                <w:sz w:val="18"/>
                <w:szCs w:val="18"/>
              </w:rPr>
            </w:pPr>
            <w:r w:rsidRPr="005F321E">
              <w:rPr>
                <w:b w:val="0"/>
                <w:sz w:val="18"/>
                <w:szCs w:val="18"/>
              </w:rPr>
              <w:t>Reductions in unwarranted variation in practice and outcome</w:t>
            </w:r>
          </w:p>
        </w:tc>
        <w:tc>
          <w:tcPr>
            <w:tcW w:w="1843" w:type="dxa"/>
            <w:vMerge w:val="restart"/>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Reduction in variation in specific clinical conditions – to be identified with clinicians and consumers</w:t>
            </w:r>
          </w:p>
        </w:tc>
        <w:tc>
          <w:tcPr>
            <w:tcW w:w="6660" w:type="dxa"/>
            <w:gridSpan w:val="4"/>
            <w:tcBorders>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IMPROVE recovery for people who have had a stroke through: </w:t>
            </w:r>
            <w:r w:rsidRPr="005F321E">
              <w:rPr>
                <w:sz w:val="18"/>
                <w:szCs w:val="18"/>
              </w:rPr>
              <w:br/>
            </w:r>
            <w:r w:rsidRPr="005F321E">
              <w:rPr>
                <w:rFonts w:ascii="VIC Medium" w:hAnsi="VIC Medium"/>
                <w:sz w:val="18"/>
                <w:szCs w:val="18"/>
              </w:rPr>
              <w:t>[DHHS KR29, 32]</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5F321E">
            <w:pPr>
              <w:rPr>
                <w:sz w:val="18"/>
                <w:szCs w:val="18"/>
              </w:rPr>
            </w:pPr>
          </w:p>
        </w:tc>
        <w:tc>
          <w:tcPr>
            <w:tcW w:w="1843"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3192" w:type="dxa"/>
            <w:tcBorders>
              <w:top w:val="nil"/>
              <w:bottom w:val="nil"/>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quicker access to intravenous thrombolysis treatment for eligible stroke patients</w:t>
            </w:r>
          </w:p>
        </w:tc>
        <w:tc>
          <w:tcPr>
            <w:tcW w:w="2762" w:type="dxa"/>
            <w:gridSpan w:val="2"/>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75% eligible stroke patients receive thrombolysis within 1 hour of presenting*</w:t>
            </w:r>
          </w:p>
        </w:tc>
        <w:tc>
          <w:tcPr>
            <w:tcW w:w="706" w:type="dxa"/>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Dec 2019</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5F321E">
            <w:pPr>
              <w:rPr>
                <w:sz w:val="18"/>
                <w:szCs w:val="18"/>
              </w:rPr>
            </w:pPr>
          </w:p>
        </w:tc>
        <w:tc>
          <w:tcPr>
            <w:tcW w:w="1843"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3192" w:type="dxa"/>
            <w:tcBorders>
              <w:top w:val="nil"/>
              <w:bottom w:val="nil"/>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making </w:t>
            </w:r>
            <w:proofErr w:type="spellStart"/>
            <w:r w:rsidRPr="005F321E">
              <w:rPr>
                <w:sz w:val="18"/>
                <w:szCs w:val="18"/>
              </w:rPr>
              <w:t>teleneuropsychology</w:t>
            </w:r>
            <w:proofErr w:type="spellEnd"/>
            <w:r w:rsidRPr="005F321E">
              <w:rPr>
                <w:sz w:val="18"/>
                <w:szCs w:val="18"/>
              </w:rPr>
              <w:t xml:space="preserve"> available in more stroke rehabilitation services </w:t>
            </w:r>
          </w:p>
        </w:tc>
        <w:tc>
          <w:tcPr>
            <w:tcW w:w="2762" w:type="dxa"/>
            <w:gridSpan w:val="2"/>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70% patients with mood disturbance assessed and treated*</w:t>
            </w:r>
          </w:p>
        </w:tc>
        <w:tc>
          <w:tcPr>
            <w:tcW w:w="706" w:type="dxa"/>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5F321E">
            <w:pPr>
              <w:rPr>
                <w:sz w:val="18"/>
                <w:szCs w:val="18"/>
              </w:rPr>
            </w:pPr>
          </w:p>
        </w:tc>
        <w:tc>
          <w:tcPr>
            <w:tcW w:w="1843"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3192" w:type="dxa"/>
            <w:tcBorders>
              <w:top w:val="nil"/>
              <w:bottom w:val="single" w:sz="2" w:space="0" w:color="80808B" w:themeColor="accent5"/>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timelier discharge from hospital</w:t>
            </w:r>
          </w:p>
        </w:tc>
        <w:tc>
          <w:tcPr>
            <w:tcW w:w="2762" w:type="dxa"/>
            <w:gridSpan w:val="2"/>
            <w:tcBorders>
              <w:top w:val="nil"/>
              <w:bottom w:val="single" w:sz="2" w:space="0" w:color="80808B" w:themeColor="accent5"/>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Pilot a shared decision-making aid in at least 1 acute stroke unit</w:t>
            </w:r>
          </w:p>
        </w:tc>
        <w:tc>
          <w:tcPr>
            <w:tcW w:w="706" w:type="dxa"/>
            <w:tcBorders>
              <w:top w:val="nil"/>
              <w:bottom w:val="single" w:sz="2" w:space="0" w:color="80808B" w:themeColor="accent5"/>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5F321E">
            <w:pPr>
              <w:rPr>
                <w:sz w:val="18"/>
                <w:szCs w:val="18"/>
              </w:rPr>
            </w:pPr>
          </w:p>
        </w:tc>
        <w:tc>
          <w:tcPr>
            <w:tcW w:w="1843"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6660" w:type="dxa"/>
            <w:gridSpan w:val="4"/>
            <w:tcBorders>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IMPROVE outcomes for older people through:</w:t>
            </w:r>
            <w:r w:rsidRPr="005F321E">
              <w:rPr>
                <w:sz w:val="18"/>
                <w:szCs w:val="18"/>
              </w:rPr>
              <w:br/>
            </w:r>
            <w:r w:rsidRPr="005F321E">
              <w:rPr>
                <w:rFonts w:ascii="VIC Medium" w:hAnsi="VIC Medium"/>
                <w:sz w:val="18"/>
                <w:szCs w:val="18"/>
              </w:rPr>
              <w:t>[DHHS KR5, 29]</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5F321E">
            <w:pPr>
              <w:rPr>
                <w:sz w:val="18"/>
                <w:szCs w:val="18"/>
              </w:rPr>
            </w:pPr>
          </w:p>
        </w:tc>
        <w:tc>
          <w:tcPr>
            <w:tcW w:w="1843"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3192" w:type="dxa"/>
            <w:tcBorders>
              <w:top w:val="nil"/>
              <w:bottom w:val="nil"/>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rFonts w:ascii="VIC Medium" w:hAnsi="VIC Medium"/>
                <w:sz w:val="18"/>
                <w:szCs w:val="18"/>
              </w:rPr>
            </w:pPr>
            <w:r w:rsidRPr="005F321E">
              <w:rPr>
                <w:sz w:val="18"/>
                <w:szCs w:val="18"/>
              </w:rPr>
              <w:t xml:space="preserve">standard preoperative hip fracture care </w:t>
            </w:r>
          </w:p>
        </w:tc>
        <w:tc>
          <w:tcPr>
            <w:tcW w:w="2762" w:type="dxa"/>
            <w:gridSpan w:val="2"/>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95% patients with hip fracture receive surgery within 24 hours*</w:t>
            </w:r>
          </w:p>
        </w:tc>
        <w:tc>
          <w:tcPr>
            <w:tcW w:w="706" w:type="dxa"/>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Dec 2019</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5F321E">
            <w:pPr>
              <w:rPr>
                <w:sz w:val="18"/>
                <w:szCs w:val="18"/>
              </w:rPr>
            </w:pPr>
          </w:p>
        </w:tc>
        <w:tc>
          <w:tcPr>
            <w:tcW w:w="1843"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3192" w:type="dxa"/>
            <w:tcBorders>
              <w:top w:val="nil"/>
              <w:bottom w:val="nil"/>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sz w:val="18"/>
                <w:szCs w:val="18"/>
              </w:rPr>
            </w:pPr>
            <w:r w:rsidRPr="005F321E">
              <w:rPr>
                <w:rFonts w:ascii="VIC Medium" w:hAnsi="VIC Medium"/>
                <w:sz w:val="18"/>
                <w:szCs w:val="18"/>
              </w:rPr>
              <w:t>End PJ paralysis</w:t>
            </w:r>
            <w:r w:rsidRPr="005F321E">
              <w:rPr>
                <w:sz w:val="18"/>
                <w:szCs w:val="18"/>
              </w:rPr>
              <w:t>, encouraging activity to reduce functional decline</w:t>
            </w:r>
          </w:p>
        </w:tc>
        <w:tc>
          <w:tcPr>
            <w:tcW w:w="2762" w:type="dxa"/>
            <w:gridSpan w:val="2"/>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95% patients sit out of bed for lunch, get dressed and are active each day*</w:t>
            </w:r>
          </w:p>
        </w:tc>
        <w:tc>
          <w:tcPr>
            <w:tcW w:w="706" w:type="dxa"/>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Dec 2019</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5F321E">
            <w:pPr>
              <w:rPr>
                <w:sz w:val="18"/>
                <w:szCs w:val="18"/>
              </w:rPr>
            </w:pPr>
          </w:p>
        </w:tc>
        <w:tc>
          <w:tcPr>
            <w:tcW w:w="1843"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6660" w:type="dxa"/>
            <w:gridSpan w:val="4"/>
            <w:tcBorders>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IMPROVE end of life care through: </w:t>
            </w:r>
            <w:r w:rsidRPr="005F321E">
              <w:rPr>
                <w:sz w:val="18"/>
                <w:szCs w:val="18"/>
              </w:rPr>
              <w:br/>
            </w:r>
            <w:r w:rsidRPr="005F321E">
              <w:rPr>
                <w:rFonts w:ascii="VIC Medium" w:hAnsi="VIC Medium"/>
                <w:sz w:val="18"/>
                <w:szCs w:val="18"/>
              </w:rPr>
              <w:t>[DHHS KR29]</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5F321E">
            <w:pPr>
              <w:rPr>
                <w:sz w:val="18"/>
                <w:szCs w:val="18"/>
              </w:rPr>
            </w:pPr>
          </w:p>
        </w:tc>
        <w:tc>
          <w:tcPr>
            <w:tcW w:w="1843"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3192" w:type="dxa"/>
            <w:tcBorders>
              <w:top w:val="nil"/>
              <w:bottom w:val="nil"/>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standard screening to better recognise and respond to life-limiting illness in outpatient settings </w:t>
            </w:r>
          </w:p>
        </w:tc>
        <w:tc>
          <w:tcPr>
            <w:tcW w:w="2762" w:type="dxa"/>
            <w:gridSpan w:val="2"/>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20% more patients in specialist clinics screened using standard approach*</w:t>
            </w:r>
          </w:p>
        </w:tc>
        <w:tc>
          <w:tcPr>
            <w:tcW w:w="706" w:type="dxa"/>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5F321E">
            <w:pPr>
              <w:rPr>
                <w:sz w:val="18"/>
                <w:szCs w:val="18"/>
              </w:rPr>
            </w:pPr>
          </w:p>
        </w:tc>
        <w:tc>
          <w:tcPr>
            <w:tcW w:w="1843"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3192" w:type="dxa"/>
            <w:tcBorders>
              <w:top w:val="nil"/>
              <w:bottom w:val="single" w:sz="4" w:space="0" w:color="80808B" w:themeColor="accent5"/>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agreed end of life care principles for those recognised as dying in acute care settings</w:t>
            </w:r>
          </w:p>
        </w:tc>
        <w:tc>
          <w:tcPr>
            <w:tcW w:w="2762" w:type="dxa"/>
            <w:gridSpan w:val="2"/>
            <w:tcBorders>
              <w:top w:val="nil"/>
              <w:bottom w:val="single" w:sz="4" w:space="0" w:color="80808B" w:themeColor="accent5"/>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20% more acute care patients cared for using 5 agreed principles*</w:t>
            </w:r>
          </w:p>
        </w:tc>
        <w:tc>
          <w:tcPr>
            <w:tcW w:w="706" w:type="dxa"/>
            <w:tcBorders>
              <w:top w:val="nil"/>
              <w:bottom w:val="single" w:sz="4" w:space="0" w:color="80808B" w:themeColor="accent5"/>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bl>
    <w:bookmarkEnd w:id="0"/>
    <w:p w:rsidR="005F321E" w:rsidRPr="00795272" w:rsidRDefault="005F321E" w:rsidP="005F321E">
      <w:pPr>
        <w:rPr>
          <w:sz w:val="18"/>
        </w:rPr>
      </w:pPr>
      <w:r w:rsidRPr="00795272">
        <w:rPr>
          <w:sz w:val="18"/>
        </w:rPr>
        <w:t>* in participating services.</w:t>
      </w:r>
    </w:p>
    <w:p w:rsidR="005F321E" w:rsidRPr="008F36BB" w:rsidRDefault="005F321E" w:rsidP="005F321E"/>
    <w:tbl>
      <w:tblPr>
        <w:tblStyle w:val="TableGrid"/>
        <w:tblW w:w="10204" w:type="dxa"/>
        <w:tblLook w:val="04A0" w:firstRow="1" w:lastRow="0" w:firstColumn="1" w:lastColumn="0" w:noHBand="0" w:noVBand="1"/>
      </w:tblPr>
      <w:tblGrid>
        <w:gridCol w:w="1701"/>
        <w:gridCol w:w="1843"/>
        <w:gridCol w:w="3331"/>
        <w:gridCol w:w="2594"/>
        <w:gridCol w:w="29"/>
        <w:gridCol w:w="706"/>
      </w:tblGrid>
      <w:tr w:rsidR="005F321E" w:rsidRPr="005F321E" w:rsidTr="005F3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F321E" w:rsidRPr="005F321E" w:rsidRDefault="005F321E" w:rsidP="005F321E">
            <w:pPr>
              <w:pStyle w:val="Tableheader"/>
              <w:rPr>
                <w:rFonts w:ascii="VIC SemiBold" w:hAnsi="VIC SemiBold"/>
                <w:sz w:val="18"/>
                <w:szCs w:val="18"/>
              </w:rPr>
            </w:pPr>
            <w:r w:rsidRPr="005F321E">
              <w:rPr>
                <w:rFonts w:ascii="VIC SemiBold" w:hAnsi="VIC SemiBold"/>
                <w:sz w:val="18"/>
                <w:szCs w:val="18"/>
              </w:rPr>
              <w:lastRenderedPageBreak/>
              <w:t>Objective</w:t>
            </w:r>
          </w:p>
        </w:tc>
        <w:tc>
          <w:tcPr>
            <w:tcW w:w="1843"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p>
        </w:tc>
        <w:tc>
          <w:tcPr>
            <w:tcW w:w="3331"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r w:rsidRPr="005F321E">
              <w:rPr>
                <w:rFonts w:ascii="VIC SemiBold" w:hAnsi="VIC SemiBold"/>
                <w:sz w:val="18"/>
                <w:szCs w:val="18"/>
              </w:rPr>
              <w:t>2019–20 activities</w:t>
            </w:r>
          </w:p>
        </w:tc>
        <w:tc>
          <w:tcPr>
            <w:tcW w:w="2623" w:type="dxa"/>
            <w:gridSpan w:val="2"/>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r w:rsidRPr="005F321E">
              <w:rPr>
                <w:rFonts w:ascii="VIC SemiBold" w:hAnsi="VIC SemiBold"/>
                <w:sz w:val="18"/>
                <w:szCs w:val="18"/>
              </w:rPr>
              <w:t>Target</w:t>
            </w:r>
          </w:p>
        </w:tc>
        <w:tc>
          <w:tcPr>
            <w:tcW w:w="706"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val="restart"/>
          </w:tcPr>
          <w:p w:rsidR="005F321E" w:rsidRPr="005F321E" w:rsidRDefault="005F321E" w:rsidP="00795272">
            <w:pPr>
              <w:spacing w:before="60" w:after="60"/>
              <w:rPr>
                <w:b w:val="0"/>
                <w:sz w:val="18"/>
                <w:szCs w:val="18"/>
              </w:rPr>
            </w:pPr>
            <w:r w:rsidRPr="005F321E">
              <w:rPr>
                <w:b w:val="0"/>
                <w:sz w:val="18"/>
                <w:szCs w:val="18"/>
              </w:rPr>
              <w:t>Reductions in unwarranted variation in practice and outcome</w:t>
            </w:r>
          </w:p>
        </w:tc>
        <w:tc>
          <w:tcPr>
            <w:tcW w:w="1843" w:type="dxa"/>
            <w:vMerge w:val="restart"/>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Reduction in variation in specific clinical conditions – to be identified with clinicians and consumers</w:t>
            </w:r>
          </w:p>
        </w:tc>
        <w:tc>
          <w:tcPr>
            <w:tcW w:w="6660" w:type="dxa"/>
            <w:gridSpan w:val="4"/>
            <w:tcBorders>
              <w:bottom w:val="nil"/>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REDUCE unnecessary or harmful treatment for children through: </w:t>
            </w:r>
            <w:r w:rsidRPr="005F321E">
              <w:rPr>
                <w:sz w:val="18"/>
                <w:szCs w:val="18"/>
              </w:rPr>
              <w:br/>
            </w:r>
            <w:r w:rsidRPr="005F321E">
              <w:rPr>
                <w:rFonts w:ascii="VIC Medium" w:hAnsi="VIC Medium"/>
                <w:sz w:val="18"/>
                <w:szCs w:val="18"/>
              </w:rPr>
              <w:t>[DHHS KR29]</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795272">
            <w:pPr>
              <w:spacing w:before="60" w:after="60"/>
              <w:rPr>
                <w:b w:val="0"/>
                <w:sz w:val="18"/>
                <w:szCs w:val="18"/>
              </w:rPr>
            </w:pPr>
          </w:p>
        </w:tc>
        <w:tc>
          <w:tcPr>
            <w:tcW w:w="1843" w:type="dxa"/>
            <w:vMerge/>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c>
          <w:tcPr>
            <w:tcW w:w="3331" w:type="dxa"/>
            <w:tcBorders>
              <w:bottom w:val="nil"/>
            </w:tcBorders>
          </w:tcPr>
          <w:p w:rsidR="005F321E" w:rsidRPr="005F321E" w:rsidRDefault="005F321E" w:rsidP="00795272">
            <w:pPr>
              <w:pStyle w:val="Bullet1"/>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sidRPr="005F321E">
              <w:rPr>
                <w:sz w:val="18"/>
                <w:szCs w:val="18"/>
              </w:rPr>
              <w:t>guidance for parents and clinicians about paediatric adenotonsillectomy</w:t>
            </w:r>
          </w:p>
        </w:tc>
        <w:tc>
          <w:tcPr>
            <w:tcW w:w="2623" w:type="dxa"/>
            <w:gridSpan w:val="2"/>
            <w:tcBorders>
              <w:bottom w:val="nil"/>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10% fall in surgery rates*</w:t>
            </w:r>
          </w:p>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15% fall in readmission rate after surgery*</w:t>
            </w:r>
          </w:p>
        </w:tc>
        <w:tc>
          <w:tcPr>
            <w:tcW w:w="706" w:type="dxa"/>
            <w:tcBorders>
              <w:bottom w:val="nil"/>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May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795272">
            <w:pPr>
              <w:spacing w:before="60" w:after="60"/>
              <w:rPr>
                <w:b w:val="0"/>
                <w:sz w:val="18"/>
                <w:szCs w:val="18"/>
              </w:rPr>
            </w:pPr>
          </w:p>
        </w:tc>
        <w:tc>
          <w:tcPr>
            <w:tcW w:w="1843" w:type="dxa"/>
            <w:vMerge/>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c>
          <w:tcPr>
            <w:tcW w:w="3331" w:type="dxa"/>
            <w:tcBorders>
              <w:bottom w:val="nil"/>
            </w:tcBorders>
          </w:tcPr>
          <w:p w:rsidR="005F321E" w:rsidRPr="005F321E" w:rsidRDefault="005F321E" w:rsidP="00795272">
            <w:pPr>
              <w:pStyle w:val="Bullet1"/>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resources for parents and clinicians about unnecessary prescribing for infant reflux</w:t>
            </w:r>
          </w:p>
        </w:tc>
        <w:tc>
          <w:tcPr>
            <w:tcW w:w="2623" w:type="dxa"/>
            <w:gridSpan w:val="2"/>
            <w:tcBorders>
              <w:bottom w:val="nil"/>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20% drop in inappropriate prescription of reflux medication*</w:t>
            </w:r>
          </w:p>
        </w:tc>
        <w:tc>
          <w:tcPr>
            <w:tcW w:w="706" w:type="dxa"/>
            <w:tcBorders>
              <w:bottom w:val="nil"/>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April </w:t>
            </w:r>
          </w:p>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795272">
            <w:pPr>
              <w:spacing w:before="60" w:after="60"/>
              <w:rPr>
                <w:b w:val="0"/>
                <w:sz w:val="18"/>
                <w:szCs w:val="18"/>
              </w:rPr>
            </w:pPr>
          </w:p>
        </w:tc>
        <w:tc>
          <w:tcPr>
            <w:tcW w:w="1843" w:type="dxa"/>
            <w:vMerge/>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c>
          <w:tcPr>
            <w:tcW w:w="6660" w:type="dxa"/>
            <w:gridSpan w:val="4"/>
            <w:tcBorders>
              <w:bottom w:val="nil"/>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REDUCE unnecessary or harmful outcomes for adults in hospitals through:</w:t>
            </w:r>
            <w:r w:rsidRPr="005F321E">
              <w:rPr>
                <w:sz w:val="18"/>
                <w:szCs w:val="18"/>
              </w:rPr>
              <w:br/>
            </w:r>
            <w:r w:rsidRPr="005F321E">
              <w:rPr>
                <w:rFonts w:ascii="VIC Medium" w:hAnsi="VIC Medium"/>
                <w:sz w:val="18"/>
                <w:szCs w:val="18"/>
              </w:rPr>
              <w:t>[DHHS KR1]</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795272">
            <w:pPr>
              <w:spacing w:before="60" w:after="60"/>
              <w:rPr>
                <w:b w:val="0"/>
                <w:sz w:val="18"/>
                <w:szCs w:val="18"/>
              </w:rPr>
            </w:pPr>
          </w:p>
        </w:tc>
        <w:tc>
          <w:tcPr>
            <w:tcW w:w="1843" w:type="dxa"/>
            <w:vMerge/>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c>
          <w:tcPr>
            <w:tcW w:w="3331" w:type="dxa"/>
            <w:tcBorders>
              <w:top w:val="nil"/>
              <w:bottom w:val="nil"/>
            </w:tcBorders>
          </w:tcPr>
          <w:p w:rsidR="005F321E" w:rsidRPr="005F321E" w:rsidRDefault="005F321E" w:rsidP="00795272">
            <w:pPr>
              <w:pStyle w:val="Bullet1"/>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resources to guide care for patients who may clinically deteriorate, e.g. those with complex and chronic disease </w:t>
            </w:r>
          </w:p>
        </w:tc>
        <w:tc>
          <w:tcPr>
            <w:tcW w:w="2594" w:type="dxa"/>
            <w:tcBorders>
              <w:top w:val="nil"/>
              <w:bottom w:val="nil"/>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Develop resources to support fewer MET calls</w:t>
            </w:r>
          </w:p>
        </w:tc>
        <w:tc>
          <w:tcPr>
            <w:tcW w:w="735" w:type="dxa"/>
            <w:gridSpan w:val="2"/>
            <w:tcBorders>
              <w:top w:val="nil"/>
              <w:bottom w:val="nil"/>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795272">
            <w:pPr>
              <w:spacing w:before="60" w:after="60"/>
              <w:rPr>
                <w:b w:val="0"/>
                <w:sz w:val="18"/>
                <w:szCs w:val="18"/>
              </w:rPr>
            </w:pPr>
          </w:p>
        </w:tc>
        <w:tc>
          <w:tcPr>
            <w:tcW w:w="1843" w:type="dxa"/>
            <w:vMerge/>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c>
          <w:tcPr>
            <w:tcW w:w="3331" w:type="dxa"/>
            <w:tcBorders>
              <w:top w:val="nil"/>
              <w:bottom w:val="single" w:sz="2" w:space="0" w:color="80808B" w:themeColor="accent5"/>
            </w:tcBorders>
          </w:tcPr>
          <w:p w:rsidR="005F321E" w:rsidRPr="005F321E" w:rsidRDefault="005F321E" w:rsidP="00795272">
            <w:pPr>
              <w:pStyle w:val="Bullet1"/>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agreed best practice for the use and care of intravenous </w:t>
            </w:r>
            <w:proofErr w:type="spellStart"/>
            <w:r w:rsidRPr="005F321E">
              <w:rPr>
                <w:sz w:val="18"/>
                <w:szCs w:val="18"/>
              </w:rPr>
              <w:t>cannulae</w:t>
            </w:r>
            <w:proofErr w:type="spellEnd"/>
          </w:p>
        </w:tc>
        <w:tc>
          <w:tcPr>
            <w:tcW w:w="2594" w:type="dxa"/>
            <w:tcBorders>
              <w:top w:val="nil"/>
              <w:bottom w:val="single" w:sz="2" w:space="0" w:color="80808B" w:themeColor="accent5"/>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Trial a bundle to reduce golden staph*</w:t>
            </w:r>
          </w:p>
        </w:tc>
        <w:tc>
          <w:tcPr>
            <w:tcW w:w="735" w:type="dxa"/>
            <w:gridSpan w:val="2"/>
            <w:tcBorders>
              <w:top w:val="nil"/>
              <w:bottom w:val="single" w:sz="2" w:space="0" w:color="80808B" w:themeColor="accent5"/>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val="restart"/>
          </w:tcPr>
          <w:p w:rsidR="005F321E" w:rsidRPr="005F321E" w:rsidRDefault="005F321E" w:rsidP="00795272">
            <w:pPr>
              <w:spacing w:before="60" w:after="60"/>
              <w:rPr>
                <w:b w:val="0"/>
                <w:sz w:val="18"/>
                <w:szCs w:val="18"/>
              </w:rPr>
            </w:pPr>
            <w:r w:rsidRPr="005F321E">
              <w:rPr>
                <w:b w:val="0"/>
                <w:sz w:val="18"/>
                <w:szCs w:val="18"/>
              </w:rPr>
              <w:t>Clinicians’ voices and experiences improve health services and the health system</w:t>
            </w:r>
          </w:p>
        </w:tc>
        <w:tc>
          <w:tcPr>
            <w:tcW w:w="1843" w:type="dxa"/>
            <w:vMerge w:val="restart"/>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SCV chief clinicians, the Victorian Clinical Council and clinical networks are utilised to inform policy and planning</w:t>
            </w:r>
          </w:p>
        </w:tc>
        <w:tc>
          <w:tcPr>
            <w:tcW w:w="3331" w:type="dxa"/>
            <w:tcBorders>
              <w:bottom w:val="single" w:sz="2" w:space="0" w:color="80808B" w:themeColor="accent5"/>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DEVELOP standard clinical criteria, coordination and accreditation requirements to establish Victorian ECMO service </w:t>
            </w:r>
            <w:r w:rsidRPr="005F321E">
              <w:rPr>
                <w:sz w:val="18"/>
                <w:szCs w:val="18"/>
              </w:rPr>
              <w:br/>
            </w:r>
            <w:r w:rsidRPr="005F321E">
              <w:rPr>
                <w:rFonts w:ascii="VIC Medium" w:hAnsi="VIC Medium"/>
                <w:sz w:val="18"/>
                <w:szCs w:val="18"/>
              </w:rPr>
              <w:t>[DHHS KR39]</w:t>
            </w:r>
          </w:p>
        </w:tc>
        <w:tc>
          <w:tcPr>
            <w:tcW w:w="2594" w:type="dxa"/>
            <w:tcBorders>
              <w:bottom w:val="single" w:sz="2" w:space="0" w:color="80808B" w:themeColor="accent5"/>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Deliver recommendations to the department</w:t>
            </w:r>
          </w:p>
        </w:tc>
        <w:tc>
          <w:tcPr>
            <w:tcW w:w="735" w:type="dxa"/>
            <w:gridSpan w:val="2"/>
            <w:tcBorders>
              <w:bottom w:val="single" w:sz="2" w:space="0" w:color="80808B" w:themeColor="accent5"/>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Dec 2019</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795272">
            <w:pPr>
              <w:spacing w:before="60" w:after="60"/>
              <w:rPr>
                <w:sz w:val="18"/>
                <w:szCs w:val="18"/>
              </w:rPr>
            </w:pPr>
          </w:p>
        </w:tc>
        <w:tc>
          <w:tcPr>
            <w:tcW w:w="1843" w:type="dxa"/>
            <w:vMerge/>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c>
          <w:tcPr>
            <w:tcW w:w="3331" w:type="dxa"/>
            <w:vMerge w:val="restart"/>
            <w:tcBorders>
              <w:top w:val="single" w:sz="2" w:space="0" w:color="80808B" w:themeColor="accent5"/>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 xml:space="preserve">TEST value-based healthcare approach with COPD in Hamilton </w:t>
            </w:r>
            <w:r w:rsidRPr="005F321E">
              <w:rPr>
                <w:sz w:val="18"/>
                <w:szCs w:val="18"/>
              </w:rPr>
              <w:br/>
            </w:r>
            <w:r w:rsidRPr="005F321E">
              <w:rPr>
                <w:rFonts w:ascii="VIC Medium" w:hAnsi="VIC Medium"/>
                <w:sz w:val="18"/>
                <w:szCs w:val="18"/>
              </w:rPr>
              <w:t>[DHHS KR29]</w:t>
            </w:r>
          </w:p>
        </w:tc>
        <w:tc>
          <w:tcPr>
            <w:tcW w:w="2594" w:type="dxa"/>
            <w:tcBorders>
              <w:top w:val="single" w:sz="2" w:space="0" w:color="80808B" w:themeColor="accent5"/>
              <w:bottom w:val="nil"/>
            </w:tcBorders>
          </w:tcPr>
          <w:p w:rsidR="005F321E" w:rsidRPr="005F321E" w:rsidRDefault="005F321E" w:rsidP="00795272">
            <w:pPr>
              <w:pStyle w:val="Bullet1"/>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100% more people have spirometry to diagnose COPD*</w:t>
            </w:r>
          </w:p>
        </w:tc>
        <w:tc>
          <w:tcPr>
            <w:tcW w:w="735" w:type="dxa"/>
            <w:gridSpan w:val="2"/>
            <w:tcBorders>
              <w:top w:val="single" w:sz="2" w:space="0" w:color="80808B" w:themeColor="accent5"/>
              <w:bottom w:val="nil"/>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701" w:type="dxa"/>
            <w:vMerge/>
          </w:tcPr>
          <w:p w:rsidR="005F321E" w:rsidRPr="005F321E" w:rsidRDefault="005F321E" w:rsidP="00795272">
            <w:pPr>
              <w:spacing w:before="60" w:after="60"/>
              <w:rPr>
                <w:sz w:val="18"/>
                <w:szCs w:val="18"/>
              </w:rPr>
            </w:pPr>
          </w:p>
        </w:tc>
        <w:tc>
          <w:tcPr>
            <w:tcW w:w="1843" w:type="dxa"/>
            <w:vMerge/>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c>
          <w:tcPr>
            <w:tcW w:w="3331" w:type="dxa"/>
            <w:vMerge/>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c>
          <w:tcPr>
            <w:tcW w:w="2594" w:type="dxa"/>
            <w:tcBorders>
              <w:top w:val="nil"/>
            </w:tcBorders>
          </w:tcPr>
          <w:p w:rsidR="005F321E" w:rsidRPr="005F321E" w:rsidRDefault="005F321E" w:rsidP="00795272">
            <w:pPr>
              <w:pStyle w:val="Bullet1"/>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r w:rsidRPr="005F321E">
              <w:rPr>
                <w:sz w:val="18"/>
                <w:szCs w:val="18"/>
              </w:rPr>
              <w:t>10% more people with COPD attend &gt;75% of their pulmonary rehabilitation*</w:t>
            </w:r>
          </w:p>
        </w:tc>
        <w:tc>
          <w:tcPr>
            <w:tcW w:w="735" w:type="dxa"/>
            <w:gridSpan w:val="2"/>
            <w:tcBorders>
              <w:top w:val="nil"/>
            </w:tcBorders>
          </w:tcPr>
          <w:p w:rsidR="005F321E" w:rsidRPr="005F321E" w:rsidRDefault="005F321E" w:rsidP="00795272">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r>
    </w:tbl>
    <w:p w:rsidR="005F321E" w:rsidRPr="00795272" w:rsidRDefault="005F321E" w:rsidP="005F321E">
      <w:pPr>
        <w:rPr>
          <w:sz w:val="18"/>
          <w:szCs w:val="18"/>
        </w:rPr>
      </w:pPr>
      <w:r w:rsidRPr="00795272">
        <w:rPr>
          <w:sz w:val="18"/>
          <w:szCs w:val="18"/>
        </w:rPr>
        <w:t>* in participating services.</w:t>
      </w:r>
    </w:p>
    <w:p w:rsidR="005F321E" w:rsidRPr="00795272" w:rsidRDefault="005F321E" w:rsidP="005F321E">
      <w:pPr>
        <w:rPr>
          <w:sz w:val="18"/>
          <w:szCs w:val="18"/>
        </w:rPr>
      </w:pPr>
      <w:r w:rsidRPr="00795272">
        <w:rPr>
          <w:b/>
          <w:sz w:val="18"/>
          <w:szCs w:val="18"/>
        </w:rPr>
        <w:t>MET:</w:t>
      </w:r>
      <w:r w:rsidRPr="00795272">
        <w:rPr>
          <w:sz w:val="18"/>
          <w:szCs w:val="18"/>
        </w:rPr>
        <w:t xml:space="preserve"> Medical emergency team, a team that consists of specially trained doctors and nurses who have the skills and equipment to stabilise and manage critically ill patients.</w:t>
      </w:r>
    </w:p>
    <w:p w:rsidR="005F321E" w:rsidRPr="00795272" w:rsidRDefault="005F321E" w:rsidP="005F321E">
      <w:pPr>
        <w:rPr>
          <w:sz w:val="18"/>
          <w:szCs w:val="18"/>
        </w:rPr>
      </w:pPr>
      <w:r w:rsidRPr="00795272">
        <w:rPr>
          <w:b/>
          <w:sz w:val="18"/>
          <w:szCs w:val="18"/>
        </w:rPr>
        <w:t>Golden staph:</w:t>
      </w:r>
      <w:r w:rsidRPr="00795272">
        <w:rPr>
          <w:sz w:val="18"/>
          <w:szCs w:val="18"/>
        </w:rPr>
        <w:t xml:space="preserve"> Staphylococcus aureus, a common bacterium that can cause a range of mild to severe infections. Hospital patients can become seriously ill if their golden staph infection resists treatment from most types of antibiotics.</w:t>
      </w:r>
    </w:p>
    <w:p w:rsidR="005F321E" w:rsidRPr="00795272" w:rsidRDefault="005F321E" w:rsidP="005F321E">
      <w:pPr>
        <w:rPr>
          <w:sz w:val="18"/>
          <w:szCs w:val="18"/>
        </w:rPr>
      </w:pPr>
      <w:r w:rsidRPr="00795272">
        <w:rPr>
          <w:b/>
          <w:sz w:val="18"/>
          <w:szCs w:val="18"/>
        </w:rPr>
        <w:t>ECMO:</w:t>
      </w:r>
      <w:r w:rsidRPr="00795272">
        <w:rPr>
          <w:sz w:val="18"/>
          <w:szCs w:val="18"/>
        </w:rPr>
        <w:t xml:space="preserve"> Extracorporeal membrane oxygenation, gives temporary life support for critically ill patients with reversible acute respiratory and cardiac failure, and patients requiring a ‘bridge’ to transplantation.</w:t>
      </w:r>
    </w:p>
    <w:p w:rsidR="005F321E" w:rsidRPr="00795272" w:rsidRDefault="005F321E" w:rsidP="005F321E">
      <w:pPr>
        <w:rPr>
          <w:sz w:val="18"/>
          <w:szCs w:val="18"/>
        </w:rPr>
      </w:pPr>
      <w:r w:rsidRPr="00795272">
        <w:rPr>
          <w:b/>
          <w:sz w:val="18"/>
          <w:szCs w:val="18"/>
        </w:rPr>
        <w:t>COPD:</w:t>
      </w:r>
      <w:r w:rsidRPr="00795272">
        <w:rPr>
          <w:sz w:val="18"/>
          <w:szCs w:val="18"/>
        </w:rPr>
        <w:t xml:space="preserve"> Chronic obstructive pulmonary disease, covers </w:t>
      </w:r>
      <w:proofErr w:type="gramStart"/>
      <w:r w:rsidRPr="00795272">
        <w:rPr>
          <w:sz w:val="18"/>
          <w:szCs w:val="18"/>
        </w:rPr>
        <w:t>a number of</w:t>
      </w:r>
      <w:proofErr w:type="gramEnd"/>
      <w:r w:rsidRPr="00795272">
        <w:rPr>
          <w:sz w:val="18"/>
          <w:szCs w:val="18"/>
        </w:rPr>
        <w:t xml:space="preserve"> lung diseases that prevent someone from breathing properly. Two of the most common types are emphysema and chronic bronchitis.</w:t>
      </w:r>
    </w:p>
    <w:p w:rsidR="005F321E" w:rsidRPr="00132070" w:rsidRDefault="005F321E" w:rsidP="005F321E">
      <w:r w:rsidRPr="00795272">
        <w:rPr>
          <w:b/>
          <w:sz w:val="18"/>
          <w:szCs w:val="18"/>
        </w:rPr>
        <w:t>Spirometry:</w:t>
      </w:r>
      <w:r w:rsidRPr="00795272">
        <w:rPr>
          <w:sz w:val="18"/>
          <w:szCs w:val="18"/>
        </w:rPr>
        <w:t xml:space="preserve"> A common test to assess how well your lungs work. </w:t>
      </w:r>
      <w:r w:rsidRPr="00132070">
        <w:br w:type="page"/>
      </w:r>
    </w:p>
    <w:p w:rsidR="005F321E" w:rsidRDefault="005F321E" w:rsidP="005F321E">
      <w:pPr>
        <w:pStyle w:val="Heading2"/>
      </w:pPr>
      <w:r>
        <w:lastRenderedPageBreak/>
        <w:t>Fostering innovation</w:t>
      </w:r>
    </w:p>
    <w:p w:rsidR="005F321E" w:rsidRDefault="005F321E" w:rsidP="005F321E">
      <w:pPr>
        <w:pStyle w:val="IntroductoryText"/>
        <w:spacing w:before="120"/>
      </w:pPr>
      <w:r>
        <w:t>Through the unique Better Care Victoria innovation fund, w</w:t>
      </w:r>
      <w:r w:rsidRPr="00EB3002">
        <w:t xml:space="preserve">e support health services and clinicians to identify, develop and implement projects that </w:t>
      </w:r>
      <w:r>
        <w:t>improve</w:t>
      </w:r>
      <w:r w:rsidRPr="00EB3002">
        <w:t xml:space="preserve"> </w:t>
      </w:r>
      <w:r>
        <w:t xml:space="preserve">patient </w:t>
      </w:r>
      <w:r w:rsidRPr="00EB3002">
        <w:t xml:space="preserve">outcomes. We then share the most successful </w:t>
      </w:r>
      <w:proofErr w:type="gramStart"/>
      <w:r w:rsidRPr="00EB3002">
        <w:t>projects</w:t>
      </w:r>
      <w:r>
        <w:t>,</w:t>
      </w:r>
      <w:r w:rsidRPr="00EB3002">
        <w:t xml:space="preserve"> and</w:t>
      </w:r>
      <w:proofErr w:type="gramEnd"/>
      <w:r w:rsidRPr="00EB3002">
        <w:t xml:space="preserve"> provide practical tools and guidance to other health services.</w:t>
      </w:r>
      <w:r>
        <w:t xml:space="preserve"> Having funded 37 projects since 2016, we are now scaling seven of the best.</w:t>
      </w:r>
    </w:p>
    <w:tbl>
      <w:tblPr>
        <w:tblStyle w:val="TableGrid"/>
        <w:tblW w:w="0" w:type="auto"/>
        <w:tblLook w:val="04A0" w:firstRow="1" w:lastRow="0" w:firstColumn="1" w:lastColumn="0" w:noHBand="0" w:noVBand="1"/>
      </w:tblPr>
      <w:tblGrid>
        <w:gridCol w:w="1986"/>
        <w:gridCol w:w="1995"/>
        <w:gridCol w:w="2682"/>
        <w:gridCol w:w="2551"/>
        <w:gridCol w:w="990"/>
      </w:tblGrid>
      <w:tr w:rsidR="005F321E" w:rsidRPr="005F321E" w:rsidTr="005F3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rsidR="005F321E" w:rsidRPr="005F321E" w:rsidRDefault="005F321E" w:rsidP="005F321E">
            <w:pPr>
              <w:pStyle w:val="Tableheader"/>
              <w:rPr>
                <w:rFonts w:ascii="VIC SemiBold" w:hAnsi="VIC SemiBold"/>
                <w:sz w:val="18"/>
              </w:rPr>
            </w:pPr>
            <w:r w:rsidRPr="005F321E">
              <w:rPr>
                <w:rFonts w:ascii="VIC SemiBold" w:hAnsi="VIC SemiBold"/>
                <w:sz w:val="18"/>
              </w:rPr>
              <w:t>Objective</w:t>
            </w:r>
          </w:p>
        </w:tc>
        <w:tc>
          <w:tcPr>
            <w:tcW w:w="1995"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p>
        </w:tc>
        <w:tc>
          <w:tcPr>
            <w:tcW w:w="2682"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r w:rsidRPr="005F321E">
              <w:rPr>
                <w:rFonts w:ascii="VIC SemiBold" w:hAnsi="VIC SemiBold"/>
                <w:sz w:val="18"/>
              </w:rPr>
              <w:t>2019–20 activities</w:t>
            </w:r>
          </w:p>
        </w:tc>
        <w:tc>
          <w:tcPr>
            <w:tcW w:w="2551"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r w:rsidRPr="005F321E">
              <w:rPr>
                <w:rFonts w:ascii="VIC SemiBold" w:hAnsi="VIC SemiBold"/>
                <w:sz w:val="18"/>
              </w:rPr>
              <w:t>Target</w:t>
            </w:r>
          </w:p>
        </w:tc>
        <w:tc>
          <w:tcPr>
            <w:tcW w:w="990" w:type="dxa"/>
          </w:tcPr>
          <w:p w:rsidR="005F321E" w:rsidRPr="005F321E"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986" w:type="dxa"/>
            <w:vMerge w:val="restart"/>
          </w:tcPr>
          <w:p w:rsidR="005F321E" w:rsidRPr="005F321E" w:rsidRDefault="005F321E" w:rsidP="005F321E">
            <w:pPr>
              <w:rPr>
                <w:b w:val="0"/>
                <w:sz w:val="18"/>
              </w:rPr>
            </w:pPr>
            <w:r w:rsidRPr="005F321E">
              <w:rPr>
                <w:b w:val="0"/>
                <w:sz w:val="18"/>
              </w:rPr>
              <w:t>Enable innovation in priority areas</w:t>
            </w:r>
          </w:p>
        </w:tc>
        <w:tc>
          <w:tcPr>
            <w:tcW w:w="1995" w:type="dxa"/>
            <w:vMerge w:val="restart"/>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Evidence of local innovation scaled across the system</w:t>
            </w:r>
          </w:p>
        </w:tc>
        <w:tc>
          <w:tcPr>
            <w:tcW w:w="2682" w:type="dxa"/>
            <w:tcBorders>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 xml:space="preserve">FOSTER sustainable innovation through the </w:t>
            </w:r>
            <w:r w:rsidRPr="005F321E">
              <w:rPr>
                <w:rFonts w:ascii="VIC Medium" w:hAnsi="VIC Medium"/>
                <w:sz w:val="18"/>
              </w:rPr>
              <w:t>BCV fund</w:t>
            </w:r>
            <w:r w:rsidRPr="005F321E">
              <w:rPr>
                <w:sz w:val="18"/>
              </w:rPr>
              <w:t xml:space="preserve">, including in: </w:t>
            </w:r>
            <w:r w:rsidRPr="005F321E">
              <w:rPr>
                <w:sz w:val="18"/>
              </w:rPr>
              <w:br/>
            </w:r>
            <w:r w:rsidRPr="005F321E">
              <w:rPr>
                <w:rFonts w:ascii="VIC Medium" w:hAnsi="VIC Medium"/>
                <w:sz w:val="18"/>
              </w:rPr>
              <w:t>[DHHS KR29]</w:t>
            </w:r>
          </w:p>
        </w:tc>
        <w:tc>
          <w:tcPr>
            <w:tcW w:w="2551" w:type="dxa"/>
            <w:tcBorders>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80% projects successfully implemented</w:t>
            </w:r>
          </w:p>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bookmarkStart w:id="1" w:name="_Hlk13134096"/>
            <w:r w:rsidRPr="005F321E">
              <w:rPr>
                <w:sz w:val="18"/>
              </w:rPr>
              <w:t>60% innovations last after project completed</w:t>
            </w:r>
            <w:bookmarkEnd w:id="1"/>
          </w:p>
        </w:tc>
        <w:tc>
          <w:tcPr>
            <w:tcW w:w="990" w:type="dxa"/>
            <w:tcBorders>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986" w:type="dxa"/>
            <w:vMerge/>
          </w:tcPr>
          <w:p w:rsidR="005F321E" w:rsidRPr="005F321E" w:rsidRDefault="005F321E" w:rsidP="005F321E">
            <w:pPr>
              <w:rPr>
                <w:sz w:val="18"/>
              </w:rPr>
            </w:pPr>
          </w:p>
        </w:tc>
        <w:tc>
          <w:tcPr>
            <w:tcW w:w="1995"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p>
        </w:tc>
        <w:tc>
          <w:tcPr>
            <w:tcW w:w="2682" w:type="dxa"/>
            <w:tcBorders>
              <w:top w:val="nil"/>
              <w:bottom w:val="nil"/>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sz w:val="18"/>
              </w:rPr>
            </w:pPr>
            <w:r w:rsidRPr="005F321E">
              <w:rPr>
                <w:sz w:val="18"/>
              </w:rPr>
              <w:t>community mental health, children in out of home care, chronic disease and shared decision making</w:t>
            </w:r>
          </w:p>
        </w:tc>
        <w:tc>
          <w:tcPr>
            <w:tcW w:w="2551" w:type="dxa"/>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 xml:space="preserve">Start agreed projects </w:t>
            </w:r>
          </w:p>
        </w:tc>
        <w:tc>
          <w:tcPr>
            <w:tcW w:w="990" w:type="dxa"/>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Dec 2019</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986" w:type="dxa"/>
            <w:vMerge/>
          </w:tcPr>
          <w:p w:rsidR="005F321E" w:rsidRPr="005F321E" w:rsidRDefault="005F321E" w:rsidP="005F321E">
            <w:pPr>
              <w:rPr>
                <w:sz w:val="18"/>
              </w:rPr>
            </w:pPr>
          </w:p>
        </w:tc>
        <w:tc>
          <w:tcPr>
            <w:tcW w:w="1995"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p>
        </w:tc>
        <w:tc>
          <w:tcPr>
            <w:tcW w:w="2682" w:type="dxa"/>
            <w:tcBorders>
              <w:top w:val="nil"/>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sz w:val="18"/>
              </w:rPr>
            </w:pPr>
            <w:r w:rsidRPr="005F321E">
              <w:rPr>
                <w:sz w:val="18"/>
              </w:rPr>
              <w:t>digital innovation</w:t>
            </w:r>
          </w:p>
        </w:tc>
        <w:tc>
          <w:tcPr>
            <w:tcW w:w="2551" w:type="dxa"/>
            <w:tcBorders>
              <w:top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Start three projects</w:t>
            </w:r>
          </w:p>
        </w:tc>
        <w:tc>
          <w:tcPr>
            <w:tcW w:w="990" w:type="dxa"/>
            <w:tcBorders>
              <w:top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Sep 2019</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986" w:type="dxa"/>
            <w:vMerge/>
          </w:tcPr>
          <w:p w:rsidR="005F321E" w:rsidRPr="005F321E" w:rsidRDefault="005F321E" w:rsidP="005F321E">
            <w:pPr>
              <w:rPr>
                <w:sz w:val="18"/>
              </w:rPr>
            </w:pPr>
          </w:p>
        </w:tc>
        <w:tc>
          <w:tcPr>
            <w:tcW w:w="1995"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p>
        </w:tc>
        <w:tc>
          <w:tcPr>
            <w:tcW w:w="6223" w:type="dxa"/>
            <w:gridSpan w:val="3"/>
            <w:tcBorders>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 xml:space="preserve">SCALE successful projects, including: </w:t>
            </w:r>
            <w:r w:rsidRPr="005F321E">
              <w:rPr>
                <w:sz w:val="18"/>
              </w:rPr>
              <w:br/>
            </w:r>
            <w:r w:rsidRPr="005F321E">
              <w:rPr>
                <w:rFonts w:ascii="VIC Medium" w:hAnsi="VIC Medium"/>
                <w:sz w:val="18"/>
              </w:rPr>
              <w:t>[DHHS KR34]</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986" w:type="dxa"/>
            <w:vMerge/>
          </w:tcPr>
          <w:p w:rsidR="005F321E" w:rsidRPr="005F321E" w:rsidRDefault="005F321E" w:rsidP="005F321E">
            <w:pPr>
              <w:rPr>
                <w:sz w:val="18"/>
              </w:rPr>
            </w:pPr>
          </w:p>
        </w:tc>
        <w:tc>
          <w:tcPr>
            <w:tcW w:w="1995"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p>
        </w:tc>
        <w:tc>
          <w:tcPr>
            <w:tcW w:w="2682" w:type="dxa"/>
            <w:tcBorders>
              <w:top w:val="nil"/>
              <w:bottom w:val="nil"/>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sz w:val="18"/>
              </w:rPr>
            </w:pPr>
            <w:r w:rsidRPr="005F321E">
              <w:rPr>
                <w:rFonts w:ascii="VIC Medium" w:hAnsi="VIC Medium"/>
                <w:sz w:val="18"/>
              </w:rPr>
              <w:t>Geri-Connect</w:t>
            </w:r>
            <w:r w:rsidRPr="005F321E">
              <w:rPr>
                <w:sz w:val="18"/>
              </w:rPr>
              <w:t xml:space="preserve"> in residential care</w:t>
            </w:r>
          </w:p>
        </w:tc>
        <w:tc>
          <w:tcPr>
            <w:tcW w:w="2551" w:type="dxa"/>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20% better access to geriatrician assessment*</w:t>
            </w:r>
          </w:p>
        </w:tc>
        <w:tc>
          <w:tcPr>
            <w:tcW w:w="990" w:type="dxa"/>
            <w:tcBorders>
              <w:top w:val="nil"/>
              <w:bottom w:val="nil"/>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June 2020</w:t>
            </w:r>
          </w:p>
        </w:tc>
      </w:tr>
      <w:tr w:rsidR="005F321E" w:rsidRPr="005F321E" w:rsidTr="005F321E">
        <w:tc>
          <w:tcPr>
            <w:cnfStyle w:val="001000000000" w:firstRow="0" w:lastRow="0" w:firstColumn="1" w:lastColumn="0" w:oddVBand="0" w:evenVBand="0" w:oddHBand="0" w:evenHBand="0" w:firstRowFirstColumn="0" w:firstRowLastColumn="0" w:lastRowFirstColumn="0" w:lastRowLastColumn="0"/>
            <w:tcW w:w="1986" w:type="dxa"/>
            <w:vMerge/>
          </w:tcPr>
          <w:p w:rsidR="005F321E" w:rsidRPr="005F321E" w:rsidRDefault="005F321E" w:rsidP="005F321E">
            <w:pPr>
              <w:rPr>
                <w:sz w:val="18"/>
              </w:rPr>
            </w:pPr>
          </w:p>
        </w:tc>
        <w:tc>
          <w:tcPr>
            <w:tcW w:w="1995" w:type="dxa"/>
            <w:vMerge/>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p>
        </w:tc>
        <w:tc>
          <w:tcPr>
            <w:tcW w:w="2682" w:type="dxa"/>
            <w:tcBorders>
              <w:top w:val="nil"/>
              <w:bottom w:val="single" w:sz="4" w:space="0" w:color="80808B" w:themeColor="accent5"/>
            </w:tcBorders>
          </w:tcPr>
          <w:p w:rsidR="005F321E" w:rsidRPr="005F321E" w:rsidRDefault="005F321E" w:rsidP="005F321E">
            <w:pPr>
              <w:pStyle w:val="Bullet1"/>
              <w:cnfStyle w:val="000000000000" w:firstRow="0" w:lastRow="0" w:firstColumn="0" w:lastColumn="0" w:oddVBand="0" w:evenVBand="0" w:oddHBand="0" w:evenHBand="0" w:firstRowFirstColumn="0" w:firstRowLastColumn="0" w:lastRowFirstColumn="0" w:lastRowLastColumn="0"/>
              <w:rPr>
                <w:sz w:val="18"/>
              </w:rPr>
            </w:pPr>
            <w:r w:rsidRPr="005F321E">
              <w:rPr>
                <w:sz w:val="18"/>
              </w:rPr>
              <w:t>the critical care telehealth project</w:t>
            </w:r>
          </w:p>
        </w:tc>
        <w:tc>
          <w:tcPr>
            <w:tcW w:w="2551" w:type="dxa"/>
            <w:tcBorders>
              <w:top w:val="nil"/>
              <w:bottom w:val="single" w:sz="4" w:space="0" w:color="80808B" w:themeColor="accent5"/>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60% fewer transfers to Melbourne*</w:t>
            </w:r>
          </w:p>
        </w:tc>
        <w:tc>
          <w:tcPr>
            <w:tcW w:w="990" w:type="dxa"/>
            <w:tcBorders>
              <w:top w:val="nil"/>
              <w:bottom w:val="single" w:sz="4" w:space="0" w:color="80808B" w:themeColor="accent5"/>
            </w:tcBorders>
          </w:tcPr>
          <w:p w:rsidR="005F321E" w:rsidRPr="005F321E" w:rsidRDefault="005F321E" w:rsidP="005F321E">
            <w:pPr>
              <w:cnfStyle w:val="000000000000" w:firstRow="0" w:lastRow="0" w:firstColumn="0" w:lastColumn="0" w:oddVBand="0" w:evenVBand="0" w:oddHBand="0" w:evenHBand="0" w:firstRowFirstColumn="0" w:firstRowLastColumn="0" w:lastRowFirstColumn="0" w:lastRowLastColumn="0"/>
              <w:rPr>
                <w:sz w:val="18"/>
              </w:rPr>
            </w:pPr>
            <w:r w:rsidRPr="005F321E">
              <w:rPr>
                <w:sz w:val="18"/>
              </w:rPr>
              <w:t>June 2020</w:t>
            </w:r>
          </w:p>
        </w:tc>
      </w:tr>
    </w:tbl>
    <w:p w:rsidR="005F321E" w:rsidRPr="00795272" w:rsidRDefault="005F321E" w:rsidP="005F321E">
      <w:pPr>
        <w:rPr>
          <w:sz w:val="18"/>
        </w:rPr>
      </w:pPr>
      <w:r w:rsidRPr="00795272">
        <w:rPr>
          <w:sz w:val="18"/>
        </w:rPr>
        <w:t>* in participating services.</w:t>
      </w:r>
    </w:p>
    <w:p w:rsidR="005F321E" w:rsidRPr="00795272" w:rsidRDefault="005F321E" w:rsidP="005F321E">
      <w:pPr>
        <w:rPr>
          <w:sz w:val="18"/>
        </w:rPr>
      </w:pPr>
      <w:r w:rsidRPr="00795272">
        <w:rPr>
          <w:b/>
          <w:sz w:val="18"/>
        </w:rPr>
        <w:t>BCV:</w:t>
      </w:r>
      <w:r w:rsidRPr="00795272">
        <w:rPr>
          <w:sz w:val="18"/>
        </w:rPr>
        <w:t xml:space="preserve"> Better Care Victoria, a Victorian Government innovation fund that tests and supports new and unique ways to improve healthcare.</w:t>
      </w:r>
    </w:p>
    <w:p w:rsidR="005F321E" w:rsidRDefault="005F321E" w:rsidP="005F321E">
      <w:pPr>
        <w:rPr>
          <w:rFonts w:ascii="VIC SemiBold" w:eastAsiaTheme="majorEastAsia" w:hAnsi="VIC SemiBold" w:cstheme="majorBidi"/>
          <w:color w:val="007586" w:themeColor="text2"/>
          <w:sz w:val="24"/>
          <w:szCs w:val="26"/>
        </w:rPr>
      </w:pPr>
      <w:r>
        <w:br w:type="page"/>
      </w:r>
    </w:p>
    <w:p w:rsidR="005F321E" w:rsidRDefault="005F321E" w:rsidP="005F321E">
      <w:pPr>
        <w:pStyle w:val="Heading2"/>
      </w:pPr>
      <w:r>
        <w:lastRenderedPageBreak/>
        <w:t>Reviewing and responding</w:t>
      </w:r>
    </w:p>
    <w:p w:rsidR="005F321E" w:rsidRDefault="005F321E" w:rsidP="00795272">
      <w:pPr>
        <w:pStyle w:val="IntroductoryText"/>
        <w:spacing w:before="120" w:after="120"/>
      </w:pPr>
      <w:r>
        <w:t>We help health services learn from patient harm, deaths, and quality and safety indicators. Through our efforts we are bringing a new era of transparency to the most serious events in our hospitals, knowing they can help inform future prevention and improvement across the state.</w:t>
      </w:r>
    </w:p>
    <w:tbl>
      <w:tblPr>
        <w:tblStyle w:val="TableGrid"/>
        <w:tblW w:w="0" w:type="auto"/>
        <w:tblLook w:val="04A0" w:firstRow="1" w:lastRow="0" w:firstColumn="1" w:lastColumn="0" w:noHBand="0" w:noVBand="1"/>
      </w:tblPr>
      <w:tblGrid>
        <w:gridCol w:w="1843"/>
        <w:gridCol w:w="1985"/>
        <w:gridCol w:w="2693"/>
        <w:gridCol w:w="2410"/>
        <w:gridCol w:w="1273"/>
      </w:tblGrid>
      <w:tr w:rsidR="005F321E" w:rsidRPr="00795272" w:rsidTr="005F3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5F321E" w:rsidRPr="00795272" w:rsidRDefault="005F321E" w:rsidP="005F321E">
            <w:pPr>
              <w:pStyle w:val="Tableheader"/>
              <w:rPr>
                <w:rFonts w:ascii="VIC SemiBold" w:hAnsi="VIC SemiBold"/>
                <w:sz w:val="18"/>
              </w:rPr>
            </w:pPr>
            <w:r w:rsidRPr="00795272">
              <w:rPr>
                <w:rFonts w:ascii="VIC SemiBold" w:hAnsi="VIC SemiBold"/>
                <w:sz w:val="18"/>
              </w:rPr>
              <w:t>Objective</w:t>
            </w:r>
          </w:p>
        </w:tc>
        <w:tc>
          <w:tcPr>
            <w:tcW w:w="1985"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p>
        </w:tc>
        <w:tc>
          <w:tcPr>
            <w:tcW w:w="2693"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r w:rsidRPr="00795272">
              <w:rPr>
                <w:rFonts w:ascii="VIC SemiBold" w:hAnsi="VIC SemiBold"/>
                <w:sz w:val="18"/>
              </w:rPr>
              <w:t>2019–20 activities</w:t>
            </w:r>
          </w:p>
        </w:tc>
        <w:tc>
          <w:tcPr>
            <w:tcW w:w="2410"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r w:rsidRPr="00795272">
              <w:rPr>
                <w:rFonts w:ascii="VIC SemiBold" w:hAnsi="VIC SemiBold"/>
                <w:sz w:val="18"/>
              </w:rPr>
              <w:t>Target</w:t>
            </w:r>
          </w:p>
        </w:tc>
        <w:tc>
          <w:tcPr>
            <w:tcW w:w="1273"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rPr>
            </w:pP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843" w:type="dxa"/>
            <w:vMerge w:val="restart"/>
          </w:tcPr>
          <w:p w:rsidR="005F321E" w:rsidRPr="00795272" w:rsidRDefault="005F321E" w:rsidP="00795272">
            <w:pPr>
              <w:spacing w:before="40" w:after="40"/>
              <w:rPr>
                <w:b w:val="0"/>
                <w:sz w:val="18"/>
              </w:rPr>
            </w:pPr>
            <w:r w:rsidRPr="00795272">
              <w:rPr>
                <w:b w:val="0"/>
                <w:sz w:val="18"/>
              </w:rPr>
              <w:t>Robust response and review of serious incidents</w:t>
            </w:r>
          </w:p>
        </w:tc>
        <w:tc>
          <w:tcPr>
            <w:tcW w:w="1985" w:type="dxa"/>
            <w:vMerge w:val="restart"/>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A just culture. Demonstrable improvements in the number of serious events reported to SCV</w:t>
            </w:r>
          </w:p>
        </w:tc>
        <w:tc>
          <w:tcPr>
            <w:tcW w:w="6376" w:type="dxa"/>
            <w:gridSpan w:val="3"/>
            <w:tcBorders>
              <w:bottom w:val="nil"/>
            </w:tcBorders>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 xml:space="preserve">STRENGTHEN the review of serious events that harm patients through: </w:t>
            </w:r>
            <w:r w:rsidRPr="00795272">
              <w:rPr>
                <w:sz w:val="18"/>
              </w:rPr>
              <w:br/>
            </w:r>
            <w:r w:rsidRPr="00795272">
              <w:rPr>
                <w:rFonts w:ascii="VIC Medium" w:hAnsi="VIC Medium"/>
                <w:sz w:val="18"/>
              </w:rPr>
              <w:t>[DHHS KR1]</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843" w:type="dxa"/>
            <w:vMerge/>
          </w:tcPr>
          <w:p w:rsidR="005F321E" w:rsidRPr="00795272" w:rsidRDefault="005F321E" w:rsidP="00795272">
            <w:pPr>
              <w:spacing w:before="40" w:after="40"/>
              <w:rPr>
                <w:sz w:val="18"/>
              </w:rPr>
            </w:pPr>
          </w:p>
        </w:tc>
        <w:tc>
          <w:tcPr>
            <w:tcW w:w="1985"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p>
        </w:tc>
        <w:tc>
          <w:tcPr>
            <w:tcW w:w="2693" w:type="dxa"/>
            <w:tcBorders>
              <w:top w:val="nil"/>
              <w:bottom w:val="nil"/>
            </w:tcBorders>
          </w:tcPr>
          <w:p w:rsidR="005F321E" w:rsidRPr="00795272" w:rsidRDefault="005F321E" w:rsidP="00795272">
            <w:pPr>
              <w:pStyle w:val="Bullet1"/>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adding online learning modules to incident review training</w:t>
            </w:r>
          </w:p>
        </w:tc>
        <w:tc>
          <w:tcPr>
            <w:tcW w:w="2410" w:type="dxa"/>
            <w:tcBorders>
              <w:top w:val="nil"/>
              <w:bottom w:val="nil"/>
            </w:tcBorders>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50% more people undertake online and in-person training</w:t>
            </w:r>
          </w:p>
        </w:tc>
        <w:tc>
          <w:tcPr>
            <w:tcW w:w="1273" w:type="dxa"/>
            <w:tcBorders>
              <w:top w:val="nil"/>
              <w:bottom w:val="nil"/>
            </w:tcBorders>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843" w:type="dxa"/>
            <w:vMerge/>
          </w:tcPr>
          <w:p w:rsidR="005F321E" w:rsidRPr="00795272" w:rsidRDefault="005F321E" w:rsidP="00795272">
            <w:pPr>
              <w:spacing w:before="40" w:after="40"/>
              <w:rPr>
                <w:sz w:val="18"/>
              </w:rPr>
            </w:pPr>
          </w:p>
        </w:tc>
        <w:tc>
          <w:tcPr>
            <w:tcW w:w="1985"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p>
        </w:tc>
        <w:tc>
          <w:tcPr>
            <w:tcW w:w="2693" w:type="dxa"/>
            <w:tcBorders>
              <w:top w:val="nil"/>
              <w:bottom w:val="nil"/>
            </w:tcBorders>
          </w:tcPr>
          <w:p w:rsidR="005F321E" w:rsidRPr="00795272" w:rsidRDefault="005F321E" w:rsidP="00795272">
            <w:pPr>
              <w:pStyle w:val="Bullet1"/>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a new incident management framework, including tools, resources</w:t>
            </w:r>
          </w:p>
        </w:tc>
        <w:tc>
          <w:tcPr>
            <w:tcW w:w="2410" w:type="dxa"/>
            <w:tcBorders>
              <w:top w:val="nil"/>
              <w:bottom w:val="nil"/>
            </w:tcBorders>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Publish just culture resources</w:t>
            </w:r>
          </w:p>
        </w:tc>
        <w:tc>
          <w:tcPr>
            <w:tcW w:w="1273" w:type="dxa"/>
            <w:tcBorders>
              <w:top w:val="nil"/>
              <w:bottom w:val="nil"/>
            </w:tcBorders>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Mar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843" w:type="dxa"/>
            <w:vMerge/>
          </w:tcPr>
          <w:p w:rsidR="005F321E" w:rsidRPr="00795272" w:rsidRDefault="005F321E" w:rsidP="00795272">
            <w:pPr>
              <w:spacing w:before="40" w:after="40"/>
              <w:rPr>
                <w:sz w:val="18"/>
              </w:rPr>
            </w:pPr>
          </w:p>
        </w:tc>
        <w:tc>
          <w:tcPr>
            <w:tcW w:w="1985"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p>
        </w:tc>
        <w:tc>
          <w:tcPr>
            <w:tcW w:w="2693" w:type="dxa"/>
            <w:tcBorders>
              <w:top w:val="nil"/>
              <w:bottom w:val="single" w:sz="2" w:space="0" w:color="80808B" w:themeColor="accent5"/>
            </w:tcBorders>
          </w:tcPr>
          <w:p w:rsidR="005F321E" w:rsidRPr="00795272" w:rsidRDefault="005F321E" w:rsidP="00795272">
            <w:pPr>
              <w:pStyle w:val="Bullet1"/>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more external members on RCA review teams</w:t>
            </w:r>
          </w:p>
        </w:tc>
        <w:tc>
          <w:tcPr>
            <w:tcW w:w="2410" w:type="dxa"/>
            <w:tcBorders>
              <w:top w:val="nil"/>
              <w:bottom w:val="single" w:sz="2" w:space="0" w:color="80808B" w:themeColor="accent5"/>
            </w:tcBorders>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Double PEER membership</w:t>
            </w:r>
          </w:p>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bookmarkStart w:id="2" w:name="_Hlk13126556"/>
            <w:r w:rsidRPr="00795272">
              <w:rPr>
                <w:sz w:val="18"/>
              </w:rPr>
              <w:t>95% RCAs include external expert</w:t>
            </w:r>
          </w:p>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36% RCAs include consumers</w:t>
            </w:r>
            <w:bookmarkEnd w:id="2"/>
          </w:p>
        </w:tc>
        <w:tc>
          <w:tcPr>
            <w:tcW w:w="1273" w:type="dxa"/>
            <w:tcBorders>
              <w:top w:val="nil"/>
              <w:bottom w:val="single" w:sz="2" w:space="0" w:color="80808B" w:themeColor="accent5"/>
            </w:tcBorders>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843" w:type="dxa"/>
            <w:vMerge/>
          </w:tcPr>
          <w:p w:rsidR="005F321E" w:rsidRPr="00795272" w:rsidRDefault="005F321E" w:rsidP="00795272">
            <w:pPr>
              <w:spacing w:before="40" w:after="40"/>
              <w:rPr>
                <w:sz w:val="18"/>
              </w:rPr>
            </w:pPr>
          </w:p>
        </w:tc>
        <w:tc>
          <w:tcPr>
            <w:tcW w:w="1985"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p>
        </w:tc>
        <w:tc>
          <w:tcPr>
            <w:tcW w:w="2693" w:type="dxa"/>
            <w:tcBorders>
              <w:bottom w:val="single" w:sz="2" w:space="0" w:color="80808B" w:themeColor="accent5"/>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RESPOND to quality and safety concerns through independent reviews</w:t>
            </w:r>
            <w:r w:rsidRPr="00795272">
              <w:rPr>
                <w:rFonts w:ascii="VIC Medium" w:hAnsi="VIC Medium"/>
                <w:sz w:val="18"/>
              </w:rPr>
              <w:br/>
              <w:t>[DHHS KR1]</w:t>
            </w:r>
          </w:p>
        </w:tc>
        <w:tc>
          <w:tcPr>
            <w:tcW w:w="2410" w:type="dxa"/>
            <w:tcBorders>
              <w:bottom w:val="single" w:sz="2" w:space="0" w:color="80808B" w:themeColor="accent5"/>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Deliver recommendations from chiropractic review</w:t>
            </w:r>
          </w:p>
        </w:tc>
        <w:tc>
          <w:tcPr>
            <w:tcW w:w="1273" w:type="dxa"/>
            <w:tcBorders>
              <w:bottom w:val="single" w:sz="2" w:space="0" w:color="80808B" w:themeColor="accent5"/>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Dec 2019</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843" w:type="dxa"/>
            <w:vMerge/>
          </w:tcPr>
          <w:p w:rsidR="005F321E" w:rsidRPr="00795272" w:rsidRDefault="005F321E" w:rsidP="00795272">
            <w:pPr>
              <w:spacing w:before="40" w:after="40"/>
              <w:rPr>
                <w:sz w:val="18"/>
              </w:rPr>
            </w:pPr>
          </w:p>
        </w:tc>
        <w:tc>
          <w:tcPr>
            <w:tcW w:w="1985"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p>
        </w:tc>
        <w:tc>
          <w:tcPr>
            <w:tcW w:w="2693" w:type="dxa"/>
            <w:tcBorders>
              <w:top w:val="single" w:sz="2" w:space="0" w:color="80808B" w:themeColor="accent5"/>
              <w:bottom w:val="single" w:sz="2" w:space="0" w:color="80808B" w:themeColor="accent5"/>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 xml:space="preserve">PILOT regional morbidity and mortality meetings to review surgical cases in one region </w:t>
            </w:r>
            <w:r w:rsidRPr="00795272">
              <w:rPr>
                <w:sz w:val="18"/>
              </w:rPr>
              <w:br/>
            </w:r>
            <w:r w:rsidRPr="00795272">
              <w:rPr>
                <w:rFonts w:ascii="VIC Medium" w:hAnsi="VIC Medium"/>
                <w:sz w:val="18"/>
              </w:rPr>
              <w:t>[DHHS KR1]</w:t>
            </w:r>
          </w:p>
        </w:tc>
        <w:tc>
          <w:tcPr>
            <w:tcW w:w="2410" w:type="dxa"/>
            <w:tcBorders>
              <w:top w:val="single" w:sz="2" w:space="0" w:color="80808B" w:themeColor="accent5"/>
              <w:bottom w:val="single" w:sz="2" w:space="0" w:color="80808B" w:themeColor="accent5"/>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Release review framework</w:t>
            </w:r>
          </w:p>
        </w:tc>
        <w:tc>
          <w:tcPr>
            <w:tcW w:w="1273" w:type="dxa"/>
            <w:tcBorders>
              <w:top w:val="single" w:sz="2" w:space="0" w:color="80808B" w:themeColor="accent5"/>
              <w:bottom w:val="single" w:sz="2" w:space="0" w:color="80808B" w:themeColor="accent5"/>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843" w:type="dxa"/>
            <w:vMerge/>
          </w:tcPr>
          <w:p w:rsidR="005F321E" w:rsidRPr="00795272" w:rsidRDefault="005F321E" w:rsidP="00795272">
            <w:pPr>
              <w:spacing w:before="40" w:after="40"/>
              <w:rPr>
                <w:sz w:val="18"/>
              </w:rPr>
            </w:pPr>
          </w:p>
        </w:tc>
        <w:tc>
          <w:tcPr>
            <w:tcW w:w="1985"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p>
        </w:tc>
        <w:tc>
          <w:tcPr>
            <w:tcW w:w="2693" w:type="dxa"/>
            <w:tcBorders>
              <w:top w:val="single" w:sz="2" w:space="0" w:color="80808B" w:themeColor="accent5"/>
              <w:bottom w:val="single" w:sz="2" w:space="0" w:color="80808B" w:themeColor="accent5"/>
            </w:tcBorders>
            <w:shd w:val="clear" w:color="auto" w:fill="auto"/>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EXPLORE outcomes for Aboriginal mothers and babies to better inform areas that require prioritisation</w:t>
            </w:r>
            <w:r w:rsidRPr="00795272">
              <w:rPr>
                <w:sz w:val="18"/>
              </w:rPr>
              <w:br/>
            </w:r>
            <w:r w:rsidRPr="00795272">
              <w:rPr>
                <w:rFonts w:ascii="VIC Medium" w:hAnsi="VIC Medium"/>
                <w:sz w:val="18"/>
              </w:rPr>
              <w:t>[DHHS KR3, 4]</w:t>
            </w:r>
          </w:p>
        </w:tc>
        <w:tc>
          <w:tcPr>
            <w:tcW w:w="2410" w:type="dxa"/>
            <w:tcBorders>
              <w:top w:val="single" w:sz="2" w:space="0" w:color="80808B" w:themeColor="accent5"/>
              <w:bottom w:val="single" w:sz="2" w:space="0" w:color="80808B" w:themeColor="accent5"/>
            </w:tcBorders>
            <w:shd w:val="clear" w:color="auto" w:fill="auto"/>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CCOPMM develops project proposal outlining key areas for more in-depth analysis</w:t>
            </w:r>
          </w:p>
        </w:tc>
        <w:tc>
          <w:tcPr>
            <w:tcW w:w="1273" w:type="dxa"/>
            <w:tcBorders>
              <w:top w:val="single" w:sz="2" w:space="0" w:color="80808B" w:themeColor="accent5"/>
              <w:bottom w:val="single" w:sz="2" w:space="0" w:color="80808B" w:themeColor="accent5"/>
            </w:tcBorders>
            <w:shd w:val="clear" w:color="auto" w:fill="auto"/>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rPr>
            </w:pPr>
            <w:r w:rsidRPr="00795272">
              <w:rPr>
                <w:sz w:val="18"/>
              </w:rPr>
              <w:t>June 2020</w:t>
            </w:r>
          </w:p>
        </w:tc>
      </w:tr>
    </w:tbl>
    <w:p w:rsidR="005F321E" w:rsidRPr="00795272" w:rsidRDefault="005F321E" w:rsidP="00795272">
      <w:pPr>
        <w:spacing w:before="40" w:after="40"/>
        <w:rPr>
          <w:sz w:val="18"/>
        </w:rPr>
      </w:pPr>
      <w:r w:rsidRPr="00795272">
        <w:rPr>
          <w:b/>
          <w:sz w:val="18"/>
        </w:rPr>
        <w:t>RCA:</w:t>
      </w:r>
      <w:r w:rsidRPr="00795272">
        <w:rPr>
          <w:sz w:val="18"/>
        </w:rPr>
        <w:t xml:space="preserve"> Root cause analysis, the process hospitals use to investigate the real cause behind serious cases of patient harm and death.</w:t>
      </w:r>
    </w:p>
    <w:p w:rsidR="005F321E" w:rsidRPr="00795272" w:rsidRDefault="005F321E" w:rsidP="00795272">
      <w:pPr>
        <w:spacing w:before="40" w:after="40"/>
        <w:rPr>
          <w:sz w:val="18"/>
        </w:rPr>
      </w:pPr>
      <w:r w:rsidRPr="00795272">
        <w:rPr>
          <w:b/>
          <w:sz w:val="18"/>
        </w:rPr>
        <w:t>PEER:</w:t>
      </w:r>
      <w:r w:rsidRPr="00795272">
        <w:rPr>
          <w:sz w:val="18"/>
        </w:rPr>
        <w:t xml:space="preserve"> A platform that connects health services with independent panel members for serious or sentinel event reviews.</w:t>
      </w:r>
    </w:p>
    <w:p w:rsidR="005F321E" w:rsidRPr="00795272" w:rsidRDefault="005F321E" w:rsidP="00795272">
      <w:pPr>
        <w:spacing w:before="40" w:after="40"/>
        <w:rPr>
          <w:sz w:val="18"/>
        </w:rPr>
      </w:pPr>
      <w:r w:rsidRPr="00795272">
        <w:rPr>
          <w:b/>
          <w:sz w:val="18"/>
        </w:rPr>
        <w:t>CCOPMM</w:t>
      </w:r>
      <w:r w:rsidRPr="00795272">
        <w:rPr>
          <w:sz w:val="18"/>
        </w:rPr>
        <w:t xml:space="preserve"> The Consultative Council on Obstetric and Paediatric Mortality and Morbidity, which independently reviews all cases of maternal, perinatal and paediatric mortality.</w:t>
      </w:r>
    </w:p>
    <w:tbl>
      <w:tblPr>
        <w:tblStyle w:val="TableGrid"/>
        <w:tblW w:w="0" w:type="auto"/>
        <w:tblLook w:val="04A0" w:firstRow="1" w:lastRow="0" w:firstColumn="1" w:lastColumn="0" w:noHBand="0" w:noVBand="1"/>
      </w:tblPr>
      <w:tblGrid>
        <w:gridCol w:w="1979"/>
        <w:gridCol w:w="1982"/>
        <w:gridCol w:w="2599"/>
        <w:gridCol w:w="2511"/>
        <w:gridCol w:w="1133"/>
      </w:tblGrid>
      <w:tr w:rsidR="005F321E" w:rsidRPr="00795272" w:rsidTr="005F3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rsidR="005F321E" w:rsidRPr="00795272" w:rsidRDefault="005F321E" w:rsidP="005F321E">
            <w:pPr>
              <w:pStyle w:val="Tableheader"/>
              <w:rPr>
                <w:rFonts w:ascii="VIC SemiBold" w:hAnsi="VIC SemiBold"/>
                <w:sz w:val="18"/>
                <w:szCs w:val="18"/>
              </w:rPr>
            </w:pPr>
            <w:r w:rsidRPr="00795272">
              <w:rPr>
                <w:rFonts w:ascii="VIC SemiBold" w:hAnsi="VIC SemiBold"/>
                <w:sz w:val="18"/>
                <w:szCs w:val="18"/>
              </w:rPr>
              <w:lastRenderedPageBreak/>
              <w:t>Objective</w:t>
            </w:r>
          </w:p>
        </w:tc>
        <w:tc>
          <w:tcPr>
            <w:tcW w:w="1982"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p>
        </w:tc>
        <w:tc>
          <w:tcPr>
            <w:tcW w:w="2599"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r w:rsidRPr="00795272">
              <w:rPr>
                <w:rFonts w:ascii="VIC SemiBold" w:hAnsi="VIC SemiBold"/>
                <w:sz w:val="18"/>
                <w:szCs w:val="18"/>
              </w:rPr>
              <w:t>2019–20 activities</w:t>
            </w:r>
          </w:p>
        </w:tc>
        <w:tc>
          <w:tcPr>
            <w:tcW w:w="2511"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r w:rsidRPr="00795272">
              <w:rPr>
                <w:rFonts w:ascii="VIC SemiBold" w:hAnsi="VIC SemiBold"/>
                <w:sz w:val="18"/>
                <w:szCs w:val="18"/>
              </w:rPr>
              <w:t>Target</w:t>
            </w:r>
          </w:p>
        </w:tc>
        <w:tc>
          <w:tcPr>
            <w:tcW w:w="1133"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val="restart"/>
          </w:tcPr>
          <w:p w:rsidR="005F321E" w:rsidRPr="00795272" w:rsidRDefault="005F321E" w:rsidP="005F321E">
            <w:pPr>
              <w:pStyle w:val="Tableheader"/>
              <w:rPr>
                <w:sz w:val="18"/>
                <w:szCs w:val="18"/>
              </w:rPr>
            </w:pPr>
            <w:r w:rsidRPr="00795272">
              <w:rPr>
                <w:sz w:val="18"/>
                <w:szCs w:val="18"/>
              </w:rPr>
              <w:t>Dissemination of learnings from serious incidents, and local best practice</w:t>
            </w:r>
          </w:p>
        </w:tc>
        <w:tc>
          <w:tcPr>
            <w:tcW w:w="1982" w:type="dxa"/>
            <w:vMerge w:val="restart"/>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Measurable reductions in avoidable harm</w:t>
            </w:r>
          </w:p>
        </w:tc>
        <w:tc>
          <w:tcPr>
            <w:tcW w:w="2599"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 xml:space="preserve">PUBLISH sentinel events annual report </w:t>
            </w:r>
            <w:r w:rsidRPr="00795272">
              <w:rPr>
                <w:b w:val="0"/>
                <w:color w:val="auto"/>
                <w:sz w:val="18"/>
                <w:szCs w:val="18"/>
              </w:rPr>
              <w:br/>
            </w:r>
            <w:r w:rsidRPr="00795272">
              <w:rPr>
                <w:rFonts w:ascii="VIC Medium" w:hAnsi="VIC Medium"/>
                <w:b w:val="0"/>
                <w:color w:val="auto"/>
                <w:sz w:val="18"/>
                <w:szCs w:val="18"/>
              </w:rPr>
              <w:t>[DHHS KR41]</w:t>
            </w:r>
          </w:p>
        </w:tc>
        <w:tc>
          <w:tcPr>
            <w:tcW w:w="2511"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Release report</w:t>
            </w:r>
          </w:p>
        </w:tc>
        <w:tc>
          <w:tcPr>
            <w:tcW w:w="1133"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Feb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pStyle w:val="Tableheader"/>
              <w:rPr>
                <w:sz w:val="18"/>
                <w:szCs w:val="18"/>
              </w:rPr>
            </w:pPr>
          </w:p>
        </w:tc>
        <w:tc>
          <w:tcPr>
            <w:tcW w:w="1982"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99" w:type="dxa"/>
            <w:vMerge w:val="restart"/>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 xml:space="preserve">RELEASE best practice guidance </w:t>
            </w:r>
            <w:r w:rsidRPr="00795272">
              <w:rPr>
                <w:b w:val="0"/>
                <w:color w:val="auto"/>
                <w:sz w:val="18"/>
                <w:szCs w:val="18"/>
              </w:rPr>
              <w:br/>
            </w:r>
            <w:r w:rsidRPr="00795272">
              <w:rPr>
                <w:rFonts w:ascii="VIC Medium" w:hAnsi="VIC Medium"/>
                <w:b w:val="0"/>
                <w:color w:val="auto"/>
                <w:sz w:val="18"/>
                <w:szCs w:val="18"/>
              </w:rPr>
              <w:t>[DHHS KR1, 29]</w:t>
            </w:r>
          </w:p>
        </w:tc>
        <w:tc>
          <w:tcPr>
            <w:tcW w:w="2511"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atrial fibrillation in EDs</w:t>
            </w:r>
          </w:p>
        </w:tc>
        <w:tc>
          <w:tcPr>
            <w:tcW w:w="1133"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pStyle w:val="Tableheader"/>
              <w:rPr>
                <w:sz w:val="18"/>
                <w:szCs w:val="18"/>
              </w:rPr>
            </w:pPr>
          </w:p>
        </w:tc>
        <w:tc>
          <w:tcPr>
            <w:tcW w:w="1982"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99"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11"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acute behavioural disturbance in EDs</w:t>
            </w:r>
          </w:p>
        </w:tc>
        <w:tc>
          <w:tcPr>
            <w:tcW w:w="1133"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Mar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pStyle w:val="Tableheader"/>
              <w:rPr>
                <w:sz w:val="18"/>
                <w:szCs w:val="18"/>
              </w:rPr>
            </w:pPr>
          </w:p>
        </w:tc>
        <w:tc>
          <w:tcPr>
            <w:tcW w:w="1982"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99"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11"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informed consent with renal patients</w:t>
            </w:r>
          </w:p>
        </w:tc>
        <w:tc>
          <w:tcPr>
            <w:tcW w:w="1133"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May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pStyle w:val="Tableheader"/>
              <w:rPr>
                <w:sz w:val="18"/>
                <w:szCs w:val="18"/>
              </w:rPr>
            </w:pPr>
          </w:p>
        </w:tc>
        <w:tc>
          <w:tcPr>
            <w:tcW w:w="1982"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99"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11"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use of bedrails in hospitals</w:t>
            </w:r>
          </w:p>
        </w:tc>
        <w:tc>
          <w:tcPr>
            <w:tcW w:w="1133"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Oct 2019</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pStyle w:val="Tableheader"/>
              <w:rPr>
                <w:sz w:val="18"/>
                <w:szCs w:val="18"/>
              </w:rPr>
            </w:pPr>
          </w:p>
        </w:tc>
        <w:tc>
          <w:tcPr>
            <w:tcW w:w="1982"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99"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11"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palliative sedation and anticipatory medicines</w:t>
            </w:r>
          </w:p>
        </w:tc>
        <w:tc>
          <w:tcPr>
            <w:tcW w:w="1133"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Dec 2019</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pStyle w:val="Tableheader"/>
              <w:rPr>
                <w:sz w:val="18"/>
                <w:szCs w:val="18"/>
              </w:rPr>
            </w:pPr>
          </w:p>
        </w:tc>
        <w:tc>
          <w:tcPr>
            <w:tcW w:w="1982"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99" w:type="dxa"/>
            <w:vMerge/>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511"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safe oral intake</w:t>
            </w:r>
          </w:p>
        </w:tc>
        <w:tc>
          <w:tcPr>
            <w:tcW w:w="1133" w:type="dxa"/>
          </w:tcPr>
          <w:p w:rsidR="005F321E" w:rsidRPr="00795272" w:rsidRDefault="005F321E" w:rsidP="005F321E">
            <w:pPr>
              <w:pStyle w:val="Tableheader"/>
              <w:cnfStyle w:val="000000000000" w:firstRow="0" w:lastRow="0" w:firstColumn="0" w:lastColumn="0" w:oddVBand="0" w:evenVBand="0" w:oddHBand="0" w:evenHBand="0" w:firstRowFirstColumn="0" w:firstRowLastColumn="0" w:lastRowFirstColumn="0" w:lastRowLastColumn="0"/>
              <w:rPr>
                <w:rFonts w:ascii="VIC SemiBold" w:hAnsi="VIC SemiBold"/>
                <w:b w:val="0"/>
                <w:color w:val="auto"/>
                <w:sz w:val="18"/>
                <w:szCs w:val="18"/>
              </w:rPr>
            </w:pPr>
            <w:r w:rsidRPr="00795272">
              <w:rPr>
                <w:b w:val="0"/>
                <w:color w:val="auto"/>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val="restart"/>
          </w:tcPr>
          <w:p w:rsidR="005F321E" w:rsidRPr="00795272" w:rsidRDefault="005F321E" w:rsidP="005F321E">
            <w:pPr>
              <w:rPr>
                <w:b w:val="0"/>
                <w:sz w:val="18"/>
                <w:szCs w:val="18"/>
              </w:rPr>
            </w:pPr>
            <w:r w:rsidRPr="00795272">
              <w:rPr>
                <w:b w:val="0"/>
                <w:sz w:val="18"/>
                <w:szCs w:val="18"/>
              </w:rPr>
              <w:t>Quality and safety data analysis drives system oversight and response</w:t>
            </w:r>
          </w:p>
        </w:tc>
        <w:tc>
          <w:tcPr>
            <w:tcW w:w="1982" w:type="dxa"/>
            <w:vMerge w:val="restart"/>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New quality and safety measures in clinician-driven reports for sector and public</w:t>
            </w:r>
          </w:p>
        </w:tc>
        <w:tc>
          <w:tcPr>
            <w:tcW w:w="2599" w:type="dxa"/>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RESEARCH relationships between volume and clinical outcomes, and recommend ways to implement safe, evidence-based service models </w:t>
            </w:r>
            <w:r w:rsidRPr="00795272">
              <w:rPr>
                <w:sz w:val="18"/>
                <w:szCs w:val="18"/>
              </w:rPr>
              <w:br/>
            </w:r>
            <w:r w:rsidRPr="00795272">
              <w:rPr>
                <w:rFonts w:ascii="VIC Medium" w:hAnsi="VIC Medium"/>
                <w:sz w:val="18"/>
                <w:szCs w:val="18"/>
              </w:rPr>
              <w:t>[DHHS KR1, 29]</w:t>
            </w:r>
          </w:p>
        </w:tc>
        <w:tc>
          <w:tcPr>
            <w:tcW w:w="2511" w:type="dxa"/>
            <w:tcBorders>
              <w:bottom w:val="single" w:sz="2" w:space="0" w:color="80808B" w:themeColor="accent5"/>
            </w:tcBorders>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Complete four reviews</w:t>
            </w:r>
          </w:p>
        </w:tc>
        <w:tc>
          <w:tcPr>
            <w:tcW w:w="1133" w:type="dxa"/>
            <w:tcBorders>
              <w:bottom w:val="single" w:sz="2" w:space="0" w:color="80808B" w:themeColor="accent5"/>
            </w:tcBorders>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rPr>
                <w:sz w:val="18"/>
                <w:szCs w:val="18"/>
              </w:rPr>
            </w:pPr>
          </w:p>
        </w:tc>
        <w:tc>
          <w:tcPr>
            <w:tcW w:w="1982" w:type="dxa"/>
            <w:vMerge/>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2599" w:type="dxa"/>
            <w:vMerge w:val="restart"/>
            <w:shd w:val="clear" w:color="auto" w:fill="FFFFFF" w:themeFill="background1"/>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795272">
              <w:rPr>
                <w:sz w:val="18"/>
                <w:szCs w:val="18"/>
              </w:rPr>
              <w:t xml:space="preserve">DEVELOP new quality and safety reporting measures </w:t>
            </w:r>
            <w:r w:rsidRPr="00795272">
              <w:rPr>
                <w:sz w:val="18"/>
                <w:szCs w:val="18"/>
              </w:rPr>
              <w:br/>
            </w:r>
            <w:r w:rsidRPr="00795272">
              <w:rPr>
                <w:rFonts w:ascii="VIC Medium" w:hAnsi="VIC Medium"/>
                <w:sz w:val="18"/>
                <w:szCs w:val="18"/>
              </w:rPr>
              <w:t>[DHHS KR41]</w:t>
            </w:r>
          </w:p>
        </w:tc>
        <w:tc>
          <w:tcPr>
            <w:tcW w:w="2511" w:type="dxa"/>
            <w:tcBorders>
              <w:bottom w:val="single" w:sz="2" w:space="0" w:color="80808B" w:themeColor="accent5"/>
            </w:tcBorders>
            <w:shd w:val="clear" w:color="auto" w:fill="F2F2F2" w:themeFill="background1" w:themeFillShade="F2"/>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Develop baseline suite of measures for public residential aged care </w:t>
            </w:r>
          </w:p>
        </w:tc>
        <w:tc>
          <w:tcPr>
            <w:tcW w:w="1133" w:type="dxa"/>
            <w:tcBorders>
              <w:bottom w:val="single" w:sz="2" w:space="0" w:color="80808B" w:themeColor="accent5"/>
            </w:tcBorders>
            <w:shd w:val="clear" w:color="auto" w:fill="F2F2F2" w:themeFill="background1" w:themeFillShade="F2"/>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rPr>
                <w:sz w:val="18"/>
                <w:szCs w:val="18"/>
              </w:rPr>
            </w:pPr>
          </w:p>
        </w:tc>
        <w:tc>
          <w:tcPr>
            <w:tcW w:w="1982" w:type="dxa"/>
            <w:vMerge/>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2599" w:type="dxa"/>
            <w:vMerge/>
            <w:shd w:val="clear" w:color="auto" w:fill="FFFFFF" w:themeFill="background1"/>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2511" w:type="dxa"/>
            <w:tcBorders>
              <w:top w:val="single" w:sz="2" w:space="0" w:color="80808B" w:themeColor="accent5"/>
            </w:tcBorders>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795272">
              <w:rPr>
                <w:sz w:val="18"/>
                <w:szCs w:val="18"/>
              </w:rPr>
              <w:t>Support start of new performance measures: readmission rates for paediatric tonsillectomies and adenoidectomies</w:t>
            </w:r>
          </w:p>
        </w:tc>
        <w:tc>
          <w:tcPr>
            <w:tcW w:w="1133" w:type="dxa"/>
            <w:tcBorders>
              <w:top w:val="single" w:sz="2" w:space="0" w:color="80808B" w:themeColor="accent5"/>
            </w:tcBorders>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rPr>
                <w:sz w:val="18"/>
                <w:szCs w:val="18"/>
              </w:rPr>
            </w:pPr>
          </w:p>
        </w:tc>
        <w:tc>
          <w:tcPr>
            <w:tcW w:w="1982" w:type="dxa"/>
            <w:vMerge/>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2599" w:type="dxa"/>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ENABLE health services to have better conversations about quality and safety </w:t>
            </w:r>
            <w:r w:rsidRPr="00795272">
              <w:rPr>
                <w:rFonts w:ascii="VIC Medium" w:hAnsi="VIC Medium"/>
                <w:sz w:val="18"/>
                <w:szCs w:val="18"/>
              </w:rPr>
              <w:t>[DHHS KR29]</w:t>
            </w:r>
          </w:p>
        </w:tc>
        <w:tc>
          <w:tcPr>
            <w:tcW w:w="2511" w:type="dxa"/>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Improve tools for quality and safety data analysis</w:t>
            </w:r>
          </w:p>
        </w:tc>
        <w:tc>
          <w:tcPr>
            <w:tcW w:w="1133" w:type="dxa"/>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rPr>
                <w:sz w:val="18"/>
                <w:szCs w:val="18"/>
              </w:rPr>
            </w:pPr>
          </w:p>
        </w:tc>
        <w:tc>
          <w:tcPr>
            <w:tcW w:w="1982" w:type="dxa"/>
            <w:vMerge/>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2599" w:type="dxa"/>
            <w:vMerge w:val="restart"/>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SUPPORT independent review boards and councils </w:t>
            </w:r>
            <w:r w:rsidRPr="00795272">
              <w:rPr>
                <w:sz w:val="18"/>
                <w:szCs w:val="18"/>
              </w:rPr>
              <w:br/>
            </w:r>
            <w:r w:rsidRPr="00795272">
              <w:rPr>
                <w:rFonts w:ascii="VIC Medium" w:hAnsi="VIC Medium"/>
                <w:sz w:val="18"/>
                <w:szCs w:val="18"/>
              </w:rPr>
              <w:t>[DHHS KR1, 42]</w:t>
            </w:r>
          </w:p>
        </w:tc>
        <w:tc>
          <w:tcPr>
            <w:tcW w:w="2511" w:type="dxa"/>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Table first two parliamentary reports on voluntary assisted dying</w:t>
            </w:r>
          </w:p>
        </w:tc>
        <w:tc>
          <w:tcPr>
            <w:tcW w:w="1133" w:type="dxa"/>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Feb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79" w:type="dxa"/>
            <w:vMerge/>
          </w:tcPr>
          <w:p w:rsidR="005F321E" w:rsidRPr="00795272" w:rsidRDefault="005F321E" w:rsidP="005F321E">
            <w:pPr>
              <w:rPr>
                <w:sz w:val="18"/>
                <w:szCs w:val="18"/>
              </w:rPr>
            </w:pPr>
          </w:p>
        </w:tc>
        <w:tc>
          <w:tcPr>
            <w:tcW w:w="1982" w:type="dxa"/>
            <w:vMerge/>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2599" w:type="dxa"/>
            <w:vMerge/>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p>
        </w:tc>
        <w:tc>
          <w:tcPr>
            <w:tcW w:w="2511" w:type="dxa"/>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Establish new Victorian Perioperative Consultative Council</w:t>
            </w:r>
          </w:p>
        </w:tc>
        <w:tc>
          <w:tcPr>
            <w:tcW w:w="1133" w:type="dxa"/>
          </w:tcPr>
          <w:p w:rsidR="005F321E" w:rsidRPr="00795272" w:rsidRDefault="005F321E" w:rsidP="005F321E">
            <w:pPr>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Dec 2019</w:t>
            </w:r>
          </w:p>
        </w:tc>
      </w:tr>
    </w:tbl>
    <w:p w:rsidR="005F321E" w:rsidRDefault="005F321E" w:rsidP="005F321E">
      <w:r w:rsidRPr="00795272">
        <w:rPr>
          <w:b/>
          <w:sz w:val="18"/>
        </w:rPr>
        <w:t>EDs:</w:t>
      </w:r>
      <w:r w:rsidRPr="00795272">
        <w:rPr>
          <w:sz w:val="18"/>
        </w:rPr>
        <w:t xml:space="preserve"> Emergency departments. </w:t>
      </w:r>
      <w:r>
        <w:br w:type="page"/>
      </w:r>
    </w:p>
    <w:p w:rsidR="005F321E" w:rsidRDefault="005F321E" w:rsidP="005F321E">
      <w:pPr>
        <w:pStyle w:val="Heading2"/>
      </w:pPr>
      <w:r>
        <w:lastRenderedPageBreak/>
        <w:t>Supporting strong leaders</w:t>
      </w:r>
    </w:p>
    <w:p w:rsidR="005F321E" w:rsidRPr="00EB3002" w:rsidRDefault="005F321E" w:rsidP="00795272">
      <w:pPr>
        <w:pStyle w:val="IntroductoryText"/>
        <w:spacing w:before="120" w:after="120"/>
      </w:pPr>
      <w:r>
        <w:t xml:space="preserve">Knowing healthcare improvement is driven by strong leaders, we support current senior staff and board members, and identify and develop future leaders. We’re excited to implement our </w:t>
      </w:r>
      <w:r w:rsidRPr="00B10A8F">
        <w:rPr>
          <w:i/>
        </w:rPr>
        <w:t>Leadership and learning action plan</w:t>
      </w:r>
      <w:r>
        <w:t xml:space="preserve">, delivering more support than ever to healthcare leaders through tailored mentoring, </w:t>
      </w:r>
      <w:r w:rsidRPr="00451172">
        <w:t xml:space="preserve">coaching and </w:t>
      </w:r>
      <w:r>
        <w:t>networking opportunities.</w:t>
      </w:r>
    </w:p>
    <w:tbl>
      <w:tblPr>
        <w:tblStyle w:val="TableGrid"/>
        <w:tblW w:w="0" w:type="auto"/>
        <w:tblLook w:val="04A0" w:firstRow="1" w:lastRow="0" w:firstColumn="1" w:lastColumn="0" w:noHBand="0" w:noVBand="1"/>
      </w:tblPr>
      <w:tblGrid>
        <w:gridCol w:w="1985"/>
        <w:gridCol w:w="1843"/>
        <w:gridCol w:w="3260"/>
        <w:gridCol w:w="2381"/>
        <w:gridCol w:w="735"/>
      </w:tblGrid>
      <w:tr w:rsidR="005F321E" w:rsidRPr="00795272" w:rsidTr="005F3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5F321E" w:rsidRPr="00795272" w:rsidRDefault="005F321E" w:rsidP="005F321E">
            <w:pPr>
              <w:pStyle w:val="Tableheader"/>
              <w:rPr>
                <w:rFonts w:ascii="VIC SemiBold" w:hAnsi="VIC SemiBold"/>
                <w:sz w:val="18"/>
                <w:szCs w:val="18"/>
              </w:rPr>
            </w:pPr>
            <w:r w:rsidRPr="00795272">
              <w:rPr>
                <w:rFonts w:ascii="VIC SemiBold" w:hAnsi="VIC SemiBold"/>
                <w:sz w:val="18"/>
                <w:szCs w:val="18"/>
              </w:rPr>
              <w:t>Objective</w:t>
            </w:r>
          </w:p>
        </w:tc>
        <w:tc>
          <w:tcPr>
            <w:tcW w:w="1843"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p>
        </w:tc>
        <w:tc>
          <w:tcPr>
            <w:tcW w:w="3260"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r w:rsidRPr="00795272">
              <w:rPr>
                <w:rFonts w:ascii="VIC SemiBold" w:hAnsi="VIC SemiBold"/>
                <w:sz w:val="18"/>
                <w:szCs w:val="18"/>
              </w:rPr>
              <w:t>2019–20 activities</w:t>
            </w:r>
          </w:p>
        </w:tc>
        <w:tc>
          <w:tcPr>
            <w:tcW w:w="2381"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r w:rsidRPr="00795272">
              <w:rPr>
                <w:rFonts w:ascii="VIC SemiBold" w:hAnsi="VIC SemiBold"/>
                <w:sz w:val="18"/>
                <w:szCs w:val="18"/>
              </w:rPr>
              <w:t>Target</w:t>
            </w:r>
          </w:p>
        </w:tc>
        <w:tc>
          <w:tcPr>
            <w:tcW w:w="735" w:type="dxa"/>
          </w:tcPr>
          <w:p w:rsidR="005F321E" w:rsidRPr="00795272" w:rsidRDefault="005F321E" w:rsidP="005F321E">
            <w:pPr>
              <w:pStyle w:val="Tableheader"/>
              <w:cnfStyle w:val="100000000000" w:firstRow="1" w:lastRow="0" w:firstColumn="0" w:lastColumn="0" w:oddVBand="0" w:evenVBand="0" w:oddHBand="0" w:evenHBand="0" w:firstRowFirstColumn="0" w:firstRowLastColumn="0" w:lastRowFirstColumn="0" w:lastRowLastColumn="0"/>
              <w:rPr>
                <w:rFonts w:ascii="VIC SemiBold" w:hAnsi="VIC SemiBold"/>
                <w:sz w:val="18"/>
                <w:szCs w:val="18"/>
              </w:rPr>
            </w:pP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85" w:type="dxa"/>
            <w:vMerge w:val="restart"/>
          </w:tcPr>
          <w:p w:rsidR="005F321E" w:rsidRPr="00795272" w:rsidRDefault="005F321E" w:rsidP="00795272">
            <w:pPr>
              <w:spacing w:before="40" w:after="40"/>
              <w:rPr>
                <w:b w:val="0"/>
                <w:sz w:val="18"/>
                <w:szCs w:val="18"/>
              </w:rPr>
            </w:pPr>
            <w:r w:rsidRPr="00795272">
              <w:rPr>
                <w:b w:val="0"/>
                <w:sz w:val="18"/>
                <w:szCs w:val="18"/>
              </w:rPr>
              <w:t>Healthy culture driven by strong leaders</w:t>
            </w:r>
          </w:p>
        </w:tc>
        <w:tc>
          <w:tcPr>
            <w:tcW w:w="1843" w:type="dxa"/>
            <w:vMerge w:val="restart"/>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System-wide approach to developing and sustaining current and future leaders</w:t>
            </w:r>
          </w:p>
        </w:tc>
        <w:tc>
          <w:tcPr>
            <w:tcW w:w="3260"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DELIVER leadership programs supporting quality and safety in health services, as outlined in our </w:t>
            </w:r>
            <w:r w:rsidRPr="00795272">
              <w:rPr>
                <w:rFonts w:ascii="VIC Medium" w:hAnsi="VIC Medium"/>
                <w:sz w:val="18"/>
                <w:szCs w:val="18"/>
              </w:rPr>
              <w:t xml:space="preserve">Leadership and learning action plan </w:t>
            </w:r>
            <w:r w:rsidRPr="00795272">
              <w:rPr>
                <w:rFonts w:ascii="VIC Medium" w:hAnsi="VIC Medium"/>
                <w:sz w:val="18"/>
                <w:szCs w:val="18"/>
              </w:rPr>
              <w:br/>
              <w:t>[DHHS KR1, 17]</w:t>
            </w:r>
          </w:p>
        </w:tc>
        <w:tc>
          <w:tcPr>
            <w:tcW w:w="2381"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350 health service staff complete programs</w:t>
            </w:r>
          </w:p>
        </w:tc>
        <w:tc>
          <w:tcPr>
            <w:tcW w:w="735"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85" w:type="dxa"/>
            <w:vMerge/>
          </w:tcPr>
          <w:p w:rsidR="005F321E" w:rsidRPr="00795272" w:rsidRDefault="005F321E" w:rsidP="00795272">
            <w:pPr>
              <w:spacing w:before="40" w:after="40"/>
              <w:rPr>
                <w:b w:val="0"/>
                <w:sz w:val="18"/>
                <w:szCs w:val="18"/>
              </w:rPr>
            </w:pPr>
          </w:p>
        </w:tc>
        <w:tc>
          <w:tcPr>
            <w:tcW w:w="1843"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260"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BUILD improvement science capability in SCV, aged care and health and community services staff to deliver improvement projects </w:t>
            </w:r>
            <w:r w:rsidRPr="00795272">
              <w:rPr>
                <w:sz w:val="18"/>
                <w:szCs w:val="18"/>
              </w:rPr>
              <w:br/>
            </w:r>
            <w:r w:rsidRPr="00795272">
              <w:rPr>
                <w:rFonts w:ascii="VIC Medium" w:hAnsi="VIC Medium"/>
                <w:sz w:val="18"/>
                <w:szCs w:val="18"/>
              </w:rPr>
              <w:t>[DHHS KR1, 39]</w:t>
            </w:r>
          </w:p>
        </w:tc>
        <w:tc>
          <w:tcPr>
            <w:tcW w:w="2381"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100% more staff trained</w:t>
            </w:r>
          </w:p>
        </w:tc>
        <w:tc>
          <w:tcPr>
            <w:tcW w:w="735"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85" w:type="dxa"/>
            <w:vMerge w:val="restart"/>
          </w:tcPr>
          <w:p w:rsidR="005F321E" w:rsidRPr="00795272" w:rsidRDefault="005F321E" w:rsidP="00795272">
            <w:pPr>
              <w:spacing w:before="40" w:after="40"/>
              <w:rPr>
                <w:b w:val="0"/>
                <w:sz w:val="18"/>
                <w:szCs w:val="18"/>
              </w:rPr>
            </w:pPr>
            <w:r w:rsidRPr="00795272">
              <w:rPr>
                <w:b w:val="0"/>
                <w:sz w:val="18"/>
                <w:szCs w:val="18"/>
              </w:rPr>
              <w:t>Quality and safety governance embedded throughout health services</w:t>
            </w:r>
          </w:p>
        </w:tc>
        <w:tc>
          <w:tcPr>
            <w:tcW w:w="1843" w:type="dxa"/>
            <w:vMerge w:val="restart"/>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Evidence that accountability of health services’ governing bodies and executives is strengthened</w:t>
            </w:r>
          </w:p>
        </w:tc>
        <w:tc>
          <w:tcPr>
            <w:tcW w:w="6376" w:type="dxa"/>
            <w:gridSpan w:val="3"/>
            <w:tcBorders>
              <w:bottom w:val="nil"/>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STRENGTHEN leadership of health service boards through: </w:t>
            </w:r>
            <w:r w:rsidRPr="00795272">
              <w:rPr>
                <w:sz w:val="18"/>
                <w:szCs w:val="18"/>
              </w:rPr>
              <w:br/>
            </w:r>
            <w:r w:rsidRPr="00795272">
              <w:rPr>
                <w:rFonts w:ascii="VIC Medium" w:hAnsi="VIC Medium"/>
                <w:sz w:val="18"/>
                <w:szCs w:val="18"/>
              </w:rPr>
              <w:t>[DHHS KR1, 17]</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85" w:type="dxa"/>
            <w:vMerge/>
          </w:tcPr>
          <w:p w:rsidR="005F321E" w:rsidRPr="00795272" w:rsidRDefault="005F321E" w:rsidP="00795272">
            <w:pPr>
              <w:spacing w:before="40" w:after="40"/>
              <w:rPr>
                <w:b w:val="0"/>
                <w:sz w:val="18"/>
                <w:szCs w:val="18"/>
              </w:rPr>
            </w:pPr>
          </w:p>
        </w:tc>
        <w:tc>
          <w:tcPr>
            <w:tcW w:w="1843"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260" w:type="dxa"/>
            <w:tcBorders>
              <w:top w:val="nil"/>
              <w:bottom w:val="nil"/>
            </w:tcBorders>
            <w:shd w:val="clear" w:color="auto" w:fill="F2F2F2" w:themeFill="background1" w:themeFillShade="F2"/>
          </w:tcPr>
          <w:p w:rsidR="005F321E" w:rsidRPr="00795272" w:rsidRDefault="005F321E" w:rsidP="00795272">
            <w:pPr>
              <w:pStyle w:val="Bullet1"/>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clinical governance training sessions, including aged care governance responsibilities</w:t>
            </w:r>
          </w:p>
        </w:tc>
        <w:tc>
          <w:tcPr>
            <w:tcW w:w="2381" w:type="dxa"/>
            <w:tcBorders>
              <w:top w:val="nil"/>
              <w:bottom w:val="nil"/>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100% boards represented in training</w:t>
            </w:r>
          </w:p>
        </w:tc>
        <w:tc>
          <w:tcPr>
            <w:tcW w:w="735" w:type="dxa"/>
            <w:tcBorders>
              <w:top w:val="nil"/>
              <w:bottom w:val="nil"/>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85" w:type="dxa"/>
            <w:vMerge/>
          </w:tcPr>
          <w:p w:rsidR="005F321E" w:rsidRPr="00795272" w:rsidRDefault="005F321E" w:rsidP="00795272">
            <w:pPr>
              <w:spacing w:before="40" w:after="40"/>
              <w:rPr>
                <w:b w:val="0"/>
                <w:sz w:val="18"/>
                <w:szCs w:val="18"/>
              </w:rPr>
            </w:pPr>
          </w:p>
        </w:tc>
        <w:tc>
          <w:tcPr>
            <w:tcW w:w="1843"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260" w:type="dxa"/>
            <w:tcBorders>
              <w:top w:val="nil"/>
            </w:tcBorders>
            <w:shd w:val="clear" w:color="auto" w:fill="F2F2F2" w:themeFill="background1" w:themeFillShade="F2"/>
          </w:tcPr>
          <w:p w:rsidR="005F321E" w:rsidRPr="00795272" w:rsidRDefault="005F321E" w:rsidP="00795272">
            <w:pPr>
              <w:pStyle w:val="Bullet1"/>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a clinical governance self-assessment tool</w:t>
            </w:r>
          </w:p>
        </w:tc>
        <w:tc>
          <w:tcPr>
            <w:tcW w:w="2381" w:type="dxa"/>
            <w:tcBorders>
              <w:top w:val="nil"/>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100% boards undertake </w:t>
            </w:r>
            <w:proofErr w:type="spellStart"/>
            <w:r w:rsidRPr="00795272">
              <w:rPr>
                <w:sz w:val="18"/>
                <w:szCs w:val="18"/>
              </w:rPr>
              <w:t>self assessment</w:t>
            </w:r>
            <w:proofErr w:type="spellEnd"/>
          </w:p>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Identify themes for targeted support</w:t>
            </w:r>
          </w:p>
        </w:tc>
        <w:tc>
          <w:tcPr>
            <w:tcW w:w="735" w:type="dxa"/>
            <w:tcBorders>
              <w:top w:val="nil"/>
            </w:tcBorders>
            <w:shd w:val="clear" w:color="auto" w:fill="F2F2F2" w:themeFill="background1" w:themeFillShade="F2"/>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85" w:type="dxa"/>
            <w:vMerge w:val="restart"/>
          </w:tcPr>
          <w:p w:rsidR="005F321E" w:rsidRPr="00795272" w:rsidRDefault="005F321E" w:rsidP="00795272">
            <w:pPr>
              <w:spacing w:before="40" w:after="40"/>
              <w:rPr>
                <w:b w:val="0"/>
                <w:sz w:val="18"/>
                <w:szCs w:val="18"/>
              </w:rPr>
            </w:pPr>
            <w:r w:rsidRPr="00795272">
              <w:rPr>
                <w:b w:val="0"/>
                <w:sz w:val="18"/>
                <w:szCs w:val="18"/>
              </w:rPr>
              <w:t>SCV is a national and international leader in quality and safety</w:t>
            </w:r>
          </w:p>
        </w:tc>
        <w:tc>
          <w:tcPr>
            <w:tcW w:w="1843" w:type="dxa"/>
            <w:vMerge w:val="restart"/>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Publications and presentations evidencing SCV impact</w:t>
            </w:r>
          </w:p>
        </w:tc>
        <w:tc>
          <w:tcPr>
            <w:tcW w:w="3260"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LEAD national improvements in information sharing about medical devices </w:t>
            </w:r>
            <w:r w:rsidRPr="00795272">
              <w:rPr>
                <w:rFonts w:ascii="VIC Medium" w:hAnsi="VIC Medium"/>
                <w:sz w:val="18"/>
                <w:szCs w:val="18"/>
              </w:rPr>
              <w:t>[DHHS KR1, 41]</w:t>
            </w:r>
          </w:p>
        </w:tc>
        <w:tc>
          <w:tcPr>
            <w:tcW w:w="2381"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Produce inter-jurisdictional guidance</w:t>
            </w:r>
          </w:p>
        </w:tc>
        <w:tc>
          <w:tcPr>
            <w:tcW w:w="735"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85" w:type="dxa"/>
            <w:vMerge/>
          </w:tcPr>
          <w:p w:rsidR="005F321E" w:rsidRPr="00795272" w:rsidRDefault="005F321E" w:rsidP="00795272">
            <w:pPr>
              <w:spacing w:before="40" w:after="40"/>
              <w:rPr>
                <w:sz w:val="18"/>
                <w:szCs w:val="18"/>
              </w:rPr>
            </w:pPr>
          </w:p>
        </w:tc>
        <w:tc>
          <w:tcPr>
            <w:tcW w:w="1843"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260"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SELL OUT inaugural </w:t>
            </w:r>
            <w:r w:rsidRPr="00795272">
              <w:rPr>
                <w:rFonts w:ascii="VIC Medium" w:hAnsi="VIC Medium"/>
                <w:sz w:val="18"/>
                <w:szCs w:val="18"/>
              </w:rPr>
              <w:t>Giant steps</w:t>
            </w:r>
            <w:r w:rsidRPr="00795272">
              <w:rPr>
                <w:sz w:val="18"/>
                <w:szCs w:val="18"/>
              </w:rPr>
              <w:t xml:space="preserve"> biennial conference </w:t>
            </w:r>
            <w:r w:rsidRPr="00795272">
              <w:rPr>
                <w:sz w:val="18"/>
                <w:szCs w:val="18"/>
              </w:rPr>
              <w:br/>
            </w:r>
            <w:r w:rsidRPr="00795272">
              <w:rPr>
                <w:rFonts w:ascii="VIC Medium" w:hAnsi="VIC Medium"/>
                <w:sz w:val="18"/>
                <w:szCs w:val="18"/>
              </w:rPr>
              <w:t>[DHHS KR1]</w:t>
            </w:r>
          </w:p>
        </w:tc>
        <w:tc>
          <w:tcPr>
            <w:tcW w:w="2381"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80% attendees rate the event as valuable to their work</w:t>
            </w:r>
          </w:p>
        </w:tc>
        <w:tc>
          <w:tcPr>
            <w:tcW w:w="735"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Nov 2019</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85" w:type="dxa"/>
            <w:vMerge/>
          </w:tcPr>
          <w:p w:rsidR="005F321E" w:rsidRPr="00795272" w:rsidRDefault="005F321E" w:rsidP="00795272">
            <w:pPr>
              <w:spacing w:before="40" w:after="40"/>
              <w:rPr>
                <w:sz w:val="18"/>
                <w:szCs w:val="18"/>
              </w:rPr>
            </w:pPr>
          </w:p>
        </w:tc>
        <w:tc>
          <w:tcPr>
            <w:tcW w:w="1843"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260"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xml:space="preserve">INCREASE our profile through journals and events </w:t>
            </w:r>
            <w:r w:rsidRPr="00795272">
              <w:rPr>
                <w:sz w:val="18"/>
                <w:szCs w:val="18"/>
              </w:rPr>
              <w:br/>
            </w:r>
            <w:r w:rsidRPr="00795272">
              <w:rPr>
                <w:rFonts w:ascii="VIC Medium" w:hAnsi="VIC Medium"/>
                <w:sz w:val="18"/>
                <w:szCs w:val="18"/>
              </w:rPr>
              <w:t>[DHHS KR1]</w:t>
            </w:r>
          </w:p>
        </w:tc>
        <w:tc>
          <w:tcPr>
            <w:tcW w:w="2381"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25% more articles in peer-reviewed publications</w:t>
            </w:r>
          </w:p>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 presentations/posters at national/ international forums</w:t>
            </w:r>
          </w:p>
        </w:tc>
        <w:tc>
          <w:tcPr>
            <w:tcW w:w="735"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r w:rsidR="005F321E" w:rsidRPr="00795272" w:rsidTr="005F321E">
        <w:tc>
          <w:tcPr>
            <w:cnfStyle w:val="001000000000" w:firstRow="0" w:lastRow="0" w:firstColumn="1" w:lastColumn="0" w:oddVBand="0" w:evenVBand="0" w:oddHBand="0" w:evenHBand="0" w:firstRowFirstColumn="0" w:firstRowLastColumn="0" w:lastRowFirstColumn="0" w:lastRowLastColumn="0"/>
            <w:tcW w:w="1985" w:type="dxa"/>
            <w:vMerge/>
          </w:tcPr>
          <w:p w:rsidR="005F321E" w:rsidRPr="00795272" w:rsidRDefault="005F321E" w:rsidP="00795272">
            <w:pPr>
              <w:spacing w:before="40" w:after="40"/>
              <w:rPr>
                <w:sz w:val="18"/>
                <w:szCs w:val="18"/>
              </w:rPr>
            </w:pPr>
          </w:p>
        </w:tc>
        <w:tc>
          <w:tcPr>
            <w:tcW w:w="1843" w:type="dxa"/>
            <w:vMerge/>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260"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795272">
              <w:rPr>
                <w:sz w:val="18"/>
                <w:szCs w:val="18"/>
              </w:rPr>
              <w:t xml:space="preserve">DESIGN a quality management system for SCV </w:t>
            </w:r>
            <w:r w:rsidRPr="00795272">
              <w:rPr>
                <w:sz w:val="18"/>
                <w:szCs w:val="18"/>
              </w:rPr>
              <w:br/>
            </w:r>
            <w:r w:rsidRPr="00795272">
              <w:rPr>
                <w:rFonts w:ascii="VIC Medium" w:hAnsi="VIC Medium"/>
                <w:sz w:val="18"/>
                <w:szCs w:val="18"/>
              </w:rPr>
              <w:t>[DHHS KR1, 29]</w:t>
            </w:r>
          </w:p>
        </w:tc>
        <w:tc>
          <w:tcPr>
            <w:tcW w:w="2381" w:type="dxa"/>
          </w:tcPr>
          <w:p w:rsidR="005F321E" w:rsidRPr="00795272" w:rsidRDefault="005F321E" w:rsidP="00795272">
            <w:pPr>
              <w:pStyle w:val="Comment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Quality management system in operation across SCV</w:t>
            </w:r>
          </w:p>
        </w:tc>
        <w:tc>
          <w:tcPr>
            <w:tcW w:w="735" w:type="dxa"/>
          </w:tcPr>
          <w:p w:rsidR="005F321E" w:rsidRPr="00795272" w:rsidRDefault="005F321E" w:rsidP="0079527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95272">
              <w:rPr>
                <w:sz w:val="18"/>
                <w:szCs w:val="18"/>
              </w:rPr>
              <w:t>June 2020</w:t>
            </w:r>
          </w:p>
        </w:tc>
      </w:tr>
    </w:tbl>
    <w:p w:rsidR="005F321E" w:rsidRDefault="005F321E" w:rsidP="00795272">
      <w:pPr>
        <w:spacing w:before="160" w:after="160"/>
      </w:pPr>
      <w:r w:rsidRPr="00E90E5F">
        <w:rPr>
          <w:vertAlign w:val="superscript"/>
        </w:rPr>
        <w:lastRenderedPageBreak/>
        <w:t>1</w:t>
      </w:r>
      <w:r>
        <w:t xml:space="preserve"> </w:t>
      </w:r>
      <w:r w:rsidRPr="00026DB5">
        <w:rPr>
          <w:b/>
        </w:rPr>
        <w:t>Participating services:</w:t>
      </w:r>
      <w:r>
        <w:t xml:space="preserve"> Albury Wodonga Health, Ballarat Health Services, Benalla and District Memorial Hospital, Bendigo Health Care Group, Cabrini Health, </w:t>
      </w:r>
      <w:proofErr w:type="spellStart"/>
      <w:r>
        <w:t>Djerriwarrh</w:t>
      </w:r>
      <w:proofErr w:type="spellEnd"/>
      <w:r>
        <w:t xml:space="preserve"> Health Services, Eastern Health, Echuca Regional Health, Latrobe Regional Hospital, Maryborough District Health Service, Mercy Health, Monash Health, Northern Health, Peninsula Health, The Royal Women’s Hospital, St Vincent's Private Hospital, South West Healthcare and West Gippsland Healthcare Group.</w:t>
      </w:r>
    </w:p>
    <w:p w:rsidR="005F321E" w:rsidRDefault="005F321E" w:rsidP="00795272">
      <w:pPr>
        <w:spacing w:before="160" w:after="160"/>
      </w:pPr>
      <w:r w:rsidRPr="00E90E5F">
        <w:rPr>
          <w:vertAlign w:val="superscript"/>
        </w:rPr>
        <w:t>2</w:t>
      </w:r>
      <w:r>
        <w:t xml:space="preserve"> </w:t>
      </w:r>
      <w:r w:rsidRPr="00026DB5">
        <w:rPr>
          <w:b/>
        </w:rPr>
        <w:t>Participating services</w:t>
      </w:r>
      <w:r>
        <w:t xml:space="preserve"> (at time of publication): Ballarat Health Services, Barwon Health, Bass Coast Health, Central Gippsland Health, </w:t>
      </w:r>
      <w:proofErr w:type="spellStart"/>
      <w:r>
        <w:t>Djerriwarrh</w:t>
      </w:r>
      <w:proofErr w:type="spellEnd"/>
      <w:r>
        <w:t xml:space="preserve"> Health Services, East Grampians Health Services, Kilmore and District Hospital, Northern Health, South West Healthcare,</w:t>
      </w:r>
      <w:r w:rsidRPr="004C7D3A">
        <w:t xml:space="preserve"> </w:t>
      </w:r>
      <w:r>
        <w:t>St John of God Bendigo Hospital, St Vincent's Private Hospital, Sunshine Hospital, Western District Health Service, Wimmera Health Care Group.</w:t>
      </w:r>
    </w:p>
    <w:p w:rsidR="005F321E" w:rsidRDefault="005F321E" w:rsidP="00795272">
      <w:pPr>
        <w:spacing w:before="160" w:after="160"/>
      </w:pPr>
      <w:r w:rsidRPr="00E90E5F">
        <w:rPr>
          <w:vertAlign w:val="superscript"/>
        </w:rPr>
        <w:t>3</w:t>
      </w:r>
      <w:r>
        <w:t xml:space="preserve"> </w:t>
      </w:r>
      <w:r w:rsidRPr="00026DB5">
        <w:rPr>
          <w:b/>
        </w:rPr>
        <w:t>Participating services:</w:t>
      </w:r>
      <w:r>
        <w:t xml:space="preserve"> Albury Wodonga Health, Alfred Health, Ballarat Health Service, Barwon Health, Bendigo Health Care Group, Central Gippsland Health, Colac Area Health, Corryong Health, Eastern Health, Goulburn Valley Health, Latrobe Regional Hospital, Melbourne Health, Mercy Health, Monash Health, Northern Health, Peter Mac Cancer Centre, Portland District Health, South West Healthcare, St Vincent's Private Hospital, West Gippsland Healthcare Group and Western Health.</w:t>
      </w:r>
    </w:p>
    <w:p w:rsidR="00795272" w:rsidRDefault="00795272">
      <w:pPr>
        <w:spacing w:before="160" w:after="160" w:line="280" w:lineRule="atLeast"/>
      </w:pPr>
      <w:r>
        <w:br w:type="page"/>
      </w:r>
    </w:p>
    <w:p w:rsidR="005F321E" w:rsidRDefault="00795272" w:rsidP="005F321E">
      <w:r>
        <w:rPr>
          <w:noProof/>
        </w:rPr>
        <mc:AlternateContent>
          <mc:Choice Requires="wps">
            <w:drawing>
              <wp:anchor distT="0" distB="0" distL="114300" distR="114300" simplePos="0" relativeHeight="251666432" behindDoc="0" locked="0" layoutInCell="1" allowOverlap="1">
                <wp:simplePos x="0" y="0"/>
                <wp:positionH relativeFrom="column">
                  <wp:posOffset>4499448</wp:posOffset>
                </wp:positionH>
                <wp:positionV relativeFrom="paragraph">
                  <wp:posOffset>7632316</wp:posOffset>
                </wp:positionV>
                <wp:extent cx="2158409" cy="648586"/>
                <wp:effectExtent l="0" t="0" r="0" b="0"/>
                <wp:wrapNone/>
                <wp:docPr id="17" name="Rectangle 17"/>
                <wp:cNvGraphicFramePr/>
                <a:graphic xmlns:a="http://schemas.openxmlformats.org/drawingml/2006/main">
                  <a:graphicData uri="http://schemas.microsoft.com/office/word/2010/wordprocessingShape">
                    <wps:wsp>
                      <wps:cNvSpPr/>
                      <wps:spPr>
                        <a:xfrm>
                          <a:off x="0" y="0"/>
                          <a:ext cx="2158409" cy="6485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CD977" id="Rectangle 17" o:spid="_x0000_s1026" style="position:absolute;margin-left:354.3pt;margin-top:600.95pt;width:169.95pt;height:5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" fillcolor="white [3212]" stroked="f" strokeweight="2pt"/>
            </w:pict>
          </mc:Fallback>
        </mc:AlternateContent>
      </w:r>
      <w:r w:rsidR="005F321E">
        <w:br w:type="page"/>
      </w:r>
    </w:p>
    <w:p w:rsidR="00795272" w:rsidRDefault="00795272" w:rsidP="005F321E">
      <w:pPr>
        <w:sectPr w:rsidR="00795272" w:rsidSect="00795272">
          <w:type w:val="continuous"/>
          <w:pgSz w:w="11906" w:h="16838" w:code="9"/>
          <w:pgMar w:top="3402" w:right="851" w:bottom="1361" w:left="851" w:header="539" w:footer="624" w:gutter="0"/>
          <w:cols w:space="284"/>
          <w:docGrid w:linePitch="360"/>
          <w15:footnoteColumns w:val="1"/>
        </w:sectPr>
      </w:pPr>
      <w:bookmarkStart w:id="3" w:name="_GoBack"/>
      <w:bookmarkEnd w:id="3"/>
    </w:p>
    <w:p w:rsidR="00727C45" w:rsidRDefault="00727C45" w:rsidP="005F321E">
      <w:r>
        <w:rPr>
          <w:noProof/>
        </w:rPr>
        <w:lastRenderedPageBreak/>
        <w:drawing>
          <wp:anchor distT="0" distB="0" distL="114300" distR="114300" simplePos="0" relativeHeight="251663360" behindDoc="1" locked="0" layoutInCell="1" allowOverlap="1" wp14:anchorId="6933FCD5" wp14:editId="0A776800">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265EC8">
      <w:type w:val="continuous"/>
      <w:pgSz w:w="11906" w:h="16838" w:code="9"/>
      <w:pgMar w:top="3402" w:right="851" w:bottom="1361" w:left="851" w:header="539" w:footer="624" w:gutter="0"/>
      <w:cols w:num="2"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21E" w:rsidRDefault="005F321E" w:rsidP="005F321E">
      <w:r>
        <w:separator/>
      </w:r>
    </w:p>
  </w:endnote>
  <w:endnote w:type="continuationSeparator" w:id="0">
    <w:p w:rsidR="005F321E" w:rsidRDefault="005F321E" w:rsidP="005F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21E" w:rsidRDefault="005F321E" w:rsidP="005F321E">
    <w:pPr>
      <w:pStyle w:val="FooterEven"/>
      <w:framePr w:wrap="around"/>
    </w:pPr>
    <w:r>
      <w:rPr>
        <w:noProof w:val="0"/>
      </w:rPr>
      <w:fldChar w:fldCharType="begin"/>
    </w:r>
    <w:r>
      <w:instrText xml:space="preserve"> PAGE   \* MERGEFORMAT </w:instrText>
    </w:r>
    <w:r>
      <w:rPr>
        <w:noProof w:val="0"/>
      </w:rPr>
      <w:fldChar w:fldCharType="separate"/>
    </w:r>
    <w:r>
      <w:t>4</w:t>
    </w:r>
    <w:r>
      <w:fldChar w:fldCharType="end"/>
    </w:r>
    <w:r>
      <w:t> </w:t>
    </w:r>
    <w:r>
      <w:t> </w:t>
    </w:r>
    <w:r w:rsidRPr="00724F74">
      <w:rPr>
        <w:b/>
      </w:rPr>
      <w:t>Safer Care Victoria</w:t>
    </w:r>
    <w:r>
      <w:t> </w:t>
    </w:r>
    <w:r>
      <w:t> </w:t>
    </w:r>
    <w:sdt>
      <w:sdtPr>
        <w:alias w:val="Title"/>
        <w:tag w:val=""/>
        <w:id w:val="-270466633"/>
        <w:placeholder/>
        <w:dataBinding w:prefixMappings="xmlns:ns0='http://purl.org/dc/elements/1.1/' xmlns:ns1='http://schemas.openxmlformats.org/package/2006/metadata/core-properties' " w:xpath="/ns1:coreProperties[1]/ns0:title[1]" w:storeItemID="{6C3C8BC8-F283-45AE-878A-BAB7291924A1}"/>
        <w:text/>
      </w:sdtPr>
      <w:sdtContent>
        <w:r>
          <w:t>Corporate plan</w:t>
        </w:r>
      </w:sdtContent>
    </w:sdt>
    <w:r>
      <w:t xml:space="preserve"> </w:t>
    </w:r>
    <w:r>
      <w:drawing>
        <wp:anchor distT="0" distB="0" distL="114300" distR="114300" simplePos="0" relativeHeight="251675648" behindDoc="0" locked="0" layoutInCell="1" allowOverlap="1" wp14:anchorId="65014E1F" wp14:editId="7E1EF22B">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rsidR="005F321E" w:rsidRPr="002A5891" w:rsidRDefault="005F321E" w:rsidP="005F3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21E" w:rsidRDefault="005F321E" w:rsidP="005F321E">
    <w:pPr>
      <w:pStyle w:val="FooterOdd"/>
      <w:framePr w:wrap="around"/>
    </w:pPr>
    <w:sdt>
      <w:sdtPr>
        <w:alias w:val="Title"/>
        <w:tag w:val=""/>
        <w:id w:val="1181776495"/>
        <w:placeholder/>
        <w:dataBinding w:prefixMappings="xmlns:ns0='http://purl.org/dc/elements/1.1/' xmlns:ns1='http://schemas.openxmlformats.org/package/2006/metadata/core-properties' " w:xpath="/ns1:coreProperties[1]/ns0:title[1]" w:storeItemID="{6C3C8BC8-F283-45AE-878A-BAB7291924A1}"/>
        <w:text/>
      </w:sdtPr>
      <w:sdtContent>
        <w:r>
          <w:t>Corporate plan</w:t>
        </w:r>
      </w:sdtContent>
    </w:sdt>
    <w:r>
      <w:t> </w:t>
    </w:r>
    <w:r>
      <w:t> </w:t>
    </w:r>
    <w:r w:rsidRPr="0097403D">
      <w:rPr>
        <w:b/>
      </w:rPr>
      <w:t>Safer Care Victoria</w:t>
    </w:r>
    <w:r>
      <w:t> </w:t>
    </w:r>
    <w:r>
      <w:t> </w:t>
    </w:r>
    <w:r>
      <w:rPr>
        <w:noProof w:val="0"/>
      </w:rPr>
      <w:fldChar w:fldCharType="begin"/>
    </w:r>
    <w:r>
      <w:instrText xml:space="preserve"> PAGE   \* MERGEFORMAT </w:instrText>
    </w:r>
    <w:r>
      <w:rPr>
        <w:noProof w:val="0"/>
      </w:rPr>
      <w:fldChar w:fldCharType="separate"/>
    </w:r>
    <w:r>
      <w:t>5</w:t>
    </w:r>
    <w:r>
      <w:fldChar w:fldCharType="end"/>
    </w:r>
  </w:p>
  <w:p w:rsidR="005F321E" w:rsidRPr="002A5891" w:rsidRDefault="005F321E" w:rsidP="005F3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21E" w:rsidRDefault="005F321E" w:rsidP="005F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21E" w:rsidRDefault="005F321E" w:rsidP="005F321E"/>
  </w:footnote>
  <w:footnote w:type="continuationSeparator" w:id="0">
    <w:p w:rsidR="005F321E" w:rsidRDefault="005F321E" w:rsidP="005F3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21E" w:rsidRDefault="005F321E" w:rsidP="005F321E">
    <w:pPr>
      <w:pStyle w:val="Header"/>
    </w:pPr>
    <w:r>
      <w:rPr>
        <w:noProof/>
      </w:rPr>
      <w:drawing>
        <wp:anchor distT="0" distB="0" distL="114300" distR="114300" simplePos="0" relativeHeight="251673600" behindDoc="1" locked="0" layoutInCell="1" allowOverlap="1" wp14:anchorId="33A25C35" wp14:editId="76B839F0">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21E" w:rsidRDefault="005F321E" w:rsidP="0023694D">
    <w:pPr>
      <w:pStyle w:val="NoSpacing"/>
    </w:pPr>
    <w:r>
      <w:rPr>
        <w:noProof/>
      </w:rPr>
      <w:drawing>
        <wp:anchor distT="0" distB="0" distL="114300" distR="114300" simplePos="0" relativeHeight="251676672" behindDoc="1" locked="0" layoutInCell="1" allowOverlap="1">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21E" w:rsidRDefault="005F321E"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051"/>
    <w:multiLevelType w:val="hybridMultilevel"/>
    <w:tmpl w:val="01187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6C39CC"/>
    <w:multiLevelType w:val="hybridMultilevel"/>
    <w:tmpl w:val="2C2AA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AE7785"/>
    <w:multiLevelType w:val="multilevel"/>
    <w:tmpl w:val="5528354A"/>
    <w:lvl w:ilvl="0">
      <w:start w:val="1"/>
      <w:numFmt w:val="decimal"/>
      <w:lvlText w:val="%1."/>
      <w:lvlJc w:val="left"/>
      <w:pPr>
        <w:ind w:left="284" w:hanging="284"/>
      </w:pPr>
      <w:rPr>
        <w:rFonts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ADA2F47"/>
    <w:multiLevelType w:val="hybridMultilevel"/>
    <w:tmpl w:val="D7DEF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A50B5A"/>
    <w:multiLevelType w:val="hybridMultilevel"/>
    <w:tmpl w:val="57D85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8" w15:restartNumberingAfterBreak="0">
    <w:nsid w:val="393A12AA"/>
    <w:multiLevelType w:val="multilevel"/>
    <w:tmpl w:val="9ECEEC94"/>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435B4892"/>
    <w:multiLevelType w:val="hybridMultilevel"/>
    <w:tmpl w:val="84C06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2" w15:restartNumberingAfterBreak="0">
    <w:nsid w:val="46AA363A"/>
    <w:multiLevelType w:val="hybridMultilevel"/>
    <w:tmpl w:val="022C9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AB3677"/>
    <w:multiLevelType w:val="multilevel"/>
    <w:tmpl w:val="5528354A"/>
    <w:lvl w:ilvl="0">
      <w:start w:val="1"/>
      <w:numFmt w:val="decimal"/>
      <w:lvlText w:val="%1."/>
      <w:lvlJc w:val="left"/>
      <w:pPr>
        <w:ind w:left="284" w:hanging="284"/>
      </w:pPr>
      <w:rPr>
        <w:rFonts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1"/>
  </w:num>
  <w:num w:numId="2">
    <w:abstractNumId w:val="11"/>
  </w:num>
  <w:num w:numId="3">
    <w:abstractNumId w:val="11"/>
  </w:num>
  <w:num w:numId="4">
    <w:abstractNumId w:val="16"/>
  </w:num>
  <w:num w:numId="5">
    <w:abstractNumId w:val="4"/>
  </w:num>
  <w:num w:numId="6">
    <w:abstractNumId w:val="10"/>
  </w:num>
  <w:num w:numId="7">
    <w:abstractNumId w:val="15"/>
  </w:num>
  <w:num w:numId="8">
    <w:abstractNumId w:val="8"/>
  </w:num>
  <w:num w:numId="9">
    <w:abstractNumId w:val="8"/>
  </w:num>
  <w:num w:numId="10">
    <w:abstractNumId w:val="7"/>
  </w:num>
  <w:num w:numId="11">
    <w:abstractNumId w:val="1"/>
  </w:num>
  <w:num w:numId="12">
    <w:abstractNumId w:val="13"/>
  </w:num>
  <w:num w:numId="13">
    <w:abstractNumId w:val="5"/>
  </w:num>
  <w:num w:numId="14">
    <w:abstractNumId w:val="0"/>
  </w:num>
  <w:num w:numId="15">
    <w:abstractNumId w:val="9"/>
  </w:num>
  <w:num w:numId="16">
    <w:abstractNumId w:val="12"/>
  </w:num>
  <w:num w:numId="17">
    <w:abstractNumId w:val="6"/>
  </w:num>
  <w:num w:numId="18">
    <w:abstractNumId w:val="2"/>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1E"/>
    <w:rsid w:val="00012F6F"/>
    <w:rsid w:val="00014213"/>
    <w:rsid w:val="00014B55"/>
    <w:rsid w:val="00020E3E"/>
    <w:rsid w:val="00023BF3"/>
    <w:rsid w:val="00026811"/>
    <w:rsid w:val="0004185E"/>
    <w:rsid w:val="000442F0"/>
    <w:rsid w:val="00056988"/>
    <w:rsid w:val="00072279"/>
    <w:rsid w:val="00073407"/>
    <w:rsid w:val="00075E6C"/>
    <w:rsid w:val="00081C12"/>
    <w:rsid w:val="00087D42"/>
    <w:rsid w:val="000B29AD"/>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422CC"/>
    <w:rsid w:val="00145346"/>
    <w:rsid w:val="001617B6"/>
    <w:rsid w:val="00165E66"/>
    <w:rsid w:val="001960C5"/>
    <w:rsid w:val="00196143"/>
    <w:rsid w:val="001A24FC"/>
    <w:rsid w:val="001C7BAE"/>
    <w:rsid w:val="001E31FA"/>
    <w:rsid w:val="001E48F9"/>
    <w:rsid w:val="001E64F6"/>
    <w:rsid w:val="001E7AEB"/>
    <w:rsid w:val="00204B82"/>
    <w:rsid w:val="00222BEB"/>
    <w:rsid w:val="00225E60"/>
    <w:rsid w:val="00230BBB"/>
    <w:rsid w:val="0023202C"/>
    <w:rsid w:val="00234619"/>
    <w:rsid w:val="0023694D"/>
    <w:rsid w:val="00245043"/>
    <w:rsid w:val="00255DD0"/>
    <w:rsid w:val="00257461"/>
    <w:rsid w:val="0026028E"/>
    <w:rsid w:val="00263221"/>
    <w:rsid w:val="00265EC8"/>
    <w:rsid w:val="00284FA2"/>
    <w:rsid w:val="00292D36"/>
    <w:rsid w:val="00294A5A"/>
    <w:rsid w:val="00297281"/>
    <w:rsid w:val="00297A47"/>
    <w:rsid w:val="002A5891"/>
    <w:rsid w:val="002B03F1"/>
    <w:rsid w:val="002B5E2B"/>
    <w:rsid w:val="002B6DAA"/>
    <w:rsid w:val="002D70F7"/>
    <w:rsid w:val="002D711A"/>
    <w:rsid w:val="002D7336"/>
    <w:rsid w:val="002E3396"/>
    <w:rsid w:val="002F2953"/>
    <w:rsid w:val="0031149C"/>
    <w:rsid w:val="00340EEC"/>
    <w:rsid w:val="0036258C"/>
    <w:rsid w:val="0036778F"/>
    <w:rsid w:val="0038771C"/>
    <w:rsid w:val="003A430B"/>
    <w:rsid w:val="003A50B3"/>
    <w:rsid w:val="003A541A"/>
    <w:rsid w:val="003A6923"/>
    <w:rsid w:val="003B7B6F"/>
    <w:rsid w:val="003C2C67"/>
    <w:rsid w:val="003C2D4C"/>
    <w:rsid w:val="003C3B3A"/>
    <w:rsid w:val="003C5BA4"/>
    <w:rsid w:val="003C7395"/>
    <w:rsid w:val="003D27D1"/>
    <w:rsid w:val="003E3E26"/>
    <w:rsid w:val="003E5DFC"/>
    <w:rsid w:val="003E608A"/>
    <w:rsid w:val="003F1295"/>
    <w:rsid w:val="003F5102"/>
    <w:rsid w:val="003F76FC"/>
    <w:rsid w:val="004002EB"/>
    <w:rsid w:val="00407A79"/>
    <w:rsid w:val="00422DDC"/>
    <w:rsid w:val="004231B5"/>
    <w:rsid w:val="004236C8"/>
    <w:rsid w:val="00427681"/>
    <w:rsid w:val="00433DB7"/>
    <w:rsid w:val="00453750"/>
    <w:rsid w:val="00456941"/>
    <w:rsid w:val="00465BF2"/>
    <w:rsid w:val="004702EA"/>
    <w:rsid w:val="0048259C"/>
    <w:rsid w:val="00482D02"/>
    <w:rsid w:val="00484326"/>
    <w:rsid w:val="00490369"/>
    <w:rsid w:val="004A7519"/>
    <w:rsid w:val="004B3DBC"/>
    <w:rsid w:val="004B64B1"/>
    <w:rsid w:val="004C6C48"/>
    <w:rsid w:val="004D01AC"/>
    <w:rsid w:val="004D3518"/>
    <w:rsid w:val="004D62D6"/>
    <w:rsid w:val="004D6898"/>
    <w:rsid w:val="004E251D"/>
    <w:rsid w:val="004F3F4E"/>
    <w:rsid w:val="0050356B"/>
    <w:rsid w:val="00510167"/>
    <w:rsid w:val="00513E86"/>
    <w:rsid w:val="005306A2"/>
    <w:rsid w:val="0053416C"/>
    <w:rsid w:val="00540588"/>
    <w:rsid w:val="00541C2F"/>
    <w:rsid w:val="00551B95"/>
    <w:rsid w:val="00552DE4"/>
    <w:rsid w:val="00563527"/>
    <w:rsid w:val="0057407A"/>
    <w:rsid w:val="0058124E"/>
    <w:rsid w:val="005875A3"/>
    <w:rsid w:val="005953EA"/>
    <w:rsid w:val="005A3416"/>
    <w:rsid w:val="005A6325"/>
    <w:rsid w:val="005B27FE"/>
    <w:rsid w:val="005B76DF"/>
    <w:rsid w:val="005B79CB"/>
    <w:rsid w:val="005E08D7"/>
    <w:rsid w:val="005E2B6E"/>
    <w:rsid w:val="005E4C16"/>
    <w:rsid w:val="005E5947"/>
    <w:rsid w:val="005F15F1"/>
    <w:rsid w:val="005F321E"/>
    <w:rsid w:val="005F61DF"/>
    <w:rsid w:val="0060163A"/>
    <w:rsid w:val="006023F9"/>
    <w:rsid w:val="00610559"/>
    <w:rsid w:val="00614076"/>
    <w:rsid w:val="00632F2E"/>
    <w:rsid w:val="006332F6"/>
    <w:rsid w:val="006413F2"/>
    <w:rsid w:val="0064798F"/>
    <w:rsid w:val="006534B2"/>
    <w:rsid w:val="0065615D"/>
    <w:rsid w:val="00657011"/>
    <w:rsid w:val="006650B5"/>
    <w:rsid w:val="006651B1"/>
    <w:rsid w:val="00665778"/>
    <w:rsid w:val="00676E5F"/>
    <w:rsid w:val="0069041D"/>
    <w:rsid w:val="006945CA"/>
    <w:rsid w:val="006A3309"/>
    <w:rsid w:val="006A3A5A"/>
    <w:rsid w:val="006A5B34"/>
    <w:rsid w:val="006C77A9"/>
    <w:rsid w:val="006D4720"/>
    <w:rsid w:val="006E6CDF"/>
    <w:rsid w:val="006F37F2"/>
    <w:rsid w:val="006F6693"/>
    <w:rsid w:val="00707FE8"/>
    <w:rsid w:val="00714AAE"/>
    <w:rsid w:val="00724962"/>
    <w:rsid w:val="00724A0F"/>
    <w:rsid w:val="00726D2F"/>
    <w:rsid w:val="00727C45"/>
    <w:rsid w:val="00736732"/>
    <w:rsid w:val="00740019"/>
    <w:rsid w:val="00746426"/>
    <w:rsid w:val="00750BF9"/>
    <w:rsid w:val="00750CBE"/>
    <w:rsid w:val="007650D2"/>
    <w:rsid w:val="00766B5A"/>
    <w:rsid w:val="00772209"/>
    <w:rsid w:val="007770A5"/>
    <w:rsid w:val="007834F2"/>
    <w:rsid w:val="00791020"/>
    <w:rsid w:val="00795272"/>
    <w:rsid w:val="007A04D2"/>
    <w:rsid w:val="007A5F82"/>
    <w:rsid w:val="007C4073"/>
    <w:rsid w:val="007D5F9E"/>
    <w:rsid w:val="007E098F"/>
    <w:rsid w:val="007E3BA2"/>
    <w:rsid w:val="007F05A8"/>
    <w:rsid w:val="007F1A4C"/>
    <w:rsid w:val="007F723F"/>
    <w:rsid w:val="008022C3"/>
    <w:rsid w:val="008041E6"/>
    <w:rsid w:val="008065D2"/>
    <w:rsid w:val="008116D8"/>
    <w:rsid w:val="008136B4"/>
    <w:rsid w:val="00815A8A"/>
    <w:rsid w:val="0082194C"/>
    <w:rsid w:val="008222FF"/>
    <w:rsid w:val="008241FF"/>
    <w:rsid w:val="008411E9"/>
    <w:rsid w:val="00841617"/>
    <w:rsid w:val="0084200F"/>
    <w:rsid w:val="00843B2C"/>
    <w:rsid w:val="00844F16"/>
    <w:rsid w:val="00855FF9"/>
    <w:rsid w:val="0086277A"/>
    <w:rsid w:val="008668A8"/>
    <w:rsid w:val="008768AD"/>
    <w:rsid w:val="00880AC4"/>
    <w:rsid w:val="00897447"/>
    <w:rsid w:val="008A39CF"/>
    <w:rsid w:val="008A4900"/>
    <w:rsid w:val="008A55FE"/>
    <w:rsid w:val="008B146D"/>
    <w:rsid w:val="008B42AD"/>
    <w:rsid w:val="008B5666"/>
    <w:rsid w:val="008D0281"/>
    <w:rsid w:val="008D5BA3"/>
    <w:rsid w:val="008E2348"/>
    <w:rsid w:val="008F6D45"/>
    <w:rsid w:val="00922944"/>
    <w:rsid w:val="00936479"/>
    <w:rsid w:val="00937A10"/>
    <w:rsid w:val="00966115"/>
    <w:rsid w:val="009834C0"/>
    <w:rsid w:val="00986AAC"/>
    <w:rsid w:val="009945B6"/>
    <w:rsid w:val="00995526"/>
    <w:rsid w:val="009A1DA2"/>
    <w:rsid w:val="009A3704"/>
    <w:rsid w:val="009A4739"/>
    <w:rsid w:val="009A674F"/>
    <w:rsid w:val="009A6D22"/>
    <w:rsid w:val="009B199C"/>
    <w:rsid w:val="009B61F1"/>
    <w:rsid w:val="009B62E0"/>
    <w:rsid w:val="009C3D88"/>
    <w:rsid w:val="009D159B"/>
    <w:rsid w:val="009E1651"/>
    <w:rsid w:val="009E3858"/>
    <w:rsid w:val="009E467D"/>
    <w:rsid w:val="009E70DD"/>
    <w:rsid w:val="009F2ED9"/>
    <w:rsid w:val="009F3231"/>
    <w:rsid w:val="009F5C58"/>
    <w:rsid w:val="00A023A0"/>
    <w:rsid w:val="00A05EBC"/>
    <w:rsid w:val="00A1562B"/>
    <w:rsid w:val="00A170F4"/>
    <w:rsid w:val="00A21408"/>
    <w:rsid w:val="00A21CFD"/>
    <w:rsid w:val="00A24A37"/>
    <w:rsid w:val="00A25B7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5ADC"/>
    <w:rsid w:val="00BF3854"/>
    <w:rsid w:val="00BF4F96"/>
    <w:rsid w:val="00C015B9"/>
    <w:rsid w:val="00C022F9"/>
    <w:rsid w:val="00C032EA"/>
    <w:rsid w:val="00C06EB5"/>
    <w:rsid w:val="00C1145F"/>
    <w:rsid w:val="00C11CD1"/>
    <w:rsid w:val="00C32D49"/>
    <w:rsid w:val="00C33AD3"/>
    <w:rsid w:val="00C41B3C"/>
    <w:rsid w:val="00C43F06"/>
    <w:rsid w:val="00C51C01"/>
    <w:rsid w:val="00C637E1"/>
    <w:rsid w:val="00C67EAC"/>
    <w:rsid w:val="00C70D50"/>
    <w:rsid w:val="00C72252"/>
    <w:rsid w:val="00C907D7"/>
    <w:rsid w:val="00C92338"/>
    <w:rsid w:val="00C954FA"/>
    <w:rsid w:val="00CA05DC"/>
    <w:rsid w:val="00CA7B47"/>
    <w:rsid w:val="00CB3976"/>
    <w:rsid w:val="00CB5275"/>
    <w:rsid w:val="00CD0307"/>
    <w:rsid w:val="00CD3D1B"/>
    <w:rsid w:val="00D02663"/>
    <w:rsid w:val="00D0633E"/>
    <w:rsid w:val="00D12E74"/>
    <w:rsid w:val="00D2312F"/>
    <w:rsid w:val="00D23B04"/>
    <w:rsid w:val="00D269C1"/>
    <w:rsid w:val="00D41B2F"/>
    <w:rsid w:val="00D44953"/>
    <w:rsid w:val="00D542F3"/>
    <w:rsid w:val="00D54513"/>
    <w:rsid w:val="00D54AAE"/>
    <w:rsid w:val="00D5644B"/>
    <w:rsid w:val="00D56E25"/>
    <w:rsid w:val="00D57E89"/>
    <w:rsid w:val="00D6560D"/>
    <w:rsid w:val="00D65D77"/>
    <w:rsid w:val="00D718D7"/>
    <w:rsid w:val="00D775D4"/>
    <w:rsid w:val="00D814B7"/>
    <w:rsid w:val="00D90688"/>
    <w:rsid w:val="00DA3AAD"/>
    <w:rsid w:val="00DB1478"/>
    <w:rsid w:val="00DB312B"/>
    <w:rsid w:val="00DC5654"/>
    <w:rsid w:val="00DC658F"/>
    <w:rsid w:val="00DC674A"/>
    <w:rsid w:val="00DE60CC"/>
    <w:rsid w:val="00E213A3"/>
    <w:rsid w:val="00E26B32"/>
    <w:rsid w:val="00E31CD4"/>
    <w:rsid w:val="00E31E60"/>
    <w:rsid w:val="00E33E08"/>
    <w:rsid w:val="00E407B6"/>
    <w:rsid w:val="00E41EF1"/>
    <w:rsid w:val="00E42942"/>
    <w:rsid w:val="00E63564"/>
    <w:rsid w:val="00E65A0A"/>
    <w:rsid w:val="00E71BDF"/>
    <w:rsid w:val="00E75CCB"/>
    <w:rsid w:val="00E77E60"/>
    <w:rsid w:val="00E8245B"/>
    <w:rsid w:val="00E82C21"/>
    <w:rsid w:val="00E82F59"/>
    <w:rsid w:val="00E83CA7"/>
    <w:rsid w:val="00E92192"/>
    <w:rsid w:val="00E95A71"/>
    <w:rsid w:val="00EB7014"/>
    <w:rsid w:val="00EC5CDE"/>
    <w:rsid w:val="00ED3077"/>
    <w:rsid w:val="00ED487E"/>
    <w:rsid w:val="00ED64F1"/>
    <w:rsid w:val="00EE33A1"/>
    <w:rsid w:val="00EE7A0D"/>
    <w:rsid w:val="00F0222C"/>
    <w:rsid w:val="00F12312"/>
    <w:rsid w:val="00F17CE1"/>
    <w:rsid w:val="00F2115C"/>
    <w:rsid w:val="00F22ABA"/>
    <w:rsid w:val="00F25F4B"/>
    <w:rsid w:val="00F36B12"/>
    <w:rsid w:val="00F60F9F"/>
    <w:rsid w:val="00F64F08"/>
    <w:rsid w:val="00F70055"/>
    <w:rsid w:val="00F734F5"/>
    <w:rsid w:val="00F73B5B"/>
    <w:rsid w:val="00F90EA5"/>
    <w:rsid w:val="00F91F5A"/>
    <w:rsid w:val="00F966B1"/>
    <w:rsid w:val="00F97D48"/>
    <w:rsid w:val="00FA0311"/>
    <w:rsid w:val="00FA1489"/>
    <w:rsid w:val="00FD50F0"/>
    <w:rsid w:val="00FD640F"/>
    <w:rsid w:val="00FD6B4C"/>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49FBE"/>
  <w15:docId w15:val="{CC6C6726-6A11-417A-8500-B78531C2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5F321E"/>
    <w:pPr>
      <w:spacing w:before="80" w:after="80" w:line="240" w:lineRule="atLeast"/>
    </w:pPr>
    <w:rPr>
      <w:rFonts w:ascii="VIC" w:hAnsi="VIC"/>
    </w:rPr>
  </w:style>
  <w:style w:type="paragraph" w:styleId="Heading1">
    <w:name w:val="heading 1"/>
    <w:basedOn w:val="Normal"/>
    <w:next w:val="Normalfollowingheading"/>
    <w:link w:val="Heading1Char"/>
    <w:qFormat/>
    <w:rsid w:val="005F321E"/>
    <w:pPr>
      <w:keepNext/>
      <w:keepLines/>
      <w:framePr w:wrap="around" w:vAnchor="page" w:hAnchor="margin" w:y="1022"/>
      <w:spacing w:before="0" w:after="120" w:line="240" w:lineRule="auto"/>
      <w:outlineLvl w:val="0"/>
    </w:pPr>
    <w:rPr>
      <w:rFonts w:ascii="VIC SemiBold" w:eastAsiaTheme="majorEastAsia" w:hAnsi="VIC SemiBold" w:cstheme="majorBidi"/>
      <w:bCs/>
      <w:color w:val="007586" w:themeColor="text2"/>
      <w:spacing w:val="-1"/>
      <w:sz w:val="48"/>
      <w:szCs w:val="28"/>
    </w:rPr>
  </w:style>
  <w:style w:type="paragraph" w:styleId="Heading2">
    <w:name w:val="heading 2"/>
    <w:basedOn w:val="Normal"/>
    <w:next w:val="Normalfollowingheading"/>
    <w:link w:val="Heading2Char"/>
    <w:qFormat/>
    <w:rsid w:val="005F321E"/>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5F321E"/>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5F321E"/>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5F321E"/>
    <w:rPr>
      <w:rFonts w:ascii="VIC SemiBold" w:eastAsiaTheme="majorEastAsia" w:hAnsi="VIC SemiBold" w:cstheme="majorBidi"/>
      <w:bCs/>
      <w:color w:val="007586" w:themeColor="text2"/>
      <w:spacing w:val="-1"/>
      <w:sz w:val="48"/>
      <w:szCs w:val="28"/>
    </w:rPr>
  </w:style>
  <w:style w:type="character" w:customStyle="1" w:styleId="Heading2Char">
    <w:name w:val="Heading 2 Char"/>
    <w:basedOn w:val="DefaultParagraphFont"/>
    <w:link w:val="Heading2"/>
    <w:rsid w:val="005F321E"/>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5F321E"/>
    <w:pPr>
      <w:numPr>
        <w:numId w:val="8"/>
      </w:numPr>
      <w:spacing w:before="60" w:after="60"/>
    </w:pPr>
    <w:rPr>
      <w:rFonts w:ascii="VIC" w:eastAsia="Times New Roman" w:hAnsi="VIC"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5F321E"/>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5F321E"/>
    <w:rPr>
      <w:rFonts w:ascii="VIC SemiBold" w:eastAsiaTheme="majorEastAsia" w:hAnsi="VIC SemiBold" w:cstheme="majorBidi"/>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5F321E"/>
    <w:pPr>
      <w:spacing w:before="280" w:after="240"/>
    </w:pPr>
    <w:rPr>
      <w:rFonts w:ascii="VIC Medium" w:hAnsi="VIC Medium"/>
      <w:color w:val="007586" w:themeColor="text2"/>
      <w:sz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table" w:customStyle="1" w:styleId="GridTable1Light1">
    <w:name w:val="Grid Table 1 Light1"/>
    <w:basedOn w:val="TableNormal"/>
    <w:uiPriority w:val="46"/>
    <w:semiHidden/>
    <w:rsid w:val="005F32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5F321E"/>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5F321E"/>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5F321E"/>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5F321E"/>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5F321E"/>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5F321E"/>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5F321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5F321E"/>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5F321E"/>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5F321E"/>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5F321E"/>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5F321E"/>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5F321E"/>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5F32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5F321E"/>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5F321E"/>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5F321E"/>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5F321E"/>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5F321E"/>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5F321E"/>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5F32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5F321E"/>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5F321E"/>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5F321E"/>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5F321E"/>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5F321E"/>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5F321E"/>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5F32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5F32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5F32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5F32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5F32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5F32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5F32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5F32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5F321E"/>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5F321E"/>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5F321E"/>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5F321E"/>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5F321E"/>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5F321E"/>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5F32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5F321E"/>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5F321E"/>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5F321E"/>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5F321E"/>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5F321E"/>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5F321E"/>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ListTable1Light1">
    <w:name w:val="List Table 1 Light1"/>
    <w:basedOn w:val="TableNormal"/>
    <w:uiPriority w:val="46"/>
    <w:semiHidden/>
    <w:rsid w:val="005F32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5F321E"/>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5F321E"/>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5F321E"/>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5F321E"/>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5F321E"/>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5F321E"/>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5F32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5F321E"/>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5F321E"/>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5F321E"/>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5F321E"/>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5F321E"/>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5F321E"/>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5F32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5F321E"/>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5F321E"/>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5F321E"/>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5F321E"/>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5F321E"/>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5F321E"/>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5F32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5F321E"/>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5F321E"/>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5F321E"/>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5F321E"/>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5F321E"/>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5F321E"/>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5F321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5F321E"/>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5F321E"/>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5F321E"/>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5F321E"/>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5F321E"/>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5F321E"/>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5F321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5F321E"/>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5F321E"/>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5F321E"/>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5F321E"/>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5F321E"/>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5F321E"/>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5F321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5F321E"/>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5F321E"/>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5F321E"/>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5F321E"/>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5F321E"/>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5F321E"/>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semiHidden/>
    <w:rsid w:val="005F32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5F32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5F32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5F32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5F32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5F32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5F321E"/>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character" w:styleId="CommentReference">
    <w:name w:val="annotation reference"/>
    <w:basedOn w:val="DefaultParagraphFont"/>
    <w:uiPriority w:val="1"/>
    <w:semiHidden/>
    <w:unhideWhenUsed/>
    <w:rsid w:val="005F321E"/>
    <w:rPr>
      <w:sz w:val="16"/>
      <w:szCs w:val="16"/>
    </w:rPr>
  </w:style>
  <w:style w:type="paragraph" w:styleId="CommentText">
    <w:name w:val="annotation text"/>
    <w:basedOn w:val="Normal"/>
    <w:link w:val="CommentTextChar"/>
    <w:uiPriority w:val="1"/>
    <w:unhideWhenUsed/>
    <w:rsid w:val="005F321E"/>
    <w:pPr>
      <w:spacing w:line="240" w:lineRule="auto"/>
    </w:pPr>
  </w:style>
  <w:style w:type="character" w:customStyle="1" w:styleId="CommentTextChar">
    <w:name w:val="Comment Text Char"/>
    <w:basedOn w:val="DefaultParagraphFont"/>
    <w:link w:val="CommentText"/>
    <w:uiPriority w:val="1"/>
    <w:rsid w:val="005F321E"/>
    <w:rPr>
      <w:rFonts w:ascii="VIC" w:hAnsi="VIC"/>
    </w:rPr>
  </w:style>
  <w:style w:type="paragraph" w:styleId="CommentSubject">
    <w:name w:val="annotation subject"/>
    <w:basedOn w:val="CommentText"/>
    <w:next w:val="CommentText"/>
    <w:link w:val="CommentSubjectChar"/>
    <w:uiPriority w:val="1"/>
    <w:semiHidden/>
    <w:unhideWhenUsed/>
    <w:rsid w:val="005F321E"/>
    <w:rPr>
      <w:b/>
      <w:bCs/>
    </w:rPr>
  </w:style>
  <w:style w:type="character" w:customStyle="1" w:styleId="CommentSubjectChar">
    <w:name w:val="Comment Subject Char"/>
    <w:basedOn w:val="CommentTextChar"/>
    <w:link w:val="CommentSubject"/>
    <w:uiPriority w:val="1"/>
    <w:semiHidden/>
    <w:rsid w:val="005F321E"/>
    <w:rPr>
      <w:rFonts w:ascii="VIC" w:hAnsi="VIC"/>
      <w:b/>
      <w:bCs/>
    </w:rPr>
  </w:style>
  <w:style w:type="paragraph" w:styleId="Revision">
    <w:name w:val="Revision"/>
    <w:hidden/>
    <w:uiPriority w:val="99"/>
    <w:semiHidden/>
    <w:rsid w:val="005F321E"/>
    <w:pPr>
      <w:spacing w:before="0" w:after="0" w:line="240" w:lineRule="auto"/>
    </w:pPr>
    <w:rPr>
      <w:rFonts w:ascii="VIC" w:hAnsi="VIC"/>
    </w:rPr>
  </w:style>
  <w:style w:type="paragraph" w:styleId="EndnoteText">
    <w:name w:val="endnote text"/>
    <w:basedOn w:val="Normal"/>
    <w:link w:val="EndnoteTextChar"/>
    <w:uiPriority w:val="1"/>
    <w:semiHidden/>
    <w:unhideWhenUsed/>
    <w:rsid w:val="005F321E"/>
    <w:pPr>
      <w:spacing w:before="0" w:after="0" w:line="240" w:lineRule="auto"/>
    </w:pPr>
  </w:style>
  <w:style w:type="character" w:customStyle="1" w:styleId="EndnoteTextChar">
    <w:name w:val="Endnote Text Char"/>
    <w:basedOn w:val="DefaultParagraphFont"/>
    <w:link w:val="EndnoteText"/>
    <w:uiPriority w:val="1"/>
    <w:semiHidden/>
    <w:rsid w:val="005F321E"/>
    <w:rPr>
      <w:rFonts w:ascii="VIC" w:hAnsi="VIC"/>
    </w:rPr>
  </w:style>
  <w:style w:type="character" w:styleId="EndnoteReference">
    <w:name w:val="endnote reference"/>
    <w:basedOn w:val="DefaultParagraphFont"/>
    <w:uiPriority w:val="1"/>
    <w:semiHidden/>
    <w:unhideWhenUsed/>
    <w:rsid w:val="005F3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fercare.vic" TargetMode="External"/><Relationship Id="rId17" Type="http://schemas.openxmlformats.org/officeDocument/2006/relationships/image" Target="media/image6.ti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1.%20Templates\1.%20Safer%20Care%20Victoria\Report%20no%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A1C20478CF4F2CA7F05A607D567CBF"/>
        <w:category>
          <w:name w:val="General"/>
          <w:gallery w:val="placeholder"/>
        </w:category>
        <w:types>
          <w:type w:val="bbPlcHdr"/>
        </w:types>
        <w:behaviors>
          <w:behavior w:val="content"/>
        </w:behaviors>
        <w:guid w:val="{5CF113C1-1A46-484F-95F1-4A75F38B6A80}"/>
      </w:docPartPr>
      <w:docPartBody>
        <w:p w:rsidR="00000000" w:rsidRDefault="00B54112">
          <w:pPr>
            <w:pStyle w:val="CAA1C20478CF4F2CA7F05A607D567CBF"/>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CAA1C20478CF4F2CA7F05A607D567CBF">
    <w:name w:val="CAA1C20478CF4F2CA7F05A607D567CBF"/>
  </w:style>
  <w:style w:type="paragraph" w:customStyle="1" w:styleId="8DF6131167574C37A0A85B42EC389F98">
    <w:name w:val="8DF6131167574C37A0A85B42EC389F98"/>
  </w:style>
  <w:style w:type="paragraph" w:customStyle="1" w:styleId="04C73452B2374A23BC8DCC55B1619447">
    <w:name w:val="04C73452B2374A23BC8DCC55B1619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D1BF-4BD4-47E4-B8BD-BE87AA89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no image.dotx</Template>
  <TotalTime>23</TotalTime>
  <Pages>16</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Corporate plan</vt:lpstr>
    </vt:vector>
  </TitlesOfParts>
  <Company>Department of Treasury and Finance</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dc:title>
  <dc:creator>Emma Gumbleton (DHHS)</dc:creator>
  <cp:lastModifiedBy>Emma Gumbleton (DHHS)</cp:lastModifiedBy>
  <cp:revision>1</cp:revision>
  <cp:lastPrinted>2018-05-20T09:23:00Z</cp:lastPrinted>
  <dcterms:created xsi:type="dcterms:W3CDTF">2019-08-08T01:17:00Z</dcterms:created>
  <dcterms:modified xsi:type="dcterms:W3CDTF">2019-08-08T01:40:00Z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