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C1D10" w14:textId="49C41C24" w:rsidR="007E0691" w:rsidRPr="00C04A89" w:rsidRDefault="007E0691">
      <w:pPr>
        <w:rPr>
          <w:b/>
          <w:sz w:val="32"/>
        </w:rPr>
      </w:pPr>
    </w:p>
    <w:tbl>
      <w:tblPr>
        <w:tblpPr w:leftFromText="5670" w:rightFromText="5670" w:vertAnchor="page" w:horzAnchor="page" w:tblpX="852" w:tblpY="3913"/>
        <w:tblOverlap w:val="never"/>
        <w:tblW w:w="9196" w:type="dxa"/>
        <w:tblBorders>
          <w:top w:val="single" w:sz="24" w:space="0" w:color="FFFFFF" w:themeColor="background1"/>
        </w:tblBorders>
        <w:tblCellMar>
          <w:left w:w="0" w:type="dxa"/>
          <w:right w:w="0" w:type="dxa"/>
        </w:tblCellMar>
        <w:tblLook w:val="0620" w:firstRow="1" w:lastRow="0" w:firstColumn="0" w:lastColumn="0" w:noHBand="1" w:noVBand="1"/>
      </w:tblPr>
      <w:tblGrid>
        <w:gridCol w:w="9196"/>
      </w:tblGrid>
      <w:tr w:rsidR="00B22BAC" w14:paraId="270452EB" w14:textId="77777777" w:rsidTr="002E63CC">
        <w:trPr>
          <w:trHeight w:val="2363"/>
        </w:trPr>
        <w:tc>
          <w:tcPr>
            <w:tcW w:w="9196" w:type="dxa"/>
            <w:tcMar>
              <w:top w:w="312" w:type="dxa"/>
            </w:tcMar>
          </w:tcPr>
          <w:sdt>
            <w:sdtPr>
              <w:alias w:val="Title"/>
              <w:tag w:val=""/>
              <w:id w:val="181640854"/>
              <w:placeholder>
                <w:docPart w:val="0B1E9496B5D44D218BA9326225AC42D1"/>
              </w:placeholder>
              <w:dataBinding w:prefixMappings="xmlns:ns0='http://purl.org/dc/elements/1.1/' xmlns:ns1='http://schemas.openxmlformats.org/package/2006/metadata/core-properties' " w:xpath="/ns1:coreProperties[1]/ns0:title[1]" w:storeItemID="{6C3C8BC8-F283-45AE-878A-BAB7291924A1}"/>
              <w:text/>
            </w:sdtPr>
            <w:sdtEndPr/>
            <w:sdtContent>
              <w:p w14:paraId="1E8C92E4" w14:textId="77777777" w:rsidR="00A46288" w:rsidRPr="00B22BAC" w:rsidRDefault="00072D39" w:rsidP="00B22BAC">
                <w:pPr>
                  <w:pStyle w:val="Title"/>
                  <w:framePr w:hSpace="0" w:wrap="auto" w:vAnchor="margin" w:hAnchor="text" w:xAlign="left" w:yAlign="inline"/>
                  <w:suppressOverlap w:val="0"/>
                </w:pPr>
                <w:r>
                  <w:t>Victorian Consultative Council on Anaesthetic Mortality and Morbidity</w:t>
                </w:r>
              </w:p>
            </w:sdtContent>
          </w:sdt>
          <w:p w14:paraId="11EC083A" w14:textId="5171337C" w:rsidR="00A46288" w:rsidRPr="00A46288" w:rsidRDefault="002E63CC" w:rsidP="00B22BAC">
            <w:pPr>
              <w:pStyle w:val="Subtitle"/>
              <w:framePr w:hSpace="0" w:wrap="auto" w:vAnchor="margin" w:hAnchor="text" w:yAlign="inline"/>
              <w:suppressOverlap w:val="0"/>
            </w:pPr>
            <w:r>
              <w:t xml:space="preserve">Triennial </w:t>
            </w:r>
            <w:r w:rsidR="00CB0BA7">
              <w:t>r</w:t>
            </w:r>
            <w:r>
              <w:t>eport 2015</w:t>
            </w:r>
            <w:r w:rsidR="00CB0BA7">
              <w:t>–20</w:t>
            </w:r>
            <w:r>
              <w:t>17</w:t>
            </w:r>
          </w:p>
        </w:tc>
      </w:tr>
    </w:tbl>
    <w:p w14:paraId="6BEDBD89" w14:textId="77777777" w:rsidR="00A46288" w:rsidRDefault="008D3032" w:rsidP="00A46288">
      <w:pPr>
        <w:pStyle w:val="NoSpacing"/>
      </w:pPr>
      <w:r>
        <w:rPr>
          <w:noProof/>
        </w:rPr>
        <mc:AlternateContent>
          <mc:Choice Requires="wps">
            <w:drawing>
              <wp:anchor distT="0" distB="0" distL="114300" distR="114300" simplePos="0" relativeHeight="251658240" behindDoc="0" locked="0" layoutInCell="1" allowOverlap="1" wp14:anchorId="75CD10E9" wp14:editId="69DE1025">
                <wp:simplePos x="0" y="0"/>
                <wp:positionH relativeFrom="column">
                  <wp:posOffset>3079115</wp:posOffset>
                </wp:positionH>
                <wp:positionV relativeFrom="paragraph">
                  <wp:posOffset>-1102995</wp:posOffset>
                </wp:positionV>
                <wp:extent cx="3400425" cy="6076950"/>
                <wp:effectExtent l="0" t="0" r="0" b="0"/>
                <wp:wrapNone/>
                <wp:docPr id="4" name="Instructions" hidden="1"/>
                <wp:cNvGraphicFramePr/>
                <a:graphic xmlns:a="http://schemas.openxmlformats.org/drawingml/2006/main">
                  <a:graphicData uri="http://schemas.microsoft.com/office/word/2010/wordprocessingShape">
                    <wps:wsp>
                      <wps:cNvSpPr/>
                      <wps:spPr>
                        <a:xfrm>
                          <a:off x="0" y="0"/>
                          <a:ext cx="3400425" cy="6076950"/>
                        </a:xfrm>
                        <a:prstGeom prst="foldedCorner">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F135D0" w14:textId="77777777" w:rsidR="005E0700" w:rsidRDefault="005E0700" w:rsidP="0036588E">
                            <w:pPr>
                              <w:spacing w:after="240"/>
                              <w:jc w:val="center"/>
                              <w:rPr>
                                <w:b/>
                                <w:color w:val="000000" w:themeColor="text1"/>
                              </w:rPr>
                            </w:pPr>
                            <w:r w:rsidRPr="0036588E">
                              <w:rPr>
                                <w:b/>
                                <w:color w:val="000000" w:themeColor="text1"/>
                              </w:rPr>
                              <w:t>Instructions for how to insert an image into the Image Placeholder:</w:t>
                            </w:r>
                          </w:p>
                          <w:p w14:paraId="26AA200A" w14:textId="77777777" w:rsidR="005E0700" w:rsidRPr="0036588E" w:rsidRDefault="005E0700" w:rsidP="0036588E">
                            <w:pPr>
                              <w:spacing w:after="240"/>
                              <w:jc w:val="center"/>
                              <w:rPr>
                                <w:b/>
                                <w:color w:val="000000" w:themeColor="text1"/>
                              </w:rPr>
                            </w:pPr>
                            <w:r>
                              <w:rPr>
                                <w:b/>
                                <w:color w:val="000000" w:themeColor="text1"/>
                              </w:rPr>
                              <w:t>(Ghosted image effect)</w:t>
                            </w:r>
                          </w:p>
                          <w:p w14:paraId="679BF14D"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b/>
                                <w:color w:val="000000" w:themeColor="text1"/>
                                <w:sz w:val="18"/>
                                <w:szCs w:val="18"/>
                              </w:rPr>
                            </w:pPr>
                            <w:r>
                              <w:rPr>
                                <w:color w:val="000000" w:themeColor="text1"/>
                                <w:sz w:val="18"/>
                                <w:szCs w:val="18"/>
                              </w:rPr>
                              <w:t xml:space="preserve">Edit the header (double-click in the header area, or </w:t>
                            </w:r>
                            <w:r w:rsidRPr="0036588E">
                              <w:rPr>
                                <w:color w:val="000000" w:themeColor="text1"/>
                                <w:sz w:val="18"/>
                                <w:szCs w:val="18"/>
                              </w:rPr>
                              <w:t xml:space="preserve">click </w:t>
                            </w:r>
                            <w:r w:rsidRPr="0036588E">
                              <w:rPr>
                                <w:b/>
                                <w:color w:val="000000" w:themeColor="text1"/>
                                <w:sz w:val="18"/>
                                <w:szCs w:val="18"/>
                              </w:rPr>
                              <w:t>Insert &gt; Header &gt; Edit Header</w:t>
                            </w:r>
                            <w:r>
                              <w:rPr>
                                <w:b/>
                                <w:color w:val="000000" w:themeColor="text1"/>
                                <w:sz w:val="18"/>
                                <w:szCs w:val="18"/>
                              </w:rPr>
                              <w:t>)</w:t>
                            </w:r>
                          </w:p>
                          <w:p w14:paraId="648516B9"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Click on the </w:t>
                            </w:r>
                            <w:r w:rsidRPr="0036588E">
                              <w:rPr>
                                <w:b/>
                                <w:color w:val="000000" w:themeColor="text1"/>
                                <w:sz w:val="18"/>
                                <w:szCs w:val="18"/>
                              </w:rPr>
                              <w:t>grey</w:t>
                            </w:r>
                            <w:r w:rsidRPr="0036588E">
                              <w:rPr>
                                <w:color w:val="000000" w:themeColor="text1"/>
                                <w:sz w:val="18"/>
                                <w:szCs w:val="18"/>
                              </w:rPr>
                              <w:t xml:space="preserve"> box (Image Placeholder)</w:t>
                            </w:r>
                          </w:p>
                          <w:p w14:paraId="60C5ABCB"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click </w:t>
                            </w:r>
                            <w:r w:rsidRPr="005660CF">
                              <w:rPr>
                                <w:b/>
                                <w:color w:val="000000" w:themeColor="text1"/>
                                <w:sz w:val="18"/>
                                <w:szCs w:val="18"/>
                              </w:rPr>
                              <w:t>Drawing Tools &gt;</w:t>
                            </w:r>
                            <w:r>
                              <w:rPr>
                                <w:color w:val="000000" w:themeColor="text1"/>
                                <w:sz w:val="18"/>
                                <w:szCs w:val="18"/>
                              </w:rPr>
                              <w:t xml:space="preserve"> </w:t>
                            </w:r>
                            <w:r w:rsidRPr="0036588E">
                              <w:rPr>
                                <w:b/>
                                <w:color w:val="000000" w:themeColor="text1"/>
                                <w:sz w:val="18"/>
                                <w:szCs w:val="18"/>
                              </w:rPr>
                              <w:t>Format &gt; Shape Fill &gt; Picture…</w:t>
                            </w:r>
                            <w:r w:rsidRPr="0036588E">
                              <w:rPr>
                                <w:color w:val="000000" w:themeColor="text1"/>
                                <w:sz w:val="18"/>
                                <w:szCs w:val="18"/>
                              </w:rPr>
                              <w:t xml:space="preserve"> Select your picture and press </w:t>
                            </w:r>
                            <w:r w:rsidRPr="0036588E">
                              <w:rPr>
                                <w:b/>
                                <w:color w:val="000000" w:themeColor="text1"/>
                                <w:sz w:val="18"/>
                                <w:szCs w:val="18"/>
                              </w:rPr>
                              <w:t>Insert</w:t>
                            </w:r>
                            <w:r w:rsidRPr="0036588E">
                              <w:rPr>
                                <w:color w:val="000000" w:themeColor="text1"/>
                                <w:sz w:val="18"/>
                                <w:szCs w:val="18"/>
                              </w:rPr>
                              <w:t>.</w:t>
                            </w:r>
                          </w:p>
                          <w:p w14:paraId="1A5C7CDD"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under </w:t>
                            </w:r>
                            <w:r w:rsidRPr="0036588E">
                              <w:rPr>
                                <w:b/>
                                <w:color w:val="000000" w:themeColor="text1"/>
                                <w:sz w:val="18"/>
                                <w:szCs w:val="18"/>
                              </w:rPr>
                              <w:t>Picture Tools &gt; Format</w:t>
                            </w:r>
                            <w:r w:rsidRPr="0036588E">
                              <w:rPr>
                                <w:color w:val="000000" w:themeColor="text1"/>
                                <w:sz w:val="18"/>
                                <w:szCs w:val="18"/>
                              </w:rPr>
                              <w:t xml:space="preserve"> click </w:t>
                            </w:r>
                            <w:r w:rsidRPr="0036588E">
                              <w:rPr>
                                <w:b/>
                                <w:color w:val="000000" w:themeColor="text1"/>
                                <w:sz w:val="18"/>
                                <w:szCs w:val="18"/>
                              </w:rPr>
                              <w:t>Crop arrow down &gt; Fill</w:t>
                            </w:r>
                            <w:r w:rsidRPr="0036588E">
                              <w:rPr>
                                <w:color w:val="000000" w:themeColor="text1"/>
                                <w:sz w:val="18"/>
                                <w:szCs w:val="18"/>
                              </w:rPr>
                              <w:t>. This will resize the picture so that the entire picture area is filled, whilst maintaining the original aspect ratio. Any area of the picture that falls outside of the picture area will be cropped. You can now resize your picture manually and drag it into the desired position in the picture frame.</w:t>
                            </w:r>
                          </w:p>
                          <w:p w14:paraId="692EF643"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Lastly</w:t>
                            </w:r>
                            <w:r>
                              <w:rPr>
                                <w:color w:val="000000" w:themeColor="text1"/>
                                <w:sz w:val="18"/>
                                <w:szCs w:val="18"/>
                              </w:rPr>
                              <w:t>,</w:t>
                            </w:r>
                            <w:r w:rsidRPr="0036588E">
                              <w:rPr>
                                <w:color w:val="000000" w:themeColor="text1"/>
                                <w:sz w:val="18"/>
                                <w:szCs w:val="18"/>
                              </w:rPr>
                              <w:t xml:space="preserve"> under </w:t>
                            </w:r>
                            <w:r w:rsidRPr="0036588E">
                              <w:rPr>
                                <w:b/>
                                <w:color w:val="000000" w:themeColor="text1"/>
                                <w:sz w:val="18"/>
                                <w:szCs w:val="18"/>
                              </w:rPr>
                              <w:t>Picture Tools</w:t>
                            </w:r>
                            <w:r w:rsidRPr="0036588E">
                              <w:rPr>
                                <w:color w:val="000000" w:themeColor="text1"/>
                                <w:sz w:val="18"/>
                                <w:szCs w:val="18"/>
                              </w:rPr>
                              <w:t xml:space="preserve">, click </w:t>
                            </w:r>
                            <w:r w:rsidRPr="0036588E">
                              <w:rPr>
                                <w:b/>
                                <w:color w:val="000000" w:themeColor="text1"/>
                                <w:sz w:val="18"/>
                                <w:szCs w:val="18"/>
                              </w:rPr>
                              <w:t>Compress Pictures</w:t>
                            </w:r>
                            <w:r w:rsidRPr="0036588E">
                              <w:rPr>
                                <w:color w:val="000000" w:themeColor="text1"/>
                                <w:sz w:val="18"/>
                                <w:szCs w:val="18"/>
                              </w:rPr>
                              <w:t xml:space="preserve"> and select a minimum of 150ppi. If this option is not available it means the image is of poor quality. Ensure </w:t>
                            </w:r>
                            <w:r w:rsidRPr="0036588E">
                              <w:rPr>
                                <w:b/>
                                <w:color w:val="000000" w:themeColor="text1"/>
                                <w:sz w:val="18"/>
                                <w:szCs w:val="18"/>
                              </w:rPr>
                              <w:t>Delete cropped areas of pictures</w:t>
                            </w:r>
                            <w:r w:rsidRPr="0036588E">
                              <w:rPr>
                                <w:color w:val="000000" w:themeColor="text1"/>
                                <w:sz w:val="18"/>
                                <w:szCs w:val="18"/>
                              </w:rPr>
                              <w:t xml:space="preserve"> is checked on and press OK.</w:t>
                            </w:r>
                          </w:p>
                          <w:p w14:paraId="49AA4939"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click </w:t>
                            </w:r>
                            <w:r w:rsidRPr="0036588E">
                              <w:rPr>
                                <w:b/>
                                <w:color w:val="000000" w:themeColor="text1"/>
                                <w:sz w:val="18"/>
                                <w:szCs w:val="18"/>
                              </w:rPr>
                              <w:t>Picture Tools &gt; Format &gt; Picture</w:t>
                            </w:r>
                            <w:r w:rsidRPr="0036588E">
                              <w:rPr>
                                <w:color w:val="000000" w:themeColor="text1"/>
                                <w:sz w:val="18"/>
                                <w:szCs w:val="18"/>
                              </w:rPr>
                              <w:t xml:space="preserve"> </w:t>
                            </w:r>
                            <w:r w:rsidRPr="0036588E">
                              <w:rPr>
                                <w:b/>
                                <w:color w:val="000000" w:themeColor="text1"/>
                                <w:sz w:val="18"/>
                                <w:szCs w:val="18"/>
                              </w:rPr>
                              <w:t>&gt; Picture Color</w:t>
                            </w:r>
                            <w:r w:rsidRPr="0036588E">
                              <w:rPr>
                                <w:color w:val="000000" w:themeColor="text1"/>
                                <w:sz w:val="18"/>
                                <w:szCs w:val="18"/>
                              </w:rPr>
                              <w:t xml:space="preserve">. Under </w:t>
                            </w:r>
                            <w:r w:rsidRPr="0036588E">
                              <w:rPr>
                                <w:b/>
                                <w:color w:val="000000" w:themeColor="text1"/>
                                <w:sz w:val="18"/>
                                <w:szCs w:val="18"/>
                              </w:rPr>
                              <w:t>Color Saturation</w:t>
                            </w:r>
                            <w:r w:rsidRPr="0036588E">
                              <w:rPr>
                                <w:color w:val="000000" w:themeColor="text1"/>
                                <w:sz w:val="18"/>
                                <w:szCs w:val="18"/>
                              </w:rPr>
                              <w:t xml:space="preserve">, click on the </w:t>
                            </w:r>
                            <w:r w:rsidRPr="0036588E">
                              <w:rPr>
                                <w:b/>
                                <w:color w:val="000000" w:themeColor="text1"/>
                                <w:sz w:val="18"/>
                                <w:szCs w:val="18"/>
                              </w:rPr>
                              <w:t>Presets</w:t>
                            </w:r>
                            <w:r w:rsidRPr="0036588E">
                              <w:rPr>
                                <w:color w:val="000000" w:themeColor="text1"/>
                                <w:sz w:val="18"/>
                                <w:szCs w:val="18"/>
                              </w:rPr>
                              <w:t xml:space="preserve"> down-down menu and select the first option </w:t>
                            </w:r>
                            <w:r w:rsidRPr="0036588E">
                              <w:rPr>
                                <w:b/>
                                <w:color w:val="000000" w:themeColor="text1"/>
                                <w:sz w:val="18"/>
                                <w:szCs w:val="18"/>
                              </w:rPr>
                              <w:t>(Saturation 0%).</w:t>
                            </w:r>
                          </w:p>
                          <w:p w14:paraId="24C7E43A" w14:textId="222C70CB" w:rsidR="005E0700" w:rsidRDefault="005E0700" w:rsidP="00C11F1E">
                            <w:pPr>
                              <w:pStyle w:val="ListParagraph"/>
                              <w:numPr>
                                <w:ilvl w:val="0"/>
                                <w:numId w:val="6"/>
                              </w:numPr>
                              <w:tabs>
                                <w:tab w:val="left" w:pos="1560"/>
                              </w:tabs>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Click on </w:t>
                            </w:r>
                            <w:r w:rsidRPr="0036588E">
                              <w:rPr>
                                <w:b/>
                                <w:color w:val="000000" w:themeColor="text1"/>
                                <w:sz w:val="18"/>
                                <w:szCs w:val="18"/>
                              </w:rPr>
                              <w:t>Picture Tools &gt; Format &gt; Fill</w:t>
                            </w:r>
                            <w:r>
                              <w:rPr>
                                <w:b/>
                                <w:color w:val="000000" w:themeColor="text1"/>
                                <w:sz w:val="18"/>
                                <w:szCs w:val="18"/>
                              </w:rPr>
                              <w:t xml:space="preserve"> and </w:t>
                            </w:r>
                            <w:r w:rsidRPr="0036588E">
                              <w:rPr>
                                <w:b/>
                                <w:color w:val="000000" w:themeColor="text1"/>
                                <w:sz w:val="18"/>
                                <w:szCs w:val="18"/>
                              </w:rPr>
                              <w:t>Line</w:t>
                            </w:r>
                            <w:r w:rsidRPr="0036588E">
                              <w:rPr>
                                <w:color w:val="000000" w:themeColor="text1"/>
                                <w:sz w:val="18"/>
                                <w:szCs w:val="18"/>
                              </w:rPr>
                              <w:t xml:space="preserve">. Under </w:t>
                            </w:r>
                            <w:r w:rsidRPr="0036588E">
                              <w:rPr>
                                <w:b/>
                                <w:color w:val="000000" w:themeColor="text1"/>
                                <w:sz w:val="18"/>
                                <w:szCs w:val="18"/>
                              </w:rPr>
                              <w:t>Fill</w:t>
                            </w:r>
                            <w:r w:rsidRPr="0036588E">
                              <w:rPr>
                                <w:color w:val="000000" w:themeColor="text1"/>
                                <w:sz w:val="18"/>
                                <w:szCs w:val="18"/>
                              </w:rPr>
                              <w:t xml:space="preserve">, change the </w:t>
                            </w:r>
                            <w:r w:rsidRPr="0036588E">
                              <w:rPr>
                                <w:b/>
                                <w:color w:val="000000" w:themeColor="text1"/>
                                <w:sz w:val="18"/>
                                <w:szCs w:val="18"/>
                              </w:rPr>
                              <w:t>Transparency</w:t>
                            </w:r>
                            <w:r w:rsidRPr="0036588E">
                              <w:rPr>
                                <w:color w:val="000000" w:themeColor="text1"/>
                                <w:sz w:val="18"/>
                                <w:szCs w:val="18"/>
                              </w:rPr>
                              <w:t xml:space="preserve"> to 70%. </w:t>
                            </w:r>
                          </w:p>
                          <w:p w14:paraId="238B5AB7" w14:textId="77777777" w:rsidR="005E0700" w:rsidRPr="0036588E" w:rsidRDefault="005E0700" w:rsidP="00C11F1E">
                            <w:pPr>
                              <w:pStyle w:val="ListParagraph"/>
                              <w:numPr>
                                <w:ilvl w:val="0"/>
                                <w:numId w:val="6"/>
                              </w:numPr>
                              <w:tabs>
                                <w:tab w:val="left" w:pos="1560"/>
                              </w:tabs>
                              <w:spacing w:before="120" w:after="120" w:line="220" w:lineRule="atLeast"/>
                              <w:ind w:left="284" w:hanging="284"/>
                              <w:contextualSpacing w:val="0"/>
                              <w:jc w:val="both"/>
                              <w:rPr>
                                <w:color w:val="000000" w:themeColor="text1"/>
                                <w:sz w:val="18"/>
                                <w:szCs w:val="18"/>
                              </w:rPr>
                            </w:pPr>
                            <w:r>
                              <w:rPr>
                                <w:color w:val="000000" w:themeColor="text1"/>
                                <w:sz w:val="18"/>
                                <w:szCs w:val="18"/>
                              </w:rPr>
                              <w:t xml:space="preserve">On the ribbon, click on </w:t>
                            </w:r>
                            <w:r w:rsidRPr="005660CF">
                              <w:rPr>
                                <w:b/>
                                <w:color w:val="000000" w:themeColor="text1"/>
                                <w:sz w:val="18"/>
                                <w:szCs w:val="18"/>
                              </w:rPr>
                              <w:t>Close Header and Footer</w:t>
                            </w:r>
                            <w:r>
                              <w:rPr>
                                <w:color w:val="000000" w:themeColor="text1"/>
                                <w:sz w:val="18"/>
                                <w:szCs w:val="18"/>
                              </w:rPr>
                              <w:t>.</w:t>
                            </w:r>
                          </w:p>
                        </w:txbxContent>
                      </wps:txbx>
                      <wps:bodyPr rot="0" spcFirstLastPara="0" vertOverflow="overflow" horzOverflow="overflow" vert="horz" wrap="square" lIns="180000" tIns="216000" rIns="18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D10E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Instructions" o:spid="_x0000_s1026" type="#_x0000_t65" style="position:absolute;margin-left:242.45pt;margin-top:-86.85pt;width:267.75pt;height:478.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" adj="18000" fillcolor="yellow" strokecolor="yellow" strokeweight="2pt">
                <v:textbox inset="5mm,6mm,5mm,0">
                  <w:txbxContent>
                    <w:p w14:paraId="1EF135D0" w14:textId="77777777" w:rsidR="005E0700" w:rsidRDefault="005E0700" w:rsidP="0036588E">
                      <w:pPr>
                        <w:spacing w:after="240"/>
                        <w:jc w:val="center"/>
                        <w:rPr>
                          <w:b/>
                          <w:color w:val="000000" w:themeColor="text1"/>
                        </w:rPr>
                      </w:pPr>
                      <w:r w:rsidRPr="0036588E">
                        <w:rPr>
                          <w:b/>
                          <w:color w:val="000000" w:themeColor="text1"/>
                        </w:rPr>
                        <w:t>Instructions for how to insert an image into the Image Placeholder:</w:t>
                      </w:r>
                    </w:p>
                    <w:p w14:paraId="26AA200A" w14:textId="77777777" w:rsidR="005E0700" w:rsidRPr="0036588E" w:rsidRDefault="005E0700" w:rsidP="0036588E">
                      <w:pPr>
                        <w:spacing w:after="240"/>
                        <w:jc w:val="center"/>
                        <w:rPr>
                          <w:b/>
                          <w:color w:val="000000" w:themeColor="text1"/>
                        </w:rPr>
                      </w:pPr>
                      <w:r>
                        <w:rPr>
                          <w:b/>
                          <w:color w:val="000000" w:themeColor="text1"/>
                        </w:rPr>
                        <w:t>(Ghosted image effect)</w:t>
                      </w:r>
                    </w:p>
                    <w:p w14:paraId="679BF14D"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b/>
                          <w:color w:val="000000" w:themeColor="text1"/>
                          <w:sz w:val="18"/>
                          <w:szCs w:val="18"/>
                        </w:rPr>
                      </w:pPr>
                      <w:r>
                        <w:rPr>
                          <w:color w:val="000000" w:themeColor="text1"/>
                          <w:sz w:val="18"/>
                          <w:szCs w:val="18"/>
                        </w:rPr>
                        <w:t xml:space="preserve">Edit the header (double-click in the header area, or </w:t>
                      </w:r>
                      <w:r w:rsidRPr="0036588E">
                        <w:rPr>
                          <w:color w:val="000000" w:themeColor="text1"/>
                          <w:sz w:val="18"/>
                          <w:szCs w:val="18"/>
                        </w:rPr>
                        <w:t xml:space="preserve">click </w:t>
                      </w:r>
                      <w:r w:rsidRPr="0036588E">
                        <w:rPr>
                          <w:b/>
                          <w:color w:val="000000" w:themeColor="text1"/>
                          <w:sz w:val="18"/>
                          <w:szCs w:val="18"/>
                        </w:rPr>
                        <w:t>Insert &gt; Header &gt; Edit Header</w:t>
                      </w:r>
                      <w:r>
                        <w:rPr>
                          <w:b/>
                          <w:color w:val="000000" w:themeColor="text1"/>
                          <w:sz w:val="18"/>
                          <w:szCs w:val="18"/>
                        </w:rPr>
                        <w:t>)</w:t>
                      </w:r>
                    </w:p>
                    <w:p w14:paraId="648516B9"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Click on the </w:t>
                      </w:r>
                      <w:r w:rsidRPr="0036588E">
                        <w:rPr>
                          <w:b/>
                          <w:color w:val="000000" w:themeColor="text1"/>
                          <w:sz w:val="18"/>
                          <w:szCs w:val="18"/>
                        </w:rPr>
                        <w:t>grey</w:t>
                      </w:r>
                      <w:r w:rsidRPr="0036588E">
                        <w:rPr>
                          <w:color w:val="000000" w:themeColor="text1"/>
                          <w:sz w:val="18"/>
                          <w:szCs w:val="18"/>
                        </w:rPr>
                        <w:t xml:space="preserve"> box (Image Placeholder)</w:t>
                      </w:r>
                    </w:p>
                    <w:p w14:paraId="60C5ABCB"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click </w:t>
                      </w:r>
                      <w:r w:rsidRPr="005660CF">
                        <w:rPr>
                          <w:b/>
                          <w:color w:val="000000" w:themeColor="text1"/>
                          <w:sz w:val="18"/>
                          <w:szCs w:val="18"/>
                        </w:rPr>
                        <w:t>Drawing Tools &gt;</w:t>
                      </w:r>
                      <w:r>
                        <w:rPr>
                          <w:color w:val="000000" w:themeColor="text1"/>
                          <w:sz w:val="18"/>
                          <w:szCs w:val="18"/>
                        </w:rPr>
                        <w:t xml:space="preserve"> </w:t>
                      </w:r>
                      <w:r w:rsidRPr="0036588E">
                        <w:rPr>
                          <w:b/>
                          <w:color w:val="000000" w:themeColor="text1"/>
                          <w:sz w:val="18"/>
                          <w:szCs w:val="18"/>
                        </w:rPr>
                        <w:t>Format &gt; Shape Fill &gt; Picture…</w:t>
                      </w:r>
                      <w:r w:rsidRPr="0036588E">
                        <w:rPr>
                          <w:color w:val="000000" w:themeColor="text1"/>
                          <w:sz w:val="18"/>
                          <w:szCs w:val="18"/>
                        </w:rPr>
                        <w:t xml:space="preserve"> Select your picture and press </w:t>
                      </w:r>
                      <w:r w:rsidRPr="0036588E">
                        <w:rPr>
                          <w:b/>
                          <w:color w:val="000000" w:themeColor="text1"/>
                          <w:sz w:val="18"/>
                          <w:szCs w:val="18"/>
                        </w:rPr>
                        <w:t>Insert</w:t>
                      </w:r>
                      <w:r w:rsidRPr="0036588E">
                        <w:rPr>
                          <w:color w:val="000000" w:themeColor="text1"/>
                          <w:sz w:val="18"/>
                          <w:szCs w:val="18"/>
                        </w:rPr>
                        <w:t>.</w:t>
                      </w:r>
                    </w:p>
                    <w:p w14:paraId="1A5C7CDD"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under </w:t>
                      </w:r>
                      <w:r w:rsidRPr="0036588E">
                        <w:rPr>
                          <w:b/>
                          <w:color w:val="000000" w:themeColor="text1"/>
                          <w:sz w:val="18"/>
                          <w:szCs w:val="18"/>
                        </w:rPr>
                        <w:t>Picture Tools &gt; Format</w:t>
                      </w:r>
                      <w:r w:rsidRPr="0036588E">
                        <w:rPr>
                          <w:color w:val="000000" w:themeColor="text1"/>
                          <w:sz w:val="18"/>
                          <w:szCs w:val="18"/>
                        </w:rPr>
                        <w:t xml:space="preserve"> click </w:t>
                      </w:r>
                      <w:r w:rsidRPr="0036588E">
                        <w:rPr>
                          <w:b/>
                          <w:color w:val="000000" w:themeColor="text1"/>
                          <w:sz w:val="18"/>
                          <w:szCs w:val="18"/>
                        </w:rPr>
                        <w:t>Crop arrow down &gt; Fill</w:t>
                      </w:r>
                      <w:r w:rsidRPr="0036588E">
                        <w:rPr>
                          <w:color w:val="000000" w:themeColor="text1"/>
                          <w:sz w:val="18"/>
                          <w:szCs w:val="18"/>
                        </w:rPr>
                        <w:t>. This will resize the picture so that the entire picture area is filled, whilst maintaining the original aspect ratio. Any area of the picture that falls outside of the picture area will be cropped. You can now resize your picture manually and drag it into the desired position in the picture frame.</w:t>
                      </w:r>
                    </w:p>
                    <w:p w14:paraId="692EF643"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Lastly</w:t>
                      </w:r>
                      <w:r>
                        <w:rPr>
                          <w:color w:val="000000" w:themeColor="text1"/>
                          <w:sz w:val="18"/>
                          <w:szCs w:val="18"/>
                        </w:rPr>
                        <w:t>,</w:t>
                      </w:r>
                      <w:r w:rsidRPr="0036588E">
                        <w:rPr>
                          <w:color w:val="000000" w:themeColor="text1"/>
                          <w:sz w:val="18"/>
                          <w:szCs w:val="18"/>
                        </w:rPr>
                        <w:t xml:space="preserve"> under </w:t>
                      </w:r>
                      <w:r w:rsidRPr="0036588E">
                        <w:rPr>
                          <w:b/>
                          <w:color w:val="000000" w:themeColor="text1"/>
                          <w:sz w:val="18"/>
                          <w:szCs w:val="18"/>
                        </w:rPr>
                        <w:t>Picture Tools</w:t>
                      </w:r>
                      <w:r w:rsidRPr="0036588E">
                        <w:rPr>
                          <w:color w:val="000000" w:themeColor="text1"/>
                          <w:sz w:val="18"/>
                          <w:szCs w:val="18"/>
                        </w:rPr>
                        <w:t xml:space="preserve">, click </w:t>
                      </w:r>
                      <w:r w:rsidRPr="0036588E">
                        <w:rPr>
                          <w:b/>
                          <w:color w:val="000000" w:themeColor="text1"/>
                          <w:sz w:val="18"/>
                          <w:szCs w:val="18"/>
                        </w:rPr>
                        <w:t>Compress Pictures</w:t>
                      </w:r>
                      <w:r w:rsidRPr="0036588E">
                        <w:rPr>
                          <w:color w:val="000000" w:themeColor="text1"/>
                          <w:sz w:val="18"/>
                          <w:szCs w:val="18"/>
                        </w:rPr>
                        <w:t xml:space="preserve"> and select a minimum of 150ppi. If this option is not available it means the image is of poor quality. Ensure </w:t>
                      </w:r>
                      <w:r w:rsidRPr="0036588E">
                        <w:rPr>
                          <w:b/>
                          <w:color w:val="000000" w:themeColor="text1"/>
                          <w:sz w:val="18"/>
                          <w:szCs w:val="18"/>
                        </w:rPr>
                        <w:t>Delete cropped areas of pictures</w:t>
                      </w:r>
                      <w:r w:rsidRPr="0036588E">
                        <w:rPr>
                          <w:color w:val="000000" w:themeColor="text1"/>
                          <w:sz w:val="18"/>
                          <w:szCs w:val="18"/>
                        </w:rPr>
                        <w:t xml:space="preserve"> is checked on and press OK.</w:t>
                      </w:r>
                    </w:p>
                    <w:p w14:paraId="49AA4939" w14:textId="77777777" w:rsidR="005E0700" w:rsidRPr="0036588E" w:rsidRDefault="005E0700" w:rsidP="00C11F1E">
                      <w:pPr>
                        <w:pStyle w:val="ListParagraph"/>
                        <w:numPr>
                          <w:ilvl w:val="0"/>
                          <w:numId w:val="6"/>
                        </w:numPr>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On the ribbon, click </w:t>
                      </w:r>
                      <w:r w:rsidRPr="0036588E">
                        <w:rPr>
                          <w:b/>
                          <w:color w:val="000000" w:themeColor="text1"/>
                          <w:sz w:val="18"/>
                          <w:szCs w:val="18"/>
                        </w:rPr>
                        <w:t>Picture Tools &gt; Format &gt; Picture</w:t>
                      </w:r>
                      <w:r w:rsidRPr="0036588E">
                        <w:rPr>
                          <w:color w:val="000000" w:themeColor="text1"/>
                          <w:sz w:val="18"/>
                          <w:szCs w:val="18"/>
                        </w:rPr>
                        <w:t xml:space="preserve"> </w:t>
                      </w:r>
                      <w:r w:rsidRPr="0036588E">
                        <w:rPr>
                          <w:b/>
                          <w:color w:val="000000" w:themeColor="text1"/>
                          <w:sz w:val="18"/>
                          <w:szCs w:val="18"/>
                        </w:rPr>
                        <w:t>&gt; Picture Color</w:t>
                      </w:r>
                      <w:r w:rsidRPr="0036588E">
                        <w:rPr>
                          <w:color w:val="000000" w:themeColor="text1"/>
                          <w:sz w:val="18"/>
                          <w:szCs w:val="18"/>
                        </w:rPr>
                        <w:t xml:space="preserve">. Under </w:t>
                      </w:r>
                      <w:r w:rsidRPr="0036588E">
                        <w:rPr>
                          <w:b/>
                          <w:color w:val="000000" w:themeColor="text1"/>
                          <w:sz w:val="18"/>
                          <w:szCs w:val="18"/>
                        </w:rPr>
                        <w:t>Color Saturation</w:t>
                      </w:r>
                      <w:r w:rsidRPr="0036588E">
                        <w:rPr>
                          <w:color w:val="000000" w:themeColor="text1"/>
                          <w:sz w:val="18"/>
                          <w:szCs w:val="18"/>
                        </w:rPr>
                        <w:t xml:space="preserve">, click on the </w:t>
                      </w:r>
                      <w:r w:rsidRPr="0036588E">
                        <w:rPr>
                          <w:b/>
                          <w:color w:val="000000" w:themeColor="text1"/>
                          <w:sz w:val="18"/>
                          <w:szCs w:val="18"/>
                        </w:rPr>
                        <w:t>Presets</w:t>
                      </w:r>
                      <w:r w:rsidRPr="0036588E">
                        <w:rPr>
                          <w:color w:val="000000" w:themeColor="text1"/>
                          <w:sz w:val="18"/>
                          <w:szCs w:val="18"/>
                        </w:rPr>
                        <w:t xml:space="preserve"> down-down menu and select the first option </w:t>
                      </w:r>
                      <w:r w:rsidRPr="0036588E">
                        <w:rPr>
                          <w:b/>
                          <w:color w:val="000000" w:themeColor="text1"/>
                          <w:sz w:val="18"/>
                          <w:szCs w:val="18"/>
                        </w:rPr>
                        <w:t>(Saturation 0%).</w:t>
                      </w:r>
                    </w:p>
                    <w:p w14:paraId="24C7E43A" w14:textId="222C70CB" w:rsidR="005E0700" w:rsidRDefault="005E0700" w:rsidP="00C11F1E">
                      <w:pPr>
                        <w:pStyle w:val="ListParagraph"/>
                        <w:numPr>
                          <w:ilvl w:val="0"/>
                          <w:numId w:val="6"/>
                        </w:numPr>
                        <w:tabs>
                          <w:tab w:val="left" w:pos="1560"/>
                        </w:tabs>
                        <w:spacing w:before="120" w:after="120" w:line="220" w:lineRule="atLeast"/>
                        <w:ind w:left="284" w:hanging="284"/>
                        <w:contextualSpacing w:val="0"/>
                        <w:jc w:val="both"/>
                        <w:rPr>
                          <w:color w:val="000000" w:themeColor="text1"/>
                          <w:sz w:val="18"/>
                          <w:szCs w:val="18"/>
                        </w:rPr>
                      </w:pPr>
                      <w:r w:rsidRPr="0036588E">
                        <w:rPr>
                          <w:color w:val="000000" w:themeColor="text1"/>
                          <w:sz w:val="18"/>
                          <w:szCs w:val="18"/>
                        </w:rPr>
                        <w:t xml:space="preserve">Click on </w:t>
                      </w:r>
                      <w:r w:rsidRPr="0036588E">
                        <w:rPr>
                          <w:b/>
                          <w:color w:val="000000" w:themeColor="text1"/>
                          <w:sz w:val="18"/>
                          <w:szCs w:val="18"/>
                        </w:rPr>
                        <w:t>Picture Tools &gt; Format &gt; Fill</w:t>
                      </w:r>
                      <w:r>
                        <w:rPr>
                          <w:b/>
                          <w:color w:val="000000" w:themeColor="text1"/>
                          <w:sz w:val="18"/>
                          <w:szCs w:val="18"/>
                        </w:rPr>
                        <w:t xml:space="preserve"> and </w:t>
                      </w:r>
                      <w:r w:rsidRPr="0036588E">
                        <w:rPr>
                          <w:b/>
                          <w:color w:val="000000" w:themeColor="text1"/>
                          <w:sz w:val="18"/>
                          <w:szCs w:val="18"/>
                        </w:rPr>
                        <w:t>Line</w:t>
                      </w:r>
                      <w:r w:rsidRPr="0036588E">
                        <w:rPr>
                          <w:color w:val="000000" w:themeColor="text1"/>
                          <w:sz w:val="18"/>
                          <w:szCs w:val="18"/>
                        </w:rPr>
                        <w:t xml:space="preserve">. Under </w:t>
                      </w:r>
                      <w:r w:rsidRPr="0036588E">
                        <w:rPr>
                          <w:b/>
                          <w:color w:val="000000" w:themeColor="text1"/>
                          <w:sz w:val="18"/>
                          <w:szCs w:val="18"/>
                        </w:rPr>
                        <w:t>Fill</w:t>
                      </w:r>
                      <w:r w:rsidRPr="0036588E">
                        <w:rPr>
                          <w:color w:val="000000" w:themeColor="text1"/>
                          <w:sz w:val="18"/>
                          <w:szCs w:val="18"/>
                        </w:rPr>
                        <w:t xml:space="preserve">, change the </w:t>
                      </w:r>
                      <w:r w:rsidRPr="0036588E">
                        <w:rPr>
                          <w:b/>
                          <w:color w:val="000000" w:themeColor="text1"/>
                          <w:sz w:val="18"/>
                          <w:szCs w:val="18"/>
                        </w:rPr>
                        <w:t>Transparency</w:t>
                      </w:r>
                      <w:r w:rsidRPr="0036588E">
                        <w:rPr>
                          <w:color w:val="000000" w:themeColor="text1"/>
                          <w:sz w:val="18"/>
                          <w:szCs w:val="18"/>
                        </w:rPr>
                        <w:t xml:space="preserve"> to 70%. </w:t>
                      </w:r>
                    </w:p>
                    <w:p w14:paraId="238B5AB7" w14:textId="77777777" w:rsidR="005E0700" w:rsidRPr="0036588E" w:rsidRDefault="005E0700" w:rsidP="00C11F1E">
                      <w:pPr>
                        <w:pStyle w:val="ListParagraph"/>
                        <w:numPr>
                          <w:ilvl w:val="0"/>
                          <w:numId w:val="6"/>
                        </w:numPr>
                        <w:tabs>
                          <w:tab w:val="left" w:pos="1560"/>
                        </w:tabs>
                        <w:spacing w:before="120" w:after="120" w:line="220" w:lineRule="atLeast"/>
                        <w:ind w:left="284" w:hanging="284"/>
                        <w:contextualSpacing w:val="0"/>
                        <w:jc w:val="both"/>
                        <w:rPr>
                          <w:color w:val="000000" w:themeColor="text1"/>
                          <w:sz w:val="18"/>
                          <w:szCs w:val="18"/>
                        </w:rPr>
                      </w:pPr>
                      <w:r>
                        <w:rPr>
                          <w:color w:val="000000" w:themeColor="text1"/>
                          <w:sz w:val="18"/>
                          <w:szCs w:val="18"/>
                        </w:rPr>
                        <w:t xml:space="preserve">On the ribbon, click on </w:t>
                      </w:r>
                      <w:r w:rsidRPr="005660CF">
                        <w:rPr>
                          <w:b/>
                          <w:color w:val="000000" w:themeColor="text1"/>
                          <w:sz w:val="18"/>
                          <w:szCs w:val="18"/>
                        </w:rPr>
                        <w:t>Close Header and Footer</w:t>
                      </w:r>
                      <w:r>
                        <w:rPr>
                          <w:color w:val="000000" w:themeColor="text1"/>
                          <w:sz w:val="18"/>
                          <w:szCs w:val="18"/>
                        </w:rPr>
                        <w:t>.</w:t>
                      </w:r>
                    </w:p>
                  </w:txbxContent>
                </v:textbox>
              </v:shape>
            </w:pict>
          </mc:Fallback>
        </mc:AlternateContent>
      </w:r>
      <w:r w:rsidR="00743A31">
        <w:rPr>
          <w:noProof/>
        </w:rPr>
        <w:drawing>
          <wp:anchor distT="0" distB="0" distL="114300" distR="114300" simplePos="0" relativeHeight="251657216" behindDoc="1" locked="0" layoutInCell="1" allowOverlap="1" wp14:anchorId="69D297C8" wp14:editId="06890043">
            <wp:simplePos x="0" y="0"/>
            <wp:positionH relativeFrom="page">
              <wp:posOffset>540385</wp:posOffset>
            </wp:positionH>
            <wp:positionV relativeFrom="page">
              <wp:posOffset>9408795</wp:posOffset>
            </wp:positionV>
            <wp:extent cx="859790" cy="604520"/>
            <wp:effectExtent l="0" t="0" r="0" b="5080"/>
            <wp:wrapNone/>
            <wp:docPr id="3" name="SCV Logo" descr="Saf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1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9790" cy="604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D2B81" w14:textId="77777777" w:rsidR="00A46288" w:rsidRDefault="00A46288" w:rsidP="0026028E">
      <w:pPr>
        <w:sectPr w:rsidR="00A46288" w:rsidSect="0010059E">
          <w:headerReference w:type="even" r:id="rId9"/>
          <w:headerReference w:type="default" r:id="rId10"/>
          <w:footerReference w:type="even" r:id="rId11"/>
          <w:footerReference w:type="default" r:id="rId12"/>
          <w:headerReference w:type="first" r:id="rId13"/>
          <w:footerReference w:type="first" r:id="rId14"/>
          <w:pgSz w:w="11906" w:h="16838" w:code="9"/>
          <w:pgMar w:top="3402" w:right="851" w:bottom="1361" w:left="851" w:header="539" w:footer="624" w:gutter="0"/>
          <w:pgNumType w:start="1"/>
          <w:cols w:space="284"/>
          <w:titlePg/>
          <w:docGrid w:linePitch="360"/>
        </w:sectPr>
      </w:pPr>
    </w:p>
    <w:tbl>
      <w:tblPr>
        <w:tblpPr w:leftFromText="181" w:rightFromText="181" w:horzAnchor="page" w:tblpX="852" w:tblpYSpec="bottom"/>
        <w:tblW w:w="10216" w:type="dxa"/>
        <w:tblLook w:val="0600" w:firstRow="0" w:lastRow="0" w:firstColumn="0" w:lastColumn="0" w:noHBand="1" w:noVBand="1"/>
      </w:tblPr>
      <w:tblGrid>
        <w:gridCol w:w="3515"/>
        <w:gridCol w:w="1865"/>
        <w:gridCol w:w="3229"/>
        <w:gridCol w:w="1607"/>
      </w:tblGrid>
      <w:tr w:rsidR="0086277A" w:rsidRPr="00736C0C" w14:paraId="05D339C2" w14:textId="77777777" w:rsidTr="00F507A2">
        <w:trPr>
          <w:trHeight w:val="2041"/>
        </w:trPr>
        <w:tc>
          <w:tcPr>
            <w:tcW w:w="3515" w:type="dxa"/>
            <w:tcMar>
              <w:left w:w="113" w:type="dxa"/>
            </w:tcMar>
          </w:tcPr>
          <w:p w14:paraId="34CABBB8" w14:textId="130D08A8" w:rsidR="0086277A" w:rsidRPr="009169E8" w:rsidRDefault="009169E8" w:rsidP="009169E8">
            <w:pPr>
              <w:pStyle w:val="DHHSbody"/>
              <w:rPr>
                <w:color w:val="0059D8"/>
              </w:rPr>
            </w:pPr>
            <w:r>
              <w:lastRenderedPageBreak/>
              <w:t xml:space="preserve">To receive this publication in an accessible format phone 03 9096 1384, using the National Relay Service </w:t>
            </w:r>
            <w:r w:rsidRPr="000104F5">
              <w:rPr>
                <w:color w:val="000000" w:themeColor="text1"/>
              </w:rPr>
              <w:t>13</w:t>
            </w:r>
            <w:r w:rsidRPr="000104F5">
              <w:rPr>
                <w:rFonts w:ascii="Cambria" w:hAnsi="Cambria" w:cs="Cambria"/>
                <w:color w:val="000000" w:themeColor="text1"/>
              </w:rPr>
              <w:t> </w:t>
            </w:r>
            <w:r w:rsidRPr="000104F5">
              <w:rPr>
                <w:color w:val="000000" w:themeColor="text1"/>
              </w:rPr>
              <w:t>36</w:t>
            </w:r>
            <w:r w:rsidRPr="000104F5">
              <w:rPr>
                <w:rFonts w:ascii="Cambria" w:hAnsi="Cambria" w:cs="Cambria"/>
                <w:color w:val="000000" w:themeColor="text1"/>
              </w:rPr>
              <w:t> </w:t>
            </w:r>
            <w:r w:rsidRPr="000104F5">
              <w:rPr>
                <w:color w:val="000000" w:themeColor="text1"/>
              </w:rPr>
              <w:t>77 if required, or</w:t>
            </w:r>
            <w:r w:rsidRPr="000104F5">
              <w:rPr>
                <w:rFonts w:ascii="Cambria" w:hAnsi="Cambria" w:cs="Cambria"/>
                <w:color w:val="000000" w:themeColor="text1"/>
              </w:rPr>
              <w:t> </w:t>
            </w:r>
            <w:hyperlink r:id="rId15" w:history="1">
              <w:r w:rsidRPr="00790927">
                <w:rPr>
                  <w:rStyle w:val="Hyperlink"/>
                  <w:color w:val="0063A5"/>
                  <w:u w:val="single"/>
                </w:rPr>
                <w:t>email</w:t>
              </w:r>
              <w:r w:rsidRPr="00790927">
                <w:rPr>
                  <w:rStyle w:val="Hyperlink"/>
                  <w:rFonts w:ascii="Cambria" w:hAnsi="Cambria" w:cs="Cambria"/>
                  <w:color w:val="0063A5"/>
                  <w:u w:val="single"/>
                </w:rPr>
                <w:t> </w:t>
              </w:r>
              <w:r w:rsidRPr="00790927">
                <w:rPr>
                  <w:rStyle w:val="Hyperlink"/>
                  <w:color w:val="0063A5"/>
                  <w:u w:val="single"/>
                </w:rPr>
                <w:t>Safer Care Victoria</w:t>
              </w:r>
            </w:hyperlink>
            <w:r w:rsidRPr="000104F5">
              <w:rPr>
                <w:color w:val="000000" w:themeColor="text1"/>
              </w:rPr>
              <w:t xml:space="preserve"> </w:t>
            </w:r>
            <w:r w:rsidR="000104F5">
              <w:rPr>
                <w:color w:val="000000" w:themeColor="text1"/>
              </w:rPr>
              <w:t>&lt;</w:t>
            </w:r>
            <w:r w:rsidRPr="000104F5">
              <w:rPr>
                <w:color w:val="000000" w:themeColor="text1"/>
              </w:rPr>
              <w:t>safercarevictoria@dhhs.vic.gov.au</w:t>
            </w:r>
            <w:r w:rsidR="000104F5">
              <w:rPr>
                <w:color w:val="000000" w:themeColor="text1"/>
              </w:rPr>
              <w:t>&gt;</w:t>
            </w:r>
          </w:p>
        </w:tc>
        <w:tc>
          <w:tcPr>
            <w:tcW w:w="2581" w:type="dxa"/>
          </w:tcPr>
          <w:p w14:paraId="12E02D3B" w14:textId="399F1DC9" w:rsidR="009169E8" w:rsidRDefault="009169E8" w:rsidP="000C4113">
            <w:pPr>
              <w:pStyle w:val="DHHSbody"/>
            </w:pPr>
            <w:r>
              <w:t>Authorised and published by the Victorian Government, 1 Treasury Place, Melbourne.</w:t>
            </w:r>
          </w:p>
          <w:p w14:paraId="1E36AD72" w14:textId="3D33E988" w:rsidR="0086277A" w:rsidRPr="00736C0C" w:rsidRDefault="009169E8" w:rsidP="000C4113">
            <w:pPr>
              <w:pStyle w:val="DHHSbody"/>
            </w:pPr>
            <w:r>
              <w:t>© State of Victoria, Australia, Safer Care Victoria, September 2019.</w:t>
            </w:r>
          </w:p>
        </w:tc>
        <w:tc>
          <w:tcPr>
            <w:tcW w:w="2321" w:type="dxa"/>
          </w:tcPr>
          <w:p w14:paraId="4293A40F" w14:textId="77777777" w:rsidR="000104F5" w:rsidRPr="00790927" w:rsidRDefault="000104F5" w:rsidP="000104F5">
            <w:pPr>
              <w:pStyle w:val="DHHSbody"/>
              <w:rPr>
                <w:color w:val="000000" w:themeColor="text1"/>
              </w:rPr>
            </w:pPr>
            <w:r w:rsidRPr="00790927">
              <w:rPr>
                <w:color w:val="000000" w:themeColor="text1"/>
              </w:rPr>
              <w:t>ISBN 978-1-76069-060-1 (print)</w:t>
            </w:r>
          </w:p>
          <w:p w14:paraId="3509AA24" w14:textId="77777777" w:rsidR="000104F5" w:rsidRPr="00790927" w:rsidRDefault="000104F5" w:rsidP="000104F5">
            <w:pPr>
              <w:pStyle w:val="DHHSbody"/>
              <w:rPr>
                <w:color w:val="000000" w:themeColor="text1"/>
              </w:rPr>
            </w:pPr>
            <w:r w:rsidRPr="00790927">
              <w:rPr>
                <w:color w:val="000000" w:themeColor="text1"/>
              </w:rPr>
              <w:t>ISBN 978-1-76069-061-8 (online)</w:t>
            </w:r>
          </w:p>
          <w:p w14:paraId="0C5FC218" w14:textId="2AB13103" w:rsidR="0086277A" w:rsidRPr="00790927" w:rsidRDefault="000104F5" w:rsidP="000104F5">
            <w:pPr>
              <w:pStyle w:val="DHHSbody"/>
              <w:rPr>
                <w:color w:val="000000" w:themeColor="text1"/>
              </w:rPr>
            </w:pPr>
            <w:r w:rsidRPr="00790927">
              <w:rPr>
                <w:color w:val="000000" w:themeColor="text1"/>
              </w:rPr>
              <w:t xml:space="preserve">Available at </w:t>
            </w:r>
            <w:r w:rsidR="00790927" w:rsidRPr="00790927">
              <w:rPr>
                <w:color w:val="000000" w:themeColor="text1"/>
              </w:rPr>
              <w:t xml:space="preserve">the </w:t>
            </w:r>
            <w:hyperlink r:id="rId16" w:history="1">
              <w:r w:rsidRPr="00790927">
                <w:rPr>
                  <w:rStyle w:val="Hyperlink"/>
                  <w:color w:val="0063A5"/>
                  <w:u w:val="single"/>
                </w:rPr>
                <w:t xml:space="preserve">Safer Care Victoria </w:t>
              </w:r>
              <w:r w:rsidR="00790927" w:rsidRPr="00790927">
                <w:rPr>
                  <w:rStyle w:val="Hyperlink"/>
                  <w:color w:val="0063A5"/>
                  <w:u w:val="single"/>
                </w:rPr>
                <w:t>website</w:t>
              </w:r>
            </w:hyperlink>
            <w:r w:rsidRPr="00790927">
              <w:rPr>
                <w:color w:val="000000" w:themeColor="text1"/>
              </w:rPr>
              <w:br/>
            </w:r>
            <w:r w:rsidR="00790927" w:rsidRPr="00790927">
              <w:rPr>
                <w:color w:val="000000" w:themeColor="text1"/>
              </w:rPr>
              <w:t>&lt;http://</w:t>
            </w:r>
            <w:r w:rsidRPr="00790927">
              <w:rPr>
                <w:color w:val="000000" w:themeColor="text1"/>
              </w:rPr>
              <w:t>www.safercare.vic.gov.au</w:t>
            </w:r>
            <w:r w:rsidR="00790927" w:rsidRPr="00790927">
              <w:rPr>
                <w:color w:val="000000" w:themeColor="text1"/>
              </w:rPr>
              <w:t>&gt;</w:t>
            </w:r>
          </w:p>
        </w:tc>
        <w:tc>
          <w:tcPr>
            <w:tcW w:w="1799" w:type="dxa"/>
          </w:tcPr>
          <w:p w14:paraId="50A5DB19" w14:textId="049B8DFD" w:rsidR="000104F5" w:rsidRPr="00736C0C" w:rsidRDefault="0086277A" w:rsidP="0086277A">
            <w:pPr>
              <w:rPr>
                <w:szCs w:val="15"/>
              </w:rPr>
            </w:pPr>
            <w:r w:rsidRPr="00736C0C">
              <w:rPr>
                <w:noProof/>
                <w:szCs w:val="15"/>
              </w:rPr>
              <w:drawing>
                <wp:inline distT="0" distB="0" distL="0" distR="0" wp14:anchorId="12F795E6" wp14:editId="38EEDF37">
                  <wp:extent cx="795600" cy="453600"/>
                  <wp:effectExtent l="0" t="0" r="5080" b="3810"/>
                  <wp:docPr id="16" name="Picture 16"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135B7BA1" w14:textId="77777777" w:rsidR="00294A5A" w:rsidRDefault="00294A5A" w:rsidP="0026028E"/>
    <w:p w14:paraId="37A29326" w14:textId="77777777" w:rsidR="0086277A" w:rsidRDefault="0086277A" w:rsidP="0026028E"/>
    <w:p w14:paraId="72F3F377" w14:textId="77777777" w:rsidR="0086277A" w:rsidRDefault="0086277A" w:rsidP="0026028E">
      <w:pPr>
        <w:sectPr w:rsidR="0086277A" w:rsidSect="00E41CEF">
          <w:headerReference w:type="even" r:id="rId18"/>
          <w:headerReference w:type="default" r:id="rId19"/>
          <w:headerReference w:type="first" r:id="rId20"/>
          <w:footerReference w:type="first" r:id="rId21"/>
          <w:pgSz w:w="11906" w:h="16838" w:code="9"/>
          <w:pgMar w:top="3402" w:right="851" w:bottom="1361" w:left="851" w:header="539" w:footer="624" w:gutter="0"/>
          <w:cols w:num="2" w:space="284"/>
          <w:titlePg/>
          <w:docGrid w:linePitch="360"/>
        </w:sectPr>
      </w:pPr>
    </w:p>
    <w:p w14:paraId="67704E8C" w14:textId="77777777" w:rsidR="009169E8" w:rsidRDefault="009169E8" w:rsidP="000104F5">
      <w:pPr>
        <w:pStyle w:val="Heading1"/>
      </w:pPr>
      <w:bookmarkStart w:id="0" w:name="_Toc20234270"/>
      <w:r>
        <w:lastRenderedPageBreak/>
        <w:t>Foreword</w:t>
      </w:r>
      <w:bookmarkEnd w:id="0"/>
    </w:p>
    <w:p w14:paraId="5397EE0E" w14:textId="77777777" w:rsidR="009169E8" w:rsidRDefault="009169E8" w:rsidP="008E28A3">
      <w:pPr>
        <w:pStyle w:val="DHHSbody"/>
      </w:pPr>
      <w:r>
        <w:t>Since 1976, the Victorian Consultative Council on Anaesthetic Mortality and Morbidity (VCCAMM or ‘the council’) has received and reviewed voluntary reports about possible anaesthesia-related mortality and morbidity occurring in Victoria. The purpose has always been to identify opportunities to continue to improve the quality and safety of anaesthetic care, and the council is immensely appreciative to Victorian anaesthetists for their ongoing contribution of cases.</w:t>
      </w:r>
    </w:p>
    <w:p w14:paraId="06946688" w14:textId="77777777" w:rsidR="009169E8" w:rsidRDefault="009169E8" w:rsidP="008E28A3">
      <w:pPr>
        <w:pStyle w:val="DHHSbody"/>
        <w:rPr>
          <w:i/>
          <w:iCs/>
        </w:rPr>
      </w:pPr>
      <w:r>
        <w:t xml:space="preserve">The VCCAMM was originally established by the Minister for Health under the </w:t>
      </w:r>
      <w:r>
        <w:rPr>
          <w:rStyle w:val="TextItalic"/>
        </w:rPr>
        <w:t>Health Act 1958</w:t>
      </w:r>
      <w:r>
        <w:t xml:space="preserve"> to enquire into the circumstances of deaths and illnesses occurring during or as a result of anaesthesia, with the ‘sole object of making recommendations which would lead to their prevention’ (Letter accompanying the first report, 1983). The council now operates under the </w:t>
      </w:r>
      <w:r>
        <w:rPr>
          <w:i/>
          <w:iCs/>
        </w:rPr>
        <w:t>Public Health and Wellbeing Act 2008.</w:t>
      </w:r>
    </w:p>
    <w:p w14:paraId="062E21E9" w14:textId="77777777" w:rsidR="009169E8" w:rsidRDefault="009169E8" w:rsidP="008E28A3">
      <w:pPr>
        <w:pStyle w:val="DHHSbody"/>
      </w:pPr>
      <w:r>
        <w:t>For more than 40 years, Victorian anaesthetists have generously provided information about possible anaesthesia-related mortality and morbidity to help improve overall safety and quality of anaesthetic care in Victoria. Since 1985, the council has contributed to national reporting through the Australian and New Zealand College of Anaesthetists (ANZCA). The inclusion of morbidity reporting has always been an important and unique focus in the Victorian model. This has become increasingly relevant as anaesthesia-related mortality becomes less common.</w:t>
      </w:r>
    </w:p>
    <w:p w14:paraId="32D7AB75" w14:textId="77777777" w:rsidR="009169E8" w:rsidRDefault="009169E8" w:rsidP="008E28A3">
      <w:pPr>
        <w:pStyle w:val="DHHSbody"/>
      </w:pPr>
      <w:r>
        <w:t>From 2015 to 2017, over 3 million individual episodes of anaesthesia care were recorded in Victoria</w:t>
      </w:r>
      <w:r>
        <w:rPr>
          <w:vertAlign w:val="superscript"/>
        </w:rPr>
        <w:footnoteReference w:id="1"/>
      </w:r>
      <w:r>
        <w:t>. Anaesthesia in Victoria continues to be very safe, but there are always opportunities to learn how clinical care can continue to be improved. Identifying and addressing the influence of human factors is one such opportunity.</w:t>
      </w:r>
    </w:p>
    <w:p w14:paraId="2DBA6761" w14:textId="19637DA1" w:rsidR="009169E8" w:rsidRDefault="009169E8" w:rsidP="008E28A3">
      <w:pPr>
        <w:pStyle w:val="DHHSbody"/>
      </w:pPr>
      <w:r>
        <w:t xml:space="preserve">The council’s findings for cases reported during the 2015–2017 triennium </w:t>
      </w:r>
      <w:proofErr w:type="gramStart"/>
      <w:r>
        <w:t>are</w:t>
      </w:r>
      <w:proofErr w:type="gramEnd"/>
      <w:r>
        <w:t xml:space="preserve"> shared in this report. Referrals in the 2015–2017 triennium reflected the growth of non-operating-room anaesthesia and included an increasing number of referrals around broader perioperative issues, particularly in older patients with complex medical problems. The council welcomed this trend because it highlights the changing context in which anaesthesia is now delivered and the multifactorial nature of perioperative outcomes.</w:t>
      </w:r>
    </w:p>
    <w:p w14:paraId="631CC768" w14:textId="77777777" w:rsidR="009169E8" w:rsidRDefault="009169E8" w:rsidP="008E28A3">
      <w:pPr>
        <w:pStyle w:val="DHHSbody"/>
      </w:pPr>
      <w:r>
        <w:t>In this spirit, this will be the last triennial report from the VCCAMM, which will complete its current term on 30 June 2019. From July 2019, Safer Care Victoria will establish the Victorian Perioperative Consultative Council to take perioperative outcome reviews forward with a new direction and focus that is more consistent with Victoria’s evolving health context.</w:t>
      </w:r>
    </w:p>
    <w:p w14:paraId="621AD272" w14:textId="77777777" w:rsidR="009169E8" w:rsidRDefault="009169E8" w:rsidP="008E28A3">
      <w:pPr>
        <w:pStyle w:val="DHHSbody"/>
      </w:pPr>
      <w:r>
        <w:t>I hope the key findings and recommendations in this final report from the VCCAMM highlight the range of important skills anaesthetists bring to a multidisciplinary and shared decision-making approach to perioperative care and reflect the rationale for a new approach to perioperative outcome review.</w:t>
      </w:r>
    </w:p>
    <w:p w14:paraId="3A084E4F" w14:textId="77777777" w:rsidR="009169E8" w:rsidRDefault="009169E8" w:rsidP="008E28A3">
      <w:pPr>
        <w:pStyle w:val="DHHSbody"/>
      </w:pPr>
      <w:r>
        <w:t>Thank you to all who have contributed for more than 40 years to an important safety and quality initiative: those who have generously referred cases, past and present council and subcommittee members, and the dedicated staff of the Consultative Councils Unit. The council is also thankful for the much-valued collaborations with the ANZCA Mortality Subcommittee, the Victorian Audit of Surgical Mortality, the Coroner’s Office and with our colleagues on the Victorian Surgical Consultative Council and the Consultative Council of Obstetrics and Paediatric Mortality and Morbidity.</w:t>
      </w:r>
    </w:p>
    <w:p w14:paraId="6BB0FFF1" w14:textId="77777777" w:rsidR="009169E8" w:rsidRPr="008E28A3" w:rsidRDefault="009169E8" w:rsidP="008E28A3">
      <w:pPr>
        <w:pStyle w:val="DHHSbody"/>
        <w:rPr>
          <w:b/>
        </w:rPr>
      </w:pPr>
      <w:r w:rsidRPr="008E28A3">
        <w:rPr>
          <w:b/>
        </w:rPr>
        <w:t xml:space="preserve">Dr Andrea </w:t>
      </w:r>
      <w:proofErr w:type="spellStart"/>
      <w:r w:rsidRPr="008E28A3">
        <w:rPr>
          <w:b/>
        </w:rPr>
        <w:t>Kattula</w:t>
      </w:r>
      <w:proofErr w:type="spellEnd"/>
    </w:p>
    <w:p w14:paraId="0057B931" w14:textId="77777777" w:rsidR="009169E8" w:rsidRPr="008E28A3" w:rsidRDefault="009169E8" w:rsidP="008E28A3">
      <w:pPr>
        <w:pStyle w:val="DHHSbody"/>
        <w:rPr>
          <w:b/>
        </w:rPr>
      </w:pPr>
      <w:r w:rsidRPr="008E28A3">
        <w:rPr>
          <w:b/>
        </w:rPr>
        <w:t>Chair</w:t>
      </w:r>
    </w:p>
    <w:p w14:paraId="40682AFF" w14:textId="77777777" w:rsidR="009169E8" w:rsidRPr="008E28A3" w:rsidRDefault="009169E8" w:rsidP="008E28A3">
      <w:pPr>
        <w:pStyle w:val="DHHSbody"/>
        <w:rPr>
          <w:b/>
        </w:rPr>
      </w:pPr>
      <w:r w:rsidRPr="008E28A3">
        <w:rPr>
          <w:b/>
        </w:rPr>
        <w:t>Victorian Consultative Council on Anaesthetic Mortality and Morbidity</w:t>
      </w:r>
    </w:p>
    <w:p w14:paraId="60FF050E" w14:textId="77777777" w:rsidR="009169E8" w:rsidRDefault="009169E8" w:rsidP="000104F5">
      <w:pPr>
        <w:pStyle w:val="Heading1"/>
      </w:pPr>
      <w:bookmarkStart w:id="1" w:name="_Toc20234271"/>
      <w:r>
        <w:lastRenderedPageBreak/>
        <w:t>Acknowledgements</w:t>
      </w:r>
      <w:bookmarkEnd w:id="1"/>
    </w:p>
    <w:p w14:paraId="5610B7BF" w14:textId="18D758FD" w:rsidR="009169E8" w:rsidRDefault="009169E8" w:rsidP="008E28A3">
      <w:pPr>
        <w:pStyle w:val="DHHSbody"/>
      </w:pPr>
      <w:r>
        <w:t xml:space="preserve">This report was </w:t>
      </w:r>
      <w:bookmarkStart w:id="2" w:name="_GoBack"/>
      <w:bookmarkEnd w:id="2"/>
      <w:r>
        <w:t>made possible through the generous assistance of many individuals and organisations.</w:t>
      </w:r>
    </w:p>
    <w:p w14:paraId="5A65F220" w14:textId="187DB10A" w:rsidR="009169E8" w:rsidRDefault="009169E8" w:rsidP="008E28A3">
      <w:pPr>
        <w:pStyle w:val="DHHSbody"/>
      </w:pPr>
      <w:r>
        <w:t>Foremost, the council thanks those who have referred cases to help inform our understanding of anaesthesia-related mortality and morbidity in Victoria. The council would also like to express its gratitude to the Victorian Audit of Surgical Mortality, the State Coroner’s Office and the Victorian Institute of Forensic Medicine for their ongoing assistance and support, as well as our colleagues on the ANZCA Mortality Subcommittee, the Victorian Surgical Consultative Council and the Consultative Council of Obstetrics and Paediatric Mortality and Morbidity. These close working relationships have been highly valued.</w:t>
      </w:r>
    </w:p>
    <w:p w14:paraId="1406AA5E" w14:textId="77777777" w:rsidR="009169E8" w:rsidRDefault="009169E8" w:rsidP="008E28A3">
      <w:pPr>
        <w:pStyle w:val="DHHSbody"/>
      </w:pPr>
      <w:r>
        <w:t>We are deeply appreciative to the council and case review subcommittee members for their contributions over the triennium, both in terms of their comprehensive case deliberations and kind assistance in preparing this report. Their knowledge, experience and multidisciplinary expertise has been invaluable. We would also like to acknowledge the members who retired during the 2015–2017 triennium, many of whom generously contributed their time and expertise to the VCCAMM over a great number of years.</w:t>
      </w:r>
    </w:p>
    <w:p w14:paraId="5EC28B79" w14:textId="77777777" w:rsidR="009169E8" w:rsidRDefault="009169E8" w:rsidP="008E28A3">
      <w:pPr>
        <w:pStyle w:val="DHHSbody"/>
      </w:pPr>
      <w:r>
        <w:t xml:space="preserve">We would also like to acknowledge the dedicated work of Associate Professor Larry </w:t>
      </w:r>
      <w:proofErr w:type="spellStart"/>
      <w:r>
        <w:t>McNicol</w:t>
      </w:r>
      <w:proofErr w:type="spellEnd"/>
      <w:r>
        <w:t xml:space="preserve"> AM, who chaired the council from 2004 to 2017 with tireless effort and commitment to improving the safety of anaesthetic care in Victoria and was involved with reviewing cases included in this report.</w:t>
      </w:r>
    </w:p>
    <w:p w14:paraId="686D8B0E" w14:textId="77777777" w:rsidR="009169E8" w:rsidRDefault="009169E8" w:rsidP="008E28A3">
      <w:pPr>
        <w:pStyle w:val="DHHSbody"/>
      </w:pPr>
      <w:r>
        <w:t>The chair is also extremely grateful to the staff of the Consultative Council Unit (CCU) for their valued secretariat support, advice and guidance. In particular, the chair would like to express great appreciation to Sarah Kenny, the CCU Team Leader, who has worked closely with the chair since 2017 in both the day-to-day running of the VCCAMM and in preparing this report.</w:t>
      </w:r>
    </w:p>
    <w:p w14:paraId="4D7C79B8" w14:textId="77777777" w:rsidR="009169E8" w:rsidRDefault="009169E8" w:rsidP="008E28A3">
      <w:pPr>
        <w:pStyle w:val="DHHSbody"/>
      </w:pPr>
    </w:p>
    <w:p w14:paraId="3B565552" w14:textId="77777777" w:rsidR="009169E8" w:rsidRDefault="009169E8" w:rsidP="000104F5">
      <w:pPr>
        <w:pStyle w:val="Heading1"/>
      </w:pPr>
      <w:bookmarkStart w:id="3" w:name="_Toc20234272"/>
      <w:r>
        <w:lastRenderedPageBreak/>
        <w:t>Contents</w:t>
      </w:r>
      <w:bookmarkEnd w:id="3"/>
    </w:p>
    <w:p w14:paraId="05E17ABF" w14:textId="71EBBC05" w:rsidR="0089001C" w:rsidRDefault="0089001C">
      <w:pPr>
        <w:pStyle w:val="TOC1"/>
        <w:rPr>
          <w:b w:val="0"/>
          <w:sz w:val="24"/>
          <w:szCs w:val="24"/>
          <w:lang w:eastAsia="zh-CN"/>
        </w:rPr>
      </w:pPr>
      <w:r>
        <w:fldChar w:fldCharType="begin"/>
      </w:r>
      <w:r>
        <w:instrText xml:space="preserve"> TOC \o "1-1" \h \z \u </w:instrText>
      </w:r>
      <w:r>
        <w:fldChar w:fldCharType="separate"/>
      </w:r>
      <w:hyperlink w:anchor="_Toc20234270" w:history="1">
        <w:r w:rsidRPr="00581E0F">
          <w:rPr>
            <w:rStyle w:val="Hyperlink"/>
          </w:rPr>
          <w:t>Foreword</w:t>
        </w:r>
        <w:r>
          <w:rPr>
            <w:webHidden/>
          </w:rPr>
          <w:tab/>
        </w:r>
        <w:r>
          <w:rPr>
            <w:webHidden/>
          </w:rPr>
          <w:fldChar w:fldCharType="begin"/>
        </w:r>
        <w:r>
          <w:rPr>
            <w:webHidden/>
          </w:rPr>
          <w:instrText xml:space="preserve"> PAGEREF _Toc20234270 \h </w:instrText>
        </w:r>
        <w:r>
          <w:rPr>
            <w:webHidden/>
          </w:rPr>
        </w:r>
        <w:r>
          <w:rPr>
            <w:webHidden/>
          </w:rPr>
          <w:fldChar w:fldCharType="separate"/>
        </w:r>
        <w:r>
          <w:rPr>
            <w:webHidden/>
          </w:rPr>
          <w:t>3</w:t>
        </w:r>
        <w:r>
          <w:rPr>
            <w:webHidden/>
          </w:rPr>
          <w:fldChar w:fldCharType="end"/>
        </w:r>
      </w:hyperlink>
    </w:p>
    <w:p w14:paraId="362EB2CD" w14:textId="46715C31" w:rsidR="0089001C" w:rsidRDefault="009026D1">
      <w:pPr>
        <w:pStyle w:val="TOC1"/>
        <w:rPr>
          <w:b w:val="0"/>
          <w:sz w:val="24"/>
          <w:szCs w:val="24"/>
          <w:lang w:eastAsia="zh-CN"/>
        </w:rPr>
      </w:pPr>
      <w:hyperlink w:anchor="_Toc20234271" w:history="1">
        <w:r w:rsidR="0089001C" w:rsidRPr="00581E0F">
          <w:rPr>
            <w:rStyle w:val="Hyperlink"/>
          </w:rPr>
          <w:t>Acknowledgements</w:t>
        </w:r>
        <w:r w:rsidR="0089001C">
          <w:rPr>
            <w:webHidden/>
          </w:rPr>
          <w:tab/>
        </w:r>
        <w:r w:rsidR="0089001C">
          <w:rPr>
            <w:webHidden/>
          </w:rPr>
          <w:fldChar w:fldCharType="begin"/>
        </w:r>
        <w:r w:rsidR="0089001C">
          <w:rPr>
            <w:webHidden/>
          </w:rPr>
          <w:instrText xml:space="preserve"> PAGEREF _Toc20234271 \h </w:instrText>
        </w:r>
        <w:r w:rsidR="0089001C">
          <w:rPr>
            <w:webHidden/>
          </w:rPr>
        </w:r>
        <w:r w:rsidR="0089001C">
          <w:rPr>
            <w:webHidden/>
          </w:rPr>
          <w:fldChar w:fldCharType="separate"/>
        </w:r>
        <w:r w:rsidR="0089001C">
          <w:rPr>
            <w:webHidden/>
          </w:rPr>
          <w:t>4</w:t>
        </w:r>
        <w:r w:rsidR="0089001C">
          <w:rPr>
            <w:webHidden/>
          </w:rPr>
          <w:fldChar w:fldCharType="end"/>
        </w:r>
      </w:hyperlink>
    </w:p>
    <w:p w14:paraId="4137170F" w14:textId="3541EF5A" w:rsidR="0089001C" w:rsidRDefault="009026D1">
      <w:pPr>
        <w:pStyle w:val="TOC1"/>
        <w:rPr>
          <w:b w:val="0"/>
          <w:sz w:val="24"/>
          <w:szCs w:val="24"/>
          <w:lang w:eastAsia="zh-CN"/>
        </w:rPr>
      </w:pPr>
      <w:hyperlink w:anchor="_Toc20234273" w:history="1">
        <w:r w:rsidR="0089001C" w:rsidRPr="00581E0F">
          <w:rPr>
            <w:rStyle w:val="Hyperlink"/>
          </w:rPr>
          <w:t>Executive summary</w:t>
        </w:r>
        <w:r w:rsidR="0089001C">
          <w:rPr>
            <w:webHidden/>
          </w:rPr>
          <w:tab/>
        </w:r>
        <w:r w:rsidR="0089001C">
          <w:rPr>
            <w:webHidden/>
          </w:rPr>
          <w:fldChar w:fldCharType="begin"/>
        </w:r>
        <w:r w:rsidR="0089001C">
          <w:rPr>
            <w:webHidden/>
          </w:rPr>
          <w:instrText xml:space="preserve"> PAGEREF _Toc20234273 \h </w:instrText>
        </w:r>
        <w:r w:rsidR="0089001C">
          <w:rPr>
            <w:webHidden/>
          </w:rPr>
        </w:r>
        <w:r w:rsidR="0089001C">
          <w:rPr>
            <w:webHidden/>
          </w:rPr>
          <w:fldChar w:fldCharType="separate"/>
        </w:r>
        <w:r w:rsidR="0089001C">
          <w:rPr>
            <w:webHidden/>
          </w:rPr>
          <w:t>6</w:t>
        </w:r>
        <w:r w:rsidR="0089001C">
          <w:rPr>
            <w:webHidden/>
          </w:rPr>
          <w:fldChar w:fldCharType="end"/>
        </w:r>
      </w:hyperlink>
    </w:p>
    <w:p w14:paraId="797C61A1" w14:textId="2F398AA7" w:rsidR="0089001C" w:rsidRDefault="009026D1">
      <w:pPr>
        <w:pStyle w:val="TOC1"/>
        <w:rPr>
          <w:b w:val="0"/>
          <w:sz w:val="24"/>
          <w:szCs w:val="24"/>
          <w:lang w:eastAsia="zh-CN"/>
        </w:rPr>
      </w:pPr>
      <w:hyperlink w:anchor="_Toc20234274" w:history="1">
        <w:r w:rsidR="0089001C" w:rsidRPr="00581E0F">
          <w:rPr>
            <w:rStyle w:val="Hyperlink"/>
          </w:rPr>
          <w:t>About this report</w:t>
        </w:r>
        <w:r w:rsidR="0089001C">
          <w:rPr>
            <w:webHidden/>
          </w:rPr>
          <w:tab/>
        </w:r>
        <w:r w:rsidR="0089001C">
          <w:rPr>
            <w:webHidden/>
          </w:rPr>
          <w:fldChar w:fldCharType="begin"/>
        </w:r>
        <w:r w:rsidR="0089001C">
          <w:rPr>
            <w:webHidden/>
          </w:rPr>
          <w:instrText xml:space="preserve"> PAGEREF _Toc20234274 \h </w:instrText>
        </w:r>
        <w:r w:rsidR="0089001C">
          <w:rPr>
            <w:webHidden/>
          </w:rPr>
        </w:r>
        <w:r w:rsidR="0089001C">
          <w:rPr>
            <w:webHidden/>
          </w:rPr>
          <w:fldChar w:fldCharType="separate"/>
        </w:r>
        <w:r w:rsidR="0089001C">
          <w:rPr>
            <w:webHidden/>
          </w:rPr>
          <w:t>8</w:t>
        </w:r>
        <w:r w:rsidR="0089001C">
          <w:rPr>
            <w:webHidden/>
          </w:rPr>
          <w:fldChar w:fldCharType="end"/>
        </w:r>
      </w:hyperlink>
    </w:p>
    <w:p w14:paraId="33BA4CC2" w14:textId="3CEBFD18" w:rsidR="0089001C" w:rsidRDefault="009026D1">
      <w:pPr>
        <w:pStyle w:val="TOC1"/>
        <w:rPr>
          <w:b w:val="0"/>
          <w:sz w:val="24"/>
          <w:szCs w:val="24"/>
          <w:lang w:eastAsia="zh-CN"/>
        </w:rPr>
      </w:pPr>
      <w:hyperlink w:anchor="_Toc20234275" w:history="1">
        <w:r w:rsidR="0089001C" w:rsidRPr="00581E0F">
          <w:rPr>
            <w:rStyle w:val="Hyperlink"/>
          </w:rPr>
          <w:t>Referred events in the 2015–2017 triennium</w:t>
        </w:r>
        <w:r w:rsidR="0089001C">
          <w:rPr>
            <w:webHidden/>
          </w:rPr>
          <w:tab/>
        </w:r>
        <w:r w:rsidR="0089001C">
          <w:rPr>
            <w:webHidden/>
          </w:rPr>
          <w:fldChar w:fldCharType="begin"/>
        </w:r>
        <w:r w:rsidR="0089001C">
          <w:rPr>
            <w:webHidden/>
          </w:rPr>
          <w:instrText xml:space="preserve"> PAGEREF _Toc20234275 \h </w:instrText>
        </w:r>
        <w:r w:rsidR="0089001C">
          <w:rPr>
            <w:webHidden/>
          </w:rPr>
        </w:r>
        <w:r w:rsidR="0089001C">
          <w:rPr>
            <w:webHidden/>
          </w:rPr>
          <w:fldChar w:fldCharType="separate"/>
        </w:r>
        <w:r w:rsidR="0089001C">
          <w:rPr>
            <w:webHidden/>
          </w:rPr>
          <w:t>13</w:t>
        </w:r>
        <w:r w:rsidR="0089001C">
          <w:rPr>
            <w:webHidden/>
          </w:rPr>
          <w:fldChar w:fldCharType="end"/>
        </w:r>
      </w:hyperlink>
    </w:p>
    <w:p w14:paraId="0D1F7E47" w14:textId="1532B05E" w:rsidR="0089001C" w:rsidRDefault="009026D1">
      <w:pPr>
        <w:pStyle w:val="TOC1"/>
        <w:rPr>
          <w:b w:val="0"/>
          <w:sz w:val="24"/>
          <w:szCs w:val="24"/>
          <w:lang w:eastAsia="zh-CN"/>
        </w:rPr>
      </w:pPr>
      <w:hyperlink w:anchor="_Toc20234276" w:history="1">
        <w:r w:rsidR="0089001C" w:rsidRPr="00581E0F">
          <w:rPr>
            <w:rStyle w:val="Hyperlink"/>
          </w:rPr>
          <w:t>Council classifications</w:t>
        </w:r>
        <w:r w:rsidR="0089001C">
          <w:rPr>
            <w:webHidden/>
          </w:rPr>
          <w:tab/>
        </w:r>
        <w:r w:rsidR="0089001C">
          <w:rPr>
            <w:webHidden/>
          </w:rPr>
          <w:fldChar w:fldCharType="begin"/>
        </w:r>
        <w:r w:rsidR="0089001C">
          <w:rPr>
            <w:webHidden/>
          </w:rPr>
          <w:instrText xml:space="preserve"> PAGEREF _Toc20234276 \h </w:instrText>
        </w:r>
        <w:r w:rsidR="0089001C">
          <w:rPr>
            <w:webHidden/>
          </w:rPr>
        </w:r>
        <w:r w:rsidR="0089001C">
          <w:rPr>
            <w:webHidden/>
          </w:rPr>
          <w:fldChar w:fldCharType="separate"/>
        </w:r>
        <w:r w:rsidR="0089001C">
          <w:rPr>
            <w:webHidden/>
          </w:rPr>
          <w:t>14</w:t>
        </w:r>
        <w:r w:rsidR="0089001C">
          <w:rPr>
            <w:webHidden/>
          </w:rPr>
          <w:fldChar w:fldCharType="end"/>
        </w:r>
      </w:hyperlink>
    </w:p>
    <w:p w14:paraId="0C3C2E6E" w14:textId="689F0279" w:rsidR="0089001C" w:rsidRDefault="009026D1">
      <w:pPr>
        <w:pStyle w:val="TOC1"/>
        <w:rPr>
          <w:b w:val="0"/>
          <w:sz w:val="24"/>
          <w:szCs w:val="24"/>
          <w:lang w:eastAsia="zh-CN"/>
        </w:rPr>
      </w:pPr>
      <w:hyperlink w:anchor="_Toc20234277" w:history="1">
        <w:r w:rsidR="0089001C" w:rsidRPr="00581E0F">
          <w:rPr>
            <w:rStyle w:val="Hyperlink"/>
          </w:rPr>
          <w:t>Category 1–3 cases: Anaesthesia-related mortality and morbidity</w:t>
        </w:r>
        <w:r w:rsidR="0089001C">
          <w:rPr>
            <w:webHidden/>
          </w:rPr>
          <w:tab/>
        </w:r>
        <w:r w:rsidR="0089001C">
          <w:rPr>
            <w:webHidden/>
          </w:rPr>
          <w:fldChar w:fldCharType="begin"/>
        </w:r>
        <w:r w:rsidR="0089001C">
          <w:rPr>
            <w:webHidden/>
          </w:rPr>
          <w:instrText xml:space="preserve"> PAGEREF _Toc20234277 \h </w:instrText>
        </w:r>
        <w:r w:rsidR="0089001C">
          <w:rPr>
            <w:webHidden/>
          </w:rPr>
        </w:r>
        <w:r w:rsidR="0089001C">
          <w:rPr>
            <w:webHidden/>
          </w:rPr>
          <w:fldChar w:fldCharType="separate"/>
        </w:r>
        <w:r w:rsidR="0089001C">
          <w:rPr>
            <w:webHidden/>
          </w:rPr>
          <w:t>16</w:t>
        </w:r>
        <w:r w:rsidR="0089001C">
          <w:rPr>
            <w:webHidden/>
          </w:rPr>
          <w:fldChar w:fldCharType="end"/>
        </w:r>
      </w:hyperlink>
    </w:p>
    <w:p w14:paraId="7BCDF41F" w14:textId="65066E42" w:rsidR="0089001C" w:rsidRDefault="009026D1">
      <w:pPr>
        <w:pStyle w:val="TOC1"/>
        <w:rPr>
          <w:b w:val="0"/>
          <w:sz w:val="24"/>
          <w:szCs w:val="24"/>
          <w:lang w:eastAsia="zh-CN"/>
        </w:rPr>
      </w:pPr>
      <w:hyperlink w:anchor="_Toc20234278" w:history="1">
        <w:r w:rsidR="0089001C" w:rsidRPr="00581E0F">
          <w:rPr>
            <w:rStyle w:val="Hyperlink"/>
          </w:rPr>
          <w:t>Category 4–10 cases: Non-anaesthesia-related mortality and morbidity</w:t>
        </w:r>
        <w:r w:rsidR="0089001C">
          <w:rPr>
            <w:webHidden/>
          </w:rPr>
          <w:tab/>
        </w:r>
        <w:r w:rsidR="0089001C">
          <w:rPr>
            <w:webHidden/>
          </w:rPr>
          <w:fldChar w:fldCharType="begin"/>
        </w:r>
        <w:r w:rsidR="0089001C">
          <w:rPr>
            <w:webHidden/>
          </w:rPr>
          <w:instrText xml:space="preserve"> PAGEREF _Toc20234278 \h </w:instrText>
        </w:r>
        <w:r w:rsidR="0089001C">
          <w:rPr>
            <w:webHidden/>
          </w:rPr>
        </w:r>
        <w:r w:rsidR="0089001C">
          <w:rPr>
            <w:webHidden/>
          </w:rPr>
          <w:fldChar w:fldCharType="separate"/>
        </w:r>
        <w:r w:rsidR="0089001C">
          <w:rPr>
            <w:webHidden/>
          </w:rPr>
          <w:t>24</w:t>
        </w:r>
        <w:r w:rsidR="0089001C">
          <w:rPr>
            <w:webHidden/>
          </w:rPr>
          <w:fldChar w:fldCharType="end"/>
        </w:r>
      </w:hyperlink>
    </w:p>
    <w:p w14:paraId="271B3203" w14:textId="7D11FFFD" w:rsidR="0089001C" w:rsidRDefault="009026D1">
      <w:pPr>
        <w:pStyle w:val="TOC1"/>
        <w:rPr>
          <w:b w:val="0"/>
          <w:sz w:val="24"/>
          <w:szCs w:val="24"/>
          <w:lang w:eastAsia="zh-CN"/>
        </w:rPr>
      </w:pPr>
      <w:hyperlink w:anchor="_Toc20234279" w:history="1">
        <w:r w:rsidR="0089001C" w:rsidRPr="00581E0F">
          <w:rPr>
            <w:rStyle w:val="Hyperlink"/>
          </w:rPr>
          <w:t>Reducing the risk</w:t>
        </w:r>
        <w:r w:rsidR="0089001C">
          <w:rPr>
            <w:webHidden/>
          </w:rPr>
          <w:tab/>
        </w:r>
        <w:r w:rsidR="0089001C">
          <w:rPr>
            <w:webHidden/>
          </w:rPr>
          <w:fldChar w:fldCharType="begin"/>
        </w:r>
        <w:r w:rsidR="0089001C">
          <w:rPr>
            <w:webHidden/>
          </w:rPr>
          <w:instrText xml:space="preserve"> PAGEREF _Toc20234279 \h </w:instrText>
        </w:r>
        <w:r w:rsidR="0089001C">
          <w:rPr>
            <w:webHidden/>
          </w:rPr>
        </w:r>
        <w:r w:rsidR="0089001C">
          <w:rPr>
            <w:webHidden/>
          </w:rPr>
          <w:fldChar w:fldCharType="separate"/>
        </w:r>
        <w:r w:rsidR="0089001C">
          <w:rPr>
            <w:webHidden/>
          </w:rPr>
          <w:t>25</w:t>
        </w:r>
        <w:r w:rsidR="0089001C">
          <w:rPr>
            <w:webHidden/>
          </w:rPr>
          <w:fldChar w:fldCharType="end"/>
        </w:r>
      </w:hyperlink>
    </w:p>
    <w:p w14:paraId="595A7488" w14:textId="16ED212E" w:rsidR="0089001C" w:rsidRDefault="009026D1">
      <w:pPr>
        <w:pStyle w:val="TOC1"/>
        <w:rPr>
          <w:b w:val="0"/>
          <w:sz w:val="24"/>
          <w:szCs w:val="24"/>
          <w:lang w:eastAsia="zh-CN"/>
        </w:rPr>
      </w:pPr>
      <w:hyperlink w:anchor="_Toc20234280" w:history="1">
        <w:r w:rsidR="0089001C" w:rsidRPr="00581E0F">
          <w:rPr>
            <w:rStyle w:val="Hyperlink"/>
          </w:rPr>
          <w:t>Three overarching themes</w:t>
        </w:r>
        <w:r w:rsidR="0089001C">
          <w:rPr>
            <w:webHidden/>
          </w:rPr>
          <w:tab/>
        </w:r>
        <w:r w:rsidR="0089001C">
          <w:rPr>
            <w:webHidden/>
          </w:rPr>
          <w:fldChar w:fldCharType="begin"/>
        </w:r>
        <w:r w:rsidR="0089001C">
          <w:rPr>
            <w:webHidden/>
          </w:rPr>
          <w:instrText xml:space="preserve"> PAGEREF _Toc20234280 \h </w:instrText>
        </w:r>
        <w:r w:rsidR="0089001C">
          <w:rPr>
            <w:webHidden/>
          </w:rPr>
        </w:r>
        <w:r w:rsidR="0089001C">
          <w:rPr>
            <w:webHidden/>
          </w:rPr>
          <w:fldChar w:fldCharType="separate"/>
        </w:r>
        <w:r w:rsidR="0089001C">
          <w:rPr>
            <w:webHidden/>
          </w:rPr>
          <w:t>26</w:t>
        </w:r>
        <w:r w:rsidR="0089001C">
          <w:rPr>
            <w:webHidden/>
          </w:rPr>
          <w:fldChar w:fldCharType="end"/>
        </w:r>
      </w:hyperlink>
    </w:p>
    <w:p w14:paraId="7E355E45" w14:textId="65BD6AA3" w:rsidR="0089001C" w:rsidRDefault="009026D1">
      <w:pPr>
        <w:pStyle w:val="TOC1"/>
        <w:rPr>
          <w:b w:val="0"/>
          <w:sz w:val="24"/>
          <w:szCs w:val="24"/>
          <w:lang w:eastAsia="zh-CN"/>
        </w:rPr>
      </w:pPr>
      <w:hyperlink w:anchor="_Toc20234281" w:history="1">
        <w:r w:rsidR="0089001C" w:rsidRPr="00581E0F">
          <w:rPr>
            <w:rStyle w:val="Hyperlink"/>
          </w:rPr>
          <w:t>Airway and respiratory events</w:t>
        </w:r>
        <w:r w:rsidR="0089001C">
          <w:rPr>
            <w:webHidden/>
          </w:rPr>
          <w:tab/>
        </w:r>
        <w:r w:rsidR="0089001C">
          <w:rPr>
            <w:webHidden/>
          </w:rPr>
          <w:fldChar w:fldCharType="begin"/>
        </w:r>
        <w:r w:rsidR="0089001C">
          <w:rPr>
            <w:webHidden/>
          </w:rPr>
          <w:instrText xml:space="preserve"> PAGEREF _Toc20234281 \h </w:instrText>
        </w:r>
        <w:r w:rsidR="0089001C">
          <w:rPr>
            <w:webHidden/>
          </w:rPr>
        </w:r>
        <w:r w:rsidR="0089001C">
          <w:rPr>
            <w:webHidden/>
          </w:rPr>
          <w:fldChar w:fldCharType="separate"/>
        </w:r>
        <w:r w:rsidR="0089001C">
          <w:rPr>
            <w:webHidden/>
          </w:rPr>
          <w:t>31</w:t>
        </w:r>
        <w:r w:rsidR="0089001C">
          <w:rPr>
            <w:webHidden/>
          </w:rPr>
          <w:fldChar w:fldCharType="end"/>
        </w:r>
      </w:hyperlink>
    </w:p>
    <w:p w14:paraId="606E673D" w14:textId="299A5B2A" w:rsidR="0089001C" w:rsidRDefault="009026D1">
      <w:pPr>
        <w:pStyle w:val="TOC1"/>
        <w:rPr>
          <w:b w:val="0"/>
          <w:sz w:val="24"/>
          <w:szCs w:val="24"/>
          <w:lang w:eastAsia="zh-CN"/>
        </w:rPr>
      </w:pPr>
      <w:hyperlink w:anchor="_Toc20234282" w:history="1">
        <w:r w:rsidR="0089001C" w:rsidRPr="00581E0F">
          <w:rPr>
            <w:rStyle w:val="Hyperlink"/>
          </w:rPr>
          <w:t>Focus on aspiration</w:t>
        </w:r>
        <w:r w:rsidR="0089001C">
          <w:rPr>
            <w:webHidden/>
          </w:rPr>
          <w:tab/>
        </w:r>
        <w:r w:rsidR="0089001C">
          <w:rPr>
            <w:webHidden/>
          </w:rPr>
          <w:fldChar w:fldCharType="begin"/>
        </w:r>
        <w:r w:rsidR="0089001C">
          <w:rPr>
            <w:webHidden/>
          </w:rPr>
          <w:instrText xml:space="preserve"> PAGEREF _Toc20234282 \h </w:instrText>
        </w:r>
        <w:r w:rsidR="0089001C">
          <w:rPr>
            <w:webHidden/>
          </w:rPr>
        </w:r>
        <w:r w:rsidR="0089001C">
          <w:rPr>
            <w:webHidden/>
          </w:rPr>
          <w:fldChar w:fldCharType="separate"/>
        </w:r>
        <w:r w:rsidR="0089001C">
          <w:rPr>
            <w:webHidden/>
          </w:rPr>
          <w:t>34</w:t>
        </w:r>
        <w:r w:rsidR="0089001C">
          <w:rPr>
            <w:webHidden/>
          </w:rPr>
          <w:fldChar w:fldCharType="end"/>
        </w:r>
      </w:hyperlink>
    </w:p>
    <w:p w14:paraId="067B77D7" w14:textId="2B69B483" w:rsidR="0089001C" w:rsidRDefault="009026D1">
      <w:pPr>
        <w:pStyle w:val="TOC1"/>
        <w:rPr>
          <w:b w:val="0"/>
          <w:sz w:val="24"/>
          <w:szCs w:val="24"/>
          <w:lang w:eastAsia="zh-CN"/>
        </w:rPr>
      </w:pPr>
      <w:hyperlink w:anchor="_Toc20234283" w:history="1">
        <w:r w:rsidR="0089001C" w:rsidRPr="00581E0F">
          <w:rPr>
            <w:rStyle w:val="Hyperlink"/>
            <w:lang w:val="da-DK"/>
          </w:rPr>
          <w:t>Cardiovascular events</w:t>
        </w:r>
        <w:r w:rsidR="0089001C">
          <w:rPr>
            <w:webHidden/>
          </w:rPr>
          <w:tab/>
        </w:r>
        <w:r w:rsidR="0089001C">
          <w:rPr>
            <w:webHidden/>
          </w:rPr>
          <w:fldChar w:fldCharType="begin"/>
        </w:r>
        <w:r w:rsidR="0089001C">
          <w:rPr>
            <w:webHidden/>
          </w:rPr>
          <w:instrText xml:space="preserve"> PAGEREF _Toc20234283 \h </w:instrText>
        </w:r>
        <w:r w:rsidR="0089001C">
          <w:rPr>
            <w:webHidden/>
          </w:rPr>
        </w:r>
        <w:r w:rsidR="0089001C">
          <w:rPr>
            <w:webHidden/>
          </w:rPr>
          <w:fldChar w:fldCharType="separate"/>
        </w:r>
        <w:r w:rsidR="0089001C">
          <w:rPr>
            <w:webHidden/>
          </w:rPr>
          <w:t>35</w:t>
        </w:r>
        <w:r w:rsidR="0089001C">
          <w:rPr>
            <w:webHidden/>
          </w:rPr>
          <w:fldChar w:fldCharType="end"/>
        </w:r>
      </w:hyperlink>
    </w:p>
    <w:p w14:paraId="49B11D11" w14:textId="07207BA0" w:rsidR="0089001C" w:rsidRDefault="009026D1">
      <w:pPr>
        <w:pStyle w:val="TOC1"/>
        <w:rPr>
          <w:b w:val="0"/>
          <w:sz w:val="24"/>
          <w:szCs w:val="24"/>
          <w:lang w:eastAsia="zh-CN"/>
        </w:rPr>
      </w:pPr>
      <w:hyperlink w:anchor="_Toc20234284" w:history="1">
        <w:r w:rsidR="0089001C" w:rsidRPr="00581E0F">
          <w:rPr>
            <w:rStyle w:val="Hyperlink"/>
          </w:rPr>
          <w:t>Metabolic events</w:t>
        </w:r>
        <w:r w:rsidR="0089001C">
          <w:rPr>
            <w:webHidden/>
          </w:rPr>
          <w:tab/>
        </w:r>
        <w:r w:rsidR="0089001C">
          <w:rPr>
            <w:webHidden/>
          </w:rPr>
          <w:fldChar w:fldCharType="begin"/>
        </w:r>
        <w:r w:rsidR="0089001C">
          <w:rPr>
            <w:webHidden/>
          </w:rPr>
          <w:instrText xml:space="preserve"> PAGEREF _Toc20234284 \h </w:instrText>
        </w:r>
        <w:r w:rsidR="0089001C">
          <w:rPr>
            <w:webHidden/>
          </w:rPr>
        </w:r>
        <w:r w:rsidR="0089001C">
          <w:rPr>
            <w:webHidden/>
          </w:rPr>
          <w:fldChar w:fldCharType="separate"/>
        </w:r>
        <w:r w:rsidR="0089001C">
          <w:rPr>
            <w:webHidden/>
          </w:rPr>
          <w:t>39</w:t>
        </w:r>
        <w:r w:rsidR="0089001C">
          <w:rPr>
            <w:webHidden/>
          </w:rPr>
          <w:fldChar w:fldCharType="end"/>
        </w:r>
      </w:hyperlink>
    </w:p>
    <w:p w14:paraId="2AB4E43A" w14:textId="2D984FEC" w:rsidR="0089001C" w:rsidRDefault="009026D1">
      <w:pPr>
        <w:pStyle w:val="TOC1"/>
        <w:rPr>
          <w:b w:val="0"/>
          <w:sz w:val="24"/>
          <w:szCs w:val="24"/>
          <w:lang w:eastAsia="zh-CN"/>
        </w:rPr>
      </w:pPr>
      <w:hyperlink w:anchor="_Toc20234285" w:history="1">
        <w:r w:rsidR="0089001C" w:rsidRPr="00581E0F">
          <w:rPr>
            <w:rStyle w:val="Hyperlink"/>
          </w:rPr>
          <w:t>Drug-related events</w:t>
        </w:r>
        <w:r w:rsidR="0089001C">
          <w:rPr>
            <w:webHidden/>
          </w:rPr>
          <w:tab/>
        </w:r>
        <w:r w:rsidR="0089001C">
          <w:rPr>
            <w:webHidden/>
          </w:rPr>
          <w:fldChar w:fldCharType="begin"/>
        </w:r>
        <w:r w:rsidR="0089001C">
          <w:rPr>
            <w:webHidden/>
          </w:rPr>
          <w:instrText xml:space="preserve"> PAGEREF _Toc20234285 \h </w:instrText>
        </w:r>
        <w:r w:rsidR="0089001C">
          <w:rPr>
            <w:webHidden/>
          </w:rPr>
        </w:r>
        <w:r w:rsidR="0089001C">
          <w:rPr>
            <w:webHidden/>
          </w:rPr>
          <w:fldChar w:fldCharType="separate"/>
        </w:r>
        <w:r w:rsidR="0089001C">
          <w:rPr>
            <w:webHidden/>
          </w:rPr>
          <w:t>40</w:t>
        </w:r>
        <w:r w:rsidR="0089001C">
          <w:rPr>
            <w:webHidden/>
          </w:rPr>
          <w:fldChar w:fldCharType="end"/>
        </w:r>
      </w:hyperlink>
    </w:p>
    <w:p w14:paraId="78A450BF" w14:textId="7B908F83" w:rsidR="0089001C" w:rsidRDefault="009026D1">
      <w:pPr>
        <w:pStyle w:val="TOC1"/>
        <w:rPr>
          <w:b w:val="0"/>
          <w:sz w:val="24"/>
          <w:szCs w:val="24"/>
          <w:lang w:eastAsia="zh-CN"/>
        </w:rPr>
      </w:pPr>
      <w:hyperlink w:anchor="_Toc20234286" w:history="1">
        <w:r w:rsidR="0089001C" w:rsidRPr="00581E0F">
          <w:rPr>
            <w:rStyle w:val="Hyperlink"/>
            <w:lang w:val="fr-FR"/>
          </w:rPr>
          <w:t>Focus on anaphylaxis</w:t>
        </w:r>
        <w:r w:rsidR="0089001C">
          <w:rPr>
            <w:webHidden/>
          </w:rPr>
          <w:tab/>
        </w:r>
        <w:r w:rsidR="0089001C">
          <w:rPr>
            <w:webHidden/>
          </w:rPr>
          <w:fldChar w:fldCharType="begin"/>
        </w:r>
        <w:r w:rsidR="0089001C">
          <w:rPr>
            <w:webHidden/>
          </w:rPr>
          <w:instrText xml:space="preserve"> PAGEREF _Toc20234286 \h </w:instrText>
        </w:r>
        <w:r w:rsidR="0089001C">
          <w:rPr>
            <w:webHidden/>
          </w:rPr>
        </w:r>
        <w:r w:rsidR="0089001C">
          <w:rPr>
            <w:webHidden/>
          </w:rPr>
          <w:fldChar w:fldCharType="separate"/>
        </w:r>
        <w:r w:rsidR="0089001C">
          <w:rPr>
            <w:webHidden/>
          </w:rPr>
          <w:t>41</w:t>
        </w:r>
        <w:r w:rsidR="0089001C">
          <w:rPr>
            <w:webHidden/>
          </w:rPr>
          <w:fldChar w:fldCharType="end"/>
        </w:r>
      </w:hyperlink>
    </w:p>
    <w:p w14:paraId="52BA9AC2" w14:textId="4C2D1302" w:rsidR="0089001C" w:rsidRDefault="009026D1">
      <w:pPr>
        <w:pStyle w:val="TOC1"/>
        <w:rPr>
          <w:b w:val="0"/>
          <w:sz w:val="24"/>
          <w:szCs w:val="24"/>
          <w:lang w:eastAsia="zh-CN"/>
        </w:rPr>
      </w:pPr>
      <w:hyperlink w:anchor="_Toc20234287" w:history="1">
        <w:r w:rsidR="0089001C" w:rsidRPr="00581E0F">
          <w:rPr>
            <w:rStyle w:val="Hyperlink"/>
          </w:rPr>
          <w:t>Neurological events</w:t>
        </w:r>
        <w:r w:rsidR="0089001C">
          <w:rPr>
            <w:webHidden/>
          </w:rPr>
          <w:tab/>
        </w:r>
        <w:r w:rsidR="0089001C">
          <w:rPr>
            <w:webHidden/>
          </w:rPr>
          <w:fldChar w:fldCharType="begin"/>
        </w:r>
        <w:r w:rsidR="0089001C">
          <w:rPr>
            <w:webHidden/>
          </w:rPr>
          <w:instrText xml:space="preserve"> PAGEREF _Toc20234287 \h </w:instrText>
        </w:r>
        <w:r w:rsidR="0089001C">
          <w:rPr>
            <w:webHidden/>
          </w:rPr>
        </w:r>
        <w:r w:rsidR="0089001C">
          <w:rPr>
            <w:webHidden/>
          </w:rPr>
          <w:fldChar w:fldCharType="separate"/>
        </w:r>
        <w:r w:rsidR="0089001C">
          <w:rPr>
            <w:webHidden/>
          </w:rPr>
          <w:t>44</w:t>
        </w:r>
        <w:r w:rsidR="0089001C">
          <w:rPr>
            <w:webHidden/>
          </w:rPr>
          <w:fldChar w:fldCharType="end"/>
        </w:r>
      </w:hyperlink>
    </w:p>
    <w:p w14:paraId="5BCFE98E" w14:textId="24894B9A" w:rsidR="0089001C" w:rsidRDefault="009026D1">
      <w:pPr>
        <w:pStyle w:val="TOC1"/>
        <w:rPr>
          <w:b w:val="0"/>
          <w:sz w:val="24"/>
          <w:szCs w:val="24"/>
          <w:lang w:eastAsia="zh-CN"/>
        </w:rPr>
      </w:pPr>
      <w:hyperlink w:anchor="_Toc20234288" w:history="1">
        <w:r w:rsidR="0089001C" w:rsidRPr="00581E0F">
          <w:rPr>
            <w:rStyle w:val="Hyperlink"/>
          </w:rPr>
          <w:t>Focus on awareness during general anaesthesia</w:t>
        </w:r>
        <w:r w:rsidR="0089001C">
          <w:rPr>
            <w:webHidden/>
          </w:rPr>
          <w:tab/>
        </w:r>
        <w:r w:rsidR="0089001C">
          <w:rPr>
            <w:webHidden/>
          </w:rPr>
          <w:fldChar w:fldCharType="begin"/>
        </w:r>
        <w:r w:rsidR="0089001C">
          <w:rPr>
            <w:webHidden/>
          </w:rPr>
          <w:instrText xml:space="preserve"> PAGEREF _Toc20234288 \h </w:instrText>
        </w:r>
        <w:r w:rsidR="0089001C">
          <w:rPr>
            <w:webHidden/>
          </w:rPr>
        </w:r>
        <w:r w:rsidR="0089001C">
          <w:rPr>
            <w:webHidden/>
          </w:rPr>
          <w:fldChar w:fldCharType="separate"/>
        </w:r>
        <w:r w:rsidR="0089001C">
          <w:rPr>
            <w:webHidden/>
          </w:rPr>
          <w:t>46</w:t>
        </w:r>
        <w:r w:rsidR="0089001C">
          <w:rPr>
            <w:webHidden/>
          </w:rPr>
          <w:fldChar w:fldCharType="end"/>
        </w:r>
      </w:hyperlink>
    </w:p>
    <w:p w14:paraId="523FC7B3" w14:textId="0724ECEE" w:rsidR="0089001C" w:rsidRDefault="009026D1">
      <w:pPr>
        <w:pStyle w:val="TOC1"/>
        <w:rPr>
          <w:b w:val="0"/>
          <w:sz w:val="24"/>
          <w:szCs w:val="24"/>
          <w:lang w:eastAsia="zh-CN"/>
        </w:rPr>
      </w:pPr>
      <w:hyperlink w:anchor="_Toc20234289" w:history="1">
        <w:r w:rsidR="0089001C" w:rsidRPr="00581E0F">
          <w:rPr>
            <w:rStyle w:val="Hyperlink"/>
          </w:rPr>
          <w:t>Procedural complications</w:t>
        </w:r>
        <w:r w:rsidR="0089001C">
          <w:rPr>
            <w:webHidden/>
          </w:rPr>
          <w:tab/>
        </w:r>
        <w:r w:rsidR="0089001C">
          <w:rPr>
            <w:webHidden/>
          </w:rPr>
          <w:fldChar w:fldCharType="begin"/>
        </w:r>
        <w:r w:rsidR="0089001C">
          <w:rPr>
            <w:webHidden/>
          </w:rPr>
          <w:instrText xml:space="preserve"> PAGEREF _Toc20234289 \h </w:instrText>
        </w:r>
        <w:r w:rsidR="0089001C">
          <w:rPr>
            <w:webHidden/>
          </w:rPr>
        </w:r>
        <w:r w:rsidR="0089001C">
          <w:rPr>
            <w:webHidden/>
          </w:rPr>
          <w:fldChar w:fldCharType="separate"/>
        </w:r>
        <w:r w:rsidR="0089001C">
          <w:rPr>
            <w:webHidden/>
          </w:rPr>
          <w:t>47</w:t>
        </w:r>
        <w:r w:rsidR="0089001C">
          <w:rPr>
            <w:webHidden/>
          </w:rPr>
          <w:fldChar w:fldCharType="end"/>
        </w:r>
      </w:hyperlink>
    </w:p>
    <w:p w14:paraId="73DCF311" w14:textId="00B47894" w:rsidR="0089001C" w:rsidRDefault="009026D1">
      <w:pPr>
        <w:pStyle w:val="TOC1"/>
        <w:rPr>
          <w:b w:val="0"/>
          <w:sz w:val="24"/>
          <w:szCs w:val="24"/>
          <w:lang w:eastAsia="zh-CN"/>
        </w:rPr>
      </w:pPr>
      <w:hyperlink w:anchor="_Toc20234290" w:history="1">
        <w:r w:rsidR="0089001C" w:rsidRPr="00581E0F">
          <w:rPr>
            <w:rStyle w:val="Hyperlink"/>
          </w:rPr>
          <w:t>Focus on wrong-side nerve blocks</w:t>
        </w:r>
        <w:r w:rsidR="0089001C">
          <w:rPr>
            <w:webHidden/>
          </w:rPr>
          <w:tab/>
        </w:r>
        <w:r w:rsidR="0089001C">
          <w:rPr>
            <w:webHidden/>
          </w:rPr>
          <w:fldChar w:fldCharType="begin"/>
        </w:r>
        <w:r w:rsidR="0089001C">
          <w:rPr>
            <w:webHidden/>
          </w:rPr>
          <w:instrText xml:space="preserve"> PAGEREF _Toc20234290 \h </w:instrText>
        </w:r>
        <w:r w:rsidR="0089001C">
          <w:rPr>
            <w:webHidden/>
          </w:rPr>
        </w:r>
        <w:r w:rsidR="0089001C">
          <w:rPr>
            <w:webHidden/>
          </w:rPr>
          <w:fldChar w:fldCharType="separate"/>
        </w:r>
        <w:r w:rsidR="0089001C">
          <w:rPr>
            <w:webHidden/>
          </w:rPr>
          <w:t>48</w:t>
        </w:r>
        <w:r w:rsidR="0089001C">
          <w:rPr>
            <w:webHidden/>
          </w:rPr>
          <w:fldChar w:fldCharType="end"/>
        </w:r>
      </w:hyperlink>
    </w:p>
    <w:p w14:paraId="7E65D998" w14:textId="1DD8FE34" w:rsidR="0089001C" w:rsidRDefault="009026D1">
      <w:pPr>
        <w:pStyle w:val="TOC1"/>
        <w:rPr>
          <w:b w:val="0"/>
          <w:sz w:val="24"/>
          <w:szCs w:val="24"/>
          <w:lang w:eastAsia="zh-CN"/>
        </w:rPr>
      </w:pPr>
      <w:hyperlink w:anchor="_Toc20234291" w:history="1">
        <w:r w:rsidR="0089001C" w:rsidRPr="00581E0F">
          <w:rPr>
            <w:rStyle w:val="Hyperlink"/>
          </w:rPr>
          <w:t>Focus on retained throat packs</w:t>
        </w:r>
        <w:r w:rsidR="0089001C">
          <w:rPr>
            <w:webHidden/>
          </w:rPr>
          <w:tab/>
        </w:r>
        <w:r w:rsidR="0089001C">
          <w:rPr>
            <w:webHidden/>
          </w:rPr>
          <w:fldChar w:fldCharType="begin"/>
        </w:r>
        <w:r w:rsidR="0089001C">
          <w:rPr>
            <w:webHidden/>
          </w:rPr>
          <w:instrText xml:space="preserve"> PAGEREF _Toc20234291 \h </w:instrText>
        </w:r>
        <w:r w:rsidR="0089001C">
          <w:rPr>
            <w:webHidden/>
          </w:rPr>
        </w:r>
        <w:r w:rsidR="0089001C">
          <w:rPr>
            <w:webHidden/>
          </w:rPr>
          <w:fldChar w:fldCharType="separate"/>
        </w:r>
        <w:r w:rsidR="0089001C">
          <w:rPr>
            <w:webHidden/>
          </w:rPr>
          <w:t>50</w:t>
        </w:r>
        <w:r w:rsidR="0089001C">
          <w:rPr>
            <w:webHidden/>
          </w:rPr>
          <w:fldChar w:fldCharType="end"/>
        </w:r>
      </w:hyperlink>
    </w:p>
    <w:p w14:paraId="24599754" w14:textId="51BF1FEE" w:rsidR="0089001C" w:rsidRDefault="009026D1">
      <w:pPr>
        <w:pStyle w:val="TOC1"/>
        <w:rPr>
          <w:b w:val="0"/>
          <w:sz w:val="24"/>
          <w:szCs w:val="24"/>
          <w:lang w:eastAsia="zh-CN"/>
        </w:rPr>
      </w:pPr>
      <w:hyperlink w:anchor="_Toc20234292" w:history="1">
        <w:r w:rsidR="0089001C" w:rsidRPr="00581E0F">
          <w:rPr>
            <w:rStyle w:val="Hyperlink"/>
          </w:rPr>
          <w:t>Comorbidities</w:t>
        </w:r>
        <w:r w:rsidR="0089001C">
          <w:rPr>
            <w:webHidden/>
          </w:rPr>
          <w:tab/>
        </w:r>
        <w:r w:rsidR="0089001C">
          <w:rPr>
            <w:webHidden/>
          </w:rPr>
          <w:fldChar w:fldCharType="begin"/>
        </w:r>
        <w:r w:rsidR="0089001C">
          <w:rPr>
            <w:webHidden/>
          </w:rPr>
          <w:instrText xml:space="preserve"> PAGEREF _Toc20234292 \h </w:instrText>
        </w:r>
        <w:r w:rsidR="0089001C">
          <w:rPr>
            <w:webHidden/>
          </w:rPr>
        </w:r>
        <w:r w:rsidR="0089001C">
          <w:rPr>
            <w:webHidden/>
          </w:rPr>
          <w:fldChar w:fldCharType="separate"/>
        </w:r>
        <w:r w:rsidR="0089001C">
          <w:rPr>
            <w:webHidden/>
          </w:rPr>
          <w:t>51</w:t>
        </w:r>
        <w:r w:rsidR="0089001C">
          <w:rPr>
            <w:webHidden/>
          </w:rPr>
          <w:fldChar w:fldCharType="end"/>
        </w:r>
      </w:hyperlink>
    </w:p>
    <w:p w14:paraId="1C0F35C7" w14:textId="306C4D93" w:rsidR="0089001C" w:rsidRDefault="009026D1">
      <w:pPr>
        <w:pStyle w:val="TOC1"/>
        <w:rPr>
          <w:b w:val="0"/>
          <w:sz w:val="24"/>
          <w:szCs w:val="24"/>
          <w:lang w:eastAsia="zh-CN"/>
        </w:rPr>
      </w:pPr>
      <w:hyperlink w:anchor="_Toc20234293" w:history="1">
        <w:r w:rsidR="0089001C" w:rsidRPr="00581E0F">
          <w:rPr>
            <w:rStyle w:val="Hyperlink"/>
          </w:rPr>
          <w:t>Pre-operative assessment and management</w:t>
        </w:r>
        <w:r w:rsidR="0089001C">
          <w:rPr>
            <w:webHidden/>
          </w:rPr>
          <w:tab/>
        </w:r>
        <w:r w:rsidR="0089001C">
          <w:rPr>
            <w:webHidden/>
          </w:rPr>
          <w:fldChar w:fldCharType="begin"/>
        </w:r>
        <w:r w:rsidR="0089001C">
          <w:rPr>
            <w:webHidden/>
          </w:rPr>
          <w:instrText xml:space="preserve"> PAGEREF _Toc20234293 \h </w:instrText>
        </w:r>
        <w:r w:rsidR="0089001C">
          <w:rPr>
            <w:webHidden/>
          </w:rPr>
        </w:r>
        <w:r w:rsidR="0089001C">
          <w:rPr>
            <w:webHidden/>
          </w:rPr>
          <w:fldChar w:fldCharType="separate"/>
        </w:r>
        <w:r w:rsidR="0089001C">
          <w:rPr>
            <w:webHidden/>
          </w:rPr>
          <w:t>53</w:t>
        </w:r>
        <w:r w:rsidR="0089001C">
          <w:rPr>
            <w:webHidden/>
          </w:rPr>
          <w:fldChar w:fldCharType="end"/>
        </w:r>
      </w:hyperlink>
    </w:p>
    <w:p w14:paraId="0E8ED8FB" w14:textId="061AE736" w:rsidR="0089001C" w:rsidRDefault="009026D1">
      <w:pPr>
        <w:pStyle w:val="TOC1"/>
        <w:rPr>
          <w:b w:val="0"/>
          <w:sz w:val="24"/>
          <w:szCs w:val="24"/>
          <w:lang w:eastAsia="zh-CN"/>
        </w:rPr>
      </w:pPr>
      <w:hyperlink w:anchor="_Toc20234294" w:history="1">
        <w:r w:rsidR="0089001C" w:rsidRPr="00581E0F">
          <w:rPr>
            <w:rStyle w:val="Hyperlink"/>
          </w:rPr>
          <w:t>Clinical deterioration in the early  postoperative period</w:t>
        </w:r>
        <w:r w:rsidR="0089001C">
          <w:rPr>
            <w:webHidden/>
          </w:rPr>
          <w:tab/>
        </w:r>
        <w:r w:rsidR="0089001C">
          <w:rPr>
            <w:webHidden/>
          </w:rPr>
          <w:fldChar w:fldCharType="begin"/>
        </w:r>
        <w:r w:rsidR="0089001C">
          <w:rPr>
            <w:webHidden/>
          </w:rPr>
          <w:instrText xml:space="preserve"> PAGEREF _Toc20234294 \h </w:instrText>
        </w:r>
        <w:r w:rsidR="0089001C">
          <w:rPr>
            <w:webHidden/>
          </w:rPr>
        </w:r>
        <w:r w:rsidR="0089001C">
          <w:rPr>
            <w:webHidden/>
          </w:rPr>
          <w:fldChar w:fldCharType="separate"/>
        </w:r>
        <w:r w:rsidR="0089001C">
          <w:rPr>
            <w:webHidden/>
          </w:rPr>
          <w:t>55</w:t>
        </w:r>
        <w:r w:rsidR="0089001C">
          <w:rPr>
            <w:webHidden/>
          </w:rPr>
          <w:fldChar w:fldCharType="end"/>
        </w:r>
      </w:hyperlink>
    </w:p>
    <w:p w14:paraId="1926C5D1" w14:textId="03FC4F87" w:rsidR="0089001C" w:rsidRDefault="009026D1">
      <w:pPr>
        <w:pStyle w:val="TOC1"/>
        <w:rPr>
          <w:b w:val="0"/>
          <w:sz w:val="24"/>
          <w:szCs w:val="24"/>
          <w:lang w:eastAsia="zh-CN"/>
        </w:rPr>
      </w:pPr>
      <w:hyperlink w:anchor="_Toc20234295" w:history="1">
        <w:r w:rsidR="0089001C" w:rsidRPr="00581E0F">
          <w:rPr>
            <w:rStyle w:val="Hyperlink"/>
          </w:rPr>
          <w:t>Event types for all categories</w:t>
        </w:r>
        <w:r w:rsidR="0089001C">
          <w:rPr>
            <w:webHidden/>
          </w:rPr>
          <w:tab/>
        </w:r>
        <w:r w:rsidR="0089001C">
          <w:rPr>
            <w:webHidden/>
          </w:rPr>
          <w:fldChar w:fldCharType="begin"/>
        </w:r>
        <w:r w:rsidR="0089001C">
          <w:rPr>
            <w:webHidden/>
          </w:rPr>
          <w:instrText xml:space="preserve"> PAGEREF _Toc20234295 \h </w:instrText>
        </w:r>
        <w:r w:rsidR="0089001C">
          <w:rPr>
            <w:webHidden/>
          </w:rPr>
        </w:r>
        <w:r w:rsidR="0089001C">
          <w:rPr>
            <w:webHidden/>
          </w:rPr>
          <w:fldChar w:fldCharType="separate"/>
        </w:r>
        <w:r w:rsidR="0089001C">
          <w:rPr>
            <w:webHidden/>
          </w:rPr>
          <w:t>56</w:t>
        </w:r>
        <w:r w:rsidR="0089001C">
          <w:rPr>
            <w:webHidden/>
          </w:rPr>
          <w:fldChar w:fldCharType="end"/>
        </w:r>
      </w:hyperlink>
    </w:p>
    <w:p w14:paraId="7F7F91FA" w14:textId="4C71CEC4" w:rsidR="0089001C" w:rsidRDefault="009026D1">
      <w:pPr>
        <w:pStyle w:val="TOC1"/>
        <w:rPr>
          <w:b w:val="0"/>
          <w:sz w:val="24"/>
          <w:szCs w:val="24"/>
          <w:lang w:eastAsia="zh-CN"/>
        </w:rPr>
      </w:pPr>
      <w:hyperlink w:anchor="_Toc20234296" w:history="1">
        <w:r w:rsidR="0089001C" w:rsidRPr="00581E0F">
          <w:rPr>
            <w:rStyle w:val="Hyperlink"/>
          </w:rPr>
          <w:t>Appendix 1: Council definitions of anaesthesia mortality and morbidity</w:t>
        </w:r>
        <w:r w:rsidR="0089001C">
          <w:rPr>
            <w:webHidden/>
          </w:rPr>
          <w:tab/>
        </w:r>
        <w:r w:rsidR="0089001C">
          <w:rPr>
            <w:webHidden/>
          </w:rPr>
          <w:fldChar w:fldCharType="begin"/>
        </w:r>
        <w:r w:rsidR="0089001C">
          <w:rPr>
            <w:webHidden/>
          </w:rPr>
          <w:instrText xml:space="preserve"> PAGEREF _Toc20234296 \h </w:instrText>
        </w:r>
        <w:r w:rsidR="0089001C">
          <w:rPr>
            <w:webHidden/>
          </w:rPr>
        </w:r>
        <w:r w:rsidR="0089001C">
          <w:rPr>
            <w:webHidden/>
          </w:rPr>
          <w:fldChar w:fldCharType="separate"/>
        </w:r>
        <w:r w:rsidR="0089001C">
          <w:rPr>
            <w:webHidden/>
          </w:rPr>
          <w:t>58</w:t>
        </w:r>
        <w:r w:rsidR="0089001C">
          <w:rPr>
            <w:webHidden/>
          </w:rPr>
          <w:fldChar w:fldCharType="end"/>
        </w:r>
      </w:hyperlink>
    </w:p>
    <w:p w14:paraId="5C1026B8" w14:textId="3CF4D334" w:rsidR="0089001C" w:rsidRDefault="009026D1">
      <w:pPr>
        <w:pStyle w:val="TOC1"/>
        <w:rPr>
          <w:b w:val="0"/>
          <w:sz w:val="24"/>
          <w:szCs w:val="24"/>
          <w:lang w:eastAsia="zh-CN"/>
        </w:rPr>
      </w:pPr>
      <w:hyperlink w:anchor="_Toc20234297" w:history="1">
        <w:r w:rsidR="0089001C" w:rsidRPr="00581E0F">
          <w:rPr>
            <w:rStyle w:val="Hyperlink"/>
          </w:rPr>
          <w:t>Appendix 2: Classification tools and definitions</w:t>
        </w:r>
        <w:r w:rsidR="0089001C">
          <w:rPr>
            <w:webHidden/>
          </w:rPr>
          <w:tab/>
        </w:r>
        <w:r w:rsidR="0089001C">
          <w:rPr>
            <w:webHidden/>
          </w:rPr>
          <w:fldChar w:fldCharType="begin"/>
        </w:r>
        <w:r w:rsidR="0089001C">
          <w:rPr>
            <w:webHidden/>
          </w:rPr>
          <w:instrText xml:space="preserve"> PAGEREF _Toc20234297 \h </w:instrText>
        </w:r>
        <w:r w:rsidR="0089001C">
          <w:rPr>
            <w:webHidden/>
          </w:rPr>
        </w:r>
        <w:r w:rsidR="0089001C">
          <w:rPr>
            <w:webHidden/>
          </w:rPr>
          <w:fldChar w:fldCharType="separate"/>
        </w:r>
        <w:r w:rsidR="0089001C">
          <w:rPr>
            <w:webHidden/>
          </w:rPr>
          <w:t>59</w:t>
        </w:r>
        <w:r w:rsidR="0089001C">
          <w:rPr>
            <w:webHidden/>
          </w:rPr>
          <w:fldChar w:fldCharType="end"/>
        </w:r>
      </w:hyperlink>
    </w:p>
    <w:p w14:paraId="72AA4745" w14:textId="29C2F242" w:rsidR="0089001C" w:rsidRDefault="009026D1">
      <w:pPr>
        <w:pStyle w:val="TOC1"/>
        <w:rPr>
          <w:b w:val="0"/>
          <w:sz w:val="24"/>
          <w:szCs w:val="24"/>
          <w:lang w:eastAsia="zh-CN"/>
        </w:rPr>
      </w:pPr>
      <w:hyperlink w:anchor="_Toc20234298" w:history="1">
        <w:r w:rsidR="0089001C" w:rsidRPr="00581E0F">
          <w:rPr>
            <w:rStyle w:val="Hyperlink"/>
          </w:rPr>
          <w:t>Appendix 3: Current council and subcommittee members</w:t>
        </w:r>
        <w:r w:rsidR="0089001C">
          <w:rPr>
            <w:webHidden/>
          </w:rPr>
          <w:tab/>
        </w:r>
        <w:r w:rsidR="0089001C">
          <w:rPr>
            <w:webHidden/>
          </w:rPr>
          <w:fldChar w:fldCharType="begin"/>
        </w:r>
        <w:r w:rsidR="0089001C">
          <w:rPr>
            <w:webHidden/>
          </w:rPr>
          <w:instrText xml:space="preserve"> PAGEREF _Toc20234298 \h </w:instrText>
        </w:r>
        <w:r w:rsidR="0089001C">
          <w:rPr>
            <w:webHidden/>
          </w:rPr>
        </w:r>
        <w:r w:rsidR="0089001C">
          <w:rPr>
            <w:webHidden/>
          </w:rPr>
          <w:fldChar w:fldCharType="separate"/>
        </w:r>
        <w:r w:rsidR="0089001C">
          <w:rPr>
            <w:webHidden/>
          </w:rPr>
          <w:t>65</w:t>
        </w:r>
        <w:r w:rsidR="0089001C">
          <w:rPr>
            <w:webHidden/>
          </w:rPr>
          <w:fldChar w:fldCharType="end"/>
        </w:r>
      </w:hyperlink>
    </w:p>
    <w:p w14:paraId="097D0786" w14:textId="4A4D6E12" w:rsidR="0089001C" w:rsidRDefault="009026D1">
      <w:pPr>
        <w:pStyle w:val="TOC1"/>
        <w:rPr>
          <w:b w:val="0"/>
          <w:sz w:val="24"/>
          <w:szCs w:val="24"/>
          <w:lang w:eastAsia="zh-CN"/>
        </w:rPr>
      </w:pPr>
      <w:hyperlink w:anchor="_Toc20234299" w:history="1">
        <w:r w:rsidR="0089001C" w:rsidRPr="00581E0F">
          <w:rPr>
            <w:rStyle w:val="Hyperlink"/>
          </w:rPr>
          <w:t>References and useful links</w:t>
        </w:r>
        <w:r w:rsidR="0089001C">
          <w:rPr>
            <w:webHidden/>
          </w:rPr>
          <w:tab/>
        </w:r>
        <w:r w:rsidR="0089001C">
          <w:rPr>
            <w:webHidden/>
          </w:rPr>
          <w:fldChar w:fldCharType="begin"/>
        </w:r>
        <w:r w:rsidR="0089001C">
          <w:rPr>
            <w:webHidden/>
          </w:rPr>
          <w:instrText xml:space="preserve"> PAGEREF _Toc20234299 \h </w:instrText>
        </w:r>
        <w:r w:rsidR="0089001C">
          <w:rPr>
            <w:webHidden/>
          </w:rPr>
        </w:r>
        <w:r w:rsidR="0089001C">
          <w:rPr>
            <w:webHidden/>
          </w:rPr>
          <w:fldChar w:fldCharType="separate"/>
        </w:r>
        <w:r w:rsidR="0089001C">
          <w:rPr>
            <w:webHidden/>
          </w:rPr>
          <w:t>66</w:t>
        </w:r>
        <w:r w:rsidR="0089001C">
          <w:rPr>
            <w:webHidden/>
          </w:rPr>
          <w:fldChar w:fldCharType="end"/>
        </w:r>
      </w:hyperlink>
    </w:p>
    <w:p w14:paraId="7A13FD95" w14:textId="1DF6BD53" w:rsidR="009169E8" w:rsidRDefault="0089001C" w:rsidP="008E28A3">
      <w:pPr>
        <w:pStyle w:val="DHHSbody"/>
      </w:pPr>
      <w:r>
        <w:fldChar w:fldCharType="end"/>
      </w:r>
    </w:p>
    <w:p w14:paraId="7E33B103" w14:textId="77777777" w:rsidR="000104F5" w:rsidRDefault="000104F5" w:rsidP="00E961B4">
      <w:pPr>
        <w:pStyle w:val="Heading2"/>
      </w:pPr>
      <w:r>
        <w:t>DISCLAIMER</w:t>
      </w:r>
    </w:p>
    <w:p w14:paraId="28D37C75" w14:textId="3B4D4611" w:rsidR="000104F5" w:rsidRDefault="000104F5" w:rsidP="008E28A3">
      <w:pPr>
        <w:pStyle w:val="DHHSbody"/>
      </w:pPr>
      <w:r>
        <w:t>This report is aimed at health professionals and is intended to provide a summary of clinical and system issues and related learning points identified from cases referred to the VCCAMM during 2015–2017. The content of the report is not intended to be a substitute for a clinician’s judgement (taking into consideration the particular circumstances of their patients), nor is it intended to replace information contained within consensus guidelines.</w:t>
      </w:r>
    </w:p>
    <w:p w14:paraId="1F5551E1" w14:textId="5EA2DBB4" w:rsidR="009169E8" w:rsidRDefault="009169E8" w:rsidP="000104F5">
      <w:pPr>
        <w:pStyle w:val="Heading1"/>
      </w:pPr>
      <w:bookmarkStart w:id="4" w:name="_Toc20234273"/>
      <w:r>
        <w:lastRenderedPageBreak/>
        <w:t>Executive summary</w:t>
      </w:r>
      <w:bookmarkEnd w:id="4"/>
    </w:p>
    <w:p w14:paraId="2732EF38" w14:textId="77777777" w:rsidR="009169E8" w:rsidRDefault="009169E8" w:rsidP="008E28A3">
      <w:pPr>
        <w:pStyle w:val="DHHSbody"/>
      </w:pPr>
    </w:p>
    <w:p w14:paraId="680FFFF2" w14:textId="77777777" w:rsidR="009169E8" w:rsidRDefault="009169E8" w:rsidP="008E28A3">
      <w:pPr>
        <w:pStyle w:val="DHHSbody"/>
      </w:pPr>
      <w:r>
        <w:t>This report provides quantitative and qualitative analysis from the Council’s review of 238 cases submitted to the Victorian Consultative Council on Anaesthetic Mortality and Morbidity (VCCAMM) during the period 2015–17. This included 110 cases classified as anaesthesia-related mortality and morbidity. The report emphasises three key overarching themes:</w:t>
      </w:r>
    </w:p>
    <w:p w14:paraId="769BD405" w14:textId="77777777" w:rsidR="00E961B4" w:rsidRDefault="00E961B4" w:rsidP="00E961B4">
      <w:pPr>
        <w:pStyle w:val="Bullet1"/>
      </w:pPr>
      <w:r>
        <w:t>the importance of human factors and organisational safety</w:t>
      </w:r>
    </w:p>
    <w:p w14:paraId="5321BD29" w14:textId="28FD78EB" w:rsidR="00E961B4" w:rsidRDefault="00E961B4" w:rsidP="00E961B4">
      <w:pPr>
        <w:pStyle w:val="Bullet1"/>
      </w:pPr>
      <w:r>
        <w:t>the growth of non-operating-room anaesthesia</w:t>
      </w:r>
    </w:p>
    <w:p w14:paraId="11EC450A" w14:textId="5062C15C" w:rsidR="009169E8" w:rsidRDefault="00E961B4" w:rsidP="00E961B4">
      <w:pPr>
        <w:pStyle w:val="Bullet1"/>
      </w:pPr>
      <w:r>
        <w:t>the value of multidisciplinary shared decision making in perioperative care</w:t>
      </w:r>
    </w:p>
    <w:p w14:paraId="30214250" w14:textId="77777777" w:rsidR="009169E8" w:rsidRDefault="009169E8" w:rsidP="000A4644">
      <w:pPr>
        <w:pStyle w:val="Heading2"/>
      </w:pPr>
      <w:r>
        <w:t>KEY MESSAGES</w:t>
      </w:r>
    </w:p>
    <w:p w14:paraId="06F9BAF4" w14:textId="1F149043" w:rsidR="009169E8" w:rsidRDefault="009169E8" w:rsidP="008E28A3">
      <w:pPr>
        <w:pStyle w:val="DHHSbody"/>
      </w:pPr>
      <w:r>
        <w:t>The key messages to emerge from VCCAMM deliberations were:</w:t>
      </w:r>
    </w:p>
    <w:p w14:paraId="3585C57C" w14:textId="77777777" w:rsidR="009169E8" w:rsidRDefault="009169E8" w:rsidP="00E961B4">
      <w:pPr>
        <w:pStyle w:val="Bullet1"/>
      </w:pPr>
      <w:r>
        <w:t>Perioperative outcomes are becoming increasingly complex.</w:t>
      </w:r>
    </w:p>
    <w:p w14:paraId="67F5EB47" w14:textId="77777777" w:rsidR="009169E8" w:rsidRDefault="009169E8" w:rsidP="00E961B4">
      <w:pPr>
        <w:pStyle w:val="Bullet1"/>
      </w:pPr>
      <w:r>
        <w:t>A more complete understanding of patterns of risk is needed.</w:t>
      </w:r>
    </w:p>
    <w:p w14:paraId="604FFCB3" w14:textId="77777777" w:rsidR="009169E8" w:rsidRDefault="009169E8" w:rsidP="00E961B4">
      <w:pPr>
        <w:pStyle w:val="Bullet1"/>
      </w:pPr>
      <w:r>
        <w:t>The context in which anaesthesia is delivered is changing.</w:t>
      </w:r>
    </w:p>
    <w:p w14:paraId="779E4D2B" w14:textId="77777777" w:rsidR="009169E8" w:rsidRDefault="009169E8" w:rsidP="00E961B4">
      <w:pPr>
        <w:pStyle w:val="Bullet1"/>
      </w:pPr>
      <w:r>
        <w:t>A ‘human factors’ approach remains vital in preventing adverse events.</w:t>
      </w:r>
    </w:p>
    <w:p w14:paraId="0F036B47" w14:textId="77777777" w:rsidR="009169E8" w:rsidRDefault="009169E8" w:rsidP="00E961B4">
      <w:pPr>
        <w:pStyle w:val="Bullet1"/>
      </w:pPr>
      <w:r>
        <w:t>Perioperative multidisciplinary shared decision making is becoming increasingly relevant.</w:t>
      </w:r>
    </w:p>
    <w:p w14:paraId="113731A0" w14:textId="77777777" w:rsidR="009169E8" w:rsidRDefault="009169E8" w:rsidP="00E961B4">
      <w:pPr>
        <w:pStyle w:val="Bullet1"/>
      </w:pPr>
      <w:r>
        <w:t>Perioperative management of patients with obstructive sleep apnoea needs a more consistent approach.</w:t>
      </w:r>
    </w:p>
    <w:p w14:paraId="0D778EC3" w14:textId="77777777" w:rsidR="009169E8" w:rsidRDefault="009169E8" w:rsidP="00BB165F">
      <w:pPr>
        <w:pStyle w:val="Bullet1"/>
      </w:pPr>
      <w:r>
        <w:t>Supporting communication with patients from culturally and linguistically diverse (CALD) backgrounds requires practical point-of-care tools.</w:t>
      </w:r>
    </w:p>
    <w:p w14:paraId="3EAC74D4" w14:textId="77777777" w:rsidR="009169E8" w:rsidRDefault="009169E8" w:rsidP="008E28A3">
      <w:pPr>
        <w:pStyle w:val="DHHSbody"/>
      </w:pPr>
      <w:r>
        <w:t>These key messages have led to the following recommendations by VCCAMM.</w:t>
      </w:r>
    </w:p>
    <w:p w14:paraId="2D693727" w14:textId="77777777" w:rsidR="009169E8" w:rsidRDefault="009169E8" w:rsidP="000A4644">
      <w:pPr>
        <w:pStyle w:val="Heading2"/>
      </w:pPr>
      <w:r>
        <w:t>RECOMMENDATIONS</w:t>
      </w:r>
    </w:p>
    <w:p w14:paraId="3875AAC3" w14:textId="77777777" w:rsidR="009169E8" w:rsidRDefault="009169E8" w:rsidP="00BB165F">
      <w:pPr>
        <w:pStyle w:val="Heading3"/>
      </w:pPr>
      <w:r>
        <w:t>Recommendation 1: Strengthening perioperative outcome review</w:t>
      </w:r>
    </w:p>
    <w:p w14:paraId="1524BB48" w14:textId="77777777" w:rsidR="009169E8" w:rsidRDefault="009169E8" w:rsidP="008E28A3">
      <w:pPr>
        <w:pStyle w:val="DHHSbody"/>
      </w:pPr>
      <w:r>
        <w:t>Council recommends a more multidisciplinary and shared learning approach to perioperative outcome reviews to enable more strategic system recommendations, with a stronger focus on human factors, organisational safety and consideration of patient-centred outcomes.</w:t>
      </w:r>
    </w:p>
    <w:p w14:paraId="3D3174BA" w14:textId="77777777" w:rsidR="009169E8" w:rsidRDefault="009169E8" w:rsidP="00BB165F">
      <w:pPr>
        <w:pStyle w:val="Heading3"/>
      </w:pPr>
      <w:r>
        <w:t>Recommendation 2: Supporting targeted perioperative outcome review</w:t>
      </w:r>
    </w:p>
    <w:p w14:paraId="2D57C68F" w14:textId="77777777" w:rsidR="009169E8" w:rsidRDefault="009169E8" w:rsidP="008E28A3">
      <w:pPr>
        <w:pStyle w:val="DHHSbody"/>
      </w:pPr>
      <w:r>
        <w:t>Council recommends considering targeted reviews of selected perioperative events and outcomes over defined time periods to facilitate a more complete understanding of incidence and contributing factors for priority areas of concern. This will enable more strategic recommendations at the state level.</w:t>
      </w:r>
    </w:p>
    <w:p w14:paraId="1B691E43" w14:textId="77777777" w:rsidR="009169E8" w:rsidRDefault="009169E8" w:rsidP="00BB165F">
      <w:pPr>
        <w:pStyle w:val="Heading3"/>
      </w:pPr>
      <w:r>
        <w:t xml:space="preserve">Recommendation 3: Improving our understanding of perioperative anaphylaxis </w:t>
      </w:r>
    </w:p>
    <w:p w14:paraId="2ABAC0AA" w14:textId="72EF195A" w:rsidR="009169E8" w:rsidRDefault="009169E8" w:rsidP="008E28A3">
      <w:pPr>
        <w:pStyle w:val="DHHSbody"/>
      </w:pPr>
      <w:r>
        <w:t>Council recommends consideration be given to either extending mandatory anaphylaxis reporting in Victoria to include perioperative anaphylaxis or conducting a targeted audit of perioperative anaphylaxis.</w:t>
      </w:r>
    </w:p>
    <w:p w14:paraId="597E08CE" w14:textId="77777777" w:rsidR="009169E8" w:rsidRDefault="009169E8" w:rsidP="00BB165F">
      <w:pPr>
        <w:pStyle w:val="Heading3"/>
      </w:pPr>
      <w:r>
        <w:t>Recommendation 4: Monitoring outcomes in a changing anaesthesia context</w:t>
      </w:r>
    </w:p>
    <w:p w14:paraId="5324B8E0" w14:textId="77777777" w:rsidR="009169E8" w:rsidRDefault="009169E8" w:rsidP="008E28A3">
      <w:pPr>
        <w:pStyle w:val="DHHSbody"/>
      </w:pPr>
      <w:r>
        <w:t>Council recommends that monitoring and assessing anaesthesia-related outcomes in the broader and rapidly growing context of non-operating-room anaesthesia and procedural sedation is an integral part of an evolving governance approach to a changing anaesthesia context.</w:t>
      </w:r>
    </w:p>
    <w:p w14:paraId="42D554BF" w14:textId="59AC88AE" w:rsidR="009169E8" w:rsidRDefault="009169E8" w:rsidP="00BB165F">
      <w:pPr>
        <w:pStyle w:val="Heading3"/>
      </w:pPr>
      <w:r>
        <w:t>Recommendation 5: Driving a ‘human factors’ approach in perioperative care</w:t>
      </w:r>
    </w:p>
    <w:p w14:paraId="0D210865" w14:textId="77777777" w:rsidR="009169E8" w:rsidRDefault="009169E8" w:rsidP="008E28A3">
      <w:pPr>
        <w:pStyle w:val="DHHSbody"/>
      </w:pPr>
      <w:r>
        <w:t>Council recommends that Safer Care Victoria supports greater education, training and implementation of ‘human factors’ principles in the Victorian health sector, particularly in relation to multidisciplinary perioperative care.</w:t>
      </w:r>
    </w:p>
    <w:p w14:paraId="474BB879" w14:textId="77777777" w:rsidR="009169E8" w:rsidRDefault="009169E8" w:rsidP="00BB165F">
      <w:pPr>
        <w:pStyle w:val="Heading3"/>
      </w:pPr>
      <w:r>
        <w:lastRenderedPageBreak/>
        <w:t>Recommendation 6: Facilitating perioperative multidisciplinary shared decision making</w:t>
      </w:r>
    </w:p>
    <w:p w14:paraId="3EF0D31F" w14:textId="77777777" w:rsidR="009169E8" w:rsidRDefault="009169E8" w:rsidP="008E28A3">
      <w:pPr>
        <w:pStyle w:val="DHHSbody"/>
      </w:pPr>
      <w:r>
        <w:t>Council recommends that Safer Care Victoria explores with Victorian hospitals how systems and processes can be implemented to better support perioperative, multidisciplinary and informed shared decision making for surgical patients with complex medical problems, particularly the elderly.</w:t>
      </w:r>
    </w:p>
    <w:p w14:paraId="37E02BF2" w14:textId="77777777" w:rsidR="009169E8" w:rsidRDefault="009169E8" w:rsidP="00BB165F">
      <w:pPr>
        <w:pStyle w:val="Heading3"/>
      </w:pPr>
      <w:r>
        <w:t>Recommendation 7: Guiding consistent perioperative care for obstructive sleep apnoea</w:t>
      </w:r>
    </w:p>
    <w:p w14:paraId="2E02BB08" w14:textId="4B046622" w:rsidR="009169E8" w:rsidRDefault="009169E8" w:rsidP="008E28A3">
      <w:pPr>
        <w:pStyle w:val="DHHSbody"/>
      </w:pPr>
      <w:r>
        <w:t xml:space="preserve">Council recommends developing a </w:t>
      </w:r>
      <w:proofErr w:type="spellStart"/>
      <w:r>
        <w:t>statewide</w:t>
      </w:r>
      <w:proofErr w:type="spellEnd"/>
      <w:r>
        <w:t xml:space="preserve"> set of principles to guide and support a more consistent approach to the perioperative care of patients with diagnosed or suspected obstructive sleep apnoea to reduce the risk of postoperative complications.</w:t>
      </w:r>
    </w:p>
    <w:p w14:paraId="39CDECC3" w14:textId="77777777" w:rsidR="009169E8" w:rsidRDefault="009169E8" w:rsidP="00BB165F">
      <w:pPr>
        <w:pStyle w:val="Heading3"/>
      </w:pPr>
      <w:r>
        <w:t>Recommendation 8: Supporting patients from culturally and linguistically diverse (CALD) backgrounds</w:t>
      </w:r>
    </w:p>
    <w:p w14:paraId="32E97EB5" w14:textId="5B6F3C27" w:rsidR="009169E8" w:rsidRDefault="009169E8" w:rsidP="008E28A3">
      <w:pPr>
        <w:pStyle w:val="DHHSbody"/>
      </w:pPr>
      <w:r>
        <w:t>Council recommends that Safer Care Victoria explores existing and new opportunities with health services to develop practical point of care tools to facilitate greater communication between patients from culturally and linguistically diverse (CALD) backgrounds and their healthcare providers across the perioperative period.</w:t>
      </w:r>
    </w:p>
    <w:p w14:paraId="42AEB5C7" w14:textId="77777777" w:rsidR="009169E8" w:rsidRDefault="009169E8" w:rsidP="000104F5">
      <w:pPr>
        <w:pStyle w:val="Heading1"/>
      </w:pPr>
      <w:bookmarkStart w:id="5" w:name="_Toc20234274"/>
      <w:r>
        <w:lastRenderedPageBreak/>
        <w:t>About this report</w:t>
      </w:r>
      <w:bookmarkEnd w:id="5"/>
    </w:p>
    <w:p w14:paraId="30DC038B" w14:textId="77777777" w:rsidR="009169E8" w:rsidRDefault="009169E8" w:rsidP="000A4644">
      <w:pPr>
        <w:pStyle w:val="Heading2"/>
      </w:pPr>
      <w:r>
        <w:t>PURPOSE</w:t>
      </w:r>
    </w:p>
    <w:p w14:paraId="0380AF03" w14:textId="77777777" w:rsidR="009169E8" w:rsidRDefault="009169E8" w:rsidP="008E28A3">
      <w:pPr>
        <w:pStyle w:val="DHHSbody"/>
      </w:pPr>
      <w:r>
        <w:t>This report provides an analysis of anaesthesia-related mortality and morbidity from cases referred to the Victorian Consultative Council on Anaesthetic Mortality and Morbidity (VCCAMM or ‘the council’) during 2015–2017. The analysis is derived from council deliberations undertaken after collating the submitted written report and any additional information required to add value to the findings.</w:t>
      </w:r>
    </w:p>
    <w:p w14:paraId="7AC6AC73" w14:textId="77777777" w:rsidR="009169E8" w:rsidRDefault="009169E8" w:rsidP="008E28A3">
      <w:pPr>
        <w:pStyle w:val="DHHSbody"/>
      </w:pPr>
      <w:r>
        <w:t>Centralised collation and analysis help identify common factors and opportunities to improve anaesthetic and perioperative care for what are often infrequent but significant events.</w:t>
      </w:r>
    </w:p>
    <w:p w14:paraId="32D2B7FB" w14:textId="3F9A7534" w:rsidR="009169E8" w:rsidRDefault="009169E8" w:rsidP="008E28A3">
      <w:pPr>
        <w:pStyle w:val="DHHSbody"/>
      </w:pPr>
      <w:r>
        <w:t>The primary purpose of the report is to inform Victorian anaesthetists and healthcare providers about clinical and system issues emerging from these referred cases. As the first VCCAMM report (1977–1982) noted, the council aims to provide:</w:t>
      </w:r>
    </w:p>
    <w:p w14:paraId="4A2E5565" w14:textId="4B27B25C" w:rsidR="009169E8" w:rsidRDefault="006201D8" w:rsidP="008E28A3">
      <w:pPr>
        <w:pStyle w:val="DHHSbody"/>
      </w:pPr>
      <w:r>
        <w:t>‘in one place, a summary of serious morbidity for the information of all practitioners.’</w:t>
      </w:r>
    </w:p>
    <w:p w14:paraId="6E8ECFE4" w14:textId="77777777" w:rsidR="009169E8" w:rsidRDefault="009169E8" w:rsidP="008E28A3">
      <w:pPr>
        <w:pStyle w:val="DHHSbody"/>
      </w:pPr>
      <w:r>
        <w:t>Voluntary reporting means that many cases have most likely been referred by anaesthetists because of their recognised value in sharing learnings with other colleagues. The ‘Clinical themes’ section of the report has been prepared with this in mind. Key messages summarise salient points from the aggregated cases, while practice points reflect more specific learning outcomes derived from the cases and often raised by a referring anaesthetist. Neither is meant to replace individual clinical judgement or advice in consensus guidelines. We hope this section may be of particular interest and value to trainees.</w:t>
      </w:r>
    </w:p>
    <w:p w14:paraId="27F69C8E" w14:textId="55637B16" w:rsidR="009169E8" w:rsidRDefault="009169E8" w:rsidP="006201D8">
      <w:pPr>
        <w:pStyle w:val="DHHSbody"/>
      </w:pPr>
      <w:r>
        <w:t>The classification of mortality and morbidity events as anaesthesia-related remains a subjective judgement based on council consensus opinion. A description of the definitions, classification system, event categories and preventability scoring is provided in the appendix.</w:t>
      </w:r>
    </w:p>
    <w:p w14:paraId="3AE0CA6E" w14:textId="77777777" w:rsidR="009169E8" w:rsidRDefault="009169E8" w:rsidP="000A4644">
      <w:pPr>
        <w:pStyle w:val="Heading2"/>
      </w:pPr>
      <w:r>
        <w:t xml:space="preserve">DEVELOPMENTS IN THE </w:t>
      </w:r>
      <w:r w:rsidRPr="00790927">
        <w:rPr>
          <w:color w:val="0063A5"/>
        </w:rPr>
        <w:t>2015</w:t>
      </w:r>
      <w:r>
        <w:t>–2017 TRIENNIUM</w:t>
      </w:r>
    </w:p>
    <w:p w14:paraId="5CC2A571" w14:textId="77777777" w:rsidR="009169E8" w:rsidRDefault="009169E8" w:rsidP="008E28A3">
      <w:pPr>
        <w:pStyle w:val="DHHSbody"/>
      </w:pPr>
      <w:r>
        <w:t>The 2015–2017 triennium saw a number of changes in the VCCAMM structure and processes including:</w:t>
      </w:r>
    </w:p>
    <w:p w14:paraId="3251C4D5" w14:textId="77777777" w:rsidR="009169E8" w:rsidRDefault="009169E8" w:rsidP="00E961B4">
      <w:pPr>
        <w:pStyle w:val="Bullet1"/>
      </w:pPr>
      <w:r>
        <w:t>appointment of a new council and establishment of the Case Review Subcommittee</w:t>
      </w:r>
    </w:p>
    <w:p w14:paraId="05F8DE9F" w14:textId="77777777" w:rsidR="009169E8" w:rsidRDefault="009169E8" w:rsidP="00E961B4">
      <w:pPr>
        <w:pStyle w:val="Bullet1"/>
      </w:pPr>
      <w:r>
        <w:t>enhanced multidisciplinary representation, including much-valued consumer representation on both the council and Case Review Subcommittee – this has greatly broadened the council’s focus regarding opportunities for improving anaesthetic and perioperative care</w:t>
      </w:r>
    </w:p>
    <w:p w14:paraId="378138ED" w14:textId="77777777" w:rsidR="009169E8" w:rsidRDefault="009169E8" w:rsidP="00E961B4">
      <w:pPr>
        <w:pStyle w:val="Bullet1"/>
      </w:pPr>
      <w:r>
        <w:t>collaboration with the Victorian Audit of Surgical Mortality in 2016, increasing the council’s ability to identify possible anaesthesia-related mortality</w:t>
      </w:r>
    </w:p>
    <w:p w14:paraId="7371BAA8" w14:textId="77777777" w:rsidR="009169E8" w:rsidRDefault="009169E8" w:rsidP="00BB165F">
      <w:pPr>
        <w:pStyle w:val="Bullet1"/>
      </w:pPr>
      <w:r>
        <w:t>introduction of an online reporting form, facilitating more timely and complete referral submissions.</w:t>
      </w:r>
    </w:p>
    <w:p w14:paraId="7ED2A57F" w14:textId="51021C77" w:rsidR="009169E8" w:rsidRDefault="009169E8" w:rsidP="00790927">
      <w:pPr>
        <w:pStyle w:val="DHHSbody"/>
      </w:pPr>
      <w:r>
        <w:t xml:space="preserve">In 2018, the council also participated in a Safer Care Victoria review of the VCCAMM and the Victorian Surgical Consultative Council. This was a significant and welcomed opportunity to review past achievements, revisit objectives in a changing healthcare context and consider opportunities to strengthen perioperative outcome review in Victoria. The Victorian Perioperative Consultative Council Report, arising from this review is available </w:t>
      </w:r>
      <w:r w:rsidR="00790927">
        <w:t xml:space="preserve">on the </w:t>
      </w:r>
      <w:hyperlink r:id="rId22" w:history="1">
        <w:r w:rsidR="00790927" w:rsidRPr="00790927">
          <w:rPr>
            <w:rStyle w:val="Hyperlink"/>
            <w:color w:val="0063A5"/>
            <w:u w:val="single"/>
          </w:rPr>
          <w:t>Safer Care Victoria website</w:t>
        </w:r>
      </w:hyperlink>
      <w:r>
        <w:t xml:space="preserve"> </w:t>
      </w:r>
      <w:r w:rsidR="00790927" w:rsidRPr="00790927">
        <w:rPr>
          <w:color w:val="000000" w:themeColor="text1"/>
        </w:rPr>
        <w:t>&lt;</w:t>
      </w:r>
      <w:r w:rsidRPr="00790927">
        <w:rPr>
          <w:color w:val="000000" w:themeColor="text1"/>
        </w:rPr>
        <w:t>https://www.bettersafercare.vic.gov.au/reports-and-publications/the-victorian-perioperative-consultative-council-report</w:t>
      </w:r>
      <w:r w:rsidR="00790927" w:rsidRPr="00790927">
        <w:rPr>
          <w:color w:val="000000" w:themeColor="text1"/>
        </w:rPr>
        <w:t>&gt;</w:t>
      </w:r>
    </w:p>
    <w:p w14:paraId="7223E601" w14:textId="77777777" w:rsidR="009169E8" w:rsidRDefault="009169E8" w:rsidP="000A4644">
      <w:pPr>
        <w:pStyle w:val="Heading2"/>
      </w:pPr>
      <w:r>
        <w:t>PERIOPERATIVE OUTCOMES ARE BECOMING INCREASINGLY COMPLEX</w:t>
      </w:r>
    </w:p>
    <w:p w14:paraId="663BB1B7" w14:textId="77777777" w:rsidR="009169E8" w:rsidRDefault="009169E8" w:rsidP="008E28A3">
      <w:pPr>
        <w:pStyle w:val="DHHSbody"/>
      </w:pPr>
      <w:r>
        <w:t>This triennium, referrals to VCCAMM notably included events occurring/unfolding across the perioperative period as well as intraoperative events related specifically to anaesthesia.</w:t>
      </w:r>
    </w:p>
    <w:p w14:paraId="1B1DB557" w14:textId="77777777" w:rsidR="009169E8" w:rsidRDefault="009169E8" w:rsidP="008E28A3">
      <w:pPr>
        <w:pStyle w:val="DHHSbody"/>
      </w:pPr>
      <w:r>
        <w:t xml:space="preserve">It is now well understood that perioperative outcomes are multifactorial in nature, influenced by patient factors (including age, comorbidities and functional status), the quality and effectiveness of multidisciplinary perioperative care, organisational factors and other causes of variation (Minto &amp; </w:t>
      </w:r>
      <w:proofErr w:type="spellStart"/>
      <w:r>
        <w:t>Biccard</w:t>
      </w:r>
      <w:proofErr w:type="spellEnd"/>
      <w:r>
        <w:t>, 2014).</w:t>
      </w:r>
    </w:p>
    <w:p w14:paraId="5DC287BF" w14:textId="6475E071" w:rsidR="009169E8" w:rsidRDefault="009169E8" w:rsidP="008E28A3">
      <w:pPr>
        <w:pStyle w:val="DHHSbody"/>
      </w:pPr>
      <w:r>
        <w:lastRenderedPageBreak/>
        <w:t>This multifactorial influence was apparent in many of the cases reported to the VCCAMM this triennium and highlights the importance of considering anaesthesia-related mortality and morbidity within a broader context of perioperative outcomes.</w:t>
      </w:r>
    </w:p>
    <w:p w14:paraId="516D5A1D" w14:textId="1E5022BA" w:rsidR="00E4382A" w:rsidRDefault="00E4382A" w:rsidP="008E28A3">
      <w:pPr>
        <w:pStyle w:val="DHHSbody"/>
      </w:pPr>
      <w:r w:rsidRPr="00E4382A">
        <w:t>[Break out box text:</w:t>
      </w:r>
    </w:p>
    <w:p w14:paraId="31FFF92E" w14:textId="77777777" w:rsidR="00E4382A" w:rsidRPr="00E4382A" w:rsidRDefault="00E4382A" w:rsidP="00E4382A">
      <w:pPr>
        <w:pStyle w:val="Heading3"/>
      </w:pPr>
      <w:r w:rsidRPr="00E4382A">
        <w:t>Recommendation 1: Strengthening perioperative outcome review</w:t>
      </w:r>
    </w:p>
    <w:p w14:paraId="44072517" w14:textId="77777777" w:rsidR="00E4382A" w:rsidRPr="00E4382A" w:rsidRDefault="00E4382A" w:rsidP="00E4382A">
      <w:pPr>
        <w:pStyle w:val="DHHSbody"/>
      </w:pPr>
      <w:r w:rsidRPr="00E4382A">
        <w:t>Council recommends a more multidisciplinary and shared learning approach to perioperative outcome reviews to enable more strategic system recommendations, with a stronger focus on human factors, organisational safety and consideration of patient-centred outcomes.</w:t>
      </w:r>
    </w:p>
    <w:p w14:paraId="01CFD162" w14:textId="6BBF915D" w:rsidR="009169E8" w:rsidRDefault="00E4382A" w:rsidP="00E4382A">
      <w:pPr>
        <w:pStyle w:val="DHHSbody"/>
      </w:pPr>
      <w:r w:rsidRPr="00E4382A">
        <w:t>Greater knowledge about the organisational context in which reported events occur and the outcomes of organisational-level adverse event reviews would strengthen such an approach.</w:t>
      </w:r>
    </w:p>
    <w:p w14:paraId="2F389EA3" w14:textId="744A42E4" w:rsidR="00E4382A" w:rsidRPr="00E4382A" w:rsidRDefault="00E4382A" w:rsidP="00E4382A">
      <w:pPr>
        <w:pStyle w:val="DHHSbody"/>
      </w:pPr>
      <w:r w:rsidRPr="00E4382A">
        <w:t>End of break out box text.]</w:t>
      </w:r>
    </w:p>
    <w:p w14:paraId="4A332336" w14:textId="77777777" w:rsidR="009169E8" w:rsidRDefault="009169E8" w:rsidP="000A4644">
      <w:pPr>
        <w:pStyle w:val="Heading2"/>
      </w:pPr>
      <w:r>
        <w:t>A MORE COMPLETE UNDERSTANDING OF PATTERNS OF RISK IS NEEDED</w:t>
      </w:r>
    </w:p>
    <w:p w14:paraId="26DAAA8E" w14:textId="0350EFAC" w:rsidR="009169E8" w:rsidRDefault="009169E8" w:rsidP="008E28A3">
      <w:pPr>
        <w:pStyle w:val="DHHSbody"/>
      </w:pPr>
      <w:r>
        <w:t>Dependence on voluntary reporting limits the council’s ability to identify important patterns of risk and strategic opportunities for improvement at the state level.</w:t>
      </w:r>
    </w:p>
    <w:p w14:paraId="53075281" w14:textId="17B593B6" w:rsidR="00E4382A" w:rsidRDefault="00E4382A" w:rsidP="008E28A3">
      <w:pPr>
        <w:pStyle w:val="DHHSbody"/>
      </w:pPr>
      <w:r w:rsidRPr="00E4382A">
        <w:t>[Break out box text:</w:t>
      </w:r>
    </w:p>
    <w:p w14:paraId="0405C336" w14:textId="77777777" w:rsidR="00E4382A" w:rsidRPr="00E4382A" w:rsidRDefault="00E4382A" w:rsidP="00E4382A">
      <w:pPr>
        <w:pStyle w:val="Heading3"/>
      </w:pPr>
      <w:r w:rsidRPr="00E4382A">
        <w:t>Recommendation 2: Supporting targeted perioperative outcome review</w:t>
      </w:r>
    </w:p>
    <w:p w14:paraId="4D56778C" w14:textId="6C1E9846" w:rsidR="009169E8" w:rsidRDefault="00E4382A" w:rsidP="00E4382A">
      <w:pPr>
        <w:pStyle w:val="DHHSbody"/>
      </w:pPr>
      <w:r w:rsidRPr="00E4382A">
        <w:t>Council recommends considering targeted reviews of selected perioperative events and outcomes over defined time periods to facilitate a more complete understanding of incidence and contributing factors for priority areas of concern. This will enable more strategic recommendations at the state level.</w:t>
      </w:r>
    </w:p>
    <w:p w14:paraId="093526B4" w14:textId="4F8D72FF" w:rsidR="009169E8" w:rsidRDefault="00E4382A" w:rsidP="008E28A3">
      <w:pPr>
        <w:pStyle w:val="DHHSbody"/>
      </w:pPr>
      <w:r w:rsidRPr="00E4382A">
        <w:t>End of break out box text.]</w:t>
      </w:r>
    </w:p>
    <w:p w14:paraId="571A8FFF" w14:textId="19304D02" w:rsidR="009169E8" w:rsidRDefault="009169E8" w:rsidP="008E28A3">
      <w:pPr>
        <w:pStyle w:val="DHHSbody"/>
      </w:pPr>
      <w:r>
        <w:t>Perioperative anaphylaxis is an important example where incomplete information about the incidence, predisposing factors, triggering factors and clinical care outcomes limits the council’s ability to make specific recommendations about this significant cause of anaesthesia-related mortality and morbidity.</w:t>
      </w:r>
    </w:p>
    <w:p w14:paraId="3EEA6213" w14:textId="7ED49797" w:rsidR="00E4382A" w:rsidRDefault="00E4382A" w:rsidP="008E28A3">
      <w:pPr>
        <w:pStyle w:val="DHHSbody"/>
      </w:pPr>
      <w:r w:rsidRPr="00E4382A">
        <w:t>[Break out box text:</w:t>
      </w:r>
    </w:p>
    <w:p w14:paraId="58AE20A0" w14:textId="77777777" w:rsidR="00E4382A" w:rsidRPr="00E4382A" w:rsidRDefault="00E4382A" w:rsidP="00E4382A">
      <w:pPr>
        <w:pStyle w:val="Heading3"/>
      </w:pPr>
      <w:r w:rsidRPr="00E4382A">
        <w:rPr>
          <w:rStyle w:val="GovernementBluebullet"/>
          <w:color w:val="000000" w:themeColor="text1"/>
        </w:rPr>
        <w:t>Recommendation</w:t>
      </w:r>
      <w:r w:rsidRPr="00E4382A">
        <w:t xml:space="preserve"> 3: Improving our understanding of perioperative anaphylaxis</w:t>
      </w:r>
    </w:p>
    <w:p w14:paraId="2B2680A1" w14:textId="6D07062A" w:rsidR="00E4382A" w:rsidRPr="00E4382A" w:rsidRDefault="00E4382A" w:rsidP="00E4382A">
      <w:pPr>
        <w:pStyle w:val="DHHSbody"/>
      </w:pPr>
      <w:r w:rsidRPr="00E4382A">
        <w:t>Council recommends consideration be given to either extending mandatory anaphylaxis reporting in Victoria to include perioperative anaphylaxis or conducting a targeted audit of perioperative anaphylaxis.</w:t>
      </w:r>
    </w:p>
    <w:p w14:paraId="7F21668B" w14:textId="41845B30" w:rsidR="00E4382A" w:rsidRPr="00E4382A" w:rsidRDefault="00E4382A" w:rsidP="00E4382A">
      <w:pPr>
        <w:pStyle w:val="DHHSbody"/>
      </w:pPr>
      <w:r w:rsidRPr="00E4382A">
        <w:t>This would improve understanding of the incidence, predisposing factors, triggering agents and clinical care outcomes for this adverse event, which continues to be a significant cause of anaesthesia-related mortality and morbidity, including in otherwise healthy individuals.</w:t>
      </w:r>
    </w:p>
    <w:p w14:paraId="036F137C" w14:textId="3F67DC54" w:rsidR="009169E8" w:rsidRDefault="00E4382A" w:rsidP="00E4382A">
      <w:pPr>
        <w:pStyle w:val="DHHSbody"/>
      </w:pPr>
      <w:r w:rsidRPr="00E4382A">
        <w:t>An enhanced understanding will help identify ongoing research opportunities and specific areas where clinical practice change may reduce risk and/or improve outcomes.</w:t>
      </w:r>
    </w:p>
    <w:p w14:paraId="574B3FEE" w14:textId="1496797E" w:rsidR="009169E8" w:rsidRDefault="00E4382A" w:rsidP="008E28A3">
      <w:pPr>
        <w:pStyle w:val="DHHSbody"/>
      </w:pPr>
      <w:r w:rsidRPr="00E4382A">
        <w:t>End of break out box text.]</w:t>
      </w:r>
    </w:p>
    <w:p w14:paraId="7CE07D07" w14:textId="77777777" w:rsidR="009169E8" w:rsidRDefault="009169E8" w:rsidP="000A4644">
      <w:pPr>
        <w:pStyle w:val="Heading2"/>
      </w:pPr>
      <w:r>
        <w:t>THE CONTEXT IN WHICH ANAESTHESIA IS DELIVERED IS CHANGING</w:t>
      </w:r>
    </w:p>
    <w:p w14:paraId="4B296124" w14:textId="77777777" w:rsidR="009169E8" w:rsidRDefault="009169E8" w:rsidP="008E28A3">
      <w:pPr>
        <w:pStyle w:val="DHHSbody"/>
      </w:pPr>
      <w:r>
        <w:t>Anaesthesia (including general anaesthesia, major regional blocks, intravenous sedation and local anaesthesia with potential to cause systemic toxicity) is increasingly being provided in non-traditional locations for a growing range of non-surgical disciplines and procedures, and by a range of providers (not always anaesthetists). This broader context is not reliably covered in the current council’s voluntary reporting processes.</w:t>
      </w:r>
    </w:p>
    <w:p w14:paraId="0D8075A0" w14:textId="77777777" w:rsidR="009169E8" w:rsidRDefault="009169E8" w:rsidP="008E28A3">
      <w:pPr>
        <w:pStyle w:val="DHHSbody"/>
      </w:pPr>
      <w:r>
        <w:t>This changing context and growth of non-operating-room anaesthesia inherently brings with it:</w:t>
      </w:r>
    </w:p>
    <w:p w14:paraId="142D42E9" w14:textId="0DAB29DD" w:rsidR="009169E8" w:rsidRDefault="009169E8" w:rsidP="00E961B4">
      <w:pPr>
        <w:pStyle w:val="Bullet1"/>
      </w:pPr>
      <w:r>
        <w:t>new multidisciplinary teams</w:t>
      </w:r>
    </w:p>
    <w:p w14:paraId="276C9892" w14:textId="77777777" w:rsidR="009169E8" w:rsidRDefault="009169E8" w:rsidP="00E961B4">
      <w:pPr>
        <w:pStyle w:val="Bullet1"/>
      </w:pPr>
      <w:r>
        <w:t>new environments and facilities</w:t>
      </w:r>
    </w:p>
    <w:p w14:paraId="0C25EE29" w14:textId="77777777" w:rsidR="009169E8" w:rsidRDefault="009169E8" w:rsidP="00E961B4">
      <w:pPr>
        <w:pStyle w:val="Bullet1"/>
      </w:pPr>
      <w:r>
        <w:lastRenderedPageBreak/>
        <w:t>new workflows</w:t>
      </w:r>
    </w:p>
    <w:p w14:paraId="262E5B8F" w14:textId="77777777" w:rsidR="009169E8" w:rsidRDefault="009169E8" w:rsidP="00BB165F">
      <w:pPr>
        <w:pStyle w:val="Bullet1"/>
      </w:pPr>
      <w:r>
        <w:t>new clinical scenarios.</w:t>
      </w:r>
    </w:p>
    <w:p w14:paraId="24560539" w14:textId="0E7C69D8" w:rsidR="009169E8" w:rsidRDefault="009169E8" w:rsidP="008E28A3">
      <w:pPr>
        <w:pStyle w:val="DHHSbody"/>
      </w:pPr>
      <w:r>
        <w:t>Risk assessment considerations around providing procedural sedation and anaesthesia in non-operating-room locations are essential, including assessment of facilities, staffing, training, equipment, workflows and emergency response needs. This includes the recovery period.</w:t>
      </w:r>
    </w:p>
    <w:p w14:paraId="13131F25" w14:textId="77777777" w:rsidR="009169E8" w:rsidRDefault="009169E8" w:rsidP="008E28A3">
      <w:pPr>
        <w:pStyle w:val="DHHSbody"/>
      </w:pPr>
      <w:r>
        <w:t>Council notes recent developments in this space including:</w:t>
      </w:r>
    </w:p>
    <w:p w14:paraId="5F9E9433" w14:textId="77777777" w:rsidR="009169E8" w:rsidRDefault="009169E8" w:rsidP="00E961B4">
      <w:pPr>
        <w:pStyle w:val="Bullet1"/>
      </w:pPr>
      <w:r>
        <w:t>the Health Services (Private Hospitals and Day Procedure Centres) Amendment Regulations 2018 (‘the 2018 regulations’), which came into effect on 1 July 2018</w:t>
      </w:r>
    </w:p>
    <w:p w14:paraId="61A8467C" w14:textId="3CC8735E" w:rsidR="009169E8" w:rsidRDefault="009169E8" w:rsidP="00BB165F">
      <w:pPr>
        <w:pStyle w:val="Bullet1"/>
      </w:pPr>
      <w:r>
        <w:t>an initiative led by the Australian and New Zealand College of Anaesthetists (ANZCA) with stakeholders (medical, nursing and dental practitioner groups and colleges) to develop a set of safe procedural sedation competencies for training programs (ANZCA, 2019).</w:t>
      </w:r>
    </w:p>
    <w:p w14:paraId="70FEAC32" w14:textId="5DBC1928" w:rsidR="00E4382A" w:rsidRPr="00E4382A" w:rsidRDefault="00E4382A" w:rsidP="00E4382A">
      <w:pPr>
        <w:pStyle w:val="DHHSbody"/>
      </w:pPr>
      <w:r w:rsidRPr="00E4382A">
        <w:t>[Break out box text:</w:t>
      </w:r>
    </w:p>
    <w:p w14:paraId="2AE2F8CF" w14:textId="77777777" w:rsidR="00E4382A" w:rsidRPr="00E4382A" w:rsidRDefault="00E4382A" w:rsidP="00E4382A">
      <w:pPr>
        <w:pStyle w:val="Heading3"/>
      </w:pPr>
      <w:r w:rsidRPr="00E4382A">
        <w:t xml:space="preserve">Recommendation 4: Monitoring outcomes in a </w:t>
      </w:r>
      <w:r w:rsidRPr="00E4382A">
        <w:rPr>
          <w:rStyle w:val="GovernementBluebullet"/>
          <w:color w:val="000000" w:themeColor="text1"/>
        </w:rPr>
        <w:t>changing</w:t>
      </w:r>
      <w:r w:rsidRPr="00E4382A">
        <w:t xml:space="preserve"> anaesthesia context</w:t>
      </w:r>
    </w:p>
    <w:p w14:paraId="606FD5EB" w14:textId="77777777" w:rsidR="00E4382A" w:rsidRPr="00E4382A" w:rsidRDefault="00E4382A" w:rsidP="00E4382A">
      <w:pPr>
        <w:pStyle w:val="DHHSbody"/>
      </w:pPr>
      <w:r w:rsidRPr="00E4382A">
        <w:t>Council fully supports steps to improve the safety of procedural sedation and anaesthesia that encompass non-traditional procedure locations and providers both within and outside of hospital environments and that consider facilities, staffing, training, equipment, workflows and emergency response needs.</w:t>
      </w:r>
    </w:p>
    <w:p w14:paraId="5EBACDE2" w14:textId="3D6E8578" w:rsidR="009169E8" w:rsidRDefault="00E4382A" w:rsidP="00E4382A">
      <w:pPr>
        <w:pStyle w:val="DHHSbody"/>
      </w:pPr>
      <w:r w:rsidRPr="00E4382A">
        <w:t>Council recommends that monitoring and assessing anaesthesia-related outcomes in the broader and rapidly growing context of non-operating-room anaesthesia and procedural sedation is an integral part of an evolving governance approach to a changing anaesthesia context.</w:t>
      </w:r>
    </w:p>
    <w:p w14:paraId="3F7942EC" w14:textId="0E89B50F" w:rsidR="009169E8" w:rsidRDefault="00E4382A" w:rsidP="008E28A3">
      <w:pPr>
        <w:pStyle w:val="DHHSbody"/>
      </w:pPr>
      <w:r w:rsidRPr="00E4382A">
        <w:t>End of break out box text.]</w:t>
      </w:r>
    </w:p>
    <w:p w14:paraId="2A094030" w14:textId="77777777" w:rsidR="009169E8" w:rsidRDefault="009169E8" w:rsidP="000A4644">
      <w:pPr>
        <w:pStyle w:val="Heading2"/>
      </w:pPr>
      <w:r>
        <w:t>A ‘HUMAN FACTORS’ APPROACH IS VITAL IN PREVENTING ADVERSE EVENTS</w:t>
      </w:r>
    </w:p>
    <w:p w14:paraId="3FF02CDB" w14:textId="77777777" w:rsidR="009169E8" w:rsidRDefault="009169E8" w:rsidP="008E28A3">
      <w:pPr>
        <w:pStyle w:val="DHHSbody"/>
      </w:pPr>
      <w:r>
        <w:t>Human factors (interactions between people, procedures, equipment, workflows and the work environment) contributed to many anaesthesia-related events considered as having a greater degree of preventability.</w:t>
      </w:r>
    </w:p>
    <w:p w14:paraId="7BF5A8F8" w14:textId="7A71CC90" w:rsidR="009169E8" w:rsidRDefault="009169E8" w:rsidP="008E28A3">
      <w:pPr>
        <w:pStyle w:val="DHHSbody"/>
      </w:pPr>
      <w:r>
        <w:t>These events highlighted the importance of training in crisis management, use of cognitive aids such as checklists and algorithms at the point of care, and design of workflows, work environments and equipment in reducing the risk of preventable anaesthesia-related mortality and morbidity. Specific areas of concern included the impact of disruptions and distractions during high-risk tasks, the timing and structure of clinical handovers, production pressure and communication between multidisciplinary team members during crisis management.</w:t>
      </w:r>
    </w:p>
    <w:p w14:paraId="1A602303" w14:textId="7AC1A2E0" w:rsidR="009169E8" w:rsidRDefault="009169E8" w:rsidP="008E28A3">
      <w:pPr>
        <w:pStyle w:val="DHHSbody"/>
      </w:pPr>
      <w:r>
        <w:t>Council notes and supports the significant and ongoing work by ANZCA in developing a broad range of education and training materials, as well as point-of-care tools and resources, that address human factors in delivering anaesthetic and perioperative care.</w:t>
      </w:r>
    </w:p>
    <w:p w14:paraId="5FDC90FF" w14:textId="33E4D1DE" w:rsidR="00E4382A" w:rsidRDefault="00E4382A" w:rsidP="008E28A3">
      <w:pPr>
        <w:pStyle w:val="DHHSbody"/>
      </w:pPr>
      <w:r w:rsidRPr="00E4382A">
        <w:t>[Break out box text:</w:t>
      </w:r>
    </w:p>
    <w:p w14:paraId="564AF737" w14:textId="7192613C" w:rsidR="00E4382A" w:rsidRPr="00E4382A" w:rsidRDefault="00E4382A" w:rsidP="00E4382A">
      <w:pPr>
        <w:pStyle w:val="Heading3"/>
      </w:pPr>
      <w:r w:rsidRPr="00E4382A">
        <w:t>Recommendation 5: Driving a ‘human factors’ approach in perioperative care</w:t>
      </w:r>
    </w:p>
    <w:p w14:paraId="14FACF13" w14:textId="77777777" w:rsidR="00E4382A" w:rsidRPr="00E4382A" w:rsidRDefault="00E4382A" w:rsidP="00E4382A">
      <w:pPr>
        <w:pStyle w:val="DHHSbody"/>
      </w:pPr>
      <w:r w:rsidRPr="00E4382A">
        <w:t>Council recommends that Safer Care Victoria supports greater education, training and implementation of ‘human factors’ principles in the Victorian health sector, particularly in relation to multidisciplinary perioperative care.</w:t>
      </w:r>
    </w:p>
    <w:p w14:paraId="1AB2AF9A" w14:textId="74E6DA6D" w:rsidR="009169E8" w:rsidRDefault="00E4382A" w:rsidP="00E4382A">
      <w:pPr>
        <w:pStyle w:val="DHHSbody"/>
      </w:pPr>
      <w:r w:rsidRPr="00E4382A">
        <w:t>An important part of this process is seeking clinician input about the contexts in which perioperative adverse events and near-misses occur. An improved understanding of the factors that influence decision making and performance will inform effective ‘human factor’ solution design.</w:t>
      </w:r>
    </w:p>
    <w:p w14:paraId="54077578" w14:textId="47A0DC2D" w:rsidR="009169E8" w:rsidRDefault="00E4382A" w:rsidP="008E28A3">
      <w:pPr>
        <w:pStyle w:val="DHHSbody"/>
      </w:pPr>
      <w:r w:rsidRPr="00E4382A">
        <w:t>End of break out box text.]</w:t>
      </w:r>
    </w:p>
    <w:p w14:paraId="3D326438" w14:textId="77777777" w:rsidR="009169E8" w:rsidRDefault="009169E8" w:rsidP="000A4644">
      <w:pPr>
        <w:pStyle w:val="Heading2"/>
      </w:pPr>
      <w:r>
        <w:lastRenderedPageBreak/>
        <w:t xml:space="preserve">PERIOPERATIVE MULTIDISCIPLINARY SHARED </w:t>
      </w:r>
      <w:proofErr w:type="gramStart"/>
      <w:r>
        <w:t>DECISION MAKING</w:t>
      </w:r>
      <w:proofErr w:type="gramEnd"/>
      <w:r>
        <w:t xml:space="preserve"> IS BECOMING INCREASINGLY RELEVANT</w:t>
      </w:r>
    </w:p>
    <w:p w14:paraId="513B9A33" w14:textId="77777777" w:rsidR="009169E8" w:rsidRDefault="009169E8" w:rsidP="008E28A3">
      <w:pPr>
        <w:pStyle w:val="DHHSbody"/>
      </w:pPr>
      <w:r>
        <w:t>Patients with complex medical problems presenting for elective or emergency surgery is increasingly common, presenting significant challenges for patients and their families, as well as clinicians. This was strongly reflected in cases classified as category 3 (medical/surgical and anaesthesia factors identified) and category 5 (inevitable deaths).</w:t>
      </w:r>
    </w:p>
    <w:p w14:paraId="769778E8" w14:textId="17A9305D" w:rsidR="009169E8" w:rsidRDefault="009169E8" w:rsidP="008E28A3">
      <w:pPr>
        <w:pStyle w:val="DHHSbody"/>
      </w:pPr>
      <w:r>
        <w:t>Multidisciplinary preoperative assessment by senior clinicians can help inform discussions with patients (and their families or carers) about perioperative risks, treatment options and patient goals of care, helping optimise individual care plans and outcomes and avoiding futile interventions.</w:t>
      </w:r>
    </w:p>
    <w:p w14:paraId="2C064914" w14:textId="6C53FBC0" w:rsidR="009169E8" w:rsidRDefault="009169E8" w:rsidP="008E28A3">
      <w:pPr>
        <w:pStyle w:val="DHHSbody"/>
      </w:pPr>
      <w:r>
        <w:t>Decision making is more difficult in the intraoperative and early postoperative period when such conversations have not occurred or been clearly documented, and a patient’s condition rapidly deteriorates.</w:t>
      </w:r>
    </w:p>
    <w:p w14:paraId="6CEDE73D" w14:textId="57C32F34" w:rsidR="00E4382A" w:rsidRDefault="00E4382A" w:rsidP="008E28A3">
      <w:pPr>
        <w:pStyle w:val="DHHSbody"/>
      </w:pPr>
      <w:r w:rsidRPr="00E4382A">
        <w:t>[Break out box text:</w:t>
      </w:r>
    </w:p>
    <w:p w14:paraId="2F4E511A" w14:textId="77777777" w:rsidR="00E4382A" w:rsidRPr="00E4382A" w:rsidRDefault="00E4382A" w:rsidP="00E4382A">
      <w:pPr>
        <w:pStyle w:val="Heading3"/>
      </w:pPr>
      <w:r w:rsidRPr="00E4382A">
        <w:t>Recommendation 6: Facilitating perioperative multidisciplinary shared decision making</w:t>
      </w:r>
    </w:p>
    <w:p w14:paraId="6A8A2397" w14:textId="50B1131C" w:rsidR="00E4382A" w:rsidRPr="00E4382A" w:rsidRDefault="00E4382A" w:rsidP="00E4382A">
      <w:pPr>
        <w:pStyle w:val="DHHSbody"/>
      </w:pPr>
      <w:r w:rsidRPr="00E4382A">
        <w:t>Council recommends that Safer Care Victoria explores with Victorian hospitals how systems and processes can be implemented to better support perioperative, multidisciplinary and informed shared decision making for surgical patients with complex medical problems, particularly the elderly. Key aspects include:</w:t>
      </w:r>
    </w:p>
    <w:p w14:paraId="50844D31" w14:textId="77777777" w:rsidR="00E4382A" w:rsidRPr="00E4382A" w:rsidRDefault="00E4382A" w:rsidP="00F507A2">
      <w:pPr>
        <w:pStyle w:val="Bullet1"/>
      </w:pPr>
      <w:r w:rsidRPr="00E4382A">
        <w:t>senior-level, multidisciplinary preoperative assessments and discussions that explore patient wishes and goals of care</w:t>
      </w:r>
    </w:p>
    <w:p w14:paraId="7E923BDF" w14:textId="77777777" w:rsidR="00E4382A" w:rsidRPr="00E4382A" w:rsidRDefault="00E4382A" w:rsidP="00F507A2">
      <w:pPr>
        <w:pStyle w:val="Bullet1"/>
      </w:pPr>
      <w:r w:rsidRPr="00E4382A">
        <w:t>support for patients (and their families or carers) to effectively participate in these discussions</w:t>
      </w:r>
    </w:p>
    <w:p w14:paraId="4B0FC981" w14:textId="77777777" w:rsidR="00E4382A" w:rsidRPr="00E4382A" w:rsidRDefault="00E4382A" w:rsidP="00F507A2">
      <w:pPr>
        <w:pStyle w:val="Bullet1"/>
      </w:pPr>
      <w:r w:rsidRPr="00E4382A">
        <w:t>ensuring goals of care discussions are appropriately documented, updated and communicated to clinicians involved in the patient’s care</w:t>
      </w:r>
    </w:p>
    <w:p w14:paraId="37B23E7E" w14:textId="77777777" w:rsidR="00E4382A" w:rsidRPr="00E4382A" w:rsidRDefault="00E4382A" w:rsidP="00F507A2">
      <w:pPr>
        <w:pStyle w:val="Bullet1"/>
      </w:pPr>
      <w:r w:rsidRPr="00E4382A">
        <w:t>monitoring the efficacy of these discussions in meeting goals of care and reducing futile interventions</w:t>
      </w:r>
    </w:p>
    <w:p w14:paraId="677D80FF" w14:textId="4C143F70" w:rsidR="009169E8" w:rsidRDefault="00E4382A" w:rsidP="00F507A2">
      <w:pPr>
        <w:pStyle w:val="Bullet1"/>
      </w:pPr>
      <w:r w:rsidRPr="00E4382A">
        <w:t>creating training programs that support junior medical staff in developing relevant skills.</w:t>
      </w:r>
    </w:p>
    <w:p w14:paraId="54CAA142" w14:textId="37B8E61E" w:rsidR="009169E8" w:rsidRDefault="00E4382A" w:rsidP="008E28A3">
      <w:pPr>
        <w:pStyle w:val="DHHSbody"/>
      </w:pPr>
      <w:r w:rsidRPr="00E4382A">
        <w:t>End of break out box text.]</w:t>
      </w:r>
    </w:p>
    <w:p w14:paraId="7C994D05" w14:textId="77777777" w:rsidR="009169E8" w:rsidRDefault="009169E8" w:rsidP="000A4644">
      <w:pPr>
        <w:pStyle w:val="Heading2"/>
      </w:pPr>
      <w:r>
        <w:t>THE PERIOPERATIVE MANAGEMENT OF OBSTRUCTIVE SLEEP APNOEA NEEDS A MORE CONSISTENT APPROACH</w:t>
      </w:r>
    </w:p>
    <w:p w14:paraId="202CB62C" w14:textId="75F6CB22" w:rsidR="009169E8" w:rsidRDefault="009169E8" w:rsidP="008E28A3">
      <w:pPr>
        <w:pStyle w:val="DHHSbody"/>
      </w:pPr>
      <w:r>
        <w:t>Obstructive sleep apnoea (OSA) is associated with a higher risk of postoperative respiratory complications. OSA and the emerging issues of undiagnosed OSA and central hypoventilation syndromes are becoming increasingly relevant to perioperative care in the context of a rising prevalence of severe obesity.</w:t>
      </w:r>
    </w:p>
    <w:p w14:paraId="17DBD11D" w14:textId="328CD9D4" w:rsidR="00E4382A" w:rsidRDefault="00E4382A" w:rsidP="008E28A3">
      <w:pPr>
        <w:pStyle w:val="DHHSbody"/>
      </w:pPr>
      <w:r w:rsidRPr="00E4382A">
        <w:t>[Break out box text:</w:t>
      </w:r>
    </w:p>
    <w:p w14:paraId="6E337806" w14:textId="77777777" w:rsidR="00E4382A" w:rsidRPr="00E4382A" w:rsidRDefault="00E4382A" w:rsidP="00E4382A">
      <w:pPr>
        <w:pStyle w:val="Heading3"/>
      </w:pPr>
      <w:r w:rsidRPr="00E4382A">
        <w:rPr>
          <w:rStyle w:val="GovernementBluebullet"/>
          <w:color w:val="000000" w:themeColor="text1"/>
        </w:rPr>
        <w:t>Recommendation</w:t>
      </w:r>
      <w:r w:rsidRPr="00E4382A">
        <w:t xml:space="preserve"> 7: Guiding consistent perioperative care for obstructive sleep apnoea</w:t>
      </w:r>
    </w:p>
    <w:p w14:paraId="47906C8D" w14:textId="77777777" w:rsidR="00E4382A" w:rsidRPr="00E4382A" w:rsidRDefault="00E4382A" w:rsidP="00E4382A">
      <w:pPr>
        <w:pStyle w:val="DHHSbody"/>
      </w:pPr>
      <w:r w:rsidRPr="00E4382A">
        <w:t xml:space="preserve">Council recommends developing a </w:t>
      </w:r>
      <w:proofErr w:type="spellStart"/>
      <w:r w:rsidRPr="00E4382A">
        <w:t>statewide</w:t>
      </w:r>
      <w:proofErr w:type="spellEnd"/>
      <w:r w:rsidRPr="00E4382A">
        <w:t xml:space="preserve"> set of principles to guide and support a more consistent approach to the perioperative care of patients with diagnosed or suspected obstructive sleep apnoea to reduce the risk of postoperative complications. Principles are needed around:</w:t>
      </w:r>
    </w:p>
    <w:p w14:paraId="0AA12622" w14:textId="77777777" w:rsidR="00E4382A" w:rsidRPr="00E4382A" w:rsidRDefault="00E4382A" w:rsidP="00E4382A">
      <w:pPr>
        <w:pStyle w:val="DHHSbody"/>
      </w:pPr>
      <w:r w:rsidRPr="00E4382A">
        <w:t>elective versus emergency surgical contexts</w:t>
      </w:r>
    </w:p>
    <w:p w14:paraId="63408FB6" w14:textId="77777777" w:rsidR="00E4382A" w:rsidRPr="00E4382A" w:rsidRDefault="00E4382A" w:rsidP="00E4382A">
      <w:pPr>
        <w:pStyle w:val="DHHSbody"/>
      </w:pPr>
      <w:r w:rsidRPr="00E4382A">
        <w:t>location of postoperative care – including monitoring and staffing considerations</w:t>
      </w:r>
    </w:p>
    <w:p w14:paraId="70F4FAE4" w14:textId="3ED61D26" w:rsidR="009169E8" w:rsidRDefault="00E4382A" w:rsidP="00E4382A">
      <w:pPr>
        <w:pStyle w:val="DHHSbody"/>
      </w:pPr>
      <w:r w:rsidRPr="00E4382A">
        <w:t>actions to take when a patient’s own CPAP machine is not available for use postoperatively.</w:t>
      </w:r>
    </w:p>
    <w:p w14:paraId="0149E92E" w14:textId="289E4369" w:rsidR="009169E8" w:rsidRDefault="00E4382A" w:rsidP="008E28A3">
      <w:pPr>
        <w:pStyle w:val="DHHSbody"/>
      </w:pPr>
      <w:r w:rsidRPr="00E4382A">
        <w:t>End of break out box text.]</w:t>
      </w:r>
    </w:p>
    <w:p w14:paraId="0B833001" w14:textId="77777777" w:rsidR="009169E8" w:rsidRDefault="009169E8" w:rsidP="000A4644">
      <w:pPr>
        <w:pStyle w:val="Heading2"/>
      </w:pPr>
      <w:r>
        <w:t>SUPPORTING COMMUNICATION WITH PATIENTS FROM Culturally and linguistically diverse (CALD) BACKGROUNDS REQUIRES PRACTICAL POINT-OF-CARE TOOLS</w:t>
      </w:r>
    </w:p>
    <w:p w14:paraId="42D542DF" w14:textId="34370345" w:rsidR="009169E8" w:rsidRDefault="009169E8" w:rsidP="008E28A3">
      <w:pPr>
        <w:pStyle w:val="DHHSbody"/>
        <w:rPr>
          <w:spacing w:val="-5"/>
        </w:rPr>
      </w:pPr>
      <w:r>
        <w:t xml:space="preserve">Language barriers impede effective communication of relevant clinical information (including symptoms, history and changes in condition) and limit opportunities for patients to participate in safety </w:t>
      </w:r>
      <w:r>
        <w:rPr>
          <w:spacing w:val="-5"/>
        </w:rPr>
        <w:t>initiatives such as preoperative checking procedures.</w:t>
      </w:r>
    </w:p>
    <w:p w14:paraId="0A73464F" w14:textId="77777777" w:rsidR="009169E8" w:rsidRDefault="009169E8" w:rsidP="008E28A3">
      <w:pPr>
        <w:pStyle w:val="DHHSbody"/>
      </w:pPr>
      <w:r>
        <w:lastRenderedPageBreak/>
        <w:t>This is particularly relevant in the context of busy day of surgery admission (DOSA) areas, rapid turnover surgical lists and postoperative wards when interpreters may not always be present.</w:t>
      </w:r>
    </w:p>
    <w:p w14:paraId="035D060A" w14:textId="3D854FB3" w:rsidR="009169E8" w:rsidRDefault="009169E8" w:rsidP="008E28A3">
      <w:pPr>
        <w:pStyle w:val="DHHSbody"/>
      </w:pPr>
      <w:r>
        <w:t>Timely and effective communication with patients and their families or carers is one of our most important lines of defence in preventing adverse events and optimising clinical outcomes. Risks when patients cannot effectively communicate with their healthcare providers include loss of relevant information, incorrect assumptions, missed opportunities to recognise errors and delays in diagnosis or intervention.</w:t>
      </w:r>
    </w:p>
    <w:p w14:paraId="2AFC08C1" w14:textId="32067669" w:rsidR="00E4382A" w:rsidRDefault="00E4382A" w:rsidP="008E28A3">
      <w:pPr>
        <w:pStyle w:val="DHHSbody"/>
      </w:pPr>
      <w:r w:rsidRPr="00E4382A">
        <w:t>[Break out box text:</w:t>
      </w:r>
    </w:p>
    <w:p w14:paraId="4D50F919" w14:textId="77777777" w:rsidR="00E4382A" w:rsidRPr="00E4382A" w:rsidRDefault="00E4382A" w:rsidP="00E4382A">
      <w:pPr>
        <w:pStyle w:val="Heading3"/>
      </w:pPr>
      <w:r w:rsidRPr="00E4382A">
        <w:t xml:space="preserve">Recommendation 8: Supporting communication with patients from culturally and linguistically diverse (CALD) </w:t>
      </w:r>
      <w:r w:rsidRPr="00E4382A">
        <w:rPr>
          <w:rStyle w:val="GovernementBluebullet"/>
          <w:color w:val="000000" w:themeColor="text1"/>
        </w:rPr>
        <w:t>backgrounds</w:t>
      </w:r>
    </w:p>
    <w:p w14:paraId="6570A9B3" w14:textId="7390E12A" w:rsidR="009169E8" w:rsidRDefault="00E4382A" w:rsidP="00E4382A">
      <w:pPr>
        <w:pStyle w:val="DHHSbody"/>
      </w:pPr>
      <w:r w:rsidRPr="00E4382A">
        <w:t>Council recommends that Safer Care Victoria explores existing and new opportunities with health services to develop practical point-of-care tools that help facilitate greater communication between patients from culturally and linguistically diverse (CALD) backgrounds and their healthcare providers across the perioperative period. This is particularly important in relation to facilitating participation in preoperative checking procedures and supporting postoperative communication of patient concerns.</w:t>
      </w:r>
    </w:p>
    <w:p w14:paraId="181B077D" w14:textId="203F570D" w:rsidR="008F0D3C" w:rsidRDefault="008F0D3C" w:rsidP="00E4382A">
      <w:pPr>
        <w:pStyle w:val="DHHSbody"/>
      </w:pPr>
      <w:r w:rsidRPr="008F0D3C">
        <w:t>End of break out box text.]</w:t>
      </w:r>
    </w:p>
    <w:p w14:paraId="2E2B1C5C" w14:textId="3E4F5381" w:rsidR="009169E8" w:rsidRDefault="009169E8" w:rsidP="000104F5">
      <w:pPr>
        <w:pStyle w:val="Heading1"/>
      </w:pPr>
      <w:bookmarkStart w:id="6" w:name="_Toc20234275"/>
      <w:r>
        <w:lastRenderedPageBreak/>
        <w:t>Referred events in the 2015–2017 triennium</w:t>
      </w:r>
      <w:bookmarkEnd w:id="6"/>
    </w:p>
    <w:p w14:paraId="5AFA62DF" w14:textId="04434EAA" w:rsidR="009169E8" w:rsidRDefault="009169E8" w:rsidP="000A4644">
      <w:pPr>
        <w:pStyle w:val="Heading2"/>
      </w:pPr>
      <w:r>
        <w:t>IS THIS REPORT A COMPLETE PICTURE?</w:t>
      </w:r>
    </w:p>
    <w:p w14:paraId="52AFE153" w14:textId="252D7839" w:rsidR="009169E8" w:rsidRDefault="009169E8" w:rsidP="008E28A3">
      <w:pPr>
        <w:pStyle w:val="DHHSbody"/>
      </w:pPr>
      <w:r>
        <w:t>Accuracy of data regarding the number of anaesthesia-related deaths is dependent on the council’s ability to obtain information on all potential anaesthesia-related deaths in Victoria. Under existing arrangements, cases directly referred to the council have been voluntarily reported.</w:t>
      </w:r>
    </w:p>
    <w:p w14:paraId="4063FE9A" w14:textId="77777777" w:rsidR="009169E8" w:rsidRDefault="009169E8" w:rsidP="008E28A3">
      <w:pPr>
        <w:pStyle w:val="DHHSbody"/>
      </w:pPr>
      <w:r>
        <w:t>The council has greatly appreciated continued efforts by individual anaesthetists, anaesthetic departments, the Coroner’s Office and, more recently, the Victorian Audit of Surgical Mortality to inform VCCAMM of potential and/or significant cases of anaesthesia-related mortality and morbidity. Notifications from the Victorian Audit of Surgical Mortality, which began in 2016, have importantly improved the council’s ability to identify anaesthesia-related events that may have unfolded or first become apparent in the postoperative period.</w:t>
      </w:r>
    </w:p>
    <w:p w14:paraId="572B1E6E" w14:textId="77777777" w:rsidR="009169E8" w:rsidRDefault="009169E8" w:rsidP="008E28A3">
      <w:pPr>
        <w:pStyle w:val="DHHSbody"/>
      </w:pPr>
      <w:r>
        <w:t>However, anaesthesia is a broad concept that includes general anaesthesia, major regional blocks, intravenous sedation and local anaesthesia. As such, anaesthesia is not always administered in an operating theatre or by an anaesthetist. Anaesthesia is increasingly being provided in non-traditional locations for a growing range of non-surgical disciplines and procedures, and by a range of providers. The council currently has limited ability to capture anaesthesia-related mortality and morbidity occurring in this expanding, broader context.</w:t>
      </w:r>
    </w:p>
    <w:p w14:paraId="778EB7D9" w14:textId="77777777" w:rsidR="009169E8" w:rsidRDefault="009169E8" w:rsidP="000A4644">
      <w:pPr>
        <w:pStyle w:val="Heading2"/>
      </w:pPr>
      <w:r>
        <w:t>HOW MANY CASES WERE REFERRED IN THE 2015–2017 TRIENNIUM?</w:t>
      </w:r>
    </w:p>
    <w:p w14:paraId="392FFCBD" w14:textId="77777777" w:rsidR="009169E8" w:rsidRDefault="009169E8" w:rsidP="008E28A3">
      <w:pPr>
        <w:pStyle w:val="DHHSbody"/>
      </w:pPr>
      <w:r>
        <w:t>During the triennium, 239 events were referred to the council. One referral involved distinct mortality and morbidity events and was included as two separate events. The review and classification of one event is not yet complete, pending availability of further information. This case has not been included in the findings of this report.</w:t>
      </w:r>
    </w:p>
    <w:p w14:paraId="00FFB0B6" w14:textId="77777777" w:rsidR="009169E8" w:rsidRDefault="009169E8" w:rsidP="008E28A3">
      <w:pPr>
        <w:pStyle w:val="DHHSbody"/>
      </w:pPr>
      <w:r>
        <w:t>In total, 238 events were reviewed and classified as 181 mortality events and 57 morbidity events.</w:t>
      </w:r>
    </w:p>
    <w:p w14:paraId="6C2AE59F" w14:textId="77777777" w:rsidR="009169E8" w:rsidRDefault="009169E8" w:rsidP="008E28A3">
      <w:pPr>
        <w:pStyle w:val="DHHSbody"/>
      </w:pPr>
      <w:r>
        <w:t>Of the 238 events classified by the council, 110 were classified as anaesthesia-related mortality or morbidity.</w:t>
      </w:r>
    </w:p>
    <w:p w14:paraId="5DCF4CA0" w14:textId="77777777" w:rsidR="009169E8" w:rsidRDefault="009169E8" w:rsidP="000104F5">
      <w:pPr>
        <w:pStyle w:val="Heading1"/>
      </w:pPr>
      <w:bookmarkStart w:id="7" w:name="_Toc20234276"/>
      <w:r>
        <w:lastRenderedPageBreak/>
        <w:t>Council classifications</w:t>
      </w:r>
      <w:bookmarkEnd w:id="7"/>
    </w:p>
    <w:p w14:paraId="57AEB249" w14:textId="5C69D97A" w:rsidR="009169E8" w:rsidRDefault="009169E8" w:rsidP="000A4644">
      <w:pPr>
        <w:pStyle w:val="Heading2"/>
      </w:pPr>
      <w:r>
        <w:t>WHERE DID THE REFERRALS COME FROM?</w:t>
      </w:r>
    </w:p>
    <w:p w14:paraId="63FA8C2F" w14:textId="6142DA32" w:rsidR="009169E8" w:rsidRDefault="009169E8" w:rsidP="008E28A3">
      <w:pPr>
        <w:pStyle w:val="DHHSbody"/>
      </w:pPr>
      <w:r>
        <w:rPr>
          <w:spacing w:val="-4"/>
        </w:rPr>
        <w:t xml:space="preserve">Fourteen per cent of referrals came from the private </w:t>
      </w:r>
      <w:r>
        <w:t xml:space="preserve">sector and 86 per cent from the public sector. This is not unexpected, as high-risk cases may be more </w:t>
      </w:r>
      <w:r>
        <w:rPr>
          <w:spacing w:val="-2"/>
        </w:rPr>
        <w:t xml:space="preserve">likely to be undertaken in public hospitals. Nineteen </w:t>
      </w:r>
      <w:r>
        <w:t>per cent of cases referred from the public health sector were from regional or rural health services, and it is encouraging that reports are reflecting a range of hospital types and locations.</w:t>
      </w:r>
    </w:p>
    <w:p w14:paraId="1DE0D5F8" w14:textId="77777777" w:rsidR="009169E8" w:rsidRDefault="009169E8" w:rsidP="008E28A3">
      <w:pPr>
        <w:pStyle w:val="DHHSbody"/>
      </w:pPr>
      <w:r>
        <w:t>58% of all cases were direct reports from anaesthetists (approximately 46% of the 181 mortality events and 98% of the 57 morbidity events).</w:t>
      </w:r>
    </w:p>
    <w:p w14:paraId="557D5E57" w14:textId="77777777" w:rsidR="009169E8" w:rsidRDefault="009169E8" w:rsidP="008E28A3">
      <w:pPr>
        <w:pStyle w:val="DHHSbody"/>
      </w:pPr>
      <w:r>
        <w:t xml:space="preserve">Fifty-four per cent of the 181 mortality referrals were generated by the Victorian Audit of Surgical Mortality. Thirty-five (32 per cent) of these were </w:t>
      </w:r>
      <w:r>
        <w:rPr>
          <w:spacing w:val="-2"/>
        </w:rPr>
        <w:t>ultimately classified by the council as anaesthesia-</w:t>
      </w:r>
      <w:r>
        <w:t>related mortality events. This new referral source highlighted the value of being able to consider events occurring in the postoperative period to which anaesthetic factors may have had some contribution.</w:t>
      </w:r>
    </w:p>
    <w:p w14:paraId="459901E0" w14:textId="77777777" w:rsidR="009169E8" w:rsidRDefault="009169E8" w:rsidP="000A4644">
      <w:pPr>
        <w:pStyle w:val="Heading2"/>
      </w:pPr>
      <w:r>
        <w:t>HOW WERE REFERRED CASES CLASSIFIED?</w:t>
      </w:r>
    </w:p>
    <w:p w14:paraId="19E9D927" w14:textId="5CB99039" w:rsidR="009169E8" w:rsidRDefault="009169E8" w:rsidP="008E28A3">
      <w:pPr>
        <w:pStyle w:val="DHHSbody"/>
      </w:pPr>
      <w:r>
        <w:t>Cases were reviewed and assigned a category, primary event type and sub-type. Category 1–3 cases were further assigned sub-categories based on identified contributing factors and given a preventability rating. Keywords were also assigned to help theme common factors.</w:t>
      </w:r>
    </w:p>
    <w:p w14:paraId="3B3C5A6D" w14:textId="77777777" w:rsidR="009169E8" w:rsidRDefault="009169E8" w:rsidP="008E28A3">
      <w:pPr>
        <w:pStyle w:val="DHHSbody"/>
      </w:pPr>
      <w:r>
        <w:t>Details of these classifications are provided in Appendices 1–2.</w:t>
      </w:r>
    </w:p>
    <w:p w14:paraId="1565D65A" w14:textId="77777777" w:rsidR="009169E8" w:rsidRDefault="009169E8" w:rsidP="00BB165F">
      <w:pPr>
        <w:pStyle w:val="Heading3"/>
      </w:pPr>
      <w:r>
        <w:t>Assigned categories</w:t>
      </w:r>
    </w:p>
    <w:p w14:paraId="7EDCEA7F" w14:textId="77777777" w:rsidR="009169E8" w:rsidRDefault="009169E8" w:rsidP="008E28A3">
      <w:pPr>
        <w:pStyle w:val="DHHSbody"/>
      </w:pPr>
      <w:r>
        <w:t xml:space="preserve">The council categorised 181 mortality events and 57 morbidity events as anaesthesia-related, non-anaesthesia-related or </w:t>
      </w:r>
      <w:proofErr w:type="spellStart"/>
      <w:r>
        <w:t>unassessable</w:t>
      </w:r>
      <w:proofErr w:type="spellEnd"/>
      <w:r>
        <w:t xml:space="preserve"> as per the 10 classification categories summarised in Table 1.</w:t>
      </w:r>
    </w:p>
    <w:p w14:paraId="7C1D05FD" w14:textId="77777777" w:rsidR="009169E8" w:rsidRDefault="009169E8" w:rsidP="00B8026E">
      <w:pPr>
        <w:pStyle w:val="Tablechartdiagramheading"/>
      </w:pPr>
      <w:r>
        <w:t>Table 1: Category assigned by the council</w:t>
      </w:r>
    </w:p>
    <w:tbl>
      <w:tblPr>
        <w:tblStyle w:val="PlainTable2"/>
        <w:tblW w:w="0" w:type="auto"/>
        <w:tblLayout w:type="fixed"/>
        <w:tblLook w:val="0060" w:firstRow="1" w:lastRow="1" w:firstColumn="0" w:lastColumn="0" w:noHBand="0" w:noVBand="0"/>
      </w:tblPr>
      <w:tblGrid>
        <w:gridCol w:w="5953"/>
        <w:gridCol w:w="1417"/>
        <w:gridCol w:w="1417"/>
        <w:gridCol w:w="1418"/>
      </w:tblGrid>
      <w:tr w:rsidR="009169E8" w14:paraId="5A73A6BB" w14:textId="77777777" w:rsidTr="000F54D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5953" w:type="dxa"/>
          </w:tcPr>
          <w:p w14:paraId="007BC4DB" w14:textId="77777777" w:rsidR="009169E8" w:rsidRPr="006102CF" w:rsidRDefault="009169E8" w:rsidP="006102CF">
            <w:pPr>
              <w:pStyle w:val="Tableheader"/>
              <w:rPr>
                <w:b/>
              </w:rPr>
            </w:pPr>
            <w:r w:rsidRPr="006102CF">
              <w:rPr>
                <w:b/>
              </w:rPr>
              <w:t>Category assigned by the council*</w:t>
            </w:r>
          </w:p>
        </w:tc>
        <w:tc>
          <w:tcPr>
            <w:cnfStyle w:val="000001000000" w:firstRow="0" w:lastRow="0" w:firstColumn="0" w:lastColumn="0" w:oddVBand="0" w:evenVBand="1" w:oddHBand="0" w:evenHBand="0" w:firstRowFirstColumn="0" w:firstRowLastColumn="0" w:lastRowFirstColumn="0" w:lastRowLastColumn="0"/>
            <w:tcW w:w="1417" w:type="dxa"/>
          </w:tcPr>
          <w:p w14:paraId="273BC879" w14:textId="77777777" w:rsidR="009169E8" w:rsidRPr="006102CF" w:rsidRDefault="009169E8" w:rsidP="006102CF">
            <w:pPr>
              <w:pStyle w:val="Tableheader"/>
              <w:rPr>
                <w:b/>
              </w:rPr>
            </w:pPr>
            <w:r w:rsidRPr="006102CF">
              <w:rPr>
                <w:b/>
              </w:rPr>
              <w:t>Morbidity</w:t>
            </w:r>
          </w:p>
        </w:tc>
        <w:tc>
          <w:tcPr>
            <w:cnfStyle w:val="000010000000" w:firstRow="0" w:lastRow="0" w:firstColumn="0" w:lastColumn="0" w:oddVBand="1" w:evenVBand="0" w:oddHBand="0" w:evenHBand="0" w:firstRowFirstColumn="0" w:firstRowLastColumn="0" w:lastRowFirstColumn="0" w:lastRowLastColumn="0"/>
            <w:tcW w:w="1417" w:type="dxa"/>
          </w:tcPr>
          <w:p w14:paraId="3B86854D" w14:textId="77777777" w:rsidR="009169E8" w:rsidRPr="006102CF" w:rsidRDefault="009169E8" w:rsidP="006102CF">
            <w:pPr>
              <w:pStyle w:val="Tableheader"/>
              <w:rPr>
                <w:b/>
              </w:rPr>
            </w:pPr>
            <w:r w:rsidRPr="006102CF">
              <w:rPr>
                <w:b/>
              </w:rPr>
              <w:t xml:space="preserve">Mortality </w:t>
            </w:r>
          </w:p>
        </w:tc>
        <w:tc>
          <w:tcPr>
            <w:cnfStyle w:val="000001000000" w:firstRow="0" w:lastRow="0" w:firstColumn="0" w:lastColumn="0" w:oddVBand="0" w:evenVBand="1" w:oddHBand="0" w:evenHBand="0" w:firstRowFirstColumn="0" w:firstRowLastColumn="0" w:lastRowFirstColumn="0" w:lastRowLastColumn="0"/>
            <w:tcW w:w="1418" w:type="dxa"/>
          </w:tcPr>
          <w:p w14:paraId="32B4BAEB" w14:textId="77777777" w:rsidR="009169E8" w:rsidRPr="006102CF" w:rsidRDefault="009169E8" w:rsidP="006102CF">
            <w:pPr>
              <w:pStyle w:val="Tableheader"/>
              <w:rPr>
                <w:b/>
              </w:rPr>
            </w:pPr>
            <w:r w:rsidRPr="006102CF">
              <w:rPr>
                <w:b/>
              </w:rPr>
              <w:t xml:space="preserve"> Total</w:t>
            </w:r>
          </w:p>
        </w:tc>
      </w:tr>
      <w:tr w:rsidR="009169E8" w14:paraId="75BFFE99" w14:textId="77777777" w:rsidTr="006102C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53" w:type="dxa"/>
          </w:tcPr>
          <w:p w14:paraId="21D03A36" w14:textId="77777777" w:rsidR="009169E8" w:rsidRPr="00E134FF" w:rsidRDefault="009169E8" w:rsidP="00E134FF">
            <w:pPr>
              <w:pStyle w:val="Tabletext"/>
              <w:rPr>
                <w:b/>
              </w:rPr>
            </w:pPr>
            <w:r w:rsidRPr="00E134FF">
              <w:rPr>
                <w:b/>
              </w:rPr>
              <w:t>Anaesthesia-related mortality/morbidity: 110 cases</w:t>
            </w:r>
          </w:p>
        </w:tc>
        <w:tc>
          <w:tcPr>
            <w:cnfStyle w:val="000001000000" w:firstRow="0" w:lastRow="0" w:firstColumn="0" w:lastColumn="0" w:oddVBand="0" w:evenVBand="1" w:oddHBand="0" w:evenHBand="0" w:firstRowFirstColumn="0" w:firstRowLastColumn="0" w:lastRowFirstColumn="0" w:lastRowLastColumn="0"/>
            <w:tcW w:w="1417" w:type="dxa"/>
          </w:tcPr>
          <w:p w14:paraId="4C560122" w14:textId="77777777" w:rsidR="009169E8" w:rsidRPr="00D95CBE" w:rsidRDefault="009169E8" w:rsidP="00D95CBE">
            <w:pPr>
              <w:pStyle w:val="Tabletext"/>
            </w:pPr>
          </w:p>
        </w:tc>
        <w:tc>
          <w:tcPr>
            <w:cnfStyle w:val="000010000000" w:firstRow="0" w:lastRow="0" w:firstColumn="0" w:lastColumn="0" w:oddVBand="1" w:evenVBand="0" w:oddHBand="0" w:evenHBand="0" w:firstRowFirstColumn="0" w:firstRowLastColumn="0" w:lastRowFirstColumn="0" w:lastRowLastColumn="0"/>
            <w:tcW w:w="1417" w:type="dxa"/>
          </w:tcPr>
          <w:p w14:paraId="1A765530" w14:textId="77777777" w:rsidR="009169E8" w:rsidRPr="00D95CBE" w:rsidRDefault="009169E8" w:rsidP="00D95CBE">
            <w:pPr>
              <w:pStyle w:val="Tabletext"/>
            </w:pPr>
          </w:p>
        </w:tc>
        <w:tc>
          <w:tcPr>
            <w:cnfStyle w:val="000001000000" w:firstRow="0" w:lastRow="0" w:firstColumn="0" w:lastColumn="0" w:oddVBand="0" w:evenVBand="1" w:oddHBand="0" w:evenHBand="0" w:firstRowFirstColumn="0" w:firstRowLastColumn="0" w:lastRowFirstColumn="0" w:lastRowLastColumn="0"/>
            <w:tcW w:w="1418" w:type="dxa"/>
          </w:tcPr>
          <w:p w14:paraId="48AED220" w14:textId="6A90DFD1" w:rsidR="009169E8" w:rsidRPr="00D95CBE" w:rsidRDefault="00D95CBE" w:rsidP="00D95CBE">
            <w:pPr>
              <w:pStyle w:val="Tabletext"/>
            </w:pPr>
            <w:r w:rsidRPr="00D95CBE">
              <w:t>110</w:t>
            </w:r>
          </w:p>
        </w:tc>
      </w:tr>
      <w:tr w:rsidR="009169E8" w14:paraId="6E809503" w14:textId="77777777" w:rsidTr="006102CF">
        <w:trPr>
          <w:trHeight w:val="113"/>
        </w:trPr>
        <w:tc>
          <w:tcPr>
            <w:cnfStyle w:val="000010000000" w:firstRow="0" w:lastRow="0" w:firstColumn="0" w:lastColumn="0" w:oddVBand="1" w:evenVBand="0" w:oddHBand="0" w:evenHBand="0" w:firstRowFirstColumn="0" w:firstRowLastColumn="0" w:lastRowFirstColumn="0" w:lastRowLastColumn="0"/>
            <w:tcW w:w="5953" w:type="dxa"/>
          </w:tcPr>
          <w:p w14:paraId="61971FC7" w14:textId="77777777" w:rsidR="009169E8" w:rsidRDefault="009169E8" w:rsidP="00E134FF">
            <w:pPr>
              <w:pStyle w:val="Tabletext"/>
            </w:pPr>
            <w:r>
              <w:t>1: Reasonably certain due to anaesthetic factors</w:t>
            </w:r>
          </w:p>
        </w:tc>
        <w:tc>
          <w:tcPr>
            <w:cnfStyle w:val="000001000000" w:firstRow="0" w:lastRow="0" w:firstColumn="0" w:lastColumn="0" w:oddVBand="0" w:evenVBand="1" w:oddHBand="0" w:evenHBand="0" w:firstRowFirstColumn="0" w:firstRowLastColumn="0" w:lastRowFirstColumn="0" w:lastRowLastColumn="0"/>
            <w:tcW w:w="1417" w:type="dxa"/>
          </w:tcPr>
          <w:p w14:paraId="7DAAFA38" w14:textId="77777777" w:rsidR="009169E8" w:rsidRDefault="009169E8" w:rsidP="00E134FF">
            <w:pPr>
              <w:pStyle w:val="Tabletext"/>
            </w:pPr>
            <w:r>
              <w:t>35</w:t>
            </w:r>
          </w:p>
        </w:tc>
        <w:tc>
          <w:tcPr>
            <w:cnfStyle w:val="000010000000" w:firstRow="0" w:lastRow="0" w:firstColumn="0" w:lastColumn="0" w:oddVBand="1" w:evenVBand="0" w:oddHBand="0" w:evenHBand="0" w:firstRowFirstColumn="0" w:firstRowLastColumn="0" w:lastRowFirstColumn="0" w:lastRowLastColumn="0"/>
            <w:tcW w:w="1417" w:type="dxa"/>
          </w:tcPr>
          <w:p w14:paraId="234E29E3" w14:textId="77777777" w:rsidR="009169E8" w:rsidRDefault="009169E8" w:rsidP="00E134FF">
            <w:pPr>
              <w:pStyle w:val="Tabletext"/>
            </w:pPr>
            <w:r>
              <w:t>12</w:t>
            </w:r>
          </w:p>
        </w:tc>
        <w:tc>
          <w:tcPr>
            <w:cnfStyle w:val="000001000000" w:firstRow="0" w:lastRow="0" w:firstColumn="0" w:lastColumn="0" w:oddVBand="0" w:evenVBand="1" w:oddHBand="0" w:evenHBand="0" w:firstRowFirstColumn="0" w:firstRowLastColumn="0" w:lastRowFirstColumn="0" w:lastRowLastColumn="0"/>
            <w:tcW w:w="1418" w:type="dxa"/>
          </w:tcPr>
          <w:p w14:paraId="08A9A08A" w14:textId="77777777" w:rsidR="009169E8" w:rsidRDefault="009169E8" w:rsidP="00E134FF">
            <w:pPr>
              <w:pStyle w:val="Tabletext"/>
            </w:pPr>
            <w:r>
              <w:t>47</w:t>
            </w:r>
          </w:p>
        </w:tc>
      </w:tr>
      <w:tr w:rsidR="009169E8" w14:paraId="004C8367" w14:textId="77777777" w:rsidTr="006102C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53" w:type="dxa"/>
          </w:tcPr>
          <w:p w14:paraId="55E18DD9" w14:textId="77777777" w:rsidR="009169E8" w:rsidRDefault="009169E8" w:rsidP="00E134FF">
            <w:pPr>
              <w:pStyle w:val="Tabletext"/>
            </w:pPr>
            <w:r>
              <w:t>2: Some doubt whether entirely due to anaesthetic factors</w:t>
            </w:r>
          </w:p>
        </w:tc>
        <w:tc>
          <w:tcPr>
            <w:cnfStyle w:val="000001000000" w:firstRow="0" w:lastRow="0" w:firstColumn="0" w:lastColumn="0" w:oddVBand="0" w:evenVBand="1" w:oddHBand="0" w:evenHBand="0" w:firstRowFirstColumn="0" w:firstRowLastColumn="0" w:lastRowFirstColumn="0" w:lastRowLastColumn="0"/>
            <w:tcW w:w="1417" w:type="dxa"/>
          </w:tcPr>
          <w:p w14:paraId="490B9E1D" w14:textId="77777777" w:rsidR="009169E8" w:rsidRDefault="009169E8" w:rsidP="00E134FF">
            <w:pPr>
              <w:pStyle w:val="Tabletext"/>
            </w:pPr>
            <w:r>
              <w:t>2</w:t>
            </w:r>
          </w:p>
        </w:tc>
        <w:tc>
          <w:tcPr>
            <w:cnfStyle w:val="000010000000" w:firstRow="0" w:lastRow="0" w:firstColumn="0" w:lastColumn="0" w:oddVBand="1" w:evenVBand="0" w:oddHBand="0" w:evenHBand="0" w:firstRowFirstColumn="0" w:firstRowLastColumn="0" w:lastRowFirstColumn="0" w:lastRowLastColumn="0"/>
            <w:tcW w:w="1417" w:type="dxa"/>
          </w:tcPr>
          <w:p w14:paraId="5DBDA808" w14:textId="77777777" w:rsidR="009169E8" w:rsidRDefault="009169E8" w:rsidP="00E134FF">
            <w:pPr>
              <w:pStyle w:val="Tabletext"/>
            </w:pPr>
            <w:r>
              <w:t>2</w:t>
            </w:r>
          </w:p>
        </w:tc>
        <w:tc>
          <w:tcPr>
            <w:cnfStyle w:val="000001000000" w:firstRow="0" w:lastRow="0" w:firstColumn="0" w:lastColumn="0" w:oddVBand="0" w:evenVBand="1" w:oddHBand="0" w:evenHBand="0" w:firstRowFirstColumn="0" w:firstRowLastColumn="0" w:lastRowFirstColumn="0" w:lastRowLastColumn="0"/>
            <w:tcW w:w="1418" w:type="dxa"/>
          </w:tcPr>
          <w:p w14:paraId="4FE43184" w14:textId="77777777" w:rsidR="009169E8" w:rsidRDefault="009169E8" w:rsidP="00E134FF">
            <w:pPr>
              <w:pStyle w:val="Tabletext"/>
            </w:pPr>
            <w:r>
              <w:t>4</w:t>
            </w:r>
          </w:p>
        </w:tc>
      </w:tr>
      <w:tr w:rsidR="009169E8" w14:paraId="7D8D4AC2" w14:textId="77777777" w:rsidTr="006102CF">
        <w:trPr>
          <w:trHeight w:val="113"/>
        </w:trPr>
        <w:tc>
          <w:tcPr>
            <w:cnfStyle w:val="000010000000" w:firstRow="0" w:lastRow="0" w:firstColumn="0" w:lastColumn="0" w:oddVBand="1" w:evenVBand="0" w:oddHBand="0" w:evenHBand="0" w:firstRowFirstColumn="0" w:firstRowLastColumn="0" w:lastRowFirstColumn="0" w:lastRowLastColumn="0"/>
            <w:tcW w:w="5953" w:type="dxa"/>
          </w:tcPr>
          <w:p w14:paraId="1259AFDB" w14:textId="77777777" w:rsidR="009169E8" w:rsidRDefault="009169E8" w:rsidP="00E134FF">
            <w:pPr>
              <w:pStyle w:val="Tabletext"/>
            </w:pPr>
            <w:r>
              <w:t>3: Attributed to medical/surgical and anaesthetic factors</w:t>
            </w:r>
          </w:p>
        </w:tc>
        <w:tc>
          <w:tcPr>
            <w:cnfStyle w:val="000001000000" w:firstRow="0" w:lastRow="0" w:firstColumn="0" w:lastColumn="0" w:oddVBand="0" w:evenVBand="1" w:oddHBand="0" w:evenHBand="0" w:firstRowFirstColumn="0" w:firstRowLastColumn="0" w:lastRowFirstColumn="0" w:lastRowLastColumn="0"/>
            <w:tcW w:w="1417" w:type="dxa"/>
          </w:tcPr>
          <w:p w14:paraId="15BC2933" w14:textId="77777777" w:rsidR="009169E8" w:rsidRDefault="009169E8" w:rsidP="00E134FF">
            <w:pPr>
              <w:pStyle w:val="Tabletext"/>
            </w:pPr>
            <w:r>
              <w:t>15</w:t>
            </w:r>
          </w:p>
        </w:tc>
        <w:tc>
          <w:tcPr>
            <w:cnfStyle w:val="000010000000" w:firstRow="0" w:lastRow="0" w:firstColumn="0" w:lastColumn="0" w:oddVBand="1" w:evenVBand="0" w:oddHBand="0" w:evenHBand="0" w:firstRowFirstColumn="0" w:firstRowLastColumn="0" w:lastRowFirstColumn="0" w:lastRowLastColumn="0"/>
            <w:tcW w:w="1417" w:type="dxa"/>
          </w:tcPr>
          <w:p w14:paraId="6E8533B1" w14:textId="77777777" w:rsidR="009169E8" w:rsidRDefault="009169E8" w:rsidP="00E134FF">
            <w:pPr>
              <w:pStyle w:val="Tabletext"/>
            </w:pPr>
            <w:r>
              <w:t>44</w:t>
            </w:r>
          </w:p>
        </w:tc>
        <w:tc>
          <w:tcPr>
            <w:cnfStyle w:val="000001000000" w:firstRow="0" w:lastRow="0" w:firstColumn="0" w:lastColumn="0" w:oddVBand="0" w:evenVBand="1" w:oddHBand="0" w:evenHBand="0" w:firstRowFirstColumn="0" w:firstRowLastColumn="0" w:lastRowFirstColumn="0" w:lastRowLastColumn="0"/>
            <w:tcW w:w="1418" w:type="dxa"/>
          </w:tcPr>
          <w:p w14:paraId="071CF91C" w14:textId="77777777" w:rsidR="009169E8" w:rsidRDefault="009169E8" w:rsidP="00E134FF">
            <w:pPr>
              <w:pStyle w:val="Tabletext"/>
            </w:pPr>
            <w:r>
              <w:t>59</w:t>
            </w:r>
          </w:p>
        </w:tc>
      </w:tr>
      <w:tr w:rsidR="009169E8" w14:paraId="3C880100" w14:textId="77777777" w:rsidTr="006102C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53" w:type="dxa"/>
          </w:tcPr>
          <w:p w14:paraId="3079FF65" w14:textId="77777777" w:rsidR="009169E8" w:rsidRPr="00E134FF" w:rsidRDefault="009169E8" w:rsidP="00E134FF">
            <w:pPr>
              <w:pStyle w:val="Tabletext"/>
              <w:rPr>
                <w:b/>
              </w:rPr>
            </w:pPr>
            <w:r w:rsidRPr="00E134FF">
              <w:rPr>
                <w:b/>
              </w:rPr>
              <w:t>Non-anaesthesia-related mortality/morbidity: 127 cases</w:t>
            </w:r>
          </w:p>
        </w:tc>
        <w:tc>
          <w:tcPr>
            <w:cnfStyle w:val="000001000000" w:firstRow="0" w:lastRow="0" w:firstColumn="0" w:lastColumn="0" w:oddVBand="0" w:evenVBand="1" w:oddHBand="0" w:evenHBand="0" w:firstRowFirstColumn="0" w:firstRowLastColumn="0" w:lastRowFirstColumn="0" w:lastRowLastColumn="0"/>
            <w:tcW w:w="1417" w:type="dxa"/>
          </w:tcPr>
          <w:p w14:paraId="5347968A" w14:textId="77777777" w:rsidR="009169E8" w:rsidRPr="00D95CBE" w:rsidRDefault="009169E8" w:rsidP="00D95CBE">
            <w:pPr>
              <w:pStyle w:val="Tabletext"/>
            </w:pPr>
          </w:p>
        </w:tc>
        <w:tc>
          <w:tcPr>
            <w:cnfStyle w:val="000010000000" w:firstRow="0" w:lastRow="0" w:firstColumn="0" w:lastColumn="0" w:oddVBand="1" w:evenVBand="0" w:oddHBand="0" w:evenHBand="0" w:firstRowFirstColumn="0" w:firstRowLastColumn="0" w:lastRowFirstColumn="0" w:lastRowLastColumn="0"/>
            <w:tcW w:w="1417" w:type="dxa"/>
          </w:tcPr>
          <w:p w14:paraId="7C670598" w14:textId="77777777" w:rsidR="009169E8" w:rsidRPr="00D95CBE" w:rsidRDefault="009169E8" w:rsidP="00D95CBE">
            <w:pPr>
              <w:pStyle w:val="Tabletext"/>
            </w:pPr>
          </w:p>
        </w:tc>
        <w:tc>
          <w:tcPr>
            <w:cnfStyle w:val="000001000000" w:firstRow="0" w:lastRow="0" w:firstColumn="0" w:lastColumn="0" w:oddVBand="0" w:evenVBand="1" w:oddHBand="0" w:evenHBand="0" w:firstRowFirstColumn="0" w:firstRowLastColumn="0" w:lastRowFirstColumn="0" w:lastRowLastColumn="0"/>
            <w:tcW w:w="1418" w:type="dxa"/>
          </w:tcPr>
          <w:p w14:paraId="174E93C7" w14:textId="1B8ADDF3" w:rsidR="009169E8" w:rsidRPr="00D95CBE" w:rsidRDefault="00D95CBE" w:rsidP="00D95CBE">
            <w:pPr>
              <w:pStyle w:val="Tabletext"/>
            </w:pPr>
            <w:r>
              <w:t>127</w:t>
            </w:r>
          </w:p>
        </w:tc>
      </w:tr>
      <w:tr w:rsidR="009169E8" w14:paraId="07D36420" w14:textId="77777777" w:rsidTr="006102CF">
        <w:trPr>
          <w:trHeight w:val="113"/>
        </w:trPr>
        <w:tc>
          <w:tcPr>
            <w:cnfStyle w:val="000010000000" w:firstRow="0" w:lastRow="0" w:firstColumn="0" w:lastColumn="0" w:oddVBand="1" w:evenVBand="0" w:oddHBand="0" w:evenHBand="0" w:firstRowFirstColumn="0" w:firstRowLastColumn="0" w:lastRowFirstColumn="0" w:lastRowLastColumn="0"/>
            <w:tcW w:w="5953" w:type="dxa"/>
          </w:tcPr>
          <w:p w14:paraId="489B3052" w14:textId="77777777" w:rsidR="009169E8" w:rsidRDefault="009169E8" w:rsidP="00E134FF">
            <w:pPr>
              <w:pStyle w:val="Tabletext"/>
            </w:pPr>
            <w:r>
              <w:t>4: Attributed to surgical factors</w:t>
            </w:r>
          </w:p>
        </w:tc>
        <w:tc>
          <w:tcPr>
            <w:cnfStyle w:val="000001000000" w:firstRow="0" w:lastRow="0" w:firstColumn="0" w:lastColumn="0" w:oddVBand="0" w:evenVBand="1" w:oddHBand="0" w:evenHBand="0" w:firstRowFirstColumn="0" w:firstRowLastColumn="0" w:lastRowFirstColumn="0" w:lastRowLastColumn="0"/>
            <w:tcW w:w="1417" w:type="dxa"/>
          </w:tcPr>
          <w:p w14:paraId="04999308" w14:textId="77777777" w:rsidR="009169E8" w:rsidRDefault="009169E8" w:rsidP="00E134FF">
            <w:pPr>
              <w:pStyle w:val="Tabletext"/>
            </w:pPr>
            <w:r>
              <w:t>4</w:t>
            </w:r>
          </w:p>
        </w:tc>
        <w:tc>
          <w:tcPr>
            <w:cnfStyle w:val="000010000000" w:firstRow="0" w:lastRow="0" w:firstColumn="0" w:lastColumn="0" w:oddVBand="1" w:evenVBand="0" w:oddHBand="0" w:evenHBand="0" w:firstRowFirstColumn="0" w:firstRowLastColumn="0" w:lastRowFirstColumn="0" w:lastRowLastColumn="0"/>
            <w:tcW w:w="1417" w:type="dxa"/>
          </w:tcPr>
          <w:p w14:paraId="12AA5A33" w14:textId="77777777" w:rsidR="009169E8" w:rsidRDefault="009169E8" w:rsidP="00E134FF">
            <w:pPr>
              <w:pStyle w:val="Tabletext"/>
            </w:pPr>
            <w:r>
              <w:t>35</w:t>
            </w:r>
          </w:p>
        </w:tc>
        <w:tc>
          <w:tcPr>
            <w:cnfStyle w:val="000001000000" w:firstRow="0" w:lastRow="0" w:firstColumn="0" w:lastColumn="0" w:oddVBand="0" w:evenVBand="1" w:oddHBand="0" w:evenHBand="0" w:firstRowFirstColumn="0" w:firstRowLastColumn="0" w:lastRowFirstColumn="0" w:lastRowLastColumn="0"/>
            <w:tcW w:w="1418" w:type="dxa"/>
          </w:tcPr>
          <w:p w14:paraId="2C530429" w14:textId="77777777" w:rsidR="009169E8" w:rsidRDefault="009169E8" w:rsidP="00E134FF">
            <w:pPr>
              <w:pStyle w:val="Tabletext"/>
            </w:pPr>
            <w:r>
              <w:t>39</w:t>
            </w:r>
          </w:p>
        </w:tc>
      </w:tr>
      <w:tr w:rsidR="009169E8" w14:paraId="7642464B" w14:textId="77777777" w:rsidTr="006102C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53" w:type="dxa"/>
          </w:tcPr>
          <w:p w14:paraId="53B4E130" w14:textId="77777777" w:rsidR="009169E8" w:rsidRDefault="009169E8" w:rsidP="00E134FF">
            <w:pPr>
              <w:pStyle w:val="Tabletext"/>
            </w:pPr>
            <w:r>
              <w:t>5: Inevitable death or morbidity (with or without surgery)</w:t>
            </w:r>
          </w:p>
        </w:tc>
        <w:tc>
          <w:tcPr>
            <w:cnfStyle w:val="000001000000" w:firstRow="0" w:lastRow="0" w:firstColumn="0" w:lastColumn="0" w:oddVBand="0" w:evenVBand="1" w:oddHBand="0" w:evenHBand="0" w:firstRowFirstColumn="0" w:firstRowLastColumn="0" w:lastRowFirstColumn="0" w:lastRowLastColumn="0"/>
            <w:tcW w:w="1417" w:type="dxa"/>
          </w:tcPr>
          <w:p w14:paraId="5D2FC5CD" w14:textId="77777777" w:rsidR="009169E8" w:rsidRDefault="009169E8" w:rsidP="00E134FF">
            <w:pPr>
              <w:pStyle w:val="Tabletext"/>
            </w:pPr>
            <w:r>
              <w:t>0</w:t>
            </w:r>
          </w:p>
        </w:tc>
        <w:tc>
          <w:tcPr>
            <w:cnfStyle w:val="000010000000" w:firstRow="0" w:lastRow="0" w:firstColumn="0" w:lastColumn="0" w:oddVBand="1" w:evenVBand="0" w:oddHBand="0" w:evenHBand="0" w:firstRowFirstColumn="0" w:firstRowLastColumn="0" w:lastRowFirstColumn="0" w:lastRowLastColumn="0"/>
            <w:tcW w:w="1417" w:type="dxa"/>
          </w:tcPr>
          <w:p w14:paraId="0CC441BC" w14:textId="77777777" w:rsidR="009169E8" w:rsidRDefault="009169E8" w:rsidP="00E134FF">
            <w:pPr>
              <w:pStyle w:val="Tabletext"/>
            </w:pPr>
            <w:r>
              <w:t>82</w:t>
            </w:r>
          </w:p>
        </w:tc>
        <w:tc>
          <w:tcPr>
            <w:cnfStyle w:val="000001000000" w:firstRow="0" w:lastRow="0" w:firstColumn="0" w:lastColumn="0" w:oddVBand="0" w:evenVBand="1" w:oddHBand="0" w:evenHBand="0" w:firstRowFirstColumn="0" w:firstRowLastColumn="0" w:lastRowFirstColumn="0" w:lastRowLastColumn="0"/>
            <w:tcW w:w="1418" w:type="dxa"/>
          </w:tcPr>
          <w:p w14:paraId="601A913A" w14:textId="77777777" w:rsidR="009169E8" w:rsidRDefault="009169E8" w:rsidP="00E134FF">
            <w:pPr>
              <w:pStyle w:val="Tabletext"/>
            </w:pPr>
            <w:r>
              <w:t>82</w:t>
            </w:r>
          </w:p>
        </w:tc>
      </w:tr>
      <w:tr w:rsidR="009169E8" w14:paraId="7661A227" w14:textId="77777777" w:rsidTr="006102CF">
        <w:trPr>
          <w:trHeight w:val="113"/>
        </w:trPr>
        <w:tc>
          <w:tcPr>
            <w:cnfStyle w:val="000010000000" w:firstRow="0" w:lastRow="0" w:firstColumn="0" w:lastColumn="0" w:oddVBand="1" w:evenVBand="0" w:oddHBand="0" w:evenHBand="0" w:firstRowFirstColumn="0" w:firstRowLastColumn="0" w:lastRowFirstColumn="0" w:lastRowLastColumn="0"/>
            <w:tcW w:w="5953" w:type="dxa"/>
          </w:tcPr>
          <w:p w14:paraId="678F9E7C" w14:textId="77777777" w:rsidR="009169E8" w:rsidRDefault="009169E8" w:rsidP="00E134FF">
            <w:pPr>
              <w:pStyle w:val="Tabletext"/>
            </w:pPr>
            <w:r>
              <w:t>6: Fortuitous (cause unrelated to surgery or anaesthesia)</w:t>
            </w:r>
          </w:p>
        </w:tc>
        <w:tc>
          <w:tcPr>
            <w:cnfStyle w:val="000001000000" w:firstRow="0" w:lastRow="0" w:firstColumn="0" w:lastColumn="0" w:oddVBand="0" w:evenVBand="1" w:oddHBand="0" w:evenHBand="0" w:firstRowFirstColumn="0" w:firstRowLastColumn="0" w:lastRowFirstColumn="0" w:lastRowLastColumn="0"/>
            <w:tcW w:w="1417" w:type="dxa"/>
          </w:tcPr>
          <w:p w14:paraId="0BBFE2FA" w14:textId="77777777" w:rsidR="009169E8" w:rsidRDefault="009169E8" w:rsidP="00E134FF">
            <w:pPr>
              <w:pStyle w:val="Tabletext"/>
            </w:pPr>
            <w:r>
              <w:t>0</w:t>
            </w:r>
          </w:p>
        </w:tc>
        <w:tc>
          <w:tcPr>
            <w:cnfStyle w:val="000010000000" w:firstRow="0" w:lastRow="0" w:firstColumn="0" w:lastColumn="0" w:oddVBand="1" w:evenVBand="0" w:oddHBand="0" w:evenHBand="0" w:firstRowFirstColumn="0" w:firstRowLastColumn="0" w:lastRowFirstColumn="0" w:lastRowLastColumn="0"/>
            <w:tcW w:w="1417" w:type="dxa"/>
          </w:tcPr>
          <w:p w14:paraId="5B7341D2" w14:textId="77777777" w:rsidR="009169E8" w:rsidRDefault="009169E8" w:rsidP="00E134FF">
            <w:pPr>
              <w:pStyle w:val="Tabletext"/>
            </w:pPr>
            <w:r>
              <w:t>6</w:t>
            </w:r>
          </w:p>
        </w:tc>
        <w:tc>
          <w:tcPr>
            <w:cnfStyle w:val="000001000000" w:firstRow="0" w:lastRow="0" w:firstColumn="0" w:lastColumn="0" w:oddVBand="0" w:evenVBand="1" w:oddHBand="0" w:evenHBand="0" w:firstRowFirstColumn="0" w:firstRowLastColumn="0" w:lastRowFirstColumn="0" w:lastRowLastColumn="0"/>
            <w:tcW w:w="1418" w:type="dxa"/>
          </w:tcPr>
          <w:p w14:paraId="6FB10D8C" w14:textId="77777777" w:rsidR="009169E8" w:rsidRDefault="009169E8" w:rsidP="00E134FF">
            <w:pPr>
              <w:pStyle w:val="Tabletext"/>
            </w:pPr>
            <w:r>
              <w:t>6</w:t>
            </w:r>
          </w:p>
        </w:tc>
      </w:tr>
      <w:tr w:rsidR="009169E8" w14:paraId="14BF4162" w14:textId="77777777" w:rsidTr="006102C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53" w:type="dxa"/>
          </w:tcPr>
          <w:p w14:paraId="1A969A65" w14:textId="77777777" w:rsidR="009169E8" w:rsidRPr="00E134FF" w:rsidRDefault="009169E8" w:rsidP="00E134FF">
            <w:pPr>
              <w:pStyle w:val="Tabletext"/>
              <w:rPr>
                <w:b/>
              </w:rPr>
            </w:pPr>
            <w:proofErr w:type="spellStart"/>
            <w:r w:rsidRPr="00E134FF">
              <w:rPr>
                <w:b/>
              </w:rPr>
              <w:t>Unassessable</w:t>
            </w:r>
            <w:proofErr w:type="spellEnd"/>
            <w:r w:rsidRPr="00E134FF">
              <w:rPr>
                <w:b/>
              </w:rPr>
              <w:t xml:space="preserve"> mortality/morbidity: one case</w:t>
            </w:r>
          </w:p>
        </w:tc>
        <w:tc>
          <w:tcPr>
            <w:cnfStyle w:val="000001000000" w:firstRow="0" w:lastRow="0" w:firstColumn="0" w:lastColumn="0" w:oddVBand="0" w:evenVBand="1" w:oddHBand="0" w:evenHBand="0" w:firstRowFirstColumn="0" w:firstRowLastColumn="0" w:lastRowFirstColumn="0" w:lastRowLastColumn="0"/>
            <w:tcW w:w="1417" w:type="dxa"/>
          </w:tcPr>
          <w:p w14:paraId="1EADE1A5" w14:textId="77777777" w:rsidR="009169E8" w:rsidRPr="00D95CBE" w:rsidRDefault="009169E8" w:rsidP="00D95CBE">
            <w:pPr>
              <w:pStyle w:val="Tabletext"/>
            </w:pPr>
          </w:p>
        </w:tc>
        <w:tc>
          <w:tcPr>
            <w:cnfStyle w:val="000010000000" w:firstRow="0" w:lastRow="0" w:firstColumn="0" w:lastColumn="0" w:oddVBand="1" w:evenVBand="0" w:oddHBand="0" w:evenHBand="0" w:firstRowFirstColumn="0" w:firstRowLastColumn="0" w:lastRowFirstColumn="0" w:lastRowLastColumn="0"/>
            <w:tcW w:w="1417" w:type="dxa"/>
          </w:tcPr>
          <w:p w14:paraId="0FB63F53" w14:textId="77777777" w:rsidR="009169E8" w:rsidRPr="00D95CBE" w:rsidRDefault="009169E8" w:rsidP="00D95CBE">
            <w:pPr>
              <w:pStyle w:val="Tabletext"/>
            </w:pPr>
          </w:p>
        </w:tc>
        <w:tc>
          <w:tcPr>
            <w:cnfStyle w:val="000001000000" w:firstRow="0" w:lastRow="0" w:firstColumn="0" w:lastColumn="0" w:oddVBand="0" w:evenVBand="1" w:oddHBand="0" w:evenHBand="0" w:firstRowFirstColumn="0" w:firstRowLastColumn="0" w:lastRowFirstColumn="0" w:lastRowLastColumn="0"/>
            <w:tcW w:w="1418" w:type="dxa"/>
          </w:tcPr>
          <w:p w14:paraId="5DA81876" w14:textId="39716375" w:rsidR="009169E8" w:rsidRPr="00D95CBE" w:rsidRDefault="00D95CBE" w:rsidP="00D95CBE">
            <w:pPr>
              <w:pStyle w:val="Tabletext"/>
            </w:pPr>
            <w:r>
              <w:t>1</w:t>
            </w:r>
          </w:p>
        </w:tc>
      </w:tr>
      <w:tr w:rsidR="009169E8" w14:paraId="018E39BC" w14:textId="77777777" w:rsidTr="006102CF">
        <w:trPr>
          <w:trHeight w:val="113"/>
        </w:trPr>
        <w:tc>
          <w:tcPr>
            <w:cnfStyle w:val="000010000000" w:firstRow="0" w:lastRow="0" w:firstColumn="0" w:lastColumn="0" w:oddVBand="1" w:evenVBand="0" w:oddHBand="0" w:evenHBand="0" w:firstRowFirstColumn="0" w:firstRowLastColumn="0" w:lastRowFirstColumn="0" w:lastRowLastColumn="0"/>
            <w:tcW w:w="5953" w:type="dxa"/>
          </w:tcPr>
          <w:p w14:paraId="083C1044" w14:textId="77777777" w:rsidR="009169E8" w:rsidRDefault="009169E8" w:rsidP="00E134FF">
            <w:pPr>
              <w:pStyle w:val="Tabletext"/>
            </w:pPr>
            <w:r>
              <w:t>7: Could not be assessed despite considerable data</w:t>
            </w:r>
          </w:p>
        </w:tc>
        <w:tc>
          <w:tcPr>
            <w:cnfStyle w:val="000001000000" w:firstRow="0" w:lastRow="0" w:firstColumn="0" w:lastColumn="0" w:oddVBand="0" w:evenVBand="1" w:oddHBand="0" w:evenHBand="0" w:firstRowFirstColumn="0" w:firstRowLastColumn="0" w:lastRowFirstColumn="0" w:lastRowLastColumn="0"/>
            <w:tcW w:w="1417" w:type="dxa"/>
          </w:tcPr>
          <w:p w14:paraId="0348B502" w14:textId="77777777" w:rsidR="009169E8" w:rsidRDefault="009169E8" w:rsidP="00E134FF">
            <w:pPr>
              <w:pStyle w:val="Tabletext"/>
            </w:pPr>
            <w:r>
              <w:t>0</w:t>
            </w:r>
          </w:p>
        </w:tc>
        <w:tc>
          <w:tcPr>
            <w:cnfStyle w:val="000010000000" w:firstRow="0" w:lastRow="0" w:firstColumn="0" w:lastColumn="0" w:oddVBand="1" w:evenVBand="0" w:oddHBand="0" w:evenHBand="0" w:firstRowFirstColumn="0" w:firstRowLastColumn="0" w:lastRowFirstColumn="0" w:lastRowLastColumn="0"/>
            <w:tcW w:w="1417" w:type="dxa"/>
          </w:tcPr>
          <w:p w14:paraId="1754B8F7" w14:textId="77777777" w:rsidR="009169E8" w:rsidRDefault="009169E8" w:rsidP="00E134FF">
            <w:pPr>
              <w:pStyle w:val="Tabletext"/>
            </w:pPr>
            <w:r>
              <w:t>0</w:t>
            </w:r>
          </w:p>
        </w:tc>
        <w:tc>
          <w:tcPr>
            <w:cnfStyle w:val="000001000000" w:firstRow="0" w:lastRow="0" w:firstColumn="0" w:lastColumn="0" w:oddVBand="0" w:evenVBand="1" w:oddHBand="0" w:evenHBand="0" w:firstRowFirstColumn="0" w:firstRowLastColumn="0" w:lastRowFirstColumn="0" w:lastRowLastColumn="0"/>
            <w:tcW w:w="1418" w:type="dxa"/>
          </w:tcPr>
          <w:p w14:paraId="284887CB" w14:textId="77777777" w:rsidR="009169E8" w:rsidRDefault="009169E8" w:rsidP="00E134FF">
            <w:pPr>
              <w:pStyle w:val="Tabletext"/>
            </w:pPr>
            <w:r>
              <w:t>0</w:t>
            </w:r>
          </w:p>
        </w:tc>
      </w:tr>
      <w:tr w:rsidR="009169E8" w14:paraId="537E4AAE" w14:textId="77777777" w:rsidTr="006102C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53" w:type="dxa"/>
          </w:tcPr>
          <w:p w14:paraId="4849A39C" w14:textId="77777777" w:rsidR="009169E8" w:rsidRDefault="009169E8" w:rsidP="00E134FF">
            <w:pPr>
              <w:pStyle w:val="Tabletext"/>
            </w:pPr>
            <w:r>
              <w:t>8: Could not be assessed due to inadequate data</w:t>
            </w:r>
          </w:p>
        </w:tc>
        <w:tc>
          <w:tcPr>
            <w:cnfStyle w:val="000001000000" w:firstRow="0" w:lastRow="0" w:firstColumn="0" w:lastColumn="0" w:oddVBand="0" w:evenVBand="1" w:oddHBand="0" w:evenHBand="0" w:firstRowFirstColumn="0" w:firstRowLastColumn="0" w:lastRowFirstColumn="0" w:lastRowLastColumn="0"/>
            <w:tcW w:w="1417" w:type="dxa"/>
          </w:tcPr>
          <w:p w14:paraId="4C1667FF" w14:textId="77777777" w:rsidR="009169E8" w:rsidRDefault="009169E8" w:rsidP="00E134FF">
            <w:pPr>
              <w:pStyle w:val="Tabletext"/>
            </w:pPr>
            <w:r>
              <w:t>0</w:t>
            </w:r>
          </w:p>
        </w:tc>
        <w:tc>
          <w:tcPr>
            <w:cnfStyle w:val="000010000000" w:firstRow="0" w:lastRow="0" w:firstColumn="0" w:lastColumn="0" w:oddVBand="1" w:evenVBand="0" w:oddHBand="0" w:evenHBand="0" w:firstRowFirstColumn="0" w:firstRowLastColumn="0" w:lastRowFirstColumn="0" w:lastRowLastColumn="0"/>
            <w:tcW w:w="1417" w:type="dxa"/>
          </w:tcPr>
          <w:p w14:paraId="12A07C27" w14:textId="77777777" w:rsidR="009169E8" w:rsidRDefault="009169E8" w:rsidP="00E134FF">
            <w:pPr>
              <w:pStyle w:val="Tabletext"/>
            </w:pPr>
            <w:r>
              <w:t>0</w:t>
            </w:r>
          </w:p>
        </w:tc>
        <w:tc>
          <w:tcPr>
            <w:cnfStyle w:val="000001000000" w:firstRow="0" w:lastRow="0" w:firstColumn="0" w:lastColumn="0" w:oddVBand="0" w:evenVBand="1" w:oddHBand="0" w:evenHBand="0" w:firstRowFirstColumn="0" w:firstRowLastColumn="0" w:lastRowFirstColumn="0" w:lastRowLastColumn="0"/>
            <w:tcW w:w="1418" w:type="dxa"/>
          </w:tcPr>
          <w:p w14:paraId="31C7A7D4" w14:textId="77777777" w:rsidR="009169E8" w:rsidRDefault="009169E8" w:rsidP="00E134FF">
            <w:pPr>
              <w:pStyle w:val="Tabletext"/>
            </w:pPr>
            <w:r>
              <w:t>0</w:t>
            </w:r>
          </w:p>
        </w:tc>
      </w:tr>
      <w:tr w:rsidR="009169E8" w14:paraId="51C208B9" w14:textId="77777777" w:rsidTr="006102CF">
        <w:trPr>
          <w:trHeight w:val="113"/>
        </w:trPr>
        <w:tc>
          <w:tcPr>
            <w:cnfStyle w:val="000010000000" w:firstRow="0" w:lastRow="0" w:firstColumn="0" w:lastColumn="0" w:oddVBand="1" w:evenVBand="0" w:oddHBand="0" w:evenHBand="0" w:firstRowFirstColumn="0" w:firstRowLastColumn="0" w:lastRowFirstColumn="0" w:lastRowLastColumn="0"/>
            <w:tcW w:w="5953" w:type="dxa"/>
          </w:tcPr>
          <w:p w14:paraId="2F03C6CF" w14:textId="77777777" w:rsidR="009169E8" w:rsidRDefault="009169E8" w:rsidP="00E134FF">
            <w:pPr>
              <w:pStyle w:val="Tabletext"/>
            </w:pPr>
            <w:r>
              <w:t>9: Critical incident, with no morbidity or mortality</w:t>
            </w:r>
          </w:p>
        </w:tc>
        <w:tc>
          <w:tcPr>
            <w:cnfStyle w:val="000001000000" w:firstRow="0" w:lastRow="0" w:firstColumn="0" w:lastColumn="0" w:oddVBand="0" w:evenVBand="1" w:oddHBand="0" w:evenHBand="0" w:firstRowFirstColumn="0" w:firstRowLastColumn="0" w:lastRowFirstColumn="0" w:lastRowLastColumn="0"/>
            <w:tcW w:w="1417" w:type="dxa"/>
          </w:tcPr>
          <w:p w14:paraId="3EEEC59F" w14:textId="77777777" w:rsidR="009169E8" w:rsidRDefault="009169E8" w:rsidP="00E134FF">
            <w:pPr>
              <w:pStyle w:val="Tabletext"/>
            </w:pPr>
            <w:r>
              <w:t>1</w:t>
            </w:r>
          </w:p>
        </w:tc>
        <w:tc>
          <w:tcPr>
            <w:cnfStyle w:val="000010000000" w:firstRow="0" w:lastRow="0" w:firstColumn="0" w:lastColumn="0" w:oddVBand="1" w:evenVBand="0" w:oddHBand="0" w:evenHBand="0" w:firstRowFirstColumn="0" w:firstRowLastColumn="0" w:lastRowFirstColumn="0" w:lastRowLastColumn="0"/>
            <w:tcW w:w="1417" w:type="dxa"/>
          </w:tcPr>
          <w:p w14:paraId="6920371B" w14:textId="77777777" w:rsidR="009169E8" w:rsidRDefault="009169E8" w:rsidP="00E134FF">
            <w:pPr>
              <w:pStyle w:val="Tabletext"/>
            </w:pPr>
            <w:r>
              <w:t>0</w:t>
            </w:r>
          </w:p>
        </w:tc>
        <w:tc>
          <w:tcPr>
            <w:cnfStyle w:val="000001000000" w:firstRow="0" w:lastRow="0" w:firstColumn="0" w:lastColumn="0" w:oddVBand="0" w:evenVBand="1" w:oddHBand="0" w:evenHBand="0" w:firstRowFirstColumn="0" w:firstRowLastColumn="0" w:lastRowFirstColumn="0" w:lastRowLastColumn="0"/>
            <w:tcW w:w="1418" w:type="dxa"/>
          </w:tcPr>
          <w:p w14:paraId="13EEF88E" w14:textId="77777777" w:rsidR="009169E8" w:rsidRDefault="009169E8" w:rsidP="00E134FF">
            <w:pPr>
              <w:pStyle w:val="Tabletext"/>
            </w:pPr>
            <w:r>
              <w:t>1</w:t>
            </w:r>
          </w:p>
        </w:tc>
      </w:tr>
      <w:tr w:rsidR="009169E8" w14:paraId="11C749BB" w14:textId="77777777" w:rsidTr="006102C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53" w:type="dxa"/>
          </w:tcPr>
          <w:p w14:paraId="1BD57055" w14:textId="77777777" w:rsidR="009169E8" w:rsidRDefault="009169E8" w:rsidP="00E134FF">
            <w:pPr>
              <w:pStyle w:val="Tabletext"/>
            </w:pPr>
            <w:r>
              <w:t>10: Morbidity with satisfactory anaesthesia and surgical techniques</w:t>
            </w:r>
          </w:p>
        </w:tc>
        <w:tc>
          <w:tcPr>
            <w:cnfStyle w:val="000001000000" w:firstRow="0" w:lastRow="0" w:firstColumn="0" w:lastColumn="0" w:oddVBand="0" w:evenVBand="1" w:oddHBand="0" w:evenHBand="0" w:firstRowFirstColumn="0" w:firstRowLastColumn="0" w:lastRowFirstColumn="0" w:lastRowLastColumn="0"/>
            <w:tcW w:w="1417" w:type="dxa"/>
          </w:tcPr>
          <w:p w14:paraId="66433F86" w14:textId="77777777" w:rsidR="009169E8" w:rsidRDefault="009169E8" w:rsidP="00E134FF">
            <w:pPr>
              <w:pStyle w:val="Tabletext"/>
            </w:pPr>
            <w:r>
              <w:t>0</w:t>
            </w:r>
          </w:p>
        </w:tc>
        <w:tc>
          <w:tcPr>
            <w:cnfStyle w:val="000010000000" w:firstRow="0" w:lastRow="0" w:firstColumn="0" w:lastColumn="0" w:oddVBand="1" w:evenVBand="0" w:oddHBand="0" w:evenHBand="0" w:firstRowFirstColumn="0" w:firstRowLastColumn="0" w:lastRowFirstColumn="0" w:lastRowLastColumn="0"/>
            <w:tcW w:w="1417" w:type="dxa"/>
          </w:tcPr>
          <w:p w14:paraId="3CE8DEEE" w14:textId="77777777" w:rsidR="009169E8" w:rsidRDefault="009169E8" w:rsidP="00E134FF">
            <w:pPr>
              <w:pStyle w:val="Tabletext"/>
            </w:pPr>
            <w:r>
              <w:t>0</w:t>
            </w:r>
          </w:p>
        </w:tc>
        <w:tc>
          <w:tcPr>
            <w:cnfStyle w:val="000001000000" w:firstRow="0" w:lastRow="0" w:firstColumn="0" w:lastColumn="0" w:oddVBand="0" w:evenVBand="1" w:oddHBand="0" w:evenHBand="0" w:firstRowFirstColumn="0" w:firstRowLastColumn="0" w:lastRowFirstColumn="0" w:lastRowLastColumn="0"/>
            <w:tcW w:w="1418" w:type="dxa"/>
          </w:tcPr>
          <w:p w14:paraId="4CBD35D7" w14:textId="77777777" w:rsidR="009169E8" w:rsidRDefault="009169E8" w:rsidP="00E134FF">
            <w:pPr>
              <w:pStyle w:val="Tabletext"/>
            </w:pPr>
            <w:r>
              <w:t>0</w:t>
            </w:r>
          </w:p>
        </w:tc>
      </w:tr>
      <w:tr w:rsidR="009169E8" w14:paraId="3D27518D" w14:textId="77777777" w:rsidTr="006102CF">
        <w:trPr>
          <w:cnfStyle w:val="010000000000" w:firstRow="0" w:lastRow="1" w:firstColumn="0" w:lastColumn="0" w:oddVBand="0" w:evenVBand="0" w:oddHBand="0"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953" w:type="dxa"/>
          </w:tcPr>
          <w:p w14:paraId="25644F7F" w14:textId="77777777" w:rsidR="009169E8" w:rsidRPr="00E134FF" w:rsidRDefault="009169E8" w:rsidP="00E134FF">
            <w:pPr>
              <w:pStyle w:val="Tabletext"/>
              <w:rPr>
                <w:b w:val="0"/>
              </w:rPr>
            </w:pPr>
            <w:r w:rsidRPr="00E134FF">
              <w:t>Total</w:t>
            </w:r>
          </w:p>
        </w:tc>
        <w:tc>
          <w:tcPr>
            <w:cnfStyle w:val="000001000000" w:firstRow="0" w:lastRow="0" w:firstColumn="0" w:lastColumn="0" w:oddVBand="0" w:evenVBand="1" w:oddHBand="0" w:evenHBand="0" w:firstRowFirstColumn="0" w:firstRowLastColumn="0" w:lastRowFirstColumn="0" w:lastRowLastColumn="0"/>
            <w:tcW w:w="1417" w:type="dxa"/>
          </w:tcPr>
          <w:p w14:paraId="144A7655" w14:textId="77777777" w:rsidR="009169E8" w:rsidRPr="00E134FF" w:rsidRDefault="009169E8" w:rsidP="00E134FF">
            <w:pPr>
              <w:pStyle w:val="Tabletext"/>
              <w:rPr>
                <w:b w:val="0"/>
              </w:rPr>
            </w:pPr>
            <w:r w:rsidRPr="00E134FF">
              <w:t>57</w:t>
            </w:r>
          </w:p>
        </w:tc>
        <w:tc>
          <w:tcPr>
            <w:cnfStyle w:val="000010000000" w:firstRow="0" w:lastRow="0" w:firstColumn="0" w:lastColumn="0" w:oddVBand="1" w:evenVBand="0" w:oddHBand="0" w:evenHBand="0" w:firstRowFirstColumn="0" w:firstRowLastColumn="0" w:lastRowFirstColumn="0" w:lastRowLastColumn="0"/>
            <w:tcW w:w="1417" w:type="dxa"/>
          </w:tcPr>
          <w:p w14:paraId="07AA6164" w14:textId="77777777" w:rsidR="009169E8" w:rsidRPr="00E134FF" w:rsidRDefault="009169E8" w:rsidP="00E134FF">
            <w:pPr>
              <w:pStyle w:val="Tabletext"/>
              <w:rPr>
                <w:b w:val="0"/>
              </w:rPr>
            </w:pPr>
            <w:r w:rsidRPr="00E134FF">
              <w:t>181</w:t>
            </w:r>
          </w:p>
        </w:tc>
        <w:tc>
          <w:tcPr>
            <w:cnfStyle w:val="000001000000" w:firstRow="0" w:lastRow="0" w:firstColumn="0" w:lastColumn="0" w:oddVBand="0" w:evenVBand="1" w:oddHBand="0" w:evenHBand="0" w:firstRowFirstColumn="0" w:firstRowLastColumn="0" w:lastRowFirstColumn="0" w:lastRowLastColumn="0"/>
            <w:tcW w:w="1418" w:type="dxa"/>
          </w:tcPr>
          <w:p w14:paraId="2E66E9E2" w14:textId="77777777" w:rsidR="009169E8" w:rsidRPr="00E134FF" w:rsidRDefault="009169E8" w:rsidP="00E134FF">
            <w:pPr>
              <w:pStyle w:val="Tabletext"/>
              <w:rPr>
                <w:b w:val="0"/>
              </w:rPr>
            </w:pPr>
            <w:r w:rsidRPr="00E134FF">
              <w:t xml:space="preserve"> 238</w:t>
            </w:r>
          </w:p>
        </w:tc>
      </w:tr>
    </w:tbl>
    <w:p w14:paraId="7C5A93B6" w14:textId="77777777" w:rsidR="009169E8" w:rsidRDefault="009169E8" w:rsidP="004A006C">
      <w:pPr>
        <w:pStyle w:val="DHHStablefigurenote"/>
        <w:ind w:left="227" w:hanging="227"/>
      </w:pPr>
      <w:r>
        <w:t xml:space="preserve">* </w:t>
      </w:r>
      <w:r>
        <w:tab/>
        <w:t>A full description of categories is provided in Appendix 2.</w:t>
      </w:r>
    </w:p>
    <w:p w14:paraId="39E1B57D" w14:textId="77777777" w:rsidR="009169E8" w:rsidRDefault="009169E8" w:rsidP="00BB165F">
      <w:pPr>
        <w:pStyle w:val="Heading3"/>
      </w:pPr>
      <w:r>
        <w:t>Mortality classifications</w:t>
      </w:r>
    </w:p>
    <w:p w14:paraId="22FC465E" w14:textId="77777777" w:rsidR="009169E8" w:rsidRDefault="009169E8" w:rsidP="008E28A3">
      <w:pPr>
        <w:pStyle w:val="DHHSbody"/>
      </w:pPr>
      <w:r>
        <w:t>Of the 181 mortality events, 58 (32 per cent) were considered anaesthesia-related (categories 1–3). Twelve of these events were deemed category 1 (reasonably certain due to anaesthetic factors).</w:t>
      </w:r>
    </w:p>
    <w:p w14:paraId="43244257" w14:textId="3EF52DA0" w:rsidR="009169E8" w:rsidRDefault="009169E8" w:rsidP="008E28A3">
      <w:pPr>
        <w:pStyle w:val="DHHSbody"/>
      </w:pPr>
      <w:r>
        <w:lastRenderedPageBreak/>
        <w:t>Of the 181 mortality events, 123 (68.3 per cent) were considered non-anaesthesia-related (categories 4–10).</w:t>
      </w:r>
    </w:p>
    <w:p w14:paraId="6111D44D" w14:textId="77777777" w:rsidR="009169E8" w:rsidRDefault="009169E8" w:rsidP="00BB165F">
      <w:pPr>
        <w:pStyle w:val="Heading3"/>
      </w:pPr>
      <w:r>
        <w:t>Morbidity classifications</w:t>
      </w:r>
    </w:p>
    <w:p w14:paraId="040A7FDE" w14:textId="77777777" w:rsidR="009169E8" w:rsidRDefault="009169E8" w:rsidP="008E28A3">
      <w:pPr>
        <w:pStyle w:val="DHHSbody"/>
      </w:pPr>
      <w:r>
        <w:t>Of the 57 morbidity events, 52 (91.2 per cent) were classified as anaesthesia-related. This is not unexpected in a voluntary reporting system where morbidity reports are predominantly submitted by anaesthetists.</w:t>
      </w:r>
    </w:p>
    <w:p w14:paraId="21D81EB9" w14:textId="77777777" w:rsidR="009169E8" w:rsidRDefault="009169E8" w:rsidP="00BB165F">
      <w:pPr>
        <w:pStyle w:val="Heading3"/>
      </w:pPr>
      <w:r>
        <w:t>Demographics of classified cases</w:t>
      </w:r>
    </w:p>
    <w:p w14:paraId="7B1F6616" w14:textId="77777777" w:rsidR="009169E8" w:rsidRDefault="009169E8" w:rsidP="008E28A3">
      <w:pPr>
        <w:pStyle w:val="DHHSbody"/>
      </w:pPr>
      <w:r>
        <w:t>For the events classified as anaesthesia-related (categories 1–3), male and female patients were fairly equally represented.</w:t>
      </w:r>
    </w:p>
    <w:p w14:paraId="7E9C53BF" w14:textId="77777777" w:rsidR="009169E8" w:rsidRDefault="009169E8" w:rsidP="008E28A3">
      <w:pPr>
        <w:pStyle w:val="DHHSbody"/>
      </w:pPr>
      <w:r>
        <w:t>For the events classified as anaesthesia-related (categories 1–3), 81 per cent (47/58) of the anaesthesia-related mortality events occurred in patients aged over 60 years, with just over half (51.7 per cent; 30/58) occurring in patients aged over 80 years (Figure 1). The morbidity events were more evenly spread across age groups.</w:t>
      </w:r>
    </w:p>
    <w:p w14:paraId="4E45CD08" w14:textId="77777777" w:rsidR="009169E8" w:rsidRDefault="009169E8" w:rsidP="008E28A3">
      <w:pPr>
        <w:pStyle w:val="DHHSbody"/>
      </w:pPr>
      <w:r>
        <w:t xml:space="preserve">For the non-anaesthesia-related and </w:t>
      </w:r>
      <w:proofErr w:type="spellStart"/>
      <w:r>
        <w:t>unassessable</w:t>
      </w:r>
      <w:proofErr w:type="spellEnd"/>
      <w:r>
        <w:t xml:space="preserve"> events (categories 4–10), 87.8 per cent (108/123) of the mortality events occurred in patients aged over 60 years (Figure 2).</w:t>
      </w:r>
    </w:p>
    <w:p w14:paraId="66D7957A" w14:textId="77777777" w:rsidR="009169E8" w:rsidRDefault="009169E8" w:rsidP="00B8026E">
      <w:pPr>
        <w:pStyle w:val="Tablechartdiagramheading"/>
      </w:pPr>
      <w:r>
        <w:t>Figure 1: Age distribution of anaesthesia-related events (categories 1–3)</w:t>
      </w:r>
    </w:p>
    <w:tbl>
      <w:tblPr>
        <w:tblStyle w:val="PlainTable2"/>
        <w:tblW w:w="0" w:type="auto"/>
        <w:tblLayout w:type="fixed"/>
        <w:tblLook w:val="0060" w:firstRow="1" w:lastRow="1" w:firstColumn="0" w:lastColumn="0" w:noHBand="0" w:noVBand="0"/>
      </w:tblPr>
      <w:tblGrid>
        <w:gridCol w:w="1899"/>
        <w:gridCol w:w="1021"/>
        <w:gridCol w:w="1020"/>
        <w:gridCol w:w="1021"/>
      </w:tblGrid>
      <w:tr w:rsidR="009169E8" w14:paraId="12165713" w14:textId="77777777" w:rsidTr="000F54D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1899" w:type="dxa"/>
          </w:tcPr>
          <w:p w14:paraId="778E66E6" w14:textId="77777777" w:rsidR="009169E8" w:rsidRPr="000F54D3" w:rsidRDefault="009169E8" w:rsidP="00A90D07">
            <w:pPr>
              <w:pStyle w:val="Tableheader"/>
              <w:rPr>
                <w:b/>
              </w:rPr>
            </w:pPr>
            <w:r w:rsidRPr="000F54D3">
              <w:rPr>
                <w:b/>
              </w:rPr>
              <w:t>Patient age</w:t>
            </w:r>
          </w:p>
        </w:tc>
        <w:tc>
          <w:tcPr>
            <w:cnfStyle w:val="000001000000" w:firstRow="0" w:lastRow="0" w:firstColumn="0" w:lastColumn="0" w:oddVBand="0" w:evenVBand="1" w:oddHBand="0" w:evenHBand="0" w:firstRowFirstColumn="0" w:firstRowLastColumn="0" w:lastRowFirstColumn="0" w:lastRowLastColumn="0"/>
            <w:tcW w:w="1021" w:type="dxa"/>
          </w:tcPr>
          <w:p w14:paraId="2D0E6FE1" w14:textId="77777777" w:rsidR="009169E8" w:rsidRPr="000F54D3" w:rsidRDefault="009169E8" w:rsidP="00A90D07">
            <w:pPr>
              <w:pStyle w:val="Tableheader"/>
              <w:rPr>
                <w:b/>
              </w:rPr>
            </w:pPr>
            <w:r w:rsidRPr="000F54D3">
              <w:rPr>
                <w:b/>
              </w:rPr>
              <w:t>Morbidity</w:t>
            </w:r>
          </w:p>
        </w:tc>
        <w:tc>
          <w:tcPr>
            <w:cnfStyle w:val="000010000000" w:firstRow="0" w:lastRow="0" w:firstColumn="0" w:lastColumn="0" w:oddVBand="1" w:evenVBand="0" w:oddHBand="0" w:evenHBand="0" w:firstRowFirstColumn="0" w:firstRowLastColumn="0" w:lastRowFirstColumn="0" w:lastRowLastColumn="0"/>
            <w:tcW w:w="1020" w:type="dxa"/>
          </w:tcPr>
          <w:p w14:paraId="1DE6DAFD" w14:textId="77777777" w:rsidR="009169E8" w:rsidRPr="000F54D3" w:rsidRDefault="009169E8" w:rsidP="00A90D07">
            <w:pPr>
              <w:pStyle w:val="Tableheader"/>
              <w:rPr>
                <w:b/>
              </w:rPr>
            </w:pPr>
            <w:r w:rsidRPr="000F54D3">
              <w:rPr>
                <w:b/>
              </w:rPr>
              <w:t>Mortality</w:t>
            </w:r>
          </w:p>
        </w:tc>
        <w:tc>
          <w:tcPr>
            <w:cnfStyle w:val="000001000000" w:firstRow="0" w:lastRow="0" w:firstColumn="0" w:lastColumn="0" w:oddVBand="0" w:evenVBand="1" w:oddHBand="0" w:evenHBand="0" w:firstRowFirstColumn="0" w:firstRowLastColumn="0" w:lastRowFirstColumn="0" w:lastRowLastColumn="0"/>
            <w:tcW w:w="1021" w:type="dxa"/>
          </w:tcPr>
          <w:p w14:paraId="3C6BE3FE" w14:textId="77777777" w:rsidR="009169E8" w:rsidRPr="000F54D3" w:rsidRDefault="009169E8" w:rsidP="00A90D07">
            <w:pPr>
              <w:pStyle w:val="Tableheader"/>
              <w:rPr>
                <w:b/>
              </w:rPr>
            </w:pPr>
            <w:r w:rsidRPr="000F54D3">
              <w:rPr>
                <w:b/>
              </w:rPr>
              <w:t xml:space="preserve"> Total</w:t>
            </w:r>
          </w:p>
        </w:tc>
      </w:tr>
      <w:tr w:rsidR="009169E8" w14:paraId="72DA8D47" w14:textId="77777777" w:rsidTr="000F54D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899" w:type="dxa"/>
          </w:tcPr>
          <w:p w14:paraId="7E173888" w14:textId="77777777" w:rsidR="009169E8" w:rsidRDefault="009169E8" w:rsidP="008337EF">
            <w:pPr>
              <w:pStyle w:val="Tabletext"/>
            </w:pPr>
            <w:r>
              <w:t>0–30</w:t>
            </w:r>
          </w:p>
        </w:tc>
        <w:tc>
          <w:tcPr>
            <w:cnfStyle w:val="000001000000" w:firstRow="0" w:lastRow="0" w:firstColumn="0" w:lastColumn="0" w:oddVBand="0" w:evenVBand="1" w:oddHBand="0" w:evenHBand="0" w:firstRowFirstColumn="0" w:firstRowLastColumn="0" w:lastRowFirstColumn="0" w:lastRowLastColumn="0"/>
            <w:tcW w:w="1021" w:type="dxa"/>
          </w:tcPr>
          <w:p w14:paraId="5BE0C84B" w14:textId="77777777" w:rsidR="009169E8" w:rsidRDefault="009169E8" w:rsidP="008337EF">
            <w:pPr>
              <w:pStyle w:val="Tabletext"/>
            </w:pPr>
            <w:r>
              <w:t>10</w:t>
            </w:r>
          </w:p>
        </w:tc>
        <w:tc>
          <w:tcPr>
            <w:cnfStyle w:val="000010000000" w:firstRow="0" w:lastRow="0" w:firstColumn="0" w:lastColumn="0" w:oddVBand="1" w:evenVBand="0" w:oddHBand="0" w:evenHBand="0" w:firstRowFirstColumn="0" w:firstRowLastColumn="0" w:lastRowFirstColumn="0" w:lastRowLastColumn="0"/>
            <w:tcW w:w="1020" w:type="dxa"/>
          </w:tcPr>
          <w:p w14:paraId="5970CE12" w14:textId="77777777" w:rsidR="009169E8" w:rsidRDefault="009169E8" w:rsidP="008337EF">
            <w:pPr>
              <w:pStyle w:val="Tabletext"/>
            </w:pPr>
            <w:r>
              <w:t>0</w:t>
            </w:r>
          </w:p>
        </w:tc>
        <w:tc>
          <w:tcPr>
            <w:cnfStyle w:val="000001000000" w:firstRow="0" w:lastRow="0" w:firstColumn="0" w:lastColumn="0" w:oddVBand="0" w:evenVBand="1" w:oddHBand="0" w:evenHBand="0" w:firstRowFirstColumn="0" w:firstRowLastColumn="0" w:lastRowFirstColumn="0" w:lastRowLastColumn="0"/>
            <w:tcW w:w="1021" w:type="dxa"/>
          </w:tcPr>
          <w:p w14:paraId="579E66CC" w14:textId="77777777" w:rsidR="009169E8" w:rsidRDefault="009169E8" w:rsidP="008337EF">
            <w:pPr>
              <w:pStyle w:val="Tabletext"/>
            </w:pPr>
            <w:r>
              <w:t>10</w:t>
            </w:r>
          </w:p>
        </w:tc>
      </w:tr>
      <w:tr w:rsidR="009169E8" w14:paraId="3066BCE8" w14:textId="77777777" w:rsidTr="000F54D3">
        <w:trPr>
          <w:trHeight w:val="113"/>
        </w:trPr>
        <w:tc>
          <w:tcPr>
            <w:cnfStyle w:val="000010000000" w:firstRow="0" w:lastRow="0" w:firstColumn="0" w:lastColumn="0" w:oddVBand="1" w:evenVBand="0" w:oddHBand="0" w:evenHBand="0" w:firstRowFirstColumn="0" w:firstRowLastColumn="0" w:lastRowFirstColumn="0" w:lastRowLastColumn="0"/>
            <w:tcW w:w="1899" w:type="dxa"/>
          </w:tcPr>
          <w:p w14:paraId="456ACF95" w14:textId="77777777" w:rsidR="009169E8" w:rsidRDefault="009169E8" w:rsidP="008337EF">
            <w:pPr>
              <w:pStyle w:val="Tabletext"/>
            </w:pPr>
            <w:r>
              <w:t>31–40</w:t>
            </w:r>
          </w:p>
        </w:tc>
        <w:tc>
          <w:tcPr>
            <w:cnfStyle w:val="000001000000" w:firstRow="0" w:lastRow="0" w:firstColumn="0" w:lastColumn="0" w:oddVBand="0" w:evenVBand="1" w:oddHBand="0" w:evenHBand="0" w:firstRowFirstColumn="0" w:firstRowLastColumn="0" w:lastRowFirstColumn="0" w:lastRowLastColumn="0"/>
            <w:tcW w:w="1021" w:type="dxa"/>
          </w:tcPr>
          <w:p w14:paraId="2DAA6B76" w14:textId="77777777" w:rsidR="009169E8" w:rsidRDefault="009169E8" w:rsidP="008337EF">
            <w:pPr>
              <w:pStyle w:val="Tabletext"/>
            </w:pPr>
            <w:r>
              <w:t>8</w:t>
            </w:r>
          </w:p>
        </w:tc>
        <w:tc>
          <w:tcPr>
            <w:cnfStyle w:val="000010000000" w:firstRow="0" w:lastRow="0" w:firstColumn="0" w:lastColumn="0" w:oddVBand="1" w:evenVBand="0" w:oddHBand="0" w:evenHBand="0" w:firstRowFirstColumn="0" w:firstRowLastColumn="0" w:lastRowFirstColumn="0" w:lastRowLastColumn="0"/>
            <w:tcW w:w="1020" w:type="dxa"/>
          </w:tcPr>
          <w:p w14:paraId="7DE949A8" w14:textId="77777777" w:rsidR="009169E8" w:rsidRDefault="009169E8" w:rsidP="008337EF">
            <w:pPr>
              <w:pStyle w:val="Tabletext"/>
            </w:pPr>
            <w:r>
              <w:t>1</w:t>
            </w:r>
          </w:p>
        </w:tc>
        <w:tc>
          <w:tcPr>
            <w:cnfStyle w:val="000001000000" w:firstRow="0" w:lastRow="0" w:firstColumn="0" w:lastColumn="0" w:oddVBand="0" w:evenVBand="1" w:oddHBand="0" w:evenHBand="0" w:firstRowFirstColumn="0" w:firstRowLastColumn="0" w:lastRowFirstColumn="0" w:lastRowLastColumn="0"/>
            <w:tcW w:w="1021" w:type="dxa"/>
          </w:tcPr>
          <w:p w14:paraId="79BBB048" w14:textId="77777777" w:rsidR="009169E8" w:rsidRDefault="009169E8" w:rsidP="008337EF">
            <w:pPr>
              <w:pStyle w:val="Tabletext"/>
            </w:pPr>
            <w:r>
              <w:t>9</w:t>
            </w:r>
          </w:p>
        </w:tc>
      </w:tr>
      <w:tr w:rsidR="009169E8" w14:paraId="480FC65D" w14:textId="77777777" w:rsidTr="000F54D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899" w:type="dxa"/>
          </w:tcPr>
          <w:p w14:paraId="7069E8C5" w14:textId="77777777" w:rsidR="009169E8" w:rsidRDefault="009169E8" w:rsidP="008337EF">
            <w:pPr>
              <w:pStyle w:val="Tabletext"/>
            </w:pPr>
            <w:r>
              <w:t>41–50</w:t>
            </w:r>
          </w:p>
        </w:tc>
        <w:tc>
          <w:tcPr>
            <w:cnfStyle w:val="000001000000" w:firstRow="0" w:lastRow="0" w:firstColumn="0" w:lastColumn="0" w:oddVBand="0" w:evenVBand="1" w:oddHBand="0" w:evenHBand="0" w:firstRowFirstColumn="0" w:firstRowLastColumn="0" w:lastRowFirstColumn="0" w:lastRowLastColumn="0"/>
            <w:tcW w:w="1021" w:type="dxa"/>
          </w:tcPr>
          <w:p w14:paraId="2A13BB43" w14:textId="77777777" w:rsidR="009169E8" w:rsidRDefault="009169E8" w:rsidP="008337EF">
            <w:pPr>
              <w:pStyle w:val="Tabletext"/>
            </w:pPr>
            <w:r>
              <w:t>6</w:t>
            </w:r>
          </w:p>
        </w:tc>
        <w:tc>
          <w:tcPr>
            <w:cnfStyle w:val="000010000000" w:firstRow="0" w:lastRow="0" w:firstColumn="0" w:lastColumn="0" w:oddVBand="1" w:evenVBand="0" w:oddHBand="0" w:evenHBand="0" w:firstRowFirstColumn="0" w:firstRowLastColumn="0" w:lastRowFirstColumn="0" w:lastRowLastColumn="0"/>
            <w:tcW w:w="1020" w:type="dxa"/>
          </w:tcPr>
          <w:p w14:paraId="5203D02E" w14:textId="77777777" w:rsidR="009169E8" w:rsidRDefault="009169E8" w:rsidP="008337EF">
            <w:pPr>
              <w:pStyle w:val="Tabletext"/>
            </w:pPr>
            <w:r>
              <w:t>5</w:t>
            </w:r>
          </w:p>
        </w:tc>
        <w:tc>
          <w:tcPr>
            <w:cnfStyle w:val="000001000000" w:firstRow="0" w:lastRow="0" w:firstColumn="0" w:lastColumn="0" w:oddVBand="0" w:evenVBand="1" w:oddHBand="0" w:evenHBand="0" w:firstRowFirstColumn="0" w:firstRowLastColumn="0" w:lastRowFirstColumn="0" w:lastRowLastColumn="0"/>
            <w:tcW w:w="1021" w:type="dxa"/>
          </w:tcPr>
          <w:p w14:paraId="7756628E" w14:textId="77777777" w:rsidR="009169E8" w:rsidRDefault="009169E8" w:rsidP="008337EF">
            <w:pPr>
              <w:pStyle w:val="Tabletext"/>
            </w:pPr>
            <w:r>
              <w:t>11</w:t>
            </w:r>
          </w:p>
        </w:tc>
      </w:tr>
      <w:tr w:rsidR="009169E8" w14:paraId="039984C7" w14:textId="77777777" w:rsidTr="000F54D3">
        <w:trPr>
          <w:trHeight w:val="113"/>
        </w:trPr>
        <w:tc>
          <w:tcPr>
            <w:cnfStyle w:val="000010000000" w:firstRow="0" w:lastRow="0" w:firstColumn="0" w:lastColumn="0" w:oddVBand="1" w:evenVBand="0" w:oddHBand="0" w:evenHBand="0" w:firstRowFirstColumn="0" w:firstRowLastColumn="0" w:lastRowFirstColumn="0" w:lastRowLastColumn="0"/>
            <w:tcW w:w="1899" w:type="dxa"/>
          </w:tcPr>
          <w:p w14:paraId="2039C377" w14:textId="77777777" w:rsidR="009169E8" w:rsidRDefault="009169E8" w:rsidP="008337EF">
            <w:pPr>
              <w:pStyle w:val="Tabletext"/>
            </w:pPr>
            <w:r>
              <w:t>51–60</w:t>
            </w:r>
          </w:p>
        </w:tc>
        <w:tc>
          <w:tcPr>
            <w:cnfStyle w:val="000001000000" w:firstRow="0" w:lastRow="0" w:firstColumn="0" w:lastColumn="0" w:oddVBand="0" w:evenVBand="1" w:oddHBand="0" w:evenHBand="0" w:firstRowFirstColumn="0" w:firstRowLastColumn="0" w:lastRowFirstColumn="0" w:lastRowLastColumn="0"/>
            <w:tcW w:w="1021" w:type="dxa"/>
          </w:tcPr>
          <w:p w14:paraId="630C725D" w14:textId="77777777" w:rsidR="009169E8" w:rsidRDefault="009169E8" w:rsidP="008337EF">
            <w:pPr>
              <w:pStyle w:val="Tabletext"/>
            </w:pPr>
            <w:r>
              <w:t>7</w:t>
            </w:r>
          </w:p>
        </w:tc>
        <w:tc>
          <w:tcPr>
            <w:cnfStyle w:val="000010000000" w:firstRow="0" w:lastRow="0" w:firstColumn="0" w:lastColumn="0" w:oddVBand="1" w:evenVBand="0" w:oddHBand="0" w:evenHBand="0" w:firstRowFirstColumn="0" w:firstRowLastColumn="0" w:lastRowFirstColumn="0" w:lastRowLastColumn="0"/>
            <w:tcW w:w="1020" w:type="dxa"/>
          </w:tcPr>
          <w:p w14:paraId="6F8C3439" w14:textId="77777777" w:rsidR="009169E8" w:rsidRDefault="009169E8" w:rsidP="008337EF">
            <w:pPr>
              <w:pStyle w:val="Tabletext"/>
            </w:pPr>
            <w:r>
              <w:t>5</w:t>
            </w:r>
          </w:p>
        </w:tc>
        <w:tc>
          <w:tcPr>
            <w:cnfStyle w:val="000001000000" w:firstRow="0" w:lastRow="0" w:firstColumn="0" w:lastColumn="0" w:oddVBand="0" w:evenVBand="1" w:oddHBand="0" w:evenHBand="0" w:firstRowFirstColumn="0" w:firstRowLastColumn="0" w:lastRowFirstColumn="0" w:lastRowLastColumn="0"/>
            <w:tcW w:w="1021" w:type="dxa"/>
          </w:tcPr>
          <w:p w14:paraId="70BC51C2" w14:textId="77777777" w:rsidR="009169E8" w:rsidRDefault="009169E8" w:rsidP="008337EF">
            <w:pPr>
              <w:pStyle w:val="Tabletext"/>
            </w:pPr>
            <w:r>
              <w:t>12</w:t>
            </w:r>
          </w:p>
        </w:tc>
      </w:tr>
      <w:tr w:rsidR="009169E8" w14:paraId="244C6DF8" w14:textId="77777777" w:rsidTr="000F54D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899" w:type="dxa"/>
          </w:tcPr>
          <w:p w14:paraId="33877F2A" w14:textId="77777777" w:rsidR="009169E8" w:rsidRDefault="009169E8" w:rsidP="008337EF">
            <w:pPr>
              <w:pStyle w:val="Tabletext"/>
            </w:pPr>
            <w:r>
              <w:t>61–70</w:t>
            </w:r>
          </w:p>
        </w:tc>
        <w:tc>
          <w:tcPr>
            <w:cnfStyle w:val="000001000000" w:firstRow="0" w:lastRow="0" w:firstColumn="0" w:lastColumn="0" w:oddVBand="0" w:evenVBand="1" w:oddHBand="0" w:evenHBand="0" w:firstRowFirstColumn="0" w:firstRowLastColumn="0" w:lastRowFirstColumn="0" w:lastRowLastColumn="0"/>
            <w:tcW w:w="1021" w:type="dxa"/>
          </w:tcPr>
          <w:p w14:paraId="702642ED" w14:textId="77777777" w:rsidR="009169E8" w:rsidRDefault="009169E8" w:rsidP="008337EF">
            <w:pPr>
              <w:pStyle w:val="Tabletext"/>
            </w:pPr>
            <w:r>
              <w:t>8</w:t>
            </w:r>
          </w:p>
        </w:tc>
        <w:tc>
          <w:tcPr>
            <w:cnfStyle w:val="000010000000" w:firstRow="0" w:lastRow="0" w:firstColumn="0" w:lastColumn="0" w:oddVBand="1" w:evenVBand="0" w:oddHBand="0" w:evenHBand="0" w:firstRowFirstColumn="0" w:firstRowLastColumn="0" w:lastRowFirstColumn="0" w:lastRowLastColumn="0"/>
            <w:tcW w:w="1020" w:type="dxa"/>
          </w:tcPr>
          <w:p w14:paraId="06E261AE" w14:textId="77777777" w:rsidR="009169E8" w:rsidRDefault="009169E8" w:rsidP="008337EF">
            <w:pPr>
              <w:pStyle w:val="Tabletext"/>
            </w:pPr>
            <w:r>
              <w:t>6</w:t>
            </w:r>
          </w:p>
        </w:tc>
        <w:tc>
          <w:tcPr>
            <w:cnfStyle w:val="000001000000" w:firstRow="0" w:lastRow="0" w:firstColumn="0" w:lastColumn="0" w:oddVBand="0" w:evenVBand="1" w:oddHBand="0" w:evenHBand="0" w:firstRowFirstColumn="0" w:firstRowLastColumn="0" w:lastRowFirstColumn="0" w:lastRowLastColumn="0"/>
            <w:tcW w:w="1021" w:type="dxa"/>
          </w:tcPr>
          <w:p w14:paraId="35CA131F" w14:textId="77777777" w:rsidR="009169E8" w:rsidRDefault="009169E8" w:rsidP="008337EF">
            <w:pPr>
              <w:pStyle w:val="Tabletext"/>
            </w:pPr>
            <w:r>
              <w:t>14</w:t>
            </w:r>
          </w:p>
        </w:tc>
      </w:tr>
      <w:tr w:rsidR="009169E8" w14:paraId="44AF0440" w14:textId="77777777" w:rsidTr="000F54D3">
        <w:trPr>
          <w:trHeight w:val="113"/>
        </w:trPr>
        <w:tc>
          <w:tcPr>
            <w:cnfStyle w:val="000010000000" w:firstRow="0" w:lastRow="0" w:firstColumn="0" w:lastColumn="0" w:oddVBand="1" w:evenVBand="0" w:oddHBand="0" w:evenHBand="0" w:firstRowFirstColumn="0" w:firstRowLastColumn="0" w:lastRowFirstColumn="0" w:lastRowLastColumn="0"/>
            <w:tcW w:w="1899" w:type="dxa"/>
          </w:tcPr>
          <w:p w14:paraId="2323978A" w14:textId="77777777" w:rsidR="009169E8" w:rsidRDefault="009169E8" w:rsidP="008337EF">
            <w:pPr>
              <w:pStyle w:val="Tabletext"/>
            </w:pPr>
            <w:r>
              <w:t>71–80</w:t>
            </w:r>
          </w:p>
        </w:tc>
        <w:tc>
          <w:tcPr>
            <w:cnfStyle w:val="000001000000" w:firstRow="0" w:lastRow="0" w:firstColumn="0" w:lastColumn="0" w:oddVBand="0" w:evenVBand="1" w:oddHBand="0" w:evenHBand="0" w:firstRowFirstColumn="0" w:firstRowLastColumn="0" w:lastRowFirstColumn="0" w:lastRowLastColumn="0"/>
            <w:tcW w:w="1021" w:type="dxa"/>
          </w:tcPr>
          <w:p w14:paraId="277957CF" w14:textId="77777777" w:rsidR="009169E8" w:rsidRDefault="009169E8" w:rsidP="008337EF">
            <w:pPr>
              <w:pStyle w:val="Tabletext"/>
            </w:pPr>
            <w:r>
              <w:t>9</w:t>
            </w:r>
          </w:p>
        </w:tc>
        <w:tc>
          <w:tcPr>
            <w:cnfStyle w:val="000010000000" w:firstRow="0" w:lastRow="0" w:firstColumn="0" w:lastColumn="0" w:oddVBand="1" w:evenVBand="0" w:oddHBand="0" w:evenHBand="0" w:firstRowFirstColumn="0" w:firstRowLastColumn="0" w:lastRowFirstColumn="0" w:lastRowLastColumn="0"/>
            <w:tcW w:w="1020" w:type="dxa"/>
          </w:tcPr>
          <w:p w14:paraId="752A6F65" w14:textId="77777777" w:rsidR="009169E8" w:rsidRDefault="009169E8" w:rsidP="008337EF">
            <w:pPr>
              <w:pStyle w:val="Tabletext"/>
            </w:pPr>
            <w:r>
              <w:t>11</w:t>
            </w:r>
          </w:p>
        </w:tc>
        <w:tc>
          <w:tcPr>
            <w:cnfStyle w:val="000001000000" w:firstRow="0" w:lastRow="0" w:firstColumn="0" w:lastColumn="0" w:oddVBand="0" w:evenVBand="1" w:oddHBand="0" w:evenHBand="0" w:firstRowFirstColumn="0" w:firstRowLastColumn="0" w:lastRowFirstColumn="0" w:lastRowLastColumn="0"/>
            <w:tcW w:w="1021" w:type="dxa"/>
          </w:tcPr>
          <w:p w14:paraId="780075AA" w14:textId="77777777" w:rsidR="009169E8" w:rsidRDefault="009169E8" w:rsidP="008337EF">
            <w:pPr>
              <w:pStyle w:val="Tabletext"/>
            </w:pPr>
            <w:r>
              <w:t>20</w:t>
            </w:r>
          </w:p>
        </w:tc>
      </w:tr>
      <w:tr w:rsidR="009169E8" w14:paraId="15043284" w14:textId="77777777" w:rsidTr="000F54D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899" w:type="dxa"/>
          </w:tcPr>
          <w:p w14:paraId="0942F115" w14:textId="77777777" w:rsidR="009169E8" w:rsidRDefault="009169E8" w:rsidP="008337EF">
            <w:pPr>
              <w:pStyle w:val="Tabletext"/>
            </w:pPr>
            <w:r>
              <w:t>81–90</w:t>
            </w:r>
          </w:p>
        </w:tc>
        <w:tc>
          <w:tcPr>
            <w:cnfStyle w:val="000001000000" w:firstRow="0" w:lastRow="0" w:firstColumn="0" w:lastColumn="0" w:oddVBand="0" w:evenVBand="1" w:oddHBand="0" w:evenHBand="0" w:firstRowFirstColumn="0" w:firstRowLastColumn="0" w:lastRowFirstColumn="0" w:lastRowLastColumn="0"/>
            <w:tcW w:w="1021" w:type="dxa"/>
          </w:tcPr>
          <w:p w14:paraId="68276055" w14:textId="77777777" w:rsidR="009169E8" w:rsidRDefault="009169E8" w:rsidP="008337EF">
            <w:pPr>
              <w:pStyle w:val="Tabletext"/>
            </w:pPr>
            <w:r>
              <w:t>4</w:t>
            </w:r>
          </w:p>
        </w:tc>
        <w:tc>
          <w:tcPr>
            <w:cnfStyle w:val="000010000000" w:firstRow="0" w:lastRow="0" w:firstColumn="0" w:lastColumn="0" w:oddVBand="1" w:evenVBand="0" w:oddHBand="0" w:evenHBand="0" w:firstRowFirstColumn="0" w:firstRowLastColumn="0" w:lastRowFirstColumn="0" w:lastRowLastColumn="0"/>
            <w:tcW w:w="1020" w:type="dxa"/>
          </w:tcPr>
          <w:p w14:paraId="49A79570" w14:textId="77777777" w:rsidR="009169E8" w:rsidRDefault="009169E8" w:rsidP="008337EF">
            <w:pPr>
              <w:pStyle w:val="Tabletext"/>
            </w:pPr>
            <w:r>
              <w:t>20</w:t>
            </w:r>
          </w:p>
        </w:tc>
        <w:tc>
          <w:tcPr>
            <w:cnfStyle w:val="000001000000" w:firstRow="0" w:lastRow="0" w:firstColumn="0" w:lastColumn="0" w:oddVBand="0" w:evenVBand="1" w:oddHBand="0" w:evenHBand="0" w:firstRowFirstColumn="0" w:firstRowLastColumn="0" w:lastRowFirstColumn="0" w:lastRowLastColumn="0"/>
            <w:tcW w:w="1021" w:type="dxa"/>
          </w:tcPr>
          <w:p w14:paraId="3D1CCD7E" w14:textId="77777777" w:rsidR="009169E8" w:rsidRDefault="009169E8" w:rsidP="008337EF">
            <w:pPr>
              <w:pStyle w:val="Tabletext"/>
            </w:pPr>
            <w:r>
              <w:t>24</w:t>
            </w:r>
          </w:p>
        </w:tc>
      </w:tr>
      <w:tr w:rsidR="009169E8" w14:paraId="1D6AA4F9" w14:textId="77777777" w:rsidTr="000F54D3">
        <w:trPr>
          <w:trHeight w:val="113"/>
        </w:trPr>
        <w:tc>
          <w:tcPr>
            <w:cnfStyle w:val="000010000000" w:firstRow="0" w:lastRow="0" w:firstColumn="0" w:lastColumn="0" w:oddVBand="1" w:evenVBand="0" w:oddHBand="0" w:evenHBand="0" w:firstRowFirstColumn="0" w:firstRowLastColumn="0" w:lastRowFirstColumn="0" w:lastRowLastColumn="0"/>
            <w:tcW w:w="1899" w:type="dxa"/>
          </w:tcPr>
          <w:p w14:paraId="5D12C054" w14:textId="77777777" w:rsidR="009169E8" w:rsidRDefault="009169E8" w:rsidP="008337EF">
            <w:pPr>
              <w:pStyle w:val="Tabletext"/>
            </w:pPr>
            <w:r>
              <w:t>&gt; 90</w:t>
            </w:r>
          </w:p>
        </w:tc>
        <w:tc>
          <w:tcPr>
            <w:cnfStyle w:val="000001000000" w:firstRow="0" w:lastRow="0" w:firstColumn="0" w:lastColumn="0" w:oddVBand="0" w:evenVBand="1" w:oddHBand="0" w:evenHBand="0" w:firstRowFirstColumn="0" w:firstRowLastColumn="0" w:lastRowFirstColumn="0" w:lastRowLastColumn="0"/>
            <w:tcW w:w="1021" w:type="dxa"/>
          </w:tcPr>
          <w:p w14:paraId="33693035" w14:textId="77777777" w:rsidR="009169E8" w:rsidRDefault="009169E8" w:rsidP="008337EF">
            <w:pPr>
              <w:pStyle w:val="Tabletext"/>
            </w:pPr>
            <w:r>
              <w:t>0</w:t>
            </w:r>
          </w:p>
        </w:tc>
        <w:tc>
          <w:tcPr>
            <w:cnfStyle w:val="000010000000" w:firstRow="0" w:lastRow="0" w:firstColumn="0" w:lastColumn="0" w:oddVBand="1" w:evenVBand="0" w:oddHBand="0" w:evenHBand="0" w:firstRowFirstColumn="0" w:firstRowLastColumn="0" w:lastRowFirstColumn="0" w:lastRowLastColumn="0"/>
            <w:tcW w:w="1020" w:type="dxa"/>
          </w:tcPr>
          <w:p w14:paraId="656B24FD" w14:textId="77777777" w:rsidR="009169E8" w:rsidRDefault="009169E8" w:rsidP="008337EF">
            <w:pPr>
              <w:pStyle w:val="Tabletext"/>
            </w:pPr>
            <w:r>
              <w:t>10</w:t>
            </w:r>
          </w:p>
        </w:tc>
        <w:tc>
          <w:tcPr>
            <w:cnfStyle w:val="000001000000" w:firstRow="0" w:lastRow="0" w:firstColumn="0" w:lastColumn="0" w:oddVBand="0" w:evenVBand="1" w:oddHBand="0" w:evenHBand="0" w:firstRowFirstColumn="0" w:firstRowLastColumn="0" w:lastRowFirstColumn="0" w:lastRowLastColumn="0"/>
            <w:tcW w:w="1021" w:type="dxa"/>
          </w:tcPr>
          <w:p w14:paraId="5A76DF8A" w14:textId="77777777" w:rsidR="009169E8" w:rsidRDefault="009169E8" w:rsidP="008337EF">
            <w:pPr>
              <w:pStyle w:val="Tabletext"/>
            </w:pPr>
            <w:r>
              <w:t>10</w:t>
            </w:r>
          </w:p>
        </w:tc>
      </w:tr>
      <w:tr w:rsidR="009169E8" w14:paraId="27E82A10" w14:textId="77777777" w:rsidTr="000F54D3">
        <w:trPr>
          <w:cnfStyle w:val="010000000000" w:firstRow="0" w:lastRow="1" w:firstColumn="0" w:lastColumn="0" w:oddVBand="0" w:evenVBand="0" w:oddHBand="0"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899" w:type="dxa"/>
          </w:tcPr>
          <w:p w14:paraId="1F47B741" w14:textId="77777777" w:rsidR="009169E8" w:rsidRPr="008337EF" w:rsidRDefault="009169E8" w:rsidP="008337EF">
            <w:pPr>
              <w:pStyle w:val="Tabletext"/>
              <w:rPr>
                <w:b w:val="0"/>
              </w:rPr>
            </w:pPr>
            <w:r w:rsidRPr="008337EF">
              <w:t>Total</w:t>
            </w:r>
          </w:p>
        </w:tc>
        <w:tc>
          <w:tcPr>
            <w:cnfStyle w:val="000001000000" w:firstRow="0" w:lastRow="0" w:firstColumn="0" w:lastColumn="0" w:oddVBand="0" w:evenVBand="1" w:oddHBand="0" w:evenHBand="0" w:firstRowFirstColumn="0" w:firstRowLastColumn="0" w:lastRowFirstColumn="0" w:lastRowLastColumn="0"/>
            <w:tcW w:w="1021" w:type="dxa"/>
          </w:tcPr>
          <w:p w14:paraId="1D4E0771" w14:textId="77777777" w:rsidR="009169E8" w:rsidRPr="008337EF" w:rsidRDefault="009169E8" w:rsidP="008337EF">
            <w:pPr>
              <w:pStyle w:val="Tabletext"/>
              <w:rPr>
                <w:b w:val="0"/>
              </w:rPr>
            </w:pPr>
            <w:r w:rsidRPr="008337EF">
              <w:t>52</w:t>
            </w:r>
          </w:p>
        </w:tc>
        <w:tc>
          <w:tcPr>
            <w:cnfStyle w:val="000010000000" w:firstRow="0" w:lastRow="0" w:firstColumn="0" w:lastColumn="0" w:oddVBand="1" w:evenVBand="0" w:oddHBand="0" w:evenHBand="0" w:firstRowFirstColumn="0" w:firstRowLastColumn="0" w:lastRowFirstColumn="0" w:lastRowLastColumn="0"/>
            <w:tcW w:w="1020" w:type="dxa"/>
          </w:tcPr>
          <w:p w14:paraId="558030D3" w14:textId="77777777" w:rsidR="009169E8" w:rsidRPr="008337EF" w:rsidRDefault="009169E8" w:rsidP="008337EF">
            <w:pPr>
              <w:pStyle w:val="Tabletext"/>
              <w:rPr>
                <w:b w:val="0"/>
              </w:rPr>
            </w:pPr>
            <w:r w:rsidRPr="008337EF">
              <w:t>58</w:t>
            </w:r>
          </w:p>
        </w:tc>
        <w:tc>
          <w:tcPr>
            <w:cnfStyle w:val="000001000000" w:firstRow="0" w:lastRow="0" w:firstColumn="0" w:lastColumn="0" w:oddVBand="0" w:evenVBand="1" w:oddHBand="0" w:evenHBand="0" w:firstRowFirstColumn="0" w:firstRowLastColumn="0" w:lastRowFirstColumn="0" w:lastRowLastColumn="0"/>
            <w:tcW w:w="1021" w:type="dxa"/>
          </w:tcPr>
          <w:p w14:paraId="31DDE007" w14:textId="77777777" w:rsidR="009169E8" w:rsidRPr="008337EF" w:rsidRDefault="009169E8" w:rsidP="008337EF">
            <w:pPr>
              <w:pStyle w:val="Tabletext"/>
              <w:rPr>
                <w:b w:val="0"/>
              </w:rPr>
            </w:pPr>
            <w:r w:rsidRPr="008337EF">
              <w:t>110</w:t>
            </w:r>
          </w:p>
        </w:tc>
      </w:tr>
    </w:tbl>
    <w:p w14:paraId="0D09313B" w14:textId="7C84D5FA" w:rsidR="009169E8" w:rsidRDefault="009169E8" w:rsidP="008337EF">
      <w:pPr>
        <w:pStyle w:val="Tablechartdiagramheading"/>
      </w:pPr>
      <w:r>
        <w:t>Figure 2: Age distribution of non-anaesthesia-related events (categories 4–10)</w:t>
      </w:r>
    </w:p>
    <w:tbl>
      <w:tblPr>
        <w:tblStyle w:val="PlainTable2"/>
        <w:tblW w:w="0" w:type="auto"/>
        <w:tblLayout w:type="fixed"/>
        <w:tblLook w:val="0060" w:firstRow="1" w:lastRow="1" w:firstColumn="0" w:lastColumn="0" w:noHBand="0" w:noVBand="0"/>
      </w:tblPr>
      <w:tblGrid>
        <w:gridCol w:w="1899"/>
        <w:gridCol w:w="1021"/>
        <w:gridCol w:w="1020"/>
        <w:gridCol w:w="1021"/>
      </w:tblGrid>
      <w:tr w:rsidR="009169E8" w14:paraId="437CF6D3" w14:textId="77777777" w:rsidTr="000F54D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1899" w:type="dxa"/>
          </w:tcPr>
          <w:p w14:paraId="34B24B19" w14:textId="77777777" w:rsidR="009169E8" w:rsidRPr="000F54D3" w:rsidRDefault="009169E8" w:rsidP="00A90D07">
            <w:pPr>
              <w:pStyle w:val="Tableheader"/>
              <w:rPr>
                <w:b/>
              </w:rPr>
            </w:pPr>
            <w:r w:rsidRPr="000F54D3">
              <w:rPr>
                <w:b/>
              </w:rPr>
              <w:t>Patient age</w:t>
            </w:r>
          </w:p>
        </w:tc>
        <w:tc>
          <w:tcPr>
            <w:cnfStyle w:val="000001000000" w:firstRow="0" w:lastRow="0" w:firstColumn="0" w:lastColumn="0" w:oddVBand="0" w:evenVBand="1" w:oddHBand="0" w:evenHBand="0" w:firstRowFirstColumn="0" w:firstRowLastColumn="0" w:lastRowFirstColumn="0" w:lastRowLastColumn="0"/>
            <w:tcW w:w="1021" w:type="dxa"/>
          </w:tcPr>
          <w:p w14:paraId="36F7CD6F" w14:textId="77777777" w:rsidR="009169E8" w:rsidRPr="000F54D3" w:rsidRDefault="009169E8" w:rsidP="00A90D07">
            <w:pPr>
              <w:pStyle w:val="Tableheader"/>
              <w:rPr>
                <w:b/>
              </w:rPr>
            </w:pPr>
            <w:r w:rsidRPr="000F54D3">
              <w:rPr>
                <w:b/>
              </w:rPr>
              <w:t>Morbidity</w:t>
            </w:r>
          </w:p>
        </w:tc>
        <w:tc>
          <w:tcPr>
            <w:cnfStyle w:val="000010000000" w:firstRow="0" w:lastRow="0" w:firstColumn="0" w:lastColumn="0" w:oddVBand="1" w:evenVBand="0" w:oddHBand="0" w:evenHBand="0" w:firstRowFirstColumn="0" w:firstRowLastColumn="0" w:lastRowFirstColumn="0" w:lastRowLastColumn="0"/>
            <w:tcW w:w="1020" w:type="dxa"/>
          </w:tcPr>
          <w:p w14:paraId="5B90DC83" w14:textId="77777777" w:rsidR="009169E8" w:rsidRPr="000F54D3" w:rsidRDefault="009169E8" w:rsidP="00A90D07">
            <w:pPr>
              <w:pStyle w:val="Tableheader"/>
              <w:rPr>
                <w:b/>
              </w:rPr>
            </w:pPr>
            <w:r w:rsidRPr="000F54D3">
              <w:rPr>
                <w:b/>
              </w:rPr>
              <w:t>Mortality</w:t>
            </w:r>
          </w:p>
        </w:tc>
        <w:tc>
          <w:tcPr>
            <w:cnfStyle w:val="000001000000" w:firstRow="0" w:lastRow="0" w:firstColumn="0" w:lastColumn="0" w:oddVBand="0" w:evenVBand="1" w:oddHBand="0" w:evenHBand="0" w:firstRowFirstColumn="0" w:firstRowLastColumn="0" w:lastRowFirstColumn="0" w:lastRowLastColumn="0"/>
            <w:tcW w:w="1021" w:type="dxa"/>
          </w:tcPr>
          <w:p w14:paraId="5F68687A" w14:textId="77777777" w:rsidR="009169E8" w:rsidRPr="000F54D3" w:rsidRDefault="009169E8" w:rsidP="00A90D07">
            <w:pPr>
              <w:pStyle w:val="Tableheader"/>
              <w:rPr>
                <w:b/>
              </w:rPr>
            </w:pPr>
            <w:r w:rsidRPr="000F54D3">
              <w:rPr>
                <w:b/>
              </w:rPr>
              <w:t xml:space="preserve"> Total</w:t>
            </w:r>
          </w:p>
        </w:tc>
      </w:tr>
      <w:tr w:rsidR="009169E8" w14:paraId="70570426" w14:textId="77777777" w:rsidTr="000F54D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899" w:type="dxa"/>
          </w:tcPr>
          <w:p w14:paraId="2C15C2B6" w14:textId="77777777" w:rsidR="009169E8" w:rsidRPr="008337EF" w:rsidRDefault="009169E8" w:rsidP="008337EF">
            <w:pPr>
              <w:pStyle w:val="Tabletext"/>
            </w:pPr>
            <w:r w:rsidRPr="008337EF">
              <w:t>0–30</w:t>
            </w:r>
          </w:p>
        </w:tc>
        <w:tc>
          <w:tcPr>
            <w:cnfStyle w:val="000001000000" w:firstRow="0" w:lastRow="0" w:firstColumn="0" w:lastColumn="0" w:oddVBand="0" w:evenVBand="1" w:oddHBand="0" w:evenHBand="0" w:firstRowFirstColumn="0" w:firstRowLastColumn="0" w:lastRowFirstColumn="0" w:lastRowLastColumn="0"/>
            <w:tcW w:w="1021" w:type="dxa"/>
          </w:tcPr>
          <w:p w14:paraId="59DB9396" w14:textId="77777777" w:rsidR="009169E8" w:rsidRPr="008337EF" w:rsidRDefault="009169E8" w:rsidP="008337EF">
            <w:pPr>
              <w:pStyle w:val="Tabletext"/>
            </w:pPr>
            <w:r w:rsidRPr="008337EF">
              <w:t>0</w:t>
            </w:r>
          </w:p>
        </w:tc>
        <w:tc>
          <w:tcPr>
            <w:cnfStyle w:val="000010000000" w:firstRow="0" w:lastRow="0" w:firstColumn="0" w:lastColumn="0" w:oddVBand="1" w:evenVBand="0" w:oddHBand="0" w:evenHBand="0" w:firstRowFirstColumn="0" w:firstRowLastColumn="0" w:lastRowFirstColumn="0" w:lastRowLastColumn="0"/>
            <w:tcW w:w="1020" w:type="dxa"/>
          </w:tcPr>
          <w:p w14:paraId="57B9C8AB" w14:textId="77777777" w:rsidR="009169E8" w:rsidRPr="008337EF" w:rsidRDefault="009169E8" w:rsidP="008337EF">
            <w:pPr>
              <w:pStyle w:val="Tabletext"/>
            </w:pPr>
            <w:r w:rsidRPr="008337EF">
              <w:t>1</w:t>
            </w:r>
          </w:p>
        </w:tc>
        <w:tc>
          <w:tcPr>
            <w:cnfStyle w:val="000001000000" w:firstRow="0" w:lastRow="0" w:firstColumn="0" w:lastColumn="0" w:oddVBand="0" w:evenVBand="1" w:oddHBand="0" w:evenHBand="0" w:firstRowFirstColumn="0" w:firstRowLastColumn="0" w:lastRowFirstColumn="0" w:lastRowLastColumn="0"/>
            <w:tcW w:w="1021" w:type="dxa"/>
          </w:tcPr>
          <w:p w14:paraId="0D542689" w14:textId="77777777" w:rsidR="009169E8" w:rsidRPr="008337EF" w:rsidRDefault="009169E8" w:rsidP="008337EF">
            <w:pPr>
              <w:pStyle w:val="Tabletext"/>
            </w:pPr>
            <w:r w:rsidRPr="008337EF">
              <w:t>1</w:t>
            </w:r>
          </w:p>
        </w:tc>
      </w:tr>
      <w:tr w:rsidR="009169E8" w14:paraId="5BFAA318" w14:textId="77777777" w:rsidTr="000F54D3">
        <w:trPr>
          <w:trHeight w:val="113"/>
        </w:trPr>
        <w:tc>
          <w:tcPr>
            <w:cnfStyle w:val="000010000000" w:firstRow="0" w:lastRow="0" w:firstColumn="0" w:lastColumn="0" w:oddVBand="1" w:evenVBand="0" w:oddHBand="0" w:evenHBand="0" w:firstRowFirstColumn="0" w:firstRowLastColumn="0" w:lastRowFirstColumn="0" w:lastRowLastColumn="0"/>
            <w:tcW w:w="1899" w:type="dxa"/>
          </w:tcPr>
          <w:p w14:paraId="5547105A" w14:textId="77777777" w:rsidR="009169E8" w:rsidRPr="008337EF" w:rsidRDefault="009169E8" w:rsidP="008337EF">
            <w:pPr>
              <w:pStyle w:val="Tabletext"/>
            </w:pPr>
            <w:r w:rsidRPr="008337EF">
              <w:t>31–40</w:t>
            </w:r>
          </w:p>
        </w:tc>
        <w:tc>
          <w:tcPr>
            <w:cnfStyle w:val="000001000000" w:firstRow="0" w:lastRow="0" w:firstColumn="0" w:lastColumn="0" w:oddVBand="0" w:evenVBand="1" w:oddHBand="0" w:evenHBand="0" w:firstRowFirstColumn="0" w:firstRowLastColumn="0" w:lastRowFirstColumn="0" w:lastRowLastColumn="0"/>
            <w:tcW w:w="1021" w:type="dxa"/>
          </w:tcPr>
          <w:p w14:paraId="224B31ED" w14:textId="77777777" w:rsidR="009169E8" w:rsidRPr="008337EF" w:rsidRDefault="009169E8" w:rsidP="008337EF">
            <w:pPr>
              <w:pStyle w:val="Tabletext"/>
            </w:pPr>
            <w:r w:rsidRPr="008337EF">
              <w:t>1</w:t>
            </w:r>
          </w:p>
        </w:tc>
        <w:tc>
          <w:tcPr>
            <w:cnfStyle w:val="000010000000" w:firstRow="0" w:lastRow="0" w:firstColumn="0" w:lastColumn="0" w:oddVBand="1" w:evenVBand="0" w:oddHBand="0" w:evenHBand="0" w:firstRowFirstColumn="0" w:firstRowLastColumn="0" w:lastRowFirstColumn="0" w:lastRowLastColumn="0"/>
            <w:tcW w:w="1020" w:type="dxa"/>
          </w:tcPr>
          <w:p w14:paraId="39C713C9" w14:textId="77777777" w:rsidR="009169E8" w:rsidRPr="008337EF" w:rsidRDefault="009169E8" w:rsidP="008337EF">
            <w:pPr>
              <w:pStyle w:val="Tabletext"/>
            </w:pPr>
            <w:r w:rsidRPr="008337EF">
              <w:t>3</w:t>
            </w:r>
          </w:p>
        </w:tc>
        <w:tc>
          <w:tcPr>
            <w:cnfStyle w:val="000001000000" w:firstRow="0" w:lastRow="0" w:firstColumn="0" w:lastColumn="0" w:oddVBand="0" w:evenVBand="1" w:oddHBand="0" w:evenHBand="0" w:firstRowFirstColumn="0" w:firstRowLastColumn="0" w:lastRowFirstColumn="0" w:lastRowLastColumn="0"/>
            <w:tcW w:w="1021" w:type="dxa"/>
          </w:tcPr>
          <w:p w14:paraId="254ED2D3" w14:textId="77777777" w:rsidR="009169E8" w:rsidRPr="008337EF" w:rsidRDefault="009169E8" w:rsidP="008337EF">
            <w:pPr>
              <w:pStyle w:val="Tabletext"/>
            </w:pPr>
            <w:r w:rsidRPr="008337EF">
              <w:t>4</w:t>
            </w:r>
          </w:p>
        </w:tc>
      </w:tr>
      <w:tr w:rsidR="009169E8" w14:paraId="5B9B09DA" w14:textId="77777777" w:rsidTr="000F54D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899" w:type="dxa"/>
          </w:tcPr>
          <w:p w14:paraId="394FC3A2" w14:textId="77777777" w:rsidR="009169E8" w:rsidRPr="008337EF" w:rsidRDefault="009169E8" w:rsidP="008337EF">
            <w:pPr>
              <w:pStyle w:val="Tabletext"/>
            </w:pPr>
            <w:r w:rsidRPr="008337EF">
              <w:t>41–50</w:t>
            </w:r>
          </w:p>
        </w:tc>
        <w:tc>
          <w:tcPr>
            <w:cnfStyle w:val="000001000000" w:firstRow="0" w:lastRow="0" w:firstColumn="0" w:lastColumn="0" w:oddVBand="0" w:evenVBand="1" w:oddHBand="0" w:evenHBand="0" w:firstRowFirstColumn="0" w:firstRowLastColumn="0" w:lastRowFirstColumn="0" w:lastRowLastColumn="0"/>
            <w:tcW w:w="1021" w:type="dxa"/>
          </w:tcPr>
          <w:p w14:paraId="4410F79E" w14:textId="77777777" w:rsidR="009169E8" w:rsidRPr="008337EF" w:rsidRDefault="009169E8" w:rsidP="008337EF">
            <w:pPr>
              <w:pStyle w:val="Tabletext"/>
            </w:pPr>
            <w:r w:rsidRPr="008337EF">
              <w:t>0</w:t>
            </w:r>
          </w:p>
        </w:tc>
        <w:tc>
          <w:tcPr>
            <w:cnfStyle w:val="000010000000" w:firstRow="0" w:lastRow="0" w:firstColumn="0" w:lastColumn="0" w:oddVBand="1" w:evenVBand="0" w:oddHBand="0" w:evenHBand="0" w:firstRowFirstColumn="0" w:firstRowLastColumn="0" w:lastRowFirstColumn="0" w:lastRowLastColumn="0"/>
            <w:tcW w:w="1020" w:type="dxa"/>
          </w:tcPr>
          <w:p w14:paraId="59F8331A" w14:textId="77777777" w:rsidR="009169E8" w:rsidRPr="008337EF" w:rsidRDefault="009169E8" w:rsidP="008337EF">
            <w:pPr>
              <w:pStyle w:val="Tabletext"/>
            </w:pPr>
            <w:r w:rsidRPr="008337EF">
              <w:t>8</w:t>
            </w:r>
          </w:p>
        </w:tc>
        <w:tc>
          <w:tcPr>
            <w:cnfStyle w:val="000001000000" w:firstRow="0" w:lastRow="0" w:firstColumn="0" w:lastColumn="0" w:oddVBand="0" w:evenVBand="1" w:oddHBand="0" w:evenHBand="0" w:firstRowFirstColumn="0" w:firstRowLastColumn="0" w:lastRowFirstColumn="0" w:lastRowLastColumn="0"/>
            <w:tcW w:w="1021" w:type="dxa"/>
          </w:tcPr>
          <w:p w14:paraId="21CD49F5" w14:textId="77777777" w:rsidR="009169E8" w:rsidRPr="008337EF" w:rsidRDefault="009169E8" w:rsidP="008337EF">
            <w:pPr>
              <w:pStyle w:val="Tabletext"/>
            </w:pPr>
            <w:r w:rsidRPr="008337EF">
              <w:t>8</w:t>
            </w:r>
          </w:p>
        </w:tc>
      </w:tr>
      <w:tr w:rsidR="009169E8" w14:paraId="00DFFCF2" w14:textId="77777777" w:rsidTr="000F54D3">
        <w:trPr>
          <w:trHeight w:val="113"/>
        </w:trPr>
        <w:tc>
          <w:tcPr>
            <w:cnfStyle w:val="000010000000" w:firstRow="0" w:lastRow="0" w:firstColumn="0" w:lastColumn="0" w:oddVBand="1" w:evenVBand="0" w:oddHBand="0" w:evenHBand="0" w:firstRowFirstColumn="0" w:firstRowLastColumn="0" w:lastRowFirstColumn="0" w:lastRowLastColumn="0"/>
            <w:tcW w:w="1899" w:type="dxa"/>
          </w:tcPr>
          <w:p w14:paraId="65D5E5D5" w14:textId="77777777" w:rsidR="009169E8" w:rsidRPr="008337EF" w:rsidRDefault="009169E8" w:rsidP="008337EF">
            <w:pPr>
              <w:pStyle w:val="Tabletext"/>
            </w:pPr>
            <w:r w:rsidRPr="008337EF">
              <w:t>51–60</w:t>
            </w:r>
          </w:p>
        </w:tc>
        <w:tc>
          <w:tcPr>
            <w:cnfStyle w:val="000001000000" w:firstRow="0" w:lastRow="0" w:firstColumn="0" w:lastColumn="0" w:oddVBand="0" w:evenVBand="1" w:oddHBand="0" w:evenHBand="0" w:firstRowFirstColumn="0" w:firstRowLastColumn="0" w:lastRowFirstColumn="0" w:lastRowLastColumn="0"/>
            <w:tcW w:w="1021" w:type="dxa"/>
          </w:tcPr>
          <w:p w14:paraId="59DEFCF6" w14:textId="77777777" w:rsidR="009169E8" w:rsidRPr="008337EF" w:rsidRDefault="009169E8" w:rsidP="008337EF">
            <w:pPr>
              <w:pStyle w:val="Tabletext"/>
            </w:pPr>
            <w:r w:rsidRPr="008337EF">
              <w:t>1</w:t>
            </w:r>
          </w:p>
        </w:tc>
        <w:tc>
          <w:tcPr>
            <w:cnfStyle w:val="000010000000" w:firstRow="0" w:lastRow="0" w:firstColumn="0" w:lastColumn="0" w:oddVBand="1" w:evenVBand="0" w:oddHBand="0" w:evenHBand="0" w:firstRowFirstColumn="0" w:firstRowLastColumn="0" w:lastRowFirstColumn="0" w:lastRowLastColumn="0"/>
            <w:tcW w:w="1020" w:type="dxa"/>
          </w:tcPr>
          <w:p w14:paraId="5A9B4860" w14:textId="77777777" w:rsidR="009169E8" w:rsidRPr="008337EF" w:rsidRDefault="009169E8" w:rsidP="008337EF">
            <w:pPr>
              <w:pStyle w:val="Tabletext"/>
            </w:pPr>
            <w:r w:rsidRPr="008337EF">
              <w:t>3</w:t>
            </w:r>
          </w:p>
        </w:tc>
        <w:tc>
          <w:tcPr>
            <w:cnfStyle w:val="000001000000" w:firstRow="0" w:lastRow="0" w:firstColumn="0" w:lastColumn="0" w:oddVBand="0" w:evenVBand="1" w:oddHBand="0" w:evenHBand="0" w:firstRowFirstColumn="0" w:firstRowLastColumn="0" w:lastRowFirstColumn="0" w:lastRowLastColumn="0"/>
            <w:tcW w:w="1021" w:type="dxa"/>
          </w:tcPr>
          <w:p w14:paraId="12347101" w14:textId="77777777" w:rsidR="009169E8" w:rsidRPr="008337EF" w:rsidRDefault="009169E8" w:rsidP="008337EF">
            <w:pPr>
              <w:pStyle w:val="Tabletext"/>
            </w:pPr>
            <w:r w:rsidRPr="008337EF">
              <w:t>4</w:t>
            </w:r>
          </w:p>
        </w:tc>
      </w:tr>
      <w:tr w:rsidR="009169E8" w14:paraId="245D95C0" w14:textId="77777777" w:rsidTr="000F54D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899" w:type="dxa"/>
          </w:tcPr>
          <w:p w14:paraId="2BF791A1" w14:textId="77777777" w:rsidR="009169E8" w:rsidRPr="008337EF" w:rsidRDefault="009169E8" w:rsidP="008337EF">
            <w:pPr>
              <w:pStyle w:val="Tabletext"/>
            </w:pPr>
            <w:r w:rsidRPr="008337EF">
              <w:t>61–70</w:t>
            </w:r>
          </w:p>
        </w:tc>
        <w:tc>
          <w:tcPr>
            <w:cnfStyle w:val="000001000000" w:firstRow="0" w:lastRow="0" w:firstColumn="0" w:lastColumn="0" w:oddVBand="0" w:evenVBand="1" w:oddHBand="0" w:evenHBand="0" w:firstRowFirstColumn="0" w:firstRowLastColumn="0" w:lastRowFirstColumn="0" w:lastRowLastColumn="0"/>
            <w:tcW w:w="1021" w:type="dxa"/>
          </w:tcPr>
          <w:p w14:paraId="539A8C6E" w14:textId="77777777" w:rsidR="009169E8" w:rsidRPr="008337EF" w:rsidRDefault="009169E8" w:rsidP="008337EF">
            <w:pPr>
              <w:pStyle w:val="Tabletext"/>
            </w:pPr>
            <w:r w:rsidRPr="008337EF">
              <w:t>1</w:t>
            </w:r>
          </w:p>
        </w:tc>
        <w:tc>
          <w:tcPr>
            <w:cnfStyle w:val="000010000000" w:firstRow="0" w:lastRow="0" w:firstColumn="0" w:lastColumn="0" w:oddVBand="1" w:evenVBand="0" w:oddHBand="0" w:evenHBand="0" w:firstRowFirstColumn="0" w:firstRowLastColumn="0" w:lastRowFirstColumn="0" w:lastRowLastColumn="0"/>
            <w:tcW w:w="1020" w:type="dxa"/>
          </w:tcPr>
          <w:p w14:paraId="6B0A2D1D" w14:textId="77777777" w:rsidR="009169E8" w:rsidRPr="008337EF" w:rsidRDefault="009169E8" w:rsidP="008337EF">
            <w:pPr>
              <w:pStyle w:val="Tabletext"/>
            </w:pPr>
            <w:r w:rsidRPr="008337EF">
              <w:t>22</w:t>
            </w:r>
          </w:p>
        </w:tc>
        <w:tc>
          <w:tcPr>
            <w:cnfStyle w:val="000001000000" w:firstRow="0" w:lastRow="0" w:firstColumn="0" w:lastColumn="0" w:oddVBand="0" w:evenVBand="1" w:oddHBand="0" w:evenHBand="0" w:firstRowFirstColumn="0" w:firstRowLastColumn="0" w:lastRowFirstColumn="0" w:lastRowLastColumn="0"/>
            <w:tcW w:w="1021" w:type="dxa"/>
          </w:tcPr>
          <w:p w14:paraId="0071AF45" w14:textId="77777777" w:rsidR="009169E8" w:rsidRPr="008337EF" w:rsidRDefault="009169E8" w:rsidP="008337EF">
            <w:pPr>
              <w:pStyle w:val="Tabletext"/>
            </w:pPr>
            <w:r w:rsidRPr="008337EF">
              <w:t>23</w:t>
            </w:r>
          </w:p>
        </w:tc>
      </w:tr>
      <w:tr w:rsidR="009169E8" w14:paraId="77EB3B7A" w14:textId="77777777" w:rsidTr="000F54D3">
        <w:trPr>
          <w:trHeight w:val="113"/>
        </w:trPr>
        <w:tc>
          <w:tcPr>
            <w:cnfStyle w:val="000010000000" w:firstRow="0" w:lastRow="0" w:firstColumn="0" w:lastColumn="0" w:oddVBand="1" w:evenVBand="0" w:oddHBand="0" w:evenHBand="0" w:firstRowFirstColumn="0" w:firstRowLastColumn="0" w:lastRowFirstColumn="0" w:lastRowLastColumn="0"/>
            <w:tcW w:w="1899" w:type="dxa"/>
          </w:tcPr>
          <w:p w14:paraId="3546BC9F" w14:textId="77777777" w:rsidR="009169E8" w:rsidRPr="008337EF" w:rsidRDefault="009169E8" w:rsidP="008337EF">
            <w:pPr>
              <w:pStyle w:val="Tabletext"/>
            </w:pPr>
            <w:r w:rsidRPr="008337EF">
              <w:t>71–80</w:t>
            </w:r>
          </w:p>
        </w:tc>
        <w:tc>
          <w:tcPr>
            <w:cnfStyle w:val="000001000000" w:firstRow="0" w:lastRow="0" w:firstColumn="0" w:lastColumn="0" w:oddVBand="0" w:evenVBand="1" w:oddHBand="0" w:evenHBand="0" w:firstRowFirstColumn="0" w:firstRowLastColumn="0" w:lastRowFirstColumn="0" w:lastRowLastColumn="0"/>
            <w:tcW w:w="1021" w:type="dxa"/>
          </w:tcPr>
          <w:p w14:paraId="75BEE4E1" w14:textId="77777777" w:rsidR="009169E8" w:rsidRPr="008337EF" w:rsidRDefault="009169E8" w:rsidP="008337EF">
            <w:pPr>
              <w:pStyle w:val="Tabletext"/>
            </w:pPr>
            <w:r w:rsidRPr="008337EF">
              <w:t>0</w:t>
            </w:r>
          </w:p>
        </w:tc>
        <w:tc>
          <w:tcPr>
            <w:cnfStyle w:val="000010000000" w:firstRow="0" w:lastRow="0" w:firstColumn="0" w:lastColumn="0" w:oddVBand="1" w:evenVBand="0" w:oddHBand="0" w:evenHBand="0" w:firstRowFirstColumn="0" w:firstRowLastColumn="0" w:lastRowFirstColumn="0" w:lastRowLastColumn="0"/>
            <w:tcW w:w="1020" w:type="dxa"/>
          </w:tcPr>
          <w:p w14:paraId="375F8E60" w14:textId="77777777" w:rsidR="009169E8" w:rsidRPr="008337EF" w:rsidRDefault="009169E8" w:rsidP="008337EF">
            <w:pPr>
              <w:pStyle w:val="Tabletext"/>
            </w:pPr>
            <w:r w:rsidRPr="008337EF">
              <w:t>27</w:t>
            </w:r>
          </w:p>
        </w:tc>
        <w:tc>
          <w:tcPr>
            <w:cnfStyle w:val="000001000000" w:firstRow="0" w:lastRow="0" w:firstColumn="0" w:lastColumn="0" w:oddVBand="0" w:evenVBand="1" w:oddHBand="0" w:evenHBand="0" w:firstRowFirstColumn="0" w:firstRowLastColumn="0" w:lastRowFirstColumn="0" w:lastRowLastColumn="0"/>
            <w:tcW w:w="1021" w:type="dxa"/>
          </w:tcPr>
          <w:p w14:paraId="67E5DA0E" w14:textId="77777777" w:rsidR="009169E8" w:rsidRPr="008337EF" w:rsidRDefault="009169E8" w:rsidP="008337EF">
            <w:pPr>
              <w:pStyle w:val="Tabletext"/>
            </w:pPr>
            <w:r w:rsidRPr="008337EF">
              <w:t>27</w:t>
            </w:r>
          </w:p>
        </w:tc>
      </w:tr>
      <w:tr w:rsidR="009169E8" w14:paraId="7ACFEB32" w14:textId="77777777" w:rsidTr="000F54D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899" w:type="dxa"/>
          </w:tcPr>
          <w:p w14:paraId="1655A2D8" w14:textId="77777777" w:rsidR="009169E8" w:rsidRPr="008337EF" w:rsidRDefault="009169E8" w:rsidP="008337EF">
            <w:pPr>
              <w:pStyle w:val="Tabletext"/>
            </w:pPr>
            <w:r w:rsidRPr="008337EF">
              <w:t>81–90</w:t>
            </w:r>
          </w:p>
        </w:tc>
        <w:tc>
          <w:tcPr>
            <w:cnfStyle w:val="000001000000" w:firstRow="0" w:lastRow="0" w:firstColumn="0" w:lastColumn="0" w:oddVBand="0" w:evenVBand="1" w:oddHBand="0" w:evenHBand="0" w:firstRowFirstColumn="0" w:firstRowLastColumn="0" w:lastRowFirstColumn="0" w:lastRowLastColumn="0"/>
            <w:tcW w:w="1021" w:type="dxa"/>
          </w:tcPr>
          <w:p w14:paraId="6E55051E" w14:textId="77777777" w:rsidR="009169E8" w:rsidRPr="008337EF" w:rsidRDefault="009169E8" w:rsidP="008337EF">
            <w:pPr>
              <w:pStyle w:val="Tabletext"/>
            </w:pPr>
            <w:r w:rsidRPr="008337EF">
              <w:t>2</w:t>
            </w:r>
          </w:p>
        </w:tc>
        <w:tc>
          <w:tcPr>
            <w:cnfStyle w:val="000010000000" w:firstRow="0" w:lastRow="0" w:firstColumn="0" w:lastColumn="0" w:oddVBand="1" w:evenVBand="0" w:oddHBand="0" w:evenHBand="0" w:firstRowFirstColumn="0" w:firstRowLastColumn="0" w:lastRowFirstColumn="0" w:lastRowLastColumn="0"/>
            <w:tcW w:w="1020" w:type="dxa"/>
          </w:tcPr>
          <w:p w14:paraId="4EB24922" w14:textId="77777777" w:rsidR="009169E8" w:rsidRPr="008337EF" w:rsidRDefault="009169E8" w:rsidP="008337EF">
            <w:pPr>
              <w:pStyle w:val="Tabletext"/>
            </w:pPr>
            <w:r w:rsidRPr="008337EF">
              <w:t>45</w:t>
            </w:r>
          </w:p>
        </w:tc>
        <w:tc>
          <w:tcPr>
            <w:cnfStyle w:val="000001000000" w:firstRow="0" w:lastRow="0" w:firstColumn="0" w:lastColumn="0" w:oddVBand="0" w:evenVBand="1" w:oddHBand="0" w:evenHBand="0" w:firstRowFirstColumn="0" w:firstRowLastColumn="0" w:lastRowFirstColumn="0" w:lastRowLastColumn="0"/>
            <w:tcW w:w="1021" w:type="dxa"/>
          </w:tcPr>
          <w:p w14:paraId="28AC734C" w14:textId="77777777" w:rsidR="009169E8" w:rsidRPr="008337EF" w:rsidRDefault="009169E8" w:rsidP="008337EF">
            <w:pPr>
              <w:pStyle w:val="Tabletext"/>
            </w:pPr>
            <w:r w:rsidRPr="008337EF">
              <w:t>47</w:t>
            </w:r>
          </w:p>
        </w:tc>
      </w:tr>
      <w:tr w:rsidR="009169E8" w14:paraId="410CC447" w14:textId="77777777" w:rsidTr="000F54D3">
        <w:trPr>
          <w:trHeight w:val="113"/>
        </w:trPr>
        <w:tc>
          <w:tcPr>
            <w:cnfStyle w:val="000010000000" w:firstRow="0" w:lastRow="0" w:firstColumn="0" w:lastColumn="0" w:oddVBand="1" w:evenVBand="0" w:oddHBand="0" w:evenHBand="0" w:firstRowFirstColumn="0" w:firstRowLastColumn="0" w:lastRowFirstColumn="0" w:lastRowLastColumn="0"/>
            <w:tcW w:w="1899" w:type="dxa"/>
          </w:tcPr>
          <w:p w14:paraId="157ECD09" w14:textId="77777777" w:rsidR="009169E8" w:rsidRPr="008337EF" w:rsidRDefault="009169E8" w:rsidP="008337EF">
            <w:pPr>
              <w:pStyle w:val="Tabletext"/>
            </w:pPr>
            <w:r w:rsidRPr="008337EF">
              <w:t>&gt; 90</w:t>
            </w:r>
          </w:p>
        </w:tc>
        <w:tc>
          <w:tcPr>
            <w:cnfStyle w:val="000001000000" w:firstRow="0" w:lastRow="0" w:firstColumn="0" w:lastColumn="0" w:oddVBand="0" w:evenVBand="1" w:oddHBand="0" w:evenHBand="0" w:firstRowFirstColumn="0" w:firstRowLastColumn="0" w:lastRowFirstColumn="0" w:lastRowLastColumn="0"/>
            <w:tcW w:w="1021" w:type="dxa"/>
          </w:tcPr>
          <w:p w14:paraId="3C8C8D17" w14:textId="77777777" w:rsidR="009169E8" w:rsidRPr="008337EF" w:rsidRDefault="009169E8" w:rsidP="008337EF">
            <w:pPr>
              <w:pStyle w:val="Tabletext"/>
            </w:pPr>
            <w:r w:rsidRPr="008337EF">
              <w:t>0</w:t>
            </w:r>
          </w:p>
        </w:tc>
        <w:tc>
          <w:tcPr>
            <w:cnfStyle w:val="000010000000" w:firstRow="0" w:lastRow="0" w:firstColumn="0" w:lastColumn="0" w:oddVBand="1" w:evenVBand="0" w:oddHBand="0" w:evenHBand="0" w:firstRowFirstColumn="0" w:firstRowLastColumn="0" w:lastRowFirstColumn="0" w:lastRowLastColumn="0"/>
            <w:tcW w:w="1020" w:type="dxa"/>
          </w:tcPr>
          <w:p w14:paraId="770D7562" w14:textId="77777777" w:rsidR="009169E8" w:rsidRPr="008337EF" w:rsidRDefault="009169E8" w:rsidP="008337EF">
            <w:pPr>
              <w:pStyle w:val="Tabletext"/>
            </w:pPr>
            <w:r w:rsidRPr="008337EF">
              <w:t>14</w:t>
            </w:r>
          </w:p>
        </w:tc>
        <w:tc>
          <w:tcPr>
            <w:cnfStyle w:val="000001000000" w:firstRow="0" w:lastRow="0" w:firstColumn="0" w:lastColumn="0" w:oddVBand="0" w:evenVBand="1" w:oddHBand="0" w:evenHBand="0" w:firstRowFirstColumn="0" w:firstRowLastColumn="0" w:lastRowFirstColumn="0" w:lastRowLastColumn="0"/>
            <w:tcW w:w="1021" w:type="dxa"/>
          </w:tcPr>
          <w:p w14:paraId="5A5D1C1F" w14:textId="77777777" w:rsidR="009169E8" w:rsidRPr="008337EF" w:rsidRDefault="009169E8" w:rsidP="008337EF">
            <w:pPr>
              <w:pStyle w:val="Tabletext"/>
            </w:pPr>
            <w:r w:rsidRPr="008337EF">
              <w:t>14</w:t>
            </w:r>
          </w:p>
        </w:tc>
      </w:tr>
      <w:tr w:rsidR="009169E8" w14:paraId="4FA144A3" w14:textId="77777777" w:rsidTr="000F54D3">
        <w:trPr>
          <w:cnfStyle w:val="010000000000" w:firstRow="0" w:lastRow="1" w:firstColumn="0" w:lastColumn="0" w:oddVBand="0" w:evenVBand="0" w:oddHBand="0"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899" w:type="dxa"/>
          </w:tcPr>
          <w:p w14:paraId="21D2AAAA" w14:textId="77777777" w:rsidR="009169E8" w:rsidRPr="008337EF" w:rsidRDefault="009169E8" w:rsidP="008337EF">
            <w:pPr>
              <w:pStyle w:val="Tabletext"/>
              <w:rPr>
                <w:b w:val="0"/>
              </w:rPr>
            </w:pPr>
            <w:r w:rsidRPr="008337EF">
              <w:t>Total</w:t>
            </w:r>
          </w:p>
        </w:tc>
        <w:tc>
          <w:tcPr>
            <w:cnfStyle w:val="000001000000" w:firstRow="0" w:lastRow="0" w:firstColumn="0" w:lastColumn="0" w:oddVBand="0" w:evenVBand="1" w:oddHBand="0" w:evenHBand="0" w:firstRowFirstColumn="0" w:firstRowLastColumn="0" w:lastRowFirstColumn="0" w:lastRowLastColumn="0"/>
            <w:tcW w:w="1021" w:type="dxa"/>
          </w:tcPr>
          <w:p w14:paraId="29EA118D" w14:textId="77777777" w:rsidR="009169E8" w:rsidRPr="008337EF" w:rsidRDefault="009169E8" w:rsidP="008337EF">
            <w:pPr>
              <w:pStyle w:val="Tabletext"/>
              <w:rPr>
                <w:b w:val="0"/>
              </w:rPr>
            </w:pPr>
            <w:r w:rsidRPr="008337EF">
              <w:t>5</w:t>
            </w:r>
          </w:p>
        </w:tc>
        <w:tc>
          <w:tcPr>
            <w:cnfStyle w:val="000010000000" w:firstRow="0" w:lastRow="0" w:firstColumn="0" w:lastColumn="0" w:oddVBand="1" w:evenVBand="0" w:oddHBand="0" w:evenHBand="0" w:firstRowFirstColumn="0" w:firstRowLastColumn="0" w:lastRowFirstColumn="0" w:lastRowLastColumn="0"/>
            <w:tcW w:w="1020" w:type="dxa"/>
          </w:tcPr>
          <w:p w14:paraId="13B0273E" w14:textId="77777777" w:rsidR="009169E8" w:rsidRPr="008337EF" w:rsidRDefault="009169E8" w:rsidP="008337EF">
            <w:pPr>
              <w:pStyle w:val="Tabletext"/>
              <w:rPr>
                <w:b w:val="0"/>
              </w:rPr>
            </w:pPr>
            <w:r w:rsidRPr="008337EF">
              <w:t>123</w:t>
            </w:r>
          </w:p>
        </w:tc>
        <w:tc>
          <w:tcPr>
            <w:cnfStyle w:val="000001000000" w:firstRow="0" w:lastRow="0" w:firstColumn="0" w:lastColumn="0" w:oddVBand="0" w:evenVBand="1" w:oddHBand="0" w:evenHBand="0" w:firstRowFirstColumn="0" w:firstRowLastColumn="0" w:lastRowFirstColumn="0" w:lastRowLastColumn="0"/>
            <w:tcW w:w="1021" w:type="dxa"/>
          </w:tcPr>
          <w:p w14:paraId="67DE20E8" w14:textId="77777777" w:rsidR="009169E8" w:rsidRPr="008337EF" w:rsidRDefault="009169E8" w:rsidP="008337EF">
            <w:pPr>
              <w:pStyle w:val="Tabletext"/>
              <w:rPr>
                <w:b w:val="0"/>
              </w:rPr>
            </w:pPr>
            <w:r w:rsidRPr="008337EF">
              <w:t>128</w:t>
            </w:r>
          </w:p>
        </w:tc>
      </w:tr>
    </w:tbl>
    <w:p w14:paraId="78D311AE" w14:textId="77777777" w:rsidR="009169E8" w:rsidRDefault="009169E8" w:rsidP="008E28A3">
      <w:pPr>
        <w:pStyle w:val="DHHSbody"/>
      </w:pPr>
    </w:p>
    <w:p w14:paraId="433396C9" w14:textId="5EE43B0D" w:rsidR="009169E8" w:rsidRDefault="009169E8" w:rsidP="000104F5">
      <w:pPr>
        <w:pStyle w:val="Heading1"/>
      </w:pPr>
      <w:bookmarkStart w:id="8" w:name="_Toc20234277"/>
      <w:r>
        <w:lastRenderedPageBreak/>
        <w:t>Category 1–3 cases: Anaesthesia-related mortality and morbidity</w:t>
      </w:r>
      <w:bookmarkEnd w:id="8"/>
    </w:p>
    <w:p w14:paraId="1E7C8039" w14:textId="77777777" w:rsidR="009169E8" w:rsidRDefault="009169E8" w:rsidP="008E28A3">
      <w:pPr>
        <w:pStyle w:val="DHHSbody"/>
      </w:pPr>
      <w:r>
        <w:t>The 110 cases classified as anaesthesia-related mortality or morbidity events are the main focus of this report.</w:t>
      </w:r>
    </w:p>
    <w:p w14:paraId="294FDF61" w14:textId="77777777" w:rsidR="009169E8" w:rsidRDefault="009169E8" w:rsidP="00E961B4">
      <w:pPr>
        <w:pStyle w:val="Bullet1"/>
      </w:pPr>
      <w:r>
        <w:t>47 (42.7 per cent) cases were deemed category 1 (reasonably certain the event was due to anaesthesia factors) (12 mortality and 35 morbidity).</w:t>
      </w:r>
    </w:p>
    <w:p w14:paraId="78394974" w14:textId="77777777" w:rsidR="009169E8" w:rsidRDefault="009169E8" w:rsidP="00E961B4">
      <w:pPr>
        <w:pStyle w:val="Bullet1"/>
      </w:pPr>
      <w:r>
        <w:t>Four (3.6 per cent) cases were deemed category 2 (some doubt whether the event was entirely due to anaesthesia factors) (two mortality and two morbidity).</w:t>
      </w:r>
    </w:p>
    <w:p w14:paraId="48C3D057" w14:textId="74BA3916" w:rsidR="009169E8" w:rsidRDefault="009169E8" w:rsidP="00BB165F">
      <w:pPr>
        <w:pStyle w:val="Bullet1"/>
      </w:pPr>
      <w:r>
        <w:t>59 (53.6 per cent) cases were deemed category 3 (medical/surgical and anaesthesia factors were thought to be involved) (44 mortality and 15 morbidity).</w:t>
      </w:r>
    </w:p>
    <w:p w14:paraId="1B1C7459" w14:textId="77777777" w:rsidR="009169E8" w:rsidRDefault="009169E8" w:rsidP="000A4644">
      <w:pPr>
        <w:pStyle w:val="Heading2"/>
      </w:pPr>
      <w:r>
        <w:t>PRIMARY EVENT TYPE CLASSIFICATIONS FOR CATEGORY 1–3 CASES</w:t>
      </w:r>
    </w:p>
    <w:p w14:paraId="2DA82C89" w14:textId="77777777" w:rsidR="009169E8" w:rsidRDefault="009169E8" w:rsidP="008E28A3">
      <w:pPr>
        <w:pStyle w:val="DHHSbody"/>
      </w:pPr>
      <w:r>
        <w:t>Table 2 shows the primary event type in order of frequency for the events classified as anaesthesia-related (categories 1–3). More detail regarding their clinical nature is provided in the ‘Clinical themes’ section.</w:t>
      </w:r>
    </w:p>
    <w:p w14:paraId="27C15212" w14:textId="77777777" w:rsidR="009169E8" w:rsidRDefault="009169E8" w:rsidP="008E28A3">
      <w:pPr>
        <w:pStyle w:val="DHHSbody"/>
      </w:pPr>
      <w:r>
        <w:t>It is important to note that each event can only be assigned to one (primary) event category and event sub-type. Cases classified under one event type may have also involved other clinical issues that are not reflected in the event classification. This overlap is explored further in the ‘Clinical themes’ section.</w:t>
      </w:r>
    </w:p>
    <w:p w14:paraId="3E764F43" w14:textId="77777777" w:rsidR="009169E8" w:rsidRDefault="009169E8" w:rsidP="00B8026E">
      <w:pPr>
        <w:pStyle w:val="Tablechartdiagramheading"/>
      </w:pPr>
      <w:r>
        <w:t>Table 2: Event type for category 1–3 cases</w:t>
      </w:r>
    </w:p>
    <w:tbl>
      <w:tblPr>
        <w:tblStyle w:val="PlainTable2"/>
        <w:tblW w:w="0" w:type="auto"/>
        <w:tblLayout w:type="fixed"/>
        <w:tblLook w:val="0060" w:firstRow="1" w:lastRow="1" w:firstColumn="0" w:lastColumn="0" w:noHBand="0" w:noVBand="0"/>
      </w:tblPr>
      <w:tblGrid>
        <w:gridCol w:w="3402"/>
        <w:gridCol w:w="1133"/>
        <w:gridCol w:w="1134"/>
        <w:gridCol w:w="1134"/>
        <w:gridCol w:w="1134"/>
        <w:gridCol w:w="1134"/>
        <w:gridCol w:w="1134"/>
      </w:tblGrid>
      <w:tr w:rsidR="009169E8" w14:paraId="4B98A8B6" w14:textId="77777777" w:rsidTr="00AD1991">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402" w:type="dxa"/>
          </w:tcPr>
          <w:p w14:paraId="5BCB8532" w14:textId="77777777" w:rsidR="009169E8" w:rsidRPr="00AD1991" w:rsidRDefault="009169E8" w:rsidP="00A90D07">
            <w:pPr>
              <w:pStyle w:val="Tableheader"/>
              <w:rPr>
                <w:b/>
              </w:rPr>
            </w:pPr>
            <w:r w:rsidRPr="00AD1991">
              <w:rPr>
                <w:b/>
              </w:rPr>
              <w:t>Event type</w:t>
            </w:r>
          </w:p>
        </w:tc>
        <w:tc>
          <w:tcPr>
            <w:cnfStyle w:val="000001000000" w:firstRow="0" w:lastRow="0" w:firstColumn="0" w:lastColumn="0" w:oddVBand="0" w:evenVBand="1" w:oddHBand="0" w:evenHBand="0" w:firstRowFirstColumn="0" w:firstRowLastColumn="0" w:lastRowFirstColumn="0" w:lastRowLastColumn="0"/>
            <w:tcW w:w="1133" w:type="dxa"/>
          </w:tcPr>
          <w:p w14:paraId="29C1B06C" w14:textId="77777777" w:rsidR="009169E8" w:rsidRPr="00AD1991" w:rsidRDefault="009169E8" w:rsidP="00A90D07">
            <w:pPr>
              <w:pStyle w:val="Tableheader"/>
              <w:rPr>
                <w:b/>
              </w:rPr>
            </w:pPr>
            <w:r w:rsidRPr="00AD1991">
              <w:rPr>
                <w:b/>
              </w:rPr>
              <w:t xml:space="preserve">Number </w:t>
            </w:r>
            <w:r w:rsidRPr="00AD1991">
              <w:rPr>
                <w:b/>
              </w:rPr>
              <w:br/>
              <w:t>of cases</w:t>
            </w:r>
          </w:p>
        </w:tc>
        <w:tc>
          <w:tcPr>
            <w:cnfStyle w:val="000010000000" w:firstRow="0" w:lastRow="0" w:firstColumn="0" w:lastColumn="0" w:oddVBand="1" w:evenVBand="0" w:oddHBand="0" w:evenHBand="0" w:firstRowFirstColumn="0" w:firstRowLastColumn="0" w:lastRowFirstColumn="0" w:lastRowLastColumn="0"/>
            <w:tcW w:w="1134" w:type="dxa"/>
          </w:tcPr>
          <w:p w14:paraId="0699F03C" w14:textId="77777777" w:rsidR="009169E8" w:rsidRPr="00AD1991" w:rsidRDefault="009169E8" w:rsidP="00A90D07">
            <w:pPr>
              <w:pStyle w:val="Tableheader"/>
              <w:rPr>
                <w:b/>
              </w:rPr>
            </w:pPr>
            <w:r w:rsidRPr="00AD1991">
              <w:rPr>
                <w:b/>
              </w:rPr>
              <w:t>Morbidity</w:t>
            </w:r>
          </w:p>
        </w:tc>
        <w:tc>
          <w:tcPr>
            <w:cnfStyle w:val="000001000000" w:firstRow="0" w:lastRow="0" w:firstColumn="0" w:lastColumn="0" w:oddVBand="0" w:evenVBand="1" w:oddHBand="0" w:evenHBand="0" w:firstRowFirstColumn="0" w:firstRowLastColumn="0" w:lastRowFirstColumn="0" w:lastRowLastColumn="0"/>
            <w:tcW w:w="1134" w:type="dxa"/>
          </w:tcPr>
          <w:p w14:paraId="5AA1EED5" w14:textId="77777777" w:rsidR="009169E8" w:rsidRPr="00AD1991" w:rsidRDefault="009169E8" w:rsidP="00A90D07">
            <w:pPr>
              <w:pStyle w:val="Tableheader"/>
              <w:rPr>
                <w:b/>
              </w:rPr>
            </w:pPr>
            <w:r w:rsidRPr="00AD1991">
              <w:rPr>
                <w:b/>
              </w:rPr>
              <w:t xml:space="preserve">Mortality </w:t>
            </w:r>
          </w:p>
        </w:tc>
        <w:tc>
          <w:tcPr>
            <w:cnfStyle w:val="000010000000" w:firstRow="0" w:lastRow="0" w:firstColumn="0" w:lastColumn="0" w:oddVBand="1" w:evenVBand="0" w:oddHBand="0" w:evenHBand="0" w:firstRowFirstColumn="0" w:firstRowLastColumn="0" w:lastRowFirstColumn="0" w:lastRowLastColumn="0"/>
            <w:tcW w:w="1134" w:type="dxa"/>
          </w:tcPr>
          <w:p w14:paraId="115454B2" w14:textId="77777777" w:rsidR="009169E8" w:rsidRPr="00AD1991" w:rsidRDefault="009169E8" w:rsidP="00A90D07">
            <w:pPr>
              <w:pStyle w:val="Tableheader"/>
              <w:rPr>
                <w:b/>
              </w:rPr>
            </w:pPr>
            <w:r w:rsidRPr="00AD1991">
              <w:rPr>
                <w:b/>
              </w:rPr>
              <w:t>Cat 1</w:t>
            </w:r>
          </w:p>
        </w:tc>
        <w:tc>
          <w:tcPr>
            <w:cnfStyle w:val="000001000000" w:firstRow="0" w:lastRow="0" w:firstColumn="0" w:lastColumn="0" w:oddVBand="0" w:evenVBand="1" w:oddHBand="0" w:evenHBand="0" w:firstRowFirstColumn="0" w:firstRowLastColumn="0" w:lastRowFirstColumn="0" w:lastRowLastColumn="0"/>
            <w:tcW w:w="1134" w:type="dxa"/>
          </w:tcPr>
          <w:p w14:paraId="6B41F90B" w14:textId="77777777" w:rsidR="009169E8" w:rsidRPr="00AD1991" w:rsidRDefault="009169E8" w:rsidP="00A90D07">
            <w:pPr>
              <w:pStyle w:val="Tableheader"/>
              <w:rPr>
                <w:b/>
              </w:rPr>
            </w:pPr>
            <w:r w:rsidRPr="00AD1991">
              <w:rPr>
                <w:b/>
              </w:rPr>
              <w:t>Cat 2</w:t>
            </w:r>
          </w:p>
        </w:tc>
        <w:tc>
          <w:tcPr>
            <w:cnfStyle w:val="000010000000" w:firstRow="0" w:lastRow="0" w:firstColumn="0" w:lastColumn="0" w:oddVBand="1" w:evenVBand="0" w:oddHBand="0" w:evenHBand="0" w:firstRowFirstColumn="0" w:firstRowLastColumn="0" w:lastRowFirstColumn="0" w:lastRowLastColumn="0"/>
            <w:tcW w:w="1134" w:type="dxa"/>
          </w:tcPr>
          <w:p w14:paraId="5CFC06AB" w14:textId="77777777" w:rsidR="009169E8" w:rsidRPr="00AD1991" w:rsidRDefault="009169E8" w:rsidP="00A90D07">
            <w:pPr>
              <w:pStyle w:val="Tableheader"/>
              <w:rPr>
                <w:b/>
              </w:rPr>
            </w:pPr>
            <w:r w:rsidRPr="00AD1991">
              <w:rPr>
                <w:b/>
              </w:rPr>
              <w:t>Cat 3</w:t>
            </w:r>
          </w:p>
        </w:tc>
      </w:tr>
      <w:tr w:rsidR="009169E8" w14:paraId="68EAF01D"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402" w:type="dxa"/>
          </w:tcPr>
          <w:p w14:paraId="3A8D18BF" w14:textId="77777777" w:rsidR="009169E8" w:rsidRPr="002A25F6" w:rsidRDefault="009169E8" w:rsidP="002A25F6">
            <w:pPr>
              <w:pStyle w:val="Tabletext"/>
            </w:pPr>
            <w:r w:rsidRPr="002A25F6">
              <w:t>Cardiovascular</w:t>
            </w:r>
          </w:p>
        </w:tc>
        <w:tc>
          <w:tcPr>
            <w:cnfStyle w:val="000001000000" w:firstRow="0" w:lastRow="0" w:firstColumn="0" w:lastColumn="0" w:oddVBand="0" w:evenVBand="1" w:oddHBand="0" w:evenHBand="0" w:firstRowFirstColumn="0" w:firstRowLastColumn="0" w:lastRowFirstColumn="0" w:lastRowLastColumn="0"/>
            <w:tcW w:w="1133" w:type="dxa"/>
          </w:tcPr>
          <w:p w14:paraId="51FB2DEE" w14:textId="77777777" w:rsidR="009169E8" w:rsidRPr="002A25F6" w:rsidRDefault="009169E8" w:rsidP="002A25F6">
            <w:pPr>
              <w:pStyle w:val="Tabletext"/>
              <w:rPr>
                <w:b/>
              </w:rPr>
            </w:pPr>
            <w:r w:rsidRPr="002A25F6">
              <w:rPr>
                <w:b/>
              </w:rPr>
              <w:t>42</w:t>
            </w:r>
          </w:p>
        </w:tc>
        <w:tc>
          <w:tcPr>
            <w:cnfStyle w:val="000010000000" w:firstRow="0" w:lastRow="0" w:firstColumn="0" w:lastColumn="0" w:oddVBand="1" w:evenVBand="0" w:oddHBand="0" w:evenHBand="0" w:firstRowFirstColumn="0" w:firstRowLastColumn="0" w:lastRowFirstColumn="0" w:lastRowLastColumn="0"/>
            <w:tcW w:w="1134" w:type="dxa"/>
          </w:tcPr>
          <w:p w14:paraId="2C1DD56F" w14:textId="77777777" w:rsidR="009169E8" w:rsidRPr="002A25F6" w:rsidRDefault="009169E8" w:rsidP="002A25F6">
            <w:pPr>
              <w:pStyle w:val="Tabletext"/>
            </w:pPr>
            <w:r w:rsidRPr="002A25F6">
              <w:t>10</w:t>
            </w:r>
          </w:p>
        </w:tc>
        <w:tc>
          <w:tcPr>
            <w:cnfStyle w:val="000001000000" w:firstRow="0" w:lastRow="0" w:firstColumn="0" w:lastColumn="0" w:oddVBand="0" w:evenVBand="1" w:oddHBand="0" w:evenHBand="0" w:firstRowFirstColumn="0" w:firstRowLastColumn="0" w:lastRowFirstColumn="0" w:lastRowLastColumn="0"/>
            <w:tcW w:w="1134" w:type="dxa"/>
          </w:tcPr>
          <w:p w14:paraId="0F91D23A" w14:textId="77777777" w:rsidR="009169E8" w:rsidRPr="002A25F6" w:rsidRDefault="009169E8" w:rsidP="002A25F6">
            <w:pPr>
              <w:pStyle w:val="Tabletext"/>
            </w:pPr>
            <w:r w:rsidRPr="002A25F6">
              <w:t>32</w:t>
            </w:r>
          </w:p>
        </w:tc>
        <w:tc>
          <w:tcPr>
            <w:cnfStyle w:val="000010000000" w:firstRow="0" w:lastRow="0" w:firstColumn="0" w:lastColumn="0" w:oddVBand="1" w:evenVBand="0" w:oddHBand="0" w:evenHBand="0" w:firstRowFirstColumn="0" w:firstRowLastColumn="0" w:lastRowFirstColumn="0" w:lastRowLastColumn="0"/>
            <w:tcW w:w="1134" w:type="dxa"/>
          </w:tcPr>
          <w:p w14:paraId="683AB8CF" w14:textId="77777777" w:rsidR="009169E8" w:rsidRPr="002A25F6" w:rsidRDefault="009169E8" w:rsidP="002A25F6">
            <w:pPr>
              <w:pStyle w:val="Tabletext"/>
            </w:pPr>
            <w:r w:rsidRPr="002A25F6">
              <w:t>5</w:t>
            </w:r>
          </w:p>
        </w:tc>
        <w:tc>
          <w:tcPr>
            <w:cnfStyle w:val="000001000000" w:firstRow="0" w:lastRow="0" w:firstColumn="0" w:lastColumn="0" w:oddVBand="0" w:evenVBand="1" w:oddHBand="0" w:evenHBand="0" w:firstRowFirstColumn="0" w:firstRowLastColumn="0" w:lastRowFirstColumn="0" w:lastRowLastColumn="0"/>
            <w:tcW w:w="1134" w:type="dxa"/>
          </w:tcPr>
          <w:p w14:paraId="2FD0D0D1" w14:textId="77777777" w:rsidR="009169E8" w:rsidRPr="002A25F6" w:rsidRDefault="009169E8" w:rsidP="002A25F6">
            <w:pPr>
              <w:pStyle w:val="Tabletext"/>
            </w:pPr>
            <w:r w:rsidRPr="002A25F6">
              <w:t>1</w:t>
            </w:r>
          </w:p>
        </w:tc>
        <w:tc>
          <w:tcPr>
            <w:cnfStyle w:val="000010000000" w:firstRow="0" w:lastRow="0" w:firstColumn="0" w:lastColumn="0" w:oddVBand="1" w:evenVBand="0" w:oddHBand="0" w:evenHBand="0" w:firstRowFirstColumn="0" w:firstRowLastColumn="0" w:lastRowFirstColumn="0" w:lastRowLastColumn="0"/>
            <w:tcW w:w="1134" w:type="dxa"/>
          </w:tcPr>
          <w:p w14:paraId="78E79FD0" w14:textId="77777777" w:rsidR="009169E8" w:rsidRPr="002A25F6" w:rsidRDefault="009169E8" w:rsidP="002A25F6">
            <w:pPr>
              <w:pStyle w:val="Tabletext"/>
            </w:pPr>
            <w:r w:rsidRPr="002A25F6">
              <w:t>36</w:t>
            </w:r>
          </w:p>
        </w:tc>
      </w:tr>
      <w:tr w:rsidR="009169E8" w14:paraId="62FC230C"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3402" w:type="dxa"/>
          </w:tcPr>
          <w:p w14:paraId="180A64A0" w14:textId="77777777" w:rsidR="009169E8" w:rsidRPr="002A25F6" w:rsidRDefault="009169E8" w:rsidP="002A25F6">
            <w:pPr>
              <w:pStyle w:val="Tabletext"/>
            </w:pPr>
            <w:r w:rsidRPr="002A25F6">
              <w:t>Drug-related</w:t>
            </w:r>
          </w:p>
        </w:tc>
        <w:tc>
          <w:tcPr>
            <w:cnfStyle w:val="000001000000" w:firstRow="0" w:lastRow="0" w:firstColumn="0" w:lastColumn="0" w:oddVBand="0" w:evenVBand="1" w:oddHBand="0" w:evenHBand="0" w:firstRowFirstColumn="0" w:firstRowLastColumn="0" w:lastRowFirstColumn="0" w:lastRowLastColumn="0"/>
            <w:tcW w:w="1133" w:type="dxa"/>
          </w:tcPr>
          <w:p w14:paraId="61C30AAA" w14:textId="77777777" w:rsidR="009169E8" w:rsidRPr="002A25F6" w:rsidRDefault="009169E8" w:rsidP="002A25F6">
            <w:pPr>
              <w:pStyle w:val="Tabletext"/>
              <w:rPr>
                <w:b/>
              </w:rPr>
            </w:pPr>
            <w:r w:rsidRPr="002A25F6">
              <w:rPr>
                <w:b/>
              </w:rPr>
              <w:t>21</w:t>
            </w:r>
          </w:p>
        </w:tc>
        <w:tc>
          <w:tcPr>
            <w:cnfStyle w:val="000010000000" w:firstRow="0" w:lastRow="0" w:firstColumn="0" w:lastColumn="0" w:oddVBand="1" w:evenVBand="0" w:oddHBand="0" w:evenHBand="0" w:firstRowFirstColumn="0" w:firstRowLastColumn="0" w:lastRowFirstColumn="0" w:lastRowLastColumn="0"/>
            <w:tcW w:w="1134" w:type="dxa"/>
          </w:tcPr>
          <w:p w14:paraId="127D12F9" w14:textId="77777777" w:rsidR="009169E8" w:rsidRPr="002A25F6" w:rsidRDefault="009169E8" w:rsidP="002A25F6">
            <w:pPr>
              <w:pStyle w:val="Tabletext"/>
            </w:pPr>
            <w:r w:rsidRPr="002A25F6">
              <w:t>15</w:t>
            </w:r>
          </w:p>
        </w:tc>
        <w:tc>
          <w:tcPr>
            <w:cnfStyle w:val="000001000000" w:firstRow="0" w:lastRow="0" w:firstColumn="0" w:lastColumn="0" w:oddVBand="0" w:evenVBand="1" w:oddHBand="0" w:evenHBand="0" w:firstRowFirstColumn="0" w:firstRowLastColumn="0" w:lastRowFirstColumn="0" w:lastRowLastColumn="0"/>
            <w:tcW w:w="1134" w:type="dxa"/>
          </w:tcPr>
          <w:p w14:paraId="634D8D8E" w14:textId="77777777" w:rsidR="009169E8" w:rsidRPr="002A25F6" w:rsidRDefault="009169E8" w:rsidP="002A25F6">
            <w:pPr>
              <w:pStyle w:val="Tabletext"/>
            </w:pPr>
            <w:r w:rsidRPr="002A25F6">
              <w:t>6</w:t>
            </w:r>
          </w:p>
        </w:tc>
        <w:tc>
          <w:tcPr>
            <w:cnfStyle w:val="000010000000" w:firstRow="0" w:lastRow="0" w:firstColumn="0" w:lastColumn="0" w:oddVBand="1" w:evenVBand="0" w:oddHBand="0" w:evenHBand="0" w:firstRowFirstColumn="0" w:firstRowLastColumn="0" w:lastRowFirstColumn="0" w:lastRowLastColumn="0"/>
            <w:tcW w:w="1134" w:type="dxa"/>
          </w:tcPr>
          <w:p w14:paraId="313C7C25" w14:textId="77777777" w:rsidR="009169E8" w:rsidRPr="002A25F6" w:rsidRDefault="009169E8" w:rsidP="002A25F6">
            <w:pPr>
              <w:pStyle w:val="Tabletext"/>
            </w:pPr>
            <w:r w:rsidRPr="002A25F6">
              <w:t>15</w:t>
            </w:r>
          </w:p>
        </w:tc>
        <w:tc>
          <w:tcPr>
            <w:cnfStyle w:val="000001000000" w:firstRow="0" w:lastRow="0" w:firstColumn="0" w:lastColumn="0" w:oddVBand="0" w:evenVBand="1" w:oddHBand="0" w:evenHBand="0" w:firstRowFirstColumn="0" w:firstRowLastColumn="0" w:lastRowFirstColumn="0" w:lastRowLastColumn="0"/>
            <w:tcW w:w="1134" w:type="dxa"/>
          </w:tcPr>
          <w:p w14:paraId="78735F12" w14:textId="77777777" w:rsidR="009169E8" w:rsidRPr="002A25F6" w:rsidRDefault="009169E8" w:rsidP="002A25F6">
            <w:pPr>
              <w:pStyle w:val="Tabletext"/>
            </w:pPr>
            <w:r w:rsidRPr="002A25F6">
              <w:t>0</w:t>
            </w:r>
          </w:p>
        </w:tc>
        <w:tc>
          <w:tcPr>
            <w:cnfStyle w:val="000010000000" w:firstRow="0" w:lastRow="0" w:firstColumn="0" w:lastColumn="0" w:oddVBand="1" w:evenVBand="0" w:oddHBand="0" w:evenHBand="0" w:firstRowFirstColumn="0" w:firstRowLastColumn="0" w:lastRowFirstColumn="0" w:lastRowLastColumn="0"/>
            <w:tcW w:w="1134" w:type="dxa"/>
          </w:tcPr>
          <w:p w14:paraId="7D132840" w14:textId="77777777" w:rsidR="009169E8" w:rsidRPr="002A25F6" w:rsidRDefault="009169E8" w:rsidP="002A25F6">
            <w:pPr>
              <w:pStyle w:val="Tabletext"/>
            </w:pPr>
            <w:r w:rsidRPr="002A25F6">
              <w:t>6</w:t>
            </w:r>
          </w:p>
        </w:tc>
      </w:tr>
      <w:tr w:rsidR="009169E8" w14:paraId="51BFB569"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402" w:type="dxa"/>
          </w:tcPr>
          <w:p w14:paraId="7DD970AD" w14:textId="77777777" w:rsidR="009169E8" w:rsidRPr="002A25F6" w:rsidRDefault="009169E8" w:rsidP="002A25F6">
            <w:pPr>
              <w:pStyle w:val="Tabletext"/>
            </w:pPr>
            <w:r w:rsidRPr="002A25F6">
              <w:t>Respiratory</w:t>
            </w:r>
          </w:p>
        </w:tc>
        <w:tc>
          <w:tcPr>
            <w:cnfStyle w:val="000001000000" w:firstRow="0" w:lastRow="0" w:firstColumn="0" w:lastColumn="0" w:oddVBand="0" w:evenVBand="1" w:oddHBand="0" w:evenHBand="0" w:firstRowFirstColumn="0" w:firstRowLastColumn="0" w:lastRowFirstColumn="0" w:lastRowLastColumn="0"/>
            <w:tcW w:w="1133" w:type="dxa"/>
          </w:tcPr>
          <w:p w14:paraId="19C49D94" w14:textId="77777777" w:rsidR="009169E8" w:rsidRPr="002A25F6" w:rsidRDefault="009169E8" w:rsidP="002A25F6">
            <w:pPr>
              <w:pStyle w:val="Tabletext"/>
              <w:rPr>
                <w:b/>
              </w:rPr>
            </w:pPr>
            <w:r w:rsidRPr="002A25F6">
              <w:rPr>
                <w:b/>
              </w:rPr>
              <w:t>13</w:t>
            </w:r>
          </w:p>
        </w:tc>
        <w:tc>
          <w:tcPr>
            <w:cnfStyle w:val="000010000000" w:firstRow="0" w:lastRow="0" w:firstColumn="0" w:lastColumn="0" w:oddVBand="1" w:evenVBand="0" w:oddHBand="0" w:evenHBand="0" w:firstRowFirstColumn="0" w:firstRowLastColumn="0" w:lastRowFirstColumn="0" w:lastRowLastColumn="0"/>
            <w:tcW w:w="1134" w:type="dxa"/>
          </w:tcPr>
          <w:p w14:paraId="26DDECA4" w14:textId="77777777" w:rsidR="009169E8" w:rsidRPr="002A25F6" w:rsidRDefault="009169E8" w:rsidP="002A25F6">
            <w:pPr>
              <w:pStyle w:val="Tabletext"/>
            </w:pPr>
            <w:r w:rsidRPr="002A25F6">
              <w:t>4</w:t>
            </w:r>
          </w:p>
        </w:tc>
        <w:tc>
          <w:tcPr>
            <w:cnfStyle w:val="000001000000" w:firstRow="0" w:lastRow="0" w:firstColumn="0" w:lastColumn="0" w:oddVBand="0" w:evenVBand="1" w:oddHBand="0" w:evenHBand="0" w:firstRowFirstColumn="0" w:firstRowLastColumn="0" w:lastRowFirstColumn="0" w:lastRowLastColumn="0"/>
            <w:tcW w:w="1134" w:type="dxa"/>
          </w:tcPr>
          <w:p w14:paraId="2ACC1A0F" w14:textId="77777777" w:rsidR="009169E8" w:rsidRPr="002A25F6" w:rsidRDefault="009169E8" w:rsidP="002A25F6">
            <w:pPr>
              <w:pStyle w:val="Tabletext"/>
            </w:pPr>
            <w:r w:rsidRPr="002A25F6">
              <w:t>9</w:t>
            </w:r>
          </w:p>
        </w:tc>
        <w:tc>
          <w:tcPr>
            <w:cnfStyle w:val="000010000000" w:firstRow="0" w:lastRow="0" w:firstColumn="0" w:lastColumn="0" w:oddVBand="1" w:evenVBand="0" w:oddHBand="0" w:evenHBand="0" w:firstRowFirstColumn="0" w:firstRowLastColumn="0" w:lastRowFirstColumn="0" w:lastRowLastColumn="0"/>
            <w:tcW w:w="1134" w:type="dxa"/>
          </w:tcPr>
          <w:p w14:paraId="73107A0D" w14:textId="77777777" w:rsidR="009169E8" w:rsidRPr="002A25F6" w:rsidRDefault="009169E8" w:rsidP="002A25F6">
            <w:pPr>
              <w:pStyle w:val="Tabletext"/>
            </w:pPr>
            <w:r w:rsidRPr="002A25F6">
              <w:t>5</w:t>
            </w:r>
          </w:p>
        </w:tc>
        <w:tc>
          <w:tcPr>
            <w:cnfStyle w:val="000001000000" w:firstRow="0" w:lastRow="0" w:firstColumn="0" w:lastColumn="0" w:oddVBand="0" w:evenVBand="1" w:oddHBand="0" w:evenHBand="0" w:firstRowFirstColumn="0" w:firstRowLastColumn="0" w:lastRowFirstColumn="0" w:lastRowLastColumn="0"/>
            <w:tcW w:w="1134" w:type="dxa"/>
          </w:tcPr>
          <w:p w14:paraId="5A27454C" w14:textId="77777777" w:rsidR="009169E8" w:rsidRPr="002A25F6" w:rsidRDefault="009169E8" w:rsidP="002A25F6">
            <w:pPr>
              <w:pStyle w:val="Tabletext"/>
            </w:pPr>
            <w:r w:rsidRPr="002A25F6">
              <w:t>2</w:t>
            </w:r>
          </w:p>
        </w:tc>
        <w:tc>
          <w:tcPr>
            <w:cnfStyle w:val="000010000000" w:firstRow="0" w:lastRow="0" w:firstColumn="0" w:lastColumn="0" w:oddVBand="1" w:evenVBand="0" w:oddHBand="0" w:evenHBand="0" w:firstRowFirstColumn="0" w:firstRowLastColumn="0" w:lastRowFirstColumn="0" w:lastRowLastColumn="0"/>
            <w:tcW w:w="1134" w:type="dxa"/>
          </w:tcPr>
          <w:p w14:paraId="2F9A6920" w14:textId="77777777" w:rsidR="009169E8" w:rsidRPr="002A25F6" w:rsidRDefault="009169E8" w:rsidP="002A25F6">
            <w:pPr>
              <w:pStyle w:val="Tabletext"/>
            </w:pPr>
            <w:r w:rsidRPr="002A25F6">
              <w:t>6</w:t>
            </w:r>
          </w:p>
        </w:tc>
      </w:tr>
      <w:tr w:rsidR="009169E8" w14:paraId="1C11EF3A"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3402" w:type="dxa"/>
          </w:tcPr>
          <w:p w14:paraId="429F4D3E" w14:textId="77777777" w:rsidR="009169E8" w:rsidRPr="002A25F6" w:rsidRDefault="009169E8" w:rsidP="002A25F6">
            <w:pPr>
              <w:pStyle w:val="Tabletext"/>
            </w:pPr>
            <w:r w:rsidRPr="002A25F6">
              <w:t>Neurological</w:t>
            </w:r>
          </w:p>
        </w:tc>
        <w:tc>
          <w:tcPr>
            <w:cnfStyle w:val="000001000000" w:firstRow="0" w:lastRow="0" w:firstColumn="0" w:lastColumn="0" w:oddVBand="0" w:evenVBand="1" w:oddHBand="0" w:evenHBand="0" w:firstRowFirstColumn="0" w:firstRowLastColumn="0" w:lastRowFirstColumn="0" w:lastRowLastColumn="0"/>
            <w:tcW w:w="1133" w:type="dxa"/>
          </w:tcPr>
          <w:p w14:paraId="74632407" w14:textId="77777777" w:rsidR="009169E8" w:rsidRPr="002A25F6" w:rsidRDefault="009169E8" w:rsidP="002A25F6">
            <w:pPr>
              <w:pStyle w:val="Tabletext"/>
              <w:rPr>
                <w:b/>
              </w:rPr>
            </w:pPr>
            <w:r w:rsidRPr="002A25F6">
              <w:rPr>
                <w:b/>
              </w:rPr>
              <w:t>13</w:t>
            </w:r>
          </w:p>
        </w:tc>
        <w:tc>
          <w:tcPr>
            <w:cnfStyle w:val="000010000000" w:firstRow="0" w:lastRow="0" w:firstColumn="0" w:lastColumn="0" w:oddVBand="1" w:evenVBand="0" w:oddHBand="0" w:evenHBand="0" w:firstRowFirstColumn="0" w:firstRowLastColumn="0" w:lastRowFirstColumn="0" w:lastRowLastColumn="0"/>
            <w:tcW w:w="1134" w:type="dxa"/>
          </w:tcPr>
          <w:p w14:paraId="1A6A1EF3" w14:textId="77777777" w:rsidR="009169E8" w:rsidRPr="002A25F6" w:rsidRDefault="009169E8" w:rsidP="002A25F6">
            <w:pPr>
              <w:pStyle w:val="Tabletext"/>
            </w:pPr>
            <w:r w:rsidRPr="002A25F6">
              <w:t>6</w:t>
            </w:r>
          </w:p>
        </w:tc>
        <w:tc>
          <w:tcPr>
            <w:cnfStyle w:val="000001000000" w:firstRow="0" w:lastRow="0" w:firstColumn="0" w:lastColumn="0" w:oddVBand="0" w:evenVBand="1" w:oddHBand="0" w:evenHBand="0" w:firstRowFirstColumn="0" w:firstRowLastColumn="0" w:lastRowFirstColumn="0" w:lastRowLastColumn="0"/>
            <w:tcW w:w="1134" w:type="dxa"/>
          </w:tcPr>
          <w:p w14:paraId="7432143C" w14:textId="77777777" w:rsidR="009169E8" w:rsidRPr="002A25F6" w:rsidRDefault="009169E8" w:rsidP="002A25F6">
            <w:pPr>
              <w:pStyle w:val="Tabletext"/>
            </w:pPr>
            <w:r w:rsidRPr="002A25F6">
              <w:t>7</w:t>
            </w:r>
          </w:p>
        </w:tc>
        <w:tc>
          <w:tcPr>
            <w:cnfStyle w:val="000010000000" w:firstRow="0" w:lastRow="0" w:firstColumn="0" w:lastColumn="0" w:oddVBand="1" w:evenVBand="0" w:oddHBand="0" w:evenHBand="0" w:firstRowFirstColumn="0" w:firstRowLastColumn="0" w:lastRowFirstColumn="0" w:lastRowLastColumn="0"/>
            <w:tcW w:w="1134" w:type="dxa"/>
          </w:tcPr>
          <w:p w14:paraId="403F3855" w14:textId="77777777" w:rsidR="009169E8" w:rsidRPr="002A25F6" w:rsidRDefault="009169E8" w:rsidP="002A25F6">
            <w:pPr>
              <w:pStyle w:val="Tabletext"/>
            </w:pPr>
            <w:r w:rsidRPr="002A25F6">
              <w:t>6</w:t>
            </w:r>
          </w:p>
        </w:tc>
        <w:tc>
          <w:tcPr>
            <w:cnfStyle w:val="000001000000" w:firstRow="0" w:lastRow="0" w:firstColumn="0" w:lastColumn="0" w:oddVBand="0" w:evenVBand="1" w:oddHBand="0" w:evenHBand="0" w:firstRowFirstColumn="0" w:firstRowLastColumn="0" w:lastRowFirstColumn="0" w:lastRowLastColumn="0"/>
            <w:tcW w:w="1134" w:type="dxa"/>
          </w:tcPr>
          <w:p w14:paraId="5460FC81" w14:textId="77777777" w:rsidR="009169E8" w:rsidRPr="002A25F6" w:rsidRDefault="009169E8" w:rsidP="002A25F6">
            <w:pPr>
              <w:pStyle w:val="Tabletext"/>
            </w:pPr>
            <w:r w:rsidRPr="002A25F6">
              <w:t>0</w:t>
            </w:r>
          </w:p>
        </w:tc>
        <w:tc>
          <w:tcPr>
            <w:cnfStyle w:val="000010000000" w:firstRow="0" w:lastRow="0" w:firstColumn="0" w:lastColumn="0" w:oddVBand="1" w:evenVBand="0" w:oddHBand="0" w:evenHBand="0" w:firstRowFirstColumn="0" w:firstRowLastColumn="0" w:lastRowFirstColumn="0" w:lastRowLastColumn="0"/>
            <w:tcW w:w="1134" w:type="dxa"/>
          </w:tcPr>
          <w:p w14:paraId="27C3C2B9" w14:textId="77777777" w:rsidR="009169E8" w:rsidRPr="002A25F6" w:rsidRDefault="009169E8" w:rsidP="002A25F6">
            <w:pPr>
              <w:pStyle w:val="Tabletext"/>
            </w:pPr>
            <w:r w:rsidRPr="002A25F6">
              <w:t>7</w:t>
            </w:r>
          </w:p>
        </w:tc>
      </w:tr>
      <w:tr w:rsidR="009169E8" w14:paraId="358C1858"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402" w:type="dxa"/>
          </w:tcPr>
          <w:p w14:paraId="77134A80" w14:textId="77777777" w:rsidR="009169E8" w:rsidRPr="002A25F6" w:rsidRDefault="009169E8" w:rsidP="002A25F6">
            <w:pPr>
              <w:pStyle w:val="Tabletext"/>
            </w:pPr>
            <w:r w:rsidRPr="002A25F6">
              <w:t>Airway</w:t>
            </w:r>
          </w:p>
        </w:tc>
        <w:tc>
          <w:tcPr>
            <w:cnfStyle w:val="000001000000" w:firstRow="0" w:lastRow="0" w:firstColumn="0" w:lastColumn="0" w:oddVBand="0" w:evenVBand="1" w:oddHBand="0" w:evenHBand="0" w:firstRowFirstColumn="0" w:firstRowLastColumn="0" w:lastRowFirstColumn="0" w:lastRowLastColumn="0"/>
            <w:tcW w:w="1133" w:type="dxa"/>
          </w:tcPr>
          <w:p w14:paraId="3A1E06D0" w14:textId="77777777" w:rsidR="009169E8" w:rsidRPr="002A25F6" w:rsidRDefault="009169E8" w:rsidP="002A25F6">
            <w:pPr>
              <w:pStyle w:val="Tabletext"/>
              <w:rPr>
                <w:b/>
              </w:rPr>
            </w:pPr>
            <w:r w:rsidRPr="002A25F6">
              <w:rPr>
                <w:b/>
              </w:rPr>
              <w:t xml:space="preserve">9 </w:t>
            </w:r>
          </w:p>
        </w:tc>
        <w:tc>
          <w:tcPr>
            <w:cnfStyle w:val="000010000000" w:firstRow="0" w:lastRow="0" w:firstColumn="0" w:lastColumn="0" w:oddVBand="1" w:evenVBand="0" w:oddHBand="0" w:evenHBand="0" w:firstRowFirstColumn="0" w:firstRowLastColumn="0" w:lastRowFirstColumn="0" w:lastRowLastColumn="0"/>
            <w:tcW w:w="1134" w:type="dxa"/>
          </w:tcPr>
          <w:p w14:paraId="2CF82C36" w14:textId="77777777" w:rsidR="009169E8" w:rsidRPr="002A25F6" w:rsidRDefault="009169E8" w:rsidP="002A25F6">
            <w:pPr>
              <w:pStyle w:val="Tabletext"/>
            </w:pPr>
            <w:r w:rsidRPr="002A25F6">
              <w:t>7</w:t>
            </w:r>
          </w:p>
        </w:tc>
        <w:tc>
          <w:tcPr>
            <w:cnfStyle w:val="000001000000" w:firstRow="0" w:lastRow="0" w:firstColumn="0" w:lastColumn="0" w:oddVBand="0" w:evenVBand="1" w:oddHBand="0" w:evenHBand="0" w:firstRowFirstColumn="0" w:firstRowLastColumn="0" w:lastRowFirstColumn="0" w:lastRowLastColumn="0"/>
            <w:tcW w:w="1134" w:type="dxa"/>
          </w:tcPr>
          <w:p w14:paraId="47C4D481" w14:textId="77777777" w:rsidR="009169E8" w:rsidRPr="002A25F6" w:rsidRDefault="009169E8" w:rsidP="002A25F6">
            <w:pPr>
              <w:pStyle w:val="Tabletext"/>
            </w:pPr>
            <w:r w:rsidRPr="002A25F6">
              <w:t>2</w:t>
            </w:r>
          </w:p>
        </w:tc>
        <w:tc>
          <w:tcPr>
            <w:cnfStyle w:val="000010000000" w:firstRow="0" w:lastRow="0" w:firstColumn="0" w:lastColumn="0" w:oddVBand="1" w:evenVBand="0" w:oddHBand="0" w:evenHBand="0" w:firstRowFirstColumn="0" w:firstRowLastColumn="0" w:lastRowFirstColumn="0" w:lastRowLastColumn="0"/>
            <w:tcW w:w="1134" w:type="dxa"/>
          </w:tcPr>
          <w:p w14:paraId="65193E3D" w14:textId="77777777" w:rsidR="009169E8" w:rsidRPr="002A25F6" w:rsidRDefault="009169E8" w:rsidP="002A25F6">
            <w:pPr>
              <w:pStyle w:val="Tabletext"/>
            </w:pPr>
            <w:r w:rsidRPr="002A25F6">
              <w:t>8</w:t>
            </w:r>
          </w:p>
        </w:tc>
        <w:tc>
          <w:tcPr>
            <w:cnfStyle w:val="000001000000" w:firstRow="0" w:lastRow="0" w:firstColumn="0" w:lastColumn="0" w:oddVBand="0" w:evenVBand="1" w:oddHBand="0" w:evenHBand="0" w:firstRowFirstColumn="0" w:firstRowLastColumn="0" w:lastRowFirstColumn="0" w:lastRowLastColumn="0"/>
            <w:tcW w:w="1134" w:type="dxa"/>
          </w:tcPr>
          <w:p w14:paraId="1475A126" w14:textId="77777777" w:rsidR="009169E8" w:rsidRPr="002A25F6" w:rsidRDefault="009169E8" w:rsidP="002A25F6">
            <w:pPr>
              <w:pStyle w:val="Tabletext"/>
            </w:pPr>
            <w:r w:rsidRPr="002A25F6">
              <w:t>1</w:t>
            </w:r>
          </w:p>
        </w:tc>
        <w:tc>
          <w:tcPr>
            <w:cnfStyle w:val="000010000000" w:firstRow="0" w:lastRow="0" w:firstColumn="0" w:lastColumn="0" w:oddVBand="1" w:evenVBand="0" w:oddHBand="0" w:evenHBand="0" w:firstRowFirstColumn="0" w:firstRowLastColumn="0" w:lastRowFirstColumn="0" w:lastRowLastColumn="0"/>
            <w:tcW w:w="1134" w:type="dxa"/>
          </w:tcPr>
          <w:p w14:paraId="7FB3F35C" w14:textId="77777777" w:rsidR="009169E8" w:rsidRPr="002A25F6" w:rsidRDefault="009169E8" w:rsidP="002A25F6">
            <w:pPr>
              <w:pStyle w:val="Tabletext"/>
            </w:pPr>
            <w:r w:rsidRPr="002A25F6">
              <w:t>0</w:t>
            </w:r>
          </w:p>
        </w:tc>
      </w:tr>
      <w:tr w:rsidR="009169E8" w14:paraId="54480825"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3402" w:type="dxa"/>
          </w:tcPr>
          <w:p w14:paraId="5A8EAEA0" w14:textId="77777777" w:rsidR="009169E8" w:rsidRPr="002A25F6" w:rsidRDefault="009169E8" w:rsidP="002A25F6">
            <w:pPr>
              <w:pStyle w:val="Tabletext"/>
            </w:pPr>
            <w:r w:rsidRPr="002A25F6">
              <w:t>Procedure-related</w:t>
            </w:r>
          </w:p>
        </w:tc>
        <w:tc>
          <w:tcPr>
            <w:cnfStyle w:val="000001000000" w:firstRow="0" w:lastRow="0" w:firstColumn="0" w:lastColumn="0" w:oddVBand="0" w:evenVBand="1" w:oddHBand="0" w:evenHBand="0" w:firstRowFirstColumn="0" w:firstRowLastColumn="0" w:lastRowFirstColumn="0" w:lastRowLastColumn="0"/>
            <w:tcW w:w="1133" w:type="dxa"/>
          </w:tcPr>
          <w:p w14:paraId="2ECE14FB" w14:textId="77777777" w:rsidR="009169E8" w:rsidRPr="002A25F6" w:rsidRDefault="009169E8" w:rsidP="002A25F6">
            <w:pPr>
              <w:pStyle w:val="Tabletext"/>
              <w:rPr>
                <w:b/>
              </w:rPr>
            </w:pPr>
            <w:r w:rsidRPr="002A25F6">
              <w:rPr>
                <w:b/>
              </w:rPr>
              <w:t>8</w:t>
            </w:r>
          </w:p>
        </w:tc>
        <w:tc>
          <w:tcPr>
            <w:cnfStyle w:val="000010000000" w:firstRow="0" w:lastRow="0" w:firstColumn="0" w:lastColumn="0" w:oddVBand="1" w:evenVBand="0" w:oddHBand="0" w:evenHBand="0" w:firstRowFirstColumn="0" w:firstRowLastColumn="0" w:lastRowFirstColumn="0" w:lastRowLastColumn="0"/>
            <w:tcW w:w="1134" w:type="dxa"/>
          </w:tcPr>
          <w:p w14:paraId="3307A764" w14:textId="77777777" w:rsidR="009169E8" w:rsidRPr="002A25F6" w:rsidRDefault="009169E8" w:rsidP="002A25F6">
            <w:pPr>
              <w:pStyle w:val="Tabletext"/>
            </w:pPr>
            <w:r w:rsidRPr="002A25F6">
              <w:t>8</w:t>
            </w:r>
          </w:p>
        </w:tc>
        <w:tc>
          <w:tcPr>
            <w:cnfStyle w:val="000001000000" w:firstRow="0" w:lastRow="0" w:firstColumn="0" w:lastColumn="0" w:oddVBand="0" w:evenVBand="1" w:oddHBand="0" w:evenHBand="0" w:firstRowFirstColumn="0" w:firstRowLastColumn="0" w:lastRowFirstColumn="0" w:lastRowLastColumn="0"/>
            <w:tcW w:w="1134" w:type="dxa"/>
          </w:tcPr>
          <w:p w14:paraId="47AD88BC" w14:textId="77777777" w:rsidR="009169E8" w:rsidRPr="002A25F6" w:rsidRDefault="009169E8" w:rsidP="002A25F6">
            <w:pPr>
              <w:pStyle w:val="Tabletext"/>
            </w:pPr>
            <w:r w:rsidRPr="002A25F6">
              <w:t>0</w:t>
            </w:r>
          </w:p>
        </w:tc>
        <w:tc>
          <w:tcPr>
            <w:cnfStyle w:val="000010000000" w:firstRow="0" w:lastRow="0" w:firstColumn="0" w:lastColumn="0" w:oddVBand="1" w:evenVBand="0" w:oddHBand="0" w:evenHBand="0" w:firstRowFirstColumn="0" w:firstRowLastColumn="0" w:lastRowFirstColumn="0" w:lastRowLastColumn="0"/>
            <w:tcW w:w="1134" w:type="dxa"/>
          </w:tcPr>
          <w:p w14:paraId="6763733B" w14:textId="77777777" w:rsidR="009169E8" w:rsidRPr="002A25F6" w:rsidRDefault="009169E8" w:rsidP="002A25F6">
            <w:pPr>
              <w:pStyle w:val="Tabletext"/>
            </w:pPr>
            <w:r w:rsidRPr="002A25F6">
              <w:t>7</w:t>
            </w:r>
          </w:p>
        </w:tc>
        <w:tc>
          <w:tcPr>
            <w:cnfStyle w:val="000001000000" w:firstRow="0" w:lastRow="0" w:firstColumn="0" w:lastColumn="0" w:oddVBand="0" w:evenVBand="1" w:oddHBand="0" w:evenHBand="0" w:firstRowFirstColumn="0" w:firstRowLastColumn="0" w:lastRowFirstColumn="0" w:lastRowLastColumn="0"/>
            <w:tcW w:w="1134" w:type="dxa"/>
          </w:tcPr>
          <w:p w14:paraId="6D487D97" w14:textId="77777777" w:rsidR="009169E8" w:rsidRPr="002A25F6" w:rsidRDefault="009169E8" w:rsidP="002A25F6">
            <w:pPr>
              <w:pStyle w:val="Tabletext"/>
            </w:pPr>
            <w:r w:rsidRPr="002A25F6">
              <w:t>0</w:t>
            </w:r>
          </w:p>
        </w:tc>
        <w:tc>
          <w:tcPr>
            <w:cnfStyle w:val="000010000000" w:firstRow="0" w:lastRow="0" w:firstColumn="0" w:lastColumn="0" w:oddVBand="1" w:evenVBand="0" w:oddHBand="0" w:evenHBand="0" w:firstRowFirstColumn="0" w:firstRowLastColumn="0" w:lastRowFirstColumn="0" w:lastRowLastColumn="0"/>
            <w:tcW w:w="1134" w:type="dxa"/>
          </w:tcPr>
          <w:p w14:paraId="1106FDEC" w14:textId="77777777" w:rsidR="009169E8" w:rsidRPr="002A25F6" w:rsidRDefault="009169E8" w:rsidP="002A25F6">
            <w:pPr>
              <w:pStyle w:val="Tabletext"/>
            </w:pPr>
            <w:r w:rsidRPr="002A25F6">
              <w:t>1</w:t>
            </w:r>
          </w:p>
        </w:tc>
      </w:tr>
      <w:tr w:rsidR="009169E8" w14:paraId="5D4D95CE"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402" w:type="dxa"/>
          </w:tcPr>
          <w:p w14:paraId="6A6D633B" w14:textId="77777777" w:rsidR="009169E8" w:rsidRPr="002A25F6" w:rsidRDefault="009169E8" w:rsidP="002A25F6">
            <w:pPr>
              <w:pStyle w:val="Tabletext"/>
            </w:pPr>
            <w:r w:rsidRPr="002A25F6">
              <w:t>Metabolic</w:t>
            </w:r>
          </w:p>
        </w:tc>
        <w:tc>
          <w:tcPr>
            <w:cnfStyle w:val="000001000000" w:firstRow="0" w:lastRow="0" w:firstColumn="0" w:lastColumn="0" w:oddVBand="0" w:evenVBand="1" w:oddHBand="0" w:evenHBand="0" w:firstRowFirstColumn="0" w:firstRowLastColumn="0" w:lastRowFirstColumn="0" w:lastRowLastColumn="0"/>
            <w:tcW w:w="1133" w:type="dxa"/>
          </w:tcPr>
          <w:p w14:paraId="0184CEF1" w14:textId="77777777" w:rsidR="009169E8" w:rsidRPr="002A25F6" w:rsidRDefault="009169E8" w:rsidP="002A25F6">
            <w:pPr>
              <w:pStyle w:val="Tabletext"/>
              <w:rPr>
                <w:b/>
              </w:rPr>
            </w:pPr>
            <w:r w:rsidRPr="002A25F6">
              <w:rPr>
                <w:b/>
              </w:rPr>
              <w:t>1</w:t>
            </w:r>
          </w:p>
        </w:tc>
        <w:tc>
          <w:tcPr>
            <w:cnfStyle w:val="000010000000" w:firstRow="0" w:lastRow="0" w:firstColumn="0" w:lastColumn="0" w:oddVBand="1" w:evenVBand="0" w:oddHBand="0" w:evenHBand="0" w:firstRowFirstColumn="0" w:firstRowLastColumn="0" w:lastRowFirstColumn="0" w:lastRowLastColumn="0"/>
            <w:tcW w:w="1134" w:type="dxa"/>
          </w:tcPr>
          <w:p w14:paraId="5F03945E" w14:textId="77777777" w:rsidR="009169E8" w:rsidRPr="002A25F6" w:rsidRDefault="009169E8" w:rsidP="002A25F6">
            <w:pPr>
              <w:pStyle w:val="Tabletext"/>
            </w:pPr>
            <w:r w:rsidRPr="002A25F6">
              <w:t>1</w:t>
            </w:r>
          </w:p>
        </w:tc>
        <w:tc>
          <w:tcPr>
            <w:cnfStyle w:val="000001000000" w:firstRow="0" w:lastRow="0" w:firstColumn="0" w:lastColumn="0" w:oddVBand="0" w:evenVBand="1" w:oddHBand="0" w:evenHBand="0" w:firstRowFirstColumn="0" w:firstRowLastColumn="0" w:lastRowFirstColumn="0" w:lastRowLastColumn="0"/>
            <w:tcW w:w="1134" w:type="dxa"/>
          </w:tcPr>
          <w:p w14:paraId="275FC96C" w14:textId="77777777" w:rsidR="009169E8" w:rsidRPr="002A25F6" w:rsidRDefault="009169E8" w:rsidP="002A25F6">
            <w:pPr>
              <w:pStyle w:val="Tabletext"/>
            </w:pPr>
            <w:r w:rsidRPr="002A25F6">
              <w:t>0</w:t>
            </w:r>
          </w:p>
        </w:tc>
        <w:tc>
          <w:tcPr>
            <w:cnfStyle w:val="000010000000" w:firstRow="0" w:lastRow="0" w:firstColumn="0" w:lastColumn="0" w:oddVBand="1" w:evenVBand="0" w:oddHBand="0" w:evenHBand="0" w:firstRowFirstColumn="0" w:firstRowLastColumn="0" w:lastRowFirstColumn="0" w:lastRowLastColumn="0"/>
            <w:tcW w:w="1134" w:type="dxa"/>
          </w:tcPr>
          <w:p w14:paraId="20BEE910" w14:textId="77777777" w:rsidR="009169E8" w:rsidRPr="002A25F6" w:rsidRDefault="009169E8" w:rsidP="002A25F6">
            <w:pPr>
              <w:pStyle w:val="Tabletext"/>
            </w:pPr>
            <w:r w:rsidRPr="002A25F6">
              <w:t>1</w:t>
            </w:r>
          </w:p>
        </w:tc>
        <w:tc>
          <w:tcPr>
            <w:cnfStyle w:val="000001000000" w:firstRow="0" w:lastRow="0" w:firstColumn="0" w:lastColumn="0" w:oddVBand="0" w:evenVBand="1" w:oddHBand="0" w:evenHBand="0" w:firstRowFirstColumn="0" w:firstRowLastColumn="0" w:lastRowFirstColumn="0" w:lastRowLastColumn="0"/>
            <w:tcW w:w="1134" w:type="dxa"/>
          </w:tcPr>
          <w:p w14:paraId="56FFC076" w14:textId="77777777" w:rsidR="009169E8" w:rsidRPr="002A25F6" w:rsidRDefault="009169E8" w:rsidP="002A25F6">
            <w:pPr>
              <w:pStyle w:val="Tabletext"/>
            </w:pPr>
            <w:r w:rsidRPr="002A25F6">
              <w:t>0</w:t>
            </w:r>
          </w:p>
        </w:tc>
        <w:tc>
          <w:tcPr>
            <w:cnfStyle w:val="000010000000" w:firstRow="0" w:lastRow="0" w:firstColumn="0" w:lastColumn="0" w:oddVBand="1" w:evenVBand="0" w:oddHBand="0" w:evenHBand="0" w:firstRowFirstColumn="0" w:firstRowLastColumn="0" w:lastRowFirstColumn="0" w:lastRowLastColumn="0"/>
            <w:tcW w:w="1134" w:type="dxa"/>
          </w:tcPr>
          <w:p w14:paraId="2C874ACE" w14:textId="77777777" w:rsidR="009169E8" w:rsidRPr="002A25F6" w:rsidRDefault="009169E8" w:rsidP="002A25F6">
            <w:pPr>
              <w:pStyle w:val="Tabletext"/>
            </w:pPr>
            <w:r w:rsidRPr="002A25F6">
              <w:t>0</w:t>
            </w:r>
          </w:p>
        </w:tc>
      </w:tr>
      <w:tr w:rsidR="009169E8" w14:paraId="1FE9AA5E"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3402" w:type="dxa"/>
          </w:tcPr>
          <w:p w14:paraId="0478D8EE" w14:textId="77777777" w:rsidR="009169E8" w:rsidRPr="002A25F6" w:rsidRDefault="009169E8" w:rsidP="002A25F6">
            <w:pPr>
              <w:pStyle w:val="Tabletext"/>
            </w:pPr>
            <w:r w:rsidRPr="002A25F6">
              <w:t>Miscellaneous</w:t>
            </w:r>
          </w:p>
        </w:tc>
        <w:tc>
          <w:tcPr>
            <w:cnfStyle w:val="000001000000" w:firstRow="0" w:lastRow="0" w:firstColumn="0" w:lastColumn="0" w:oddVBand="0" w:evenVBand="1" w:oddHBand="0" w:evenHBand="0" w:firstRowFirstColumn="0" w:firstRowLastColumn="0" w:lastRowFirstColumn="0" w:lastRowLastColumn="0"/>
            <w:tcW w:w="1133" w:type="dxa"/>
          </w:tcPr>
          <w:p w14:paraId="2B26D4D0" w14:textId="77777777" w:rsidR="009169E8" w:rsidRPr="002A25F6" w:rsidRDefault="009169E8" w:rsidP="002A25F6">
            <w:pPr>
              <w:pStyle w:val="Tabletext"/>
              <w:rPr>
                <w:b/>
              </w:rPr>
            </w:pPr>
            <w:r w:rsidRPr="002A25F6">
              <w:rPr>
                <w:b/>
              </w:rPr>
              <w:t>3</w:t>
            </w:r>
          </w:p>
        </w:tc>
        <w:tc>
          <w:tcPr>
            <w:cnfStyle w:val="000010000000" w:firstRow="0" w:lastRow="0" w:firstColumn="0" w:lastColumn="0" w:oddVBand="1" w:evenVBand="0" w:oddHBand="0" w:evenHBand="0" w:firstRowFirstColumn="0" w:firstRowLastColumn="0" w:lastRowFirstColumn="0" w:lastRowLastColumn="0"/>
            <w:tcW w:w="1134" w:type="dxa"/>
          </w:tcPr>
          <w:p w14:paraId="0BBF0BCE" w14:textId="77777777" w:rsidR="009169E8" w:rsidRPr="002A25F6" w:rsidRDefault="009169E8" w:rsidP="002A25F6">
            <w:pPr>
              <w:pStyle w:val="Tabletext"/>
            </w:pPr>
            <w:r w:rsidRPr="002A25F6">
              <w:t>1</w:t>
            </w:r>
          </w:p>
        </w:tc>
        <w:tc>
          <w:tcPr>
            <w:cnfStyle w:val="000001000000" w:firstRow="0" w:lastRow="0" w:firstColumn="0" w:lastColumn="0" w:oddVBand="0" w:evenVBand="1" w:oddHBand="0" w:evenHBand="0" w:firstRowFirstColumn="0" w:firstRowLastColumn="0" w:lastRowFirstColumn="0" w:lastRowLastColumn="0"/>
            <w:tcW w:w="1134" w:type="dxa"/>
          </w:tcPr>
          <w:p w14:paraId="3B3481F4" w14:textId="77777777" w:rsidR="009169E8" w:rsidRPr="002A25F6" w:rsidRDefault="009169E8" w:rsidP="002A25F6">
            <w:pPr>
              <w:pStyle w:val="Tabletext"/>
            </w:pPr>
            <w:r w:rsidRPr="002A25F6">
              <w:t>2</w:t>
            </w:r>
          </w:p>
        </w:tc>
        <w:tc>
          <w:tcPr>
            <w:cnfStyle w:val="000010000000" w:firstRow="0" w:lastRow="0" w:firstColumn="0" w:lastColumn="0" w:oddVBand="1" w:evenVBand="0" w:oddHBand="0" w:evenHBand="0" w:firstRowFirstColumn="0" w:firstRowLastColumn="0" w:lastRowFirstColumn="0" w:lastRowLastColumn="0"/>
            <w:tcW w:w="1134" w:type="dxa"/>
          </w:tcPr>
          <w:p w14:paraId="686A363E" w14:textId="77777777" w:rsidR="009169E8" w:rsidRPr="002A25F6" w:rsidRDefault="009169E8" w:rsidP="002A25F6">
            <w:pPr>
              <w:pStyle w:val="Tabletext"/>
            </w:pPr>
            <w:r w:rsidRPr="002A25F6">
              <w:t>0</w:t>
            </w:r>
          </w:p>
        </w:tc>
        <w:tc>
          <w:tcPr>
            <w:cnfStyle w:val="000001000000" w:firstRow="0" w:lastRow="0" w:firstColumn="0" w:lastColumn="0" w:oddVBand="0" w:evenVBand="1" w:oddHBand="0" w:evenHBand="0" w:firstRowFirstColumn="0" w:firstRowLastColumn="0" w:lastRowFirstColumn="0" w:lastRowLastColumn="0"/>
            <w:tcW w:w="1134" w:type="dxa"/>
          </w:tcPr>
          <w:p w14:paraId="4DAFE91A" w14:textId="77777777" w:rsidR="009169E8" w:rsidRPr="002A25F6" w:rsidRDefault="009169E8" w:rsidP="002A25F6">
            <w:pPr>
              <w:pStyle w:val="Tabletext"/>
            </w:pPr>
            <w:r w:rsidRPr="002A25F6">
              <w:t>0</w:t>
            </w:r>
          </w:p>
        </w:tc>
        <w:tc>
          <w:tcPr>
            <w:cnfStyle w:val="000010000000" w:firstRow="0" w:lastRow="0" w:firstColumn="0" w:lastColumn="0" w:oddVBand="1" w:evenVBand="0" w:oddHBand="0" w:evenHBand="0" w:firstRowFirstColumn="0" w:firstRowLastColumn="0" w:lastRowFirstColumn="0" w:lastRowLastColumn="0"/>
            <w:tcW w:w="1134" w:type="dxa"/>
          </w:tcPr>
          <w:p w14:paraId="708E5898" w14:textId="77777777" w:rsidR="009169E8" w:rsidRPr="002A25F6" w:rsidRDefault="009169E8" w:rsidP="002A25F6">
            <w:pPr>
              <w:pStyle w:val="Tabletext"/>
            </w:pPr>
            <w:r w:rsidRPr="002A25F6">
              <w:t>3</w:t>
            </w:r>
          </w:p>
        </w:tc>
      </w:tr>
      <w:tr w:rsidR="009169E8" w14:paraId="32426401" w14:textId="77777777" w:rsidTr="00AD1991">
        <w:trPr>
          <w:cnfStyle w:val="010000000000" w:firstRow="0" w:lastRow="1" w:firstColumn="0" w:lastColumn="0" w:oddVBand="0" w:evenVBand="0" w:oddHBand="0"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402" w:type="dxa"/>
          </w:tcPr>
          <w:p w14:paraId="6239A865" w14:textId="77777777" w:rsidR="009169E8" w:rsidRPr="002A25F6" w:rsidRDefault="009169E8" w:rsidP="002A25F6">
            <w:pPr>
              <w:pStyle w:val="Tabletext"/>
              <w:rPr>
                <w:b w:val="0"/>
              </w:rPr>
            </w:pPr>
            <w:r w:rsidRPr="002A25F6">
              <w:t>Total</w:t>
            </w:r>
          </w:p>
        </w:tc>
        <w:tc>
          <w:tcPr>
            <w:cnfStyle w:val="000001000000" w:firstRow="0" w:lastRow="0" w:firstColumn="0" w:lastColumn="0" w:oddVBand="0" w:evenVBand="1" w:oddHBand="0" w:evenHBand="0" w:firstRowFirstColumn="0" w:firstRowLastColumn="0" w:lastRowFirstColumn="0" w:lastRowLastColumn="0"/>
            <w:tcW w:w="1133" w:type="dxa"/>
          </w:tcPr>
          <w:p w14:paraId="58FE1922" w14:textId="77777777" w:rsidR="009169E8" w:rsidRPr="002A25F6" w:rsidRDefault="009169E8" w:rsidP="002A25F6">
            <w:pPr>
              <w:pStyle w:val="Tabletext"/>
              <w:rPr>
                <w:b w:val="0"/>
              </w:rPr>
            </w:pPr>
            <w:r w:rsidRPr="002A25F6">
              <w:t>110</w:t>
            </w:r>
          </w:p>
        </w:tc>
        <w:tc>
          <w:tcPr>
            <w:cnfStyle w:val="000010000000" w:firstRow="0" w:lastRow="0" w:firstColumn="0" w:lastColumn="0" w:oddVBand="1" w:evenVBand="0" w:oddHBand="0" w:evenHBand="0" w:firstRowFirstColumn="0" w:firstRowLastColumn="0" w:lastRowFirstColumn="0" w:lastRowLastColumn="0"/>
            <w:tcW w:w="1134" w:type="dxa"/>
          </w:tcPr>
          <w:p w14:paraId="27172384" w14:textId="77777777" w:rsidR="009169E8" w:rsidRPr="002A25F6" w:rsidRDefault="009169E8" w:rsidP="002A25F6">
            <w:pPr>
              <w:pStyle w:val="Tabletext"/>
              <w:rPr>
                <w:b w:val="0"/>
              </w:rPr>
            </w:pPr>
            <w:r w:rsidRPr="002A25F6">
              <w:t>52</w:t>
            </w:r>
          </w:p>
        </w:tc>
        <w:tc>
          <w:tcPr>
            <w:cnfStyle w:val="000001000000" w:firstRow="0" w:lastRow="0" w:firstColumn="0" w:lastColumn="0" w:oddVBand="0" w:evenVBand="1" w:oddHBand="0" w:evenHBand="0" w:firstRowFirstColumn="0" w:firstRowLastColumn="0" w:lastRowFirstColumn="0" w:lastRowLastColumn="0"/>
            <w:tcW w:w="1134" w:type="dxa"/>
          </w:tcPr>
          <w:p w14:paraId="3DBA4397" w14:textId="77777777" w:rsidR="009169E8" w:rsidRPr="002A25F6" w:rsidRDefault="009169E8" w:rsidP="002A25F6">
            <w:pPr>
              <w:pStyle w:val="Tabletext"/>
              <w:rPr>
                <w:b w:val="0"/>
              </w:rPr>
            </w:pPr>
            <w:r w:rsidRPr="002A25F6">
              <w:t>58</w:t>
            </w:r>
          </w:p>
        </w:tc>
        <w:tc>
          <w:tcPr>
            <w:cnfStyle w:val="000010000000" w:firstRow="0" w:lastRow="0" w:firstColumn="0" w:lastColumn="0" w:oddVBand="1" w:evenVBand="0" w:oddHBand="0" w:evenHBand="0" w:firstRowFirstColumn="0" w:firstRowLastColumn="0" w:lastRowFirstColumn="0" w:lastRowLastColumn="0"/>
            <w:tcW w:w="1134" w:type="dxa"/>
          </w:tcPr>
          <w:p w14:paraId="2DBFBA05" w14:textId="77777777" w:rsidR="009169E8" w:rsidRPr="002A25F6" w:rsidRDefault="009169E8" w:rsidP="002A25F6">
            <w:pPr>
              <w:pStyle w:val="Tabletext"/>
              <w:rPr>
                <w:b w:val="0"/>
              </w:rPr>
            </w:pPr>
            <w:r w:rsidRPr="002A25F6">
              <w:t>47</w:t>
            </w:r>
          </w:p>
        </w:tc>
        <w:tc>
          <w:tcPr>
            <w:cnfStyle w:val="000001000000" w:firstRow="0" w:lastRow="0" w:firstColumn="0" w:lastColumn="0" w:oddVBand="0" w:evenVBand="1" w:oddHBand="0" w:evenHBand="0" w:firstRowFirstColumn="0" w:firstRowLastColumn="0" w:lastRowFirstColumn="0" w:lastRowLastColumn="0"/>
            <w:tcW w:w="1134" w:type="dxa"/>
          </w:tcPr>
          <w:p w14:paraId="2F501434" w14:textId="77777777" w:rsidR="009169E8" w:rsidRPr="002A25F6" w:rsidRDefault="009169E8" w:rsidP="002A25F6">
            <w:pPr>
              <w:pStyle w:val="Tabletext"/>
              <w:rPr>
                <w:b w:val="0"/>
              </w:rPr>
            </w:pPr>
            <w:r w:rsidRPr="002A25F6">
              <w:t>4</w:t>
            </w:r>
          </w:p>
        </w:tc>
        <w:tc>
          <w:tcPr>
            <w:cnfStyle w:val="000010000000" w:firstRow="0" w:lastRow="0" w:firstColumn="0" w:lastColumn="0" w:oddVBand="1" w:evenVBand="0" w:oddHBand="0" w:evenHBand="0" w:firstRowFirstColumn="0" w:firstRowLastColumn="0" w:lastRowFirstColumn="0" w:lastRowLastColumn="0"/>
            <w:tcW w:w="1134" w:type="dxa"/>
          </w:tcPr>
          <w:p w14:paraId="2E23E62F" w14:textId="77777777" w:rsidR="009169E8" w:rsidRPr="002A25F6" w:rsidRDefault="009169E8" w:rsidP="002A25F6">
            <w:pPr>
              <w:pStyle w:val="Tabletext"/>
              <w:rPr>
                <w:b w:val="0"/>
              </w:rPr>
            </w:pPr>
            <w:r w:rsidRPr="002A25F6">
              <w:t>59</w:t>
            </w:r>
          </w:p>
        </w:tc>
      </w:tr>
    </w:tbl>
    <w:p w14:paraId="70B1385B" w14:textId="77777777" w:rsidR="009169E8" w:rsidRDefault="009169E8" w:rsidP="008E28A3">
      <w:pPr>
        <w:pStyle w:val="DHHSbody"/>
      </w:pPr>
      <w:r>
        <w:t>The most commonly reported anaesthesia-related events were cardiovascular events. These events were predominantly classified as category 3 events (attributed to medical/surgical and anaesthetic factors).</w:t>
      </w:r>
    </w:p>
    <w:p w14:paraId="59CBF1D2" w14:textId="272CF941" w:rsidR="009169E8" w:rsidRDefault="009169E8" w:rsidP="008E28A3">
      <w:pPr>
        <w:pStyle w:val="DHHSbody"/>
      </w:pPr>
      <w:r>
        <w:t>The 12 category 1 mortality events involved:</w:t>
      </w:r>
    </w:p>
    <w:p w14:paraId="0008DB63" w14:textId="77777777" w:rsidR="009169E8" w:rsidRDefault="009169E8" w:rsidP="00E961B4">
      <w:pPr>
        <w:pStyle w:val="Bullet1"/>
      </w:pPr>
      <w:r>
        <w:t>six intraoperative anaphylaxis events</w:t>
      </w:r>
    </w:p>
    <w:p w14:paraId="6ED50D20" w14:textId="77777777" w:rsidR="009169E8" w:rsidRDefault="009169E8" w:rsidP="00E961B4">
      <w:pPr>
        <w:pStyle w:val="Bullet1"/>
      </w:pPr>
      <w:r>
        <w:t>four aspiration events</w:t>
      </w:r>
    </w:p>
    <w:p w14:paraId="7E656C40" w14:textId="77777777" w:rsidR="009169E8" w:rsidRDefault="009169E8" w:rsidP="00E961B4">
      <w:pPr>
        <w:pStyle w:val="Bullet1"/>
      </w:pPr>
      <w:r>
        <w:t>one airway event with suspected oesophageal intubation</w:t>
      </w:r>
    </w:p>
    <w:p w14:paraId="13F6C2D2" w14:textId="77777777" w:rsidR="009169E8" w:rsidRDefault="009169E8" w:rsidP="00BB165F">
      <w:pPr>
        <w:pStyle w:val="Bullet1"/>
      </w:pPr>
      <w:r>
        <w:t>one neurological event with hypoxic ischaemic brain injury.</w:t>
      </w:r>
    </w:p>
    <w:p w14:paraId="7C9CB798" w14:textId="0362FAA0" w:rsidR="009169E8" w:rsidRDefault="009169E8" w:rsidP="008E28A3">
      <w:pPr>
        <w:pStyle w:val="DHHSbody"/>
      </w:pPr>
      <w:r>
        <w:t>Eight of these 12 category 1 mortality events were considered by the council to have not been preventable.</w:t>
      </w:r>
    </w:p>
    <w:p w14:paraId="233C4319" w14:textId="77777777" w:rsidR="009169E8" w:rsidRDefault="009169E8" w:rsidP="000A4644">
      <w:pPr>
        <w:pStyle w:val="Heading2"/>
      </w:pPr>
      <w:r>
        <w:lastRenderedPageBreak/>
        <w:t>ASSIGNED EVENT SUB-TYPES FOR CATEGORY 1–3 CASES</w:t>
      </w:r>
    </w:p>
    <w:p w14:paraId="59E6D9BE" w14:textId="77777777" w:rsidR="009169E8" w:rsidRDefault="009169E8" w:rsidP="00BB165F">
      <w:pPr>
        <w:pStyle w:val="Heading3"/>
      </w:pPr>
      <w:r>
        <w:t>Cardiovascular events included: (</w:t>
      </w:r>
      <w:r>
        <w:rPr>
          <w:i/>
          <w:iCs/>
        </w:rPr>
        <w:t>n</w:t>
      </w:r>
      <w:r>
        <w:t xml:space="preserve"> = 42)</w:t>
      </w:r>
    </w:p>
    <w:p w14:paraId="083C28B1" w14:textId="77777777" w:rsidR="009169E8" w:rsidRDefault="009169E8" w:rsidP="00BB165F">
      <w:pPr>
        <w:pStyle w:val="Bullet1"/>
      </w:pPr>
      <w:r>
        <w:t xml:space="preserve">cardiac arrests (24), significant hypotension (six), myocardial </w:t>
      </w:r>
      <w:proofErr w:type="spellStart"/>
      <w:r>
        <w:t>ischaemia</w:t>
      </w:r>
      <w:proofErr w:type="spellEnd"/>
      <w:r>
        <w:t xml:space="preserve"> (three), myocardial infarction (two), haemorrhage (two), arrhythmia (one), embolism (one), cardiac failure (one), cardiorenal multiorgan failure (one) and postoperative hypotension (one).</w:t>
      </w:r>
    </w:p>
    <w:p w14:paraId="06F1B98A" w14:textId="77777777" w:rsidR="009169E8" w:rsidRDefault="009169E8" w:rsidP="00BB165F">
      <w:pPr>
        <w:pStyle w:val="Heading3"/>
      </w:pPr>
      <w:r>
        <w:t>Drug-related events included: (</w:t>
      </w:r>
      <w:r>
        <w:rPr>
          <w:i/>
          <w:iCs/>
        </w:rPr>
        <w:t>n</w:t>
      </w:r>
      <w:r>
        <w:t xml:space="preserve"> = 21)</w:t>
      </w:r>
    </w:p>
    <w:p w14:paraId="02678F32" w14:textId="77777777" w:rsidR="009169E8" w:rsidRDefault="009169E8" w:rsidP="00BB165F">
      <w:pPr>
        <w:pStyle w:val="Bullet1"/>
      </w:pPr>
      <w:r>
        <w:t>anaphylaxis (17), drug-related adverse effects (two), atypical pseudocholinesterase (one) and an unintended medication overdose (one).</w:t>
      </w:r>
    </w:p>
    <w:p w14:paraId="59ED1D25" w14:textId="77777777" w:rsidR="009169E8" w:rsidRDefault="009169E8" w:rsidP="00BB165F">
      <w:pPr>
        <w:pStyle w:val="Heading3"/>
      </w:pPr>
      <w:r>
        <w:t>Respiratory events included: (</w:t>
      </w:r>
      <w:r>
        <w:rPr>
          <w:i/>
          <w:iCs/>
        </w:rPr>
        <w:t>n</w:t>
      </w:r>
      <w:r>
        <w:t xml:space="preserve"> = 13)</w:t>
      </w:r>
    </w:p>
    <w:p w14:paraId="7884062F" w14:textId="77777777" w:rsidR="009169E8" w:rsidRDefault="009169E8" w:rsidP="00BB165F">
      <w:pPr>
        <w:pStyle w:val="Bullet1"/>
      </w:pPr>
      <w:r>
        <w:t>aspiration (five), pneumothorax (two), hypoventilation (one intraoperative, one postoperative), hypoxia (one), pulmonary oedema (one), unplanned postoperative ventilation (one) and type 2 respiratory failure (one).</w:t>
      </w:r>
    </w:p>
    <w:p w14:paraId="7BEE1F93" w14:textId="77777777" w:rsidR="009169E8" w:rsidRDefault="009169E8" w:rsidP="00BB165F">
      <w:pPr>
        <w:pStyle w:val="Heading3"/>
      </w:pPr>
      <w:r>
        <w:t>Neurological events included: (</w:t>
      </w:r>
      <w:r>
        <w:rPr>
          <w:i/>
          <w:iCs/>
        </w:rPr>
        <w:t>n</w:t>
      </w:r>
      <w:r>
        <w:t xml:space="preserve"> = 13)</w:t>
      </w:r>
    </w:p>
    <w:p w14:paraId="793E36D2" w14:textId="77777777" w:rsidR="009169E8" w:rsidRDefault="009169E8" w:rsidP="00BB165F">
      <w:pPr>
        <w:pStyle w:val="Bullet1"/>
      </w:pPr>
      <w:r>
        <w:t>stroke (six), awareness under general anaesthesia (GA) (three), inadequate neuromuscular blockade reversal (one), nerve injury (one), hypoxic ischaemic brain injury (one) and ‘other’ (one).</w:t>
      </w:r>
    </w:p>
    <w:p w14:paraId="7CDC3C61" w14:textId="77777777" w:rsidR="009169E8" w:rsidRDefault="009169E8" w:rsidP="00BB165F">
      <w:pPr>
        <w:pStyle w:val="Heading3"/>
      </w:pPr>
      <w:r>
        <w:t>Airway events included: (</w:t>
      </w:r>
      <w:r>
        <w:rPr>
          <w:i/>
          <w:iCs/>
        </w:rPr>
        <w:t>n</w:t>
      </w:r>
      <w:r>
        <w:t xml:space="preserve"> = 9)</w:t>
      </w:r>
    </w:p>
    <w:p w14:paraId="28055CDC" w14:textId="77777777" w:rsidR="009169E8" w:rsidRDefault="009169E8" w:rsidP="00BB165F">
      <w:pPr>
        <w:pStyle w:val="Bullet1"/>
      </w:pPr>
      <w:r>
        <w:t xml:space="preserve">failed intubations (three, including a suspected oesophageal intubation), endotracheal tube (ETT) dislodgement/displacement (two), a suspected oesophageal intubation (one), airway obstruction (one), a retained throat pack causing respiratory distress after </w:t>
      </w:r>
      <w:proofErr w:type="spellStart"/>
      <w:r>
        <w:t>extubation</w:t>
      </w:r>
      <w:proofErr w:type="spellEnd"/>
      <w:r>
        <w:t> (one) and a vocal cord problem following GA with an ETT (one).</w:t>
      </w:r>
    </w:p>
    <w:p w14:paraId="70C83511" w14:textId="77777777" w:rsidR="009169E8" w:rsidRDefault="009169E8" w:rsidP="00BB165F">
      <w:pPr>
        <w:pStyle w:val="Heading3"/>
      </w:pPr>
      <w:r>
        <w:t>Procedure-related events included: (</w:t>
      </w:r>
      <w:r>
        <w:rPr>
          <w:i/>
          <w:iCs/>
        </w:rPr>
        <w:t>n</w:t>
      </w:r>
      <w:r>
        <w:t xml:space="preserve"> = 8)</w:t>
      </w:r>
    </w:p>
    <w:p w14:paraId="4BA8C283" w14:textId="77777777" w:rsidR="009169E8" w:rsidRDefault="009169E8" w:rsidP="00BB165F">
      <w:pPr>
        <w:pStyle w:val="Bullet1"/>
      </w:pPr>
      <w:r>
        <w:t>wrong-side nerve blocks (three), procedural errors (two, including a retained throat pack), vascular injury (one), pneumothorax (one) and an epidural catheter break (one).</w:t>
      </w:r>
    </w:p>
    <w:p w14:paraId="243B06D0" w14:textId="77777777" w:rsidR="009169E8" w:rsidRDefault="009169E8" w:rsidP="00BB165F">
      <w:pPr>
        <w:pStyle w:val="Heading3"/>
      </w:pPr>
      <w:r>
        <w:t>Metabolic events included: (</w:t>
      </w:r>
      <w:r>
        <w:rPr>
          <w:i/>
          <w:iCs/>
        </w:rPr>
        <w:t>n</w:t>
      </w:r>
      <w:r>
        <w:t xml:space="preserve"> = 1)</w:t>
      </w:r>
    </w:p>
    <w:p w14:paraId="078130A2" w14:textId="77777777" w:rsidR="009169E8" w:rsidRDefault="009169E8" w:rsidP="00BB165F">
      <w:pPr>
        <w:pStyle w:val="Bullet1"/>
      </w:pPr>
      <w:r>
        <w:t>malignant hyperthermia (one).</w:t>
      </w:r>
    </w:p>
    <w:p w14:paraId="02336CE1" w14:textId="77777777" w:rsidR="009169E8" w:rsidRDefault="009169E8" w:rsidP="00BB165F">
      <w:pPr>
        <w:pStyle w:val="Heading3"/>
      </w:pPr>
      <w:r>
        <w:t>Miscellaneous events included: (</w:t>
      </w:r>
      <w:r>
        <w:rPr>
          <w:i/>
          <w:iCs/>
        </w:rPr>
        <w:t>n</w:t>
      </w:r>
      <w:r>
        <w:t xml:space="preserve"> = 3)</w:t>
      </w:r>
    </w:p>
    <w:p w14:paraId="09E4A5CB" w14:textId="77777777" w:rsidR="009169E8" w:rsidRDefault="009169E8" w:rsidP="00BB165F">
      <w:pPr>
        <w:pStyle w:val="Bullet1"/>
      </w:pPr>
      <w:r>
        <w:t>communication error (one), deterioration and death in the early postoperative period (one) and progressive hypotension and hypoxia after return to the ward (one).</w:t>
      </w:r>
    </w:p>
    <w:p w14:paraId="0F9EAD22" w14:textId="77777777" w:rsidR="009169E8" w:rsidRDefault="009169E8" w:rsidP="000A4644">
      <w:pPr>
        <w:pStyle w:val="Heading2"/>
      </w:pPr>
      <w:r>
        <w:t xml:space="preserve">CONTRIBUTING FACTORS IDENTIFIED </w:t>
      </w:r>
    </w:p>
    <w:p w14:paraId="5564A025" w14:textId="77777777" w:rsidR="009169E8" w:rsidRDefault="009169E8" w:rsidP="008E28A3">
      <w:pPr>
        <w:pStyle w:val="DHHSbody"/>
      </w:pPr>
      <w:r>
        <w:t>Table 3 shows the underlying factors identified by the Council for events classified as anaesthesia related.</w:t>
      </w:r>
    </w:p>
    <w:p w14:paraId="106082C6" w14:textId="77777777" w:rsidR="009169E8" w:rsidRDefault="009169E8" w:rsidP="00B8026E">
      <w:pPr>
        <w:pStyle w:val="Tablechartdiagramheading"/>
      </w:pPr>
      <w:r>
        <w:t>Table 3: Contributing factors identified in category 1–3 cases</w:t>
      </w:r>
    </w:p>
    <w:tbl>
      <w:tblPr>
        <w:tblStyle w:val="PlainTable2"/>
        <w:tblW w:w="0" w:type="auto"/>
        <w:tblLayout w:type="fixed"/>
        <w:tblLook w:val="0020" w:firstRow="1" w:lastRow="0" w:firstColumn="0" w:lastColumn="0" w:noHBand="0" w:noVBand="0"/>
      </w:tblPr>
      <w:tblGrid>
        <w:gridCol w:w="5102"/>
        <w:gridCol w:w="1701"/>
        <w:gridCol w:w="1701"/>
        <w:gridCol w:w="1701"/>
      </w:tblGrid>
      <w:tr w:rsidR="009169E8" w14:paraId="4AD60B9C" w14:textId="77777777" w:rsidTr="00AD1991">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5102" w:type="dxa"/>
          </w:tcPr>
          <w:p w14:paraId="6185A11F" w14:textId="77777777" w:rsidR="009169E8" w:rsidRPr="00AD1991" w:rsidRDefault="009169E8" w:rsidP="00A90D07">
            <w:pPr>
              <w:pStyle w:val="Tableheader"/>
              <w:rPr>
                <w:b/>
              </w:rPr>
            </w:pPr>
            <w:r w:rsidRPr="00AD1991">
              <w:rPr>
                <w:b/>
              </w:rPr>
              <w:t>Identified factors</w:t>
            </w:r>
          </w:p>
        </w:tc>
        <w:tc>
          <w:tcPr>
            <w:cnfStyle w:val="000001000000" w:firstRow="0" w:lastRow="0" w:firstColumn="0" w:lastColumn="0" w:oddVBand="0" w:evenVBand="1" w:oddHBand="0" w:evenHBand="0" w:firstRowFirstColumn="0" w:firstRowLastColumn="0" w:lastRowFirstColumn="0" w:lastRowLastColumn="0"/>
            <w:tcW w:w="1701" w:type="dxa"/>
          </w:tcPr>
          <w:p w14:paraId="5E830F22" w14:textId="77777777" w:rsidR="009169E8" w:rsidRPr="00AD1991" w:rsidRDefault="009169E8" w:rsidP="00A90D07">
            <w:pPr>
              <w:pStyle w:val="Tableheader"/>
              <w:rPr>
                <w:b/>
              </w:rPr>
            </w:pPr>
            <w:r w:rsidRPr="00AD1991">
              <w:rPr>
                <w:b/>
              </w:rPr>
              <w:t>Morbidity cases</w:t>
            </w:r>
          </w:p>
        </w:tc>
        <w:tc>
          <w:tcPr>
            <w:cnfStyle w:val="000010000000" w:firstRow="0" w:lastRow="0" w:firstColumn="0" w:lastColumn="0" w:oddVBand="1" w:evenVBand="0" w:oddHBand="0" w:evenHBand="0" w:firstRowFirstColumn="0" w:firstRowLastColumn="0" w:lastRowFirstColumn="0" w:lastRowLastColumn="0"/>
            <w:tcW w:w="1701" w:type="dxa"/>
          </w:tcPr>
          <w:p w14:paraId="64E86244" w14:textId="77777777" w:rsidR="009169E8" w:rsidRPr="00AD1991" w:rsidRDefault="009169E8" w:rsidP="00A90D07">
            <w:pPr>
              <w:pStyle w:val="Tableheader"/>
              <w:rPr>
                <w:b/>
              </w:rPr>
            </w:pPr>
            <w:r w:rsidRPr="00AD1991">
              <w:rPr>
                <w:b/>
              </w:rPr>
              <w:t>Mortality cases</w:t>
            </w:r>
          </w:p>
        </w:tc>
        <w:tc>
          <w:tcPr>
            <w:cnfStyle w:val="000001000000" w:firstRow="0" w:lastRow="0" w:firstColumn="0" w:lastColumn="0" w:oddVBand="0" w:evenVBand="1" w:oddHBand="0" w:evenHBand="0" w:firstRowFirstColumn="0" w:firstRowLastColumn="0" w:lastRowFirstColumn="0" w:lastRowLastColumn="0"/>
            <w:tcW w:w="1701" w:type="dxa"/>
          </w:tcPr>
          <w:p w14:paraId="420EBF84" w14:textId="77777777" w:rsidR="009169E8" w:rsidRPr="00AD1991" w:rsidRDefault="009169E8" w:rsidP="00A90D07">
            <w:pPr>
              <w:pStyle w:val="Tableheader"/>
              <w:rPr>
                <w:b/>
              </w:rPr>
            </w:pPr>
            <w:r w:rsidRPr="00AD1991">
              <w:rPr>
                <w:b/>
              </w:rPr>
              <w:t>Total*</w:t>
            </w:r>
          </w:p>
        </w:tc>
      </w:tr>
      <w:tr w:rsidR="009169E8" w14:paraId="5A57416C"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08845A7" w14:textId="77777777" w:rsidR="009169E8" w:rsidRPr="00D95CBE" w:rsidRDefault="009169E8" w:rsidP="001D5A74">
            <w:pPr>
              <w:pStyle w:val="Tabletext"/>
              <w:rPr>
                <w:b/>
              </w:rPr>
            </w:pPr>
            <w:r w:rsidRPr="00D95CBE">
              <w:rPr>
                <w:b/>
              </w:rPr>
              <w:t>A. Preoperative factors</w:t>
            </w:r>
          </w:p>
        </w:tc>
        <w:tc>
          <w:tcPr>
            <w:cnfStyle w:val="000001000000" w:firstRow="0" w:lastRow="0" w:firstColumn="0" w:lastColumn="0" w:oddVBand="0" w:evenVBand="1" w:oddHBand="0" w:evenHBand="0" w:firstRowFirstColumn="0" w:firstRowLastColumn="0" w:lastRowFirstColumn="0" w:lastRowLastColumn="0"/>
            <w:tcW w:w="1701" w:type="dxa"/>
          </w:tcPr>
          <w:p w14:paraId="56E4D34F" w14:textId="77777777" w:rsidR="009169E8" w:rsidRPr="00D95CBE" w:rsidRDefault="009169E8" w:rsidP="001D5A74">
            <w:pPr>
              <w:pStyle w:val="Tabletext"/>
              <w:rPr>
                <w:b/>
              </w:rPr>
            </w:pPr>
            <w:r w:rsidRPr="00D95CBE">
              <w:rPr>
                <w:b/>
              </w:rPr>
              <w:t>1</w:t>
            </w:r>
          </w:p>
        </w:tc>
        <w:tc>
          <w:tcPr>
            <w:cnfStyle w:val="000010000000" w:firstRow="0" w:lastRow="0" w:firstColumn="0" w:lastColumn="0" w:oddVBand="1" w:evenVBand="0" w:oddHBand="0" w:evenHBand="0" w:firstRowFirstColumn="0" w:firstRowLastColumn="0" w:lastRowFirstColumn="0" w:lastRowLastColumn="0"/>
            <w:tcW w:w="1701" w:type="dxa"/>
          </w:tcPr>
          <w:p w14:paraId="238B6E05" w14:textId="77777777" w:rsidR="009169E8" w:rsidRPr="00D95CBE" w:rsidRDefault="009169E8" w:rsidP="001D5A74">
            <w:pPr>
              <w:pStyle w:val="Tabletext"/>
              <w:rPr>
                <w:b/>
              </w:rPr>
            </w:pPr>
            <w:r w:rsidRPr="00D95CBE">
              <w:rPr>
                <w:b/>
              </w:rPr>
              <w:t>3</w:t>
            </w:r>
          </w:p>
        </w:tc>
        <w:tc>
          <w:tcPr>
            <w:cnfStyle w:val="000001000000" w:firstRow="0" w:lastRow="0" w:firstColumn="0" w:lastColumn="0" w:oddVBand="0" w:evenVBand="1" w:oddHBand="0" w:evenHBand="0" w:firstRowFirstColumn="0" w:firstRowLastColumn="0" w:lastRowFirstColumn="0" w:lastRowLastColumn="0"/>
            <w:tcW w:w="1701" w:type="dxa"/>
          </w:tcPr>
          <w:p w14:paraId="37087402" w14:textId="77777777" w:rsidR="009169E8" w:rsidRPr="00D95CBE" w:rsidRDefault="009169E8" w:rsidP="001D5A74">
            <w:pPr>
              <w:pStyle w:val="Tabletext"/>
              <w:rPr>
                <w:b/>
              </w:rPr>
            </w:pPr>
            <w:r w:rsidRPr="00D95CBE">
              <w:rPr>
                <w:b/>
              </w:rPr>
              <w:t>4</w:t>
            </w:r>
          </w:p>
        </w:tc>
      </w:tr>
      <w:tr w:rsidR="009169E8" w14:paraId="19C096BC"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6075BE20" w14:textId="77777777" w:rsidR="009169E8" w:rsidRPr="001D5A74" w:rsidRDefault="009169E8" w:rsidP="001D5A74">
            <w:pPr>
              <w:pStyle w:val="Tabletext"/>
            </w:pPr>
            <w:r w:rsidRPr="001D5A74">
              <w:t>Ai Assessment</w:t>
            </w:r>
          </w:p>
        </w:tc>
        <w:tc>
          <w:tcPr>
            <w:cnfStyle w:val="000001000000" w:firstRow="0" w:lastRow="0" w:firstColumn="0" w:lastColumn="0" w:oddVBand="0" w:evenVBand="1" w:oddHBand="0" w:evenHBand="0" w:firstRowFirstColumn="0" w:firstRowLastColumn="0" w:lastRowFirstColumn="0" w:lastRowLastColumn="0"/>
            <w:tcW w:w="1701" w:type="dxa"/>
          </w:tcPr>
          <w:p w14:paraId="200BAF10" w14:textId="77777777" w:rsidR="009169E8" w:rsidRPr="001D5A74" w:rsidRDefault="009169E8" w:rsidP="001D5A74">
            <w:pPr>
              <w:pStyle w:val="Tabletext"/>
            </w:pPr>
            <w:r w:rsidRPr="001D5A74">
              <w:t>1</w:t>
            </w:r>
          </w:p>
        </w:tc>
        <w:tc>
          <w:tcPr>
            <w:cnfStyle w:val="000010000000" w:firstRow="0" w:lastRow="0" w:firstColumn="0" w:lastColumn="0" w:oddVBand="1" w:evenVBand="0" w:oddHBand="0" w:evenHBand="0" w:firstRowFirstColumn="0" w:firstRowLastColumn="0" w:lastRowFirstColumn="0" w:lastRowLastColumn="0"/>
            <w:tcW w:w="1701" w:type="dxa"/>
          </w:tcPr>
          <w:p w14:paraId="7B47BFB1" w14:textId="77777777" w:rsidR="009169E8" w:rsidRPr="001D5A74" w:rsidRDefault="009169E8" w:rsidP="001D5A74">
            <w:pPr>
              <w:pStyle w:val="Tabletext"/>
            </w:pPr>
            <w:r w:rsidRPr="001D5A74">
              <w:t>2</w:t>
            </w:r>
          </w:p>
        </w:tc>
        <w:tc>
          <w:tcPr>
            <w:cnfStyle w:val="000001000000" w:firstRow="0" w:lastRow="0" w:firstColumn="0" w:lastColumn="0" w:oddVBand="0" w:evenVBand="1" w:oddHBand="0" w:evenHBand="0" w:firstRowFirstColumn="0" w:firstRowLastColumn="0" w:lastRowFirstColumn="0" w:lastRowLastColumn="0"/>
            <w:tcW w:w="1701" w:type="dxa"/>
          </w:tcPr>
          <w:p w14:paraId="0A91E310" w14:textId="77777777" w:rsidR="009169E8" w:rsidRPr="001D5A74" w:rsidRDefault="009169E8" w:rsidP="001D5A74">
            <w:pPr>
              <w:pStyle w:val="Tabletext"/>
            </w:pPr>
            <w:r w:rsidRPr="001D5A74">
              <w:t>3</w:t>
            </w:r>
          </w:p>
        </w:tc>
      </w:tr>
      <w:tr w:rsidR="009169E8" w14:paraId="4D3E5B77"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C636D70" w14:textId="77777777" w:rsidR="009169E8" w:rsidRPr="001D5A74" w:rsidRDefault="009169E8" w:rsidP="001D5A74">
            <w:pPr>
              <w:pStyle w:val="Tabletext"/>
            </w:pPr>
            <w:proofErr w:type="spellStart"/>
            <w:r w:rsidRPr="001D5A74">
              <w:t>Aii</w:t>
            </w:r>
            <w:proofErr w:type="spellEnd"/>
            <w:r w:rsidRPr="001D5A74">
              <w:t xml:space="preserve"> Management</w:t>
            </w:r>
          </w:p>
        </w:tc>
        <w:tc>
          <w:tcPr>
            <w:cnfStyle w:val="000001000000" w:firstRow="0" w:lastRow="0" w:firstColumn="0" w:lastColumn="0" w:oddVBand="0" w:evenVBand="1" w:oddHBand="0" w:evenHBand="0" w:firstRowFirstColumn="0" w:firstRowLastColumn="0" w:lastRowFirstColumn="0" w:lastRowLastColumn="0"/>
            <w:tcW w:w="1701" w:type="dxa"/>
          </w:tcPr>
          <w:p w14:paraId="5D6A0B92" w14:textId="77777777" w:rsidR="009169E8" w:rsidRPr="001D5A74" w:rsidRDefault="009169E8" w:rsidP="001D5A74">
            <w:pPr>
              <w:pStyle w:val="Tabletext"/>
            </w:pPr>
            <w:r w:rsidRPr="001D5A74">
              <w:t>0</w:t>
            </w:r>
          </w:p>
        </w:tc>
        <w:tc>
          <w:tcPr>
            <w:cnfStyle w:val="000010000000" w:firstRow="0" w:lastRow="0" w:firstColumn="0" w:lastColumn="0" w:oddVBand="1" w:evenVBand="0" w:oddHBand="0" w:evenHBand="0" w:firstRowFirstColumn="0" w:firstRowLastColumn="0" w:lastRowFirstColumn="0" w:lastRowLastColumn="0"/>
            <w:tcW w:w="1701" w:type="dxa"/>
          </w:tcPr>
          <w:p w14:paraId="484ACE7C" w14:textId="77777777" w:rsidR="009169E8" w:rsidRPr="001D5A74" w:rsidRDefault="009169E8" w:rsidP="001D5A74">
            <w:pPr>
              <w:pStyle w:val="Tabletext"/>
            </w:pPr>
            <w:r w:rsidRPr="001D5A74">
              <w:t>1</w:t>
            </w:r>
          </w:p>
        </w:tc>
        <w:tc>
          <w:tcPr>
            <w:cnfStyle w:val="000001000000" w:firstRow="0" w:lastRow="0" w:firstColumn="0" w:lastColumn="0" w:oddVBand="0" w:evenVBand="1" w:oddHBand="0" w:evenHBand="0" w:firstRowFirstColumn="0" w:firstRowLastColumn="0" w:lastRowFirstColumn="0" w:lastRowLastColumn="0"/>
            <w:tcW w:w="1701" w:type="dxa"/>
          </w:tcPr>
          <w:p w14:paraId="78E03AD8" w14:textId="77777777" w:rsidR="009169E8" w:rsidRPr="001D5A74" w:rsidRDefault="009169E8" w:rsidP="001D5A74">
            <w:pPr>
              <w:pStyle w:val="Tabletext"/>
            </w:pPr>
            <w:r w:rsidRPr="001D5A74">
              <w:t>1</w:t>
            </w:r>
          </w:p>
        </w:tc>
      </w:tr>
      <w:tr w:rsidR="009169E8" w14:paraId="4F51717F"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6C47CCC1" w14:textId="77777777" w:rsidR="009169E8" w:rsidRPr="001D5A74" w:rsidRDefault="009169E8" w:rsidP="001D5A74">
            <w:pPr>
              <w:pStyle w:val="Tabletext"/>
              <w:rPr>
                <w:b/>
              </w:rPr>
            </w:pPr>
            <w:r w:rsidRPr="001D5A74">
              <w:rPr>
                <w:b/>
              </w:rPr>
              <w:t>B. Anaesthesia technique</w:t>
            </w:r>
          </w:p>
        </w:tc>
        <w:tc>
          <w:tcPr>
            <w:cnfStyle w:val="000001000000" w:firstRow="0" w:lastRow="0" w:firstColumn="0" w:lastColumn="0" w:oddVBand="0" w:evenVBand="1" w:oddHBand="0" w:evenHBand="0" w:firstRowFirstColumn="0" w:firstRowLastColumn="0" w:lastRowFirstColumn="0" w:lastRowLastColumn="0"/>
            <w:tcW w:w="1701" w:type="dxa"/>
          </w:tcPr>
          <w:p w14:paraId="1986F0DE" w14:textId="77777777" w:rsidR="009169E8" w:rsidRPr="001D5A74" w:rsidRDefault="009169E8" w:rsidP="001D5A74">
            <w:pPr>
              <w:pStyle w:val="Tabletext"/>
              <w:rPr>
                <w:b/>
              </w:rPr>
            </w:pPr>
            <w:r w:rsidRPr="001D5A74">
              <w:rPr>
                <w:b/>
              </w:rPr>
              <w:t>22</w:t>
            </w:r>
          </w:p>
        </w:tc>
        <w:tc>
          <w:tcPr>
            <w:cnfStyle w:val="000010000000" w:firstRow="0" w:lastRow="0" w:firstColumn="0" w:lastColumn="0" w:oddVBand="1" w:evenVBand="0" w:oddHBand="0" w:evenHBand="0" w:firstRowFirstColumn="0" w:firstRowLastColumn="0" w:lastRowFirstColumn="0" w:lastRowLastColumn="0"/>
            <w:tcW w:w="1701" w:type="dxa"/>
          </w:tcPr>
          <w:p w14:paraId="68D325B9" w14:textId="77777777" w:rsidR="009169E8" w:rsidRPr="001D5A74" w:rsidRDefault="009169E8" w:rsidP="001D5A74">
            <w:pPr>
              <w:pStyle w:val="Tabletext"/>
              <w:rPr>
                <w:b/>
              </w:rPr>
            </w:pPr>
            <w:r w:rsidRPr="001D5A74">
              <w:rPr>
                <w:b/>
              </w:rPr>
              <w:t>6</w:t>
            </w:r>
          </w:p>
        </w:tc>
        <w:tc>
          <w:tcPr>
            <w:cnfStyle w:val="000001000000" w:firstRow="0" w:lastRow="0" w:firstColumn="0" w:lastColumn="0" w:oddVBand="0" w:evenVBand="1" w:oddHBand="0" w:evenHBand="0" w:firstRowFirstColumn="0" w:firstRowLastColumn="0" w:lastRowFirstColumn="0" w:lastRowLastColumn="0"/>
            <w:tcW w:w="1701" w:type="dxa"/>
          </w:tcPr>
          <w:p w14:paraId="075B2970" w14:textId="77777777" w:rsidR="009169E8" w:rsidRPr="001D5A74" w:rsidRDefault="009169E8" w:rsidP="001D5A74">
            <w:pPr>
              <w:pStyle w:val="Tabletext"/>
              <w:rPr>
                <w:b/>
              </w:rPr>
            </w:pPr>
            <w:r w:rsidRPr="001D5A74">
              <w:rPr>
                <w:b/>
              </w:rPr>
              <w:t>28</w:t>
            </w:r>
          </w:p>
        </w:tc>
      </w:tr>
      <w:tr w:rsidR="009169E8" w14:paraId="6E2132C9"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27BFDBE" w14:textId="77777777" w:rsidR="009169E8" w:rsidRPr="001D5A74" w:rsidRDefault="009169E8" w:rsidP="001D5A74">
            <w:pPr>
              <w:pStyle w:val="Tabletext"/>
            </w:pPr>
            <w:r w:rsidRPr="001D5A74">
              <w:t>Bi Choice or application</w:t>
            </w:r>
          </w:p>
        </w:tc>
        <w:tc>
          <w:tcPr>
            <w:cnfStyle w:val="000001000000" w:firstRow="0" w:lastRow="0" w:firstColumn="0" w:lastColumn="0" w:oddVBand="0" w:evenVBand="1" w:oddHBand="0" w:evenHBand="0" w:firstRowFirstColumn="0" w:firstRowLastColumn="0" w:lastRowFirstColumn="0" w:lastRowLastColumn="0"/>
            <w:tcW w:w="1701" w:type="dxa"/>
          </w:tcPr>
          <w:p w14:paraId="69C20503" w14:textId="77777777" w:rsidR="009169E8" w:rsidRPr="001D5A74" w:rsidRDefault="009169E8" w:rsidP="001D5A74">
            <w:pPr>
              <w:pStyle w:val="Tabletext"/>
            </w:pPr>
            <w:r w:rsidRPr="001D5A74">
              <w:t>12</w:t>
            </w:r>
          </w:p>
        </w:tc>
        <w:tc>
          <w:tcPr>
            <w:cnfStyle w:val="000010000000" w:firstRow="0" w:lastRow="0" w:firstColumn="0" w:lastColumn="0" w:oddVBand="1" w:evenVBand="0" w:oddHBand="0" w:evenHBand="0" w:firstRowFirstColumn="0" w:firstRowLastColumn="0" w:lastRowFirstColumn="0" w:lastRowLastColumn="0"/>
            <w:tcW w:w="1701" w:type="dxa"/>
          </w:tcPr>
          <w:p w14:paraId="53473DA0" w14:textId="77777777" w:rsidR="009169E8" w:rsidRPr="001D5A74" w:rsidRDefault="009169E8" w:rsidP="001D5A74">
            <w:pPr>
              <w:pStyle w:val="Tabletext"/>
            </w:pPr>
            <w:r w:rsidRPr="001D5A74">
              <w:t>1</w:t>
            </w:r>
          </w:p>
        </w:tc>
        <w:tc>
          <w:tcPr>
            <w:cnfStyle w:val="000001000000" w:firstRow="0" w:lastRow="0" w:firstColumn="0" w:lastColumn="0" w:oddVBand="0" w:evenVBand="1" w:oddHBand="0" w:evenHBand="0" w:firstRowFirstColumn="0" w:firstRowLastColumn="0" w:lastRowFirstColumn="0" w:lastRowLastColumn="0"/>
            <w:tcW w:w="1701" w:type="dxa"/>
          </w:tcPr>
          <w:p w14:paraId="6F14056E" w14:textId="77777777" w:rsidR="009169E8" w:rsidRPr="001D5A74" w:rsidRDefault="009169E8" w:rsidP="001D5A74">
            <w:pPr>
              <w:pStyle w:val="Tabletext"/>
            </w:pPr>
            <w:r w:rsidRPr="001D5A74">
              <w:t>13</w:t>
            </w:r>
          </w:p>
        </w:tc>
      </w:tr>
      <w:tr w:rsidR="009169E8" w14:paraId="60B86577"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AA64388" w14:textId="77777777" w:rsidR="009169E8" w:rsidRPr="001D5A74" w:rsidRDefault="009169E8" w:rsidP="001D5A74">
            <w:pPr>
              <w:pStyle w:val="Tabletext"/>
            </w:pPr>
            <w:proofErr w:type="spellStart"/>
            <w:r w:rsidRPr="001D5A74">
              <w:t>Bii</w:t>
            </w:r>
            <w:proofErr w:type="spellEnd"/>
            <w:r w:rsidRPr="001D5A74">
              <w:t xml:space="preserve"> Airway maintenance (including pulmonary aspiration)</w:t>
            </w:r>
          </w:p>
        </w:tc>
        <w:tc>
          <w:tcPr>
            <w:cnfStyle w:val="000001000000" w:firstRow="0" w:lastRow="0" w:firstColumn="0" w:lastColumn="0" w:oddVBand="0" w:evenVBand="1" w:oddHBand="0" w:evenHBand="0" w:firstRowFirstColumn="0" w:firstRowLastColumn="0" w:lastRowFirstColumn="0" w:lastRowLastColumn="0"/>
            <w:tcW w:w="1701" w:type="dxa"/>
          </w:tcPr>
          <w:p w14:paraId="27796B49" w14:textId="77777777" w:rsidR="009169E8" w:rsidRPr="001D5A74" w:rsidRDefault="009169E8" w:rsidP="001D5A74">
            <w:pPr>
              <w:pStyle w:val="Tabletext"/>
            </w:pPr>
            <w:r w:rsidRPr="001D5A74">
              <w:t>7</w:t>
            </w:r>
          </w:p>
        </w:tc>
        <w:tc>
          <w:tcPr>
            <w:cnfStyle w:val="000010000000" w:firstRow="0" w:lastRow="0" w:firstColumn="0" w:lastColumn="0" w:oddVBand="1" w:evenVBand="0" w:oddHBand="0" w:evenHBand="0" w:firstRowFirstColumn="0" w:firstRowLastColumn="0" w:lastRowFirstColumn="0" w:lastRowLastColumn="0"/>
            <w:tcW w:w="1701" w:type="dxa"/>
          </w:tcPr>
          <w:p w14:paraId="78158FCE" w14:textId="77777777" w:rsidR="009169E8" w:rsidRPr="001D5A74" w:rsidRDefault="009169E8" w:rsidP="001D5A74">
            <w:pPr>
              <w:pStyle w:val="Tabletext"/>
            </w:pPr>
            <w:r w:rsidRPr="001D5A74">
              <w:t>5</w:t>
            </w:r>
          </w:p>
        </w:tc>
        <w:tc>
          <w:tcPr>
            <w:cnfStyle w:val="000001000000" w:firstRow="0" w:lastRow="0" w:firstColumn="0" w:lastColumn="0" w:oddVBand="0" w:evenVBand="1" w:oddHBand="0" w:evenHBand="0" w:firstRowFirstColumn="0" w:firstRowLastColumn="0" w:lastRowFirstColumn="0" w:lastRowLastColumn="0"/>
            <w:tcW w:w="1701" w:type="dxa"/>
          </w:tcPr>
          <w:p w14:paraId="6E3ACC31" w14:textId="77777777" w:rsidR="009169E8" w:rsidRPr="001D5A74" w:rsidRDefault="009169E8" w:rsidP="001D5A74">
            <w:pPr>
              <w:pStyle w:val="Tabletext"/>
            </w:pPr>
            <w:r w:rsidRPr="001D5A74">
              <w:t>12</w:t>
            </w:r>
          </w:p>
        </w:tc>
      </w:tr>
      <w:tr w:rsidR="009169E8" w14:paraId="20231966"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D197534" w14:textId="77777777" w:rsidR="009169E8" w:rsidRPr="001D5A74" w:rsidRDefault="009169E8" w:rsidP="001D5A74">
            <w:pPr>
              <w:pStyle w:val="Tabletext"/>
            </w:pPr>
            <w:proofErr w:type="spellStart"/>
            <w:r w:rsidRPr="001D5A74">
              <w:t>Biii</w:t>
            </w:r>
            <w:proofErr w:type="spellEnd"/>
            <w:r w:rsidRPr="001D5A74">
              <w:t xml:space="preserve"> Ventilation</w:t>
            </w:r>
          </w:p>
        </w:tc>
        <w:tc>
          <w:tcPr>
            <w:cnfStyle w:val="000001000000" w:firstRow="0" w:lastRow="0" w:firstColumn="0" w:lastColumn="0" w:oddVBand="0" w:evenVBand="1" w:oddHBand="0" w:evenHBand="0" w:firstRowFirstColumn="0" w:firstRowLastColumn="0" w:lastRowFirstColumn="0" w:lastRowLastColumn="0"/>
            <w:tcW w:w="1701" w:type="dxa"/>
          </w:tcPr>
          <w:p w14:paraId="74B1FFBD" w14:textId="77777777" w:rsidR="009169E8" w:rsidRPr="001D5A74" w:rsidRDefault="009169E8" w:rsidP="001D5A74">
            <w:pPr>
              <w:pStyle w:val="Tabletext"/>
            </w:pPr>
            <w:r w:rsidRPr="001D5A74">
              <w:t>3</w:t>
            </w:r>
          </w:p>
        </w:tc>
        <w:tc>
          <w:tcPr>
            <w:cnfStyle w:val="000010000000" w:firstRow="0" w:lastRow="0" w:firstColumn="0" w:lastColumn="0" w:oddVBand="1" w:evenVBand="0" w:oddHBand="0" w:evenHBand="0" w:firstRowFirstColumn="0" w:firstRowLastColumn="0" w:lastRowFirstColumn="0" w:lastRowLastColumn="0"/>
            <w:tcW w:w="1701" w:type="dxa"/>
          </w:tcPr>
          <w:p w14:paraId="6BACEA2C"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63A08534" w14:textId="77777777" w:rsidR="009169E8" w:rsidRPr="001D5A74" w:rsidRDefault="009169E8" w:rsidP="001D5A74">
            <w:pPr>
              <w:pStyle w:val="Tabletext"/>
            </w:pPr>
            <w:r w:rsidRPr="001D5A74">
              <w:t>3</w:t>
            </w:r>
          </w:p>
        </w:tc>
      </w:tr>
      <w:tr w:rsidR="009169E8" w14:paraId="56B3987B"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7D921B0B" w14:textId="77777777" w:rsidR="009169E8" w:rsidRPr="001D5A74" w:rsidRDefault="009169E8" w:rsidP="001D5A74">
            <w:pPr>
              <w:pStyle w:val="Tabletext"/>
            </w:pPr>
            <w:proofErr w:type="spellStart"/>
            <w:r w:rsidRPr="001D5A74">
              <w:t>Biv</w:t>
            </w:r>
            <w:proofErr w:type="spellEnd"/>
            <w:r w:rsidRPr="001D5A74">
              <w:t xml:space="preserve"> Circulatory support</w:t>
            </w:r>
          </w:p>
        </w:tc>
        <w:tc>
          <w:tcPr>
            <w:cnfStyle w:val="000001000000" w:firstRow="0" w:lastRow="0" w:firstColumn="0" w:lastColumn="0" w:oddVBand="0" w:evenVBand="1" w:oddHBand="0" w:evenHBand="0" w:firstRowFirstColumn="0" w:firstRowLastColumn="0" w:lastRowFirstColumn="0" w:lastRowLastColumn="0"/>
            <w:tcW w:w="1701" w:type="dxa"/>
          </w:tcPr>
          <w:p w14:paraId="69246FA7" w14:textId="77777777" w:rsidR="009169E8" w:rsidRPr="001D5A74" w:rsidRDefault="009169E8" w:rsidP="001D5A74">
            <w:pPr>
              <w:pStyle w:val="Tabletext"/>
            </w:pPr>
            <w:r w:rsidRPr="001D5A74">
              <w:t>0</w:t>
            </w:r>
          </w:p>
        </w:tc>
        <w:tc>
          <w:tcPr>
            <w:cnfStyle w:val="000010000000" w:firstRow="0" w:lastRow="0" w:firstColumn="0" w:lastColumn="0" w:oddVBand="1" w:evenVBand="0" w:oddHBand="0" w:evenHBand="0" w:firstRowFirstColumn="0" w:firstRowLastColumn="0" w:lastRowFirstColumn="0" w:lastRowLastColumn="0"/>
            <w:tcW w:w="1701" w:type="dxa"/>
          </w:tcPr>
          <w:p w14:paraId="35DC40D8"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5DB07CE0" w14:textId="77777777" w:rsidR="009169E8" w:rsidRPr="001D5A74" w:rsidRDefault="009169E8" w:rsidP="001D5A74">
            <w:pPr>
              <w:pStyle w:val="Tabletext"/>
            </w:pPr>
            <w:r w:rsidRPr="001D5A74">
              <w:t>0</w:t>
            </w:r>
          </w:p>
        </w:tc>
      </w:tr>
      <w:tr w:rsidR="009169E8" w14:paraId="7CCBC161"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42ED913B" w14:textId="77777777" w:rsidR="009169E8" w:rsidRPr="001D5A74" w:rsidRDefault="009169E8" w:rsidP="001D5A74">
            <w:pPr>
              <w:pStyle w:val="Tabletext"/>
              <w:rPr>
                <w:b/>
              </w:rPr>
            </w:pPr>
            <w:r w:rsidRPr="001D5A74">
              <w:rPr>
                <w:b/>
              </w:rPr>
              <w:lastRenderedPageBreak/>
              <w:t>C. Anaesthesia drugs</w:t>
            </w:r>
          </w:p>
        </w:tc>
        <w:tc>
          <w:tcPr>
            <w:cnfStyle w:val="000001000000" w:firstRow="0" w:lastRow="0" w:firstColumn="0" w:lastColumn="0" w:oddVBand="0" w:evenVBand="1" w:oddHBand="0" w:evenHBand="0" w:firstRowFirstColumn="0" w:firstRowLastColumn="0" w:lastRowFirstColumn="0" w:lastRowLastColumn="0"/>
            <w:tcW w:w="1701" w:type="dxa"/>
          </w:tcPr>
          <w:p w14:paraId="2EE96983" w14:textId="77777777" w:rsidR="009169E8" w:rsidRPr="001D5A74" w:rsidRDefault="009169E8" w:rsidP="001D5A74">
            <w:pPr>
              <w:pStyle w:val="Tabletext"/>
              <w:rPr>
                <w:b/>
              </w:rPr>
            </w:pPr>
            <w:r w:rsidRPr="001D5A74">
              <w:rPr>
                <w:b/>
              </w:rPr>
              <w:t>25</w:t>
            </w:r>
          </w:p>
        </w:tc>
        <w:tc>
          <w:tcPr>
            <w:cnfStyle w:val="000010000000" w:firstRow="0" w:lastRow="0" w:firstColumn="0" w:lastColumn="0" w:oddVBand="1" w:evenVBand="0" w:oddHBand="0" w:evenHBand="0" w:firstRowFirstColumn="0" w:firstRowLastColumn="0" w:lastRowFirstColumn="0" w:lastRowLastColumn="0"/>
            <w:tcW w:w="1701" w:type="dxa"/>
          </w:tcPr>
          <w:p w14:paraId="4B81A1B4" w14:textId="77777777" w:rsidR="009169E8" w:rsidRPr="001D5A74" w:rsidRDefault="009169E8" w:rsidP="001D5A74">
            <w:pPr>
              <w:pStyle w:val="Tabletext"/>
              <w:rPr>
                <w:b/>
              </w:rPr>
            </w:pPr>
            <w:r w:rsidRPr="001D5A74">
              <w:rPr>
                <w:b/>
              </w:rPr>
              <w:t>8</w:t>
            </w:r>
          </w:p>
        </w:tc>
        <w:tc>
          <w:tcPr>
            <w:cnfStyle w:val="000001000000" w:firstRow="0" w:lastRow="0" w:firstColumn="0" w:lastColumn="0" w:oddVBand="0" w:evenVBand="1" w:oddHBand="0" w:evenHBand="0" w:firstRowFirstColumn="0" w:firstRowLastColumn="0" w:lastRowFirstColumn="0" w:lastRowLastColumn="0"/>
            <w:tcW w:w="1701" w:type="dxa"/>
          </w:tcPr>
          <w:p w14:paraId="47254B6F" w14:textId="77777777" w:rsidR="009169E8" w:rsidRPr="001D5A74" w:rsidRDefault="009169E8" w:rsidP="001D5A74">
            <w:pPr>
              <w:pStyle w:val="Tabletext"/>
              <w:rPr>
                <w:b/>
              </w:rPr>
            </w:pPr>
            <w:r w:rsidRPr="001D5A74">
              <w:rPr>
                <w:b/>
              </w:rPr>
              <w:t>33</w:t>
            </w:r>
          </w:p>
        </w:tc>
      </w:tr>
      <w:tr w:rsidR="009169E8" w14:paraId="606B1453"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2FC6A132" w14:textId="77777777" w:rsidR="009169E8" w:rsidRPr="001D5A74" w:rsidRDefault="009169E8" w:rsidP="001D5A74">
            <w:pPr>
              <w:pStyle w:val="Tabletext"/>
            </w:pPr>
            <w:r w:rsidRPr="001D5A74">
              <w:t>Ci Selection</w:t>
            </w:r>
          </w:p>
        </w:tc>
        <w:tc>
          <w:tcPr>
            <w:cnfStyle w:val="000001000000" w:firstRow="0" w:lastRow="0" w:firstColumn="0" w:lastColumn="0" w:oddVBand="0" w:evenVBand="1" w:oddHBand="0" w:evenHBand="0" w:firstRowFirstColumn="0" w:firstRowLastColumn="0" w:lastRowFirstColumn="0" w:lastRowLastColumn="0"/>
            <w:tcW w:w="1701" w:type="dxa"/>
          </w:tcPr>
          <w:p w14:paraId="7222D7D9" w14:textId="77777777" w:rsidR="009169E8" w:rsidRPr="001D5A74" w:rsidRDefault="009169E8" w:rsidP="001D5A74">
            <w:pPr>
              <w:pStyle w:val="Tabletext"/>
            </w:pPr>
            <w:r w:rsidRPr="001D5A74">
              <w:t>0</w:t>
            </w:r>
          </w:p>
        </w:tc>
        <w:tc>
          <w:tcPr>
            <w:cnfStyle w:val="000010000000" w:firstRow="0" w:lastRow="0" w:firstColumn="0" w:lastColumn="0" w:oddVBand="1" w:evenVBand="0" w:oddHBand="0" w:evenHBand="0" w:firstRowFirstColumn="0" w:firstRowLastColumn="0" w:lastRowFirstColumn="0" w:lastRowLastColumn="0"/>
            <w:tcW w:w="1701" w:type="dxa"/>
          </w:tcPr>
          <w:p w14:paraId="3DBF941F"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79A23F80" w14:textId="77777777" w:rsidR="009169E8" w:rsidRPr="001D5A74" w:rsidRDefault="009169E8" w:rsidP="001D5A74">
            <w:pPr>
              <w:pStyle w:val="Tabletext"/>
            </w:pPr>
            <w:r w:rsidRPr="001D5A74">
              <w:t>0</w:t>
            </w:r>
          </w:p>
        </w:tc>
      </w:tr>
      <w:tr w:rsidR="009169E8" w14:paraId="71105D1B"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6F793B1" w14:textId="77777777" w:rsidR="009169E8" w:rsidRPr="001D5A74" w:rsidRDefault="009169E8" w:rsidP="001D5A74">
            <w:pPr>
              <w:pStyle w:val="Tabletext"/>
            </w:pPr>
            <w:proofErr w:type="spellStart"/>
            <w:r w:rsidRPr="001D5A74">
              <w:t>Cii</w:t>
            </w:r>
            <w:proofErr w:type="spellEnd"/>
            <w:r w:rsidRPr="001D5A74">
              <w:t xml:space="preserve"> Dosage</w:t>
            </w:r>
          </w:p>
        </w:tc>
        <w:tc>
          <w:tcPr>
            <w:cnfStyle w:val="000001000000" w:firstRow="0" w:lastRow="0" w:firstColumn="0" w:lastColumn="0" w:oddVBand="0" w:evenVBand="1" w:oddHBand="0" w:evenHBand="0" w:firstRowFirstColumn="0" w:firstRowLastColumn="0" w:lastRowFirstColumn="0" w:lastRowLastColumn="0"/>
            <w:tcW w:w="1701" w:type="dxa"/>
          </w:tcPr>
          <w:p w14:paraId="62E9911D" w14:textId="77777777" w:rsidR="009169E8" w:rsidRPr="001D5A74" w:rsidRDefault="009169E8" w:rsidP="001D5A74">
            <w:pPr>
              <w:pStyle w:val="Tabletext"/>
            </w:pPr>
            <w:r w:rsidRPr="001D5A74">
              <w:t>7</w:t>
            </w:r>
          </w:p>
        </w:tc>
        <w:tc>
          <w:tcPr>
            <w:cnfStyle w:val="000010000000" w:firstRow="0" w:lastRow="0" w:firstColumn="0" w:lastColumn="0" w:oddVBand="1" w:evenVBand="0" w:oddHBand="0" w:evenHBand="0" w:firstRowFirstColumn="0" w:firstRowLastColumn="0" w:lastRowFirstColumn="0" w:lastRowLastColumn="0"/>
            <w:tcW w:w="1701" w:type="dxa"/>
          </w:tcPr>
          <w:p w14:paraId="3570FEFF" w14:textId="77777777" w:rsidR="009169E8" w:rsidRPr="001D5A74" w:rsidRDefault="009169E8" w:rsidP="001D5A74">
            <w:pPr>
              <w:pStyle w:val="Tabletext"/>
            </w:pPr>
            <w:r w:rsidRPr="001D5A74">
              <w:t>1</w:t>
            </w:r>
          </w:p>
        </w:tc>
        <w:tc>
          <w:tcPr>
            <w:cnfStyle w:val="000001000000" w:firstRow="0" w:lastRow="0" w:firstColumn="0" w:lastColumn="0" w:oddVBand="0" w:evenVBand="1" w:oddHBand="0" w:evenHBand="0" w:firstRowFirstColumn="0" w:firstRowLastColumn="0" w:lastRowFirstColumn="0" w:lastRowLastColumn="0"/>
            <w:tcW w:w="1701" w:type="dxa"/>
          </w:tcPr>
          <w:p w14:paraId="4AF340F9" w14:textId="77777777" w:rsidR="009169E8" w:rsidRPr="001D5A74" w:rsidRDefault="009169E8" w:rsidP="001D5A74">
            <w:pPr>
              <w:pStyle w:val="Tabletext"/>
            </w:pPr>
            <w:r w:rsidRPr="001D5A74">
              <w:t>8</w:t>
            </w:r>
          </w:p>
        </w:tc>
      </w:tr>
      <w:tr w:rsidR="009169E8" w14:paraId="6390CE3C"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BD0CE0C" w14:textId="77777777" w:rsidR="009169E8" w:rsidRPr="001D5A74" w:rsidRDefault="009169E8" w:rsidP="001D5A74">
            <w:pPr>
              <w:pStyle w:val="Tabletext"/>
            </w:pPr>
            <w:proofErr w:type="spellStart"/>
            <w:r w:rsidRPr="001D5A74">
              <w:t>Ciii</w:t>
            </w:r>
            <w:proofErr w:type="spellEnd"/>
            <w:r w:rsidRPr="001D5A74">
              <w:t xml:space="preserve"> Adverse drug reaction</w:t>
            </w:r>
          </w:p>
        </w:tc>
        <w:tc>
          <w:tcPr>
            <w:cnfStyle w:val="000001000000" w:firstRow="0" w:lastRow="0" w:firstColumn="0" w:lastColumn="0" w:oddVBand="0" w:evenVBand="1" w:oddHBand="0" w:evenHBand="0" w:firstRowFirstColumn="0" w:firstRowLastColumn="0" w:lastRowFirstColumn="0" w:lastRowLastColumn="0"/>
            <w:tcW w:w="1701" w:type="dxa"/>
          </w:tcPr>
          <w:p w14:paraId="347D51F1" w14:textId="77777777" w:rsidR="009169E8" w:rsidRPr="001D5A74" w:rsidRDefault="009169E8" w:rsidP="001D5A74">
            <w:pPr>
              <w:pStyle w:val="Tabletext"/>
            </w:pPr>
            <w:r w:rsidRPr="001D5A74">
              <w:t>17</w:t>
            </w:r>
          </w:p>
        </w:tc>
        <w:tc>
          <w:tcPr>
            <w:cnfStyle w:val="000010000000" w:firstRow="0" w:lastRow="0" w:firstColumn="0" w:lastColumn="0" w:oddVBand="1" w:evenVBand="0" w:oddHBand="0" w:evenHBand="0" w:firstRowFirstColumn="0" w:firstRowLastColumn="0" w:lastRowFirstColumn="0" w:lastRowLastColumn="0"/>
            <w:tcW w:w="1701" w:type="dxa"/>
          </w:tcPr>
          <w:p w14:paraId="46BD4B24" w14:textId="77777777" w:rsidR="009169E8" w:rsidRPr="001D5A74" w:rsidRDefault="009169E8" w:rsidP="001D5A74">
            <w:pPr>
              <w:pStyle w:val="Tabletext"/>
            </w:pPr>
            <w:r w:rsidRPr="001D5A74">
              <w:t>7</w:t>
            </w:r>
          </w:p>
        </w:tc>
        <w:tc>
          <w:tcPr>
            <w:cnfStyle w:val="000001000000" w:firstRow="0" w:lastRow="0" w:firstColumn="0" w:lastColumn="0" w:oddVBand="0" w:evenVBand="1" w:oddHBand="0" w:evenHBand="0" w:firstRowFirstColumn="0" w:firstRowLastColumn="0" w:lastRowFirstColumn="0" w:lastRowLastColumn="0"/>
            <w:tcW w:w="1701" w:type="dxa"/>
          </w:tcPr>
          <w:p w14:paraId="66F86D95" w14:textId="77777777" w:rsidR="009169E8" w:rsidRPr="001D5A74" w:rsidRDefault="009169E8" w:rsidP="001D5A74">
            <w:pPr>
              <w:pStyle w:val="Tabletext"/>
            </w:pPr>
            <w:r w:rsidRPr="001D5A74">
              <w:t>24</w:t>
            </w:r>
          </w:p>
        </w:tc>
      </w:tr>
      <w:tr w:rsidR="009169E8" w14:paraId="7FD48264"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4544BD39" w14:textId="77777777" w:rsidR="009169E8" w:rsidRPr="001D5A74" w:rsidRDefault="009169E8" w:rsidP="001D5A74">
            <w:pPr>
              <w:pStyle w:val="Tabletext"/>
            </w:pPr>
            <w:r w:rsidRPr="001D5A74">
              <w:t>Civ Inadequate reversal</w:t>
            </w:r>
          </w:p>
        </w:tc>
        <w:tc>
          <w:tcPr>
            <w:cnfStyle w:val="000001000000" w:firstRow="0" w:lastRow="0" w:firstColumn="0" w:lastColumn="0" w:oddVBand="0" w:evenVBand="1" w:oddHBand="0" w:evenHBand="0" w:firstRowFirstColumn="0" w:firstRowLastColumn="0" w:lastRowFirstColumn="0" w:lastRowLastColumn="0"/>
            <w:tcW w:w="1701" w:type="dxa"/>
          </w:tcPr>
          <w:p w14:paraId="791BFCFC" w14:textId="77777777" w:rsidR="009169E8" w:rsidRPr="001D5A74" w:rsidRDefault="009169E8" w:rsidP="001D5A74">
            <w:pPr>
              <w:pStyle w:val="Tabletext"/>
            </w:pPr>
            <w:r w:rsidRPr="001D5A74">
              <w:t>1</w:t>
            </w:r>
          </w:p>
        </w:tc>
        <w:tc>
          <w:tcPr>
            <w:cnfStyle w:val="000010000000" w:firstRow="0" w:lastRow="0" w:firstColumn="0" w:lastColumn="0" w:oddVBand="1" w:evenVBand="0" w:oddHBand="0" w:evenHBand="0" w:firstRowFirstColumn="0" w:firstRowLastColumn="0" w:lastRowFirstColumn="0" w:lastRowLastColumn="0"/>
            <w:tcW w:w="1701" w:type="dxa"/>
          </w:tcPr>
          <w:p w14:paraId="41C5421D"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47862209" w14:textId="77777777" w:rsidR="009169E8" w:rsidRPr="001D5A74" w:rsidRDefault="009169E8" w:rsidP="001D5A74">
            <w:pPr>
              <w:pStyle w:val="Tabletext"/>
            </w:pPr>
            <w:r w:rsidRPr="001D5A74">
              <w:t>1</w:t>
            </w:r>
          </w:p>
        </w:tc>
      </w:tr>
      <w:tr w:rsidR="009169E8" w14:paraId="63F81882"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69B2F57" w14:textId="77777777" w:rsidR="009169E8" w:rsidRPr="001D5A74" w:rsidRDefault="009169E8" w:rsidP="001D5A74">
            <w:pPr>
              <w:pStyle w:val="Tabletext"/>
            </w:pPr>
            <w:proofErr w:type="spellStart"/>
            <w:r w:rsidRPr="001D5A74">
              <w:t>Cv</w:t>
            </w:r>
            <w:proofErr w:type="spellEnd"/>
            <w:r w:rsidRPr="001D5A74">
              <w:t xml:space="preserve"> Incomplete recovery</w:t>
            </w:r>
          </w:p>
        </w:tc>
        <w:tc>
          <w:tcPr>
            <w:cnfStyle w:val="000001000000" w:firstRow="0" w:lastRow="0" w:firstColumn="0" w:lastColumn="0" w:oddVBand="0" w:evenVBand="1" w:oddHBand="0" w:evenHBand="0" w:firstRowFirstColumn="0" w:firstRowLastColumn="0" w:lastRowFirstColumn="0" w:lastRowLastColumn="0"/>
            <w:tcW w:w="1701" w:type="dxa"/>
          </w:tcPr>
          <w:p w14:paraId="5A73DD91" w14:textId="77777777" w:rsidR="009169E8" w:rsidRPr="001D5A74" w:rsidRDefault="009169E8" w:rsidP="001D5A74">
            <w:pPr>
              <w:pStyle w:val="Tabletext"/>
            </w:pPr>
            <w:r w:rsidRPr="001D5A74">
              <w:t>0</w:t>
            </w:r>
          </w:p>
        </w:tc>
        <w:tc>
          <w:tcPr>
            <w:cnfStyle w:val="000010000000" w:firstRow="0" w:lastRow="0" w:firstColumn="0" w:lastColumn="0" w:oddVBand="1" w:evenVBand="0" w:oddHBand="0" w:evenHBand="0" w:firstRowFirstColumn="0" w:firstRowLastColumn="0" w:lastRowFirstColumn="0" w:lastRowLastColumn="0"/>
            <w:tcW w:w="1701" w:type="dxa"/>
          </w:tcPr>
          <w:p w14:paraId="2A07F006"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0D8FE2AF" w14:textId="77777777" w:rsidR="009169E8" w:rsidRPr="001D5A74" w:rsidRDefault="009169E8" w:rsidP="001D5A74">
            <w:pPr>
              <w:pStyle w:val="Tabletext"/>
            </w:pPr>
            <w:r w:rsidRPr="001D5A74">
              <w:t>0</w:t>
            </w:r>
          </w:p>
        </w:tc>
      </w:tr>
      <w:tr w:rsidR="009169E8" w14:paraId="0C10ED3E"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3FD11143" w14:textId="77777777" w:rsidR="009169E8" w:rsidRPr="001D5A74" w:rsidRDefault="009169E8" w:rsidP="001D5A74">
            <w:pPr>
              <w:pStyle w:val="Tabletext"/>
              <w:rPr>
                <w:b/>
              </w:rPr>
            </w:pPr>
            <w:r w:rsidRPr="001D5A74">
              <w:rPr>
                <w:b/>
              </w:rPr>
              <w:t>D. Anaesthesia management</w:t>
            </w:r>
          </w:p>
        </w:tc>
        <w:tc>
          <w:tcPr>
            <w:cnfStyle w:val="000001000000" w:firstRow="0" w:lastRow="0" w:firstColumn="0" w:lastColumn="0" w:oddVBand="0" w:evenVBand="1" w:oddHBand="0" w:evenHBand="0" w:firstRowFirstColumn="0" w:firstRowLastColumn="0" w:lastRowFirstColumn="0" w:lastRowLastColumn="0"/>
            <w:tcW w:w="1701" w:type="dxa"/>
          </w:tcPr>
          <w:p w14:paraId="52900F9B" w14:textId="77777777" w:rsidR="009169E8" w:rsidRPr="001D5A74" w:rsidRDefault="009169E8" w:rsidP="001D5A74">
            <w:pPr>
              <w:pStyle w:val="Tabletext"/>
              <w:rPr>
                <w:b/>
              </w:rPr>
            </w:pPr>
            <w:r w:rsidRPr="001D5A74">
              <w:rPr>
                <w:b/>
              </w:rPr>
              <w:t>4</w:t>
            </w:r>
          </w:p>
        </w:tc>
        <w:tc>
          <w:tcPr>
            <w:cnfStyle w:val="000010000000" w:firstRow="0" w:lastRow="0" w:firstColumn="0" w:lastColumn="0" w:oddVBand="1" w:evenVBand="0" w:oddHBand="0" w:evenHBand="0" w:firstRowFirstColumn="0" w:firstRowLastColumn="0" w:lastRowFirstColumn="0" w:lastRowLastColumn="0"/>
            <w:tcW w:w="1701" w:type="dxa"/>
          </w:tcPr>
          <w:p w14:paraId="7BB38618" w14:textId="77777777" w:rsidR="009169E8" w:rsidRPr="001D5A74" w:rsidRDefault="009169E8" w:rsidP="001D5A74">
            <w:pPr>
              <w:pStyle w:val="Tabletext"/>
              <w:rPr>
                <w:b/>
              </w:rPr>
            </w:pPr>
            <w:r w:rsidRPr="001D5A74">
              <w:rPr>
                <w:b/>
              </w:rPr>
              <w:t>5</w:t>
            </w:r>
          </w:p>
        </w:tc>
        <w:tc>
          <w:tcPr>
            <w:cnfStyle w:val="000001000000" w:firstRow="0" w:lastRow="0" w:firstColumn="0" w:lastColumn="0" w:oddVBand="0" w:evenVBand="1" w:oddHBand="0" w:evenHBand="0" w:firstRowFirstColumn="0" w:firstRowLastColumn="0" w:lastRowFirstColumn="0" w:lastRowLastColumn="0"/>
            <w:tcW w:w="1701" w:type="dxa"/>
          </w:tcPr>
          <w:p w14:paraId="312C504A" w14:textId="77777777" w:rsidR="009169E8" w:rsidRPr="001D5A74" w:rsidRDefault="009169E8" w:rsidP="001D5A74">
            <w:pPr>
              <w:pStyle w:val="Tabletext"/>
              <w:rPr>
                <w:b/>
              </w:rPr>
            </w:pPr>
            <w:r w:rsidRPr="001D5A74">
              <w:rPr>
                <w:b/>
              </w:rPr>
              <w:t>9</w:t>
            </w:r>
          </w:p>
        </w:tc>
      </w:tr>
      <w:tr w:rsidR="009169E8" w14:paraId="763C96C7"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06A2C82" w14:textId="77777777" w:rsidR="009169E8" w:rsidRPr="001D5A74" w:rsidRDefault="009169E8" w:rsidP="001D5A74">
            <w:pPr>
              <w:pStyle w:val="Tabletext"/>
            </w:pPr>
            <w:r w:rsidRPr="001D5A74">
              <w:t>Di Crisis management</w:t>
            </w:r>
          </w:p>
        </w:tc>
        <w:tc>
          <w:tcPr>
            <w:cnfStyle w:val="000001000000" w:firstRow="0" w:lastRow="0" w:firstColumn="0" w:lastColumn="0" w:oddVBand="0" w:evenVBand="1" w:oddHBand="0" w:evenHBand="0" w:firstRowFirstColumn="0" w:firstRowLastColumn="0" w:lastRowFirstColumn="0" w:lastRowLastColumn="0"/>
            <w:tcW w:w="1701" w:type="dxa"/>
          </w:tcPr>
          <w:p w14:paraId="043A278F" w14:textId="77777777" w:rsidR="009169E8" w:rsidRPr="001D5A74" w:rsidRDefault="009169E8" w:rsidP="001D5A74">
            <w:pPr>
              <w:pStyle w:val="Tabletext"/>
            </w:pPr>
            <w:r w:rsidRPr="001D5A74">
              <w:t>2</w:t>
            </w:r>
          </w:p>
        </w:tc>
        <w:tc>
          <w:tcPr>
            <w:cnfStyle w:val="000010000000" w:firstRow="0" w:lastRow="0" w:firstColumn="0" w:lastColumn="0" w:oddVBand="1" w:evenVBand="0" w:oddHBand="0" w:evenHBand="0" w:firstRowFirstColumn="0" w:firstRowLastColumn="0" w:lastRowFirstColumn="0" w:lastRowLastColumn="0"/>
            <w:tcW w:w="1701" w:type="dxa"/>
          </w:tcPr>
          <w:p w14:paraId="460C527F" w14:textId="77777777" w:rsidR="009169E8" w:rsidRPr="001D5A74" w:rsidRDefault="009169E8" w:rsidP="001D5A74">
            <w:pPr>
              <w:pStyle w:val="Tabletext"/>
            </w:pPr>
            <w:r w:rsidRPr="001D5A74">
              <w:t>3</w:t>
            </w:r>
          </w:p>
        </w:tc>
        <w:tc>
          <w:tcPr>
            <w:cnfStyle w:val="000001000000" w:firstRow="0" w:lastRow="0" w:firstColumn="0" w:lastColumn="0" w:oddVBand="0" w:evenVBand="1" w:oddHBand="0" w:evenHBand="0" w:firstRowFirstColumn="0" w:firstRowLastColumn="0" w:lastRowFirstColumn="0" w:lastRowLastColumn="0"/>
            <w:tcW w:w="1701" w:type="dxa"/>
          </w:tcPr>
          <w:p w14:paraId="61C5A44A" w14:textId="77777777" w:rsidR="009169E8" w:rsidRPr="001D5A74" w:rsidRDefault="009169E8" w:rsidP="001D5A74">
            <w:pPr>
              <w:pStyle w:val="Tabletext"/>
            </w:pPr>
            <w:r w:rsidRPr="001D5A74">
              <w:t>5</w:t>
            </w:r>
          </w:p>
        </w:tc>
      </w:tr>
      <w:tr w:rsidR="009169E8" w14:paraId="1F29FCEE"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D713FB7" w14:textId="77777777" w:rsidR="009169E8" w:rsidRPr="001D5A74" w:rsidRDefault="009169E8" w:rsidP="001D5A74">
            <w:pPr>
              <w:pStyle w:val="Tabletext"/>
            </w:pPr>
            <w:proofErr w:type="spellStart"/>
            <w:r w:rsidRPr="001D5A74">
              <w:t>Dii</w:t>
            </w:r>
            <w:proofErr w:type="spellEnd"/>
            <w:r w:rsidRPr="001D5A74">
              <w:t xml:space="preserve"> Inadequate monitoring</w:t>
            </w:r>
          </w:p>
        </w:tc>
        <w:tc>
          <w:tcPr>
            <w:cnfStyle w:val="000001000000" w:firstRow="0" w:lastRow="0" w:firstColumn="0" w:lastColumn="0" w:oddVBand="0" w:evenVBand="1" w:oddHBand="0" w:evenHBand="0" w:firstRowFirstColumn="0" w:firstRowLastColumn="0" w:lastRowFirstColumn="0" w:lastRowLastColumn="0"/>
            <w:tcW w:w="1701" w:type="dxa"/>
          </w:tcPr>
          <w:p w14:paraId="4CA606DA" w14:textId="77777777" w:rsidR="009169E8" w:rsidRPr="001D5A74" w:rsidRDefault="009169E8" w:rsidP="001D5A74">
            <w:pPr>
              <w:pStyle w:val="Tabletext"/>
            </w:pPr>
            <w:r w:rsidRPr="001D5A74">
              <w:t>1</w:t>
            </w:r>
          </w:p>
        </w:tc>
        <w:tc>
          <w:tcPr>
            <w:cnfStyle w:val="000010000000" w:firstRow="0" w:lastRow="0" w:firstColumn="0" w:lastColumn="0" w:oddVBand="1" w:evenVBand="0" w:oddHBand="0" w:evenHBand="0" w:firstRowFirstColumn="0" w:firstRowLastColumn="0" w:lastRowFirstColumn="0" w:lastRowLastColumn="0"/>
            <w:tcW w:w="1701" w:type="dxa"/>
          </w:tcPr>
          <w:p w14:paraId="1861BBF4" w14:textId="77777777" w:rsidR="009169E8" w:rsidRPr="001D5A74" w:rsidRDefault="009169E8" w:rsidP="001D5A74">
            <w:pPr>
              <w:pStyle w:val="Tabletext"/>
            </w:pPr>
            <w:r w:rsidRPr="001D5A74">
              <w:t>2</w:t>
            </w:r>
          </w:p>
        </w:tc>
        <w:tc>
          <w:tcPr>
            <w:cnfStyle w:val="000001000000" w:firstRow="0" w:lastRow="0" w:firstColumn="0" w:lastColumn="0" w:oddVBand="0" w:evenVBand="1" w:oddHBand="0" w:evenHBand="0" w:firstRowFirstColumn="0" w:firstRowLastColumn="0" w:lastRowFirstColumn="0" w:lastRowLastColumn="0"/>
            <w:tcW w:w="1701" w:type="dxa"/>
          </w:tcPr>
          <w:p w14:paraId="7874428C" w14:textId="77777777" w:rsidR="009169E8" w:rsidRPr="001D5A74" w:rsidRDefault="009169E8" w:rsidP="001D5A74">
            <w:pPr>
              <w:pStyle w:val="Tabletext"/>
            </w:pPr>
            <w:r w:rsidRPr="001D5A74">
              <w:t>3</w:t>
            </w:r>
          </w:p>
        </w:tc>
      </w:tr>
      <w:tr w:rsidR="009169E8" w14:paraId="59FD05FE"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28D90AE8" w14:textId="77777777" w:rsidR="009169E8" w:rsidRPr="001D5A74" w:rsidRDefault="009169E8" w:rsidP="001D5A74">
            <w:pPr>
              <w:pStyle w:val="Tabletext"/>
            </w:pPr>
            <w:proofErr w:type="spellStart"/>
            <w:r w:rsidRPr="001D5A74">
              <w:t>Diii</w:t>
            </w:r>
            <w:proofErr w:type="spellEnd"/>
            <w:r w:rsidRPr="001D5A74">
              <w:t xml:space="preserve"> Equipment failure</w:t>
            </w:r>
          </w:p>
        </w:tc>
        <w:tc>
          <w:tcPr>
            <w:cnfStyle w:val="000001000000" w:firstRow="0" w:lastRow="0" w:firstColumn="0" w:lastColumn="0" w:oddVBand="0" w:evenVBand="1" w:oddHBand="0" w:evenHBand="0" w:firstRowFirstColumn="0" w:firstRowLastColumn="0" w:lastRowFirstColumn="0" w:lastRowLastColumn="0"/>
            <w:tcW w:w="1701" w:type="dxa"/>
          </w:tcPr>
          <w:p w14:paraId="298434F5" w14:textId="77777777" w:rsidR="009169E8" w:rsidRPr="001D5A74" w:rsidRDefault="009169E8" w:rsidP="001D5A74">
            <w:pPr>
              <w:pStyle w:val="Tabletext"/>
            </w:pPr>
            <w:r w:rsidRPr="001D5A74">
              <w:t>1</w:t>
            </w:r>
          </w:p>
        </w:tc>
        <w:tc>
          <w:tcPr>
            <w:cnfStyle w:val="000010000000" w:firstRow="0" w:lastRow="0" w:firstColumn="0" w:lastColumn="0" w:oddVBand="1" w:evenVBand="0" w:oddHBand="0" w:evenHBand="0" w:firstRowFirstColumn="0" w:firstRowLastColumn="0" w:lastRowFirstColumn="0" w:lastRowLastColumn="0"/>
            <w:tcW w:w="1701" w:type="dxa"/>
          </w:tcPr>
          <w:p w14:paraId="4FF06A34"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55272681" w14:textId="77777777" w:rsidR="009169E8" w:rsidRPr="001D5A74" w:rsidRDefault="009169E8" w:rsidP="001D5A74">
            <w:pPr>
              <w:pStyle w:val="Tabletext"/>
            </w:pPr>
            <w:r w:rsidRPr="001D5A74">
              <w:t>1</w:t>
            </w:r>
          </w:p>
        </w:tc>
      </w:tr>
      <w:tr w:rsidR="009169E8" w14:paraId="7E06800A"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5ADBC706" w14:textId="77777777" w:rsidR="009169E8" w:rsidRPr="001D5A74" w:rsidRDefault="009169E8" w:rsidP="001D5A74">
            <w:pPr>
              <w:pStyle w:val="Tabletext"/>
            </w:pPr>
            <w:proofErr w:type="spellStart"/>
            <w:r w:rsidRPr="001D5A74">
              <w:t>Div</w:t>
            </w:r>
            <w:proofErr w:type="spellEnd"/>
            <w:r w:rsidRPr="001D5A74">
              <w:t xml:space="preserve"> Inadequate resuscitation</w:t>
            </w:r>
          </w:p>
        </w:tc>
        <w:tc>
          <w:tcPr>
            <w:cnfStyle w:val="000001000000" w:firstRow="0" w:lastRow="0" w:firstColumn="0" w:lastColumn="0" w:oddVBand="0" w:evenVBand="1" w:oddHBand="0" w:evenHBand="0" w:firstRowFirstColumn="0" w:firstRowLastColumn="0" w:lastRowFirstColumn="0" w:lastRowLastColumn="0"/>
            <w:tcW w:w="1701" w:type="dxa"/>
          </w:tcPr>
          <w:p w14:paraId="3C6F24A5" w14:textId="77777777" w:rsidR="009169E8" w:rsidRPr="001D5A74" w:rsidRDefault="009169E8" w:rsidP="001D5A74">
            <w:pPr>
              <w:pStyle w:val="Tabletext"/>
            </w:pPr>
            <w:r w:rsidRPr="001D5A74">
              <w:t>0</w:t>
            </w:r>
          </w:p>
        </w:tc>
        <w:tc>
          <w:tcPr>
            <w:cnfStyle w:val="000010000000" w:firstRow="0" w:lastRow="0" w:firstColumn="0" w:lastColumn="0" w:oddVBand="1" w:evenVBand="0" w:oddHBand="0" w:evenHBand="0" w:firstRowFirstColumn="0" w:firstRowLastColumn="0" w:lastRowFirstColumn="0" w:lastRowLastColumn="0"/>
            <w:tcW w:w="1701" w:type="dxa"/>
          </w:tcPr>
          <w:p w14:paraId="0EDDA443"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67F35B67" w14:textId="77777777" w:rsidR="009169E8" w:rsidRPr="001D5A74" w:rsidRDefault="009169E8" w:rsidP="001D5A74">
            <w:pPr>
              <w:pStyle w:val="Tabletext"/>
            </w:pPr>
            <w:r w:rsidRPr="001D5A74">
              <w:t>0</w:t>
            </w:r>
          </w:p>
        </w:tc>
      </w:tr>
      <w:tr w:rsidR="009169E8" w14:paraId="205139B5"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5A6B08FA" w14:textId="77777777" w:rsidR="009169E8" w:rsidRPr="001D5A74" w:rsidRDefault="009169E8" w:rsidP="001D5A74">
            <w:pPr>
              <w:pStyle w:val="Tabletext"/>
            </w:pPr>
            <w:proofErr w:type="spellStart"/>
            <w:r w:rsidRPr="001D5A74">
              <w:t>Dv</w:t>
            </w:r>
            <w:proofErr w:type="spellEnd"/>
            <w:r w:rsidRPr="001D5A74">
              <w:t xml:space="preserve"> Hypothermia</w:t>
            </w:r>
          </w:p>
        </w:tc>
        <w:tc>
          <w:tcPr>
            <w:cnfStyle w:val="000001000000" w:firstRow="0" w:lastRow="0" w:firstColumn="0" w:lastColumn="0" w:oddVBand="0" w:evenVBand="1" w:oddHBand="0" w:evenHBand="0" w:firstRowFirstColumn="0" w:firstRowLastColumn="0" w:lastRowFirstColumn="0" w:lastRowLastColumn="0"/>
            <w:tcW w:w="1701" w:type="dxa"/>
          </w:tcPr>
          <w:p w14:paraId="574436B6" w14:textId="77777777" w:rsidR="009169E8" w:rsidRPr="001D5A74" w:rsidRDefault="009169E8" w:rsidP="001D5A74">
            <w:pPr>
              <w:pStyle w:val="Tabletext"/>
            </w:pPr>
            <w:r w:rsidRPr="001D5A74">
              <w:t>0</w:t>
            </w:r>
          </w:p>
        </w:tc>
        <w:tc>
          <w:tcPr>
            <w:cnfStyle w:val="000010000000" w:firstRow="0" w:lastRow="0" w:firstColumn="0" w:lastColumn="0" w:oddVBand="1" w:evenVBand="0" w:oddHBand="0" w:evenHBand="0" w:firstRowFirstColumn="0" w:firstRowLastColumn="0" w:lastRowFirstColumn="0" w:lastRowLastColumn="0"/>
            <w:tcW w:w="1701" w:type="dxa"/>
          </w:tcPr>
          <w:p w14:paraId="6EF3C06D"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182A0D69" w14:textId="77777777" w:rsidR="009169E8" w:rsidRPr="001D5A74" w:rsidRDefault="009169E8" w:rsidP="001D5A74">
            <w:pPr>
              <w:pStyle w:val="Tabletext"/>
            </w:pPr>
            <w:r w:rsidRPr="001D5A74">
              <w:t>0</w:t>
            </w:r>
          </w:p>
        </w:tc>
      </w:tr>
      <w:tr w:rsidR="009169E8" w14:paraId="5878EADF"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671F8FF2" w14:textId="77777777" w:rsidR="009169E8" w:rsidRPr="001D5A74" w:rsidRDefault="009169E8" w:rsidP="001D5A74">
            <w:pPr>
              <w:pStyle w:val="Tabletext"/>
              <w:rPr>
                <w:b/>
              </w:rPr>
            </w:pPr>
            <w:r w:rsidRPr="001D5A74">
              <w:rPr>
                <w:b/>
              </w:rPr>
              <w:t>E. Postoperative</w:t>
            </w:r>
          </w:p>
        </w:tc>
        <w:tc>
          <w:tcPr>
            <w:cnfStyle w:val="000001000000" w:firstRow="0" w:lastRow="0" w:firstColumn="0" w:lastColumn="0" w:oddVBand="0" w:evenVBand="1" w:oddHBand="0" w:evenHBand="0" w:firstRowFirstColumn="0" w:firstRowLastColumn="0" w:lastRowFirstColumn="0" w:lastRowLastColumn="0"/>
            <w:tcW w:w="1701" w:type="dxa"/>
          </w:tcPr>
          <w:p w14:paraId="40E223C9" w14:textId="77777777" w:rsidR="009169E8" w:rsidRPr="001D5A74" w:rsidRDefault="009169E8" w:rsidP="001D5A74">
            <w:pPr>
              <w:pStyle w:val="Tabletext"/>
              <w:rPr>
                <w:b/>
              </w:rPr>
            </w:pPr>
            <w:r w:rsidRPr="001D5A74">
              <w:rPr>
                <w:b/>
              </w:rPr>
              <w:t>6</w:t>
            </w:r>
          </w:p>
        </w:tc>
        <w:tc>
          <w:tcPr>
            <w:cnfStyle w:val="000010000000" w:firstRow="0" w:lastRow="0" w:firstColumn="0" w:lastColumn="0" w:oddVBand="1" w:evenVBand="0" w:oddHBand="0" w:evenHBand="0" w:firstRowFirstColumn="0" w:firstRowLastColumn="0" w:lastRowFirstColumn="0" w:lastRowLastColumn="0"/>
            <w:tcW w:w="1701" w:type="dxa"/>
          </w:tcPr>
          <w:p w14:paraId="3E83ACF0" w14:textId="77777777" w:rsidR="009169E8" w:rsidRPr="001D5A74" w:rsidRDefault="009169E8" w:rsidP="001D5A74">
            <w:pPr>
              <w:pStyle w:val="Tabletext"/>
              <w:rPr>
                <w:b/>
              </w:rPr>
            </w:pPr>
            <w:r w:rsidRPr="001D5A74">
              <w:rPr>
                <w:b/>
              </w:rPr>
              <w:t>2</w:t>
            </w:r>
          </w:p>
        </w:tc>
        <w:tc>
          <w:tcPr>
            <w:cnfStyle w:val="000001000000" w:firstRow="0" w:lastRow="0" w:firstColumn="0" w:lastColumn="0" w:oddVBand="0" w:evenVBand="1" w:oddHBand="0" w:evenHBand="0" w:firstRowFirstColumn="0" w:firstRowLastColumn="0" w:lastRowFirstColumn="0" w:lastRowLastColumn="0"/>
            <w:tcW w:w="1701" w:type="dxa"/>
          </w:tcPr>
          <w:p w14:paraId="5C8E41A3" w14:textId="77777777" w:rsidR="009169E8" w:rsidRPr="001D5A74" w:rsidRDefault="009169E8" w:rsidP="001D5A74">
            <w:pPr>
              <w:pStyle w:val="Tabletext"/>
              <w:rPr>
                <w:b/>
              </w:rPr>
            </w:pPr>
            <w:r w:rsidRPr="001D5A74">
              <w:rPr>
                <w:b/>
              </w:rPr>
              <w:t>8</w:t>
            </w:r>
          </w:p>
        </w:tc>
      </w:tr>
      <w:tr w:rsidR="009169E8" w14:paraId="589F2673"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31D752FE" w14:textId="77777777" w:rsidR="009169E8" w:rsidRPr="001D5A74" w:rsidRDefault="009169E8" w:rsidP="001D5A74">
            <w:pPr>
              <w:pStyle w:val="Tabletext"/>
            </w:pPr>
            <w:proofErr w:type="spellStart"/>
            <w:r w:rsidRPr="001D5A74">
              <w:t>Ei</w:t>
            </w:r>
            <w:proofErr w:type="spellEnd"/>
            <w:r w:rsidRPr="001D5A74">
              <w:t xml:space="preserve"> Management</w:t>
            </w:r>
          </w:p>
        </w:tc>
        <w:tc>
          <w:tcPr>
            <w:cnfStyle w:val="000001000000" w:firstRow="0" w:lastRow="0" w:firstColumn="0" w:lastColumn="0" w:oddVBand="0" w:evenVBand="1" w:oddHBand="0" w:evenHBand="0" w:firstRowFirstColumn="0" w:firstRowLastColumn="0" w:lastRowFirstColumn="0" w:lastRowLastColumn="0"/>
            <w:tcW w:w="1701" w:type="dxa"/>
          </w:tcPr>
          <w:p w14:paraId="2C9795EB" w14:textId="77777777" w:rsidR="009169E8" w:rsidRPr="001D5A74" w:rsidRDefault="009169E8" w:rsidP="001D5A74">
            <w:pPr>
              <w:pStyle w:val="Tabletext"/>
            </w:pPr>
            <w:r w:rsidRPr="001D5A74">
              <w:t>3</w:t>
            </w:r>
          </w:p>
        </w:tc>
        <w:tc>
          <w:tcPr>
            <w:cnfStyle w:val="000010000000" w:firstRow="0" w:lastRow="0" w:firstColumn="0" w:lastColumn="0" w:oddVBand="1" w:evenVBand="0" w:oddHBand="0" w:evenHBand="0" w:firstRowFirstColumn="0" w:firstRowLastColumn="0" w:lastRowFirstColumn="0" w:lastRowLastColumn="0"/>
            <w:tcW w:w="1701" w:type="dxa"/>
          </w:tcPr>
          <w:p w14:paraId="4E5F2253"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32B4AEB5" w14:textId="77777777" w:rsidR="009169E8" w:rsidRPr="001D5A74" w:rsidRDefault="009169E8" w:rsidP="001D5A74">
            <w:pPr>
              <w:pStyle w:val="Tabletext"/>
            </w:pPr>
            <w:r w:rsidRPr="001D5A74">
              <w:t>3</w:t>
            </w:r>
          </w:p>
        </w:tc>
      </w:tr>
      <w:tr w:rsidR="009169E8" w14:paraId="2E892C08"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6C92FBAA" w14:textId="77777777" w:rsidR="009169E8" w:rsidRPr="001D5A74" w:rsidRDefault="009169E8" w:rsidP="001D5A74">
            <w:pPr>
              <w:pStyle w:val="Tabletext"/>
            </w:pPr>
            <w:proofErr w:type="spellStart"/>
            <w:r w:rsidRPr="001D5A74">
              <w:t>Eii</w:t>
            </w:r>
            <w:proofErr w:type="spellEnd"/>
            <w:r w:rsidRPr="001D5A74">
              <w:t xml:space="preserve"> Supervision</w:t>
            </w:r>
          </w:p>
        </w:tc>
        <w:tc>
          <w:tcPr>
            <w:cnfStyle w:val="000001000000" w:firstRow="0" w:lastRow="0" w:firstColumn="0" w:lastColumn="0" w:oddVBand="0" w:evenVBand="1" w:oddHBand="0" w:evenHBand="0" w:firstRowFirstColumn="0" w:firstRowLastColumn="0" w:lastRowFirstColumn="0" w:lastRowLastColumn="0"/>
            <w:tcW w:w="1701" w:type="dxa"/>
          </w:tcPr>
          <w:p w14:paraId="5DCDAC8E" w14:textId="77777777" w:rsidR="009169E8" w:rsidRPr="001D5A74" w:rsidRDefault="009169E8" w:rsidP="001D5A74">
            <w:pPr>
              <w:pStyle w:val="Tabletext"/>
            </w:pPr>
            <w:r w:rsidRPr="001D5A74">
              <w:t>2</w:t>
            </w:r>
          </w:p>
        </w:tc>
        <w:tc>
          <w:tcPr>
            <w:cnfStyle w:val="000010000000" w:firstRow="0" w:lastRow="0" w:firstColumn="0" w:lastColumn="0" w:oddVBand="1" w:evenVBand="0" w:oddHBand="0" w:evenHBand="0" w:firstRowFirstColumn="0" w:firstRowLastColumn="0" w:lastRowFirstColumn="0" w:lastRowLastColumn="0"/>
            <w:tcW w:w="1701" w:type="dxa"/>
          </w:tcPr>
          <w:p w14:paraId="3661B0E8"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5CCC8EA5" w14:textId="77777777" w:rsidR="009169E8" w:rsidRPr="001D5A74" w:rsidRDefault="009169E8" w:rsidP="001D5A74">
            <w:pPr>
              <w:pStyle w:val="Tabletext"/>
            </w:pPr>
            <w:r w:rsidRPr="001D5A74">
              <w:t>2</w:t>
            </w:r>
          </w:p>
        </w:tc>
      </w:tr>
      <w:tr w:rsidR="009169E8" w14:paraId="56F25A5A"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5F6AEB72" w14:textId="77777777" w:rsidR="009169E8" w:rsidRPr="001D5A74" w:rsidRDefault="009169E8" w:rsidP="001D5A74">
            <w:pPr>
              <w:pStyle w:val="Tabletext"/>
            </w:pPr>
            <w:proofErr w:type="spellStart"/>
            <w:r w:rsidRPr="001D5A74">
              <w:t>Eiii</w:t>
            </w:r>
            <w:proofErr w:type="spellEnd"/>
            <w:r w:rsidRPr="001D5A74">
              <w:t xml:space="preserve"> Inadequate resuscitation</w:t>
            </w:r>
          </w:p>
        </w:tc>
        <w:tc>
          <w:tcPr>
            <w:cnfStyle w:val="000001000000" w:firstRow="0" w:lastRow="0" w:firstColumn="0" w:lastColumn="0" w:oddVBand="0" w:evenVBand="1" w:oddHBand="0" w:evenHBand="0" w:firstRowFirstColumn="0" w:firstRowLastColumn="0" w:lastRowFirstColumn="0" w:lastRowLastColumn="0"/>
            <w:tcW w:w="1701" w:type="dxa"/>
          </w:tcPr>
          <w:p w14:paraId="23D76BA1" w14:textId="77777777" w:rsidR="009169E8" w:rsidRPr="001D5A74" w:rsidRDefault="009169E8" w:rsidP="001D5A74">
            <w:pPr>
              <w:pStyle w:val="Tabletext"/>
            </w:pPr>
            <w:r w:rsidRPr="001D5A74">
              <w:t>1</w:t>
            </w:r>
          </w:p>
        </w:tc>
        <w:tc>
          <w:tcPr>
            <w:cnfStyle w:val="000010000000" w:firstRow="0" w:lastRow="0" w:firstColumn="0" w:lastColumn="0" w:oddVBand="1" w:evenVBand="0" w:oddHBand="0" w:evenHBand="0" w:firstRowFirstColumn="0" w:firstRowLastColumn="0" w:lastRowFirstColumn="0" w:lastRowLastColumn="0"/>
            <w:tcW w:w="1701" w:type="dxa"/>
          </w:tcPr>
          <w:p w14:paraId="1A48B298" w14:textId="77777777" w:rsidR="009169E8" w:rsidRPr="001D5A74" w:rsidRDefault="009169E8" w:rsidP="001D5A74">
            <w:pPr>
              <w:pStyle w:val="Tabletext"/>
            </w:pPr>
            <w:r w:rsidRPr="001D5A74">
              <w:t>2</w:t>
            </w:r>
          </w:p>
        </w:tc>
        <w:tc>
          <w:tcPr>
            <w:cnfStyle w:val="000001000000" w:firstRow="0" w:lastRow="0" w:firstColumn="0" w:lastColumn="0" w:oddVBand="0" w:evenVBand="1" w:oddHBand="0" w:evenHBand="0" w:firstRowFirstColumn="0" w:firstRowLastColumn="0" w:lastRowFirstColumn="0" w:lastRowLastColumn="0"/>
            <w:tcW w:w="1701" w:type="dxa"/>
          </w:tcPr>
          <w:p w14:paraId="71F8200C" w14:textId="77777777" w:rsidR="009169E8" w:rsidRPr="001D5A74" w:rsidRDefault="009169E8" w:rsidP="001D5A74">
            <w:pPr>
              <w:pStyle w:val="Tabletext"/>
            </w:pPr>
            <w:r w:rsidRPr="001D5A74">
              <w:t>3</w:t>
            </w:r>
          </w:p>
        </w:tc>
      </w:tr>
      <w:tr w:rsidR="009169E8" w14:paraId="0452B40E"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2A81216A" w14:textId="77777777" w:rsidR="009169E8" w:rsidRPr="001D5A74" w:rsidRDefault="009169E8" w:rsidP="001D5A74">
            <w:pPr>
              <w:pStyle w:val="Tabletext"/>
              <w:rPr>
                <w:b/>
              </w:rPr>
            </w:pPr>
            <w:r w:rsidRPr="001D5A74">
              <w:rPr>
                <w:b/>
              </w:rPr>
              <w:t>F. Organisational</w:t>
            </w:r>
          </w:p>
        </w:tc>
        <w:tc>
          <w:tcPr>
            <w:cnfStyle w:val="000001000000" w:firstRow="0" w:lastRow="0" w:firstColumn="0" w:lastColumn="0" w:oddVBand="0" w:evenVBand="1" w:oddHBand="0" w:evenHBand="0" w:firstRowFirstColumn="0" w:firstRowLastColumn="0" w:lastRowFirstColumn="0" w:lastRowLastColumn="0"/>
            <w:tcW w:w="1701" w:type="dxa"/>
          </w:tcPr>
          <w:p w14:paraId="36EB9682" w14:textId="77777777" w:rsidR="009169E8" w:rsidRPr="001D5A74" w:rsidRDefault="009169E8" w:rsidP="001D5A74">
            <w:pPr>
              <w:pStyle w:val="Tabletext"/>
              <w:rPr>
                <w:b/>
              </w:rPr>
            </w:pPr>
            <w:r w:rsidRPr="001D5A74">
              <w:rPr>
                <w:b/>
              </w:rPr>
              <w:t>12</w:t>
            </w:r>
          </w:p>
        </w:tc>
        <w:tc>
          <w:tcPr>
            <w:cnfStyle w:val="000010000000" w:firstRow="0" w:lastRow="0" w:firstColumn="0" w:lastColumn="0" w:oddVBand="1" w:evenVBand="0" w:oddHBand="0" w:evenHBand="0" w:firstRowFirstColumn="0" w:firstRowLastColumn="0" w:lastRowFirstColumn="0" w:lastRowLastColumn="0"/>
            <w:tcW w:w="1701" w:type="dxa"/>
          </w:tcPr>
          <w:p w14:paraId="06F9B925" w14:textId="77777777" w:rsidR="009169E8" w:rsidRPr="001D5A74" w:rsidRDefault="009169E8" w:rsidP="001D5A74">
            <w:pPr>
              <w:pStyle w:val="Tabletext"/>
              <w:rPr>
                <w:b/>
              </w:rPr>
            </w:pPr>
            <w:r w:rsidRPr="001D5A74">
              <w:rPr>
                <w:b/>
              </w:rPr>
              <w:t>4</w:t>
            </w:r>
          </w:p>
        </w:tc>
        <w:tc>
          <w:tcPr>
            <w:cnfStyle w:val="000001000000" w:firstRow="0" w:lastRow="0" w:firstColumn="0" w:lastColumn="0" w:oddVBand="0" w:evenVBand="1" w:oddHBand="0" w:evenHBand="0" w:firstRowFirstColumn="0" w:firstRowLastColumn="0" w:lastRowFirstColumn="0" w:lastRowLastColumn="0"/>
            <w:tcW w:w="1701" w:type="dxa"/>
          </w:tcPr>
          <w:p w14:paraId="35407198" w14:textId="77777777" w:rsidR="009169E8" w:rsidRPr="001D5A74" w:rsidRDefault="009169E8" w:rsidP="001D5A74">
            <w:pPr>
              <w:pStyle w:val="Tabletext"/>
              <w:rPr>
                <w:b/>
              </w:rPr>
            </w:pPr>
            <w:r w:rsidRPr="001D5A74">
              <w:rPr>
                <w:b/>
              </w:rPr>
              <w:t>16</w:t>
            </w:r>
          </w:p>
        </w:tc>
      </w:tr>
      <w:tr w:rsidR="009169E8" w14:paraId="41276F4C"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73D23CC6" w14:textId="77777777" w:rsidR="009169E8" w:rsidRPr="001D5A74" w:rsidRDefault="009169E8" w:rsidP="001D5A74">
            <w:pPr>
              <w:pStyle w:val="Tabletext"/>
            </w:pPr>
            <w:r w:rsidRPr="001D5A74">
              <w:t>Fi Inadequate supervision, experience or assistance</w:t>
            </w:r>
          </w:p>
        </w:tc>
        <w:tc>
          <w:tcPr>
            <w:cnfStyle w:val="000001000000" w:firstRow="0" w:lastRow="0" w:firstColumn="0" w:lastColumn="0" w:oddVBand="0" w:evenVBand="1" w:oddHBand="0" w:evenHBand="0" w:firstRowFirstColumn="0" w:firstRowLastColumn="0" w:lastRowFirstColumn="0" w:lastRowLastColumn="0"/>
            <w:tcW w:w="1701" w:type="dxa"/>
          </w:tcPr>
          <w:p w14:paraId="637260E7" w14:textId="77777777" w:rsidR="009169E8" w:rsidRPr="001D5A74" w:rsidRDefault="009169E8" w:rsidP="001D5A74">
            <w:pPr>
              <w:pStyle w:val="Tabletext"/>
            </w:pPr>
            <w:r w:rsidRPr="001D5A74">
              <w:t>3</w:t>
            </w:r>
          </w:p>
        </w:tc>
        <w:tc>
          <w:tcPr>
            <w:cnfStyle w:val="000010000000" w:firstRow="0" w:lastRow="0" w:firstColumn="0" w:lastColumn="0" w:oddVBand="1" w:evenVBand="0" w:oddHBand="0" w:evenHBand="0" w:firstRowFirstColumn="0" w:firstRowLastColumn="0" w:lastRowFirstColumn="0" w:lastRowLastColumn="0"/>
            <w:tcW w:w="1701" w:type="dxa"/>
          </w:tcPr>
          <w:p w14:paraId="35FC6A31" w14:textId="77777777" w:rsidR="009169E8" w:rsidRPr="001D5A74" w:rsidRDefault="009169E8" w:rsidP="001D5A74">
            <w:pPr>
              <w:pStyle w:val="Tabletext"/>
            </w:pPr>
            <w:r w:rsidRPr="001D5A74">
              <w:t>1</w:t>
            </w:r>
          </w:p>
        </w:tc>
        <w:tc>
          <w:tcPr>
            <w:cnfStyle w:val="000001000000" w:firstRow="0" w:lastRow="0" w:firstColumn="0" w:lastColumn="0" w:oddVBand="0" w:evenVBand="1" w:oddHBand="0" w:evenHBand="0" w:firstRowFirstColumn="0" w:firstRowLastColumn="0" w:lastRowFirstColumn="0" w:lastRowLastColumn="0"/>
            <w:tcW w:w="1701" w:type="dxa"/>
          </w:tcPr>
          <w:p w14:paraId="2F829F56" w14:textId="77777777" w:rsidR="009169E8" w:rsidRPr="001D5A74" w:rsidRDefault="009169E8" w:rsidP="001D5A74">
            <w:pPr>
              <w:pStyle w:val="Tabletext"/>
            </w:pPr>
            <w:r w:rsidRPr="001D5A74">
              <w:t>4</w:t>
            </w:r>
          </w:p>
        </w:tc>
      </w:tr>
      <w:tr w:rsidR="009169E8" w14:paraId="3AC86967"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20E59446" w14:textId="77777777" w:rsidR="009169E8" w:rsidRPr="001D5A74" w:rsidRDefault="009169E8" w:rsidP="001D5A74">
            <w:pPr>
              <w:pStyle w:val="Tabletext"/>
            </w:pPr>
            <w:proofErr w:type="spellStart"/>
            <w:r w:rsidRPr="001D5A74">
              <w:t>Fii</w:t>
            </w:r>
            <w:proofErr w:type="spellEnd"/>
            <w:r w:rsidRPr="001D5A74">
              <w:t xml:space="preserve"> Poor organisation of the service</w:t>
            </w:r>
          </w:p>
        </w:tc>
        <w:tc>
          <w:tcPr>
            <w:cnfStyle w:val="000001000000" w:firstRow="0" w:lastRow="0" w:firstColumn="0" w:lastColumn="0" w:oddVBand="0" w:evenVBand="1" w:oddHBand="0" w:evenHBand="0" w:firstRowFirstColumn="0" w:firstRowLastColumn="0" w:lastRowFirstColumn="0" w:lastRowLastColumn="0"/>
            <w:tcW w:w="1701" w:type="dxa"/>
          </w:tcPr>
          <w:p w14:paraId="2275F6DB" w14:textId="77777777" w:rsidR="009169E8" w:rsidRPr="001D5A74" w:rsidRDefault="009169E8" w:rsidP="001D5A74">
            <w:pPr>
              <w:pStyle w:val="Tabletext"/>
            </w:pPr>
            <w:r w:rsidRPr="001D5A74">
              <w:t>2</w:t>
            </w:r>
          </w:p>
        </w:tc>
        <w:tc>
          <w:tcPr>
            <w:cnfStyle w:val="000010000000" w:firstRow="0" w:lastRow="0" w:firstColumn="0" w:lastColumn="0" w:oddVBand="1" w:evenVBand="0" w:oddHBand="0" w:evenHBand="0" w:firstRowFirstColumn="0" w:firstRowLastColumn="0" w:lastRowFirstColumn="0" w:lastRowLastColumn="0"/>
            <w:tcW w:w="1701" w:type="dxa"/>
          </w:tcPr>
          <w:p w14:paraId="228BF698" w14:textId="77777777" w:rsidR="009169E8" w:rsidRPr="001D5A74" w:rsidRDefault="009169E8" w:rsidP="001D5A74">
            <w:pPr>
              <w:pStyle w:val="Tabletext"/>
            </w:pPr>
            <w:r w:rsidRPr="001D5A74">
              <w:t>0</w:t>
            </w:r>
          </w:p>
        </w:tc>
        <w:tc>
          <w:tcPr>
            <w:cnfStyle w:val="000001000000" w:firstRow="0" w:lastRow="0" w:firstColumn="0" w:lastColumn="0" w:oddVBand="0" w:evenVBand="1" w:oddHBand="0" w:evenHBand="0" w:firstRowFirstColumn="0" w:firstRowLastColumn="0" w:lastRowFirstColumn="0" w:lastRowLastColumn="0"/>
            <w:tcW w:w="1701" w:type="dxa"/>
          </w:tcPr>
          <w:p w14:paraId="6E7FE02F" w14:textId="77777777" w:rsidR="009169E8" w:rsidRPr="001D5A74" w:rsidRDefault="009169E8" w:rsidP="001D5A74">
            <w:pPr>
              <w:pStyle w:val="Tabletext"/>
            </w:pPr>
            <w:r w:rsidRPr="001D5A74">
              <w:t>2</w:t>
            </w:r>
          </w:p>
        </w:tc>
      </w:tr>
      <w:tr w:rsidR="009169E8" w14:paraId="64368FCF"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358077D9" w14:textId="77777777" w:rsidR="009169E8" w:rsidRPr="001D5A74" w:rsidRDefault="009169E8" w:rsidP="001D5A74">
            <w:pPr>
              <w:pStyle w:val="Tabletext"/>
            </w:pPr>
            <w:proofErr w:type="spellStart"/>
            <w:r w:rsidRPr="001D5A74">
              <w:t>Fiii</w:t>
            </w:r>
            <w:proofErr w:type="spellEnd"/>
            <w:r w:rsidRPr="001D5A74">
              <w:t xml:space="preserve"> Failure of interdisciplinary planning</w:t>
            </w:r>
          </w:p>
        </w:tc>
        <w:tc>
          <w:tcPr>
            <w:cnfStyle w:val="000001000000" w:firstRow="0" w:lastRow="0" w:firstColumn="0" w:lastColumn="0" w:oddVBand="0" w:evenVBand="1" w:oddHBand="0" w:evenHBand="0" w:firstRowFirstColumn="0" w:firstRowLastColumn="0" w:lastRowFirstColumn="0" w:lastRowLastColumn="0"/>
            <w:tcW w:w="1701" w:type="dxa"/>
          </w:tcPr>
          <w:p w14:paraId="1C829B19" w14:textId="77777777" w:rsidR="009169E8" w:rsidRPr="001D5A74" w:rsidRDefault="009169E8" w:rsidP="001D5A74">
            <w:pPr>
              <w:pStyle w:val="Tabletext"/>
            </w:pPr>
            <w:r w:rsidRPr="001D5A74">
              <w:t>7</w:t>
            </w:r>
          </w:p>
        </w:tc>
        <w:tc>
          <w:tcPr>
            <w:cnfStyle w:val="000010000000" w:firstRow="0" w:lastRow="0" w:firstColumn="0" w:lastColumn="0" w:oddVBand="1" w:evenVBand="0" w:oddHBand="0" w:evenHBand="0" w:firstRowFirstColumn="0" w:firstRowLastColumn="0" w:lastRowFirstColumn="0" w:lastRowLastColumn="0"/>
            <w:tcW w:w="1701" w:type="dxa"/>
          </w:tcPr>
          <w:p w14:paraId="5984CAB3" w14:textId="77777777" w:rsidR="009169E8" w:rsidRPr="001D5A74" w:rsidRDefault="009169E8" w:rsidP="001D5A74">
            <w:pPr>
              <w:pStyle w:val="Tabletext"/>
            </w:pPr>
            <w:r w:rsidRPr="001D5A74">
              <w:t>3</w:t>
            </w:r>
          </w:p>
        </w:tc>
        <w:tc>
          <w:tcPr>
            <w:cnfStyle w:val="000001000000" w:firstRow="0" w:lastRow="0" w:firstColumn="0" w:lastColumn="0" w:oddVBand="0" w:evenVBand="1" w:oddHBand="0" w:evenHBand="0" w:firstRowFirstColumn="0" w:firstRowLastColumn="0" w:lastRowFirstColumn="0" w:lastRowLastColumn="0"/>
            <w:tcW w:w="1701" w:type="dxa"/>
          </w:tcPr>
          <w:p w14:paraId="56610CD8" w14:textId="77777777" w:rsidR="009169E8" w:rsidRPr="001D5A74" w:rsidRDefault="009169E8" w:rsidP="001D5A74">
            <w:pPr>
              <w:pStyle w:val="Tabletext"/>
            </w:pPr>
            <w:r w:rsidRPr="001D5A74">
              <w:t>10</w:t>
            </w:r>
          </w:p>
        </w:tc>
      </w:tr>
      <w:tr w:rsidR="009169E8" w14:paraId="1D8797C2"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C37F422" w14:textId="77777777" w:rsidR="009169E8" w:rsidRPr="001D5A74" w:rsidRDefault="009169E8" w:rsidP="001D5A74">
            <w:pPr>
              <w:pStyle w:val="Tabletext"/>
              <w:rPr>
                <w:b/>
              </w:rPr>
            </w:pPr>
            <w:r w:rsidRPr="001D5A74">
              <w:rPr>
                <w:b/>
              </w:rPr>
              <w:t>Total for sub-categories A to F</w:t>
            </w:r>
          </w:p>
        </w:tc>
        <w:tc>
          <w:tcPr>
            <w:cnfStyle w:val="000001000000" w:firstRow="0" w:lastRow="0" w:firstColumn="0" w:lastColumn="0" w:oddVBand="0" w:evenVBand="1" w:oddHBand="0" w:evenHBand="0" w:firstRowFirstColumn="0" w:firstRowLastColumn="0" w:lastRowFirstColumn="0" w:lastRowLastColumn="0"/>
            <w:tcW w:w="1701" w:type="dxa"/>
          </w:tcPr>
          <w:p w14:paraId="299D8077" w14:textId="77777777" w:rsidR="009169E8" w:rsidRPr="001D5A74" w:rsidRDefault="009169E8" w:rsidP="001D5A74">
            <w:pPr>
              <w:pStyle w:val="Tabletext"/>
              <w:rPr>
                <w:b/>
              </w:rPr>
            </w:pPr>
            <w:r w:rsidRPr="001D5A74">
              <w:rPr>
                <w:b/>
              </w:rPr>
              <w:t>70</w:t>
            </w:r>
          </w:p>
        </w:tc>
        <w:tc>
          <w:tcPr>
            <w:cnfStyle w:val="000010000000" w:firstRow="0" w:lastRow="0" w:firstColumn="0" w:lastColumn="0" w:oddVBand="1" w:evenVBand="0" w:oddHBand="0" w:evenHBand="0" w:firstRowFirstColumn="0" w:firstRowLastColumn="0" w:lastRowFirstColumn="0" w:lastRowLastColumn="0"/>
            <w:tcW w:w="1701" w:type="dxa"/>
          </w:tcPr>
          <w:p w14:paraId="1A560CFB" w14:textId="77777777" w:rsidR="009169E8" w:rsidRPr="001D5A74" w:rsidRDefault="009169E8" w:rsidP="001D5A74">
            <w:pPr>
              <w:pStyle w:val="Tabletext"/>
              <w:rPr>
                <w:b/>
              </w:rPr>
            </w:pPr>
            <w:r w:rsidRPr="001D5A74">
              <w:rPr>
                <w:b/>
              </w:rPr>
              <w:t>28</w:t>
            </w:r>
          </w:p>
        </w:tc>
        <w:tc>
          <w:tcPr>
            <w:cnfStyle w:val="000001000000" w:firstRow="0" w:lastRow="0" w:firstColumn="0" w:lastColumn="0" w:oddVBand="0" w:evenVBand="1" w:oddHBand="0" w:evenHBand="0" w:firstRowFirstColumn="0" w:firstRowLastColumn="0" w:lastRowFirstColumn="0" w:lastRowLastColumn="0"/>
            <w:tcW w:w="1701" w:type="dxa"/>
          </w:tcPr>
          <w:p w14:paraId="723CB20D" w14:textId="77777777" w:rsidR="009169E8" w:rsidRPr="001D5A74" w:rsidRDefault="009169E8" w:rsidP="001D5A74">
            <w:pPr>
              <w:pStyle w:val="Tabletext"/>
              <w:rPr>
                <w:b/>
              </w:rPr>
            </w:pPr>
            <w:r w:rsidRPr="001D5A74">
              <w:rPr>
                <w:b/>
              </w:rPr>
              <w:t>98</w:t>
            </w:r>
          </w:p>
        </w:tc>
      </w:tr>
      <w:tr w:rsidR="009169E8" w14:paraId="077AC265" w14:textId="77777777" w:rsidTr="00AD199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75D5AAD7" w14:textId="77777777" w:rsidR="009169E8" w:rsidRPr="001D5A74" w:rsidRDefault="009169E8" w:rsidP="001D5A74">
            <w:pPr>
              <w:pStyle w:val="Tabletext"/>
              <w:rPr>
                <w:b/>
              </w:rPr>
            </w:pPr>
            <w:r w:rsidRPr="001D5A74">
              <w:rPr>
                <w:b/>
              </w:rPr>
              <w:t>G. No correctable factor identified</w:t>
            </w:r>
          </w:p>
        </w:tc>
        <w:tc>
          <w:tcPr>
            <w:cnfStyle w:val="000001000000" w:firstRow="0" w:lastRow="0" w:firstColumn="0" w:lastColumn="0" w:oddVBand="0" w:evenVBand="1" w:oddHBand="0" w:evenHBand="0" w:firstRowFirstColumn="0" w:firstRowLastColumn="0" w:lastRowFirstColumn="0" w:lastRowLastColumn="0"/>
            <w:tcW w:w="1701" w:type="dxa"/>
          </w:tcPr>
          <w:p w14:paraId="2107F13E" w14:textId="77777777" w:rsidR="009169E8" w:rsidRPr="001D5A74" w:rsidRDefault="009169E8" w:rsidP="001D5A74">
            <w:pPr>
              <w:pStyle w:val="Tabletext"/>
              <w:rPr>
                <w:b/>
              </w:rPr>
            </w:pPr>
            <w:r w:rsidRPr="001D5A74">
              <w:rPr>
                <w:b/>
              </w:rPr>
              <w:t>14</w:t>
            </w:r>
          </w:p>
        </w:tc>
        <w:tc>
          <w:tcPr>
            <w:cnfStyle w:val="000010000000" w:firstRow="0" w:lastRow="0" w:firstColumn="0" w:lastColumn="0" w:oddVBand="1" w:evenVBand="0" w:oddHBand="0" w:evenHBand="0" w:firstRowFirstColumn="0" w:firstRowLastColumn="0" w:lastRowFirstColumn="0" w:lastRowLastColumn="0"/>
            <w:tcW w:w="1701" w:type="dxa"/>
          </w:tcPr>
          <w:p w14:paraId="48BEAA2B" w14:textId="77777777" w:rsidR="009169E8" w:rsidRPr="001D5A74" w:rsidRDefault="009169E8" w:rsidP="001D5A74">
            <w:pPr>
              <w:pStyle w:val="Tabletext"/>
              <w:rPr>
                <w:b/>
              </w:rPr>
            </w:pPr>
            <w:r w:rsidRPr="001D5A74">
              <w:rPr>
                <w:b/>
              </w:rPr>
              <w:t>30</w:t>
            </w:r>
          </w:p>
        </w:tc>
        <w:tc>
          <w:tcPr>
            <w:cnfStyle w:val="000001000000" w:firstRow="0" w:lastRow="0" w:firstColumn="0" w:lastColumn="0" w:oddVBand="0" w:evenVBand="1" w:oddHBand="0" w:evenHBand="0" w:firstRowFirstColumn="0" w:firstRowLastColumn="0" w:lastRowFirstColumn="0" w:lastRowLastColumn="0"/>
            <w:tcW w:w="1701" w:type="dxa"/>
          </w:tcPr>
          <w:p w14:paraId="55931ADF" w14:textId="77777777" w:rsidR="009169E8" w:rsidRPr="001D5A74" w:rsidRDefault="009169E8" w:rsidP="001D5A74">
            <w:pPr>
              <w:pStyle w:val="Tabletext"/>
              <w:rPr>
                <w:b/>
              </w:rPr>
            </w:pPr>
            <w:r w:rsidRPr="001D5A74">
              <w:rPr>
                <w:b/>
              </w:rPr>
              <w:t>44</w:t>
            </w:r>
          </w:p>
        </w:tc>
      </w:tr>
      <w:tr w:rsidR="009169E8" w14:paraId="17EF946B" w14:textId="77777777" w:rsidTr="00AD199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B8046F4" w14:textId="77777777" w:rsidR="009169E8" w:rsidRPr="001D5A74" w:rsidRDefault="009169E8" w:rsidP="001D5A74">
            <w:pPr>
              <w:pStyle w:val="Tabletext"/>
              <w:rPr>
                <w:b/>
              </w:rPr>
            </w:pPr>
            <w:r w:rsidRPr="001D5A74">
              <w:rPr>
                <w:b/>
              </w:rPr>
              <w:t>H. Medical condition of the patient</w:t>
            </w:r>
          </w:p>
        </w:tc>
        <w:tc>
          <w:tcPr>
            <w:cnfStyle w:val="000001000000" w:firstRow="0" w:lastRow="0" w:firstColumn="0" w:lastColumn="0" w:oddVBand="0" w:evenVBand="1" w:oddHBand="0" w:evenHBand="0" w:firstRowFirstColumn="0" w:firstRowLastColumn="0" w:lastRowFirstColumn="0" w:lastRowLastColumn="0"/>
            <w:tcW w:w="1701" w:type="dxa"/>
          </w:tcPr>
          <w:p w14:paraId="532EC333" w14:textId="77777777" w:rsidR="009169E8" w:rsidRPr="001D5A74" w:rsidRDefault="009169E8" w:rsidP="001D5A74">
            <w:pPr>
              <w:pStyle w:val="Tabletext"/>
              <w:rPr>
                <w:b/>
              </w:rPr>
            </w:pPr>
            <w:r w:rsidRPr="001D5A74">
              <w:rPr>
                <w:b/>
              </w:rPr>
              <w:t>14</w:t>
            </w:r>
          </w:p>
        </w:tc>
        <w:tc>
          <w:tcPr>
            <w:cnfStyle w:val="000010000000" w:firstRow="0" w:lastRow="0" w:firstColumn="0" w:lastColumn="0" w:oddVBand="1" w:evenVBand="0" w:oddHBand="0" w:evenHBand="0" w:firstRowFirstColumn="0" w:firstRowLastColumn="0" w:lastRowFirstColumn="0" w:lastRowLastColumn="0"/>
            <w:tcW w:w="1701" w:type="dxa"/>
          </w:tcPr>
          <w:p w14:paraId="44035D16" w14:textId="77777777" w:rsidR="009169E8" w:rsidRPr="001D5A74" w:rsidRDefault="009169E8" w:rsidP="001D5A74">
            <w:pPr>
              <w:pStyle w:val="Tabletext"/>
              <w:rPr>
                <w:b/>
              </w:rPr>
            </w:pPr>
            <w:r w:rsidRPr="001D5A74">
              <w:rPr>
                <w:b/>
              </w:rPr>
              <w:t>49</w:t>
            </w:r>
          </w:p>
        </w:tc>
        <w:tc>
          <w:tcPr>
            <w:cnfStyle w:val="000001000000" w:firstRow="0" w:lastRow="0" w:firstColumn="0" w:lastColumn="0" w:oddVBand="0" w:evenVBand="1" w:oddHBand="0" w:evenHBand="0" w:firstRowFirstColumn="0" w:firstRowLastColumn="0" w:lastRowFirstColumn="0" w:lastRowLastColumn="0"/>
            <w:tcW w:w="1701" w:type="dxa"/>
          </w:tcPr>
          <w:p w14:paraId="5016DB80" w14:textId="77777777" w:rsidR="009169E8" w:rsidRPr="001D5A74" w:rsidRDefault="009169E8" w:rsidP="001D5A74">
            <w:pPr>
              <w:pStyle w:val="Tabletext"/>
              <w:rPr>
                <w:b/>
              </w:rPr>
            </w:pPr>
            <w:r w:rsidRPr="001D5A74">
              <w:rPr>
                <w:b/>
              </w:rPr>
              <w:t>63</w:t>
            </w:r>
          </w:p>
        </w:tc>
      </w:tr>
    </w:tbl>
    <w:p w14:paraId="53DC7972" w14:textId="07356E99" w:rsidR="009169E8" w:rsidRDefault="009169E8" w:rsidP="00416979">
      <w:pPr>
        <w:pStyle w:val="DHHStablefigurenote"/>
        <w:ind w:left="227" w:hanging="227"/>
      </w:pPr>
      <w:r>
        <w:t>*</w:t>
      </w:r>
      <w:r>
        <w:tab/>
        <w:t>The total count is greater than the number of cases reviewed as more than one underlying factor may be identified for each event.</w:t>
      </w:r>
    </w:p>
    <w:p w14:paraId="4CB20E55" w14:textId="77777777" w:rsidR="009169E8" w:rsidRDefault="009169E8" w:rsidP="00BB165F">
      <w:pPr>
        <w:pStyle w:val="Heading3"/>
      </w:pPr>
      <w:r>
        <w:t>No correctable factor identified</w:t>
      </w:r>
    </w:p>
    <w:p w14:paraId="65DCC332" w14:textId="77777777" w:rsidR="009169E8" w:rsidRDefault="009169E8" w:rsidP="008E28A3">
      <w:pPr>
        <w:pStyle w:val="DHHSbody"/>
      </w:pPr>
      <w:r>
        <w:t xml:space="preserve">In 44 (40 per cent) of the 110 events classified as anaesthesia-related mortality or morbidity, no </w:t>
      </w:r>
      <w:r>
        <w:rPr>
          <w:spacing w:val="-2"/>
        </w:rPr>
        <w:t xml:space="preserve">correctable factor could be identified by the council </w:t>
      </w:r>
      <w:r>
        <w:t>(sub-category G). These events predominantly involved mortality cases (30 of the 44 events).</w:t>
      </w:r>
    </w:p>
    <w:p w14:paraId="613939B7" w14:textId="77777777" w:rsidR="009169E8" w:rsidRDefault="009169E8" w:rsidP="008E28A3">
      <w:pPr>
        <w:pStyle w:val="DHHSbody"/>
      </w:pPr>
      <w:r>
        <w:t>In 31 (70.5 per cent) of these 44 cases, the medical condition of the patient (sub-category H) was also identified as a significant factor.</w:t>
      </w:r>
    </w:p>
    <w:p w14:paraId="6B68188A" w14:textId="27E085FA" w:rsidR="009169E8" w:rsidRDefault="009169E8" w:rsidP="008E28A3">
      <w:pPr>
        <w:pStyle w:val="DHHSbody"/>
      </w:pPr>
      <w:r>
        <w:t>This finding is a reminder that, despite enormous advances in safety, anaesthesia and surgery are still associated with some risk, particularly in patients with complex medical problems.</w:t>
      </w:r>
    </w:p>
    <w:p w14:paraId="13825807" w14:textId="6B80899B" w:rsidR="009169E8" w:rsidRDefault="009169E8" w:rsidP="00BB165F">
      <w:pPr>
        <w:pStyle w:val="Heading3"/>
      </w:pPr>
      <w:r>
        <w:t>Medical condition of the patient</w:t>
      </w:r>
    </w:p>
    <w:p w14:paraId="0A77BB9E" w14:textId="77777777" w:rsidR="009169E8" w:rsidRDefault="009169E8" w:rsidP="008E28A3">
      <w:pPr>
        <w:pStyle w:val="DHHSbody"/>
      </w:pPr>
      <w:r>
        <w:t>In 63 (57.3 per cent) of the 110 events classified as anaesthesia-related mortality or morbidity, the medical condition of the patient was identified as a significant contributing factor (sub-category H) (Table 3).</w:t>
      </w:r>
    </w:p>
    <w:p w14:paraId="2E656348" w14:textId="77777777" w:rsidR="009169E8" w:rsidRDefault="009169E8" w:rsidP="008E28A3">
      <w:pPr>
        <w:pStyle w:val="DHHSbody"/>
      </w:pPr>
      <w:r>
        <w:t>This is important because in these cases the mortality or morbidity outcome was not deemed inevitable (category 5) or fortuitous (category 6). These cases highlight the potential opportunities offered by a multidisciplinary approach to managing and optimising the medical condition of patients across the perioperative period.</w:t>
      </w:r>
    </w:p>
    <w:p w14:paraId="029E948E" w14:textId="77777777" w:rsidR="009169E8" w:rsidRDefault="009169E8" w:rsidP="00B8026E">
      <w:pPr>
        <w:pStyle w:val="Tablechartdiagramheading"/>
      </w:pPr>
      <w:r>
        <w:lastRenderedPageBreak/>
        <w:t>Table 4: Contributing factors identified in category 1–3 cases in order of frequency</w:t>
      </w:r>
    </w:p>
    <w:tbl>
      <w:tblPr>
        <w:tblStyle w:val="PlainTable2"/>
        <w:tblW w:w="0" w:type="auto"/>
        <w:tblLayout w:type="fixed"/>
        <w:tblLook w:val="0020" w:firstRow="1" w:lastRow="0" w:firstColumn="0" w:lastColumn="0" w:noHBand="0" w:noVBand="0"/>
      </w:tblPr>
      <w:tblGrid>
        <w:gridCol w:w="5499"/>
        <w:gridCol w:w="2268"/>
        <w:gridCol w:w="1219"/>
        <w:gridCol w:w="1219"/>
      </w:tblGrid>
      <w:tr w:rsidR="009169E8" w14:paraId="486D398F" w14:textId="77777777" w:rsidTr="0009763F">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5499" w:type="dxa"/>
          </w:tcPr>
          <w:p w14:paraId="18B5C56F" w14:textId="77777777" w:rsidR="009169E8" w:rsidRPr="00EA7502" w:rsidRDefault="009169E8" w:rsidP="00A90D07">
            <w:pPr>
              <w:pStyle w:val="Tableheader"/>
              <w:rPr>
                <w:b/>
              </w:rPr>
            </w:pPr>
            <w:r w:rsidRPr="00EA7502">
              <w:rPr>
                <w:b/>
              </w:rPr>
              <w:t>Factor identified</w:t>
            </w:r>
          </w:p>
        </w:tc>
        <w:tc>
          <w:tcPr>
            <w:cnfStyle w:val="000001000000" w:firstRow="0" w:lastRow="0" w:firstColumn="0" w:lastColumn="0" w:oddVBand="0" w:evenVBand="1" w:oddHBand="0" w:evenHBand="0" w:firstRowFirstColumn="0" w:firstRowLastColumn="0" w:lastRowFirstColumn="0" w:lastRowLastColumn="0"/>
            <w:tcW w:w="2268" w:type="dxa"/>
          </w:tcPr>
          <w:p w14:paraId="1063EF7F" w14:textId="360D8D98" w:rsidR="009169E8" w:rsidRPr="00EA7502" w:rsidRDefault="009169E8" w:rsidP="00A90D07">
            <w:pPr>
              <w:pStyle w:val="Tableheader"/>
              <w:rPr>
                <w:b/>
              </w:rPr>
            </w:pPr>
            <w:r w:rsidRPr="00EA7502">
              <w:rPr>
                <w:b/>
              </w:rPr>
              <w:t>Number of cases (number deemed probably or definitely preventable**)</w:t>
            </w:r>
          </w:p>
        </w:tc>
        <w:tc>
          <w:tcPr>
            <w:cnfStyle w:val="000010000000" w:firstRow="0" w:lastRow="0" w:firstColumn="0" w:lastColumn="0" w:oddVBand="1" w:evenVBand="0" w:oddHBand="0" w:evenHBand="0" w:firstRowFirstColumn="0" w:firstRowLastColumn="0" w:lastRowFirstColumn="0" w:lastRowLastColumn="0"/>
            <w:tcW w:w="1219" w:type="dxa"/>
          </w:tcPr>
          <w:p w14:paraId="64E7A025" w14:textId="77777777" w:rsidR="009169E8" w:rsidRPr="00EA7502" w:rsidRDefault="009169E8" w:rsidP="00A90D07">
            <w:pPr>
              <w:pStyle w:val="Tableheader"/>
              <w:rPr>
                <w:b/>
              </w:rPr>
            </w:pPr>
            <w:r w:rsidRPr="00EA7502">
              <w:rPr>
                <w:b/>
              </w:rPr>
              <w:t>Morbidity</w:t>
            </w:r>
          </w:p>
        </w:tc>
        <w:tc>
          <w:tcPr>
            <w:cnfStyle w:val="000001000000" w:firstRow="0" w:lastRow="0" w:firstColumn="0" w:lastColumn="0" w:oddVBand="0" w:evenVBand="1" w:oddHBand="0" w:evenHBand="0" w:firstRowFirstColumn="0" w:firstRowLastColumn="0" w:lastRowFirstColumn="0" w:lastRowLastColumn="0"/>
            <w:tcW w:w="1219" w:type="dxa"/>
          </w:tcPr>
          <w:p w14:paraId="24F79072" w14:textId="77777777" w:rsidR="009169E8" w:rsidRPr="00EA7502" w:rsidRDefault="009169E8" w:rsidP="00A90D07">
            <w:pPr>
              <w:pStyle w:val="Tableheader"/>
              <w:rPr>
                <w:b/>
              </w:rPr>
            </w:pPr>
            <w:r w:rsidRPr="00EA7502">
              <w:rPr>
                <w:b/>
              </w:rPr>
              <w:t>Mortality</w:t>
            </w:r>
          </w:p>
        </w:tc>
      </w:tr>
      <w:tr w:rsidR="009169E8" w14:paraId="25C5634B" w14:textId="77777777" w:rsidTr="0009763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499" w:type="dxa"/>
          </w:tcPr>
          <w:p w14:paraId="2145FC1E" w14:textId="77777777" w:rsidR="009169E8" w:rsidRPr="00416979" w:rsidRDefault="009169E8" w:rsidP="00416979">
            <w:pPr>
              <w:pStyle w:val="Tabletext"/>
            </w:pPr>
            <w:proofErr w:type="spellStart"/>
            <w:r w:rsidRPr="00416979">
              <w:t>Ciii</w:t>
            </w:r>
            <w:proofErr w:type="spellEnd"/>
            <w:r w:rsidRPr="00416979">
              <w:t xml:space="preserve"> Adverse drug reaction</w:t>
            </w:r>
          </w:p>
        </w:tc>
        <w:tc>
          <w:tcPr>
            <w:cnfStyle w:val="000001000000" w:firstRow="0" w:lastRow="0" w:firstColumn="0" w:lastColumn="0" w:oddVBand="0" w:evenVBand="1" w:oddHBand="0" w:evenHBand="0" w:firstRowFirstColumn="0" w:firstRowLastColumn="0" w:lastRowFirstColumn="0" w:lastRowLastColumn="0"/>
            <w:tcW w:w="2268" w:type="dxa"/>
          </w:tcPr>
          <w:p w14:paraId="14E5C439" w14:textId="77777777" w:rsidR="009169E8" w:rsidRPr="00416979" w:rsidRDefault="009169E8" w:rsidP="00416979">
            <w:pPr>
              <w:pStyle w:val="Tabletext"/>
            </w:pPr>
            <w:r w:rsidRPr="00416979">
              <w:t>24 (1)</w:t>
            </w:r>
          </w:p>
        </w:tc>
        <w:tc>
          <w:tcPr>
            <w:cnfStyle w:val="000010000000" w:firstRow="0" w:lastRow="0" w:firstColumn="0" w:lastColumn="0" w:oddVBand="1" w:evenVBand="0" w:oddHBand="0" w:evenHBand="0" w:firstRowFirstColumn="0" w:firstRowLastColumn="0" w:lastRowFirstColumn="0" w:lastRowLastColumn="0"/>
            <w:tcW w:w="1219" w:type="dxa"/>
          </w:tcPr>
          <w:p w14:paraId="4DA57075" w14:textId="77777777" w:rsidR="009169E8" w:rsidRPr="00416979" w:rsidRDefault="009169E8" w:rsidP="00416979">
            <w:pPr>
              <w:pStyle w:val="Tabletext"/>
            </w:pPr>
            <w:r w:rsidRPr="00416979">
              <w:t>17</w:t>
            </w:r>
          </w:p>
        </w:tc>
        <w:tc>
          <w:tcPr>
            <w:cnfStyle w:val="000001000000" w:firstRow="0" w:lastRow="0" w:firstColumn="0" w:lastColumn="0" w:oddVBand="0" w:evenVBand="1" w:oddHBand="0" w:evenHBand="0" w:firstRowFirstColumn="0" w:firstRowLastColumn="0" w:lastRowFirstColumn="0" w:lastRowLastColumn="0"/>
            <w:tcW w:w="1219" w:type="dxa"/>
          </w:tcPr>
          <w:p w14:paraId="5ED829B8" w14:textId="77777777" w:rsidR="009169E8" w:rsidRPr="00416979" w:rsidRDefault="009169E8" w:rsidP="00416979">
            <w:pPr>
              <w:pStyle w:val="Tabletext"/>
            </w:pPr>
            <w:r w:rsidRPr="00416979">
              <w:t>7</w:t>
            </w:r>
          </w:p>
        </w:tc>
      </w:tr>
      <w:tr w:rsidR="009169E8" w14:paraId="26D68308" w14:textId="77777777" w:rsidTr="0009763F">
        <w:trPr>
          <w:trHeight w:val="113"/>
        </w:trPr>
        <w:tc>
          <w:tcPr>
            <w:cnfStyle w:val="000010000000" w:firstRow="0" w:lastRow="0" w:firstColumn="0" w:lastColumn="0" w:oddVBand="1" w:evenVBand="0" w:oddHBand="0" w:evenHBand="0" w:firstRowFirstColumn="0" w:firstRowLastColumn="0" w:lastRowFirstColumn="0" w:lastRowLastColumn="0"/>
            <w:tcW w:w="5499" w:type="dxa"/>
          </w:tcPr>
          <w:p w14:paraId="207EF9DB" w14:textId="77777777" w:rsidR="009169E8" w:rsidRPr="00416979" w:rsidRDefault="009169E8" w:rsidP="00416979">
            <w:pPr>
              <w:pStyle w:val="Tabletext"/>
            </w:pPr>
            <w:r w:rsidRPr="00416979">
              <w:t>Bi Anaesthesia technique – choice or application</w:t>
            </w:r>
          </w:p>
        </w:tc>
        <w:tc>
          <w:tcPr>
            <w:cnfStyle w:val="000001000000" w:firstRow="0" w:lastRow="0" w:firstColumn="0" w:lastColumn="0" w:oddVBand="0" w:evenVBand="1" w:oddHBand="0" w:evenHBand="0" w:firstRowFirstColumn="0" w:firstRowLastColumn="0" w:lastRowFirstColumn="0" w:lastRowLastColumn="0"/>
            <w:tcW w:w="2268" w:type="dxa"/>
          </w:tcPr>
          <w:p w14:paraId="42441695" w14:textId="77777777" w:rsidR="009169E8" w:rsidRPr="00416979" w:rsidRDefault="009169E8" w:rsidP="00416979">
            <w:pPr>
              <w:pStyle w:val="Tabletext"/>
            </w:pPr>
            <w:r w:rsidRPr="00416979">
              <w:t>13 (12)</w:t>
            </w:r>
          </w:p>
        </w:tc>
        <w:tc>
          <w:tcPr>
            <w:cnfStyle w:val="000010000000" w:firstRow="0" w:lastRow="0" w:firstColumn="0" w:lastColumn="0" w:oddVBand="1" w:evenVBand="0" w:oddHBand="0" w:evenHBand="0" w:firstRowFirstColumn="0" w:firstRowLastColumn="0" w:lastRowFirstColumn="0" w:lastRowLastColumn="0"/>
            <w:tcW w:w="1219" w:type="dxa"/>
          </w:tcPr>
          <w:p w14:paraId="49232BAB" w14:textId="77777777" w:rsidR="009169E8" w:rsidRPr="00416979" w:rsidRDefault="009169E8" w:rsidP="00416979">
            <w:pPr>
              <w:pStyle w:val="Tabletext"/>
            </w:pPr>
            <w:r w:rsidRPr="00416979">
              <w:t>12</w:t>
            </w:r>
          </w:p>
        </w:tc>
        <w:tc>
          <w:tcPr>
            <w:cnfStyle w:val="000001000000" w:firstRow="0" w:lastRow="0" w:firstColumn="0" w:lastColumn="0" w:oddVBand="0" w:evenVBand="1" w:oddHBand="0" w:evenHBand="0" w:firstRowFirstColumn="0" w:firstRowLastColumn="0" w:lastRowFirstColumn="0" w:lastRowLastColumn="0"/>
            <w:tcW w:w="1219" w:type="dxa"/>
          </w:tcPr>
          <w:p w14:paraId="654F1B48" w14:textId="77777777" w:rsidR="009169E8" w:rsidRPr="00416979" w:rsidRDefault="009169E8" w:rsidP="00416979">
            <w:pPr>
              <w:pStyle w:val="Tabletext"/>
            </w:pPr>
            <w:r w:rsidRPr="00416979">
              <w:t>1</w:t>
            </w:r>
          </w:p>
        </w:tc>
      </w:tr>
      <w:tr w:rsidR="009169E8" w14:paraId="3C259D0F" w14:textId="77777777" w:rsidTr="0009763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499" w:type="dxa"/>
          </w:tcPr>
          <w:p w14:paraId="0E6D96A3" w14:textId="77777777" w:rsidR="009169E8" w:rsidRPr="00416979" w:rsidRDefault="009169E8" w:rsidP="00416979">
            <w:pPr>
              <w:pStyle w:val="Tabletext"/>
            </w:pPr>
            <w:proofErr w:type="spellStart"/>
            <w:r w:rsidRPr="00416979">
              <w:t>Bii</w:t>
            </w:r>
            <w:proofErr w:type="spellEnd"/>
            <w:r w:rsidRPr="00416979">
              <w:t xml:space="preserve"> Airway maintenance (including pulmonary aspiration) </w:t>
            </w:r>
          </w:p>
        </w:tc>
        <w:tc>
          <w:tcPr>
            <w:cnfStyle w:val="000001000000" w:firstRow="0" w:lastRow="0" w:firstColumn="0" w:lastColumn="0" w:oddVBand="0" w:evenVBand="1" w:oddHBand="0" w:evenHBand="0" w:firstRowFirstColumn="0" w:firstRowLastColumn="0" w:lastRowFirstColumn="0" w:lastRowLastColumn="0"/>
            <w:tcW w:w="2268" w:type="dxa"/>
          </w:tcPr>
          <w:p w14:paraId="1D389EB1" w14:textId="77777777" w:rsidR="009169E8" w:rsidRPr="00416979" w:rsidRDefault="009169E8" w:rsidP="00416979">
            <w:pPr>
              <w:pStyle w:val="Tabletext"/>
            </w:pPr>
            <w:r w:rsidRPr="00416979">
              <w:t>12 (8)</w:t>
            </w:r>
          </w:p>
        </w:tc>
        <w:tc>
          <w:tcPr>
            <w:cnfStyle w:val="000010000000" w:firstRow="0" w:lastRow="0" w:firstColumn="0" w:lastColumn="0" w:oddVBand="1" w:evenVBand="0" w:oddHBand="0" w:evenHBand="0" w:firstRowFirstColumn="0" w:firstRowLastColumn="0" w:lastRowFirstColumn="0" w:lastRowLastColumn="0"/>
            <w:tcW w:w="1219" w:type="dxa"/>
          </w:tcPr>
          <w:p w14:paraId="202CBDFA" w14:textId="77777777" w:rsidR="009169E8" w:rsidRPr="00416979" w:rsidRDefault="009169E8" w:rsidP="00416979">
            <w:pPr>
              <w:pStyle w:val="Tabletext"/>
            </w:pPr>
            <w:r w:rsidRPr="00416979">
              <w:t>7</w:t>
            </w:r>
          </w:p>
        </w:tc>
        <w:tc>
          <w:tcPr>
            <w:cnfStyle w:val="000001000000" w:firstRow="0" w:lastRow="0" w:firstColumn="0" w:lastColumn="0" w:oddVBand="0" w:evenVBand="1" w:oddHBand="0" w:evenHBand="0" w:firstRowFirstColumn="0" w:firstRowLastColumn="0" w:lastRowFirstColumn="0" w:lastRowLastColumn="0"/>
            <w:tcW w:w="1219" w:type="dxa"/>
          </w:tcPr>
          <w:p w14:paraId="6F80D2D8" w14:textId="77777777" w:rsidR="009169E8" w:rsidRPr="00416979" w:rsidRDefault="009169E8" w:rsidP="00416979">
            <w:pPr>
              <w:pStyle w:val="Tabletext"/>
            </w:pPr>
            <w:r w:rsidRPr="00416979">
              <w:t>5</w:t>
            </w:r>
          </w:p>
        </w:tc>
      </w:tr>
      <w:tr w:rsidR="009169E8" w14:paraId="2F14E9BE" w14:textId="77777777" w:rsidTr="0009763F">
        <w:trPr>
          <w:trHeight w:val="113"/>
        </w:trPr>
        <w:tc>
          <w:tcPr>
            <w:cnfStyle w:val="000010000000" w:firstRow="0" w:lastRow="0" w:firstColumn="0" w:lastColumn="0" w:oddVBand="1" w:evenVBand="0" w:oddHBand="0" w:evenHBand="0" w:firstRowFirstColumn="0" w:firstRowLastColumn="0" w:lastRowFirstColumn="0" w:lastRowLastColumn="0"/>
            <w:tcW w:w="5499" w:type="dxa"/>
          </w:tcPr>
          <w:p w14:paraId="0A071435" w14:textId="77777777" w:rsidR="009169E8" w:rsidRPr="00416979" w:rsidRDefault="009169E8" w:rsidP="00416979">
            <w:pPr>
              <w:pStyle w:val="Tabletext"/>
            </w:pPr>
            <w:proofErr w:type="spellStart"/>
            <w:r w:rsidRPr="00416979">
              <w:t>Fiii</w:t>
            </w:r>
            <w:proofErr w:type="spellEnd"/>
            <w:r w:rsidRPr="00416979">
              <w:t xml:space="preserve"> Failure of interdisciplinary planning</w:t>
            </w:r>
          </w:p>
        </w:tc>
        <w:tc>
          <w:tcPr>
            <w:cnfStyle w:val="000001000000" w:firstRow="0" w:lastRow="0" w:firstColumn="0" w:lastColumn="0" w:oddVBand="0" w:evenVBand="1" w:oddHBand="0" w:evenHBand="0" w:firstRowFirstColumn="0" w:firstRowLastColumn="0" w:lastRowFirstColumn="0" w:lastRowLastColumn="0"/>
            <w:tcW w:w="2268" w:type="dxa"/>
          </w:tcPr>
          <w:p w14:paraId="4C9EDADE" w14:textId="77777777" w:rsidR="009169E8" w:rsidRPr="00416979" w:rsidRDefault="009169E8" w:rsidP="00416979">
            <w:pPr>
              <w:pStyle w:val="Tabletext"/>
            </w:pPr>
            <w:r w:rsidRPr="00416979">
              <w:t>10 (8)</w:t>
            </w:r>
          </w:p>
        </w:tc>
        <w:tc>
          <w:tcPr>
            <w:cnfStyle w:val="000010000000" w:firstRow="0" w:lastRow="0" w:firstColumn="0" w:lastColumn="0" w:oddVBand="1" w:evenVBand="0" w:oddHBand="0" w:evenHBand="0" w:firstRowFirstColumn="0" w:firstRowLastColumn="0" w:lastRowFirstColumn="0" w:lastRowLastColumn="0"/>
            <w:tcW w:w="1219" w:type="dxa"/>
          </w:tcPr>
          <w:p w14:paraId="053F5789" w14:textId="77777777" w:rsidR="009169E8" w:rsidRPr="00416979" w:rsidRDefault="009169E8" w:rsidP="00416979">
            <w:pPr>
              <w:pStyle w:val="Tabletext"/>
            </w:pPr>
            <w:r w:rsidRPr="00416979">
              <w:t>7</w:t>
            </w:r>
          </w:p>
        </w:tc>
        <w:tc>
          <w:tcPr>
            <w:cnfStyle w:val="000001000000" w:firstRow="0" w:lastRow="0" w:firstColumn="0" w:lastColumn="0" w:oddVBand="0" w:evenVBand="1" w:oddHBand="0" w:evenHBand="0" w:firstRowFirstColumn="0" w:firstRowLastColumn="0" w:lastRowFirstColumn="0" w:lastRowLastColumn="0"/>
            <w:tcW w:w="1219" w:type="dxa"/>
          </w:tcPr>
          <w:p w14:paraId="6A0DD0EC" w14:textId="77777777" w:rsidR="009169E8" w:rsidRPr="00416979" w:rsidRDefault="009169E8" w:rsidP="00416979">
            <w:pPr>
              <w:pStyle w:val="Tabletext"/>
            </w:pPr>
            <w:r w:rsidRPr="00416979">
              <w:t>3</w:t>
            </w:r>
          </w:p>
        </w:tc>
      </w:tr>
      <w:tr w:rsidR="009169E8" w14:paraId="2539D96F" w14:textId="77777777" w:rsidTr="0009763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499" w:type="dxa"/>
          </w:tcPr>
          <w:p w14:paraId="5057E91A" w14:textId="77777777" w:rsidR="009169E8" w:rsidRPr="00416979" w:rsidRDefault="009169E8" w:rsidP="00416979">
            <w:pPr>
              <w:pStyle w:val="Tabletext"/>
            </w:pPr>
            <w:proofErr w:type="spellStart"/>
            <w:r w:rsidRPr="00416979">
              <w:t>Cii</w:t>
            </w:r>
            <w:proofErr w:type="spellEnd"/>
            <w:r w:rsidRPr="00416979">
              <w:t xml:space="preserve"> Anaesthesia drugs – dosage</w:t>
            </w:r>
          </w:p>
        </w:tc>
        <w:tc>
          <w:tcPr>
            <w:cnfStyle w:val="000001000000" w:firstRow="0" w:lastRow="0" w:firstColumn="0" w:lastColumn="0" w:oddVBand="0" w:evenVBand="1" w:oddHBand="0" w:evenHBand="0" w:firstRowFirstColumn="0" w:firstRowLastColumn="0" w:lastRowFirstColumn="0" w:lastRowLastColumn="0"/>
            <w:tcW w:w="2268" w:type="dxa"/>
          </w:tcPr>
          <w:p w14:paraId="5796646F" w14:textId="77777777" w:rsidR="009169E8" w:rsidRPr="00416979" w:rsidRDefault="009169E8" w:rsidP="00416979">
            <w:pPr>
              <w:pStyle w:val="Tabletext"/>
            </w:pPr>
            <w:r w:rsidRPr="00416979">
              <w:t>8 (6)</w:t>
            </w:r>
          </w:p>
        </w:tc>
        <w:tc>
          <w:tcPr>
            <w:cnfStyle w:val="000010000000" w:firstRow="0" w:lastRow="0" w:firstColumn="0" w:lastColumn="0" w:oddVBand="1" w:evenVBand="0" w:oddHBand="0" w:evenHBand="0" w:firstRowFirstColumn="0" w:firstRowLastColumn="0" w:lastRowFirstColumn="0" w:lastRowLastColumn="0"/>
            <w:tcW w:w="1219" w:type="dxa"/>
          </w:tcPr>
          <w:p w14:paraId="3F97D5EF" w14:textId="77777777" w:rsidR="009169E8" w:rsidRPr="00416979" w:rsidRDefault="009169E8" w:rsidP="00416979">
            <w:pPr>
              <w:pStyle w:val="Tabletext"/>
            </w:pPr>
            <w:r w:rsidRPr="00416979">
              <w:t>7</w:t>
            </w:r>
          </w:p>
        </w:tc>
        <w:tc>
          <w:tcPr>
            <w:cnfStyle w:val="000001000000" w:firstRow="0" w:lastRow="0" w:firstColumn="0" w:lastColumn="0" w:oddVBand="0" w:evenVBand="1" w:oddHBand="0" w:evenHBand="0" w:firstRowFirstColumn="0" w:firstRowLastColumn="0" w:lastRowFirstColumn="0" w:lastRowLastColumn="0"/>
            <w:tcW w:w="1219" w:type="dxa"/>
          </w:tcPr>
          <w:p w14:paraId="3EF702F9" w14:textId="77777777" w:rsidR="009169E8" w:rsidRPr="00416979" w:rsidRDefault="009169E8" w:rsidP="00416979">
            <w:pPr>
              <w:pStyle w:val="Tabletext"/>
            </w:pPr>
            <w:r w:rsidRPr="00416979">
              <w:t>1</w:t>
            </w:r>
          </w:p>
        </w:tc>
      </w:tr>
      <w:tr w:rsidR="009169E8" w14:paraId="4D5839EE" w14:textId="77777777" w:rsidTr="0009763F">
        <w:trPr>
          <w:trHeight w:val="113"/>
        </w:trPr>
        <w:tc>
          <w:tcPr>
            <w:cnfStyle w:val="000010000000" w:firstRow="0" w:lastRow="0" w:firstColumn="0" w:lastColumn="0" w:oddVBand="1" w:evenVBand="0" w:oddHBand="0" w:evenHBand="0" w:firstRowFirstColumn="0" w:firstRowLastColumn="0" w:lastRowFirstColumn="0" w:lastRowLastColumn="0"/>
            <w:tcW w:w="5499" w:type="dxa"/>
          </w:tcPr>
          <w:p w14:paraId="37573C09" w14:textId="77777777" w:rsidR="009169E8" w:rsidRPr="00416979" w:rsidRDefault="009169E8" w:rsidP="00416979">
            <w:pPr>
              <w:pStyle w:val="Tabletext"/>
            </w:pPr>
            <w:r w:rsidRPr="00416979">
              <w:t>Di Anaesthesia crisis management</w:t>
            </w:r>
          </w:p>
        </w:tc>
        <w:tc>
          <w:tcPr>
            <w:cnfStyle w:val="000001000000" w:firstRow="0" w:lastRow="0" w:firstColumn="0" w:lastColumn="0" w:oddVBand="0" w:evenVBand="1" w:oddHBand="0" w:evenHBand="0" w:firstRowFirstColumn="0" w:firstRowLastColumn="0" w:lastRowFirstColumn="0" w:lastRowLastColumn="0"/>
            <w:tcW w:w="2268" w:type="dxa"/>
          </w:tcPr>
          <w:p w14:paraId="28A6EE67" w14:textId="77777777" w:rsidR="009169E8" w:rsidRPr="00416979" w:rsidRDefault="009169E8" w:rsidP="00416979">
            <w:pPr>
              <w:pStyle w:val="Tabletext"/>
            </w:pPr>
            <w:r w:rsidRPr="00416979">
              <w:t>5 (3)</w:t>
            </w:r>
          </w:p>
        </w:tc>
        <w:tc>
          <w:tcPr>
            <w:cnfStyle w:val="000010000000" w:firstRow="0" w:lastRow="0" w:firstColumn="0" w:lastColumn="0" w:oddVBand="1" w:evenVBand="0" w:oddHBand="0" w:evenHBand="0" w:firstRowFirstColumn="0" w:firstRowLastColumn="0" w:lastRowFirstColumn="0" w:lastRowLastColumn="0"/>
            <w:tcW w:w="1219" w:type="dxa"/>
          </w:tcPr>
          <w:p w14:paraId="2714A3AF" w14:textId="77777777" w:rsidR="009169E8" w:rsidRPr="00416979" w:rsidRDefault="009169E8" w:rsidP="00416979">
            <w:pPr>
              <w:pStyle w:val="Tabletext"/>
            </w:pPr>
            <w:r w:rsidRPr="00416979">
              <w:t>2</w:t>
            </w:r>
          </w:p>
        </w:tc>
        <w:tc>
          <w:tcPr>
            <w:cnfStyle w:val="000001000000" w:firstRow="0" w:lastRow="0" w:firstColumn="0" w:lastColumn="0" w:oddVBand="0" w:evenVBand="1" w:oddHBand="0" w:evenHBand="0" w:firstRowFirstColumn="0" w:firstRowLastColumn="0" w:lastRowFirstColumn="0" w:lastRowLastColumn="0"/>
            <w:tcW w:w="1219" w:type="dxa"/>
          </w:tcPr>
          <w:p w14:paraId="5DD8483D" w14:textId="77777777" w:rsidR="009169E8" w:rsidRPr="00416979" w:rsidRDefault="009169E8" w:rsidP="00416979">
            <w:pPr>
              <w:pStyle w:val="Tabletext"/>
            </w:pPr>
            <w:r w:rsidRPr="00416979">
              <w:t>3</w:t>
            </w:r>
          </w:p>
        </w:tc>
      </w:tr>
      <w:tr w:rsidR="009169E8" w14:paraId="4220A831" w14:textId="77777777" w:rsidTr="0009763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499" w:type="dxa"/>
          </w:tcPr>
          <w:p w14:paraId="4CB33D45" w14:textId="77777777" w:rsidR="009169E8" w:rsidRPr="00416979" w:rsidRDefault="009169E8" w:rsidP="00416979">
            <w:pPr>
              <w:pStyle w:val="Tabletext"/>
            </w:pPr>
            <w:r w:rsidRPr="00416979">
              <w:t>Fi Organisational – inadequate supervision, experience or assistance</w:t>
            </w:r>
          </w:p>
        </w:tc>
        <w:tc>
          <w:tcPr>
            <w:cnfStyle w:val="000001000000" w:firstRow="0" w:lastRow="0" w:firstColumn="0" w:lastColumn="0" w:oddVBand="0" w:evenVBand="1" w:oddHBand="0" w:evenHBand="0" w:firstRowFirstColumn="0" w:firstRowLastColumn="0" w:lastRowFirstColumn="0" w:lastRowLastColumn="0"/>
            <w:tcW w:w="2268" w:type="dxa"/>
          </w:tcPr>
          <w:p w14:paraId="134269CB" w14:textId="77777777" w:rsidR="009169E8" w:rsidRPr="00416979" w:rsidRDefault="009169E8" w:rsidP="00416979">
            <w:pPr>
              <w:pStyle w:val="Tabletext"/>
            </w:pPr>
            <w:r w:rsidRPr="00416979">
              <w:t>4</w:t>
            </w:r>
          </w:p>
        </w:tc>
        <w:tc>
          <w:tcPr>
            <w:cnfStyle w:val="000010000000" w:firstRow="0" w:lastRow="0" w:firstColumn="0" w:lastColumn="0" w:oddVBand="1" w:evenVBand="0" w:oddHBand="0" w:evenHBand="0" w:firstRowFirstColumn="0" w:firstRowLastColumn="0" w:lastRowFirstColumn="0" w:lastRowLastColumn="0"/>
            <w:tcW w:w="1219" w:type="dxa"/>
          </w:tcPr>
          <w:p w14:paraId="75E14F88" w14:textId="77777777" w:rsidR="009169E8" w:rsidRPr="00416979" w:rsidRDefault="009169E8" w:rsidP="00416979">
            <w:pPr>
              <w:pStyle w:val="Tabletext"/>
            </w:pPr>
            <w:r w:rsidRPr="00416979">
              <w:t>3</w:t>
            </w:r>
          </w:p>
        </w:tc>
        <w:tc>
          <w:tcPr>
            <w:cnfStyle w:val="000001000000" w:firstRow="0" w:lastRow="0" w:firstColumn="0" w:lastColumn="0" w:oddVBand="0" w:evenVBand="1" w:oddHBand="0" w:evenHBand="0" w:firstRowFirstColumn="0" w:firstRowLastColumn="0" w:lastRowFirstColumn="0" w:lastRowLastColumn="0"/>
            <w:tcW w:w="1219" w:type="dxa"/>
          </w:tcPr>
          <w:p w14:paraId="5FB51CD9" w14:textId="77777777" w:rsidR="009169E8" w:rsidRPr="00416979" w:rsidRDefault="009169E8" w:rsidP="00416979">
            <w:pPr>
              <w:pStyle w:val="Tabletext"/>
            </w:pPr>
            <w:r w:rsidRPr="00416979">
              <w:t>1</w:t>
            </w:r>
          </w:p>
        </w:tc>
      </w:tr>
      <w:tr w:rsidR="009169E8" w14:paraId="43E4096B" w14:textId="77777777" w:rsidTr="0009763F">
        <w:trPr>
          <w:trHeight w:val="113"/>
        </w:trPr>
        <w:tc>
          <w:tcPr>
            <w:cnfStyle w:val="000010000000" w:firstRow="0" w:lastRow="0" w:firstColumn="0" w:lastColumn="0" w:oddVBand="1" w:evenVBand="0" w:oddHBand="0" w:evenHBand="0" w:firstRowFirstColumn="0" w:firstRowLastColumn="0" w:lastRowFirstColumn="0" w:lastRowLastColumn="0"/>
            <w:tcW w:w="5499" w:type="dxa"/>
          </w:tcPr>
          <w:p w14:paraId="79E14733" w14:textId="77777777" w:rsidR="009169E8" w:rsidRPr="00416979" w:rsidRDefault="009169E8" w:rsidP="00416979">
            <w:pPr>
              <w:pStyle w:val="Tabletext"/>
            </w:pPr>
            <w:r w:rsidRPr="00416979">
              <w:t>Ai Preoperative assessment</w:t>
            </w:r>
          </w:p>
        </w:tc>
        <w:tc>
          <w:tcPr>
            <w:cnfStyle w:val="000001000000" w:firstRow="0" w:lastRow="0" w:firstColumn="0" w:lastColumn="0" w:oddVBand="0" w:evenVBand="1" w:oddHBand="0" w:evenHBand="0" w:firstRowFirstColumn="0" w:firstRowLastColumn="0" w:lastRowFirstColumn="0" w:lastRowLastColumn="0"/>
            <w:tcW w:w="2268" w:type="dxa"/>
          </w:tcPr>
          <w:p w14:paraId="527562D7" w14:textId="77777777" w:rsidR="009169E8" w:rsidRPr="00416979" w:rsidRDefault="009169E8" w:rsidP="00416979">
            <w:pPr>
              <w:pStyle w:val="Tabletext"/>
            </w:pPr>
            <w:r w:rsidRPr="00416979">
              <w:t>3</w:t>
            </w:r>
          </w:p>
        </w:tc>
        <w:tc>
          <w:tcPr>
            <w:cnfStyle w:val="000010000000" w:firstRow="0" w:lastRow="0" w:firstColumn="0" w:lastColumn="0" w:oddVBand="1" w:evenVBand="0" w:oddHBand="0" w:evenHBand="0" w:firstRowFirstColumn="0" w:firstRowLastColumn="0" w:lastRowFirstColumn="0" w:lastRowLastColumn="0"/>
            <w:tcW w:w="1219" w:type="dxa"/>
          </w:tcPr>
          <w:p w14:paraId="7C5DC0EC" w14:textId="77777777" w:rsidR="009169E8" w:rsidRPr="00416979" w:rsidRDefault="009169E8" w:rsidP="00416979">
            <w:pPr>
              <w:pStyle w:val="Tabletext"/>
            </w:pPr>
            <w:r w:rsidRPr="00416979">
              <w:t>1</w:t>
            </w:r>
          </w:p>
        </w:tc>
        <w:tc>
          <w:tcPr>
            <w:cnfStyle w:val="000001000000" w:firstRow="0" w:lastRow="0" w:firstColumn="0" w:lastColumn="0" w:oddVBand="0" w:evenVBand="1" w:oddHBand="0" w:evenHBand="0" w:firstRowFirstColumn="0" w:firstRowLastColumn="0" w:lastRowFirstColumn="0" w:lastRowLastColumn="0"/>
            <w:tcW w:w="1219" w:type="dxa"/>
          </w:tcPr>
          <w:p w14:paraId="33BF1060" w14:textId="77777777" w:rsidR="009169E8" w:rsidRPr="00416979" w:rsidRDefault="009169E8" w:rsidP="00416979">
            <w:pPr>
              <w:pStyle w:val="Tabletext"/>
            </w:pPr>
            <w:r w:rsidRPr="00416979">
              <w:t>2</w:t>
            </w:r>
          </w:p>
        </w:tc>
      </w:tr>
      <w:tr w:rsidR="009169E8" w14:paraId="5AA09E8A" w14:textId="77777777" w:rsidTr="0009763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499" w:type="dxa"/>
          </w:tcPr>
          <w:p w14:paraId="1E4A1FD8" w14:textId="77777777" w:rsidR="009169E8" w:rsidRPr="00416979" w:rsidRDefault="009169E8" w:rsidP="00416979">
            <w:pPr>
              <w:pStyle w:val="Tabletext"/>
            </w:pPr>
            <w:proofErr w:type="spellStart"/>
            <w:r w:rsidRPr="00416979">
              <w:t>Biii</w:t>
            </w:r>
            <w:proofErr w:type="spellEnd"/>
            <w:r w:rsidRPr="00416979">
              <w:t xml:space="preserve"> Anaesthesia technique – ventilation</w:t>
            </w:r>
          </w:p>
        </w:tc>
        <w:tc>
          <w:tcPr>
            <w:cnfStyle w:val="000001000000" w:firstRow="0" w:lastRow="0" w:firstColumn="0" w:lastColumn="0" w:oddVBand="0" w:evenVBand="1" w:oddHBand="0" w:evenHBand="0" w:firstRowFirstColumn="0" w:firstRowLastColumn="0" w:lastRowFirstColumn="0" w:lastRowLastColumn="0"/>
            <w:tcW w:w="2268" w:type="dxa"/>
          </w:tcPr>
          <w:p w14:paraId="1CB4705F" w14:textId="77777777" w:rsidR="009169E8" w:rsidRPr="00416979" w:rsidRDefault="009169E8" w:rsidP="00416979">
            <w:pPr>
              <w:pStyle w:val="Tabletext"/>
            </w:pPr>
            <w:r w:rsidRPr="00416979">
              <w:t>3 (2)</w:t>
            </w:r>
          </w:p>
        </w:tc>
        <w:tc>
          <w:tcPr>
            <w:cnfStyle w:val="000010000000" w:firstRow="0" w:lastRow="0" w:firstColumn="0" w:lastColumn="0" w:oddVBand="1" w:evenVBand="0" w:oddHBand="0" w:evenHBand="0" w:firstRowFirstColumn="0" w:firstRowLastColumn="0" w:lastRowFirstColumn="0" w:lastRowLastColumn="0"/>
            <w:tcW w:w="1219" w:type="dxa"/>
          </w:tcPr>
          <w:p w14:paraId="5147AA40" w14:textId="77777777" w:rsidR="009169E8" w:rsidRPr="00416979" w:rsidRDefault="009169E8" w:rsidP="00416979">
            <w:pPr>
              <w:pStyle w:val="Tabletext"/>
            </w:pPr>
            <w:r w:rsidRPr="00416979">
              <w:t>3</w:t>
            </w:r>
          </w:p>
        </w:tc>
        <w:tc>
          <w:tcPr>
            <w:cnfStyle w:val="000001000000" w:firstRow="0" w:lastRow="0" w:firstColumn="0" w:lastColumn="0" w:oddVBand="0" w:evenVBand="1" w:oddHBand="0" w:evenHBand="0" w:firstRowFirstColumn="0" w:firstRowLastColumn="0" w:lastRowFirstColumn="0" w:lastRowLastColumn="0"/>
            <w:tcW w:w="1219" w:type="dxa"/>
          </w:tcPr>
          <w:p w14:paraId="455B4CDD" w14:textId="77777777" w:rsidR="009169E8" w:rsidRPr="00416979" w:rsidRDefault="009169E8" w:rsidP="00416979">
            <w:pPr>
              <w:pStyle w:val="Tabletext"/>
            </w:pPr>
            <w:r w:rsidRPr="00416979">
              <w:t>0</w:t>
            </w:r>
          </w:p>
        </w:tc>
      </w:tr>
      <w:tr w:rsidR="009169E8" w14:paraId="4E12EAC6" w14:textId="77777777" w:rsidTr="0009763F">
        <w:trPr>
          <w:trHeight w:val="113"/>
        </w:trPr>
        <w:tc>
          <w:tcPr>
            <w:cnfStyle w:val="000010000000" w:firstRow="0" w:lastRow="0" w:firstColumn="0" w:lastColumn="0" w:oddVBand="1" w:evenVBand="0" w:oddHBand="0" w:evenHBand="0" w:firstRowFirstColumn="0" w:firstRowLastColumn="0" w:lastRowFirstColumn="0" w:lastRowLastColumn="0"/>
            <w:tcW w:w="5499" w:type="dxa"/>
          </w:tcPr>
          <w:p w14:paraId="5EEEEF52" w14:textId="77777777" w:rsidR="009169E8" w:rsidRPr="00416979" w:rsidRDefault="009169E8" w:rsidP="00416979">
            <w:pPr>
              <w:pStyle w:val="Tabletext"/>
            </w:pPr>
            <w:proofErr w:type="spellStart"/>
            <w:r w:rsidRPr="00416979">
              <w:t>Dii</w:t>
            </w:r>
            <w:proofErr w:type="spellEnd"/>
            <w:r w:rsidRPr="00416979">
              <w:t xml:space="preserve"> Inadequate monitoring</w:t>
            </w:r>
          </w:p>
        </w:tc>
        <w:tc>
          <w:tcPr>
            <w:cnfStyle w:val="000001000000" w:firstRow="0" w:lastRow="0" w:firstColumn="0" w:lastColumn="0" w:oddVBand="0" w:evenVBand="1" w:oddHBand="0" w:evenHBand="0" w:firstRowFirstColumn="0" w:firstRowLastColumn="0" w:lastRowFirstColumn="0" w:lastRowLastColumn="0"/>
            <w:tcW w:w="2268" w:type="dxa"/>
          </w:tcPr>
          <w:p w14:paraId="0F5FF8CE" w14:textId="77777777" w:rsidR="009169E8" w:rsidRPr="00416979" w:rsidRDefault="009169E8" w:rsidP="00416979">
            <w:pPr>
              <w:pStyle w:val="Tabletext"/>
            </w:pPr>
            <w:r w:rsidRPr="00416979">
              <w:t>3 (1)</w:t>
            </w:r>
          </w:p>
        </w:tc>
        <w:tc>
          <w:tcPr>
            <w:cnfStyle w:val="000010000000" w:firstRow="0" w:lastRow="0" w:firstColumn="0" w:lastColumn="0" w:oddVBand="1" w:evenVBand="0" w:oddHBand="0" w:evenHBand="0" w:firstRowFirstColumn="0" w:firstRowLastColumn="0" w:lastRowFirstColumn="0" w:lastRowLastColumn="0"/>
            <w:tcW w:w="1219" w:type="dxa"/>
          </w:tcPr>
          <w:p w14:paraId="6FD8AC68" w14:textId="77777777" w:rsidR="009169E8" w:rsidRPr="00416979" w:rsidRDefault="009169E8" w:rsidP="00416979">
            <w:pPr>
              <w:pStyle w:val="Tabletext"/>
            </w:pPr>
            <w:r w:rsidRPr="00416979">
              <w:t>1</w:t>
            </w:r>
          </w:p>
        </w:tc>
        <w:tc>
          <w:tcPr>
            <w:cnfStyle w:val="000001000000" w:firstRow="0" w:lastRow="0" w:firstColumn="0" w:lastColumn="0" w:oddVBand="0" w:evenVBand="1" w:oddHBand="0" w:evenHBand="0" w:firstRowFirstColumn="0" w:firstRowLastColumn="0" w:lastRowFirstColumn="0" w:lastRowLastColumn="0"/>
            <w:tcW w:w="1219" w:type="dxa"/>
          </w:tcPr>
          <w:p w14:paraId="665B0D1C" w14:textId="77777777" w:rsidR="009169E8" w:rsidRPr="00416979" w:rsidRDefault="009169E8" w:rsidP="00416979">
            <w:pPr>
              <w:pStyle w:val="Tabletext"/>
            </w:pPr>
            <w:r w:rsidRPr="00416979">
              <w:t>2</w:t>
            </w:r>
          </w:p>
        </w:tc>
      </w:tr>
      <w:tr w:rsidR="009169E8" w14:paraId="21C845A1" w14:textId="77777777" w:rsidTr="0009763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499" w:type="dxa"/>
          </w:tcPr>
          <w:p w14:paraId="46C59495" w14:textId="77777777" w:rsidR="009169E8" w:rsidRPr="00416979" w:rsidRDefault="009169E8" w:rsidP="00416979">
            <w:pPr>
              <w:pStyle w:val="Tabletext"/>
            </w:pPr>
            <w:proofErr w:type="spellStart"/>
            <w:r w:rsidRPr="00416979">
              <w:t>Ei</w:t>
            </w:r>
            <w:proofErr w:type="spellEnd"/>
            <w:r w:rsidRPr="00416979">
              <w:t xml:space="preserve"> Postoperative management</w:t>
            </w:r>
          </w:p>
        </w:tc>
        <w:tc>
          <w:tcPr>
            <w:cnfStyle w:val="000001000000" w:firstRow="0" w:lastRow="0" w:firstColumn="0" w:lastColumn="0" w:oddVBand="0" w:evenVBand="1" w:oddHBand="0" w:evenHBand="0" w:firstRowFirstColumn="0" w:firstRowLastColumn="0" w:lastRowFirstColumn="0" w:lastRowLastColumn="0"/>
            <w:tcW w:w="2268" w:type="dxa"/>
          </w:tcPr>
          <w:p w14:paraId="24E1EC20" w14:textId="77777777" w:rsidR="009169E8" w:rsidRPr="00416979" w:rsidRDefault="009169E8" w:rsidP="00416979">
            <w:pPr>
              <w:pStyle w:val="Tabletext"/>
            </w:pPr>
            <w:r w:rsidRPr="00416979">
              <w:t>3</w:t>
            </w:r>
          </w:p>
        </w:tc>
        <w:tc>
          <w:tcPr>
            <w:cnfStyle w:val="000010000000" w:firstRow="0" w:lastRow="0" w:firstColumn="0" w:lastColumn="0" w:oddVBand="1" w:evenVBand="0" w:oddHBand="0" w:evenHBand="0" w:firstRowFirstColumn="0" w:firstRowLastColumn="0" w:lastRowFirstColumn="0" w:lastRowLastColumn="0"/>
            <w:tcW w:w="1219" w:type="dxa"/>
          </w:tcPr>
          <w:p w14:paraId="0A2C52DB" w14:textId="77777777" w:rsidR="009169E8" w:rsidRPr="00416979" w:rsidRDefault="009169E8" w:rsidP="00416979">
            <w:pPr>
              <w:pStyle w:val="Tabletext"/>
            </w:pPr>
            <w:r w:rsidRPr="00416979">
              <w:t>3</w:t>
            </w:r>
          </w:p>
        </w:tc>
        <w:tc>
          <w:tcPr>
            <w:cnfStyle w:val="000001000000" w:firstRow="0" w:lastRow="0" w:firstColumn="0" w:lastColumn="0" w:oddVBand="0" w:evenVBand="1" w:oddHBand="0" w:evenHBand="0" w:firstRowFirstColumn="0" w:firstRowLastColumn="0" w:lastRowFirstColumn="0" w:lastRowLastColumn="0"/>
            <w:tcW w:w="1219" w:type="dxa"/>
          </w:tcPr>
          <w:p w14:paraId="61735D1E" w14:textId="77777777" w:rsidR="009169E8" w:rsidRPr="00416979" w:rsidRDefault="009169E8" w:rsidP="00416979">
            <w:pPr>
              <w:pStyle w:val="Tabletext"/>
            </w:pPr>
            <w:r w:rsidRPr="00416979">
              <w:t>0</w:t>
            </w:r>
          </w:p>
        </w:tc>
      </w:tr>
      <w:tr w:rsidR="009169E8" w14:paraId="7F372D29" w14:textId="77777777" w:rsidTr="0009763F">
        <w:trPr>
          <w:trHeight w:val="113"/>
        </w:trPr>
        <w:tc>
          <w:tcPr>
            <w:cnfStyle w:val="000010000000" w:firstRow="0" w:lastRow="0" w:firstColumn="0" w:lastColumn="0" w:oddVBand="1" w:evenVBand="0" w:oddHBand="0" w:evenHBand="0" w:firstRowFirstColumn="0" w:firstRowLastColumn="0" w:lastRowFirstColumn="0" w:lastRowLastColumn="0"/>
            <w:tcW w:w="5499" w:type="dxa"/>
          </w:tcPr>
          <w:p w14:paraId="1B240363" w14:textId="77777777" w:rsidR="009169E8" w:rsidRPr="00416979" w:rsidRDefault="009169E8" w:rsidP="00416979">
            <w:pPr>
              <w:pStyle w:val="Tabletext"/>
            </w:pPr>
            <w:proofErr w:type="spellStart"/>
            <w:r w:rsidRPr="00416979">
              <w:t>Eiii</w:t>
            </w:r>
            <w:proofErr w:type="spellEnd"/>
            <w:r w:rsidRPr="00416979">
              <w:t xml:space="preserve"> Postoperative – inadequate resuscitation</w:t>
            </w:r>
          </w:p>
        </w:tc>
        <w:tc>
          <w:tcPr>
            <w:cnfStyle w:val="000001000000" w:firstRow="0" w:lastRow="0" w:firstColumn="0" w:lastColumn="0" w:oddVBand="0" w:evenVBand="1" w:oddHBand="0" w:evenHBand="0" w:firstRowFirstColumn="0" w:firstRowLastColumn="0" w:lastRowFirstColumn="0" w:lastRowLastColumn="0"/>
            <w:tcW w:w="2268" w:type="dxa"/>
          </w:tcPr>
          <w:p w14:paraId="4FA2B4E5" w14:textId="77777777" w:rsidR="009169E8" w:rsidRPr="00416979" w:rsidRDefault="009169E8" w:rsidP="00416979">
            <w:pPr>
              <w:pStyle w:val="Tabletext"/>
            </w:pPr>
            <w:r w:rsidRPr="00416979">
              <w:t>3</w:t>
            </w:r>
          </w:p>
        </w:tc>
        <w:tc>
          <w:tcPr>
            <w:cnfStyle w:val="000010000000" w:firstRow="0" w:lastRow="0" w:firstColumn="0" w:lastColumn="0" w:oddVBand="1" w:evenVBand="0" w:oddHBand="0" w:evenHBand="0" w:firstRowFirstColumn="0" w:firstRowLastColumn="0" w:lastRowFirstColumn="0" w:lastRowLastColumn="0"/>
            <w:tcW w:w="1219" w:type="dxa"/>
          </w:tcPr>
          <w:p w14:paraId="30029D6B" w14:textId="77777777" w:rsidR="009169E8" w:rsidRPr="00416979" w:rsidRDefault="009169E8" w:rsidP="00416979">
            <w:pPr>
              <w:pStyle w:val="Tabletext"/>
            </w:pPr>
            <w:r w:rsidRPr="00416979">
              <w:t>1</w:t>
            </w:r>
          </w:p>
        </w:tc>
        <w:tc>
          <w:tcPr>
            <w:cnfStyle w:val="000001000000" w:firstRow="0" w:lastRow="0" w:firstColumn="0" w:lastColumn="0" w:oddVBand="0" w:evenVBand="1" w:oddHBand="0" w:evenHBand="0" w:firstRowFirstColumn="0" w:firstRowLastColumn="0" w:lastRowFirstColumn="0" w:lastRowLastColumn="0"/>
            <w:tcW w:w="1219" w:type="dxa"/>
          </w:tcPr>
          <w:p w14:paraId="6F5DDEBF" w14:textId="77777777" w:rsidR="009169E8" w:rsidRPr="00416979" w:rsidRDefault="009169E8" w:rsidP="00416979">
            <w:pPr>
              <w:pStyle w:val="Tabletext"/>
            </w:pPr>
            <w:r w:rsidRPr="00416979">
              <w:t>2</w:t>
            </w:r>
          </w:p>
        </w:tc>
      </w:tr>
      <w:tr w:rsidR="009169E8" w14:paraId="396D920A" w14:textId="77777777" w:rsidTr="0009763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499" w:type="dxa"/>
          </w:tcPr>
          <w:p w14:paraId="02CC6DC4" w14:textId="77777777" w:rsidR="009169E8" w:rsidRPr="00416979" w:rsidRDefault="009169E8" w:rsidP="00416979">
            <w:pPr>
              <w:pStyle w:val="Tabletext"/>
            </w:pPr>
            <w:proofErr w:type="spellStart"/>
            <w:r w:rsidRPr="00416979">
              <w:t>Eii</w:t>
            </w:r>
            <w:proofErr w:type="spellEnd"/>
            <w:r w:rsidRPr="00416979">
              <w:t xml:space="preserve"> Postoperative – supervision</w:t>
            </w:r>
          </w:p>
        </w:tc>
        <w:tc>
          <w:tcPr>
            <w:cnfStyle w:val="000001000000" w:firstRow="0" w:lastRow="0" w:firstColumn="0" w:lastColumn="0" w:oddVBand="0" w:evenVBand="1" w:oddHBand="0" w:evenHBand="0" w:firstRowFirstColumn="0" w:firstRowLastColumn="0" w:lastRowFirstColumn="0" w:lastRowLastColumn="0"/>
            <w:tcW w:w="2268" w:type="dxa"/>
          </w:tcPr>
          <w:p w14:paraId="779BB305" w14:textId="77777777" w:rsidR="009169E8" w:rsidRPr="00416979" w:rsidRDefault="009169E8" w:rsidP="00416979">
            <w:pPr>
              <w:pStyle w:val="Tabletext"/>
            </w:pPr>
            <w:r w:rsidRPr="00416979">
              <w:t>2</w:t>
            </w:r>
          </w:p>
        </w:tc>
        <w:tc>
          <w:tcPr>
            <w:cnfStyle w:val="000010000000" w:firstRow="0" w:lastRow="0" w:firstColumn="0" w:lastColumn="0" w:oddVBand="1" w:evenVBand="0" w:oddHBand="0" w:evenHBand="0" w:firstRowFirstColumn="0" w:firstRowLastColumn="0" w:lastRowFirstColumn="0" w:lastRowLastColumn="0"/>
            <w:tcW w:w="1219" w:type="dxa"/>
          </w:tcPr>
          <w:p w14:paraId="2B2FB736" w14:textId="77777777" w:rsidR="009169E8" w:rsidRPr="00416979" w:rsidRDefault="009169E8" w:rsidP="00416979">
            <w:pPr>
              <w:pStyle w:val="Tabletext"/>
            </w:pPr>
            <w:r w:rsidRPr="00416979">
              <w:t>2</w:t>
            </w:r>
          </w:p>
        </w:tc>
        <w:tc>
          <w:tcPr>
            <w:cnfStyle w:val="000001000000" w:firstRow="0" w:lastRow="0" w:firstColumn="0" w:lastColumn="0" w:oddVBand="0" w:evenVBand="1" w:oddHBand="0" w:evenHBand="0" w:firstRowFirstColumn="0" w:firstRowLastColumn="0" w:lastRowFirstColumn="0" w:lastRowLastColumn="0"/>
            <w:tcW w:w="1219" w:type="dxa"/>
          </w:tcPr>
          <w:p w14:paraId="60946EDA" w14:textId="77777777" w:rsidR="009169E8" w:rsidRPr="00416979" w:rsidRDefault="009169E8" w:rsidP="00416979">
            <w:pPr>
              <w:pStyle w:val="Tabletext"/>
            </w:pPr>
            <w:r w:rsidRPr="00416979">
              <w:t>0</w:t>
            </w:r>
          </w:p>
        </w:tc>
      </w:tr>
      <w:tr w:rsidR="009169E8" w14:paraId="29D4947C" w14:textId="77777777" w:rsidTr="0009763F">
        <w:trPr>
          <w:trHeight w:val="113"/>
        </w:trPr>
        <w:tc>
          <w:tcPr>
            <w:cnfStyle w:val="000010000000" w:firstRow="0" w:lastRow="0" w:firstColumn="0" w:lastColumn="0" w:oddVBand="1" w:evenVBand="0" w:oddHBand="0" w:evenHBand="0" w:firstRowFirstColumn="0" w:firstRowLastColumn="0" w:lastRowFirstColumn="0" w:lastRowLastColumn="0"/>
            <w:tcW w:w="5499" w:type="dxa"/>
          </w:tcPr>
          <w:p w14:paraId="3B88523D" w14:textId="77777777" w:rsidR="009169E8" w:rsidRPr="00416979" w:rsidRDefault="009169E8" w:rsidP="00416979">
            <w:pPr>
              <w:pStyle w:val="Tabletext"/>
            </w:pPr>
            <w:proofErr w:type="spellStart"/>
            <w:r w:rsidRPr="00416979">
              <w:t>Fii</w:t>
            </w:r>
            <w:proofErr w:type="spellEnd"/>
            <w:r w:rsidRPr="00416979">
              <w:t xml:space="preserve"> Poor organisation of the service</w:t>
            </w:r>
          </w:p>
        </w:tc>
        <w:tc>
          <w:tcPr>
            <w:cnfStyle w:val="000001000000" w:firstRow="0" w:lastRow="0" w:firstColumn="0" w:lastColumn="0" w:oddVBand="0" w:evenVBand="1" w:oddHBand="0" w:evenHBand="0" w:firstRowFirstColumn="0" w:firstRowLastColumn="0" w:lastRowFirstColumn="0" w:lastRowLastColumn="0"/>
            <w:tcW w:w="2268" w:type="dxa"/>
          </w:tcPr>
          <w:p w14:paraId="77C7C85F" w14:textId="77777777" w:rsidR="009169E8" w:rsidRPr="00416979" w:rsidRDefault="009169E8" w:rsidP="00416979">
            <w:pPr>
              <w:pStyle w:val="Tabletext"/>
            </w:pPr>
            <w:r w:rsidRPr="00416979">
              <w:t>2</w:t>
            </w:r>
          </w:p>
        </w:tc>
        <w:tc>
          <w:tcPr>
            <w:cnfStyle w:val="000010000000" w:firstRow="0" w:lastRow="0" w:firstColumn="0" w:lastColumn="0" w:oddVBand="1" w:evenVBand="0" w:oddHBand="0" w:evenHBand="0" w:firstRowFirstColumn="0" w:firstRowLastColumn="0" w:lastRowFirstColumn="0" w:lastRowLastColumn="0"/>
            <w:tcW w:w="1219" w:type="dxa"/>
          </w:tcPr>
          <w:p w14:paraId="465ED906" w14:textId="77777777" w:rsidR="009169E8" w:rsidRPr="00416979" w:rsidRDefault="009169E8" w:rsidP="00416979">
            <w:pPr>
              <w:pStyle w:val="Tabletext"/>
            </w:pPr>
            <w:r w:rsidRPr="00416979">
              <w:t>2</w:t>
            </w:r>
          </w:p>
        </w:tc>
        <w:tc>
          <w:tcPr>
            <w:cnfStyle w:val="000001000000" w:firstRow="0" w:lastRow="0" w:firstColumn="0" w:lastColumn="0" w:oddVBand="0" w:evenVBand="1" w:oddHBand="0" w:evenHBand="0" w:firstRowFirstColumn="0" w:firstRowLastColumn="0" w:lastRowFirstColumn="0" w:lastRowLastColumn="0"/>
            <w:tcW w:w="1219" w:type="dxa"/>
          </w:tcPr>
          <w:p w14:paraId="3FB8A667" w14:textId="77777777" w:rsidR="009169E8" w:rsidRPr="00416979" w:rsidRDefault="009169E8" w:rsidP="00416979">
            <w:pPr>
              <w:pStyle w:val="Tabletext"/>
            </w:pPr>
            <w:r w:rsidRPr="00416979">
              <w:t>0</w:t>
            </w:r>
          </w:p>
        </w:tc>
      </w:tr>
      <w:tr w:rsidR="009169E8" w14:paraId="5054C991" w14:textId="77777777" w:rsidTr="0009763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499" w:type="dxa"/>
          </w:tcPr>
          <w:p w14:paraId="5B51356F" w14:textId="77777777" w:rsidR="009169E8" w:rsidRPr="00416979" w:rsidRDefault="009169E8" w:rsidP="00416979">
            <w:pPr>
              <w:pStyle w:val="Tabletext"/>
            </w:pPr>
            <w:proofErr w:type="spellStart"/>
            <w:r w:rsidRPr="00416979">
              <w:t>Aii</w:t>
            </w:r>
            <w:proofErr w:type="spellEnd"/>
            <w:r w:rsidRPr="00416979">
              <w:t xml:space="preserve"> Preoperative management</w:t>
            </w:r>
          </w:p>
        </w:tc>
        <w:tc>
          <w:tcPr>
            <w:cnfStyle w:val="000001000000" w:firstRow="0" w:lastRow="0" w:firstColumn="0" w:lastColumn="0" w:oddVBand="0" w:evenVBand="1" w:oddHBand="0" w:evenHBand="0" w:firstRowFirstColumn="0" w:firstRowLastColumn="0" w:lastRowFirstColumn="0" w:lastRowLastColumn="0"/>
            <w:tcW w:w="2268" w:type="dxa"/>
          </w:tcPr>
          <w:p w14:paraId="557BBBBD" w14:textId="77777777" w:rsidR="009169E8" w:rsidRPr="00416979" w:rsidRDefault="009169E8" w:rsidP="00416979">
            <w:pPr>
              <w:pStyle w:val="Tabletext"/>
            </w:pPr>
            <w:r w:rsidRPr="00416979">
              <w:t>1</w:t>
            </w:r>
          </w:p>
        </w:tc>
        <w:tc>
          <w:tcPr>
            <w:cnfStyle w:val="000010000000" w:firstRow="0" w:lastRow="0" w:firstColumn="0" w:lastColumn="0" w:oddVBand="1" w:evenVBand="0" w:oddHBand="0" w:evenHBand="0" w:firstRowFirstColumn="0" w:firstRowLastColumn="0" w:lastRowFirstColumn="0" w:lastRowLastColumn="0"/>
            <w:tcW w:w="1219" w:type="dxa"/>
          </w:tcPr>
          <w:p w14:paraId="06DE2864" w14:textId="77777777" w:rsidR="009169E8" w:rsidRPr="00416979" w:rsidRDefault="009169E8" w:rsidP="00416979">
            <w:pPr>
              <w:pStyle w:val="Tabletext"/>
            </w:pPr>
            <w:r w:rsidRPr="00416979">
              <w:t>0</w:t>
            </w:r>
          </w:p>
        </w:tc>
        <w:tc>
          <w:tcPr>
            <w:cnfStyle w:val="000001000000" w:firstRow="0" w:lastRow="0" w:firstColumn="0" w:lastColumn="0" w:oddVBand="0" w:evenVBand="1" w:oddHBand="0" w:evenHBand="0" w:firstRowFirstColumn="0" w:firstRowLastColumn="0" w:lastRowFirstColumn="0" w:lastRowLastColumn="0"/>
            <w:tcW w:w="1219" w:type="dxa"/>
          </w:tcPr>
          <w:p w14:paraId="13C038EE" w14:textId="77777777" w:rsidR="009169E8" w:rsidRPr="00416979" w:rsidRDefault="009169E8" w:rsidP="00416979">
            <w:pPr>
              <w:pStyle w:val="Tabletext"/>
            </w:pPr>
            <w:r w:rsidRPr="00416979">
              <w:t>1</w:t>
            </w:r>
          </w:p>
        </w:tc>
      </w:tr>
      <w:tr w:rsidR="009169E8" w14:paraId="232D1DAF" w14:textId="77777777" w:rsidTr="0009763F">
        <w:trPr>
          <w:trHeight w:val="113"/>
        </w:trPr>
        <w:tc>
          <w:tcPr>
            <w:cnfStyle w:val="000010000000" w:firstRow="0" w:lastRow="0" w:firstColumn="0" w:lastColumn="0" w:oddVBand="1" w:evenVBand="0" w:oddHBand="0" w:evenHBand="0" w:firstRowFirstColumn="0" w:firstRowLastColumn="0" w:lastRowFirstColumn="0" w:lastRowLastColumn="0"/>
            <w:tcW w:w="5499" w:type="dxa"/>
          </w:tcPr>
          <w:p w14:paraId="5FC5A7F9" w14:textId="77777777" w:rsidR="009169E8" w:rsidRPr="001F7816" w:rsidRDefault="009169E8" w:rsidP="00416979">
            <w:pPr>
              <w:pStyle w:val="Tabletext"/>
              <w:rPr>
                <w:lang w:val="pt-BR"/>
              </w:rPr>
            </w:pPr>
            <w:r w:rsidRPr="001F7816">
              <w:rPr>
                <w:lang w:val="pt-BR"/>
              </w:rPr>
              <w:t>Civ Anaesthesia drugs – inadequate reversal</w:t>
            </w:r>
          </w:p>
        </w:tc>
        <w:tc>
          <w:tcPr>
            <w:cnfStyle w:val="000001000000" w:firstRow="0" w:lastRow="0" w:firstColumn="0" w:lastColumn="0" w:oddVBand="0" w:evenVBand="1" w:oddHBand="0" w:evenHBand="0" w:firstRowFirstColumn="0" w:firstRowLastColumn="0" w:lastRowFirstColumn="0" w:lastRowLastColumn="0"/>
            <w:tcW w:w="2268" w:type="dxa"/>
          </w:tcPr>
          <w:p w14:paraId="3CC9F5AA" w14:textId="77777777" w:rsidR="009169E8" w:rsidRPr="00416979" w:rsidRDefault="009169E8" w:rsidP="00416979">
            <w:pPr>
              <w:pStyle w:val="Tabletext"/>
            </w:pPr>
            <w:r w:rsidRPr="00416979">
              <w:t>1 (1)</w:t>
            </w:r>
          </w:p>
        </w:tc>
        <w:tc>
          <w:tcPr>
            <w:cnfStyle w:val="000010000000" w:firstRow="0" w:lastRow="0" w:firstColumn="0" w:lastColumn="0" w:oddVBand="1" w:evenVBand="0" w:oddHBand="0" w:evenHBand="0" w:firstRowFirstColumn="0" w:firstRowLastColumn="0" w:lastRowFirstColumn="0" w:lastRowLastColumn="0"/>
            <w:tcW w:w="1219" w:type="dxa"/>
          </w:tcPr>
          <w:p w14:paraId="2AE25E6A" w14:textId="77777777" w:rsidR="009169E8" w:rsidRPr="00416979" w:rsidRDefault="009169E8" w:rsidP="00416979">
            <w:pPr>
              <w:pStyle w:val="Tabletext"/>
            </w:pPr>
            <w:r w:rsidRPr="00416979">
              <w:t>1</w:t>
            </w:r>
          </w:p>
        </w:tc>
        <w:tc>
          <w:tcPr>
            <w:cnfStyle w:val="000001000000" w:firstRow="0" w:lastRow="0" w:firstColumn="0" w:lastColumn="0" w:oddVBand="0" w:evenVBand="1" w:oddHBand="0" w:evenHBand="0" w:firstRowFirstColumn="0" w:firstRowLastColumn="0" w:lastRowFirstColumn="0" w:lastRowLastColumn="0"/>
            <w:tcW w:w="1219" w:type="dxa"/>
          </w:tcPr>
          <w:p w14:paraId="494CD250" w14:textId="77777777" w:rsidR="009169E8" w:rsidRPr="00416979" w:rsidRDefault="009169E8" w:rsidP="00416979">
            <w:pPr>
              <w:pStyle w:val="Tabletext"/>
            </w:pPr>
            <w:r w:rsidRPr="00416979">
              <w:t>0</w:t>
            </w:r>
          </w:p>
        </w:tc>
      </w:tr>
      <w:tr w:rsidR="009169E8" w14:paraId="6D21D1E1" w14:textId="77777777" w:rsidTr="0009763F">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499" w:type="dxa"/>
          </w:tcPr>
          <w:p w14:paraId="14D87527" w14:textId="77777777" w:rsidR="009169E8" w:rsidRPr="00416979" w:rsidRDefault="009169E8" w:rsidP="00416979">
            <w:pPr>
              <w:pStyle w:val="Tabletext"/>
            </w:pPr>
            <w:proofErr w:type="spellStart"/>
            <w:r w:rsidRPr="00416979">
              <w:t>Diii</w:t>
            </w:r>
            <w:proofErr w:type="spellEnd"/>
            <w:r w:rsidRPr="00416979">
              <w:t xml:space="preserve"> Anaesthesia management – equipment failure</w:t>
            </w:r>
          </w:p>
        </w:tc>
        <w:tc>
          <w:tcPr>
            <w:cnfStyle w:val="000001000000" w:firstRow="0" w:lastRow="0" w:firstColumn="0" w:lastColumn="0" w:oddVBand="0" w:evenVBand="1" w:oddHBand="0" w:evenHBand="0" w:firstRowFirstColumn="0" w:firstRowLastColumn="0" w:lastRowFirstColumn="0" w:lastRowLastColumn="0"/>
            <w:tcW w:w="2268" w:type="dxa"/>
          </w:tcPr>
          <w:p w14:paraId="4F1323F2" w14:textId="77777777" w:rsidR="009169E8" w:rsidRPr="00416979" w:rsidRDefault="009169E8" w:rsidP="00416979">
            <w:pPr>
              <w:pStyle w:val="Tabletext"/>
            </w:pPr>
            <w:r w:rsidRPr="00416979">
              <w:t>1</w:t>
            </w:r>
          </w:p>
        </w:tc>
        <w:tc>
          <w:tcPr>
            <w:cnfStyle w:val="000010000000" w:firstRow="0" w:lastRow="0" w:firstColumn="0" w:lastColumn="0" w:oddVBand="1" w:evenVBand="0" w:oddHBand="0" w:evenHBand="0" w:firstRowFirstColumn="0" w:firstRowLastColumn="0" w:lastRowFirstColumn="0" w:lastRowLastColumn="0"/>
            <w:tcW w:w="1219" w:type="dxa"/>
          </w:tcPr>
          <w:p w14:paraId="2C56DF65" w14:textId="77777777" w:rsidR="009169E8" w:rsidRPr="00416979" w:rsidRDefault="009169E8" w:rsidP="00416979">
            <w:pPr>
              <w:pStyle w:val="Tabletext"/>
            </w:pPr>
            <w:r w:rsidRPr="00416979">
              <w:t>1</w:t>
            </w:r>
          </w:p>
        </w:tc>
        <w:tc>
          <w:tcPr>
            <w:cnfStyle w:val="000001000000" w:firstRow="0" w:lastRow="0" w:firstColumn="0" w:lastColumn="0" w:oddVBand="0" w:evenVBand="1" w:oddHBand="0" w:evenHBand="0" w:firstRowFirstColumn="0" w:firstRowLastColumn="0" w:lastRowFirstColumn="0" w:lastRowLastColumn="0"/>
            <w:tcW w:w="1219" w:type="dxa"/>
          </w:tcPr>
          <w:p w14:paraId="1BC4EF6C" w14:textId="77777777" w:rsidR="009169E8" w:rsidRPr="00416979" w:rsidRDefault="009169E8" w:rsidP="00416979">
            <w:pPr>
              <w:pStyle w:val="Tabletext"/>
            </w:pPr>
            <w:r w:rsidRPr="00416979">
              <w:t>0</w:t>
            </w:r>
          </w:p>
        </w:tc>
      </w:tr>
      <w:tr w:rsidR="009169E8" w14:paraId="3B81C757" w14:textId="77777777" w:rsidTr="0009763F">
        <w:trPr>
          <w:trHeight w:val="113"/>
        </w:trPr>
        <w:tc>
          <w:tcPr>
            <w:cnfStyle w:val="000010000000" w:firstRow="0" w:lastRow="0" w:firstColumn="0" w:lastColumn="0" w:oddVBand="1" w:evenVBand="0" w:oddHBand="0" w:evenHBand="0" w:firstRowFirstColumn="0" w:firstRowLastColumn="0" w:lastRowFirstColumn="0" w:lastRowLastColumn="0"/>
            <w:tcW w:w="5499" w:type="dxa"/>
          </w:tcPr>
          <w:p w14:paraId="457DA82A" w14:textId="77777777" w:rsidR="009169E8" w:rsidRPr="00416979" w:rsidRDefault="009169E8" w:rsidP="00416979">
            <w:pPr>
              <w:pStyle w:val="Tabletext"/>
              <w:rPr>
                <w:b/>
              </w:rPr>
            </w:pPr>
            <w:r w:rsidRPr="00416979">
              <w:rPr>
                <w:b/>
              </w:rPr>
              <w:t>Total*</w:t>
            </w:r>
          </w:p>
        </w:tc>
        <w:tc>
          <w:tcPr>
            <w:cnfStyle w:val="000001000000" w:firstRow="0" w:lastRow="0" w:firstColumn="0" w:lastColumn="0" w:oddVBand="0" w:evenVBand="1" w:oddHBand="0" w:evenHBand="0" w:firstRowFirstColumn="0" w:firstRowLastColumn="0" w:lastRowFirstColumn="0" w:lastRowLastColumn="0"/>
            <w:tcW w:w="2268" w:type="dxa"/>
          </w:tcPr>
          <w:p w14:paraId="00A91DD1" w14:textId="77777777" w:rsidR="009169E8" w:rsidRPr="00416979" w:rsidRDefault="009169E8" w:rsidP="00416979">
            <w:pPr>
              <w:pStyle w:val="Tabletext"/>
              <w:rPr>
                <w:b/>
              </w:rPr>
            </w:pPr>
            <w:r w:rsidRPr="00416979">
              <w:rPr>
                <w:b/>
              </w:rPr>
              <w:t>98</w:t>
            </w:r>
          </w:p>
        </w:tc>
        <w:tc>
          <w:tcPr>
            <w:cnfStyle w:val="000010000000" w:firstRow="0" w:lastRow="0" w:firstColumn="0" w:lastColumn="0" w:oddVBand="1" w:evenVBand="0" w:oddHBand="0" w:evenHBand="0" w:firstRowFirstColumn="0" w:firstRowLastColumn="0" w:lastRowFirstColumn="0" w:lastRowLastColumn="0"/>
            <w:tcW w:w="1219" w:type="dxa"/>
          </w:tcPr>
          <w:p w14:paraId="72E98422" w14:textId="77777777" w:rsidR="009169E8" w:rsidRPr="00416979" w:rsidRDefault="009169E8" w:rsidP="00416979">
            <w:pPr>
              <w:pStyle w:val="Tabletext"/>
              <w:rPr>
                <w:b/>
              </w:rPr>
            </w:pPr>
            <w:r w:rsidRPr="00416979">
              <w:rPr>
                <w:b/>
              </w:rPr>
              <w:t>70</w:t>
            </w:r>
          </w:p>
        </w:tc>
        <w:tc>
          <w:tcPr>
            <w:cnfStyle w:val="000001000000" w:firstRow="0" w:lastRow="0" w:firstColumn="0" w:lastColumn="0" w:oddVBand="0" w:evenVBand="1" w:oddHBand="0" w:evenHBand="0" w:firstRowFirstColumn="0" w:firstRowLastColumn="0" w:lastRowFirstColumn="0" w:lastRowLastColumn="0"/>
            <w:tcW w:w="1219" w:type="dxa"/>
          </w:tcPr>
          <w:p w14:paraId="037F08D0" w14:textId="77777777" w:rsidR="009169E8" w:rsidRPr="00416979" w:rsidRDefault="009169E8" w:rsidP="00416979">
            <w:pPr>
              <w:pStyle w:val="Tabletext"/>
              <w:rPr>
                <w:b/>
              </w:rPr>
            </w:pPr>
            <w:r w:rsidRPr="00416979">
              <w:rPr>
                <w:b/>
              </w:rPr>
              <w:t>28</w:t>
            </w:r>
          </w:p>
        </w:tc>
      </w:tr>
    </w:tbl>
    <w:p w14:paraId="4A3BDD4A" w14:textId="77777777" w:rsidR="009169E8" w:rsidRDefault="009169E8" w:rsidP="00416979">
      <w:pPr>
        <w:pStyle w:val="DHHStablefigurenote"/>
        <w:ind w:left="227" w:hanging="227"/>
      </w:pPr>
      <w:r>
        <w:t xml:space="preserve">* </w:t>
      </w:r>
      <w:r>
        <w:tab/>
        <w:t>The total count is greater than the number of cases reviewed as more than one underlying factor may be identified for each event.</w:t>
      </w:r>
    </w:p>
    <w:p w14:paraId="75A52FAE" w14:textId="77777777" w:rsidR="009169E8" w:rsidRDefault="009169E8" w:rsidP="00416979">
      <w:pPr>
        <w:pStyle w:val="DHHStablefigurenote"/>
        <w:ind w:left="227" w:hanging="227"/>
      </w:pPr>
      <w:r>
        <w:t xml:space="preserve">** </w:t>
      </w:r>
      <w:r>
        <w:tab/>
        <w:t>For definitions of preventability see Appendix 2.</w:t>
      </w:r>
    </w:p>
    <w:p w14:paraId="5D231135" w14:textId="77777777" w:rsidR="009169E8" w:rsidRDefault="009169E8" w:rsidP="008E28A3">
      <w:pPr>
        <w:pStyle w:val="DHHSbody"/>
      </w:pPr>
      <w:r>
        <w:t>These issues and related learning points are explored further in the ‘Clinical themes’ section.</w:t>
      </w:r>
    </w:p>
    <w:p w14:paraId="255806C8" w14:textId="77777777" w:rsidR="009169E8" w:rsidRDefault="009169E8" w:rsidP="000A4644">
      <w:pPr>
        <w:pStyle w:val="Heading2"/>
      </w:pPr>
      <w:r>
        <w:t>ASSESSMENT OF PREVENTABILITY FOR CATEGORY 1–3 CASES</w:t>
      </w:r>
    </w:p>
    <w:p w14:paraId="3D08E90B" w14:textId="27050DD2" w:rsidR="009169E8" w:rsidRDefault="009169E8" w:rsidP="008E28A3">
      <w:pPr>
        <w:pStyle w:val="DHHSbody"/>
      </w:pPr>
      <w:r>
        <w:t>Since 2015, the council has assigned a preventability rating to cases classified as category 1, 2 or 3:</w:t>
      </w:r>
    </w:p>
    <w:p w14:paraId="19E1224A" w14:textId="07F00151" w:rsidR="009169E8" w:rsidRDefault="009169E8" w:rsidP="00E961B4">
      <w:pPr>
        <w:pStyle w:val="Bullet1"/>
      </w:pPr>
      <w:r>
        <w:t>Fifty-five (50 per cent) of the 110 category 1–3 cases were considered not preventable (37 mortality and 18 morbidity).</w:t>
      </w:r>
    </w:p>
    <w:p w14:paraId="6CED3BCF" w14:textId="1D6F339B" w:rsidR="009169E8" w:rsidRDefault="009169E8" w:rsidP="00BB165F">
      <w:pPr>
        <w:pStyle w:val="Bullet1"/>
      </w:pPr>
      <w:r>
        <w:t>Twenty-six (23.6 per cent) of the 110 category 1–3 cases were considered definitely or probably preventable; 24 of these were morbidity events.</w:t>
      </w:r>
    </w:p>
    <w:p w14:paraId="641C669D" w14:textId="77777777" w:rsidR="009169E8" w:rsidRDefault="009169E8" w:rsidP="008E28A3">
      <w:pPr>
        <w:pStyle w:val="DHHSbody"/>
      </w:pPr>
      <w:r>
        <w:t>Of the category 1 events:</w:t>
      </w:r>
    </w:p>
    <w:p w14:paraId="30997CF6" w14:textId="4E1B771B" w:rsidR="009169E8" w:rsidRDefault="009169E8" w:rsidP="00E961B4">
      <w:pPr>
        <w:pStyle w:val="Bullet1"/>
      </w:pPr>
      <w:r>
        <w:t>10 were considered definitely preventable</w:t>
      </w:r>
    </w:p>
    <w:p w14:paraId="0B5BC0BD" w14:textId="77777777" w:rsidR="009169E8" w:rsidRDefault="009169E8" w:rsidP="00E961B4">
      <w:pPr>
        <w:pStyle w:val="Bullet1"/>
      </w:pPr>
      <w:r>
        <w:t>10 were considered probably preventable</w:t>
      </w:r>
    </w:p>
    <w:p w14:paraId="59FDBE31" w14:textId="77777777" w:rsidR="009169E8" w:rsidRDefault="009169E8" w:rsidP="00E961B4">
      <w:pPr>
        <w:pStyle w:val="Bullet1"/>
      </w:pPr>
      <w:r>
        <w:t>eight were considered possibly preventable</w:t>
      </w:r>
    </w:p>
    <w:p w14:paraId="76764C18" w14:textId="77777777" w:rsidR="009169E8" w:rsidRDefault="009169E8" w:rsidP="00BB165F">
      <w:pPr>
        <w:pStyle w:val="Bullet1"/>
      </w:pPr>
      <w:r>
        <w:t>19 were considered not preventable.</w:t>
      </w:r>
    </w:p>
    <w:p w14:paraId="33521CF2" w14:textId="77777777" w:rsidR="009169E8" w:rsidRDefault="009169E8" w:rsidP="008E28A3">
      <w:pPr>
        <w:pStyle w:val="DHHSbody"/>
      </w:pPr>
      <w:r>
        <w:t>While this is derived from a subjective consensus opinion, it helps identify potentially addressable factors.</w:t>
      </w:r>
    </w:p>
    <w:p w14:paraId="702D3CDD" w14:textId="77777777" w:rsidR="009169E8" w:rsidRDefault="009169E8" w:rsidP="008E28A3">
      <w:pPr>
        <w:pStyle w:val="DHHSbody"/>
      </w:pPr>
      <w:r>
        <w:t>In the subset of events considered at least probably preventable, the most frequently identified contributing factors related to choice or application of anaesthesia technique (</w:t>
      </w:r>
      <w:r>
        <w:rPr>
          <w:rStyle w:val="TextItalic"/>
        </w:rPr>
        <w:t>n</w:t>
      </w:r>
      <w:r>
        <w:t> = 12), airway maintenance (</w:t>
      </w:r>
      <w:r>
        <w:rPr>
          <w:rStyle w:val="TextItalic"/>
        </w:rPr>
        <w:t>n</w:t>
      </w:r>
      <w:r>
        <w:t xml:space="preserve"> = 8), failure of interdisciplinary planning (</w:t>
      </w:r>
      <w:r>
        <w:rPr>
          <w:rStyle w:val="TextItalic"/>
        </w:rPr>
        <w:t>n</w:t>
      </w:r>
      <w:r>
        <w:t xml:space="preserve"> = 8), dosage of anaesthesia drugs (</w:t>
      </w:r>
      <w:r>
        <w:rPr>
          <w:rStyle w:val="TextItalic"/>
        </w:rPr>
        <w:t>n</w:t>
      </w:r>
      <w:r>
        <w:t xml:space="preserve"> = 6), crisis management (</w:t>
      </w:r>
      <w:r>
        <w:rPr>
          <w:rStyle w:val="TextItalic"/>
        </w:rPr>
        <w:t>n</w:t>
      </w:r>
      <w:r>
        <w:t xml:space="preserve"> = 3), ventilation (</w:t>
      </w:r>
      <w:r>
        <w:rPr>
          <w:rStyle w:val="TextItalic"/>
        </w:rPr>
        <w:t>n</w:t>
      </w:r>
      <w:r>
        <w:t xml:space="preserve"> = 2), inadequate reversal of anaesthesia drugs (</w:t>
      </w:r>
      <w:r>
        <w:rPr>
          <w:rStyle w:val="TextItalic"/>
        </w:rPr>
        <w:t>n</w:t>
      </w:r>
      <w:r>
        <w:t xml:space="preserve"> = 1), inadequate monitoring (</w:t>
      </w:r>
      <w:r>
        <w:rPr>
          <w:rStyle w:val="TextItalic"/>
        </w:rPr>
        <w:t>n</w:t>
      </w:r>
      <w:r>
        <w:t xml:space="preserve"> = 1) and adverse drug reaction (</w:t>
      </w:r>
      <w:r>
        <w:rPr>
          <w:rStyle w:val="TextItalic"/>
        </w:rPr>
        <w:t>n</w:t>
      </w:r>
      <w:r>
        <w:t xml:space="preserve"> = 1).</w:t>
      </w:r>
    </w:p>
    <w:p w14:paraId="1284D908" w14:textId="77777777" w:rsidR="009169E8" w:rsidRDefault="009169E8" w:rsidP="008E28A3">
      <w:pPr>
        <w:pStyle w:val="DHHSbody"/>
      </w:pPr>
      <w:r>
        <w:t>The most frequent types of events considered at least probably preventable were airway events, procedure-related events, awareness under GA and cardiac arrests. Associated factors are explored in the Reducing the Risk section.</w:t>
      </w:r>
    </w:p>
    <w:p w14:paraId="0D86CD5E" w14:textId="77777777" w:rsidR="009169E8" w:rsidRDefault="009169E8" w:rsidP="000A4644">
      <w:pPr>
        <w:pStyle w:val="Heading2"/>
      </w:pPr>
      <w:r>
        <w:lastRenderedPageBreak/>
        <w:t xml:space="preserve">GENERAL RISK FACTORS </w:t>
      </w:r>
    </w:p>
    <w:p w14:paraId="0781513D" w14:textId="77777777" w:rsidR="009169E8" w:rsidRDefault="009169E8" w:rsidP="008E28A3">
      <w:pPr>
        <w:pStyle w:val="DHHSbody"/>
      </w:pPr>
      <w:r>
        <w:t>Level of risk was assigned using the American Society of Anaesthesiologists (ASA) ‘physical status’ rating (ASA House of Delegates/Executive Committee, 2014). The ASA classifications in this report are intended to provide an ‘at a glance’ overview of the council’s assessment of the general preoperative health status of cases referred during 2015–2017 (Table 5).</w:t>
      </w:r>
    </w:p>
    <w:p w14:paraId="07164C95" w14:textId="77777777" w:rsidR="009169E8" w:rsidRDefault="009169E8" w:rsidP="008E28A3">
      <w:pPr>
        <w:pStyle w:val="DHHSbody"/>
      </w:pPr>
      <w:r>
        <w:t>The ASA physical status is a subjective classification originally developed in 1941 (updated in 1961 and 2014) to help collate outcomes from anaesthesia (Mayhew, Mendonca, &amp; Murthy, 2019). The rating has been shown to be associated with postoperative morbidity and mortality outcomes. While it remains a subjective classification, reintroducing case vignettes in 2014 (ASA House of Delegates/Executive Committee, 2014) was demonstrated to have improved objectivity and inter-observer variability (Hurwitz, et al., 2017). Interestingly an assessment of functional status was included in the original tool, and with increasing concerns about frailty, it has been raised whether this should be reintroduced (Mayhew, Mendonca, &amp; Murthy, 2019).</w:t>
      </w:r>
    </w:p>
    <w:p w14:paraId="7D84A52D" w14:textId="77777777" w:rsidR="009169E8" w:rsidRDefault="009169E8" w:rsidP="00B8026E">
      <w:pPr>
        <w:pStyle w:val="Tablechartdiagramheading"/>
      </w:pPr>
      <w:r>
        <w:t xml:space="preserve">Table 5: ASA category assigned by </w:t>
      </w:r>
      <w:r w:rsidRPr="003D522F">
        <w:rPr>
          <w:color w:val="0063A5"/>
        </w:rPr>
        <w:t>the</w:t>
      </w:r>
      <w:r>
        <w:t xml:space="preserve"> council</w:t>
      </w:r>
    </w:p>
    <w:tbl>
      <w:tblPr>
        <w:tblStyle w:val="PlainTable2"/>
        <w:tblW w:w="0" w:type="auto"/>
        <w:tblLayout w:type="fixed"/>
        <w:tblLook w:val="0020" w:firstRow="1" w:lastRow="0" w:firstColumn="0" w:lastColumn="0" w:noHBand="0" w:noVBand="0"/>
      </w:tblPr>
      <w:tblGrid>
        <w:gridCol w:w="1134"/>
        <w:gridCol w:w="1247"/>
        <w:gridCol w:w="1247"/>
        <w:gridCol w:w="1248"/>
        <w:gridCol w:w="5329"/>
      </w:tblGrid>
      <w:tr w:rsidR="009169E8" w14:paraId="321D60C7" w14:textId="77777777" w:rsidTr="00EA7502">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1134" w:type="dxa"/>
          </w:tcPr>
          <w:p w14:paraId="64C1A043" w14:textId="77777777" w:rsidR="009169E8" w:rsidRPr="00EA7502" w:rsidRDefault="009169E8" w:rsidP="00A90D07">
            <w:pPr>
              <w:pStyle w:val="Tableheader"/>
              <w:rPr>
                <w:b/>
              </w:rPr>
            </w:pPr>
            <w:r w:rsidRPr="00EA7502">
              <w:rPr>
                <w:b/>
              </w:rPr>
              <w:t>ASA rating</w:t>
            </w:r>
          </w:p>
        </w:tc>
        <w:tc>
          <w:tcPr>
            <w:cnfStyle w:val="000001000000" w:firstRow="0" w:lastRow="0" w:firstColumn="0" w:lastColumn="0" w:oddVBand="0" w:evenVBand="1" w:oddHBand="0" w:evenHBand="0" w:firstRowFirstColumn="0" w:firstRowLastColumn="0" w:lastRowFirstColumn="0" w:lastRowLastColumn="0"/>
            <w:tcW w:w="1247" w:type="dxa"/>
          </w:tcPr>
          <w:p w14:paraId="732E2059" w14:textId="77777777" w:rsidR="009169E8" w:rsidRPr="00EA7502" w:rsidRDefault="009169E8" w:rsidP="00A90D07">
            <w:pPr>
              <w:pStyle w:val="Tableheader"/>
              <w:rPr>
                <w:b/>
              </w:rPr>
            </w:pPr>
            <w:r w:rsidRPr="00EA7502">
              <w:rPr>
                <w:b/>
              </w:rPr>
              <w:t>Morbidity</w:t>
            </w:r>
          </w:p>
        </w:tc>
        <w:tc>
          <w:tcPr>
            <w:cnfStyle w:val="000010000000" w:firstRow="0" w:lastRow="0" w:firstColumn="0" w:lastColumn="0" w:oddVBand="1" w:evenVBand="0" w:oddHBand="0" w:evenHBand="0" w:firstRowFirstColumn="0" w:firstRowLastColumn="0" w:lastRowFirstColumn="0" w:lastRowLastColumn="0"/>
            <w:tcW w:w="1247" w:type="dxa"/>
          </w:tcPr>
          <w:p w14:paraId="4B9BF9C2" w14:textId="77777777" w:rsidR="009169E8" w:rsidRPr="00EA7502" w:rsidRDefault="009169E8" w:rsidP="00A90D07">
            <w:pPr>
              <w:pStyle w:val="Tableheader"/>
              <w:rPr>
                <w:b/>
              </w:rPr>
            </w:pPr>
            <w:r w:rsidRPr="00EA7502">
              <w:rPr>
                <w:b/>
              </w:rPr>
              <w:t>Mortality</w:t>
            </w:r>
          </w:p>
        </w:tc>
        <w:tc>
          <w:tcPr>
            <w:cnfStyle w:val="000001000000" w:firstRow="0" w:lastRow="0" w:firstColumn="0" w:lastColumn="0" w:oddVBand="0" w:evenVBand="1" w:oddHBand="0" w:evenHBand="0" w:firstRowFirstColumn="0" w:firstRowLastColumn="0" w:lastRowFirstColumn="0" w:lastRowLastColumn="0"/>
            <w:tcW w:w="1248" w:type="dxa"/>
          </w:tcPr>
          <w:p w14:paraId="39C95208" w14:textId="77777777" w:rsidR="009169E8" w:rsidRPr="00EA7502" w:rsidRDefault="009169E8" w:rsidP="00A90D07">
            <w:pPr>
              <w:pStyle w:val="Tableheader"/>
              <w:rPr>
                <w:b/>
              </w:rPr>
            </w:pPr>
            <w:r w:rsidRPr="00EA7502">
              <w:rPr>
                <w:b/>
              </w:rPr>
              <w:t>Total</w:t>
            </w:r>
          </w:p>
        </w:tc>
        <w:tc>
          <w:tcPr>
            <w:cnfStyle w:val="000010000000" w:firstRow="0" w:lastRow="0" w:firstColumn="0" w:lastColumn="0" w:oddVBand="1" w:evenVBand="0" w:oddHBand="0" w:evenHBand="0" w:firstRowFirstColumn="0" w:firstRowLastColumn="0" w:lastRowFirstColumn="0" w:lastRowLastColumn="0"/>
            <w:tcW w:w="5329" w:type="dxa"/>
          </w:tcPr>
          <w:p w14:paraId="7B5CCC7A" w14:textId="0EB530B0" w:rsidR="009169E8" w:rsidRPr="00EA7502" w:rsidRDefault="009169E8" w:rsidP="00A90D07">
            <w:pPr>
              <w:pStyle w:val="Tableheader"/>
              <w:rPr>
                <w:b/>
              </w:rPr>
            </w:pPr>
            <w:r w:rsidRPr="00EA7502">
              <w:rPr>
                <w:b/>
              </w:rPr>
              <w:t>Brief description*</w:t>
            </w:r>
          </w:p>
        </w:tc>
      </w:tr>
      <w:tr w:rsidR="009169E8" w14:paraId="209BDE8F" w14:textId="77777777" w:rsidTr="00EA7502">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134" w:type="dxa"/>
          </w:tcPr>
          <w:p w14:paraId="2C1680E5" w14:textId="77777777" w:rsidR="009169E8" w:rsidRPr="00416979" w:rsidRDefault="009169E8" w:rsidP="00416979">
            <w:pPr>
              <w:pStyle w:val="Tabletext"/>
            </w:pPr>
            <w:r w:rsidRPr="00416979">
              <w:t>1</w:t>
            </w:r>
          </w:p>
        </w:tc>
        <w:tc>
          <w:tcPr>
            <w:cnfStyle w:val="000001000000" w:firstRow="0" w:lastRow="0" w:firstColumn="0" w:lastColumn="0" w:oddVBand="0" w:evenVBand="1" w:oddHBand="0" w:evenHBand="0" w:firstRowFirstColumn="0" w:firstRowLastColumn="0" w:lastRowFirstColumn="0" w:lastRowLastColumn="0"/>
            <w:tcW w:w="1247" w:type="dxa"/>
          </w:tcPr>
          <w:p w14:paraId="765B996B" w14:textId="77777777" w:rsidR="009169E8" w:rsidRPr="00416979" w:rsidRDefault="009169E8" w:rsidP="00416979">
            <w:pPr>
              <w:pStyle w:val="Tabletext"/>
            </w:pPr>
            <w:r w:rsidRPr="00416979">
              <w:t>11</w:t>
            </w:r>
          </w:p>
        </w:tc>
        <w:tc>
          <w:tcPr>
            <w:cnfStyle w:val="000010000000" w:firstRow="0" w:lastRow="0" w:firstColumn="0" w:lastColumn="0" w:oddVBand="1" w:evenVBand="0" w:oddHBand="0" w:evenHBand="0" w:firstRowFirstColumn="0" w:firstRowLastColumn="0" w:lastRowFirstColumn="0" w:lastRowLastColumn="0"/>
            <w:tcW w:w="1247" w:type="dxa"/>
          </w:tcPr>
          <w:p w14:paraId="3319A1F9" w14:textId="77777777" w:rsidR="009169E8" w:rsidRPr="00416979" w:rsidRDefault="009169E8" w:rsidP="00416979">
            <w:pPr>
              <w:pStyle w:val="Tabletext"/>
            </w:pPr>
            <w:r w:rsidRPr="00416979">
              <w:t>2</w:t>
            </w:r>
          </w:p>
        </w:tc>
        <w:tc>
          <w:tcPr>
            <w:cnfStyle w:val="000001000000" w:firstRow="0" w:lastRow="0" w:firstColumn="0" w:lastColumn="0" w:oddVBand="0" w:evenVBand="1" w:oddHBand="0" w:evenHBand="0" w:firstRowFirstColumn="0" w:firstRowLastColumn="0" w:lastRowFirstColumn="0" w:lastRowLastColumn="0"/>
            <w:tcW w:w="1248" w:type="dxa"/>
          </w:tcPr>
          <w:p w14:paraId="796789EC" w14:textId="77777777" w:rsidR="009169E8" w:rsidRPr="00416979" w:rsidRDefault="009169E8" w:rsidP="00416979">
            <w:pPr>
              <w:pStyle w:val="Tabletext"/>
            </w:pPr>
            <w:r w:rsidRPr="00416979">
              <w:t>13</w:t>
            </w:r>
          </w:p>
        </w:tc>
        <w:tc>
          <w:tcPr>
            <w:cnfStyle w:val="000010000000" w:firstRow="0" w:lastRow="0" w:firstColumn="0" w:lastColumn="0" w:oddVBand="1" w:evenVBand="0" w:oddHBand="0" w:evenHBand="0" w:firstRowFirstColumn="0" w:firstRowLastColumn="0" w:lastRowFirstColumn="0" w:lastRowLastColumn="0"/>
            <w:tcW w:w="5329" w:type="dxa"/>
          </w:tcPr>
          <w:p w14:paraId="142312FB" w14:textId="77777777" w:rsidR="009169E8" w:rsidRPr="00416979" w:rsidRDefault="009169E8" w:rsidP="00416979">
            <w:pPr>
              <w:pStyle w:val="Tabletext"/>
            </w:pPr>
            <w:r w:rsidRPr="00416979">
              <w:t>A normal healthy patient</w:t>
            </w:r>
          </w:p>
        </w:tc>
      </w:tr>
      <w:tr w:rsidR="009169E8" w14:paraId="42B8BAC8" w14:textId="77777777" w:rsidTr="00EA7502">
        <w:trPr>
          <w:trHeight w:val="113"/>
        </w:trPr>
        <w:tc>
          <w:tcPr>
            <w:cnfStyle w:val="000010000000" w:firstRow="0" w:lastRow="0" w:firstColumn="0" w:lastColumn="0" w:oddVBand="1" w:evenVBand="0" w:oddHBand="0" w:evenHBand="0" w:firstRowFirstColumn="0" w:firstRowLastColumn="0" w:lastRowFirstColumn="0" w:lastRowLastColumn="0"/>
            <w:tcW w:w="1134" w:type="dxa"/>
          </w:tcPr>
          <w:p w14:paraId="16B5D058" w14:textId="77777777" w:rsidR="009169E8" w:rsidRPr="00416979" w:rsidRDefault="009169E8" w:rsidP="00416979">
            <w:pPr>
              <w:pStyle w:val="Tabletext"/>
            </w:pPr>
            <w:r w:rsidRPr="00416979">
              <w:t>2</w:t>
            </w:r>
          </w:p>
        </w:tc>
        <w:tc>
          <w:tcPr>
            <w:cnfStyle w:val="000001000000" w:firstRow="0" w:lastRow="0" w:firstColumn="0" w:lastColumn="0" w:oddVBand="0" w:evenVBand="1" w:oddHBand="0" w:evenHBand="0" w:firstRowFirstColumn="0" w:firstRowLastColumn="0" w:lastRowFirstColumn="0" w:lastRowLastColumn="0"/>
            <w:tcW w:w="1247" w:type="dxa"/>
          </w:tcPr>
          <w:p w14:paraId="580682E1" w14:textId="77777777" w:rsidR="009169E8" w:rsidRPr="00416979" w:rsidRDefault="009169E8" w:rsidP="00416979">
            <w:pPr>
              <w:pStyle w:val="Tabletext"/>
            </w:pPr>
            <w:r w:rsidRPr="00416979">
              <w:t>19</w:t>
            </w:r>
          </w:p>
        </w:tc>
        <w:tc>
          <w:tcPr>
            <w:cnfStyle w:val="000010000000" w:firstRow="0" w:lastRow="0" w:firstColumn="0" w:lastColumn="0" w:oddVBand="1" w:evenVBand="0" w:oddHBand="0" w:evenHBand="0" w:firstRowFirstColumn="0" w:firstRowLastColumn="0" w:lastRowFirstColumn="0" w:lastRowLastColumn="0"/>
            <w:tcW w:w="1247" w:type="dxa"/>
          </w:tcPr>
          <w:p w14:paraId="0CD7D373" w14:textId="77777777" w:rsidR="009169E8" w:rsidRPr="00416979" w:rsidRDefault="009169E8" w:rsidP="00416979">
            <w:pPr>
              <w:pStyle w:val="Tabletext"/>
            </w:pPr>
            <w:r w:rsidRPr="00416979">
              <w:t>7</w:t>
            </w:r>
          </w:p>
        </w:tc>
        <w:tc>
          <w:tcPr>
            <w:cnfStyle w:val="000001000000" w:firstRow="0" w:lastRow="0" w:firstColumn="0" w:lastColumn="0" w:oddVBand="0" w:evenVBand="1" w:oddHBand="0" w:evenHBand="0" w:firstRowFirstColumn="0" w:firstRowLastColumn="0" w:lastRowFirstColumn="0" w:lastRowLastColumn="0"/>
            <w:tcW w:w="1248" w:type="dxa"/>
          </w:tcPr>
          <w:p w14:paraId="4ED790DC" w14:textId="77777777" w:rsidR="009169E8" w:rsidRPr="00416979" w:rsidRDefault="009169E8" w:rsidP="00416979">
            <w:pPr>
              <w:pStyle w:val="Tabletext"/>
            </w:pPr>
            <w:r w:rsidRPr="00416979">
              <w:t>26</w:t>
            </w:r>
          </w:p>
        </w:tc>
        <w:tc>
          <w:tcPr>
            <w:cnfStyle w:val="000010000000" w:firstRow="0" w:lastRow="0" w:firstColumn="0" w:lastColumn="0" w:oddVBand="1" w:evenVBand="0" w:oddHBand="0" w:evenHBand="0" w:firstRowFirstColumn="0" w:firstRowLastColumn="0" w:lastRowFirstColumn="0" w:lastRowLastColumn="0"/>
            <w:tcW w:w="5329" w:type="dxa"/>
          </w:tcPr>
          <w:p w14:paraId="3EDD1699" w14:textId="77777777" w:rsidR="009169E8" w:rsidRPr="00416979" w:rsidRDefault="009169E8" w:rsidP="00416979">
            <w:pPr>
              <w:pStyle w:val="Tabletext"/>
            </w:pPr>
            <w:r w:rsidRPr="00416979">
              <w:t>A patient with mild systemic disease</w:t>
            </w:r>
          </w:p>
        </w:tc>
      </w:tr>
      <w:tr w:rsidR="009169E8" w14:paraId="2BE259BB" w14:textId="77777777" w:rsidTr="00EA7502">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134" w:type="dxa"/>
          </w:tcPr>
          <w:p w14:paraId="43E26445" w14:textId="77777777" w:rsidR="009169E8" w:rsidRPr="00416979" w:rsidRDefault="009169E8" w:rsidP="00416979">
            <w:pPr>
              <w:pStyle w:val="Tabletext"/>
            </w:pPr>
            <w:r w:rsidRPr="00416979">
              <w:t>3</w:t>
            </w:r>
          </w:p>
        </w:tc>
        <w:tc>
          <w:tcPr>
            <w:cnfStyle w:val="000001000000" w:firstRow="0" w:lastRow="0" w:firstColumn="0" w:lastColumn="0" w:oddVBand="0" w:evenVBand="1" w:oddHBand="0" w:evenHBand="0" w:firstRowFirstColumn="0" w:firstRowLastColumn="0" w:lastRowFirstColumn="0" w:lastRowLastColumn="0"/>
            <w:tcW w:w="1247" w:type="dxa"/>
          </w:tcPr>
          <w:p w14:paraId="5F2D8E32" w14:textId="77777777" w:rsidR="009169E8" w:rsidRPr="00416979" w:rsidRDefault="009169E8" w:rsidP="00416979">
            <w:pPr>
              <w:pStyle w:val="Tabletext"/>
            </w:pPr>
            <w:r w:rsidRPr="00416979">
              <w:t>20</w:t>
            </w:r>
          </w:p>
        </w:tc>
        <w:tc>
          <w:tcPr>
            <w:cnfStyle w:val="000010000000" w:firstRow="0" w:lastRow="0" w:firstColumn="0" w:lastColumn="0" w:oddVBand="1" w:evenVBand="0" w:oddHBand="0" w:evenHBand="0" w:firstRowFirstColumn="0" w:firstRowLastColumn="0" w:lastRowFirstColumn="0" w:lastRowLastColumn="0"/>
            <w:tcW w:w="1247" w:type="dxa"/>
          </w:tcPr>
          <w:p w14:paraId="71B4F9EA" w14:textId="77777777" w:rsidR="009169E8" w:rsidRPr="00416979" w:rsidRDefault="009169E8" w:rsidP="00416979">
            <w:pPr>
              <w:pStyle w:val="Tabletext"/>
            </w:pPr>
            <w:r w:rsidRPr="00416979">
              <w:t>19</w:t>
            </w:r>
          </w:p>
        </w:tc>
        <w:tc>
          <w:tcPr>
            <w:cnfStyle w:val="000001000000" w:firstRow="0" w:lastRow="0" w:firstColumn="0" w:lastColumn="0" w:oddVBand="0" w:evenVBand="1" w:oddHBand="0" w:evenHBand="0" w:firstRowFirstColumn="0" w:firstRowLastColumn="0" w:lastRowFirstColumn="0" w:lastRowLastColumn="0"/>
            <w:tcW w:w="1248" w:type="dxa"/>
          </w:tcPr>
          <w:p w14:paraId="46E47979" w14:textId="77777777" w:rsidR="009169E8" w:rsidRPr="00416979" w:rsidRDefault="009169E8" w:rsidP="00416979">
            <w:pPr>
              <w:pStyle w:val="Tabletext"/>
            </w:pPr>
            <w:r w:rsidRPr="00416979">
              <w:t>39</w:t>
            </w:r>
          </w:p>
        </w:tc>
        <w:tc>
          <w:tcPr>
            <w:cnfStyle w:val="000010000000" w:firstRow="0" w:lastRow="0" w:firstColumn="0" w:lastColumn="0" w:oddVBand="1" w:evenVBand="0" w:oddHBand="0" w:evenHBand="0" w:firstRowFirstColumn="0" w:firstRowLastColumn="0" w:lastRowFirstColumn="0" w:lastRowLastColumn="0"/>
            <w:tcW w:w="5329" w:type="dxa"/>
          </w:tcPr>
          <w:p w14:paraId="4614ED59" w14:textId="77777777" w:rsidR="009169E8" w:rsidRPr="00416979" w:rsidRDefault="009169E8" w:rsidP="00416979">
            <w:pPr>
              <w:pStyle w:val="Tabletext"/>
            </w:pPr>
            <w:r w:rsidRPr="00416979">
              <w:t>A patient with severe systemic disease</w:t>
            </w:r>
          </w:p>
        </w:tc>
      </w:tr>
      <w:tr w:rsidR="009169E8" w14:paraId="26DF0BD4" w14:textId="77777777" w:rsidTr="00EA7502">
        <w:trPr>
          <w:trHeight w:val="113"/>
        </w:trPr>
        <w:tc>
          <w:tcPr>
            <w:cnfStyle w:val="000010000000" w:firstRow="0" w:lastRow="0" w:firstColumn="0" w:lastColumn="0" w:oddVBand="1" w:evenVBand="0" w:oddHBand="0" w:evenHBand="0" w:firstRowFirstColumn="0" w:firstRowLastColumn="0" w:lastRowFirstColumn="0" w:lastRowLastColumn="0"/>
            <w:tcW w:w="1134" w:type="dxa"/>
          </w:tcPr>
          <w:p w14:paraId="25993214" w14:textId="77777777" w:rsidR="009169E8" w:rsidRPr="00416979" w:rsidRDefault="009169E8" w:rsidP="00416979">
            <w:pPr>
              <w:pStyle w:val="Tabletext"/>
            </w:pPr>
            <w:r w:rsidRPr="00416979">
              <w:t>4</w:t>
            </w:r>
          </w:p>
        </w:tc>
        <w:tc>
          <w:tcPr>
            <w:cnfStyle w:val="000001000000" w:firstRow="0" w:lastRow="0" w:firstColumn="0" w:lastColumn="0" w:oddVBand="0" w:evenVBand="1" w:oddHBand="0" w:evenHBand="0" w:firstRowFirstColumn="0" w:firstRowLastColumn="0" w:lastRowFirstColumn="0" w:lastRowLastColumn="0"/>
            <w:tcW w:w="1247" w:type="dxa"/>
          </w:tcPr>
          <w:p w14:paraId="0122E643" w14:textId="77777777" w:rsidR="009169E8" w:rsidRPr="00416979" w:rsidRDefault="009169E8" w:rsidP="00416979">
            <w:pPr>
              <w:pStyle w:val="Tabletext"/>
            </w:pPr>
            <w:r w:rsidRPr="00416979">
              <w:t>2</w:t>
            </w:r>
          </w:p>
        </w:tc>
        <w:tc>
          <w:tcPr>
            <w:cnfStyle w:val="000010000000" w:firstRow="0" w:lastRow="0" w:firstColumn="0" w:lastColumn="0" w:oddVBand="1" w:evenVBand="0" w:oddHBand="0" w:evenHBand="0" w:firstRowFirstColumn="0" w:firstRowLastColumn="0" w:lastRowFirstColumn="0" w:lastRowLastColumn="0"/>
            <w:tcW w:w="1247" w:type="dxa"/>
          </w:tcPr>
          <w:p w14:paraId="32E84646" w14:textId="77777777" w:rsidR="009169E8" w:rsidRPr="00416979" w:rsidRDefault="009169E8" w:rsidP="00416979">
            <w:pPr>
              <w:pStyle w:val="Tabletext"/>
            </w:pPr>
            <w:r w:rsidRPr="00416979">
              <w:t>29</w:t>
            </w:r>
          </w:p>
        </w:tc>
        <w:tc>
          <w:tcPr>
            <w:cnfStyle w:val="000001000000" w:firstRow="0" w:lastRow="0" w:firstColumn="0" w:lastColumn="0" w:oddVBand="0" w:evenVBand="1" w:oddHBand="0" w:evenHBand="0" w:firstRowFirstColumn="0" w:firstRowLastColumn="0" w:lastRowFirstColumn="0" w:lastRowLastColumn="0"/>
            <w:tcW w:w="1248" w:type="dxa"/>
          </w:tcPr>
          <w:p w14:paraId="13DCAC2C" w14:textId="77777777" w:rsidR="009169E8" w:rsidRPr="00416979" w:rsidRDefault="009169E8" w:rsidP="00416979">
            <w:pPr>
              <w:pStyle w:val="Tabletext"/>
            </w:pPr>
            <w:r w:rsidRPr="00416979">
              <w:t>31</w:t>
            </w:r>
          </w:p>
        </w:tc>
        <w:tc>
          <w:tcPr>
            <w:cnfStyle w:val="000010000000" w:firstRow="0" w:lastRow="0" w:firstColumn="0" w:lastColumn="0" w:oddVBand="1" w:evenVBand="0" w:oddHBand="0" w:evenHBand="0" w:firstRowFirstColumn="0" w:firstRowLastColumn="0" w:lastRowFirstColumn="0" w:lastRowLastColumn="0"/>
            <w:tcW w:w="5329" w:type="dxa"/>
          </w:tcPr>
          <w:p w14:paraId="13C5D091" w14:textId="77777777" w:rsidR="009169E8" w:rsidRPr="00416979" w:rsidRDefault="009169E8" w:rsidP="00416979">
            <w:pPr>
              <w:pStyle w:val="Tabletext"/>
            </w:pPr>
            <w:r w:rsidRPr="00416979">
              <w:t>A patient with severe systemic disease that is a constant threat to life</w:t>
            </w:r>
          </w:p>
        </w:tc>
      </w:tr>
      <w:tr w:rsidR="009169E8" w14:paraId="41015E24" w14:textId="77777777" w:rsidTr="00EA7502">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134" w:type="dxa"/>
          </w:tcPr>
          <w:p w14:paraId="55D5883D" w14:textId="77777777" w:rsidR="009169E8" w:rsidRPr="00416979" w:rsidRDefault="009169E8" w:rsidP="00416979">
            <w:pPr>
              <w:pStyle w:val="Tabletext"/>
            </w:pPr>
            <w:r w:rsidRPr="00416979">
              <w:t>5</w:t>
            </w:r>
          </w:p>
        </w:tc>
        <w:tc>
          <w:tcPr>
            <w:cnfStyle w:val="000001000000" w:firstRow="0" w:lastRow="0" w:firstColumn="0" w:lastColumn="0" w:oddVBand="0" w:evenVBand="1" w:oddHBand="0" w:evenHBand="0" w:firstRowFirstColumn="0" w:firstRowLastColumn="0" w:lastRowFirstColumn="0" w:lastRowLastColumn="0"/>
            <w:tcW w:w="1247" w:type="dxa"/>
          </w:tcPr>
          <w:p w14:paraId="7BD8618A" w14:textId="77777777" w:rsidR="009169E8" w:rsidRPr="00416979" w:rsidRDefault="009169E8" w:rsidP="00416979">
            <w:pPr>
              <w:pStyle w:val="Tabletext"/>
            </w:pPr>
            <w:r w:rsidRPr="00416979">
              <w:t>0</w:t>
            </w:r>
          </w:p>
        </w:tc>
        <w:tc>
          <w:tcPr>
            <w:cnfStyle w:val="000010000000" w:firstRow="0" w:lastRow="0" w:firstColumn="0" w:lastColumn="0" w:oddVBand="1" w:evenVBand="0" w:oddHBand="0" w:evenHBand="0" w:firstRowFirstColumn="0" w:firstRowLastColumn="0" w:lastRowFirstColumn="0" w:lastRowLastColumn="0"/>
            <w:tcW w:w="1247" w:type="dxa"/>
          </w:tcPr>
          <w:p w14:paraId="3722D755" w14:textId="77777777" w:rsidR="009169E8" w:rsidRPr="00416979" w:rsidRDefault="009169E8" w:rsidP="00416979">
            <w:pPr>
              <w:pStyle w:val="Tabletext"/>
            </w:pPr>
            <w:r w:rsidRPr="00416979">
              <w:t>1</w:t>
            </w:r>
          </w:p>
        </w:tc>
        <w:tc>
          <w:tcPr>
            <w:cnfStyle w:val="000001000000" w:firstRow="0" w:lastRow="0" w:firstColumn="0" w:lastColumn="0" w:oddVBand="0" w:evenVBand="1" w:oddHBand="0" w:evenHBand="0" w:firstRowFirstColumn="0" w:firstRowLastColumn="0" w:lastRowFirstColumn="0" w:lastRowLastColumn="0"/>
            <w:tcW w:w="1248" w:type="dxa"/>
          </w:tcPr>
          <w:p w14:paraId="4EAB9672" w14:textId="77777777" w:rsidR="009169E8" w:rsidRPr="00416979" w:rsidRDefault="009169E8" w:rsidP="00416979">
            <w:pPr>
              <w:pStyle w:val="Tabletext"/>
            </w:pPr>
            <w:r w:rsidRPr="00416979">
              <w:t>1</w:t>
            </w:r>
          </w:p>
        </w:tc>
        <w:tc>
          <w:tcPr>
            <w:cnfStyle w:val="000010000000" w:firstRow="0" w:lastRow="0" w:firstColumn="0" w:lastColumn="0" w:oddVBand="1" w:evenVBand="0" w:oddHBand="0" w:evenHBand="0" w:firstRowFirstColumn="0" w:firstRowLastColumn="0" w:lastRowFirstColumn="0" w:lastRowLastColumn="0"/>
            <w:tcW w:w="5329" w:type="dxa"/>
          </w:tcPr>
          <w:p w14:paraId="27B76098" w14:textId="77777777" w:rsidR="009169E8" w:rsidRPr="00416979" w:rsidRDefault="009169E8" w:rsidP="00416979">
            <w:pPr>
              <w:pStyle w:val="Tabletext"/>
            </w:pPr>
            <w:r w:rsidRPr="00416979">
              <w:t>A moribund patient who is not expected to survive without the operation</w:t>
            </w:r>
          </w:p>
        </w:tc>
      </w:tr>
      <w:tr w:rsidR="009169E8" w14:paraId="36265AF0" w14:textId="77777777" w:rsidTr="00EA7502">
        <w:trPr>
          <w:trHeight w:val="113"/>
        </w:trPr>
        <w:tc>
          <w:tcPr>
            <w:cnfStyle w:val="000010000000" w:firstRow="0" w:lastRow="0" w:firstColumn="0" w:lastColumn="0" w:oddVBand="1" w:evenVBand="0" w:oddHBand="0" w:evenHBand="0" w:firstRowFirstColumn="0" w:firstRowLastColumn="0" w:lastRowFirstColumn="0" w:lastRowLastColumn="0"/>
            <w:tcW w:w="1134" w:type="dxa"/>
          </w:tcPr>
          <w:p w14:paraId="6C856A62" w14:textId="77777777" w:rsidR="009169E8" w:rsidRPr="00416979" w:rsidRDefault="009169E8" w:rsidP="00416979">
            <w:pPr>
              <w:pStyle w:val="Tabletext"/>
            </w:pPr>
            <w:r w:rsidRPr="00416979">
              <w:t>Total</w:t>
            </w:r>
          </w:p>
        </w:tc>
        <w:tc>
          <w:tcPr>
            <w:cnfStyle w:val="000001000000" w:firstRow="0" w:lastRow="0" w:firstColumn="0" w:lastColumn="0" w:oddVBand="0" w:evenVBand="1" w:oddHBand="0" w:evenHBand="0" w:firstRowFirstColumn="0" w:firstRowLastColumn="0" w:lastRowFirstColumn="0" w:lastRowLastColumn="0"/>
            <w:tcW w:w="1247" w:type="dxa"/>
          </w:tcPr>
          <w:p w14:paraId="554F339A" w14:textId="77777777" w:rsidR="009169E8" w:rsidRPr="00416979" w:rsidRDefault="009169E8" w:rsidP="00416979">
            <w:pPr>
              <w:pStyle w:val="Tabletext"/>
            </w:pPr>
            <w:r w:rsidRPr="00416979">
              <w:t>52</w:t>
            </w:r>
          </w:p>
        </w:tc>
        <w:tc>
          <w:tcPr>
            <w:cnfStyle w:val="000010000000" w:firstRow="0" w:lastRow="0" w:firstColumn="0" w:lastColumn="0" w:oddVBand="1" w:evenVBand="0" w:oddHBand="0" w:evenHBand="0" w:firstRowFirstColumn="0" w:firstRowLastColumn="0" w:lastRowFirstColumn="0" w:lastRowLastColumn="0"/>
            <w:tcW w:w="1247" w:type="dxa"/>
          </w:tcPr>
          <w:p w14:paraId="5A7B7A7A" w14:textId="77777777" w:rsidR="009169E8" w:rsidRPr="00416979" w:rsidRDefault="009169E8" w:rsidP="00416979">
            <w:pPr>
              <w:pStyle w:val="Tabletext"/>
            </w:pPr>
            <w:r w:rsidRPr="00416979">
              <w:t>58</w:t>
            </w:r>
          </w:p>
        </w:tc>
        <w:tc>
          <w:tcPr>
            <w:cnfStyle w:val="000001000000" w:firstRow="0" w:lastRow="0" w:firstColumn="0" w:lastColumn="0" w:oddVBand="0" w:evenVBand="1" w:oddHBand="0" w:evenHBand="0" w:firstRowFirstColumn="0" w:firstRowLastColumn="0" w:lastRowFirstColumn="0" w:lastRowLastColumn="0"/>
            <w:tcW w:w="1248" w:type="dxa"/>
          </w:tcPr>
          <w:p w14:paraId="4E168ADD" w14:textId="77777777" w:rsidR="009169E8" w:rsidRPr="00416979" w:rsidRDefault="009169E8" w:rsidP="00416979">
            <w:pPr>
              <w:pStyle w:val="Tabletext"/>
            </w:pPr>
            <w:r w:rsidRPr="00416979">
              <w:t>110</w:t>
            </w:r>
          </w:p>
        </w:tc>
        <w:tc>
          <w:tcPr>
            <w:cnfStyle w:val="000010000000" w:firstRow="0" w:lastRow="0" w:firstColumn="0" w:lastColumn="0" w:oddVBand="1" w:evenVBand="0" w:oddHBand="0" w:evenHBand="0" w:firstRowFirstColumn="0" w:firstRowLastColumn="0" w:lastRowFirstColumn="0" w:lastRowLastColumn="0"/>
            <w:tcW w:w="5329" w:type="dxa"/>
          </w:tcPr>
          <w:p w14:paraId="51DA1361" w14:textId="77777777" w:rsidR="009169E8" w:rsidRPr="00416979" w:rsidRDefault="009169E8" w:rsidP="00416979">
            <w:pPr>
              <w:pStyle w:val="Tabletext"/>
            </w:pPr>
          </w:p>
        </w:tc>
      </w:tr>
    </w:tbl>
    <w:p w14:paraId="33648BFA" w14:textId="19FFD757" w:rsidR="009169E8" w:rsidRDefault="009169E8" w:rsidP="00416979">
      <w:pPr>
        <w:pStyle w:val="DHHStablefigurenote"/>
        <w:ind w:left="227" w:hanging="227"/>
      </w:pPr>
      <w:r>
        <w:t xml:space="preserve">* </w:t>
      </w:r>
      <w:r>
        <w:tab/>
        <w:t xml:space="preserve">A full description of The American Society of Anaesthesiologists’ </w:t>
      </w:r>
      <w:hyperlink r:id="rId23" w:history="1">
        <w:r w:rsidRPr="003D522F">
          <w:rPr>
            <w:rStyle w:val="Hyperlink"/>
            <w:color w:val="0063A5"/>
            <w:u w:val="single"/>
          </w:rPr>
          <w:t>ASA Physical Status Classification System is available online</w:t>
        </w:r>
      </w:hyperlink>
      <w:r w:rsidRPr="003D522F">
        <w:rPr>
          <w:color w:val="0063A5"/>
        </w:rPr>
        <w:t xml:space="preserve"> </w:t>
      </w:r>
      <w:r>
        <w:t>&lt;https://www.asahq.org/standards-and-guidelines/asa-physical-status-classification-system&gt;.</w:t>
      </w:r>
    </w:p>
    <w:p w14:paraId="3D47DECB" w14:textId="77777777" w:rsidR="009169E8" w:rsidRDefault="009169E8" w:rsidP="008E28A3">
      <w:pPr>
        <w:pStyle w:val="DHHSbody"/>
      </w:pPr>
      <w:r>
        <w:t>Most anaesthesia-related mortality events occurred in patients classified as ASA 4 (50 per cent; 29/58) or ASA 3 (32.8 per cent; 19/58). Most anaesthesia-related morbidity events occurred in patients classified as ASA 3 (38.5 per cent; 20/52) or ASA 2 (36.5 per cent, 19/52).</w:t>
      </w:r>
    </w:p>
    <w:p w14:paraId="31FA075C" w14:textId="77777777" w:rsidR="009169E8" w:rsidRDefault="009169E8" w:rsidP="000A4644">
      <w:pPr>
        <w:pStyle w:val="Heading2"/>
      </w:pPr>
      <w:r>
        <w:t>URGENCY OF PROCEDURE</w:t>
      </w:r>
    </w:p>
    <w:p w14:paraId="5FF9177B" w14:textId="5819764D" w:rsidR="009169E8" w:rsidRDefault="009169E8" w:rsidP="008E28A3">
      <w:pPr>
        <w:pStyle w:val="DHHSbody"/>
      </w:pPr>
      <w:r>
        <w:t>For consistency in approach, procedures were classified as emergency (non-elective) or elective by considering the definition of emergency surgery used by the Australian Institute of Health and Welfare (AIHW).</w:t>
      </w:r>
    </w:p>
    <w:p w14:paraId="4FD7BC05" w14:textId="2A409663" w:rsidR="001F7816" w:rsidRDefault="001F7816" w:rsidP="008E28A3">
      <w:pPr>
        <w:pStyle w:val="DHHSbody"/>
      </w:pPr>
      <w:r w:rsidRPr="001F7816">
        <w:t>[Break out box text:</w:t>
      </w:r>
    </w:p>
    <w:p w14:paraId="518BF8D7" w14:textId="77777777" w:rsidR="001F7816" w:rsidRDefault="001F7816" w:rsidP="001F7816">
      <w:pPr>
        <w:pStyle w:val="DHHSbody"/>
      </w:pPr>
      <w:r>
        <w:t>‘Emergency surgery is surgery to treat trauma or acute illness subsequent to an emergency presentation. The patient may require immediate surgery or present for surgery at a later time following this unplanned presentation. This includes where the patient leaves hospital and returns for a subsequent admission. Emergency surgery includes unplanned surgery for admitted patients and unplanned surgery for patients already awaiting an elective surgery procedure (for example, in cases of acute deterioration of an existing condition).’</w:t>
      </w:r>
    </w:p>
    <w:p w14:paraId="0AD61262" w14:textId="01D635A3" w:rsidR="001F7816" w:rsidRDefault="001F7816" w:rsidP="001F7816">
      <w:pPr>
        <w:pStyle w:val="DHHSbody"/>
      </w:pPr>
      <w:r w:rsidRPr="00E4382A">
        <w:t xml:space="preserve">(AIHW </w:t>
      </w:r>
      <w:proofErr w:type="spellStart"/>
      <w:r w:rsidRPr="00E4382A">
        <w:t>METeOR</w:t>
      </w:r>
      <w:proofErr w:type="spellEnd"/>
      <w:r w:rsidRPr="00E4382A">
        <w:t>)</w:t>
      </w:r>
    </w:p>
    <w:p w14:paraId="0F432819" w14:textId="0BF23FD7" w:rsidR="009169E8" w:rsidRDefault="001F7816" w:rsidP="008E28A3">
      <w:pPr>
        <w:pStyle w:val="DHHSbody"/>
      </w:pPr>
      <w:r w:rsidRPr="001F7816">
        <w:t>End of break out box text.]</w:t>
      </w:r>
    </w:p>
    <w:p w14:paraId="1E65F35E" w14:textId="77777777" w:rsidR="009169E8" w:rsidRDefault="009169E8" w:rsidP="008E28A3">
      <w:pPr>
        <w:pStyle w:val="DHHSbody"/>
      </w:pPr>
      <w:r>
        <w:t xml:space="preserve">This classification of urgency of procedure is intended to give an overview of the proportion of cases where procedural intervention under anaesthesia </w:t>
      </w:r>
      <w:r>
        <w:rPr>
          <w:spacing w:val="-2"/>
        </w:rPr>
        <w:t xml:space="preserve">was required for an acute condition. This distinction </w:t>
      </w:r>
      <w:r>
        <w:t>is important because elective procedures offer greater opportunity for preoperative assessment, discussion, planning and optimising management of comorbidities and intercurrent illness.</w:t>
      </w:r>
    </w:p>
    <w:p w14:paraId="48361E09" w14:textId="77777777" w:rsidR="009169E8" w:rsidRDefault="009169E8" w:rsidP="008E28A3">
      <w:pPr>
        <w:pStyle w:val="DHHSbody"/>
      </w:pPr>
      <w:r>
        <w:t>Classification was most difficult in procedures on scheduled surgical lists and described as ‘semi</w:t>
      </w:r>
      <w:r>
        <w:rPr>
          <w:rFonts w:ascii="Cambria Math" w:hAnsi="Cambria Math" w:cs="Cambria Math"/>
        </w:rPr>
        <w:t>‑</w:t>
      </w:r>
      <w:r>
        <w:t>elective’.</w:t>
      </w:r>
    </w:p>
    <w:p w14:paraId="5F2B24A5" w14:textId="77777777" w:rsidR="009169E8" w:rsidRDefault="009169E8" w:rsidP="008E28A3">
      <w:pPr>
        <w:pStyle w:val="DHHSbody"/>
      </w:pPr>
      <w:r>
        <w:t>Using this approach, 54 (49 per cent) of the referred cases involved emergency (non-elective) procedures.</w:t>
      </w:r>
    </w:p>
    <w:p w14:paraId="7E74A304" w14:textId="77777777" w:rsidR="009169E8" w:rsidRDefault="009169E8" w:rsidP="000A4644">
      <w:pPr>
        <w:pStyle w:val="Heading2"/>
      </w:pPr>
      <w:r>
        <w:lastRenderedPageBreak/>
        <w:t>GRADE OF ANAESTHETIST</w:t>
      </w:r>
    </w:p>
    <w:p w14:paraId="5B9ED85F" w14:textId="77777777" w:rsidR="009169E8" w:rsidRDefault="009169E8" w:rsidP="008E28A3">
      <w:pPr>
        <w:pStyle w:val="DHHSbody"/>
      </w:pPr>
      <w:r>
        <w:t xml:space="preserve">In most category 1–3 cases (77.3 per cent, 85/110), the grade of anaesthetist was reported to be a specialist anaesthetist. In 12.7 per cent (14/110 cases) the grade of anaesthetist was reported to be a trainee (Table 6). </w:t>
      </w:r>
    </w:p>
    <w:p w14:paraId="77DFA188" w14:textId="77777777" w:rsidR="009169E8" w:rsidRDefault="009169E8" w:rsidP="00B8026E">
      <w:pPr>
        <w:pStyle w:val="Tablechartdiagramheading"/>
      </w:pPr>
      <w:r>
        <w:t>Table 6: Grade of anaesthetist reported for category 1–3 cases</w:t>
      </w:r>
    </w:p>
    <w:tbl>
      <w:tblPr>
        <w:tblStyle w:val="PlainTable2"/>
        <w:tblW w:w="0" w:type="auto"/>
        <w:tblLayout w:type="fixed"/>
        <w:tblLook w:val="0020" w:firstRow="1" w:lastRow="0" w:firstColumn="0" w:lastColumn="0" w:noHBand="0" w:noVBand="0"/>
      </w:tblPr>
      <w:tblGrid>
        <w:gridCol w:w="5102"/>
        <w:gridCol w:w="1701"/>
        <w:gridCol w:w="1701"/>
        <w:gridCol w:w="1701"/>
      </w:tblGrid>
      <w:tr w:rsidR="009169E8" w14:paraId="0BE45EC8" w14:textId="77777777" w:rsidTr="007E44D1">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5102" w:type="dxa"/>
          </w:tcPr>
          <w:p w14:paraId="5944C342" w14:textId="77777777" w:rsidR="009169E8" w:rsidRPr="007E44D1" w:rsidRDefault="009169E8" w:rsidP="00A90D07">
            <w:pPr>
              <w:pStyle w:val="Tableheader"/>
              <w:rPr>
                <w:b/>
              </w:rPr>
            </w:pPr>
            <w:r w:rsidRPr="007E44D1">
              <w:rPr>
                <w:b/>
              </w:rPr>
              <w:t>Grade of anaesthetist</w:t>
            </w:r>
          </w:p>
        </w:tc>
        <w:tc>
          <w:tcPr>
            <w:cnfStyle w:val="000001000000" w:firstRow="0" w:lastRow="0" w:firstColumn="0" w:lastColumn="0" w:oddVBand="0" w:evenVBand="1" w:oddHBand="0" w:evenHBand="0" w:firstRowFirstColumn="0" w:firstRowLastColumn="0" w:lastRowFirstColumn="0" w:lastRowLastColumn="0"/>
            <w:tcW w:w="1701" w:type="dxa"/>
          </w:tcPr>
          <w:p w14:paraId="3E03A7B3" w14:textId="77777777" w:rsidR="009169E8" w:rsidRPr="007E44D1" w:rsidRDefault="009169E8" w:rsidP="00A90D07">
            <w:pPr>
              <w:pStyle w:val="Tableheader"/>
              <w:rPr>
                <w:b/>
              </w:rPr>
            </w:pPr>
            <w:r w:rsidRPr="007E44D1">
              <w:rPr>
                <w:b/>
              </w:rPr>
              <w:t>Morbidity</w:t>
            </w:r>
          </w:p>
        </w:tc>
        <w:tc>
          <w:tcPr>
            <w:cnfStyle w:val="000010000000" w:firstRow="0" w:lastRow="0" w:firstColumn="0" w:lastColumn="0" w:oddVBand="1" w:evenVBand="0" w:oddHBand="0" w:evenHBand="0" w:firstRowFirstColumn="0" w:firstRowLastColumn="0" w:lastRowFirstColumn="0" w:lastRowLastColumn="0"/>
            <w:tcW w:w="1701" w:type="dxa"/>
          </w:tcPr>
          <w:p w14:paraId="2D454702" w14:textId="77777777" w:rsidR="009169E8" w:rsidRPr="007E44D1" w:rsidRDefault="009169E8" w:rsidP="00A90D07">
            <w:pPr>
              <w:pStyle w:val="Tableheader"/>
              <w:rPr>
                <w:b/>
              </w:rPr>
            </w:pPr>
            <w:r w:rsidRPr="007E44D1">
              <w:rPr>
                <w:b/>
              </w:rPr>
              <w:t>Mortality</w:t>
            </w:r>
          </w:p>
        </w:tc>
        <w:tc>
          <w:tcPr>
            <w:cnfStyle w:val="000001000000" w:firstRow="0" w:lastRow="0" w:firstColumn="0" w:lastColumn="0" w:oddVBand="0" w:evenVBand="1" w:oddHBand="0" w:evenHBand="0" w:firstRowFirstColumn="0" w:firstRowLastColumn="0" w:lastRowFirstColumn="0" w:lastRowLastColumn="0"/>
            <w:tcW w:w="1701" w:type="dxa"/>
          </w:tcPr>
          <w:p w14:paraId="55C1EE6B" w14:textId="77777777" w:rsidR="009169E8" w:rsidRPr="007E44D1" w:rsidRDefault="009169E8" w:rsidP="00A90D07">
            <w:pPr>
              <w:pStyle w:val="Tableheader"/>
              <w:rPr>
                <w:b/>
              </w:rPr>
            </w:pPr>
            <w:r w:rsidRPr="007E44D1">
              <w:rPr>
                <w:b/>
              </w:rPr>
              <w:t>Total</w:t>
            </w:r>
          </w:p>
        </w:tc>
      </w:tr>
      <w:tr w:rsidR="009169E8" w14:paraId="7AF6E8EA" w14:textId="77777777" w:rsidTr="007E44D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5314E550" w14:textId="77777777" w:rsidR="009169E8" w:rsidRPr="001F7816" w:rsidRDefault="009169E8" w:rsidP="001F7816">
            <w:pPr>
              <w:pStyle w:val="Tabletext"/>
            </w:pPr>
            <w:r w:rsidRPr="001F7816">
              <w:t>GP/anaesthetist</w:t>
            </w:r>
          </w:p>
        </w:tc>
        <w:tc>
          <w:tcPr>
            <w:cnfStyle w:val="000001000000" w:firstRow="0" w:lastRow="0" w:firstColumn="0" w:lastColumn="0" w:oddVBand="0" w:evenVBand="1" w:oddHBand="0" w:evenHBand="0" w:firstRowFirstColumn="0" w:firstRowLastColumn="0" w:lastRowFirstColumn="0" w:lastRowLastColumn="0"/>
            <w:tcW w:w="1701" w:type="dxa"/>
          </w:tcPr>
          <w:p w14:paraId="63AE12EA" w14:textId="77777777" w:rsidR="009169E8" w:rsidRPr="001F7816" w:rsidRDefault="009169E8" w:rsidP="001F7816">
            <w:pPr>
              <w:pStyle w:val="Tabletext"/>
            </w:pPr>
            <w:r w:rsidRPr="001F7816">
              <w:t>1</w:t>
            </w:r>
          </w:p>
        </w:tc>
        <w:tc>
          <w:tcPr>
            <w:cnfStyle w:val="000010000000" w:firstRow="0" w:lastRow="0" w:firstColumn="0" w:lastColumn="0" w:oddVBand="1" w:evenVBand="0" w:oddHBand="0" w:evenHBand="0" w:firstRowFirstColumn="0" w:firstRowLastColumn="0" w:lastRowFirstColumn="0" w:lastRowLastColumn="0"/>
            <w:tcW w:w="1701" w:type="dxa"/>
          </w:tcPr>
          <w:p w14:paraId="28188795" w14:textId="77777777" w:rsidR="009169E8" w:rsidRPr="001F7816" w:rsidRDefault="009169E8" w:rsidP="001F7816">
            <w:pPr>
              <w:pStyle w:val="Tabletext"/>
            </w:pPr>
            <w:r w:rsidRPr="001F7816">
              <w:t>0</w:t>
            </w:r>
          </w:p>
        </w:tc>
        <w:tc>
          <w:tcPr>
            <w:cnfStyle w:val="000001000000" w:firstRow="0" w:lastRow="0" w:firstColumn="0" w:lastColumn="0" w:oddVBand="0" w:evenVBand="1" w:oddHBand="0" w:evenHBand="0" w:firstRowFirstColumn="0" w:firstRowLastColumn="0" w:lastRowFirstColumn="0" w:lastRowLastColumn="0"/>
            <w:tcW w:w="1701" w:type="dxa"/>
          </w:tcPr>
          <w:p w14:paraId="50161A2C" w14:textId="77777777" w:rsidR="009169E8" w:rsidRPr="001F7816" w:rsidRDefault="009169E8" w:rsidP="001F7816">
            <w:pPr>
              <w:pStyle w:val="Tabletext"/>
            </w:pPr>
            <w:r w:rsidRPr="001F7816">
              <w:t>1</w:t>
            </w:r>
          </w:p>
        </w:tc>
      </w:tr>
      <w:tr w:rsidR="009169E8" w14:paraId="1FAEA348" w14:textId="77777777" w:rsidTr="007E44D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6D525E87" w14:textId="77777777" w:rsidR="009169E8" w:rsidRPr="001F7816" w:rsidRDefault="009169E8" w:rsidP="001F7816">
            <w:pPr>
              <w:pStyle w:val="Tabletext"/>
            </w:pPr>
            <w:r w:rsidRPr="001F7816">
              <w:t>Specialist (FANZCA)</w:t>
            </w:r>
          </w:p>
        </w:tc>
        <w:tc>
          <w:tcPr>
            <w:cnfStyle w:val="000001000000" w:firstRow="0" w:lastRow="0" w:firstColumn="0" w:lastColumn="0" w:oddVBand="0" w:evenVBand="1" w:oddHBand="0" w:evenHBand="0" w:firstRowFirstColumn="0" w:firstRowLastColumn="0" w:lastRowFirstColumn="0" w:lastRowLastColumn="0"/>
            <w:tcW w:w="1701" w:type="dxa"/>
          </w:tcPr>
          <w:p w14:paraId="0C015543" w14:textId="77777777" w:rsidR="009169E8" w:rsidRPr="001F7816" w:rsidRDefault="009169E8" w:rsidP="001F7816">
            <w:pPr>
              <w:pStyle w:val="Tabletext"/>
            </w:pPr>
            <w:r w:rsidRPr="001F7816">
              <w:t>41</w:t>
            </w:r>
          </w:p>
        </w:tc>
        <w:tc>
          <w:tcPr>
            <w:cnfStyle w:val="000010000000" w:firstRow="0" w:lastRow="0" w:firstColumn="0" w:lastColumn="0" w:oddVBand="1" w:evenVBand="0" w:oddHBand="0" w:evenHBand="0" w:firstRowFirstColumn="0" w:firstRowLastColumn="0" w:lastRowFirstColumn="0" w:lastRowLastColumn="0"/>
            <w:tcW w:w="1701" w:type="dxa"/>
          </w:tcPr>
          <w:p w14:paraId="2A309454" w14:textId="77777777" w:rsidR="009169E8" w:rsidRPr="001F7816" w:rsidRDefault="009169E8" w:rsidP="001F7816">
            <w:pPr>
              <w:pStyle w:val="Tabletext"/>
            </w:pPr>
            <w:r w:rsidRPr="001F7816">
              <w:t>44</w:t>
            </w:r>
          </w:p>
        </w:tc>
        <w:tc>
          <w:tcPr>
            <w:cnfStyle w:val="000001000000" w:firstRow="0" w:lastRow="0" w:firstColumn="0" w:lastColumn="0" w:oddVBand="0" w:evenVBand="1" w:oddHBand="0" w:evenHBand="0" w:firstRowFirstColumn="0" w:firstRowLastColumn="0" w:lastRowFirstColumn="0" w:lastRowLastColumn="0"/>
            <w:tcW w:w="1701" w:type="dxa"/>
          </w:tcPr>
          <w:p w14:paraId="24B71BB5" w14:textId="77777777" w:rsidR="009169E8" w:rsidRPr="001F7816" w:rsidRDefault="009169E8" w:rsidP="001F7816">
            <w:pPr>
              <w:pStyle w:val="Tabletext"/>
            </w:pPr>
            <w:r w:rsidRPr="001F7816">
              <w:t>85</w:t>
            </w:r>
          </w:p>
        </w:tc>
      </w:tr>
      <w:tr w:rsidR="009169E8" w14:paraId="25DD2251" w14:textId="77777777" w:rsidTr="007E44D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9BAC14C" w14:textId="77777777" w:rsidR="009169E8" w:rsidRPr="001F7816" w:rsidRDefault="009169E8" w:rsidP="001F7816">
            <w:pPr>
              <w:pStyle w:val="Tabletext"/>
            </w:pPr>
            <w:r w:rsidRPr="001F7816">
              <w:t>Trainee</w:t>
            </w:r>
          </w:p>
        </w:tc>
        <w:tc>
          <w:tcPr>
            <w:cnfStyle w:val="000001000000" w:firstRow="0" w:lastRow="0" w:firstColumn="0" w:lastColumn="0" w:oddVBand="0" w:evenVBand="1" w:oddHBand="0" w:evenHBand="0" w:firstRowFirstColumn="0" w:firstRowLastColumn="0" w:lastRowFirstColumn="0" w:lastRowLastColumn="0"/>
            <w:tcW w:w="1701" w:type="dxa"/>
          </w:tcPr>
          <w:p w14:paraId="5C9646AA" w14:textId="77777777" w:rsidR="009169E8" w:rsidRPr="001F7816" w:rsidRDefault="009169E8" w:rsidP="001F7816">
            <w:pPr>
              <w:pStyle w:val="Tabletext"/>
            </w:pPr>
            <w:r w:rsidRPr="001F7816">
              <w:t>10</w:t>
            </w:r>
          </w:p>
        </w:tc>
        <w:tc>
          <w:tcPr>
            <w:cnfStyle w:val="000010000000" w:firstRow="0" w:lastRow="0" w:firstColumn="0" w:lastColumn="0" w:oddVBand="1" w:evenVBand="0" w:oddHBand="0" w:evenHBand="0" w:firstRowFirstColumn="0" w:firstRowLastColumn="0" w:lastRowFirstColumn="0" w:lastRowLastColumn="0"/>
            <w:tcW w:w="1701" w:type="dxa"/>
          </w:tcPr>
          <w:p w14:paraId="0C21E198" w14:textId="77777777" w:rsidR="009169E8" w:rsidRPr="001F7816" w:rsidRDefault="009169E8" w:rsidP="001F7816">
            <w:pPr>
              <w:pStyle w:val="Tabletext"/>
            </w:pPr>
            <w:r w:rsidRPr="001F7816">
              <w:t>4</w:t>
            </w:r>
          </w:p>
        </w:tc>
        <w:tc>
          <w:tcPr>
            <w:cnfStyle w:val="000001000000" w:firstRow="0" w:lastRow="0" w:firstColumn="0" w:lastColumn="0" w:oddVBand="0" w:evenVBand="1" w:oddHBand="0" w:evenHBand="0" w:firstRowFirstColumn="0" w:firstRowLastColumn="0" w:lastRowFirstColumn="0" w:lastRowLastColumn="0"/>
            <w:tcW w:w="1701" w:type="dxa"/>
          </w:tcPr>
          <w:p w14:paraId="0AD84509" w14:textId="77777777" w:rsidR="009169E8" w:rsidRPr="001F7816" w:rsidRDefault="009169E8" w:rsidP="001F7816">
            <w:pPr>
              <w:pStyle w:val="Tabletext"/>
            </w:pPr>
            <w:r w:rsidRPr="001F7816">
              <w:t>14</w:t>
            </w:r>
          </w:p>
        </w:tc>
      </w:tr>
      <w:tr w:rsidR="009169E8" w14:paraId="4418CB20" w14:textId="77777777" w:rsidTr="007E44D1">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2F7A522C" w14:textId="77777777" w:rsidR="009169E8" w:rsidRPr="001F7816" w:rsidRDefault="009169E8" w:rsidP="001F7816">
            <w:pPr>
              <w:pStyle w:val="Tabletext"/>
            </w:pPr>
            <w:r w:rsidRPr="001F7816">
              <w:t>Unknown</w:t>
            </w:r>
          </w:p>
        </w:tc>
        <w:tc>
          <w:tcPr>
            <w:cnfStyle w:val="000001000000" w:firstRow="0" w:lastRow="0" w:firstColumn="0" w:lastColumn="0" w:oddVBand="0" w:evenVBand="1" w:oddHBand="0" w:evenHBand="0" w:firstRowFirstColumn="0" w:firstRowLastColumn="0" w:lastRowFirstColumn="0" w:lastRowLastColumn="0"/>
            <w:tcW w:w="1701" w:type="dxa"/>
          </w:tcPr>
          <w:p w14:paraId="02AF262C" w14:textId="77777777" w:rsidR="009169E8" w:rsidRPr="001F7816" w:rsidRDefault="009169E8" w:rsidP="001F7816">
            <w:pPr>
              <w:pStyle w:val="Tabletext"/>
            </w:pPr>
            <w:r w:rsidRPr="001F7816">
              <w:t>0</w:t>
            </w:r>
          </w:p>
        </w:tc>
        <w:tc>
          <w:tcPr>
            <w:cnfStyle w:val="000010000000" w:firstRow="0" w:lastRow="0" w:firstColumn="0" w:lastColumn="0" w:oddVBand="1" w:evenVBand="0" w:oddHBand="0" w:evenHBand="0" w:firstRowFirstColumn="0" w:firstRowLastColumn="0" w:lastRowFirstColumn="0" w:lastRowLastColumn="0"/>
            <w:tcW w:w="1701" w:type="dxa"/>
          </w:tcPr>
          <w:p w14:paraId="145824B4" w14:textId="77777777" w:rsidR="009169E8" w:rsidRPr="001F7816" w:rsidRDefault="009169E8" w:rsidP="001F7816">
            <w:pPr>
              <w:pStyle w:val="Tabletext"/>
            </w:pPr>
            <w:r w:rsidRPr="001F7816">
              <w:t>10</w:t>
            </w:r>
          </w:p>
        </w:tc>
        <w:tc>
          <w:tcPr>
            <w:cnfStyle w:val="000001000000" w:firstRow="0" w:lastRow="0" w:firstColumn="0" w:lastColumn="0" w:oddVBand="0" w:evenVBand="1" w:oddHBand="0" w:evenHBand="0" w:firstRowFirstColumn="0" w:firstRowLastColumn="0" w:lastRowFirstColumn="0" w:lastRowLastColumn="0"/>
            <w:tcW w:w="1701" w:type="dxa"/>
          </w:tcPr>
          <w:p w14:paraId="1484C225" w14:textId="77777777" w:rsidR="009169E8" w:rsidRPr="001F7816" w:rsidRDefault="009169E8" w:rsidP="001F7816">
            <w:pPr>
              <w:pStyle w:val="Tabletext"/>
            </w:pPr>
            <w:r w:rsidRPr="001F7816">
              <w:t>10</w:t>
            </w:r>
          </w:p>
        </w:tc>
      </w:tr>
      <w:tr w:rsidR="009169E8" w14:paraId="23D73CD5" w14:textId="77777777" w:rsidTr="007E44D1">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635619F" w14:textId="77777777" w:rsidR="009169E8" w:rsidRPr="001F7816" w:rsidRDefault="009169E8" w:rsidP="001F7816">
            <w:pPr>
              <w:pStyle w:val="Tabletext"/>
              <w:rPr>
                <w:b/>
              </w:rPr>
            </w:pPr>
            <w:r w:rsidRPr="001F7816">
              <w:rPr>
                <w:b/>
              </w:rPr>
              <w:t>Total</w:t>
            </w:r>
          </w:p>
        </w:tc>
        <w:tc>
          <w:tcPr>
            <w:cnfStyle w:val="000001000000" w:firstRow="0" w:lastRow="0" w:firstColumn="0" w:lastColumn="0" w:oddVBand="0" w:evenVBand="1" w:oddHBand="0" w:evenHBand="0" w:firstRowFirstColumn="0" w:firstRowLastColumn="0" w:lastRowFirstColumn="0" w:lastRowLastColumn="0"/>
            <w:tcW w:w="1701" w:type="dxa"/>
          </w:tcPr>
          <w:p w14:paraId="48EEBFD1" w14:textId="77777777" w:rsidR="009169E8" w:rsidRPr="001F7816" w:rsidRDefault="009169E8" w:rsidP="001F7816">
            <w:pPr>
              <w:pStyle w:val="Tabletext"/>
              <w:rPr>
                <w:b/>
              </w:rPr>
            </w:pPr>
            <w:r w:rsidRPr="001F7816">
              <w:rPr>
                <w:b/>
              </w:rPr>
              <w:t>52</w:t>
            </w:r>
          </w:p>
        </w:tc>
        <w:tc>
          <w:tcPr>
            <w:cnfStyle w:val="000010000000" w:firstRow="0" w:lastRow="0" w:firstColumn="0" w:lastColumn="0" w:oddVBand="1" w:evenVBand="0" w:oddHBand="0" w:evenHBand="0" w:firstRowFirstColumn="0" w:firstRowLastColumn="0" w:lastRowFirstColumn="0" w:lastRowLastColumn="0"/>
            <w:tcW w:w="1701" w:type="dxa"/>
          </w:tcPr>
          <w:p w14:paraId="0A419177" w14:textId="77777777" w:rsidR="009169E8" w:rsidRPr="001F7816" w:rsidRDefault="009169E8" w:rsidP="001F7816">
            <w:pPr>
              <w:pStyle w:val="Tabletext"/>
              <w:rPr>
                <w:b/>
              </w:rPr>
            </w:pPr>
            <w:r w:rsidRPr="001F7816">
              <w:rPr>
                <w:b/>
              </w:rPr>
              <w:t>58</w:t>
            </w:r>
          </w:p>
        </w:tc>
        <w:tc>
          <w:tcPr>
            <w:cnfStyle w:val="000001000000" w:firstRow="0" w:lastRow="0" w:firstColumn="0" w:lastColumn="0" w:oddVBand="0" w:evenVBand="1" w:oddHBand="0" w:evenHBand="0" w:firstRowFirstColumn="0" w:firstRowLastColumn="0" w:lastRowFirstColumn="0" w:lastRowLastColumn="0"/>
            <w:tcW w:w="1701" w:type="dxa"/>
          </w:tcPr>
          <w:p w14:paraId="10764239" w14:textId="77777777" w:rsidR="009169E8" w:rsidRPr="001F7816" w:rsidRDefault="009169E8" w:rsidP="001F7816">
            <w:pPr>
              <w:pStyle w:val="Tabletext"/>
              <w:rPr>
                <w:b/>
              </w:rPr>
            </w:pPr>
            <w:r w:rsidRPr="001F7816">
              <w:rPr>
                <w:b/>
              </w:rPr>
              <w:t>110</w:t>
            </w:r>
          </w:p>
        </w:tc>
      </w:tr>
    </w:tbl>
    <w:p w14:paraId="696901FF" w14:textId="77777777" w:rsidR="009169E8" w:rsidRDefault="009169E8" w:rsidP="00B85862">
      <w:pPr>
        <w:pStyle w:val="DHHStablefigurenote"/>
      </w:pPr>
      <w:r>
        <w:t>FANZCA = a fellowship with ANZCA</w:t>
      </w:r>
    </w:p>
    <w:p w14:paraId="7C7E7916" w14:textId="77777777" w:rsidR="009169E8" w:rsidRDefault="009169E8" w:rsidP="008E28A3">
      <w:pPr>
        <w:pStyle w:val="DHHSbody"/>
      </w:pPr>
      <w:r>
        <w:t>Council was encouraged to see reports submitted by trainees as well as by specialist anaesthetists. This has helped identify issues that may arise more commonly with trainees such as shift handover concerns.</w:t>
      </w:r>
    </w:p>
    <w:p w14:paraId="1AF83EF3" w14:textId="77777777" w:rsidR="009169E8" w:rsidRDefault="009169E8" w:rsidP="000A4644">
      <w:pPr>
        <w:pStyle w:val="Heading2"/>
      </w:pPr>
      <w:r>
        <w:t>LOCATION FOR ANAESTHESIA-RELATED MORTALITY AND MORBIDITY</w:t>
      </w:r>
    </w:p>
    <w:p w14:paraId="4093B0CA" w14:textId="63DC41CF" w:rsidR="009169E8" w:rsidRDefault="009169E8" w:rsidP="008E28A3">
      <w:pPr>
        <w:pStyle w:val="DHHSbody"/>
      </w:pPr>
      <w:r>
        <w:t>Anaesthesia-related morbidity events occurred mostly in the operating room (82.7 per cent; 43/52), while events in anaesthesia-related mortality cases occurred across a broader range of perioperative care locations (Table 7).</w:t>
      </w:r>
    </w:p>
    <w:p w14:paraId="7CF21E47" w14:textId="77777777" w:rsidR="009169E8" w:rsidRDefault="009169E8" w:rsidP="00B8026E">
      <w:pPr>
        <w:pStyle w:val="Tablechartdiagramheading"/>
      </w:pPr>
      <w:r>
        <w:t>Table 7: Location of event recorded for category 1–3 cases</w:t>
      </w:r>
    </w:p>
    <w:tbl>
      <w:tblPr>
        <w:tblStyle w:val="PlainTable2"/>
        <w:tblW w:w="0" w:type="auto"/>
        <w:tblLayout w:type="fixed"/>
        <w:tblLook w:val="0020" w:firstRow="1" w:lastRow="0" w:firstColumn="0" w:lastColumn="0" w:noHBand="0" w:noVBand="0"/>
      </w:tblPr>
      <w:tblGrid>
        <w:gridCol w:w="5102"/>
        <w:gridCol w:w="1701"/>
        <w:gridCol w:w="1701"/>
        <w:gridCol w:w="1701"/>
      </w:tblGrid>
      <w:tr w:rsidR="009169E8" w14:paraId="683D2B0F" w14:textId="77777777" w:rsidTr="001768D0">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5102" w:type="dxa"/>
          </w:tcPr>
          <w:p w14:paraId="6F809562" w14:textId="77777777" w:rsidR="009169E8" w:rsidRPr="001768D0" w:rsidRDefault="009169E8" w:rsidP="00A90D07">
            <w:pPr>
              <w:pStyle w:val="Tableheader"/>
              <w:rPr>
                <w:b/>
              </w:rPr>
            </w:pPr>
            <w:r w:rsidRPr="001768D0">
              <w:rPr>
                <w:b/>
              </w:rPr>
              <w:t xml:space="preserve">Location of event </w:t>
            </w:r>
          </w:p>
        </w:tc>
        <w:tc>
          <w:tcPr>
            <w:cnfStyle w:val="000001000000" w:firstRow="0" w:lastRow="0" w:firstColumn="0" w:lastColumn="0" w:oddVBand="0" w:evenVBand="1" w:oddHBand="0" w:evenHBand="0" w:firstRowFirstColumn="0" w:firstRowLastColumn="0" w:lastRowFirstColumn="0" w:lastRowLastColumn="0"/>
            <w:tcW w:w="1701" w:type="dxa"/>
          </w:tcPr>
          <w:p w14:paraId="32EFB9BA" w14:textId="77777777" w:rsidR="009169E8" w:rsidRPr="001768D0" w:rsidRDefault="009169E8" w:rsidP="00A90D07">
            <w:pPr>
              <w:pStyle w:val="Tableheader"/>
              <w:rPr>
                <w:b/>
              </w:rPr>
            </w:pPr>
            <w:r w:rsidRPr="001768D0">
              <w:rPr>
                <w:b/>
              </w:rPr>
              <w:t>Morbidity</w:t>
            </w:r>
          </w:p>
        </w:tc>
        <w:tc>
          <w:tcPr>
            <w:cnfStyle w:val="000010000000" w:firstRow="0" w:lastRow="0" w:firstColumn="0" w:lastColumn="0" w:oddVBand="1" w:evenVBand="0" w:oddHBand="0" w:evenHBand="0" w:firstRowFirstColumn="0" w:firstRowLastColumn="0" w:lastRowFirstColumn="0" w:lastRowLastColumn="0"/>
            <w:tcW w:w="1701" w:type="dxa"/>
          </w:tcPr>
          <w:p w14:paraId="31B4E86B" w14:textId="77777777" w:rsidR="009169E8" w:rsidRPr="001768D0" w:rsidRDefault="009169E8" w:rsidP="00A90D07">
            <w:pPr>
              <w:pStyle w:val="Tableheader"/>
              <w:rPr>
                <w:b/>
              </w:rPr>
            </w:pPr>
            <w:r w:rsidRPr="001768D0">
              <w:rPr>
                <w:b/>
              </w:rPr>
              <w:t>Mortality</w:t>
            </w:r>
          </w:p>
        </w:tc>
        <w:tc>
          <w:tcPr>
            <w:cnfStyle w:val="000001000000" w:firstRow="0" w:lastRow="0" w:firstColumn="0" w:lastColumn="0" w:oddVBand="0" w:evenVBand="1" w:oddHBand="0" w:evenHBand="0" w:firstRowFirstColumn="0" w:firstRowLastColumn="0" w:lastRowFirstColumn="0" w:lastRowLastColumn="0"/>
            <w:tcW w:w="1701" w:type="dxa"/>
          </w:tcPr>
          <w:p w14:paraId="04450E2B" w14:textId="77777777" w:rsidR="009169E8" w:rsidRPr="001768D0" w:rsidRDefault="009169E8" w:rsidP="00A90D07">
            <w:pPr>
              <w:pStyle w:val="Tableheader"/>
              <w:rPr>
                <w:b/>
              </w:rPr>
            </w:pPr>
            <w:r w:rsidRPr="001768D0">
              <w:rPr>
                <w:b/>
              </w:rPr>
              <w:t>Total</w:t>
            </w:r>
          </w:p>
        </w:tc>
      </w:tr>
      <w:tr w:rsidR="009169E8" w14:paraId="53F4192C" w14:textId="77777777" w:rsidTr="001768D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DA9DB6F" w14:textId="77777777" w:rsidR="009169E8" w:rsidRPr="001768D0" w:rsidRDefault="009169E8" w:rsidP="001768D0">
            <w:pPr>
              <w:pStyle w:val="Tabletext"/>
            </w:pPr>
            <w:r w:rsidRPr="001768D0">
              <w:t>Operative room during induction</w:t>
            </w:r>
          </w:p>
        </w:tc>
        <w:tc>
          <w:tcPr>
            <w:cnfStyle w:val="000001000000" w:firstRow="0" w:lastRow="0" w:firstColumn="0" w:lastColumn="0" w:oddVBand="0" w:evenVBand="1" w:oddHBand="0" w:evenHBand="0" w:firstRowFirstColumn="0" w:firstRowLastColumn="0" w:lastRowFirstColumn="0" w:lastRowLastColumn="0"/>
            <w:tcW w:w="1701" w:type="dxa"/>
          </w:tcPr>
          <w:p w14:paraId="4853E3E7" w14:textId="77777777" w:rsidR="009169E8" w:rsidRPr="001768D0" w:rsidRDefault="009169E8" w:rsidP="001768D0">
            <w:pPr>
              <w:pStyle w:val="Tabletext"/>
            </w:pPr>
            <w:r w:rsidRPr="001768D0">
              <w:t>26</w:t>
            </w:r>
          </w:p>
        </w:tc>
        <w:tc>
          <w:tcPr>
            <w:cnfStyle w:val="000010000000" w:firstRow="0" w:lastRow="0" w:firstColumn="0" w:lastColumn="0" w:oddVBand="1" w:evenVBand="0" w:oddHBand="0" w:evenHBand="0" w:firstRowFirstColumn="0" w:firstRowLastColumn="0" w:lastRowFirstColumn="0" w:lastRowLastColumn="0"/>
            <w:tcW w:w="1701" w:type="dxa"/>
          </w:tcPr>
          <w:p w14:paraId="555ADFB2" w14:textId="77777777" w:rsidR="009169E8" w:rsidRPr="001768D0" w:rsidRDefault="009169E8" w:rsidP="001768D0">
            <w:pPr>
              <w:pStyle w:val="Tabletext"/>
            </w:pPr>
            <w:r w:rsidRPr="001768D0">
              <w:t>7</w:t>
            </w:r>
          </w:p>
        </w:tc>
        <w:tc>
          <w:tcPr>
            <w:cnfStyle w:val="000001000000" w:firstRow="0" w:lastRow="0" w:firstColumn="0" w:lastColumn="0" w:oddVBand="0" w:evenVBand="1" w:oddHBand="0" w:evenHBand="0" w:firstRowFirstColumn="0" w:firstRowLastColumn="0" w:lastRowFirstColumn="0" w:lastRowLastColumn="0"/>
            <w:tcW w:w="1701" w:type="dxa"/>
          </w:tcPr>
          <w:p w14:paraId="1A449425" w14:textId="77777777" w:rsidR="009169E8" w:rsidRPr="001768D0" w:rsidRDefault="009169E8" w:rsidP="001768D0">
            <w:pPr>
              <w:pStyle w:val="Tabletext"/>
            </w:pPr>
            <w:r w:rsidRPr="001768D0">
              <w:t>33</w:t>
            </w:r>
          </w:p>
        </w:tc>
      </w:tr>
      <w:tr w:rsidR="009169E8" w14:paraId="6DC4DBC6" w14:textId="77777777" w:rsidTr="001768D0">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56767CA2" w14:textId="77777777" w:rsidR="009169E8" w:rsidRPr="001768D0" w:rsidRDefault="009169E8" w:rsidP="001768D0">
            <w:pPr>
              <w:pStyle w:val="Tabletext"/>
            </w:pPr>
            <w:r w:rsidRPr="001768D0">
              <w:t>Operative room during surgery</w:t>
            </w:r>
          </w:p>
        </w:tc>
        <w:tc>
          <w:tcPr>
            <w:cnfStyle w:val="000001000000" w:firstRow="0" w:lastRow="0" w:firstColumn="0" w:lastColumn="0" w:oddVBand="0" w:evenVBand="1" w:oddHBand="0" w:evenHBand="0" w:firstRowFirstColumn="0" w:firstRowLastColumn="0" w:lastRowFirstColumn="0" w:lastRowLastColumn="0"/>
            <w:tcW w:w="1701" w:type="dxa"/>
          </w:tcPr>
          <w:p w14:paraId="1A982FEA" w14:textId="77777777" w:rsidR="009169E8" w:rsidRPr="001768D0" w:rsidRDefault="009169E8" w:rsidP="001768D0">
            <w:pPr>
              <w:pStyle w:val="Tabletext"/>
            </w:pPr>
            <w:r w:rsidRPr="001768D0">
              <w:t>17</w:t>
            </w:r>
          </w:p>
        </w:tc>
        <w:tc>
          <w:tcPr>
            <w:cnfStyle w:val="000010000000" w:firstRow="0" w:lastRow="0" w:firstColumn="0" w:lastColumn="0" w:oddVBand="1" w:evenVBand="0" w:oddHBand="0" w:evenHBand="0" w:firstRowFirstColumn="0" w:firstRowLastColumn="0" w:lastRowFirstColumn="0" w:lastRowLastColumn="0"/>
            <w:tcW w:w="1701" w:type="dxa"/>
          </w:tcPr>
          <w:p w14:paraId="5B72EE69" w14:textId="77777777" w:rsidR="009169E8" w:rsidRPr="001768D0" w:rsidRDefault="009169E8" w:rsidP="001768D0">
            <w:pPr>
              <w:pStyle w:val="Tabletext"/>
            </w:pPr>
            <w:r w:rsidRPr="001768D0">
              <w:t>17</w:t>
            </w:r>
          </w:p>
        </w:tc>
        <w:tc>
          <w:tcPr>
            <w:cnfStyle w:val="000001000000" w:firstRow="0" w:lastRow="0" w:firstColumn="0" w:lastColumn="0" w:oddVBand="0" w:evenVBand="1" w:oddHBand="0" w:evenHBand="0" w:firstRowFirstColumn="0" w:firstRowLastColumn="0" w:lastRowFirstColumn="0" w:lastRowLastColumn="0"/>
            <w:tcW w:w="1701" w:type="dxa"/>
          </w:tcPr>
          <w:p w14:paraId="63311A25" w14:textId="77777777" w:rsidR="009169E8" w:rsidRPr="001768D0" w:rsidRDefault="009169E8" w:rsidP="001768D0">
            <w:pPr>
              <w:pStyle w:val="Tabletext"/>
            </w:pPr>
            <w:r w:rsidRPr="001768D0">
              <w:t>34</w:t>
            </w:r>
          </w:p>
        </w:tc>
      </w:tr>
      <w:tr w:rsidR="009169E8" w14:paraId="24307174" w14:textId="77777777" w:rsidTr="001768D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34302F12" w14:textId="77777777" w:rsidR="009169E8" w:rsidRPr="001768D0" w:rsidRDefault="009169E8" w:rsidP="001768D0">
            <w:pPr>
              <w:pStyle w:val="Tabletext"/>
            </w:pPr>
            <w:r w:rsidRPr="001768D0">
              <w:t>Post-anaesthetic care unit</w:t>
            </w:r>
          </w:p>
        </w:tc>
        <w:tc>
          <w:tcPr>
            <w:cnfStyle w:val="000001000000" w:firstRow="0" w:lastRow="0" w:firstColumn="0" w:lastColumn="0" w:oddVBand="0" w:evenVBand="1" w:oddHBand="0" w:evenHBand="0" w:firstRowFirstColumn="0" w:firstRowLastColumn="0" w:lastRowFirstColumn="0" w:lastRowLastColumn="0"/>
            <w:tcW w:w="1701" w:type="dxa"/>
          </w:tcPr>
          <w:p w14:paraId="378A8DFF" w14:textId="77777777" w:rsidR="009169E8" w:rsidRPr="001768D0" w:rsidRDefault="009169E8" w:rsidP="001768D0">
            <w:pPr>
              <w:pStyle w:val="Tabletext"/>
            </w:pPr>
            <w:r w:rsidRPr="001768D0">
              <w:t>6</w:t>
            </w:r>
          </w:p>
        </w:tc>
        <w:tc>
          <w:tcPr>
            <w:cnfStyle w:val="000010000000" w:firstRow="0" w:lastRow="0" w:firstColumn="0" w:lastColumn="0" w:oddVBand="1" w:evenVBand="0" w:oddHBand="0" w:evenHBand="0" w:firstRowFirstColumn="0" w:firstRowLastColumn="0" w:lastRowFirstColumn="0" w:lastRowLastColumn="0"/>
            <w:tcW w:w="1701" w:type="dxa"/>
          </w:tcPr>
          <w:p w14:paraId="59763BEA" w14:textId="77777777" w:rsidR="009169E8" w:rsidRPr="001768D0" w:rsidRDefault="009169E8" w:rsidP="001768D0">
            <w:pPr>
              <w:pStyle w:val="Tabletext"/>
            </w:pPr>
            <w:r w:rsidRPr="001768D0">
              <w:t>7</w:t>
            </w:r>
          </w:p>
        </w:tc>
        <w:tc>
          <w:tcPr>
            <w:cnfStyle w:val="000001000000" w:firstRow="0" w:lastRow="0" w:firstColumn="0" w:lastColumn="0" w:oddVBand="0" w:evenVBand="1" w:oddHBand="0" w:evenHBand="0" w:firstRowFirstColumn="0" w:firstRowLastColumn="0" w:lastRowFirstColumn="0" w:lastRowLastColumn="0"/>
            <w:tcW w:w="1701" w:type="dxa"/>
          </w:tcPr>
          <w:p w14:paraId="27E55667" w14:textId="77777777" w:rsidR="009169E8" w:rsidRPr="001768D0" w:rsidRDefault="009169E8" w:rsidP="001768D0">
            <w:pPr>
              <w:pStyle w:val="Tabletext"/>
            </w:pPr>
            <w:r w:rsidRPr="001768D0">
              <w:t>13</w:t>
            </w:r>
          </w:p>
        </w:tc>
      </w:tr>
      <w:tr w:rsidR="009169E8" w14:paraId="42CB4AFC" w14:textId="77777777" w:rsidTr="001768D0">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717D4648" w14:textId="77777777" w:rsidR="009169E8" w:rsidRPr="001768D0" w:rsidRDefault="009169E8" w:rsidP="001768D0">
            <w:pPr>
              <w:pStyle w:val="Tabletext"/>
            </w:pPr>
            <w:r w:rsidRPr="001768D0">
              <w:t>High dependency unit/intensive care unit/critical care unit</w:t>
            </w:r>
          </w:p>
        </w:tc>
        <w:tc>
          <w:tcPr>
            <w:cnfStyle w:val="000001000000" w:firstRow="0" w:lastRow="0" w:firstColumn="0" w:lastColumn="0" w:oddVBand="0" w:evenVBand="1" w:oddHBand="0" w:evenHBand="0" w:firstRowFirstColumn="0" w:firstRowLastColumn="0" w:lastRowFirstColumn="0" w:lastRowLastColumn="0"/>
            <w:tcW w:w="1701" w:type="dxa"/>
          </w:tcPr>
          <w:p w14:paraId="6DFE1B82" w14:textId="77777777" w:rsidR="009169E8" w:rsidRPr="001768D0" w:rsidRDefault="009169E8" w:rsidP="001768D0">
            <w:pPr>
              <w:pStyle w:val="Tabletext"/>
            </w:pPr>
            <w:r w:rsidRPr="001768D0">
              <w:t>1</w:t>
            </w:r>
          </w:p>
        </w:tc>
        <w:tc>
          <w:tcPr>
            <w:cnfStyle w:val="000010000000" w:firstRow="0" w:lastRow="0" w:firstColumn="0" w:lastColumn="0" w:oddVBand="1" w:evenVBand="0" w:oddHBand="0" w:evenHBand="0" w:firstRowFirstColumn="0" w:firstRowLastColumn="0" w:lastRowFirstColumn="0" w:lastRowLastColumn="0"/>
            <w:tcW w:w="1701" w:type="dxa"/>
          </w:tcPr>
          <w:p w14:paraId="48724509" w14:textId="77777777" w:rsidR="009169E8" w:rsidRPr="001768D0" w:rsidRDefault="009169E8" w:rsidP="001768D0">
            <w:pPr>
              <w:pStyle w:val="Tabletext"/>
            </w:pPr>
            <w:r w:rsidRPr="001768D0">
              <w:t>10</w:t>
            </w:r>
          </w:p>
        </w:tc>
        <w:tc>
          <w:tcPr>
            <w:cnfStyle w:val="000001000000" w:firstRow="0" w:lastRow="0" w:firstColumn="0" w:lastColumn="0" w:oddVBand="0" w:evenVBand="1" w:oddHBand="0" w:evenHBand="0" w:firstRowFirstColumn="0" w:firstRowLastColumn="0" w:lastRowFirstColumn="0" w:lastRowLastColumn="0"/>
            <w:tcW w:w="1701" w:type="dxa"/>
          </w:tcPr>
          <w:p w14:paraId="62CF3904" w14:textId="77777777" w:rsidR="009169E8" w:rsidRPr="001768D0" w:rsidRDefault="009169E8" w:rsidP="001768D0">
            <w:pPr>
              <w:pStyle w:val="Tabletext"/>
            </w:pPr>
            <w:r w:rsidRPr="001768D0">
              <w:t>11</w:t>
            </w:r>
          </w:p>
        </w:tc>
      </w:tr>
      <w:tr w:rsidR="009169E8" w14:paraId="43F4581F" w14:textId="77777777" w:rsidTr="001768D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C087B0B" w14:textId="77777777" w:rsidR="009169E8" w:rsidRPr="001768D0" w:rsidRDefault="009169E8" w:rsidP="001768D0">
            <w:pPr>
              <w:pStyle w:val="Tabletext"/>
            </w:pPr>
            <w:r w:rsidRPr="001768D0">
              <w:t>Postoperative ward</w:t>
            </w:r>
          </w:p>
        </w:tc>
        <w:tc>
          <w:tcPr>
            <w:cnfStyle w:val="000001000000" w:firstRow="0" w:lastRow="0" w:firstColumn="0" w:lastColumn="0" w:oddVBand="0" w:evenVBand="1" w:oddHBand="0" w:evenHBand="0" w:firstRowFirstColumn="0" w:firstRowLastColumn="0" w:lastRowFirstColumn="0" w:lastRowLastColumn="0"/>
            <w:tcW w:w="1701" w:type="dxa"/>
          </w:tcPr>
          <w:p w14:paraId="3C651223" w14:textId="77777777" w:rsidR="009169E8" w:rsidRPr="001768D0" w:rsidRDefault="009169E8" w:rsidP="001768D0">
            <w:pPr>
              <w:pStyle w:val="Tabletext"/>
            </w:pPr>
            <w:r w:rsidRPr="001768D0">
              <w:t>2</w:t>
            </w:r>
          </w:p>
        </w:tc>
        <w:tc>
          <w:tcPr>
            <w:cnfStyle w:val="000010000000" w:firstRow="0" w:lastRow="0" w:firstColumn="0" w:lastColumn="0" w:oddVBand="1" w:evenVBand="0" w:oddHBand="0" w:evenHBand="0" w:firstRowFirstColumn="0" w:firstRowLastColumn="0" w:lastRowFirstColumn="0" w:lastRowLastColumn="0"/>
            <w:tcW w:w="1701" w:type="dxa"/>
          </w:tcPr>
          <w:p w14:paraId="0C75AAF3" w14:textId="77777777" w:rsidR="009169E8" w:rsidRPr="001768D0" w:rsidRDefault="009169E8" w:rsidP="001768D0">
            <w:pPr>
              <w:pStyle w:val="Tabletext"/>
            </w:pPr>
            <w:r w:rsidRPr="001768D0">
              <w:t>11</w:t>
            </w:r>
          </w:p>
        </w:tc>
        <w:tc>
          <w:tcPr>
            <w:cnfStyle w:val="000001000000" w:firstRow="0" w:lastRow="0" w:firstColumn="0" w:lastColumn="0" w:oddVBand="0" w:evenVBand="1" w:oddHBand="0" w:evenHBand="0" w:firstRowFirstColumn="0" w:firstRowLastColumn="0" w:lastRowFirstColumn="0" w:lastRowLastColumn="0"/>
            <w:tcW w:w="1701" w:type="dxa"/>
          </w:tcPr>
          <w:p w14:paraId="192BE4C7" w14:textId="77777777" w:rsidR="009169E8" w:rsidRPr="001768D0" w:rsidRDefault="009169E8" w:rsidP="001768D0">
            <w:pPr>
              <w:pStyle w:val="Tabletext"/>
            </w:pPr>
            <w:r w:rsidRPr="001768D0">
              <w:t>13</w:t>
            </w:r>
          </w:p>
        </w:tc>
      </w:tr>
      <w:tr w:rsidR="009169E8" w14:paraId="08A1BC30" w14:textId="77777777" w:rsidTr="001768D0">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FE56F16" w14:textId="77777777" w:rsidR="009169E8" w:rsidRPr="001768D0" w:rsidRDefault="009169E8" w:rsidP="001768D0">
            <w:pPr>
              <w:pStyle w:val="Tabletext"/>
            </w:pPr>
            <w:r w:rsidRPr="001768D0">
              <w:t>Other</w:t>
            </w:r>
          </w:p>
        </w:tc>
        <w:tc>
          <w:tcPr>
            <w:cnfStyle w:val="000001000000" w:firstRow="0" w:lastRow="0" w:firstColumn="0" w:lastColumn="0" w:oddVBand="0" w:evenVBand="1" w:oddHBand="0" w:evenHBand="0" w:firstRowFirstColumn="0" w:firstRowLastColumn="0" w:lastRowFirstColumn="0" w:lastRowLastColumn="0"/>
            <w:tcW w:w="1701" w:type="dxa"/>
          </w:tcPr>
          <w:p w14:paraId="6FE35FF4" w14:textId="77777777" w:rsidR="009169E8" w:rsidRPr="001768D0" w:rsidRDefault="009169E8" w:rsidP="001768D0">
            <w:pPr>
              <w:pStyle w:val="Tabletext"/>
            </w:pPr>
            <w:r w:rsidRPr="001768D0">
              <w:t>0</w:t>
            </w:r>
          </w:p>
        </w:tc>
        <w:tc>
          <w:tcPr>
            <w:cnfStyle w:val="000010000000" w:firstRow="0" w:lastRow="0" w:firstColumn="0" w:lastColumn="0" w:oddVBand="1" w:evenVBand="0" w:oddHBand="0" w:evenHBand="0" w:firstRowFirstColumn="0" w:firstRowLastColumn="0" w:lastRowFirstColumn="0" w:lastRowLastColumn="0"/>
            <w:tcW w:w="1701" w:type="dxa"/>
          </w:tcPr>
          <w:p w14:paraId="00E4FFFE" w14:textId="77777777" w:rsidR="009169E8" w:rsidRPr="001768D0" w:rsidRDefault="009169E8" w:rsidP="001768D0">
            <w:pPr>
              <w:pStyle w:val="Tabletext"/>
            </w:pPr>
            <w:r w:rsidRPr="001768D0">
              <w:t>6</w:t>
            </w:r>
          </w:p>
        </w:tc>
        <w:tc>
          <w:tcPr>
            <w:cnfStyle w:val="000001000000" w:firstRow="0" w:lastRow="0" w:firstColumn="0" w:lastColumn="0" w:oddVBand="0" w:evenVBand="1" w:oddHBand="0" w:evenHBand="0" w:firstRowFirstColumn="0" w:firstRowLastColumn="0" w:lastRowFirstColumn="0" w:lastRowLastColumn="0"/>
            <w:tcW w:w="1701" w:type="dxa"/>
          </w:tcPr>
          <w:p w14:paraId="6C3D598F" w14:textId="77777777" w:rsidR="009169E8" w:rsidRPr="001768D0" w:rsidRDefault="009169E8" w:rsidP="001768D0">
            <w:pPr>
              <w:pStyle w:val="Tabletext"/>
            </w:pPr>
            <w:r w:rsidRPr="001768D0">
              <w:t>6</w:t>
            </w:r>
          </w:p>
        </w:tc>
      </w:tr>
      <w:tr w:rsidR="009169E8" w14:paraId="618B84A2" w14:textId="77777777" w:rsidTr="001768D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3FBD3868" w14:textId="77777777" w:rsidR="009169E8" w:rsidRPr="001768D0" w:rsidRDefault="009169E8" w:rsidP="001768D0">
            <w:pPr>
              <w:pStyle w:val="Tabletext"/>
            </w:pPr>
            <w:r w:rsidRPr="001768D0">
              <w:t>Endoscopy suite</w:t>
            </w:r>
          </w:p>
        </w:tc>
        <w:tc>
          <w:tcPr>
            <w:cnfStyle w:val="000001000000" w:firstRow="0" w:lastRow="0" w:firstColumn="0" w:lastColumn="0" w:oddVBand="0" w:evenVBand="1" w:oddHBand="0" w:evenHBand="0" w:firstRowFirstColumn="0" w:firstRowLastColumn="0" w:lastRowFirstColumn="0" w:lastRowLastColumn="0"/>
            <w:tcW w:w="1701" w:type="dxa"/>
          </w:tcPr>
          <w:p w14:paraId="5929C5BF" w14:textId="77777777" w:rsidR="009169E8" w:rsidRPr="001768D0" w:rsidRDefault="009169E8" w:rsidP="001768D0">
            <w:pPr>
              <w:pStyle w:val="Tabletext"/>
            </w:pPr>
            <w:r w:rsidRPr="001768D0">
              <w:t>0</w:t>
            </w:r>
          </w:p>
        </w:tc>
        <w:tc>
          <w:tcPr>
            <w:cnfStyle w:val="000010000000" w:firstRow="0" w:lastRow="0" w:firstColumn="0" w:lastColumn="0" w:oddVBand="1" w:evenVBand="0" w:oddHBand="0" w:evenHBand="0" w:firstRowFirstColumn="0" w:firstRowLastColumn="0" w:lastRowFirstColumn="0" w:lastRowLastColumn="0"/>
            <w:tcW w:w="1701" w:type="dxa"/>
          </w:tcPr>
          <w:p w14:paraId="329413AB" w14:textId="77777777" w:rsidR="009169E8" w:rsidRPr="001768D0" w:rsidRDefault="009169E8" w:rsidP="001768D0">
            <w:pPr>
              <w:pStyle w:val="Tabletext"/>
            </w:pPr>
            <w:r w:rsidRPr="001768D0">
              <w:t>1</w:t>
            </w:r>
          </w:p>
        </w:tc>
        <w:tc>
          <w:tcPr>
            <w:cnfStyle w:val="000001000000" w:firstRow="0" w:lastRow="0" w:firstColumn="0" w:lastColumn="0" w:oddVBand="0" w:evenVBand="1" w:oddHBand="0" w:evenHBand="0" w:firstRowFirstColumn="0" w:firstRowLastColumn="0" w:lastRowFirstColumn="0" w:lastRowLastColumn="0"/>
            <w:tcW w:w="1701" w:type="dxa"/>
          </w:tcPr>
          <w:p w14:paraId="75C35472" w14:textId="77777777" w:rsidR="009169E8" w:rsidRPr="001768D0" w:rsidRDefault="009169E8" w:rsidP="001768D0">
            <w:pPr>
              <w:pStyle w:val="Tabletext"/>
            </w:pPr>
            <w:r w:rsidRPr="001768D0">
              <w:t>0</w:t>
            </w:r>
          </w:p>
        </w:tc>
      </w:tr>
      <w:tr w:rsidR="009169E8" w14:paraId="0E94DDD9" w14:textId="77777777" w:rsidTr="001768D0">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406C385B" w14:textId="77777777" w:rsidR="009169E8" w:rsidRPr="001768D0" w:rsidRDefault="009169E8" w:rsidP="001768D0">
            <w:pPr>
              <w:pStyle w:val="Tabletext"/>
            </w:pPr>
            <w:r w:rsidRPr="001768D0">
              <w:t>Emergency department</w:t>
            </w:r>
          </w:p>
        </w:tc>
        <w:tc>
          <w:tcPr>
            <w:cnfStyle w:val="000001000000" w:firstRow="0" w:lastRow="0" w:firstColumn="0" w:lastColumn="0" w:oddVBand="0" w:evenVBand="1" w:oddHBand="0" w:evenHBand="0" w:firstRowFirstColumn="0" w:firstRowLastColumn="0" w:lastRowFirstColumn="0" w:lastRowLastColumn="0"/>
            <w:tcW w:w="1701" w:type="dxa"/>
          </w:tcPr>
          <w:p w14:paraId="12BADE6B" w14:textId="77777777" w:rsidR="009169E8" w:rsidRPr="001768D0" w:rsidRDefault="009169E8" w:rsidP="001768D0">
            <w:pPr>
              <w:pStyle w:val="Tabletext"/>
            </w:pPr>
            <w:r w:rsidRPr="001768D0">
              <w:t>0</w:t>
            </w:r>
          </w:p>
        </w:tc>
        <w:tc>
          <w:tcPr>
            <w:cnfStyle w:val="000010000000" w:firstRow="0" w:lastRow="0" w:firstColumn="0" w:lastColumn="0" w:oddVBand="1" w:evenVBand="0" w:oddHBand="0" w:evenHBand="0" w:firstRowFirstColumn="0" w:firstRowLastColumn="0" w:lastRowFirstColumn="0" w:lastRowLastColumn="0"/>
            <w:tcW w:w="1701" w:type="dxa"/>
          </w:tcPr>
          <w:p w14:paraId="25F35CCE" w14:textId="77777777" w:rsidR="009169E8" w:rsidRPr="001768D0" w:rsidRDefault="009169E8" w:rsidP="001768D0">
            <w:pPr>
              <w:pStyle w:val="Tabletext"/>
            </w:pPr>
            <w:r w:rsidRPr="001768D0">
              <w:t>1</w:t>
            </w:r>
          </w:p>
        </w:tc>
        <w:tc>
          <w:tcPr>
            <w:cnfStyle w:val="000001000000" w:firstRow="0" w:lastRow="0" w:firstColumn="0" w:lastColumn="0" w:oddVBand="0" w:evenVBand="1" w:oddHBand="0" w:evenHBand="0" w:firstRowFirstColumn="0" w:firstRowLastColumn="0" w:lastRowFirstColumn="0" w:lastRowLastColumn="0"/>
            <w:tcW w:w="1701" w:type="dxa"/>
          </w:tcPr>
          <w:p w14:paraId="043C0B94" w14:textId="77777777" w:rsidR="009169E8" w:rsidRPr="001768D0" w:rsidRDefault="009169E8" w:rsidP="001768D0">
            <w:pPr>
              <w:pStyle w:val="Tabletext"/>
            </w:pPr>
            <w:r w:rsidRPr="001768D0">
              <w:t>0</w:t>
            </w:r>
          </w:p>
        </w:tc>
      </w:tr>
      <w:tr w:rsidR="009169E8" w14:paraId="4F49A19A" w14:textId="77777777" w:rsidTr="001768D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00F8057" w14:textId="77777777" w:rsidR="009169E8" w:rsidRPr="001768D0" w:rsidRDefault="009169E8" w:rsidP="001768D0">
            <w:pPr>
              <w:pStyle w:val="Tabletext"/>
            </w:pPr>
            <w:r w:rsidRPr="001768D0">
              <w:t>During positioning</w:t>
            </w:r>
          </w:p>
        </w:tc>
        <w:tc>
          <w:tcPr>
            <w:cnfStyle w:val="000001000000" w:firstRow="0" w:lastRow="0" w:firstColumn="0" w:lastColumn="0" w:oddVBand="0" w:evenVBand="1" w:oddHBand="0" w:evenHBand="0" w:firstRowFirstColumn="0" w:firstRowLastColumn="0" w:lastRowFirstColumn="0" w:lastRowLastColumn="0"/>
            <w:tcW w:w="1701" w:type="dxa"/>
          </w:tcPr>
          <w:p w14:paraId="6DBB270D" w14:textId="77777777" w:rsidR="009169E8" w:rsidRPr="001768D0" w:rsidRDefault="009169E8" w:rsidP="001768D0">
            <w:pPr>
              <w:pStyle w:val="Tabletext"/>
            </w:pPr>
            <w:r w:rsidRPr="001768D0">
              <w:t>0</w:t>
            </w:r>
          </w:p>
        </w:tc>
        <w:tc>
          <w:tcPr>
            <w:cnfStyle w:val="000010000000" w:firstRow="0" w:lastRow="0" w:firstColumn="0" w:lastColumn="0" w:oddVBand="1" w:evenVBand="0" w:oddHBand="0" w:evenHBand="0" w:firstRowFirstColumn="0" w:firstRowLastColumn="0" w:lastRowFirstColumn="0" w:lastRowLastColumn="0"/>
            <w:tcW w:w="1701" w:type="dxa"/>
          </w:tcPr>
          <w:p w14:paraId="3FD60653" w14:textId="77777777" w:rsidR="009169E8" w:rsidRPr="001768D0" w:rsidRDefault="009169E8" w:rsidP="001768D0">
            <w:pPr>
              <w:pStyle w:val="Tabletext"/>
            </w:pPr>
            <w:r w:rsidRPr="001768D0">
              <w:t>1</w:t>
            </w:r>
          </w:p>
        </w:tc>
        <w:tc>
          <w:tcPr>
            <w:cnfStyle w:val="000001000000" w:firstRow="0" w:lastRow="0" w:firstColumn="0" w:lastColumn="0" w:oddVBand="0" w:evenVBand="1" w:oddHBand="0" w:evenHBand="0" w:firstRowFirstColumn="0" w:firstRowLastColumn="0" w:lastRowFirstColumn="0" w:lastRowLastColumn="0"/>
            <w:tcW w:w="1701" w:type="dxa"/>
          </w:tcPr>
          <w:p w14:paraId="10BD754C" w14:textId="77777777" w:rsidR="009169E8" w:rsidRPr="001768D0" w:rsidRDefault="009169E8" w:rsidP="001768D0">
            <w:pPr>
              <w:pStyle w:val="Tabletext"/>
            </w:pPr>
            <w:r w:rsidRPr="001768D0">
              <w:t>0</w:t>
            </w:r>
          </w:p>
        </w:tc>
      </w:tr>
      <w:tr w:rsidR="009169E8" w14:paraId="2FDD1A7E" w14:textId="77777777" w:rsidTr="001768D0">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56C9653D" w14:textId="77777777" w:rsidR="009169E8" w:rsidRPr="001768D0" w:rsidRDefault="009169E8" w:rsidP="001768D0">
            <w:pPr>
              <w:pStyle w:val="Tabletext"/>
            </w:pPr>
            <w:r w:rsidRPr="001768D0">
              <w:t>Day procedure ward</w:t>
            </w:r>
          </w:p>
        </w:tc>
        <w:tc>
          <w:tcPr>
            <w:cnfStyle w:val="000001000000" w:firstRow="0" w:lastRow="0" w:firstColumn="0" w:lastColumn="0" w:oddVBand="0" w:evenVBand="1" w:oddHBand="0" w:evenHBand="0" w:firstRowFirstColumn="0" w:firstRowLastColumn="0" w:lastRowFirstColumn="0" w:lastRowLastColumn="0"/>
            <w:tcW w:w="1701" w:type="dxa"/>
          </w:tcPr>
          <w:p w14:paraId="073DBC44" w14:textId="77777777" w:rsidR="009169E8" w:rsidRPr="001768D0" w:rsidRDefault="009169E8" w:rsidP="001768D0">
            <w:pPr>
              <w:pStyle w:val="Tabletext"/>
            </w:pPr>
            <w:r w:rsidRPr="001768D0">
              <w:t>0</w:t>
            </w:r>
          </w:p>
        </w:tc>
        <w:tc>
          <w:tcPr>
            <w:cnfStyle w:val="000010000000" w:firstRow="0" w:lastRow="0" w:firstColumn="0" w:lastColumn="0" w:oddVBand="1" w:evenVBand="0" w:oddHBand="0" w:evenHBand="0" w:firstRowFirstColumn="0" w:firstRowLastColumn="0" w:lastRowFirstColumn="0" w:lastRowLastColumn="0"/>
            <w:tcW w:w="1701" w:type="dxa"/>
          </w:tcPr>
          <w:p w14:paraId="666C2DC7" w14:textId="77777777" w:rsidR="009169E8" w:rsidRPr="001768D0" w:rsidRDefault="009169E8" w:rsidP="001768D0">
            <w:pPr>
              <w:pStyle w:val="Tabletext"/>
            </w:pPr>
            <w:r w:rsidRPr="001768D0">
              <w:t>1</w:t>
            </w:r>
          </w:p>
        </w:tc>
        <w:tc>
          <w:tcPr>
            <w:cnfStyle w:val="000001000000" w:firstRow="0" w:lastRow="0" w:firstColumn="0" w:lastColumn="0" w:oddVBand="0" w:evenVBand="1" w:oddHBand="0" w:evenHBand="0" w:firstRowFirstColumn="0" w:firstRowLastColumn="0" w:lastRowFirstColumn="0" w:lastRowLastColumn="0"/>
            <w:tcW w:w="1701" w:type="dxa"/>
          </w:tcPr>
          <w:p w14:paraId="5F252A85" w14:textId="77777777" w:rsidR="009169E8" w:rsidRPr="001768D0" w:rsidRDefault="009169E8" w:rsidP="001768D0">
            <w:pPr>
              <w:pStyle w:val="Tabletext"/>
            </w:pPr>
            <w:r w:rsidRPr="001768D0">
              <w:t>0</w:t>
            </w:r>
          </w:p>
        </w:tc>
      </w:tr>
      <w:tr w:rsidR="009169E8" w14:paraId="36B8B5A4" w14:textId="77777777" w:rsidTr="001768D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504E1602" w14:textId="77777777" w:rsidR="009169E8" w:rsidRPr="001768D0" w:rsidRDefault="009169E8" w:rsidP="001768D0">
            <w:pPr>
              <w:pStyle w:val="Tabletext"/>
            </w:pPr>
            <w:r w:rsidRPr="001768D0">
              <w:t>Cath lab</w:t>
            </w:r>
          </w:p>
        </w:tc>
        <w:tc>
          <w:tcPr>
            <w:cnfStyle w:val="000001000000" w:firstRow="0" w:lastRow="0" w:firstColumn="0" w:lastColumn="0" w:oddVBand="0" w:evenVBand="1" w:oddHBand="0" w:evenHBand="0" w:firstRowFirstColumn="0" w:firstRowLastColumn="0" w:lastRowFirstColumn="0" w:lastRowLastColumn="0"/>
            <w:tcW w:w="1701" w:type="dxa"/>
          </w:tcPr>
          <w:p w14:paraId="5EAF3A71" w14:textId="77777777" w:rsidR="009169E8" w:rsidRPr="001768D0" w:rsidRDefault="009169E8" w:rsidP="001768D0">
            <w:pPr>
              <w:pStyle w:val="Tabletext"/>
            </w:pPr>
            <w:r w:rsidRPr="001768D0">
              <w:t>0</w:t>
            </w:r>
          </w:p>
        </w:tc>
        <w:tc>
          <w:tcPr>
            <w:cnfStyle w:val="000010000000" w:firstRow="0" w:lastRow="0" w:firstColumn="0" w:lastColumn="0" w:oddVBand="1" w:evenVBand="0" w:oddHBand="0" w:evenHBand="0" w:firstRowFirstColumn="0" w:firstRowLastColumn="0" w:lastRowFirstColumn="0" w:lastRowLastColumn="0"/>
            <w:tcW w:w="1701" w:type="dxa"/>
          </w:tcPr>
          <w:p w14:paraId="0361FA97" w14:textId="77777777" w:rsidR="009169E8" w:rsidRPr="001768D0" w:rsidRDefault="009169E8" w:rsidP="001768D0">
            <w:pPr>
              <w:pStyle w:val="Tabletext"/>
            </w:pPr>
            <w:r w:rsidRPr="001768D0">
              <w:t>1</w:t>
            </w:r>
          </w:p>
        </w:tc>
        <w:tc>
          <w:tcPr>
            <w:cnfStyle w:val="000001000000" w:firstRow="0" w:lastRow="0" w:firstColumn="0" w:lastColumn="0" w:oddVBand="0" w:evenVBand="1" w:oddHBand="0" w:evenHBand="0" w:firstRowFirstColumn="0" w:firstRowLastColumn="0" w:lastRowFirstColumn="0" w:lastRowLastColumn="0"/>
            <w:tcW w:w="1701" w:type="dxa"/>
          </w:tcPr>
          <w:p w14:paraId="60D717CB" w14:textId="77777777" w:rsidR="009169E8" w:rsidRPr="001768D0" w:rsidRDefault="009169E8" w:rsidP="001768D0">
            <w:pPr>
              <w:pStyle w:val="Tabletext"/>
            </w:pPr>
            <w:r w:rsidRPr="001768D0">
              <w:t>0</w:t>
            </w:r>
          </w:p>
        </w:tc>
      </w:tr>
      <w:tr w:rsidR="009169E8" w14:paraId="506A3895" w14:textId="77777777" w:rsidTr="001768D0">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671D27D2" w14:textId="77777777" w:rsidR="009169E8" w:rsidRPr="001768D0" w:rsidRDefault="009169E8" w:rsidP="001768D0">
            <w:pPr>
              <w:pStyle w:val="Tabletext"/>
            </w:pPr>
            <w:r w:rsidRPr="001768D0">
              <w:t>Unclear – postoperative period</w:t>
            </w:r>
          </w:p>
        </w:tc>
        <w:tc>
          <w:tcPr>
            <w:cnfStyle w:val="000001000000" w:firstRow="0" w:lastRow="0" w:firstColumn="0" w:lastColumn="0" w:oddVBand="0" w:evenVBand="1" w:oddHBand="0" w:evenHBand="0" w:firstRowFirstColumn="0" w:firstRowLastColumn="0" w:lastRowFirstColumn="0" w:lastRowLastColumn="0"/>
            <w:tcW w:w="1701" w:type="dxa"/>
          </w:tcPr>
          <w:p w14:paraId="648D9BEC" w14:textId="77777777" w:rsidR="009169E8" w:rsidRPr="001768D0" w:rsidRDefault="009169E8" w:rsidP="001768D0">
            <w:pPr>
              <w:pStyle w:val="Tabletext"/>
            </w:pPr>
            <w:r w:rsidRPr="001768D0">
              <w:t>0</w:t>
            </w:r>
          </w:p>
        </w:tc>
        <w:tc>
          <w:tcPr>
            <w:cnfStyle w:val="000010000000" w:firstRow="0" w:lastRow="0" w:firstColumn="0" w:lastColumn="0" w:oddVBand="1" w:evenVBand="0" w:oddHBand="0" w:evenHBand="0" w:firstRowFirstColumn="0" w:firstRowLastColumn="0" w:lastRowFirstColumn="0" w:lastRowLastColumn="0"/>
            <w:tcW w:w="1701" w:type="dxa"/>
          </w:tcPr>
          <w:p w14:paraId="27A39782" w14:textId="77777777" w:rsidR="009169E8" w:rsidRPr="001768D0" w:rsidRDefault="009169E8" w:rsidP="001768D0">
            <w:pPr>
              <w:pStyle w:val="Tabletext"/>
            </w:pPr>
            <w:r w:rsidRPr="001768D0">
              <w:t>1</w:t>
            </w:r>
          </w:p>
        </w:tc>
        <w:tc>
          <w:tcPr>
            <w:cnfStyle w:val="000001000000" w:firstRow="0" w:lastRow="0" w:firstColumn="0" w:lastColumn="0" w:oddVBand="0" w:evenVBand="1" w:oddHBand="0" w:evenHBand="0" w:firstRowFirstColumn="0" w:firstRowLastColumn="0" w:lastRowFirstColumn="0" w:lastRowLastColumn="0"/>
            <w:tcW w:w="1701" w:type="dxa"/>
          </w:tcPr>
          <w:p w14:paraId="49F829D9" w14:textId="77777777" w:rsidR="009169E8" w:rsidRPr="001768D0" w:rsidRDefault="009169E8" w:rsidP="001768D0">
            <w:pPr>
              <w:pStyle w:val="Tabletext"/>
            </w:pPr>
            <w:r w:rsidRPr="001768D0">
              <w:t>0</w:t>
            </w:r>
          </w:p>
        </w:tc>
      </w:tr>
      <w:tr w:rsidR="009169E8" w14:paraId="29383D16" w14:textId="77777777" w:rsidTr="001768D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609824D" w14:textId="77777777" w:rsidR="009169E8" w:rsidRPr="001768D0" w:rsidRDefault="009169E8" w:rsidP="001768D0">
            <w:pPr>
              <w:pStyle w:val="Tabletext"/>
              <w:rPr>
                <w:b/>
              </w:rPr>
            </w:pPr>
            <w:r w:rsidRPr="001768D0">
              <w:rPr>
                <w:b/>
              </w:rPr>
              <w:t>Total</w:t>
            </w:r>
          </w:p>
        </w:tc>
        <w:tc>
          <w:tcPr>
            <w:cnfStyle w:val="000001000000" w:firstRow="0" w:lastRow="0" w:firstColumn="0" w:lastColumn="0" w:oddVBand="0" w:evenVBand="1" w:oddHBand="0" w:evenHBand="0" w:firstRowFirstColumn="0" w:firstRowLastColumn="0" w:lastRowFirstColumn="0" w:lastRowLastColumn="0"/>
            <w:tcW w:w="1701" w:type="dxa"/>
          </w:tcPr>
          <w:p w14:paraId="05D8731B" w14:textId="77777777" w:rsidR="009169E8" w:rsidRPr="001768D0" w:rsidRDefault="009169E8" w:rsidP="001768D0">
            <w:pPr>
              <w:pStyle w:val="Tabletext"/>
              <w:rPr>
                <w:b/>
              </w:rPr>
            </w:pPr>
            <w:r w:rsidRPr="001768D0">
              <w:rPr>
                <w:b/>
              </w:rPr>
              <w:t>52</w:t>
            </w:r>
          </w:p>
        </w:tc>
        <w:tc>
          <w:tcPr>
            <w:cnfStyle w:val="000010000000" w:firstRow="0" w:lastRow="0" w:firstColumn="0" w:lastColumn="0" w:oddVBand="1" w:evenVBand="0" w:oddHBand="0" w:evenHBand="0" w:firstRowFirstColumn="0" w:firstRowLastColumn="0" w:lastRowFirstColumn="0" w:lastRowLastColumn="0"/>
            <w:tcW w:w="1701" w:type="dxa"/>
          </w:tcPr>
          <w:p w14:paraId="5BC48FF3" w14:textId="77777777" w:rsidR="009169E8" w:rsidRPr="001768D0" w:rsidRDefault="009169E8" w:rsidP="001768D0">
            <w:pPr>
              <w:pStyle w:val="Tabletext"/>
              <w:rPr>
                <w:b/>
              </w:rPr>
            </w:pPr>
            <w:r w:rsidRPr="001768D0">
              <w:rPr>
                <w:b/>
              </w:rPr>
              <w:t>58</w:t>
            </w:r>
          </w:p>
        </w:tc>
        <w:tc>
          <w:tcPr>
            <w:cnfStyle w:val="000001000000" w:firstRow="0" w:lastRow="0" w:firstColumn="0" w:lastColumn="0" w:oddVBand="0" w:evenVBand="1" w:oddHBand="0" w:evenHBand="0" w:firstRowFirstColumn="0" w:firstRowLastColumn="0" w:lastRowFirstColumn="0" w:lastRowLastColumn="0"/>
            <w:tcW w:w="1701" w:type="dxa"/>
          </w:tcPr>
          <w:p w14:paraId="1ED33F83" w14:textId="77777777" w:rsidR="009169E8" w:rsidRPr="001768D0" w:rsidRDefault="009169E8" w:rsidP="001768D0">
            <w:pPr>
              <w:pStyle w:val="Tabletext"/>
              <w:rPr>
                <w:b/>
              </w:rPr>
            </w:pPr>
            <w:r w:rsidRPr="001768D0">
              <w:rPr>
                <w:b/>
              </w:rPr>
              <w:t>110</w:t>
            </w:r>
          </w:p>
        </w:tc>
      </w:tr>
    </w:tbl>
    <w:p w14:paraId="3A79D5E6" w14:textId="77777777" w:rsidR="009169E8" w:rsidRDefault="009169E8" w:rsidP="008E28A3">
      <w:pPr>
        <w:pStyle w:val="DHHSbody"/>
      </w:pPr>
      <w:r>
        <w:rPr>
          <w:spacing w:val="-1"/>
        </w:rPr>
        <w:t>Of the anaesthesia-related deaths (categories 1–3),</w:t>
      </w:r>
      <w:r>
        <w:t xml:space="preserve"> in 31 per cent (18/58) the location of death was in an operating theatre during induction of anaesthesia or during surgery (Table 8).</w:t>
      </w:r>
    </w:p>
    <w:p w14:paraId="6F0F9984" w14:textId="77777777" w:rsidR="009169E8" w:rsidRDefault="009169E8" w:rsidP="00B8026E">
      <w:pPr>
        <w:pStyle w:val="Tablechartdiagramheading"/>
      </w:pPr>
      <w:r>
        <w:t>Table 8: Location of death recorded for category 1–3 mortality cases</w:t>
      </w:r>
    </w:p>
    <w:tbl>
      <w:tblPr>
        <w:tblStyle w:val="PlainTable2"/>
        <w:tblW w:w="0" w:type="auto"/>
        <w:tblLayout w:type="fixed"/>
        <w:tblLook w:val="0020" w:firstRow="1" w:lastRow="0" w:firstColumn="0" w:lastColumn="0" w:noHBand="0" w:noVBand="0"/>
      </w:tblPr>
      <w:tblGrid>
        <w:gridCol w:w="4394"/>
        <w:gridCol w:w="1838"/>
      </w:tblGrid>
      <w:tr w:rsidR="009169E8" w14:paraId="43275BFF" w14:textId="77777777" w:rsidTr="00DF748C">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4394" w:type="dxa"/>
          </w:tcPr>
          <w:p w14:paraId="4481494D" w14:textId="77777777" w:rsidR="009169E8" w:rsidRPr="00DF748C" w:rsidRDefault="009169E8" w:rsidP="00DF748C">
            <w:pPr>
              <w:pStyle w:val="Tableheader"/>
              <w:rPr>
                <w:b/>
              </w:rPr>
            </w:pPr>
            <w:r w:rsidRPr="00DF748C">
              <w:rPr>
                <w:b/>
              </w:rPr>
              <w:t>Location of death</w:t>
            </w:r>
          </w:p>
        </w:tc>
        <w:tc>
          <w:tcPr>
            <w:cnfStyle w:val="000001000000" w:firstRow="0" w:lastRow="0" w:firstColumn="0" w:lastColumn="0" w:oddVBand="0" w:evenVBand="1" w:oddHBand="0" w:evenHBand="0" w:firstRowFirstColumn="0" w:firstRowLastColumn="0" w:lastRowFirstColumn="0" w:lastRowLastColumn="0"/>
            <w:tcW w:w="1838" w:type="dxa"/>
          </w:tcPr>
          <w:p w14:paraId="2EE5DBA0" w14:textId="290C6768" w:rsidR="009169E8" w:rsidRPr="00DF748C" w:rsidRDefault="00366430" w:rsidP="00DF748C">
            <w:pPr>
              <w:pStyle w:val="Tableheader"/>
              <w:rPr>
                <w:b/>
              </w:rPr>
            </w:pPr>
            <w:r w:rsidRPr="00DF748C">
              <w:rPr>
                <w:b/>
              </w:rPr>
              <w:t>Number</w:t>
            </w:r>
            <w:r w:rsidR="00DF748C" w:rsidRPr="00DF748C">
              <w:rPr>
                <w:b/>
              </w:rPr>
              <w:t xml:space="preserve"> recorded</w:t>
            </w:r>
          </w:p>
        </w:tc>
      </w:tr>
      <w:tr w:rsidR="009169E8" w14:paraId="5E1EFF91" w14:textId="77777777" w:rsidTr="00DF748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4394" w:type="dxa"/>
          </w:tcPr>
          <w:p w14:paraId="58011B6E" w14:textId="77777777" w:rsidR="009169E8" w:rsidRPr="00DF748C" w:rsidRDefault="009169E8" w:rsidP="00DF748C">
            <w:pPr>
              <w:pStyle w:val="Tabletext"/>
            </w:pPr>
            <w:r w:rsidRPr="00DF748C">
              <w:t>Operative room during induction</w:t>
            </w:r>
          </w:p>
        </w:tc>
        <w:tc>
          <w:tcPr>
            <w:cnfStyle w:val="000001000000" w:firstRow="0" w:lastRow="0" w:firstColumn="0" w:lastColumn="0" w:oddVBand="0" w:evenVBand="1" w:oddHBand="0" w:evenHBand="0" w:firstRowFirstColumn="0" w:firstRowLastColumn="0" w:lastRowFirstColumn="0" w:lastRowLastColumn="0"/>
            <w:tcW w:w="1838" w:type="dxa"/>
          </w:tcPr>
          <w:p w14:paraId="3D8623FA" w14:textId="77777777" w:rsidR="009169E8" w:rsidRPr="00DF748C" w:rsidRDefault="009169E8" w:rsidP="00DF748C">
            <w:pPr>
              <w:pStyle w:val="Tabletext"/>
            </w:pPr>
            <w:r w:rsidRPr="00DF748C">
              <w:t>4</w:t>
            </w:r>
          </w:p>
        </w:tc>
      </w:tr>
      <w:tr w:rsidR="009169E8" w14:paraId="42DD9401" w14:textId="77777777" w:rsidTr="00DF748C">
        <w:trPr>
          <w:trHeight w:val="113"/>
        </w:trPr>
        <w:tc>
          <w:tcPr>
            <w:cnfStyle w:val="000010000000" w:firstRow="0" w:lastRow="0" w:firstColumn="0" w:lastColumn="0" w:oddVBand="1" w:evenVBand="0" w:oddHBand="0" w:evenHBand="0" w:firstRowFirstColumn="0" w:firstRowLastColumn="0" w:lastRowFirstColumn="0" w:lastRowLastColumn="0"/>
            <w:tcW w:w="4394" w:type="dxa"/>
          </w:tcPr>
          <w:p w14:paraId="663F3E08" w14:textId="77777777" w:rsidR="009169E8" w:rsidRPr="00DF748C" w:rsidRDefault="009169E8" w:rsidP="00DF748C">
            <w:pPr>
              <w:pStyle w:val="Tabletext"/>
            </w:pPr>
            <w:r w:rsidRPr="00DF748C">
              <w:t>Operative room during surgery</w:t>
            </w:r>
          </w:p>
        </w:tc>
        <w:tc>
          <w:tcPr>
            <w:cnfStyle w:val="000001000000" w:firstRow="0" w:lastRow="0" w:firstColumn="0" w:lastColumn="0" w:oddVBand="0" w:evenVBand="1" w:oddHBand="0" w:evenHBand="0" w:firstRowFirstColumn="0" w:firstRowLastColumn="0" w:lastRowFirstColumn="0" w:lastRowLastColumn="0"/>
            <w:tcW w:w="1838" w:type="dxa"/>
          </w:tcPr>
          <w:p w14:paraId="233BA960" w14:textId="77777777" w:rsidR="009169E8" w:rsidRPr="00DF748C" w:rsidRDefault="009169E8" w:rsidP="00DF748C">
            <w:pPr>
              <w:pStyle w:val="Tabletext"/>
            </w:pPr>
            <w:r w:rsidRPr="00DF748C">
              <w:t>14</w:t>
            </w:r>
          </w:p>
        </w:tc>
      </w:tr>
      <w:tr w:rsidR="009169E8" w14:paraId="4D200711" w14:textId="77777777" w:rsidTr="00DF748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4394" w:type="dxa"/>
          </w:tcPr>
          <w:p w14:paraId="4983B2D2" w14:textId="77777777" w:rsidR="009169E8" w:rsidRPr="00DF748C" w:rsidRDefault="009169E8" w:rsidP="00DF748C">
            <w:pPr>
              <w:pStyle w:val="Tabletext"/>
            </w:pPr>
            <w:r w:rsidRPr="00DF748C">
              <w:t>Post-anaesthetic care unit</w:t>
            </w:r>
          </w:p>
        </w:tc>
        <w:tc>
          <w:tcPr>
            <w:cnfStyle w:val="000001000000" w:firstRow="0" w:lastRow="0" w:firstColumn="0" w:lastColumn="0" w:oddVBand="0" w:evenVBand="1" w:oddHBand="0" w:evenHBand="0" w:firstRowFirstColumn="0" w:firstRowLastColumn="0" w:lastRowFirstColumn="0" w:lastRowLastColumn="0"/>
            <w:tcW w:w="1838" w:type="dxa"/>
          </w:tcPr>
          <w:p w14:paraId="5C6FEE91" w14:textId="77777777" w:rsidR="009169E8" w:rsidRPr="00DF748C" w:rsidRDefault="009169E8" w:rsidP="00DF748C">
            <w:pPr>
              <w:pStyle w:val="Tabletext"/>
            </w:pPr>
            <w:r w:rsidRPr="00DF748C">
              <w:t>3</w:t>
            </w:r>
          </w:p>
        </w:tc>
      </w:tr>
      <w:tr w:rsidR="009169E8" w14:paraId="231A26DA" w14:textId="77777777" w:rsidTr="00DF748C">
        <w:trPr>
          <w:trHeight w:val="113"/>
        </w:trPr>
        <w:tc>
          <w:tcPr>
            <w:cnfStyle w:val="000010000000" w:firstRow="0" w:lastRow="0" w:firstColumn="0" w:lastColumn="0" w:oddVBand="1" w:evenVBand="0" w:oddHBand="0" w:evenHBand="0" w:firstRowFirstColumn="0" w:firstRowLastColumn="0" w:lastRowFirstColumn="0" w:lastRowLastColumn="0"/>
            <w:tcW w:w="4394" w:type="dxa"/>
          </w:tcPr>
          <w:p w14:paraId="60BC0193" w14:textId="77777777" w:rsidR="009169E8" w:rsidRPr="00DF748C" w:rsidRDefault="009169E8" w:rsidP="00DF748C">
            <w:pPr>
              <w:pStyle w:val="Tabletext"/>
            </w:pPr>
            <w:r w:rsidRPr="00DF748C">
              <w:t>High dependency unit/intensive care unit/critical care unit</w:t>
            </w:r>
          </w:p>
        </w:tc>
        <w:tc>
          <w:tcPr>
            <w:cnfStyle w:val="000001000000" w:firstRow="0" w:lastRow="0" w:firstColumn="0" w:lastColumn="0" w:oddVBand="0" w:evenVBand="1" w:oddHBand="0" w:evenHBand="0" w:firstRowFirstColumn="0" w:firstRowLastColumn="0" w:lastRowFirstColumn="0" w:lastRowLastColumn="0"/>
            <w:tcW w:w="1838" w:type="dxa"/>
          </w:tcPr>
          <w:p w14:paraId="27953B8C" w14:textId="77777777" w:rsidR="009169E8" w:rsidRPr="00DF748C" w:rsidRDefault="009169E8" w:rsidP="00DF748C">
            <w:pPr>
              <w:pStyle w:val="Tabletext"/>
            </w:pPr>
            <w:r w:rsidRPr="00DF748C">
              <w:t>20</w:t>
            </w:r>
          </w:p>
        </w:tc>
      </w:tr>
      <w:tr w:rsidR="009169E8" w14:paraId="4558C808" w14:textId="77777777" w:rsidTr="00DF748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4394" w:type="dxa"/>
          </w:tcPr>
          <w:p w14:paraId="3D514D7D" w14:textId="77777777" w:rsidR="009169E8" w:rsidRPr="00DF748C" w:rsidRDefault="009169E8" w:rsidP="00DF748C">
            <w:pPr>
              <w:pStyle w:val="Tabletext"/>
            </w:pPr>
            <w:r w:rsidRPr="00DF748C">
              <w:t>Postoperative ward</w:t>
            </w:r>
          </w:p>
        </w:tc>
        <w:tc>
          <w:tcPr>
            <w:cnfStyle w:val="000001000000" w:firstRow="0" w:lastRow="0" w:firstColumn="0" w:lastColumn="0" w:oddVBand="0" w:evenVBand="1" w:oddHBand="0" w:evenHBand="0" w:firstRowFirstColumn="0" w:firstRowLastColumn="0" w:lastRowFirstColumn="0" w:lastRowLastColumn="0"/>
            <w:tcW w:w="1838" w:type="dxa"/>
          </w:tcPr>
          <w:p w14:paraId="73169B82" w14:textId="77777777" w:rsidR="009169E8" w:rsidRPr="00DF748C" w:rsidRDefault="009169E8" w:rsidP="00DF748C">
            <w:pPr>
              <w:pStyle w:val="Tabletext"/>
            </w:pPr>
            <w:r w:rsidRPr="00DF748C">
              <w:t>11</w:t>
            </w:r>
          </w:p>
        </w:tc>
      </w:tr>
      <w:tr w:rsidR="009169E8" w14:paraId="1475834E" w14:textId="77777777" w:rsidTr="00DF748C">
        <w:trPr>
          <w:trHeight w:val="113"/>
        </w:trPr>
        <w:tc>
          <w:tcPr>
            <w:cnfStyle w:val="000010000000" w:firstRow="0" w:lastRow="0" w:firstColumn="0" w:lastColumn="0" w:oddVBand="1" w:evenVBand="0" w:oddHBand="0" w:evenHBand="0" w:firstRowFirstColumn="0" w:firstRowLastColumn="0" w:lastRowFirstColumn="0" w:lastRowLastColumn="0"/>
            <w:tcW w:w="4394" w:type="dxa"/>
          </w:tcPr>
          <w:p w14:paraId="79FEB3D8" w14:textId="77777777" w:rsidR="009169E8" w:rsidRPr="00DF748C" w:rsidRDefault="009169E8" w:rsidP="00DF748C">
            <w:pPr>
              <w:pStyle w:val="Tabletext"/>
            </w:pPr>
            <w:r w:rsidRPr="00DF748C">
              <w:t>Other</w:t>
            </w:r>
          </w:p>
        </w:tc>
        <w:tc>
          <w:tcPr>
            <w:cnfStyle w:val="000001000000" w:firstRow="0" w:lastRow="0" w:firstColumn="0" w:lastColumn="0" w:oddVBand="0" w:evenVBand="1" w:oddHBand="0" w:evenHBand="0" w:firstRowFirstColumn="0" w:firstRowLastColumn="0" w:lastRowFirstColumn="0" w:lastRowLastColumn="0"/>
            <w:tcW w:w="1838" w:type="dxa"/>
          </w:tcPr>
          <w:p w14:paraId="3B46569C" w14:textId="77777777" w:rsidR="009169E8" w:rsidRPr="00DF748C" w:rsidRDefault="009169E8" w:rsidP="00DF748C">
            <w:pPr>
              <w:pStyle w:val="Tabletext"/>
            </w:pPr>
            <w:r w:rsidRPr="00DF748C">
              <w:t>6</w:t>
            </w:r>
          </w:p>
        </w:tc>
      </w:tr>
      <w:tr w:rsidR="009169E8" w14:paraId="55850B6E" w14:textId="77777777" w:rsidTr="00DF748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4394" w:type="dxa"/>
          </w:tcPr>
          <w:p w14:paraId="7B3AF8A3" w14:textId="77777777" w:rsidR="009169E8" w:rsidRPr="00DF748C" w:rsidRDefault="009169E8" w:rsidP="00DF748C">
            <w:pPr>
              <w:pStyle w:val="Tabletext"/>
            </w:pPr>
            <w:r w:rsidRPr="00DF748C">
              <w:lastRenderedPageBreak/>
              <w:t>Emergency department</w:t>
            </w:r>
          </w:p>
        </w:tc>
        <w:tc>
          <w:tcPr>
            <w:cnfStyle w:val="000001000000" w:firstRow="0" w:lastRow="0" w:firstColumn="0" w:lastColumn="0" w:oddVBand="0" w:evenVBand="1" w:oddHBand="0" w:evenHBand="0" w:firstRowFirstColumn="0" w:firstRowLastColumn="0" w:lastRowFirstColumn="0" w:lastRowLastColumn="0"/>
            <w:tcW w:w="1838" w:type="dxa"/>
          </w:tcPr>
          <w:p w14:paraId="206172FD" w14:textId="77777777" w:rsidR="009169E8" w:rsidRPr="00DF748C" w:rsidRDefault="009169E8" w:rsidP="00DF748C">
            <w:pPr>
              <w:pStyle w:val="Tabletext"/>
            </w:pPr>
            <w:r w:rsidRPr="00DF748C">
              <w:t>2</w:t>
            </w:r>
          </w:p>
        </w:tc>
      </w:tr>
      <w:tr w:rsidR="009169E8" w14:paraId="5C3DA38F" w14:textId="77777777" w:rsidTr="00DF748C">
        <w:trPr>
          <w:trHeight w:val="113"/>
        </w:trPr>
        <w:tc>
          <w:tcPr>
            <w:cnfStyle w:val="000010000000" w:firstRow="0" w:lastRow="0" w:firstColumn="0" w:lastColumn="0" w:oddVBand="1" w:evenVBand="0" w:oddHBand="0" w:evenHBand="0" w:firstRowFirstColumn="0" w:firstRowLastColumn="0" w:lastRowFirstColumn="0" w:lastRowLastColumn="0"/>
            <w:tcW w:w="4394" w:type="dxa"/>
          </w:tcPr>
          <w:p w14:paraId="6C146BA7" w14:textId="77777777" w:rsidR="009169E8" w:rsidRPr="00DF748C" w:rsidRDefault="009169E8" w:rsidP="00DF748C">
            <w:pPr>
              <w:pStyle w:val="Tabletext"/>
            </w:pPr>
            <w:r w:rsidRPr="00DF748C">
              <w:t>Day procedure ward</w:t>
            </w:r>
          </w:p>
        </w:tc>
        <w:tc>
          <w:tcPr>
            <w:cnfStyle w:val="000001000000" w:firstRow="0" w:lastRow="0" w:firstColumn="0" w:lastColumn="0" w:oddVBand="0" w:evenVBand="1" w:oddHBand="0" w:evenHBand="0" w:firstRowFirstColumn="0" w:firstRowLastColumn="0" w:lastRowFirstColumn="0" w:lastRowLastColumn="0"/>
            <w:tcW w:w="1838" w:type="dxa"/>
          </w:tcPr>
          <w:p w14:paraId="6672C6B3" w14:textId="77777777" w:rsidR="009169E8" w:rsidRPr="00DF748C" w:rsidRDefault="009169E8" w:rsidP="00DF748C">
            <w:pPr>
              <w:pStyle w:val="Tabletext"/>
            </w:pPr>
            <w:r w:rsidRPr="00DF748C">
              <w:t>1</w:t>
            </w:r>
          </w:p>
        </w:tc>
      </w:tr>
      <w:tr w:rsidR="009169E8" w14:paraId="4FED0975" w14:textId="77777777" w:rsidTr="00DF748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4394" w:type="dxa"/>
          </w:tcPr>
          <w:p w14:paraId="43B87952" w14:textId="77777777" w:rsidR="009169E8" w:rsidRPr="00DF748C" w:rsidRDefault="009169E8" w:rsidP="00DF748C">
            <w:pPr>
              <w:pStyle w:val="Tabletext"/>
            </w:pPr>
            <w:r w:rsidRPr="00DF748C">
              <w:t xml:space="preserve">Cath lab </w:t>
            </w:r>
          </w:p>
        </w:tc>
        <w:tc>
          <w:tcPr>
            <w:cnfStyle w:val="000001000000" w:firstRow="0" w:lastRow="0" w:firstColumn="0" w:lastColumn="0" w:oddVBand="0" w:evenVBand="1" w:oddHBand="0" w:evenHBand="0" w:firstRowFirstColumn="0" w:firstRowLastColumn="0" w:lastRowFirstColumn="0" w:lastRowLastColumn="0"/>
            <w:tcW w:w="1838" w:type="dxa"/>
          </w:tcPr>
          <w:p w14:paraId="17130680" w14:textId="77777777" w:rsidR="009169E8" w:rsidRPr="00DF748C" w:rsidRDefault="009169E8" w:rsidP="00DF748C">
            <w:pPr>
              <w:pStyle w:val="Tabletext"/>
            </w:pPr>
            <w:r w:rsidRPr="00DF748C">
              <w:t>2</w:t>
            </w:r>
          </w:p>
        </w:tc>
      </w:tr>
      <w:tr w:rsidR="009169E8" w14:paraId="5E6899D7" w14:textId="77777777" w:rsidTr="00DF748C">
        <w:trPr>
          <w:trHeight w:val="113"/>
        </w:trPr>
        <w:tc>
          <w:tcPr>
            <w:cnfStyle w:val="000010000000" w:firstRow="0" w:lastRow="0" w:firstColumn="0" w:lastColumn="0" w:oddVBand="1" w:evenVBand="0" w:oddHBand="0" w:evenHBand="0" w:firstRowFirstColumn="0" w:firstRowLastColumn="0" w:lastRowFirstColumn="0" w:lastRowLastColumn="0"/>
            <w:tcW w:w="4394" w:type="dxa"/>
          </w:tcPr>
          <w:p w14:paraId="5390A6BE" w14:textId="77777777" w:rsidR="009169E8" w:rsidRPr="00DF748C" w:rsidRDefault="009169E8" w:rsidP="00DF748C">
            <w:pPr>
              <w:pStyle w:val="Tabletext"/>
            </w:pPr>
            <w:r w:rsidRPr="00DF748C">
              <w:t>Unclear – postoperative period</w:t>
            </w:r>
          </w:p>
        </w:tc>
        <w:tc>
          <w:tcPr>
            <w:cnfStyle w:val="000001000000" w:firstRow="0" w:lastRow="0" w:firstColumn="0" w:lastColumn="0" w:oddVBand="0" w:evenVBand="1" w:oddHBand="0" w:evenHBand="0" w:firstRowFirstColumn="0" w:firstRowLastColumn="0" w:lastRowFirstColumn="0" w:lastRowLastColumn="0"/>
            <w:tcW w:w="1838" w:type="dxa"/>
          </w:tcPr>
          <w:p w14:paraId="6F59ADAC" w14:textId="77777777" w:rsidR="009169E8" w:rsidRPr="00DF748C" w:rsidRDefault="009169E8" w:rsidP="00DF748C">
            <w:pPr>
              <w:pStyle w:val="Tabletext"/>
            </w:pPr>
            <w:r w:rsidRPr="00DF748C">
              <w:t>1</w:t>
            </w:r>
          </w:p>
        </w:tc>
      </w:tr>
      <w:tr w:rsidR="009169E8" w14:paraId="360FD41D" w14:textId="77777777" w:rsidTr="00DF748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4394" w:type="dxa"/>
          </w:tcPr>
          <w:p w14:paraId="6DE2BEC5" w14:textId="77777777" w:rsidR="009169E8" w:rsidRPr="00DF748C" w:rsidRDefault="009169E8" w:rsidP="00DF748C">
            <w:pPr>
              <w:pStyle w:val="Tabletext"/>
              <w:rPr>
                <w:b/>
              </w:rPr>
            </w:pPr>
            <w:r w:rsidRPr="00DF748C">
              <w:rPr>
                <w:b/>
              </w:rPr>
              <w:t>Total</w:t>
            </w:r>
          </w:p>
        </w:tc>
        <w:tc>
          <w:tcPr>
            <w:cnfStyle w:val="000001000000" w:firstRow="0" w:lastRow="0" w:firstColumn="0" w:lastColumn="0" w:oddVBand="0" w:evenVBand="1" w:oddHBand="0" w:evenHBand="0" w:firstRowFirstColumn="0" w:firstRowLastColumn="0" w:lastRowFirstColumn="0" w:lastRowLastColumn="0"/>
            <w:tcW w:w="1838" w:type="dxa"/>
          </w:tcPr>
          <w:p w14:paraId="2EBD7A76" w14:textId="77777777" w:rsidR="009169E8" w:rsidRPr="00DF748C" w:rsidRDefault="009169E8" w:rsidP="00DF748C">
            <w:pPr>
              <w:pStyle w:val="Tabletext"/>
              <w:rPr>
                <w:b/>
              </w:rPr>
            </w:pPr>
            <w:r w:rsidRPr="00DF748C">
              <w:rPr>
                <w:b/>
              </w:rPr>
              <w:t>58</w:t>
            </w:r>
          </w:p>
        </w:tc>
      </w:tr>
    </w:tbl>
    <w:p w14:paraId="4A957F9C" w14:textId="77777777" w:rsidR="009169E8" w:rsidRDefault="009169E8" w:rsidP="000A4644">
      <w:pPr>
        <w:pStyle w:val="Heading2"/>
      </w:pPr>
      <w:r>
        <w:t>TYPE OF ANAESTHESIA ADMINISTERED</w:t>
      </w:r>
    </w:p>
    <w:p w14:paraId="644D574A" w14:textId="13D59A3D" w:rsidR="009169E8" w:rsidRDefault="009169E8" w:rsidP="008E28A3">
      <w:pPr>
        <w:pStyle w:val="DHHSbody"/>
      </w:pPr>
      <w:r>
        <w:t>Of the events classified as anaesthesia-related, 73.6 per cent (81/110) occurred in patients administered GA. Of the mortality events, 10.3 per cent (6/58) occurred in patients administered intravenous sedation and four of the mortality events occurred in patients who received combined general and regional anaesthesia (Table 9).</w:t>
      </w:r>
    </w:p>
    <w:p w14:paraId="061AA700" w14:textId="77777777" w:rsidR="009169E8" w:rsidRDefault="009169E8" w:rsidP="00B8026E">
      <w:pPr>
        <w:pStyle w:val="Tablechartdiagramheading"/>
      </w:pPr>
      <w:r>
        <w:t>Table 9: Type of anaesthesia administered for category 1–3 cases</w:t>
      </w:r>
    </w:p>
    <w:tbl>
      <w:tblPr>
        <w:tblStyle w:val="PlainTable2"/>
        <w:tblW w:w="0" w:type="auto"/>
        <w:tblLayout w:type="fixed"/>
        <w:tblLook w:val="0020" w:firstRow="1" w:lastRow="0" w:firstColumn="0" w:lastColumn="0" w:noHBand="0" w:noVBand="0"/>
      </w:tblPr>
      <w:tblGrid>
        <w:gridCol w:w="5102"/>
        <w:gridCol w:w="1701"/>
        <w:gridCol w:w="1701"/>
        <w:gridCol w:w="1701"/>
      </w:tblGrid>
      <w:tr w:rsidR="009169E8" w14:paraId="64B04D37" w14:textId="77777777" w:rsidTr="00AE4266">
        <w:trPr>
          <w:cnfStyle w:val="100000000000" w:firstRow="1" w:lastRow="0" w:firstColumn="0" w:lastColumn="0" w:oddVBand="0" w:evenVBand="0" w:oddHBand="0" w:evenHBand="0" w:firstRowFirstColumn="0" w:firstRowLastColumn="0" w:lastRowFirstColumn="0" w:lastRowLastColumn="0"/>
          <w:trHeight w:val="364"/>
        </w:trPr>
        <w:tc>
          <w:tcPr>
            <w:cnfStyle w:val="000010000000" w:firstRow="0" w:lastRow="0" w:firstColumn="0" w:lastColumn="0" w:oddVBand="1" w:evenVBand="0" w:oddHBand="0" w:evenHBand="0" w:firstRowFirstColumn="0" w:firstRowLastColumn="0" w:lastRowFirstColumn="0" w:lastRowLastColumn="0"/>
            <w:tcW w:w="5102" w:type="dxa"/>
          </w:tcPr>
          <w:p w14:paraId="47855ACE" w14:textId="77777777" w:rsidR="009169E8" w:rsidRPr="00AE4266" w:rsidRDefault="009169E8" w:rsidP="00AE4266">
            <w:pPr>
              <w:pStyle w:val="Tableheader"/>
              <w:rPr>
                <w:b/>
              </w:rPr>
            </w:pPr>
            <w:r w:rsidRPr="00AE4266">
              <w:rPr>
                <w:b/>
              </w:rPr>
              <w:t>Type of anaesthetic</w:t>
            </w:r>
          </w:p>
        </w:tc>
        <w:tc>
          <w:tcPr>
            <w:cnfStyle w:val="000001000000" w:firstRow="0" w:lastRow="0" w:firstColumn="0" w:lastColumn="0" w:oddVBand="0" w:evenVBand="1" w:oddHBand="0" w:evenHBand="0" w:firstRowFirstColumn="0" w:firstRowLastColumn="0" w:lastRowFirstColumn="0" w:lastRowLastColumn="0"/>
            <w:tcW w:w="1701" w:type="dxa"/>
          </w:tcPr>
          <w:p w14:paraId="61F96654" w14:textId="67A0B982" w:rsidR="009169E8" w:rsidRPr="00AE4266" w:rsidRDefault="009169E8" w:rsidP="00AE4266">
            <w:pPr>
              <w:pStyle w:val="Tableheader"/>
              <w:rPr>
                <w:b/>
              </w:rPr>
            </w:pPr>
            <w:r w:rsidRPr="00AE4266">
              <w:rPr>
                <w:b/>
              </w:rPr>
              <w:t>Morbidity</w:t>
            </w:r>
          </w:p>
        </w:tc>
        <w:tc>
          <w:tcPr>
            <w:cnfStyle w:val="000010000000" w:firstRow="0" w:lastRow="0" w:firstColumn="0" w:lastColumn="0" w:oddVBand="1" w:evenVBand="0" w:oddHBand="0" w:evenHBand="0" w:firstRowFirstColumn="0" w:firstRowLastColumn="0" w:lastRowFirstColumn="0" w:lastRowLastColumn="0"/>
            <w:tcW w:w="1701" w:type="dxa"/>
          </w:tcPr>
          <w:p w14:paraId="37D78805" w14:textId="77777777" w:rsidR="009169E8" w:rsidRPr="00AE4266" w:rsidRDefault="009169E8" w:rsidP="00AE4266">
            <w:pPr>
              <w:pStyle w:val="Tableheader"/>
              <w:rPr>
                <w:b/>
              </w:rPr>
            </w:pPr>
            <w:r w:rsidRPr="00AE4266">
              <w:rPr>
                <w:b/>
              </w:rPr>
              <w:t>Mortality</w:t>
            </w:r>
          </w:p>
        </w:tc>
        <w:tc>
          <w:tcPr>
            <w:cnfStyle w:val="000001000000" w:firstRow="0" w:lastRow="0" w:firstColumn="0" w:lastColumn="0" w:oddVBand="0" w:evenVBand="1" w:oddHBand="0" w:evenHBand="0" w:firstRowFirstColumn="0" w:firstRowLastColumn="0" w:lastRowFirstColumn="0" w:lastRowLastColumn="0"/>
            <w:tcW w:w="1701" w:type="dxa"/>
          </w:tcPr>
          <w:p w14:paraId="628A0A0C" w14:textId="1BF9A292" w:rsidR="009169E8" w:rsidRPr="00AE4266" w:rsidRDefault="009169E8" w:rsidP="00AE4266">
            <w:pPr>
              <w:pStyle w:val="Tableheader"/>
              <w:rPr>
                <w:b/>
              </w:rPr>
            </w:pPr>
            <w:r w:rsidRPr="00AE4266">
              <w:rPr>
                <w:b/>
              </w:rPr>
              <w:t>Total</w:t>
            </w:r>
          </w:p>
        </w:tc>
      </w:tr>
      <w:tr w:rsidR="009169E8" w14:paraId="0201C2F5"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5A8F3588" w14:textId="77777777" w:rsidR="009169E8" w:rsidRPr="00AE4266" w:rsidRDefault="009169E8" w:rsidP="00AE4266">
            <w:pPr>
              <w:pStyle w:val="Tabletext"/>
            </w:pPr>
            <w:r w:rsidRPr="00AE4266">
              <w:t>General</w:t>
            </w:r>
          </w:p>
        </w:tc>
        <w:tc>
          <w:tcPr>
            <w:cnfStyle w:val="000001000000" w:firstRow="0" w:lastRow="0" w:firstColumn="0" w:lastColumn="0" w:oddVBand="0" w:evenVBand="1" w:oddHBand="0" w:evenHBand="0" w:firstRowFirstColumn="0" w:firstRowLastColumn="0" w:lastRowFirstColumn="0" w:lastRowLastColumn="0"/>
            <w:tcW w:w="1701" w:type="dxa"/>
          </w:tcPr>
          <w:p w14:paraId="43059A97" w14:textId="77777777" w:rsidR="009169E8" w:rsidRPr="00AE4266" w:rsidRDefault="009169E8" w:rsidP="00AE4266">
            <w:pPr>
              <w:pStyle w:val="Tabletext"/>
            </w:pPr>
            <w:r w:rsidRPr="00AE4266">
              <w:t>41</w:t>
            </w:r>
          </w:p>
        </w:tc>
        <w:tc>
          <w:tcPr>
            <w:cnfStyle w:val="000010000000" w:firstRow="0" w:lastRow="0" w:firstColumn="0" w:lastColumn="0" w:oddVBand="1" w:evenVBand="0" w:oddHBand="0" w:evenHBand="0" w:firstRowFirstColumn="0" w:firstRowLastColumn="0" w:lastRowFirstColumn="0" w:lastRowLastColumn="0"/>
            <w:tcW w:w="1701" w:type="dxa"/>
          </w:tcPr>
          <w:p w14:paraId="49087A2E" w14:textId="77777777" w:rsidR="009169E8" w:rsidRPr="00AE4266" w:rsidRDefault="009169E8" w:rsidP="00AE4266">
            <w:pPr>
              <w:pStyle w:val="Tabletext"/>
            </w:pPr>
            <w:r w:rsidRPr="00AE4266">
              <w:t>40</w:t>
            </w:r>
          </w:p>
        </w:tc>
        <w:tc>
          <w:tcPr>
            <w:cnfStyle w:val="000001000000" w:firstRow="0" w:lastRow="0" w:firstColumn="0" w:lastColumn="0" w:oddVBand="0" w:evenVBand="1" w:oddHBand="0" w:evenHBand="0" w:firstRowFirstColumn="0" w:firstRowLastColumn="0" w:lastRowFirstColumn="0" w:lastRowLastColumn="0"/>
            <w:tcW w:w="1701" w:type="dxa"/>
          </w:tcPr>
          <w:p w14:paraId="6544230E" w14:textId="77777777" w:rsidR="009169E8" w:rsidRPr="00AE4266" w:rsidRDefault="009169E8" w:rsidP="00AE4266">
            <w:pPr>
              <w:pStyle w:val="Tabletext"/>
            </w:pPr>
            <w:r w:rsidRPr="00AE4266">
              <w:t>81</w:t>
            </w:r>
          </w:p>
        </w:tc>
      </w:tr>
      <w:tr w:rsidR="009169E8" w14:paraId="51A57878"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8A0CF94" w14:textId="77777777" w:rsidR="009169E8" w:rsidRPr="00AE4266" w:rsidRDefault="009169E8" w:rsidP="00AE4266">
            <w:pPr>
              <w:pStyle w:val="Tabletext"/>
            </w:pPr>
            <w:r w:rsidRPr="00AE4266">
              <w:t>Intravenous sedation</w:t>
            </w:r>
          </w:p>
        </w:tc>
        <w:tc>
          <w:tcPr>
            <w:cnfStyle w:val="000001000000" w:firstRow="0" w:lastRow="0" w:firstColumn="0" w:lastColumn="0" w:oddVBand="0" w:evenVBand="1" w:oddHBand="0" w:evenHBand="0" w:firstRowFirstColumn="0" w:firstRowLastColumn="0" w:lastRowFirstColumn="0" w:lastRowLastColumn="0"/>
            <w:tcW w:w="1701" w:type="dxa"/>
          </w:tcPr>
          <w:p w14:paraId="6C481870" w14:textId="77777777" w:rsidR="009169E8" w:rsidRPr="00AE4266" w:rsidRDefault="009169E8" w:rsidP="00AE4266">
            <w:pPr>
              <w:pStyle w:val="Tabletext"/>
            </w:pPr>
            <w:r w:rsidRPr="00AE4266">
              <w:t>1</w:t>
            </w:r>
          </w:p>
        </w:tc>
        <w:tc>
          <w:tcPr>
            <w:cnfStyle w:val="000010000000" w:firstRow="0" w:lastRow="0" w:firstColumn="0" w:lastColumn="0" w:oddVBand="1" w:evenVBand="0" w:oddHBand="0" w:evenHBand="0" w:firstRowFirstColumn="0" w:firstRowLastColumn="0" w:lastRowFirstColumn="0" w:lastRowLastColumn="0"/>
            <w:tcW w:w="1701" w:type="dxa"/>
          </w:tcPr>
          <w:p w14:paraId="24DE6FF5" w14:textId="77777777" w:rsidR="009169E8" w:rsidRPr="00AE4266" w:rsidRDefault="009169E8" w:rsidP="00AE4266">
            <w:pPr>
              <w:pStyle w:val="Tabletext"/>
            </w:pPr>
            <w:r w:rsidRPr="00AE4266">
              <w:t>6</w:t>
            </w:r>
          </w:p>
        </w:tc>
        <w:tc>
          <w:tcPr>
            <w:cnfStyle w:val="000001000000" w:firstRow="0" w:lastRow="0" w:firstColumn="0" w:lastColumn="0" w:oddVBand="0" w:evenVBand="1" w:oddHBand="0" w:evenHBand="0" w:firstRowFirstColumn="0" w:firstRowLastColumn="0" w:lastRowFirstColumn="0" w:lastRowLastColumn="0"/>
            <w:tcW w:w="1701" w:type="dxa"/>
          </w:tcPr>
          <w:p w14:paraId="0479D9CE" w14:textId="77777777" w:rsidR="009169E8" w:rsidRPr="00AE4266" w:rsidRDefault="009169E8" w:rsidP="00AE4266">
            <w:pPr>
              <w:pStyle w:val="Tabletext"/>
            </w:pPr>
            <w:r w:rsidRPr="00AE4266">
              <w:t>7</w:t>
            </w:r>
          </w:p>
        </w:tc>
      </w:tr>
      <w:tr w:rsidR="009169E8" w14:paraId="373533A5"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540B7C1E" w14:textId="77777777" w:rsidR="009169E8" w:rsidRPr="00AE4266" w:rsidRDefault="009169E8" w:rsidP="00AE4266">
            <w:pPr>
              <w:pStyle w:val="Tabletext"/>
            </w:pPr>
            <w:r w:rsidRPr="00AE4266">
              <w:t>Regional and sedation</w:t>
            </w:r>
          </w:p>
        </w:tc>
        <w:tc>
          <w:tcPr>
            <w:cnfStyle w:val="000001000000" w:firstRow="0" w:lastRow="0" w:firstColumn="0" w:lastColumn="0" w:oddVBand="0" w:evenVBand="1" w:oddHBand="0" w:evenHBand="0" w:firstRowFirstColumn="0" w:firstRowLastColumn="0" w:lastRowFirstColumn="0" w:lastRowLastColumn="0"/>
            <w:tcW w:w="1701" w:type="dxa"/>
          </w:tcPr>
          <w:p w14:paraId="57A573A6" w14:textId="77777777" w:rsidR="009169E8" w:rsidRPr="00AE4266" w:rsidRDefault="009169E8" w:rsidP="00AE4266">
            <w:pPr>
              <w:pStyle w:val="Tabletext"/>
            </w:pPr>
            <w:r w:rsidRPr="00AE4266">
              <w:t>4</w:t>
            </w:r>
          </w:p>
        </w:tc>
        <w:tc>
          <w:tcPr>
            <w:cnfStyle w:val="000010000000" w:firstRow="0" w:lastRow="0" w:firstColumn="0" w:lastColumn="0" w:oddVBand="1" w:evenVBand="0" w:oddHBand="0" w:evenHBand="0" w:firstRowFirstColumn="0" w:firstRowLastColumn="0" w:lastRowFirstColumn="0" w:lastRowLastColumn="0"/>
            <w:tcW w:w="1701" w:type="dxa"/>
          </w:tcPr>
          <w:p w14:paraId="01527E9A" w14:textId="77777777" w:rsidR="009169E8" w:rsidRPr="00AE4266" w:rsidRDefault="009169E8" w:rsidP="00AE4266">
            <w:pPr>
              <w:pStyle w:val="Tabletext"/>
            </w:pPr>
            <w:r w:rsidRPr="00AE4266">
              <w:t>4</w:t>
            </w:r>
          </w:p>
        </w:tc>
        <w:tc>
          <w:tcPr>
            <w:cnfStyle w:val="000001000000" w:firstRow="0" w:lastRow="0" w:firstColumn="0" w:lastColumn="0" w:oddVBand="0" w:evenVBand="1" w:oddHBand="0" w:evenHBand="0" w:firstRowFirstColumn="0" w:firstRowLastColumn="0" w:lastRowFirstColumn="0" w:lastRowLastColumn="0"/>
            <w:tcW w:w="1701" w:type="dxa"/>
          </w:tcPr>
          <w:p w14:paraId="54CF7E82" w14:textId="77777777" w:rsidR="009169E8" w:rsidRPr="00AE4266" w:rsidRDefault="009169E8" w:rsidP="00AE4266">
            <w:pPr>
              <w:pStyle w:val="Tabletext"/>
            </w:pPr>
            <w:r w:rsidRPr="00AE4266">
              <w:t>8</w:t>
            </w:r>
          </w:p>
        </w:tc>
      </w:tr>
      <w:tr w:rsidR="009169E8" w14:paraId="691AF082"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F0B0DE5" w14:textId="77777777" w:rsidR="009169E8" w:rsidRPr="00AE4266" w:rsidRDefault="009169E8" w:rsidP="00AE4266">
            <w:pPr>
              <w:pStyle w:val="Tabletext"/>
            </w:pPr>
            <w:r w:rsidRPr="00AE4266">
              <w:t>General and regional</w:t>
            </w:r>
          </w:p>
        </w:tc>
        <w:tc>
          <w:tcPr>
            <w:cnfStyle w:val="000001000000" w:firstRow="0" w:lastRow="0" w:firstColumn="0" w:lastColumn="0" w:oddVBand="0" w:evenVBand="1" w:oddHBand="0" w:evenHBand="0" w:firstRowFirstColumn="0" w:firstRowLastColumn="0" w:lastRowFirstColumn="0" w:lastRowLastColumn="0"/>
            <w:tcW w:w="1701" w:type="dxa"/>
          </w:tcPr>
          <w:p w14:paraId="3620D293" w14:textId="77777777" w:rsidR="009169E8" w:rsidRPr="00AE4266" w:rsidRDefault="009169E8" w:rsidP="00AE4266">
            <w:pPr>
              <w:pStyle w:val="Tabletext"/>
            </w:pPr>
            <w:r w:rsidRPr="00AE4266">
              <w:t>3</w:t>
            </w:r>
          </w:p>
        </w:tc>
        <w:tc>
          <w:tcPr>
            <w:cnfStyle w:val="000010000000" w:firstRow="0" w:lastRow="0" w:firstColumn="0" w:lastColumn="0" w:oddVBand="1" w:evenVBand="0" w:oddHBand="0" w:evenHBand="0" w:firstRowFirstColumn="0" w:firstRowLastColumn="0" w:lastRowFirstColumn="0" w:lastRowLastColumn="0"/>
            <w:tcW w:w="1701" w:type="dxa"/>
          </w:tcPr>
          <w:p w14:paraId="243B16B7" w14:textId="77777777" w:rsidR="009169E8" w:rsidRPr="00AE4266" w:rsidRDefault="009169E8" w:rsidP="00AE4266">
            <w:pPr>
              <w:pStyle w:val="Tabletext"/>
            </w:pPr>
            <w:r w:rsidRPr="00AE4266">
              <w:t>4</w:t>
            </w:r>
          </w:p>
        </w:tc>
        <w:tc>
          <w:tcPr>
            <w:cnfStyle w:val="000001000000" w:firstRow="0" w:lastRow="0" w:firstColumn="0" w:lastColumn="0" w:oddVBand="0" w:evenVBand="1" w:oddHBand="0" w:evenHBand="0" w:firstRowFirstColumn="0" w:firstRowLastColumn="0" w:lastRowFirstColumn="0" w:lastRowLastColumn="0"/>
            <w:tcW w:w="1701" w:type="dxa"/>
          </w:tcPr>
          <w:p w14:paraId="09E31EA2" w14:textId="77777777" w:rsidR="009169E8" w:rsidRPr="00AE4266" w:rsidRDefault="009169E8" w:rsidP="00AE4266">
            <w:pPr>
              <w:pStyle w:val="Tabletext"/>
            </w:pPr>
            <w:r w:rsidRPr="00AE4266">
              <w:t>7</w:t>
            </w:r>
          </w:p>
        </w:tc>
      </w:tr>
      <w:tr w:rsidR="009169E8" w14:paraId="4B5BC690"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4989AC41" w14:textId="77777777" w:rsidR="009169E8" w:rsidRPr="00AE4266" w:rsidRDefault="009169E8" w:rsidP="00AE4266">
            <w:pPr>
              <w:pStyle w:val="Tabletext"/>
            </w:pPr>
            <w:r w:rsidRPr="00AE4266">
              <w:t>Regional</w:t>
            </w:r>
          </w:p>
        </w:tc>
        <w:tc>
          <w:tcPr>
            <w:cnfStyle w:val="000001000000" w:firstRow="0" w:lastRow="0" w:firstColumn="0" w:lastColumn="0" w:oddVBand="0" w:evenVBand="1" w:oddHBand="0" w:evenHBand="0" w:firstRowFirstColumn="0" w:firstRowLastColumn="0" w:lastRowFirstColumn="0" w:lastRowLastColumn="0"/>
            <w:tcW w:w="1701" w:type="dxa"/>
          </w:tcPr>
          <w:p w14:paraId="41A20B36" w14:textId="77777777" w:rsidR="009169E8" w:rsidRPr="00AE4266" w:rsidRDefault="009169E8" w:rsidP="00AE4266">
            <w:pPr>
              <w:pStyle w:val="Tabletext"/>
            </w:pPr>
            <w:r w:rsidRPr="00AE4266">
              <w:t>3</w:t>
            </w:r>
          </w:p>
        </w:tc>
        <w:tc>
          <w:tcPr>
            <w:cnfStyle w:val="000010000000" w:firstRow="0" w:lastRow="0" w:firstColumn="0" w:lastColumn="0" w:oddVBand="1" w:evenVBand="0" w:oddHBand="0" w:evenHBand="0" w:firstRowFirstColumn="0" w:firstRowLastColumn="0" w:lastRowFirstColumn="0" w:lastRowLastColumn="0"/>
            <w:tcW w:w="1701" w:type="dxa"/>
          </w:tcPr>
          <w:p w14:paraId="0094E90B" w14:textId="77777777" w:rsidR="009169E8" w:rsidRPr="00AE4266" w:rsidRDefault="009169E8" w:rsidP="00AE4266">
            <w:pPr>
              <w:pStyle w:val="Tabletext"/>
            </w:pPr>
            <w:r w:rsidRPr="00AE4266">
              <w:t>4</w:t>
            </w:r>
          </w:p>
        </w:tc>
        <w:tc>
          <w:tcPr>
            <w:cnfStyle w:val="000001000000" w:firstRow="0" w:lastRow="0" w:firstColumn="0" w:lastColumn="0" w:oddVBand="0" w:evenVBand="1" w:oddHBand="0" w:evenHBand="0" w:firstRowFirstColumn="0" w:firstRowLastColumn="0" w:lastRowFirstColumn="0" w:lastRowLastColumn="0"/>
            <w:tcW w:w="1701" w:type="dxa"/>
          </w:tcPr>
          <w:p w14:paraId="6BBCF6FA" w14:textId="77777777" w:rsidR="009169E8" w:rsidRPr="00AE4266" w:rsidRDefault="009169E8" w:rsidP="00AE4266">
            <w:pPr>
              <w:pStyle w:val="Tabletext"/>
            </w:pPr>
            <w:r w:rsidRPr="00AE4266">
              <w:t>7</w:t>
            </w:r>
          </w:p>
        </w:tc>
      </w:tr>
      <w:tr w:rsidR="009169E8" w14:paraId="498DB171"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ADD5D5A" w14:textId="77777777" w:rsidR="009169E8" w:rsidRPr="00AE4266" w:rsidRDefault="009169E8" w:rsidP="00AE4266">
            <w:pPr>
              <w:pStyle w:val="Tabletext"/>
              <w:rPr>
                <w:b/>
              </w:rPr>
            </w:pPr>
            <w:r w:rsidRPr="00AE4266">
              <w:rPr>
                <w:b/>
              </w:rPr>
              <w:t>Total</w:t>
            </w:r>
          </w:p>
        </w:tc>
        <w:tc>
          <w:tcPr>
            <w:cnfStyle w:val="000001000000" w:firstRow="0" w:lastRow="0" w:firstColumn="0" w:lastColumn="0" w:oddVBand="0" w:evenVBand="1" w:oddHBand="0" w:evenHBand="0" w:firstRowFirstColumn="0" w:firstRowLastColumn="0" w:lastRowFirstColumn="0" w:lastRowLastColumn="0"/>
            <w:tcW w:w="1701" w:type="dxa"/>
          </w:tcPr>
          <w:p w14:paraId="395313C5" w14:textId="77777777" w:rsidR="009169E8" w:rsidRPr="00AE4266" w:rsidRDefault="009169E8" w:rsidP="00AE4266">
            <w:pPr>
              <w:pStyle w:val="Tabletext"/>
              <w:rPr>
                <w:b/>
              </w:rPr>
            </w:pPr>
            <w:r w:rsidRPr="00AE4266">
              <w:rPr>
                <w:b/>
              </w:rPr>
              <w:t>52</w:t>
            </w:r>
          </w:p>
        </w:tc>
        <w:tc>
          <w:tcPr>
            <w:cnfStyle w:val="000010000000" w:firstRow="0" w:lastRow="0" w:firstColumn="0" w:lastColumn="0" w:oddVBand="1" w:evenVBand="0" w:oddHBand="0" w:evenHBand="0" w:firstRowFirstColumn="0" w:firstRowLastColumn="0" w:lastRowFirstColumn="0" w:lastRowLastColumn="0"/>
            <w:tcW w:w="1701" w:type="dxa"/>
          </w:tcPr>
          <w:p w14:paraId="432A50BF" w14:textId="77777777" w:rsidR="009169E8" w:rsidRPr="00AE4266" w:rsidRDefault="009169E8" w:rsidP="00AE4266">
            <w:pPr>
              <w:pStyle w:val="Tabletext"/>
              <w:rPr>
                <w:b/>
              </w:rPr>
            </w:pPr>
            <w:r w:rsidRPr="00AE4266">
              <w:rPr>
                <w:b/>
              </w:rPr>
              <w:t>58</w:t>
            </w:r>
          </w:p>
        </w:tc>
        <w:tc>
          <w:tcPr>
            <w:cnfStyle w:val="000001000000" w:firstRow="0" w:lastRow="0" w:firstColumn="0" w:lastColumn="0" w:oddVBand="0" w:evenVBand="1" w:oddHBand="0" w:evenHBand="0" w:firstRowFirstColumn="0" w:firstRowLastColumn="0" w:lastRowFirstColumn="0" w:lastRowLastColumn="0"/>
            <w:tcW w:w="1701" w:type="dxa"/>
          </w:tcPr>
          <w:p w14:paraId="4968839B" w14:textId="77777777" w:rsidR="009169E8" w:rsidRPr="00AE4266" w:rsidRDefault="009169E8" w:rsidP="00AE4266">
            <w:pPr>
              <w:pStyle w:val="Tabletext"/>
              <w:rPr>
                <w:b/>
              </w:rPr>
            </w:pPr>
            <w:r w:rsidRPr="00AE4266">
              <w:rPr>
                <w:b/>
              </w:rPr>
              <w:t>110</w:t>
            </w:r>
          </w:p>
        </w:tc>
      </w:tr>
    </w:tbl>
    <w:p w14:paraId="6103945F" w14:textId="77777777" w:rsidR="009169E8" w:rsidRDefault="009169E8" w:rsidP="000A4644">
      <w:pPr>
        <w:pStyle w:val="Heading2"/>
      </w:pPr>
      <w:r>
        <w:t>TYPE OF PROCEDURE</w:t>
      </w:r>
    </w:p>
    <w:p w14:paraId="615FFDB7" w14:textId="77777777" w:rsidR="009169E8" w:rsidRDefault="009169E8" w:rsidP="008E28A3">
      <w:pPr>
        <w:pStyle w:val="DHHSbody"/>
      </w:pPr>
      <w:r>
        <w:t>Table 10 shows procedure types for category 1–3 cases.</w:t>
      </w:r>
    </w:p>
    <w:p w14:paraId="3A954353" w14:textId="77777777" w:rsidR="009169E8" w:rsidRDefault="009169E8" w:rsidP="00B8026E">
      <w:pPr>
        <w:pStyle w:val="Tablechartdiagramheading"/>
      </w:pPr>
      <w:r>
        <w:t>Table 10: Procedure type category 1–3 cases</w:t>
      </w:r>
    </w:p>
    <w:tbl>
      <w:tblPr>
        <w:tblStyle w:val="PlainTable2"/>
        <w:tblW w:w="0" w:type="auto"/>
        <w:tblLayout w:type="fixed"/>
        <w:tblLook w:val="0020" w:firstRow="1" w:lastRow="0" w:firstColumn="0" w:lastColumn="0" w:noHBand="0" w:noVBand="0"/>
      </w:tblPr>
      <w:tblGrid>
        <w:gridCol w:w="5102"/>
        <w:gridCol w:w="1701"/>
        <w:gridCol w:w="1701"/>
        <w:gridCol w:w="1701"/>
      </w:tblGrid>
      <w:tr w:rsidR="009169E8" w14:paraId="269CC3F1" w14:textId="77777777" w:rsidTr="00AE4266">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5102" w:type="dxa"/>
          </w:tcPr>
          <w:p w14:paraId="0B44ABEF" w14:textId="5B5504A9" w:rsidR="009169E8" w:rsidRPr="00FA28AD" w:rsidRDefault="009169E8" w:rsidP="00A90D07">
            <w:pPr>
              <w:pStyle w:val="Tableheader"/>
              <w:rPr>
                <w:b/>
              </w:rPr>
            </w:pPr>
            <w:r w:rsidRPr="00FA28AD">
              <w:rPr>
                <w:b/>
              </w:rPr>
              <w:t>Procedure type</w:t>
            </w:r>
          </w:p>
        </w:tc>
        <w:tc>
          <w:tcPr>
            <w:cnfStyle w:val="000001000000" w:firstRow="0" w:lastRow="0" w:firstColumn="0" w:lastColumn="0" w:oddVBand="0" w:evenVBand="1" w:oddHBand="0" w:evenHBand="0" w:firstRowFirstColumn="0" w:firstRowLastColumn="0" w:lastRowFirstColumn="0" w:lastRowLastColumn="0"/>
            <w:tcW w:w="1701" w:type="dxa"/>
          </w:tcPr>
          <w:p w14:paraId="6484AF10" w14:textId="77777777" w:rsidR="009169E8" w:rsidRPr="00FA28AD" w:rsidRDefault="009169E8" w:rsidP="00A90D07">
            <w:pPr>
              <w:pStyle w:val="Tableheader"/>
              <w:rPr>
                <w:b/>
              </w:rPr>
            </w:pPr>
            <w:r w:rsidRPr="00FA28AD">
              <w:rPr>
                <w:b/>
              </w:rPr>
              <w:t>Morbidity</w:t>
            </w:r>
          </w:p>
        </w:tc>
        <w:tc>
          <w:tcPr>
            <w:cnfStyle w:val="000010000000" w:firstRow="0" w:lastRow="0" w:firstColumn="0" w:lastColumn="0" w:oddVBand="1" w:evenVBand="0" w:oddHBand="0" w:evenHBand="0" w:firstRowFirstColumn="0" w:firstRowLastColumn="0" w:lastRowFirstColumn="0" w:lastRowLastColumn="0"/>
            <w:tcW w:w="1701" w:type="dxa"/>
          </w:tcPr>
          <w:p w14:paraId="513CDE57" w14:textId="77777777" w:rsidR="009169E8" w:rsidRPr="00FA28AD" w:rsidRDefault="009169E8" w:rsidP="00A90D07">
            <w:pPr>
              <w:pStyle w:val="Tableheader"/>
              <w:rPr>
                <w:b/>
              </w:rPr>
            </w:pPr>
            <w:r w:rsidRPr="00FA28AD">
              <w:rPr>
                <w:b/>
              </w:rPr>
              <w:t>Mortality</w:t>
            </w:r>
          </w:p>
        </w:tc>
        <w:tc>
          <w:tcPr>
            <w:cnfStyle w:val="000001000000" w:firstRow="0" w:lastRow="0" w:firstColumn="0" w:lastColumn="0" w:oddVBand="0" w:evenVBand="1" w:oddHBand="0" w:evenHBand="0" w:firstRowFirstColumn="0" w:firstRowLastColumn="0" w:lastRowFirstColumn="0" w:lastRowLastColumn="0"/>
            <w:tcW w:w="1701" w:type="dxa"/>
          </w:tcPr>
          <w:p w14:paraId="272A8E2B" w14:textId="77777777" w:rsidR="009169E8" w:rsidRPr="00FA28AD" w:rsidRDefault="009169E8" w:rsidP="00A90D07">
            <w:pPr>
              <w:pStyle w:val="Tableheader"/>
              <w:rPr>
                <w:b/>
              </w:rPr>
            </w:pPr>
            <w:r w:rsidRPr="00FA28AD">
              <w:rPr>
                <w:b/>
              </w:rPr>
              <w:t>Total</w:t>
            </w:r>
          </w:p>
        </w:tc>
      </w:tr>
      <w:tr w:rsidR="009169E8" w14:paraId="18FC5E30"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6715B07E" w14:textId="77777777" w:rsidR="009169E8" w:rsidRPr="002E7DF4" w:rsidRDefault="009169E8" w:rsidP="002E7DF4">
            <w:pPr>
              <w:pStyle w:val="Tabletext"/>
            </w:pPr>
            <w:r w:rsidRPr="002E7DF4">
              <w:t>Orthopaedic</w:t>
            </w:r>
          </w:p>
        </w:tc>
        <w:tc>
          <w:tcPr>
            <w:cnfStyle w:val="000001000000" w:firstRow="0" w:lastRow="0" w:firstColumn="0" w:lastColumn="0" w:oddVBand="0" w:evenVBand="1" w:oddHBand="0" w:evenHBand="0" w:firstRowFirstColumn="0" w:firstRowLastColumn="0" w:lastRowFirstColumn="0" w:lastRowLastColumn="0"/>
            <w:tcW w:w="1701" w:type="dxa"/>
          </w:tcPr>
          <w:p w14:paraId="4620B79A" w14:textId="77777777" w:rsidR="009169E8" w:rsidRPr="002E7DF4" w:rsidRDefault="009169E8" w:rsidP="002E7DF4">
            <w:pPr>
              <w:pStyle w:val="Tabletext"/>
            </w:pPr>
            <w:r w:rsidRPr="002E7DF4">
              <w:t>5</w:t>
            </w:r>
          </w:p>
        </w:tc>
        <w:tc>
          <w:tcPr>
            <w:cnfStyle w:val="000010000000" w:firstRow="0" w:lastRow="0" w:firstColumn="0" w:lastColumn="0" w:oddVBand="1" w:evenVBand="0" w:oddHBand="0" w:evenHBand="0" w:firstRowFirstColumn="0" w:firstRowLastColumn="0" w:lastRowFirstColumn="0" w:lastRowLastColumn="0"/>
            <w:tcW w:w="1701" w:type="dxa"/>
          </w:tcPr>
          <w:p w14:paraId="70306303" w14:textId="77777777" w:rsidR="009169E8" w:rsidRPr="002E7DF4" w:rsidRDefault="009169E8" w:rsidP="002E7DF4">
            <w:pPr>
              <w:pStyle w:val="Tabletext"/>
            </w:pPr>
            <w:r w:rsidRPr="002E7DF4">
              <w:t>25</w:t>
            </w:r>
          </w:p>
        </w:tc>
        <w:tc>
          <w:tcPr>
            <w:cnfStyle w:val="000001000000" w:firstRow="0" w:lastRow="0" w:firstColumn="0" w:lastColumn="0" w:oddVBand="0" w:evenVBand="1" w:oddHBand="0" w:evenHBand="0" w:firstRowFirstColumn="0" w:firstRowLastColumn="0" w:lastRowFirstColumn="0" w:lastRowLastColumn="0"/>
            <w:tcW w:w="1701" w:type="dxa"/>
          </w:tcPr>
          <w:p w14:paraId="0B5362A7" w14:textId="77777777" w:rsidR="009169E8" w:rsidRPr="002E7DF4" w:rsidRDefault="009169E8" w:rsidP="002E7DF4">
            <w:pPr>
              <w:pStyle w:val="Tabletext"/>
            </w:pPr>
            <w:r w:rsidRPr="002E7DF4">
              <w:t>30</w:t>
            </w:r>
          </w:p>
        </w:tc>
      </w:tr>
      <w:tr w:rsidR="009169E8" w14:paraId="4873CC76"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24B60FC9" w14:textId="77777777" w:rsidR="009169E8" w:rsidRPr="002E7DF4" w:rsidRDefault="009169E8" w:rsidP="002E7DF4">
            <w:pPr>
              <w:pStyle w:val="Tabletext"/>
            </w:pPr>
            <w:r w:rsidRPr="002E7DF4">
              <w:t>Abdominal</w:t>
            </w:r>
          </w:p>
        </w:tc>
        <w:tc>
          <w:tcPr>
            <w:cnfStyle w:val="000001000000" w:firstRow="0" w:lastRow="0" w:firstColumn="0" w:lastColumn="0" w:oddVBand="0" w:evenVBand="1" w:oddHBand="0" w:evenHBand="0" w:firstRowFirstColumn="0" w:firstRowLastColumn="0" w:lastRowFirstColumn="0" w:lastRowLastColumn="0"/>
            <w:tcW w:w="1701" w:type="dxa"/>
          </w:tcPr>
          <w:p w14:paraId="77885C45" w14:textId="77777777" w:rsidR="009169E8" w:rsidRPr="002E7DF4" w:rsidRDefault="009169E8" w:rsidP="002E7DF4">
            <w:pPr>
              <w:pStyle w:val="Tabletext"/>
            </w:pPr>
            <w:r w:rsidRPr="002E7DF4">
              <w:t>14</w:t>
            </w:r>
          </w:p>
        </w:tc>
        <w:tc>
          <w:tcPr>
            <w:cnfStyle w:val="000010000000" w:firstRow="0" w:lastRow="0" w:firstColumn="0" w:lastColumn="0" w:oddVBand="1" w:evenVBand="0" w:oddHBand="0" w:evenHBand="0" w:firstRowFirstColumn="0" w:firstRowLastColumn="0" w:lastRowFirstColumn="0" w:lastRowLastColumn="0"/>
            <w:tcW w:w="1701" w:type="dxa"/>
          </w:tcPr>
          <w:p w14:paraId="4548C37E" w14:textId="77777777" w:rsidR="009169E8" w:rsidRPr="002E7DF4" w:rsidRDefault="009169E8" w:rsidP="002E7DF4">
            <w:pPr>
              <w:pStyle w:val="Tabletext"/>
            </w:pPr>
            <w:r w:rsidRPr="002E7DF4">
              <w:t>6</w:t>
            </w:r>
          </w:p>
        </w:tc>
        <w:tc>
          <w:tcPr>
            <w:cnfStyle w:val="000001000000" w:firstRow="0" w:lastRow="0" w:firstColumn="0" w:lastColumn="0" w:oddVBand="0" w:evenVBand="1" w:oddHBand="0" w:evenHBand="0" w:firstRowFirstColumn="0" w:firstRowLastColumn="0" w:lastRowFirstColumn="0" w:lastRowLastColumn="0"/>
            <w:tcW w:w="1701" w:type="dxa"/>
          </w:tcPr>
          <w:p w14:paraId="13809F81" w14:textId="77777777" w:rsidR="009169E8" w:rsidRPr="002E7DF4" w:rsidRDefault="009169E8" w:rsidP="002E7DF4">
            <w:pPr>
              <w:pStyle w:val="Tabletext"/>
            </w:pPr>
            <w:r w:rsidRPr="002E7DF4">
              <w:t>20</w:t>
            </w:r>
          </w:p>
        </w:tc>
      </w:tr>
      <w:tr w:rsidR="009169E8" w14:paraId="04030426"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D77B857" w14:textId="77777777" w:rsidR="009169E8" w:rsidRPr="002E7DF4" w:rsidRDefault="009169E8" w:rsidP="002E7DF4">
            <w:pPr>
              <w:pStyle w:val="Tabletext"/>
            </w:pPr>
            <w:r w:rsidRPr="002E7DF4">
              <w:t>Endoscopy</w:t>
            </w:r>
          </w:p>
        </w:tc>
        <w:tc>
          <w:tcPr>
            <w:cnfStyle w:val="000001000000" w:firstRow="0" w:lastRow="0" w:firstColumn="0" w:lastColumn="0" w:oddVBand="0" w:evenVBand="1" w:oddHBand="0" w:evenHBand="0" w:firstRowFirstColumn="0" w:firstRowLastColumn="0" w:lastRowFirstColumn="0" w:lastRowLastColumn="0"/>
            <w:tcW w:w="1701" w:type="dxa"/>
          </w:tcPr>
          <w:p w14:paraId="14E7A38C" w14:textId="77777777" w:rsidR="009169E8" w:rsidRPr="002E7DF4" w:rsidRDefault="009169E8" w:rsidP="002E7DF4">
            <w:pPr>
              <w:pStyle w:val="Tabletext"/>
            </w:pPr>
            <w:r w:rsidRPr="002E7DF4">
              <w:t>2</w:t>
            </w:r>
          </w:p>
        </w:tc>
        <w:tc>
          <w:tcPr>
            <w:cnfStyle w:val="000010000000" w:firstRow="0" w:lastRow="0" w:firstColumn="0" w:lastColumn="0" w:oddVBand="1" w:evenVBand="0" w:oddHBand="0" w:evenHBand="0" w:firstRowFirstColumn="0" w:firstRowLastColumn="0" w:lastRowFirstColumn="0" w:lastRowLastColumn="0"/>
            <w:tcW w:w="1701" w:type="dxa"/>
          </w:tcPr>
          <w:p w14:paraId="1579DF58" w14:textId="77777777" w:rsidR="009169E8" w:rsidRPr="002E7DF4" w:rsidRDefault="009169E8" w:rsidP="002E7DF4">
            <w:pPr>
              <w:pStyle w:val="Tabletext"/>
            </w:pPr>
            <w:r w:rsidRPr="002E7DF4">
              <w:t>6</w:t>
            </w:r>
          </w:p>
        </w:tc>
        <w:tc>
          <w:tcPr>
            <w:cnfStyle w:val="000001000000" w:firstRow="0" w:lastRow="0" w:firstColumn="0" w:lastColumn="0" w:oddVBand="0" w:evenVBand="1" w:oddHBand="0" w:evenHBand="0" w:firstRowFirstColumn="0" w:firstRowLastColumn="0" w:lastRowFirstColumn="0" w:lastRowLastColumn="0"/>
            <w:tcW w:w="1701" w:type="dxa"/>
          </w:tcPr>
          <w:p w14:paraId="7F79F042" w14:textId="77777777" w:rsidR="009169E8" w:rsidRPr="002E7DF4" w:rsidRDefault="009169E8" w:rsidP="002E7DF4">
            <w:pPr>
              <w:pStyle w:val="Tabletext"/>
            </w:pPr>
            <w:r w:rsidRPr="002E7DF4">
              <w:t>8</w:t>
            </w:r>
          </w:p>
        </w:tc>
      </w:tr>
      <w:tr w:rsidR="009169E8" w14:paraId="40E27144"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2C2D623" w14:textId="77777777" w:rsidR="009169E8" w:rsidRPr="002E7DF4" w:rsidRDefault="009169E8" w:rsidP="002E7DF4">
            <w:pPr>
              <w:pStyle w:val="Tabletext"/>
            </w:pPr>
            <w:r w:rsidRPr="002E7DF4">
              <w:t>Urological</w:t>
            </w:r>
          </w:p>
        </w:tc>
        <w:tc>
          <w:tcPr>
            <w:cnfStyle w:val="000001000000" w:firstRow="0" w:lastRow="0" w:firstColumn="0" w:lastColumn="0" w:oddVBand="0" w:evenVBand="1" w:oddHBand="0" w:evenHBand="0" w:firstRowFirstColumn="0" w:firstRowLastColumn="0" w:lastRowFirstColumn="0" w:lastRowLastColumn="0"/>
            <w:tcW w:w="1701" w:type="dxa"/>
          </w:tcPr>
          <w:p w14:paraId="079DB643" w14:textId="77777777" w:rsidR="009169E8" w:rsidRPr="002E7DF4" w:rsidRDefault="009169E8" w:rsidP="002E7DF4">
            <w:pPr>
              <w:pStyle w:val="Tabletext"/>
            </w:pPr>
            <w:r w:rsidRPr="002E7DF4">
              <w:t>3</w:t>
            </w:r>
          </w:p>
        </w:tc>
        <w:tc>
          <w:tcPr>
            <w:cnfStyle w:val="000010000000" w:firstRow="0" w:lastRow="0" w:firstColumn="0" w:lastColumn="0" w:oddVBand="1" w:evenVBand="0" w:oddHBand="0" w:evenHBand="0" w:firstRowFirstColumn="0" w:firstRowLastColumn="0" w:lastRowFirstColumn="0" w:lastRowLastColumn="0"/>
            <w:tcW w:w="1701" w:type="dxa"/>
          </w:tcPr>
          <w:p w14:paraId="4865EF00" w14:textId="77777777" w:rsidR="009169E8" w:rsidRPr="002E7DF4" w:rsidRDefault="009169E8" w:rsidP="002E7DF4">
            <w:pPr>
              <w:pStyle w:val="Tabletext"/>
            </w:pPr>
            <w:r w:rsidRPr="002E7DF4">
              <w:t>5</w:t>
            </w:r>
          </w:p>
        </w:tc>
        <w:tc>
          <w:tcPr>
            <w:cnfStyle w:val="000001000000" w:firstRow="0" w:lastRow="0" w:firstColumn="0" w:lastColumn="0" w:oddVBand="0" w:evenVBand="1" w:oddHBand="0" w:evenHBand="0" w:firstRowFirstColumn="0" w:firstRowLastColumn="0" w:lastRowFirstColumn="0" w:lastRowLastColumn="0"/>
            <w:tcW w:w="1701" w:type="dxa"/>
          </w:tcPr>
          <w:p w14:paraId="098EA87D" w14:textId="77777777" w:rsidR="009169E8" w:rsidRPr="002E7DF4" w:rsidRDefault="009169E8" w:rsidP="002E7DF4">
            <w:pPr>
              <w:pStyle w:val="Tabletext"/>
            </w:pPr>
            <w:r w:rsidRPr="002E7DF4">
              <w:t>8</w:t>
            </w:r>
          </w:p>
        </w:tc>
      </w:tr>
      <w:tr w:rsidR="009169E8" w14:paraId="79A71F2C"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4A201DD6" w14:textId="77777777" w:rsidR="009169E8" w:rsidRPr="002E7DF4" w:rsidRDefault="009169E8" w:rsidP="002E7DF4">
            <w:pPr>
              <w:pStyle w:val="Tabletext"/>
            </w:pPr>
            <w:r w:rsidRPr="002E7DF4">
              <w:t>Cardiothoracic</w:t>
            </w:r>
          </w:p>
        </w:tc>
        <w:tc>
          <w:tcPr>
            <w:cnfStyle w:val="000001000000" w:firstRow="0" w:lastRow="0" w:firstColumn="0" w:lastColumn="0" w:oddVBand="0" w:evenVBand="1" w:oddHBand="0" w:evenHBand="0" w:firstRowFirstColumn="0" w:firstRowLastColumn="0" w:lastRowFirstColumn="0" w:lastRowLastColumn="0"/>
            <w:tcW w:w="1701" w:type="dxa"/>
          </w:tcPr>
          <w:p w14:paraId="4D25764E" w14:textId="77777777" w:rsidR="009169E8" w:rsidRPr="002E7DF4" w:rsidRDefault="009169E8" w:rsidP="002E7DF4">
            <w:pPr>
              <w:pStyle w:val="Tabletext"/>
            </w:pPr>
            <w:r w:rsidRPr="002E7DF4">
              <w:t>4</w:t>
            </w:r>
          </w:p>
        </w:tc>
        <w:tc>
          <w:tcPr>
            <w:cnfStyle w:val="000010000000" w:firstRow="0" w:lastRow="0" w:firstColumn="0" w:lastColumn="0" w:oddVBand="1" w:evenVBand="0" w:oddHBand="0" w:evenHBand="0" w:firstRowFirstColumn="0" w:firstRowLastColumn="0" w:lastRowFirstColumn="0" w:lastRowLastColumn="0"/>
            <w:tcW w:w="1701" w:type="dxa"/>
          </w:tcPr>
          <w:p w14:paraId="313866D4" w14:textId="77777777" w:rsidR="009169E8" w:rsidRPr="002E7DF4" w:rsidRDefault="009169E8" w:rsidP="002E7DF4">
            <w:pPr>
              <w:pStyle w:val="Tabletext"/>
            </w:pPr>
            <w:r w:rsidRPr="002E7DF4">
              <w:t>2</w:t>
            </w:r>
          </w:p>
        </w:tc>
        <w:tc>
          <w:tcPr>
            <w:cnfStyle w:val="000001000000" w:firstRow="0" w:lastRow="0" w:firstColumn="0" w:lastColumn="0" w:oddVBand="0" w:evenVBand="1" w:oddHBand="0" w:evenHBand="0" w:firstRowFirstColumn="0" w:firstRowLastColumn="0" w:lastRowFirstColumn="0" w:lastRowLastColumn="0"/>
            <w:tcW w:w="1701" w:type="dxa"/>
          </w:tcPr>
          <w:p w14:paraId="5BCD9A59" w14:textId="77777777" w:rsidR="009169E8" w:rsidRPr="002E7DF4" w:rsidRDefault="009169E8" w:rsidP="002E7DF4">
            <w:pPr>
              <w:pStyle w:val="Tabletext"/>
            </w:pPr>
            <w:r w:rsidRPr="002E7DF4">
              <w:t>6</w:t>
            </w:r>
          </w:p>
        </w:tc>
      </w:tr>
      <w:tr w:rsidR="009169E8" w14:paraId="56B513F6"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B63C8D5" w14:textId="77777777" w:rsidR="009169E8" w:rsidRPr="002E7DF4" w:rsidRDefault="009169E8" w:rsidP="002E7DF4">
            <w:pPr>
              <w:pStyle w:val="Tabletext"/>
            </w:pPr>
            <w:r w:rsidRPr="002E7DF4">
              <w:t>General (non-abdominal)</w:t>
            </w:r>
          </w:p>
        </w:tc>
        <w:tc>
          <w:tcPr>
            <w:cnfStyle w:val="000001000000" w:firstRow="0" w:lastRow="0" w:firstColumn="0" w:lastColumn="0" w:oddVBand="0" w:evenVBand="1" w:oddHBand="0" w:evenHBand="0" w:firstRowFirstColumn="0" w:firstRowLastColumn="0" w:lastRowFirstColumn="0" w:lastRowLastColumn="0"/>
            <w:tcW w:w="1701" w:type="dxa"/>
          </w:tcPr>
          <w:p w14:paraId="5E1C51F1" w14:textId="77777777" w:rsidR="009169E8" w:rsidRPr="002E7DF4" w:rsidRDefault="009169E8" w:rsidP="002E7DF4">
            <w:pPr>
              <w:pStyle w:val="Tabletext"/>
            </w:pPr>
            <w:r w:rsidRPr="002E7DF4">
              <w:t>4</w:t>
            </w:r>
          </w:p>
        </w:tc>
        <w:tc>
          <w:tcPr>
            <w:cnfStyle w:val="000010000000" w:firstRow="0" w:lastRow="0" w:firstColumn="0" w:lastColumn="0" w:oddVBand="1" w:evenVBand="0" w:oddHBand="0" w:evenHBand="0" w:firstRowFirstColumn="0" w:firstRowLastColumn="0" w:lastRowFirstColumn="0" w:lastRowLastColumn="0"/>
            <w:tcW w:w="1701" w:type="dxa"/>
          </w:tcPr>
          <w:p w14:paraId="7F807E16" w14:textId="77777777" w:rsidR="009169E8" w:rsidRPr="002E7DF4" w:rsidRDefault="009169E8" w:rsidP="002E7DF4">
            <w:pPr>
              <w:pStyle w:val="Tabletext"/>
            </w:pPr>
            <w:r w:rsidRPr="002E7DF4">
              <w:t>2</w:t>
            </w:r>
          </w:p>
        </w:tc>
        <w:tc>
          <w:tcPr>
            <w:cnfStyle w:val="000001000000" w:firstRow="0" w:lastRow="0" w:firstColumn="0" w:lastColumn="0" w:oddVBand="0" w:evenVBand="1" w:oddHBand="0" w:evenHBand="0" w:firstRowFirstColumn="0" w:firstRowLastColumn="0" w:lastRowFirstColumn="0" w:lastRowLastColumn="0"/>
            <w:tcW w:w="1701" w:type="dxa"/>
          </w:tcPr>
          <w:p w14:paraId="7F7215A3" w14:textId="77777777" w:rsidR="009169E8" w:rsidRPr="002E7DF4" w:rsidRDefault="009169E8" w:rsidP="002E7DF4">
            <w:pPr>
              <w:pStyle w:val="Tabletext"/>
            </w:pPr>
            <w:r w:rsidRPr="002E7DF4">
              <w:t>6</w:t>
            </w:r>
          </w:p>
        </w:tc>
      </w:tr>
      <w:tr w:rsidR="009169E8" w14:paraId="057B1083"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7BCBA70B" w14:textId="77777777" w:rsidR="009169E8" w:rsidRPr="002E7DF4" w:rsidRDefault="009169E8" w:rsidP="002E7DF4">
            <w:pPr>
              <w:pStyle w:val="Tabletext"/>
            </w:pPr>
            <w:r w:rsidRPr="002E7DF4">
              <w:t>Gynaecological</w:t>
            </w:r>
          </w:p>
        </w:tc>
        <w:tc>
          <w:tcPr>
            <w:cnfStyle w:val="000001000000" w:firstRow="0" w:lastRow="0" w:firstColumn="0" w:lastColumn="0" w:oddVBand="0" w:evenVBand="1" w:oddHBand="0" w:evenHBand="0" w:firstRowFirstColumn="0" w:firstRowLastColumn="0" w:lastRowFirstColumn="0" w:lastRowLastColumn="0"/>
            <w:tcW w:w="1701" w:type="dxa"/>
          </w:tcPr>
          <w:p w14:paraId="4ED459AA" w14:textId="77777777" w:rsidR="009169E8" w:rsidRPr="002E7DF4" w:rsidRDefault="009169E8" w:rsidP="002E7DF4">
            <w:pPr>
              <w:pStyle w:val="Tabletext"/>
            </w:pPr>
            <w:r w:rsidRPr="002E7DF4">
              <w:t>4</w:t>
            </w:r>
          </w:p>
        </w:tc>
        <w:tc>
          <w:tcPr>
            <w:cnfStyle w:val="000010000000" w:firstRow="0" w:lastRow="0" w:firstColumn="0" w:lastColumn="0" w:oddVBand="1" w:evenVBand="0" w:oddHBand="0" w:evenHBand="0" w:firstRowFirstColumn="0" w:firstRowLastColumn="0" w:lastRowFirstColumn="0" w:lastRowLastColumn="0"/>
            <w:tcW w:w="1701" w:type="dxa"/>
          </w:tcPr>
          <w:p w14:paraId="4380B496" w14:textId="77777777" w:rsidR="009169E8" w:rsidRPr="002E7DF4" w:rsidRDefault="009169E8" w:rsidP="002E7DF4">
            <w:pPr>
              <w:pStyle w:val="Tabletext"/>
            </w:pPr>
            <w:r w:rsidRPr="002E7DF4">
              <w:t>1</w:t>
            </w:r>
          </w:p>
        </w:tc>
        <w:tc>
          <w:tcPr>
            <w:cnfStyle w:val="000001000000" w:firstRow="0" w:lastRow="0" w:firstColumn="0" w:lastColumn="0" w:oddVBand="0" w:evenVBand="1" w:oddHBand="0" w:evenHBand="0" w:firstRowFirstColumn="0" w:firstRowLastColumn="0" w:lastRowFirstColumn="0" w:lastRowLastColumn="0"/>
            <w:tcW w:w="1701" w:type="dxa"/>
          </w:tcPr>
          <w:p w14:paraId="3B9CB290" w14:textId="77777777" w:rsidR="009169E8" w:rsidRPr="002E7DF4" w:rsidRDefault="009169E8" w:rsidP="002E7DF4">
            <w:pPr>
              <w:pStyle w:val="Tabletext"/>
            </w:pPr>
            <w:r w:rsidRPr="002E7DF4">
              <w:t>5</w:t>
            </w:r>
          </w:p>
        </w:tc>
      </w:tr>
      <w:tr w:rsidR="009169E8" w14:paraId="4ED14CA7"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5D352F08" w14:textId="77777777" w:rsidR="009169E8" w:rsidRPr="002E7DF4" w:rsidRDefault="009169E8" w:rsidP="002E7DF4">
            <w:pPr>
              <w:pStyle w:val="Tabletext"/>
            </w:pPr>
            <w:r w:rsidRPr="002E7DF4">
              <w:t>Ophthalmological</w:t>
            </w:r>
          </w:p>
        </w:tc>
        <w:tc>
          <w:tcPr>
            <w:cnfStyle w:val="000001000000" w:firstRow="0" w:lastRow="0" w:firstColumn="0" w:lastColumn="0" w:oddVBand="0" w:evenVBand="1" w:oddHBand="0" w:evenHBand="0" w:firstRowFirstColumn="0" w:firstRowLastColumn="0" w:lastRowFirstColumn="0" w:lastRowLastColumn="0"/>
            <w:tcW w:w="1701" w:type="dxa"/>
          </w:tcPr>
          <w:p w14:paraId="5C5A1DA5" w14:textId="77777777" w:rsidR="009169E8" w:rsidRPr="002E7DF4" w:rsidRDefault="009169E8" w:rsidP="002E7DF4">
            <w:pPr>
              <w:pStyle w:val="Tabletext"/>
            </w:pPr>
            <w:r w:rsidRPr="002E7DF4">
              <w:t>4</w:t>
            </w:r>
          </w:p>
        </w:tc>
        <w:tc>
          <w:tcPr>
            <w:cnfStyle w:val="000010000000" w:firstRow="0" w:lastRow="0" w:firstColumn="0" w:lastColumn="0" w:oddVBand="1" w:evenVBand="0" w:oddHBand="0" w:evenHBand="0" w:firstRowFirstColumn="0" w:firstRowLastColumn="0" w:lastRowFirstColumn="0" w:lastRowLastColumn="0"/>
            <w:tcW w:w="1701" w:type="dxa"/>
          </w:tcPr>
          <w:p w14:paraId="083037AF" w14:textId="77777777" w:rsidR="009169E8" w:rsidRPr="002E7DF4" w:rsidRDefault="009169E8" w:rsidP="002E7DF4">
            <w:pPr>
              <w:pStyle w:val="Tabletext"/>
            </w:pPr>
            <w:r w:rsidRPr="002E7DF4">
              <w:t>1</w:t>
            </w:r>
          </w:p>
        </w:tc>
        <w:tc>
          <w:tcPr>
            <w:cnfStyle w:val="000001000000" w:firstRow="0" w:lastRow="0" w:firstColumn="0" w:lastColumn="0" w:oddVBand="0" w:evenVBand="1" w:oddHBand="0" w:evenHBand="0" w:firstRowFirstColumn="0" w:firstRowLastColumn="0" w:lastRowFirstColumn="0" w:lastRowLastColumn="0"/>
            <w:tcW w:w="1701" w:type="dxa"/>
          </w:tcPr>
          <w:p w14:paraId="3CD4E7E7" w14:textId="77777777" w:rsidR="009169E8" w:rsidRPr="002E7DF4" w:rsidRDefault="009169E8" w:rsidP="002E7DF4">
            <w:pPr>
              <w:pStyle w:val="Tabletext"/>
            </w:pPr>
            <w:r w:rsidRPr="002E7DF4">
              <w:t>5</w:t>
            </w:r>
          </w:p>
        </w:tc>
      </w:tr>
      <w:tr w:rsidR="009169E8" w14:paraId="0DBFC136"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4E76844D" w14:textId="77777777" w:rsidR="009169E8" w:rsidRPr="002E7DF4" w:rsidRDefault="009169E8" w:rsidP="002E7DF4">
            <w:pPr>
              <w:pStyle w:val="Tabletext"/>
            </w:pPr>
            <w:r w:rsidRPr="002E7DF4">
              <w:t>ENT &amp; head/neck</w:t>
            </w:r>
          </w:p>
        </w:tc>
        <w:tc>
          <w:tcPr>
            <w:cnfStyle w:val="000001000000" w:firstRow="0" w:lastRow="0" w:firstColumn="0" w:lastColumn="0" w:oddVBand="0" w:evenVBand="1" w:oddHBand="0" w:evenHBand="0" w:firstRowFirstColumn="0" w:firstRowLastColumn="0" w:lastRowFirstColumn="0" w:lastRowLastColumn="0"/>
            <w:tcW w:w="1701" w:type="dxa"/>
          </w:tcPr>
          <w:p w14:paraId="33BE4B73" w14:textId="77777777" w:rsidR="009169E8" w:rsidRPr="002E7DF4" w:rsidRDefault="009169E8" w:rsidP="002E7DF4">
            <w:pPr>
              <w:pStyle w:val="Tabletext"/>
            </w:pPr>
            <w:r w:rsidRPr="002E7DF4">
              <w:t>3</w:t>
            </w:r>
          </w:p>
        </w:tc>
        <w:tc>
          <w:tcPr>
            <w:cnfStyle w:val="000010000000" w:firstRow="0" w:lastRow="0" w:firstColumn="0" w:lastColumn="0" w:oddVBand="1" w:evenVBand="0" w:oddHBand="0" w:evenHBand="0" w:firstRowFirstColumn="0" w:firstRowLastColumn="0" w:lastRowFirstColumn="0" w:lastRowLastColumn="0"/>
            <w:tcW w:w="1701" w:type="dxa"/>
          </w:tcPr>
          <w:p w14:paraId="26614D93" w14:textId="77777777" w:rsidR="009169E8" w:rsidRPr="002E7DF4" w:rsidRDefault="009169E8" w:rsidP="002E7DF4">
            <w:pPr>
              <w:pStyle w:val="Tabletext"/>
            </w:pPr>
            <w:r w:rsidRPr="002E7DF4">
              <w:t>1</w:t>
            </w:r>
          </w:p>
        </w:tc>
        <w:tc>
          <w:tcPr>
            <w:cnfStyle w:val="000001000000" w:firstRow="0" w:lastRow="0" w:firstColumn="0" w:lastColumn="0" w:oddVBand="0" w:evenVBand="1" w:oddHBand="0" w:evenHBand="0" w:firstRowFirstColumn="0" w:firstRowLastColumn="0" w:lastRowFirstColumn="0" w:lastRowLastColumn="0"/>
            <w:tcW w:w="1701" w:type="dxa"/>
          </w:tcPr>
          <w:p w14:paraId="7DE9CF39" w14:textId="77777777" w:rsidR="009169E8" w:rsidRPr="002E7DF4" w:rsidRDefault="009169E8" w:rsidP="002E7DF4">
            <w:pPr>
              <w:pStyle w:val="Tabletext"/>
            </w:pPr>
            <w:r w:rsidRPr="002E7DF4">
              <w:t>4</w:t>
            </w:r>
          </w:p>
        </w:tc>
      </w:tr>
      <w:tr w:rsidR="009169E8" w14:paraId="1CE838F7"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063DFB4" w14:textId="77777777" w:rsidR="009169E8" w:rsidRPr="002E7DF4" w:rsidRDefault="009169E8" w:rsidP="002E7DF4">
            <w:pPr>
              <w:pStyle w:val="Tabletext"/>
            </w:pPr>
            <w:r w:rsidRPr="002E7DF4">
              <w:t>Vascular</w:t>
            </w:r>
          </w:p>
        </w:tc>
        <w:tc>
          <w:tcPr>
            <w:cnfStyle w:val="000001000000" w:firstRow="0" w:lastRow="0" w:firstColumn="0" w:lastColumn="0" w:oddVBand="0" w:evenVBand="1" w:oddHBand="0" w:evenHBand="0" w:firstRowFirstColumn="0" w:firstRowLastColumn="0" w:lastRowFirstColumn="0" w:lastRowLastColumn="0"/>
            <w:tcW w:w="1701" w:type="dxa"/>
          </w:tcPr>
          <w:p w14:paraId="6289C0E0" w14:textId="77777777" w:rsidR="009169E8" w:rsidRPr="002E7DF4" w:rsidRDefault="009169E8" w:rsidP="002E7DF4">
            <w:pPr>
              <w:pStyle w:val="Tabletext"/>
            </w:pPr>
            <w:r w:rsidRPr="002E7DF4">
              <w:t>1</w:t>
            </w:r>
          </w:p>
        </w:tc>
        <w:tc>
          <w:tcPr>
            <w:cnfStyle w:val="000010000000" w:firstRow="0" w:lastRow="0" w:firstColumn="0" w:lastColumn="0" w:oddVBand="1" w:evenVBand="0" w:oddHBand="0" w:evenHBand="0" w:firstRowFirstColumn="0" w:firstRowLastColumn="0" w:lastRowFirstColumn="0" w:lastRowLastColumn="0"/>
            <w:tcW w:w="1701" w:type="dxa"/>
          </w:tcPr>
          <w:p w14:paraId="59B92BF6" w14:textId="77777777" w:rsidR="009169E8" w:rsidRPr="002E7DF4" w:rsidRDefault="009169E8" w:rsidP="002E7DF4">
            <w:pPr>
              <w:pStyle w:val="Tabletext"/>
            </w:pPr>
            <w:r w:rsidRPr="002E7DF4">
              <w:t>3</w:t>
            </w:r>
          </w:p>
        </w:tc>
        <w:tc>
          <w:tcPr>
            <w:cnfStyle w:val="000001000000" w:firstRow="0" w:lastRow="0" w:firstColumn="0" w:lastColumn="0" w:oddVBand="0" w:evenVBand="1" w:oddHBand="0" w:evenHBand="0" w:firstRowFirstColumn="0" w:firstRowLastColumn="0" w:lastRowFirstColumn="0" w:lastRowLastColumn="0"/>
            <w:tcW w:w="1701" w:type="dxa"/>
          </w:tcPr>
          <w:p w14:paraId="2FD86D5C" w14:textId="77777777" w:rsidR="009169E8" w:rsidRPr="002E7DF4" w:rsidRDefault="009169E8" w:rsidP="002E7DF4">
            <w:pPr>
              <w:pStyle w:val="Tabletext"/>
            </w:pPr>
            <w:r w:rsidRPr="002E7DF4">
              <w:t>4</w:t>
            </w:r>
          </w:p>
        </w:tc>
      </w:tr>
      <w:tr w:rsidR="009169E8" w14:paraId="33937326"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3DE2DB4" w14:textId="77777777" w:rsidR="009169E8" w:rsidRPr="002E7DF4" w:rsidRDefault="009169E8" w:rsidP="002E7DF4">
            <w:pPr>
              <w:pStyle w:val="Tabletext"/>
            </w:pPr>
            <w:r w:rsidRPr="002E7DF4">
              <w:t>Obstetrics</w:t>
            </w:r>
          </w:p>
        </w:tc>
        <w:tc>
          <w:tcPr>
            <w:cnfStyle w:val="000001000000" w:firstRow="0" w:lastRow="0" w:firstColumn="0" w:lastColumn="0" w:oddVBand="0" w:evenVBand="1" w:oddHBand="0" w:evenHBand="0" w:firstRowFirstColumn="0" w:firstRowLastColumn="0" w:lastRowFirstColumn="0" w:lastRowLastColumn="0"/>
            <w:tcW w:w="1701" w:type="dxa"/>
          </w:tcPr>
          <w:p w14:paraId="4D8C214A" w14:textId="77777777" w:rsidR="009169E8" w:rsidRPr="002E7DF4" w:rsidRDefault="009169E8" w:rsidP="002E7DF4">
            <w:pPr>
              <w:pStyle w:val="Tabletext"/>
            </w:pPr>
            <w:r w:rsidRPr="002E7DF4">
              <w:t>2</w:t>
            </w:r>
          </w:p>
        </w:tc>
        <w:tc>
          <w:tcPr>
            <w:cnfStyle w:val="000010000000" w:firstRow="0" w:lastRow="0" w:firstColumn="0" w:lastColumn="0" w:oddVBand="1" w:evenVBand="0" w:oddHBand="0" w:evenHBand="0" w:firstRowFirstColumn="0" w:firstRowLastColumn="0" w:lastRowFirstColumn="0" w:lastRowLastColumn="0"/>
            <w:tcW w:w="1701" w:type="dxa"/>
          </w:tcPr>
          <w:p w14:paraId="13E5F7FD" w14:textId="77777777" w:rsidR="009169E8" w:rsidRPr="002E7DF4" w:rsidRDefault="009169E8" w:rsidP="002E7DF4">
            <w:pPr>
              <w:pStyle w:val="Tabletext"/>
            </w:pPr>
            <w:r w:rsidRPr="002E7DF4">
              <w:t>0</w:t>
            </w:r>
          </w:p>
        </w:tc>
        <w:tc>
          <w:tcPr>
            <w:cnfStyle w:val="000001000000" w:firstRow="0" w:lastRow="0" w:firstColumn="0" w:lastColumn="0" w:oddVBand="0" w:evenVBand="1" w:oddHBand="0" w:evenHBand="0" w:firstRowFirstColumn="0" w:firstRowLastColumn="0" w:lastRowFirstColumn="0" w:lastRowLastColumn="0"/>
            <w:tcW w:w="1701" w:type="dxa"/>
          </w:tcPr>
          <w:p w14:paraId="78677228" w14:textId="77777777" w:rsidR="009169E8" w:rsidRPr="002E7DF4" w:rsidRDefault="009169E8" w:rsidP="002E7DF4">
            <w:pPr>
              <w:pStyle w:val="Tabletext"/>
            </w:pPr>
            <w:r w:rsidRPr="002E7DF4">
              <w:t>2</w:t>
            </w:r>
          </w:p>
        </w:tc>
      </w:tr>
      <w:tr w:rsidR="009169E8" w14:paraId="264DFDC9"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3AB55425" w14:textId="77777777" w:rsidR="009169E8" w:rsidRPr="002E7DF4" w:rsidRDefault="009169E8" w:rsidP="002E7DF4">
            <w:pPr>
              <w:pStyle w:val="Tabletext"/>
            </w:pPr>
            <w:r w:rsidRPr="002E7DF4">
              <w:t>Electroconvulsive therapy</w:t>
            </w:r>
          </w:p>
        </w:tc>
        <w:tc>
          <w:tcPr>
            <w:cnfStyle w:val="000001000000" w:firstRow="0" w:lastRow="0" w:firstColumn="0" w:lastColumn="0" w:oddVBand="0" w:evenVBand="1" w:oddHBand="0" w:evenHBand="0" w:firstRowFirstColumn="0" w:firstRowLastColumn="0" w:lastRowFirstColumn="0" w:lastRowLastColumn="0"/>
            <w:tcW w:w="1701" w:type="dxa"/>
          </w:tcPr>
          <w:p w14:paraId="5969D307" w14:textId="77777777" w:rsidR="009169E8" w:rsidRPr="002E7DF4" w:rsidRDefault="009169E8" w:rsidP="002E7DF4">
            <w:pPr>
              <w:pStyle w:val="Tabletext"/>
            </w:pPr>
            <w:r w:rsidRPr="002E7DF4">
              <w:t>1</w:t>
            </w:r>
          </w:p>
        </w:tc>
        <w:tc>
          <w:tcPr>
            <w:cnfStyle w:val="000010000000" w:firstRow="0" w:lastRow="0" w:firstColumn="0" w:lastColumn="0" w:oddVBand="1" w:evenVBand="0" w:oddHBand="0" w:evenHBand="0" w:firstRowFirstColumn="0" w:firstRowLastColumn="0" w:lastRowFirstColumn="0" w:lastRowLastColumn="0"/>
            <w:tcW w:w="1701" w:type="dxa"/>
          </w:tcPr>
          <w:p w14:paraId="4BD1873D" w14:textId="77777777" w:rsidR="009169E8" w:rsidRPr="002E7DF4" w:rsidRDefault="009169E8" w:rsidP="002E7DF4">
            <w:pPr>
              <w:pStyle w:val="Tabletext"/>
            </w:pPr>
            <w:r w:rsidRPr="002E7DF4">
              <w:t>0</w:t>
            </w:r>
          </w:p>
        </w:tc>
        <w:tc>
          <w:tcPr>
            <w:cnfStyle w:val="000001000000" w:firstRow="0" w:lastRow="0" w:firstColumn="0" w:lastColumn="0" w:oddVBand="0" w:evenVBand="1" w:oddHBand="0" w:evenHBand="0" w:firstRowFirstColumn="0" w:firstRowLastColumn="0" w:lastRowFirstColumn="0" w:lastRowLastColumn="0"/>
            <w:tcW w:w="1701" w:type="dxa"/>
          </w:tcPr>
          <w:p w14:paraId="403E04E1" w14:textId="77777777" w:rsidR="009169E8" w:rsidRPr="002E7DF4" w:rsidRDefault="009169E8" w:rsidP="002E7DF4">
            <w:pPr>
              <w:pStyle w:val="Tabletext"/>
            </w:pPr>
            <w:r w:rsidRPr="002E7DF4">
              <w:t>1</w:t>
            </w:r>
          </w:p>
        </w:tc>
      </w:tr>
      <w:tr w:rsidR="009169E8" w14:paraId="14BCA0C1"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190DDDE4" w14:textId="77777777" w:rsidR="009169E8" w:rsidRPr="002E7DF4" w:rsidRDefault="009169E8" w:rsidP="002E7DF4">
            <w:pPr>
              <w:pStyle w:val="Tabletext"/>
            </w:pPr>
            <w:r w:rsidRPr="002E7DF4">
              <w:t>Maxillofacial</w:t>
            </w:r>
          </w:p>
        </w:tc>
        <w:tc>
          <w:tcPr>
            <w:cnfStyle w:val="000001000000" w:firstRow="0" w:lastRow="0" w:firstColumn="0" w:lastColumn="0" w:oddVBand="0" w:evenVBand="1" w:oddHBand="0" w:evenHBand="0" w:firstRowFirstColumn="0" w:firstRowLastColumn="0" w:lastRowFirstColumn="0" w:lastRowLastColumn="0"/>
            <w:tcW w:w="1701" w:type="dxa"/>
          </w:tcPr>
          <w:p w14:paraId="44062D73" w14:textId="77777777" w:rsidR="009169E8" w:rsidRPr="002E7DF4" w:rsidRDefault="009169E8" w:rsidP="002E7DF4">
            <w:pPr>
              <w:pStyle w:val="Tabletext"/>
            </w:pPr>
            <w:r w:rsidRPr="002E7DF4">
              <w:t>1</w:t>
            </w:r>
          </w:p>
        </w:tc>
        <w:tc>
          <w:tcPr>
            <w:cnfStyle w:val="000010000000" w:firstRow="0" w:lastRow="0" w:firstColumn="0" w:lastColumn="0" w:oddVBand="1" w:evenVBand="0" w:oddHBand="0" w:evenHBand="0" w:firstRowFirstColumn="0" w:firstRowLastColumn="0" w:lastRowFirstColumn="0" w:lastRowLastColumn="0"/>
            <w:tcW w:w="1701" w:type="dxa"/>
          </w:tcPr>
          <w:p w14:paraId="3C0A6267" w14:textId="77777777" w:rsidR="009169E8" w:rsidRPr="002E7DF4" w:rsidRDefault="009169E8" w:rsidP="002E7DF4">
            <w:pPr>
              <w:pStyle w:val="Tabletext"/>
            </w:pPr>
            <w:r w:rsidRPr="002E7DF4">
              <w:t>0</w:t>
            </w:r>
          </w:p>
        </w:tc>
        <w:tc>
          <w:tcPr>
            <w:cnfStyle w:val="000001000000" w:firstRow="0" w:lastRow="0" w:firstColumn="0" w:lastColumn="0" w:oddVBand="0" w:evenVBand="1" w:oddHBand="0" w:evenHBand="0" w:firstRowFirstColumn="0" w:firstRowLastColumn="0" w:lastRowFirstColumn="0" w:lastRowLastColumn="0"/>
            <w:tcW w:w="1701" w:type="dxa"/>
          </w:tcPr>
          <w:p w14:paraId="756DEA26" w14:textId="77777777" w:rsidR="009169E8" w:rsidRPr="002E7DF4" w:rsidRDefault="009169E8" w:rsidP="002E7DF4">
            <w:pPr>
              <w:pStyle w:val="Tabletext"/>
            </w:pPr>
            <w:r w:rsidRPr="002E7DF4">
              <w:t>1</w:t>
            </w:r>
          </w:p>
        </w:tc>
      </w:tr>
      <w:tr w:rsidR="009169E8" w14:paraId="5E3496A3"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236FC3C9" w14:textId="77777777" w:rsidR="009169E8" w:rsidRPr="002E7DF4" w:rsidRDefault="009169E8" w:rsidP="002E7DF4">
            <w:pPr>
              <w:pStyle w:val="Tabletext"/>
            </w:pPr>
            <w:r w:rsidRPr="002E7DF4">
              <w:t>Neurosurgery</w:t>
            </w:r>
          </w:p>
        </w:tc>
        <w:tc>
          <w:tcPr>
            <w:cnfStyle w:val="000001000000" w:firstRow="0" w:lastRow="0" w:firstColumn="0" w:lastColumn="0" w:oddVBand="0" w:evenVBand="1" w:oddHBand="0" w:evenHBand="0" w:firstRowFirstColumn="0" w:firstRowLastColumn="0" w:lastRowFirstColumn="0" w:lastRowLastColumn="0"/>
            <w:tcW w:w="1701" w:type="dxa"/>
          </w:tcPr>
          <w:p w14:paraId="11B6CE4A" w14:textId="77777777" w:rsidR="009169E8" w:rsidRPr="002E7DF4" w:rsidRDefault="009169E8" w:rsidP="002E7DF4">
            <w:pPr>
              <w:pStyle w:val="Tabletext"/>
            </w:pPr>
            <w:r w:rsidRPr="002E7DF4">
              <w:t>1</w:t>
            </w:r>
          </w:p>
        </w:tc>
        <w:tc>
          <w:tcPr>
            <w:cnfStyle w:val="000010000000" w:firstRow="0" w:lastRow="0" w:firstColumn="0" w:lastColumn="0" w:oddVBand="1" w:evenVBand="0" w:oddHBand="0" w:evenHBand="0" w:firstRowFirstColumn="0" w:firstRowLastColumn="0" w:lastRowFirstColumn="0" w:lastRowLastColumn="0"/>
            <w:tcW w:w="1701" w:type="dxa"/>
          </w:tcPr>
          <w:p w14:paraId="2D149F50" w14:textId="77777777" w:rsidR="009169E8" w:rsidRPr="002E7DF4" w:rsidRDefault="009169E8" w:rsidP="002E7DF4">
            <w:pPr>
              <w:pStyle w:val="Tabletext"/>
            </w:pPr>
            <w:r w:rsidRPr="002E7DF4">
              <w:t>0</w:t>
            </w:r>
          </w:p>
        </w:tc>
        <w:tc>
          <w:tcPr>
            <w:cnfStyle w:val="000001000000" w:firstRow="0" w:lastRow="0" w:firstColumn="0" w:lastColumn="0" w:oddVBand="0" w:evenVBand="1" w:oddHBand="0" w:evenHBand="0" w:firstRowFirstColumn="0" w:firstRowLastColumn="0" w:lastRowFirstColumn="0" w:lastRowLastColumn="0"/>
            <w:tcW w:w="1701" w:type="dxa"/>
          </w:tcPr>
          <w:p w14:paraId="0B307CE8" w14:textId="77777777" w:rsidR="009169E8" w:rsidRPr="002E7DF4" w:rsidRDefault="009169E8" w:rsidP="002E7DF4">
            <w:pPr>
              <w:pStyle w:val="Tabletext"/>
            </w:pPr>
            <w:r w:rsidRPr="002E7DF4">
              <w:t>1</w:t>
            </w:r>
          </w:p>
        </w:tc>
      </w:tr>
      <w:tr w:rsidR="009169E8" w14:paraId="39424408"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2283DA8F" w14:textId="77777777" w:rsidR="009169E8" w:rsidRPr="002E7DF4" w:rsidRDefault="009169E8" w:rsidP="002E7DF4">
            <w:pPr>
              <w:pStyle w:val="Tabletext"/>
            </w:pPr>
            <w:r w:rsidRPr="002E7DF4">
              <w:t>Resuscitation</w:t>
            </w:r>
          </w:p>
        </w:tc>
        <w:tc>
          <w:tcPr>
            <w:cnfStyle w:val="000001000000" w:firstRow="0" w:lastRow="0" w:firstColumn="0" w:lastColumn="0" w:oddVBand="0" w:evenVBand="1" w:oddHBand="0" w:evenHBand="0" w:firstRowFirstColumn="0" w:firstRowLastColumn="0" w:lastRowFirstColumn="0" w:lastRowLastColumn="0"/>
            <w:tcW w:w="1701" w:type="dxa"/>
          </w:tcPr>
          <w:p w14:paraId="376476A4" w14:textId="77777777" w:rsidR="009169E8" w:rsidRPr="002E7DF4" w:rsidRDefault="009169E8" w:rsidP="002E7DF4">
            <w:pPr>
              <w:pStyle w:val="Tabletext"/>
            </w:pPr>
            <w:r w:rsidRPr="002E7DF4">
              <w:t>0</w:t>
            </w:r>
          </w:p>
        </w:tc>
        <w:tc>
          <w:tcPr>
            <w:cnfStyle w:val="000010000000" w:firstRow="0" w:lastRow="0" w:firstColumn="0" w:lastColumn="0" w:oddVBand="1" w:evenVBand="0" w:oddHBand="0" w:evenHBand="0" w:firstRowFirstColumn="0" w:firstRowLastColumn="0" w:lastRowFirstColumn="0" w:lastRowLastColumn="0"/>
            <w:tcW w:w="1701" w:type="dxa"/>
          </w:tcPr>
          <w:p w14:paraId="2428517D" w14:textId="77777777" w:rsidR="009169E8" w:rsidRPr="002E7DF4" w:rsidRDefault="009169E8" w:rsidP="002E7DF4">
            <w:pPr>
              <w:pStyle w:val="Tabletext"/>
            </w:pPr>
            <w:r w:rsidRPr="002E7DF4">
              <w:t>1</w:t>
            </w:r>
          </w:p>
        </w:tc>
        <w:tc>
          <w:tcPr>
            <w:cnfStyle w:val="000001000000" w:firstRow="0" w:lastRow="0" w:firstColumn="0" w:lastColumn="0" w:oddVBand="0" w:evenVBand="1" w:oddHBand="0" w:evenHBand="0" w:firstRowFirstColumn="0" w:firstRowLastColumn="0" w:lastRowFirstColumn="0" w:lastRowLastColumn="0"/>
            <w:tcW w:w="1701" w:type="dxa"/>
          </w:tcPr>
          <w:p w14:paraId="39CAEF11" w14:textId="77777777" w:rsidR="009169E8" w:rsidRPr="002E7DF4" w:rsidRDefault="009169E8" w:rsidP="002E7DF4">
            <w:pPr>
              <w:pStyle w:val="Tabletext"/>
            </w:pPr>
            <w:r w:rsidRPr="002E7DF4">
              <w:t>1</w:t>
            </w:r>
          </w:p>
        </w:tc>
      </w:tr>
      <w:tr w:rsidR="009169E8" w14:paraId="58FA18F4" w14:textId="77777777" w:rsidTr="00AE4266">
        <w:trPr>
          <w:trHeight w:val="113"/>
        </w:trPr>
        <w:tc>
          <w:tcPr>
            <w:cnfStyle w:val="000010000000" w:firstRow="0" w:lastRow="0" w:firstColumn="0" w:lastColumn="0" w:oddVBand="1" w:evenVBand="0" w:oddHBand="0" w:evenHBand="0" w:firstRowFirstColumn="0" w:firstRowLastColumn="0" w:lastRowFirstColumn="0" w:lastRowLastColumn="0"/>
            <w:tcW w:w="5102" w:type="dxa"/>
          </w:tcPr>
          <w:p w14:paraId="3E38AD1D" w14:textId="048AC931" w:rsidR="009169E8" w:rsidRPr="002E7DF4" w:rsidRDefault="009169E8" w:rsidP="002E7DF4">
            <w:pPr>
              <w:pStyle w:val="Tabletext"/>
            </w:pPr>
            <w:r w:rsidRPr="002E7DF4">
              <w:t>Other</w:t>
            </w:r>
          </w:p>
        </w:tc>
        <w:tc>
          <w:tcPr>
            <w:cnfStyle w:val="000001000000" w:firstRow="0" w:lastRow="0" w:firstColumn="0" w:lastColumn="0" w:oddVBand="0" w:evenVBand="1" w:oddHBand="0" w:evenHBand="0" w:firstRowFirstColumn="0" w:firstRowLastColumn="0" w:lastRowFirstColumn="0" w:lastRowLastColumn="0"/>
            <w:tcW w:w="1701" w:type="dxa"/>
          </w:tcPr>
          <w:p w14:paraId="1F5612F2" w14:textId="77777777" w:rsidR="009169E8" w:rsidRPr="002E7DF4" w:rsidRDefault="009169E8" w:rsidP="002E7DF4">
            <w:pPr>
              <w:pStyle w:val="Tabletext"/>
            </w:pPr>
            <w:r w:rsidRPr="002E7DF4">
              <w:t>3</w:t>
            </w:r>
          </w:p>
        </w:tc>
        <w:tc>
          <w:tcPr>
            <w:cnfStyle w:val="000010000000" w:firstRow="0" w:lastRow="0" w:firstColumn="0" w:lastColumn="0" w:oddVBand="1" w:evenVBand="0" w:oddHBand="0" w:evenHBand="0" w:firstRowFirstColumn="0" w:firstRowLastColumn="0" w:lastRowFirstColumn="0" w:lastRowLastColumn="0"/>
            <w:tcW w:w="1701" w:type="dxa"/>
          </w:tcPr>
          <w:p w14:paraId="4421867C" w14:textId="77777777" w:rsidR="009169E8" w:rsidRPr="002E7DF4" w:rsidRDefault="009169E8" w:rsidP="002E7DF4">
            <w:pPr>
              <w:pStyle w:val="Tabletext"/>
            </w:pPr>
            <w:r w:rsidRPr="002E7DF4">
              <w:t>5</w:t>
            </w:r>
          </w:p>
        </w:tc>
        <w:tc>
          <w:tcPr>
            <w:cnfStyle w:val="000001000000" w:firstRow="0" w:lastRow="0" w:firstColumn="0" w:lastColumn="0" w:oddVBand="0" w:evenVBand="1" w:oddHBand="0" w:evenHBand="0" w:firstRowFirstColumn="0" w:firstRowLastColumn="0" w:lastRowFirstColumn="0" w:lastRowLastColumn="0"/>
            <w:tcW w:w="1701" w:type="dxa"/>
          </w:tcPr>
          <w:p w14:paraId="55312234" w14:textId="77777777" w:rsidR="009169E8" w:rsidRPr="002E7DF4" w:rsidRDefault="009169E8" w:rsidP="002E7DF4">
            <w:pPr>
              <w:pStyle w:val="Tabletext"/>
            </w:pPr>
            <w:r w:rsidRPr="002E7DF4">
              <w:t>8</w:t>
            </w:r>
          </w:p>
        </w:tc>
      </w:tr>
      <w:tr w:rsidR="009169E8" w14:paraId="6DC79561" w14:textId="77777777" w:rsidTr="00AE426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5102" w:type="dxa"/>
          </w:tcPr>
          <w:p w14:paraId="0D9C3058" w14:textId="77777777" w:rsidR="009169E8" w:rsidRPr="002E7DF4" w:rsidRDefault="009169E8" w:rsidP="002E7DF4">
            <w:pPr>
              <w:pStyle w:val="Tabletext"/>
              <w:rPr>
                <w:b/>
              </w:rPr>
            </w:pPr>
            <w:r w:rsidRPr="002E7DF4">
              <w:rPr>
                <w:b/>
              </w:rPr>
              <w:t>Total</w:t>
            </w:r>
          </w:p>
        </w:tc>
        <w:tc>
          <w:tcPr>
            <w:cnfStyle w:val="000001000000" w:firstRow="0" w:lastRow="0" w:firstColumn="0" w:lastColumn="0" w:oddVBand="0" w:evenVBand="1" w:oddHBand="0" w:evenHBand="0" w:firstRowFirstColumn="0" w:firstRowLastColumn="0" w:lastRowFirstColumn="0" w:lastRowLastColumn="0"/>
            <w:tcW w:w="1701" w:type="dxa"/>
          </w:tcPr>
          <w:p w14:paraId="3BF7626E" w14:textId="77777777" w:rsidR="009169E8" w:rsidRPr="002E7DF4" w:rsidRDefault="009169E8" w:rsidP="002E7DF4">
            <w:pPr>
              <w:pStyle w:val="Tabletext"/>
              <w:rPr>
                <w:b/>
              </w:rPr>
            </w:pPr>
            <w:r w:rsidRPr="002E7DF4">
              <w:rPr>
                <w:b/>
              </w:rPr>
              <w:t>52</w:t>
            </w:r>
          </w:p>
        </w:tc>
        <w:tc>
          <w:tcPr>
            <w:cnfStyle w:val="000010000000" w:firstRow="0" w:lastRow="0" w:firstColumn="0" w:lastColumn="0" w:oddVBand="1" w:evenVBand="0" w:oddHBand="0" w:evenHBand="0" w:firstRowFirstColumn="0" w:firstRowLastColumn="0" w:lastRowFirstColumn="0" w:lastRowLastColumn="0"/>
            <w:tcW w:w="1701" w:type="dxa"/>
          </w:tcPr>
          <w:p w14:paraId="1C87F439" w14:textId="77777777" w:rsidR="009169E8" w:rsidRPr="002E7DF4" w:rsidRDefault="009169E8" w:rsidP="002E7DF4">
            <w:pPr>
              <w:pStyle w:val="Tabletext"/>
              <w:rPr>
                <w:b/>
              </w:rPr>
            </w:pPr>
            <w:r w:rsidRPr="002E7DF4">
              <w:rPr>
                <w:b/>
              </w:rPr>
              <w:t>58</w:t>
            </w:r>
          </w:p>
        </w:tc>
        <w:tc>
          <w:tcPr>
            <w:cnfStyle w:val="000001000000" w:firstRow="0" w:lastRow="0" w:firstColumn="0" w:lastColumn="0" w:oddVBand="0" w:evenVBand="1" w:oddHBand="0" w:evenHBand="0" w:firstRowFirstColumn="0" w:firstRowLastColumn="0" w:lastRowFirstColumn="0" w:lastRowLastColumn="0"/>
            <w:tcW w:w="1701" w:type="dxa"/>
          </w:tcPr>
          <w:p w14:paraId="26B0F584" w14:textId="77777777" w:rsidR="009169E8" w:rsidRPr="002E7DF4" w:rsidRDefault="009169E8" w:rsidP="002E7DF4">
            <w:pPr>
              <w:pStyle w:val="Tabletext"/>
              <w:rPr>
                <w:b/>
              </w:rPr>
            </w:pPr>
            <w:r w:rsidRPr="002E7DF4">
              <w:rPr>
                <w:b/>
              </w:rPr>
              <w:t>110</w:t>
            </w:r>
          </w:p>
        </w:tc>
      </w:tr>
    </w:tbl>
    <w:p w14:paraId="3BFC32E8" w14:textId="77777777" w:rsidR="009169E8" w:rsidRDefault="009169E8" w:rsidP="008E28A3">
      <w:pPr>
        <w:pStyle w:val="DHHSbody"/>
      </w:pPr>
      <w:r>
        <w:t>For anaesthesia-related mortality events, the most common procedure type was orthopaedic (</w:t>
      </w:r>
      <w:r>
        <w:rPr>
          <w:rStyle w:val="TextItalic"/>
        </w:rPr>
        <w:t>n</w:t>
      </w:r>
      <w:r>
        <w:t xml:space="preserve"> = 25) followed by abdominal (</w:t>
      </w:r>
      <w:r>
        <w:rPr>
          <w:rStyle w:val="TextItalic"/>
        </w:rPr>
        <w:t>n</w:t>
      </w:r>
      <w:r>
        <w:t xml:space="preserve"> = 6) and endoscopic procedures (</w:t>
      </w:r>
      <w:r>
        <w:rPr>
          <w:rStyle w:val="TextItalic"/>
        </w:rPr>
        <w:t>n</w:t>
      </w:r>
      <w:r>
        <w:t xml:space="preserve"> = 6).</w:t>
      </w:r>
    </w:p>
    <w:p w14:paraId="5539CD24" w14:textId="52DE758F" w:rsidR="009169E8" w:rsidRDefault="009169E8" w:rsidP="008E28A3">
      <w:pPr>
        <w:pStyle w:val="DHHSbody"/>
      </w:pPr>
      <w:r>
        <w:lastRenderedPageBreak/>
        <w:t>For anaesthesia-related morbidity events, the most common procedure type was abdominal (</w:t>
      </w:r>
      <w:r>
        <w:rPr>
          <w:rStyle w:val="TextItalic"/>
        </w:rPr>
        <w:t>n</w:t>
      </w:r>
      <w:r>
        <w:t> = 14).</w:t>
      </w:r>
    </w:p>
    <w:p w14:paraId="2F8046E4" w14:textId="77777777" w:rsidR="009169E8" w:rsidRDefault="009169E8" w:rsidP="000104F5">
      <w:pPr>
        <w:pStyle w:val="Heading1"/>
      </w:pPr>
      <w:bookmarkStart w:id="9" w:name="_Toc20234278"/>
      <w:r>
        <w:lastRenderedPageBreak/>
        <w:t>Category 4–10 cases: Non-anaesthesia-related mortality and morbidity</w:t>
      </w:r>
      <w:bookmarkEnd w:id="9"/>
    </w:p>
    <w:p w14:paraId="2B7D86BB" w14:textId="77777777" w:rsidR="009169E8" w:rsidRDefault="009169E8" w:rsidP="008E28A3">
      <w:pPr>
        <w:pStyle w:val="DHHSbody"/>
      </w:pPr>
      <w:r>
        <w:t>128 of the cases referred to the VCCAMM as possibly anaesthesia-related events were classified as non-anaesthesia-related mortality (123 cases) and morbidity (five cases):</w:t>
      </w:r>
    </w:p>
    <w:p w14:paraId="09A68070" w14:textId="77777777" w:rsidR="009169E8" w:rsidRDefault="009169E8" w:rsidP="00E961B4">
      <w:pPr>
        <w:pStyle w:val="Bullet1"/>
      </w:pPr>
      <w:r>
        <w:t>82 (64.1 per cent) were considered inevitable deaths (category 5)</w:t>
      </w:r>
    </w:p>
    <w:p w14:paraId="539A0D9F" w14:textId="77777777" w:rsidR="009169E8" w:rsidRDefault="009169E8" w:rsidP="00E961B4">
      <w:pPr>
        <w:pStyle w:val="Bullet1"/>
      </w:pPr>
      <w:r>
        <w:t>39 (30.5 per cent) were considered surgical mortality (35 cases) and morbidity (four cases) (category 4)</w:t>
      </w:r>
    </w:p>
    <w:p w14:paraId="58096ACC" w14:textId="77777777" w:rsidR="009169E8" w:rsidRDefault="009169E8" w:rsidP="00E961B4">
      <w:pPr>
        <w:pStyle w:val="Bullet1"/>
      </w:pPr>
      <w:r>
        <w:t>six (0.05 per cent) were considered fortuitous deaths (category 6)</w:t>
      </w:r>
    </w:p>
    <w:p w14:paraId="7C52EC5F" w14:textId="10F04651" w:rsidR="009169E8" w:rsidRDefault="009169E8" w:rsidP="00BB165F">
      <w:pPr>
        <w:pStyle w:val="Bullet1"/>
      </w:pPr>
      <w:r>
        <w:t>one was deemed a critical event with no associated morbidity or mortality (category 9).</w:t>
      </w:r>
    </w:p>
    <w:p w14:paraId="1442F7AB" w14:textId="77777777" w:rsidR="009169E8" w:rsidRDefault="009169E8" w:rsidP="008E28A3">
      <w:pPr>
        <w:pStyle w:val="DHHSbody"/>
      </w:pPr>
      <w:r>
        <w:t>The category 5 deaths are particularly important because the council considered these patients would most likely have died irrespective of anaesthesia or surgical procedures. This is an area where greater support for multidisciplinary preoperative discussions and shared decision making may have particular benefit, particularly in elderly patients with complex comorbidities and severe intercurrent illness.</w:t>
      </w:r>
    </w:p>
    <w:p w14:paraId="68241809" w14:textId="77777777" w:rsidR="009169E8" w:rsidRDefault="009169E8" w:rsidP="008E28A3">
      <w:pPr>
        <w:pStyle w:val="DHHSbody"/>
      </w:pPr>
      <w:r>
        <w:t>The group of category 6 deaths, while small, is a reminder that unexpected and unpredictable clinical events occasionally occur in the perioperative period that are unrelated to the indication for surgery and not under the control of the anaesthetist or surgeon.</w:t>
      </w:r>
    </w:p>
    <w:p w14:paraId="4BBB04F5" w14:textId="77777777" w:rsidR="009169E8" w:rsidRDefault="009169E8" w:rsidP="008E28A3">
      <w:pPr>
        <w:pStyle w:val="DHHSbody"/>
      </w:pPr>
      <w:r>
        <w:t>Table 11 shows the primary event type in order of frequency for the events classified as category 4–10.</w:t>
      </w:r>
    </w:p>
    <w:p w14:paraId="5DF38623" w14:textId="77777777" w:rsidR="009169E8" w:rsidRDefault="009169E8" w:rsidP="00B8026E">
      <w:pPr>
        <w:pStyle w:val="Tablechartdiagramheading"/>
      </w:pPr>
      <w:r>
        <w:t>Table 11: Event type for category 4–10</w:t>
      </w:r>
    </w:p>
    <w:tbl>
      <w:tblPr>
        <w:tblStyle w:val="PlainTable2"/>
        <w:tblW w:w="0" w:type="auto"/>
        <w:tblLayout w:type="fixed"/>
        <w:tblLook w:val="0020" w:firstRow="1" w:lastRow="0" w:firstColumn="0" w:lastColumn="0" w:noHBand="0" w:noVBand="0"/>
      </w:tblPr>
      <w:tblGrid>
        <w:gridCol w:w="3118"/>
        <w:gridCol w:w="1701"/>
        <w:gridCol w:w="1701"/>
        <w:gridCol w:w="1700"/>
        <w:gridCol w:w="1985"/>
      </w:tblGrid>
      <w:tr w:rsidR="009169E8" w14:paraId="3AE5F149" w14:textId="77777777" w:rsidTr="007C27DC">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118" w:type="dxa"/>
          </w:tcPr>
          <w:p w14:paraId="626DC91A" w14:textId="77777777" w:rsidR="009169E8" w:rsidRPr="009D165D" w:rsidRDefault="009169E8" w:rsidP="009D165D">
            <w:pPr>
              <w:pStyle w:val="Tableheader"/>
              <w:rPr>
                <w:b/>
              </w:rPr>
            </w:pPr>
            <w:r w:rsidRPr="009D165D">
              <w:rPr>
                <w:b/>
              </w:rPr>
              <w:t>Event type</w:t>
            </w:r>
          </w:p>
        </w:tc>
        <w:tc>
          <w:tcPr>
            <w:cnfStyle w:val="000001000000" w:firstRow="0" w:lastRow="0" w:firstColumn="0" w:lastColumn="0" w:oddVBand="0" w:evenVBand="1" w:oddHBand="0" w:evenHBand="0" w:firstRowFirstColumn="0" w:firstRowLastColumn="0" w:lastRowFirstColumn="0" w:lastRowLastColumn="0"/>
            <w:tcW w:w="1701" w:type="dxa"/>
          </w:tcPr>
          <w:p w14:paraId="28C8C2DD" w14:textId="77777777" w:rsidR="009169E8" w:rsidRPr="009D165D" w:rsidRDefault="009169E8" w:rsidP="009D165D">
            <w:pPr>
              <w:pStyle w:val="Tableheader"/>
              <w:rPr>
                <w:b/>
              </w:rPr>
            </w:pPr>
            <w:r w:rsidRPr="009D165D">
              <w:rPr>
                <w:b/>
              </w:rPr>
              <w:t>Number of cases</w:t>
            </w:r>
          </w:p>
        </w:tc>
        <w:tc>
          <w:tcPr>
            <w:cnfStyle w:val="000010000000" w:firstRow="0" w:lastRow="0" w:firstColumn="0" w:lastColumn="0" w:oddVBand="1" w:evenVBand="0" w:oddHBand="0" w:evenHBand="0" w:firstRowFirstColumn="0" w:firstRowLastColumn="0" w:lastRowFirstColumn="0" w:lastRowLastColumn="0"/>
            <w:tcW w:w="1701" w:type="dxa"/>
          </w:tcPr>
          <w:p w14:paraId="38E858A6" w14:textId="77777777" w:rsidR="009169E8" w:rsidRPr="009D165D" w:rsidRDefault="009169E8" w:rsidP="009D165D">
            <w:pPr>
              <w:pStyle w:val="Tableheader"/>
              <w:rPr>
                <w:b/>
              </w:rPr>
            </w:pPr>
            <w:r w:rsidRPr="009D165D">
              <w:rPr>
                <w:b/>
              </w:rPr>
              <w:t>Category 4</w:t>
            </w:r>
          </w:p>
        </w:tc>
        <w:tc>
          <w:tcPr>
            <w:cnfStyle w:val="000001000000" w:firstRow="0" w:lastRow="0" w:firstColumn="0" w:lastColumn="0" w:oddVBand="0" w:evenVBand="1" w:oddHBand="0" w:evenHBand="0" w:firstRowFirstColumn="0" w:firstRowLastColumn="0" w:lastRowFirstColumn="0" w:lastRowLastColumn="0"/>
            <w:tcW w:w="1700" w:type="dxa"/>
          </w:tcPr>
          <w:p w14:paraId="449DB345" w14:textId="77777777" w:rsidR="009169E8" w:rsidRPr="009D165D" w:rsidRDefault="009169E8" w:rsidP="009D165D">
            <w:pPr>
              <w:pStyle w:val="Tableheader"/>
              <w:rPr>
                <w:b/>
              </w:rPr>
            </w:pPr>
            <w:r w:rsidRPr="009D165D">
              <w:rPr>
                <w:b/>
              </w:rPr>
              <w:t>Category 5</w:t>
            </w:r>
          </w:p>
        </w:tc>
        <w:tc>
          <w:tcPr>
            <w:cnfStyle w:val="000010000000" w:firstRow="0" w:lastRow="0" w:firstColumn="0" w:lastColumn="0" w:oddVBand="1" w:evenVBand="0" w:oddHBand="0" w:evenHBand="0" w:firstRowFirstColumn="0" w:firstRowLastColumn="0" w:lastRowFirstColumn="0" w:lastRowLastColumn="0"/>
            <w:tcW w:w="1985" w:type="dxa"/>
          </w:tcPr>
          <w:p w14:paraId="70F3252C" w14:textId="77777777" w:rsidR="009169E8" w:rsidRPr="009D165D" w:rsidRDefault="009169E8" w:rsidP="009D165D">
            <w:pPr>
              <w:pStyle w:val="Tableheader"/>
              <w:rPr>
                <w:b/>
              </w:rPr>
            </w:pPr>
            <w:r w:rsidRPr="009D165D">
              <w:rPr>
                <w:b/>
              </w:rPr>
              <w:t>Categories 6–10</w:t>
            </w:r>
          </w:p>
        </w:tc>
      </w:tr>
      <w:tr w:rsidR="009169E8" w14:paraId="7AD57CA8" w14:textId="77777777" w:rsidTr="007C27D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118" w:type="dxa"/>
          </w:tcPr>
          <w:p w14:paraId="2266515E" w14:textId="77777777" w:rsidR="009169E8" w:rsidRPr="00294C78" w:rsidRDefault="009169E8" w:rsidP="00294C78">
            <w:pPr>
              <w:pStyle w:val="Tabletext"/>
            </w:pPr>
            <w:r w:rsidRPr="00294C78">
              <w:t>Cardiovascular</w:t>
            </w:r>
          </w:p>
        </w:tc>
        <w:tc>
          <w:tcPr>
            <w:cnfStyle w:val="000001000000" w:firstRow="0" w:lastRow="0" w:firstColumn="0" w:lastColumn="0" w:oddVBand="0" w:evenVBand="1" w:oddHBand="0" w:evenHBand="0" w:firstRowFirstColumn="0" w:firstRowLastColumn="0" w:lastRowFirstColumn="0" w:lastRowLastColumn="0"/>
            <w:tcW w:w="1701" w:type="dxa"/>
          </w:tcPr>
          <w:p w14:paraId="4A4C4071" w14:textId="77777777" w:rsidR="009169E8" w:rsidRPr="00294C78" w:rsidRDefault="009169E8" w:rsidP="00294C78">
            <w:pPr>
              <w:pStyle w:val="Tabletext"/>
            </w:pPr>
            <w:r w:rsidRPr="00294C78">
              <w:t>49</w:t>
            </w:r>
          </w:p>
        </w:tc>
        <w:tc>
          <w:tcPr>
            <w:cnfStyle w:val="000010000000" w:firstRow="0" w:lastRow="0" w:firstColumn="0" w:lastColumn="0" w:oddVBand="1" w:evenVBand="0" w:oddHBand="0" w:evenHBand="0" w:firstRowFirstColumn="0" w:firstRowLastColumn="0" w:lastRowFirstColumn="0" w:lastRowLastColumn="0"/>
            <w:tcW w:w="1701" w:type="dxa"/>
          </w:tcPr>
          <w:p w14:paraId="6A50F8DA" w14:textId="77777777" w:rsidR="009169E8" w:rsidRPr="00294C78" w:rsidRDefault="009169E8" w:rsidP="00294C78">
            <w:pPr>
              <w:pStyle w:val="Tabletext"/>
            </w:pPr>
            <w:r w:rsidRPr="00294C78">
              <w:t>22</w:t>
            </w:r>
          </w:p>
        </w:tc>
        <w:tc>
          <w:tcPr>
            <w:cnfStyle w:val="000001000000" w:firstRow="0" w:lastRow="0" w:firstColumn="0" w:lastColumn="0" w:oddVBand="0" w:evenVBand="1" w:oddHBand="0" w:evenHBand="0" w:firstRowFirstColumn="0" w:firstRowLastColumn="0" w:lastRowFirstColumn="0" w:lastRowLastColumn="0"/>
            <w:tcW w:w="1700" w:type="dxa"/>
          </w:tcPr>
          <w:p w14:paraId="3F67C02D" w14:textId="77777777" w:rsidR="009169E8" w:rsidRPr="00294C78" w:rsidRDefault="009169E8" w:rsidP="00294C78">
            <w:pPr>
              <w:pStyle w:val="Tabletext"/>
            </w:pPr>
            <w:r w:rsidRPr="00294C78">
              <w:t>27</w:t>
            </w:r>
          </w:p>
        </w:tc>
        <w:tc>
          <w:tcPr>
            <w:cnfStyle w:val="000010000000" w:firstRow="0" w:lastRow="0" w:firstColumn="0" w:lastColumn="0" w:oddVBand="1" w:evenVBand="0" w:oddHBand="0" w:evenHBand="0" w:firstRowFirstColumn="0" w:firstRowLastColumn="0" w:lastRowFirstColumn="0" w:lastRowLastColumn="0"/>
            <w:tcW w:w="1985" w:type="dxa"/>
          </w:tcPr>
          <w:p w14:paraId="0A44574B" w14:textId="77777777" w:rsidR="009169E8" w:rsidRPr="00294C78" w:rsidRDefault="009169E8" w:rsidP="00294C78">
            <w:pPr>
              <w:pStyle w:val="Tabletext"/>
            </w:pPr>
            <w:r w:rsidRPr="00294C78">
              <w:t>0</w:t>
            </w:r>
          </w:p>
        </w:tc>
      </w:tr>
      <w:tr w:rsidR="009169E8" w14:paraId="15F345D7" w14:textId="77777777" w:rsidTr="007C27DC">
        <w:trPr>
          <w:trHeight w:val="113"/>
        </w:trPr>
        <w:tc>
          <w:tcPr>
            <w:cnfStyle w:val="000010000000" w:firstRow="0" w:lastRow="0" w:firstColumn="0" w:lastColumn="0" w:oddVBand="1" w:evenVBand="0" w:oddHBand="0" w:evenHBand="0" w:firstRowFirstColumn="0" w:firstRowLastColumn="0" w:lastRowFirstColumn="0" w:lastRowLastColumn="0"/>
            <w:tcW w:w="3118" w:type="dxa"/>
          </w:tcPr>
          <w:p w14:paraId="6B1C43DF" w14:textId="77777777" w:rsidR="009169E8" w:rsidRPr="00294C78" w:rsidRDefault="009169E8" w:rsidP="00294C78">
            <w:pPr>
              <w:pStyle w:val="Tabletext"/>
            </w:pPr>
            <w:r w:rsidRPr="00294C78">
              <w:t>Miscellaneous</w:t>
            </w:r>
          </w:p>
        </w:tc>
        <w:tc>
          <w:tcPr>
            <w:cnfStyle w:val="000001000000" w:firstRow="0" w:lastRow="0" w:firstColumn="0" w:lastColumn="0" w:oddVBand="0" w:evenVBand="1" w:oddHBand="0" w:evenHBand="0" w:firstRowFirstColumn="0" w:firstRowLastColumn="0" w:lastRowFirstColumn="0" w:lastRowLastColumn="0"/>
            <w:tcW w:w="1701" w:type="dxa"/>
          </w:tcPr>
          <w:p w14:paraId="3664B22E" w14:textId="77777777" w:rsidR="009169E8" w:rsidRPr="00294C78" w:rsidRDefault="009169E8" w:rsidP="00294C78">
            <w:pPr>
              <w:pStyle w:val="Tabletext"/>
            </w:pPr>
            <w:r w:rsidRPr="00294C78">
              <w:t>38</w:t>
            </w:r>
          </w:p>
        </w:tc>
        <w:tc>
          <w:tcPr>
            <w:cnfStyle w:val="000010000000" w:firstRow="0" w:lastRow="0" w:firstColumn="0" w:lastColumn="0" w:oddVBand="1" w:evenVBand="0" w:oddHBand="0" w:evenHBand="0" w:firstRowFirstColumn="0" w:firstRowLastColumn="0" w:lastRowFirstColumn="0" w:lastRowLastColumn="0"/>
            <w:tcW w:w="1701" w:type="dxa"/>
          </w:tcPr>
          <w:p w14:paraId="50146567" w14:textId="77777777" w:rsidR="009169E8" w:rsidRPr="00294C78" w:rsidRDefault="009169E8" w:rsidP="00294C78">
            <w:pPr>
              <w:pStyle w:val="Tabletext"/>
            </w:pPr>
            <w:r w:rsidRPr="00294C78">
              <w:t>8</w:t>
            </w:r>
          </w:p>
        </w:tc>
        <w:tc>
          <w:tcPr>
            <w:cnfStyle w:val="000001000000" w:firstRow="0" w:lastRow="0" w:firstColumn="0" w:lastColumn="0" w:oddVBand="0" w:evenVBand="1" w:oddHBand="0" w:evenHBand="0" w:firstRowFirstColumn="0" w:firstRowLastColumn="0" w:lastRowFirstColumn="0" w:lastRowLastColumn="0"/>
            <w:tcW w:w="1700" w:type="dxa"/>
          </w:tcPr>
          <w:p w14:paraId="39830054" w14:textId="77777777" w:rsidR="009169E8" w:rsidRPr="00294C78" w:rsidRDefault="009169E8" w:rsidP="00294C78">
            <w:pPr>
              <w:pStyle w:val="Tabletext"/>
            </w:pPr>
            <w:r w:rsidRPr="00294C78">
              <w:t>27</w:t>
            </w:r>
          </w:p>
        </w:tc>
        <w:tc>
          <w:tcPr>
            <w:cnfStyle w:val="000010000000" w:firstRow="0" w:lastRow="0" w:firstColumn="0" w:lastColumn="0" w:oddVBand="1" w:evenVBand="0" w:oddHBand="0" w:evenHBand="0" w:firstRowFirstColumn="0" w:firstRowLastColumn="0" w:lastRowFirstColumn="0" w:lastRowLastColumn="0"/>
            <w:tcW w:w="1985" w:type="dxa"/>
          </w:tcPr>
          <w:p w14:paraId="71B05D2C" w14:textId="77777777" w:rsidR="009169E8" w:rsidRPr="00294C78" w:rsidRDefault="009169E8" w:rsidP="00294C78">
            <w:pPr>
              <w:pStyle w:val="Tabletext"/>
            </w:pPr>
            <w:r w:rsidRPr="00294C78">
              <w:t>3 (category 6)</w:t>
            </w:r>
          </w:p>
        </w:tc>
      </w:tr>
      <w:tr w:rsidR="009169E8" w14:paraId="4FFE5D21" w14:textId="77777777" w:rsidTr="007C27D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118" w:type="dxa"/>
          </w:tcPr>
          <w:p w14:paraId="30CB0F77" w14:textId="77777777" w:rsidR="009169E8" w:rsidRPr="00294C78" w:rsidRDefault="009169E8" w:rsidP="00294C78">
            <w:pPr>
              <w:pStyle w:val="Tabletext"/>
            </w:pPr>
            <w:r w:rsidRPr="00294C78">
              <w:t>Respiratory</w:t>
            </w:r>
          </w:p>
        </w:tc>
        <w:tc>
          <w:tcPr>
            <w:cnfStyle w:val="000001000000" w:firstRow="0" w:lastRow="0" w:firstColumn="0" w:lastColumn="0" w:oddVBand="0" w:evenVBand="1" w:oddHBand="0" w:evenHBand="0" w:firstRowFirstColumn="0" w:firstRowLastColumn="0" w:lastRowFirstColumn="0" w:lastRowLastColumn="0"/>
            <w:tcW w:w="1701" w:type="dxa"/>
          </w:tcPr>
          <w:p w14:paraId="791D1135" w14:textId="77777777" w:rsidR="009169E8" w:rsidRPr="00294C78" w:rsidRDefault="009169E8" w:rsidP="00294C78">
            <w:pPr>
              <w:pStyle w:val="Tabletext"/>
            </w:pPr>
            <w:r w:rsidRPr="00294C78">
              <w:t>18</w:t>
            </w:r>
          </w:p>
        </w:tc>
        <w:tc>
          <w:tcPr>
            <w:cnfStyle w:val="000010000000" w:firstRow="0" w:lastRow="0" w:firstColumn="0" w:lastColumn="0" w:oddVBand="1" w:evenVBand="0" w:oddHBand="0" w:evenHBand="0" w:firstRowFirstColumn="0" w:firstRowLastColumn="0" w:lastRowFirstColumn="0" w:lastRowLastColumn="0"/>
            <w:tcW w:w="1701" w:type="dxa"/>
          </w:tcPr>
          <w:p w14:paraId="6B2A1B4F" w14:textId="77777777" w:rsidR="009169E8" w:rsidRPr="00294C78" w:rsidRDefault="009169E8" w:rsidP="00294C78">
            <w:pPr>
              <w:pStyle w:val="Tabletext"/>
            </w:pPr>
            <w:r w:rsidRPr="00294C78">
              <w:t>2</w:t>
            </w:r>
          </w:p>
        </w:tc>
        <w:tc>
          <w:tcPr>
            <w:cnfStyle w:val="000001000000" w:firstRow="0" w:lastRow="0" w:firstColumn="0" w:lastColumn="0" w:oddVBand="0" w:evenVBand="1" w:oddHBand="0" w:evenHBand="0" w:firstRowFirstColumn="0" w:firstRowLastColumn="0" w:lastRowFirstColumn="0" w:lastRowLastColumn="0"/>
            <w:tcW w:w="1700" w:type="dxa"/>
          </w:tcPr>
          <w:p w14:paraId="496685AF" w14:textId="77777777" w:rsidR="009169E8" w:rsidRPr="00294C78" w:rsidRDefault="009169E8" w:rsidP="00294C78">
            <w:pPr>
              <w:pStyle w:val="Tabletext"/>
            </w:pPr>
            <w:r w:rsidRPr="00294C78">
              <w:t>15</w:t>
            </w:r>
          </w:p>
        </w:tc>
        <w:tc>
          <w:tcPr>
            <w:cnfStyle w:val="000010000000" w:firstRow="0" w:lastRow="0" w:firstColumn="0" w:lastColumn="0" w:oddVBand="1" w:evenVBand="0" w:oddHBand="0" w:evenHBand="0" w:firstRowFirstColumn="0" w:firstRowLastColumn="0" w:lastRowFirstColumn="0" w:lastRowLastColumn="0"/>
            <w:tcW w:w="1985" w:type="dxa"/>
          </w:tcPr>
          <w:p w14:paraId="7D235845" w14:textId="77777777" w:rsidR="009169E8" w:rsidRPr="00294C78" w:rsidRDefault="009169E8" w:rsidP="00294C78">
            <w:pPr>
              <w:pStyle w:val="Tabletext"/>
            </w:pPr>
            <w:r w:rsidRPr="00294C78">
              <w:t>1 (category 6)</w:t>
            </w:r>
          </w:p>
        </w:tc>
      </w:tr>
      <w:tr w:rsidR="009169E8" w14:paraId="3F8152F7" w14:textId="77777777" w:rsidTr="007C27DC">
        <w:trPr>
          <w:trHeight w:val="113"/>
        </w:trPr>
        <w:tc>
          <w:tcPr>
            <w:cnfStyle w:val="000010000000" w:firstRow="0" w:lastRow="0" w:firstColumn="0" w:lastColumn="0" w:oddVBand="1" w:evenVBand="0" w:oddHBand="0" w:evenHBand="0" w:firstRowFirstColumn="0" w:firstRowLastColumn="0" w:lastRowFirstColumn="0" w:lastRowLastColumn="0"/>
            <w:tcW w:w="3118" w:type="dxa"/>
          </w:tcPr>
          <w:p w14:paraId="6C47A3D0" w14:textId="77777777" w:rsidR="009169E8" w:rsidRPr="00294C78" w:rsidRDefault="009169E8" w:rsidP="00294C78">
            <w:pPr>
              <w:pStyle w:val="Tabletext"/>
            </w:pPr>
            <w:r w:rsidRPr="00294C78">
              <w:t>Neurological</w:t>
            </w:r>
          </w:p>
        </w:tc>
        <w:tc>
          <w:tcPr>
            <w:cnfStyle w:val="000001000000" w:firstRow="0" w:lastRow="0" w:firstColumn="0" w:lastColumn="0" w:oddVBand="0" w:evenVBand="1" w:oddHBand="0" w:evenHBand="0" w:firstRowFirstColumn="0" w:firstRowLastColumn="0" w:lastRowFirstColumn="0" w:lastRowLastColumn="0"/>
            <w:tcW w:w="1701" w:type="dxa"/>
          </w:tcPr>
          <w:p w14:paraId="136440D3" w14:textId="77777777" w:rsidR="009169E8" w:rsidRPr="00294C78" w:rsidRDefault="009169E8" w:rsidP="00294C78">
            <w:pPr>
              <w:pStyle w:val="Tabletext"/>
            </w:pPr>
            <w:r w:rsidRPr="00294C78">
              <w:t>18</w:t>
            </w:r>
          </w:p>
        </w:tc>
        <w:tc>
          <w:tcPr>
            <w:cnfStyle w:val="000010000000" w:firstRow="0" w:lastRow="0" w:firstColumn="0" w:lastColumn="0" w:oddVBand="1" w:evenVBand="0" w:oddHBand="0" w:evenHBand="0" w:firstRowFirstColumn="0" w:firstRowLastColumn="0" w:lastRowFirstColumn="0" w:lastRowLastColumn="0"/>
            <w:tcW w:w="1701" w:type="dxa"/>
          </w:tcPr>
          <w:p w14:paraId="0817A59D" w14:textId="77777777" w:rsidR="009169E8" w:rsidRPr="00294C78" w:rsidRDefault="009169E8" w:rsidP="00294C78">
            <w:pPr>
              <w:pStyle w:val="Tabletext"/>
            </w:pPr>
            <w:r w:rsidRPr="00294C78">
              <w:t>5</w:t>
            </w:r>
          </w:p>
        </w:tc>
        <w:tc>
          <w:tcPr>
            <w:cnfStyle w:val="000001000000" w:firstRow="0" w:lastRow="0" w:firstColumn="0" w:lastColumn="0" w:oddVBand="0" w:evenVBand="1" w:oddHBand="0" w:evenHBand="0" w:firstRowFirstColumn="0" w:firstRowLastColumn="0" w:lastRowFirstColumn="0" w:lastRowLastColumn="0"/>
            <w:tcW w:w="1700" w:type="dxa"/>
          </w:tcPr>
          <w:p w14:paraId="0E392C0A" w14:textId="77777777" w:rsidR="009169E8" w:rsidRPr="00294C78" w:rsidRDefault="009169E8" w:rsidP="00294C78">
            <w:pPr>
              <w:pStyle w:val="Tabletext"/>
            </w:pPr>
            <w:r w:rsidRPr="00294C78">
              <w:t>11</w:t>
            </w:r>
          </w:p>
        </w:tc>
        <w:tc>
          <w:tcPr>
            <w:cnfStyle w:val="000010000000" w:firstRow="0" w:lastRow="0" w:firstColumn="0" w:lastColumn="0" w:oddVBand="1" w:evenVBand="0" w:oddHBand="0" w:evenHBand="0" w:firstRowFirstColumn="0" w:firstRowLastColumn="0" w:lastRowFirstColumn="0" w:lastRowLastColumn="0"/>
            <w:tcW w:w="1985" w:type="dxa"/>
          </w:tcPr>
          <w:p w14:paraId="425B315B" w14:textId="77777777" w:rsidR="009169E8" w:rsidRPr="00294C78" w:rsidRDefault="009169E8" w:rsidP="00294C78">
            <w:pPr>
              <w:pStyle w:val="Tabletext"/>
            </w:pPr>
            <w:r w:rsidRPr="00294C78">
              <w:t>2 (category 6)</w:t>
            </w:r>
          </w:p>
        </w:tc>
      </w:tr>
      <w:tr w:rsidR="009169E8" w14:paraId="44CAF265" w14:textId="77777777" w:rsidTr="007C27D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118" w:type="dxa"/>
          </w:tcPr>
          <w:p w14:paraId="5F589E94" w14:textId="77777777" w:rsidR="009169E8" w:rsidRPr="00294C78" w:rsidRDefault="009169E8" w:rsidP="00294C78">
            <w:pPr>
              <w:pStyle w:val="Tabletext"/>
            </w:pPr>
            <w:r w:rsidRPr="00294C78">
              <w:t>Airway</w:t>
            </w:r>
          </w:p>
        </w:tc>
        <w:tc>
          <w:tcPr>
            <w:cnfStyle w:val="000001000000" w:firstRow="0" w:lastRow="0" w:firstColumn="0" w:lastColumn="0" w:oddVBand="0" w:evenVBand="1" w:oddHBand="0" w:evenHBand="0" w:firstRowFirstColumn="0" w:firstRowLastColumn="0" w:lastRowFirstColumn="0" w:lastRowLastColumn="0"/>
            <w:tcW w:w="1701" w:type="dxa"/>
          </w:tcPr>
          <w:p w14:paraId="65C86D3A" w14:textId="77777777" w:rsidR="009169E8" w:rsidRPr="00294C78" w:rsidRDefault="009169E8" w:rsidP="00294C78">
            <w:pPr>
              <w:pStyle w:val="Tabletext"/>
            </w:pPr>
            <w:r w:rsidRPr="00294C78">
              <w:t>2</w:t>
            </w:r>
          </w:p>
        </w:tc>
        <w:tc>
          <w:tcPr>
            <w:cnfStyle w:val="000010000000" w:firstRow="0" w:lastRow="0" w:firstColumn="0" w:lastColumn="0" w:oddVBand="1" w:evenVBand="0" w:oddHBand="0" w:evenHBand="0" w:firstRowFirstColumn="0" w:firstRowLastColumn="0" w:lastRowFirstColumn="0" w:lastRowLastColumn="0"/>
            <w:tcW w:w="1701" w:type="dxa"/>
          </w:tcPr>
          <w:p w14:paraId="551345A0" w14:textId="77777777" w:rsidR="009169E8" w:rsidRPr="00294C78" w:rsidRDefault="009169E8" w:rsidP="00294C78">
            <w:pPr>
              <w:pStyle w:val="Tabletext"/>
            </w:pPr>
            <w:r w:rsidRPr="00294C78">
              <w:t>0</w:t>
            </w:r>
          </w:p>
        </w:tc>
        <w:tc>
          <w:tcPr>
            <w:cnfStyle w:val="000001000000" w:firstRow="0" w:lastRow="0" w:firstColumn="0" w:lastColumn="0" w:oddVBand="0" w:evenVBand="1" w:oddHBand="0" w:evenHBand="0" w:firstRowFirstColumn="0" w:firstRowLastColumn="0" w:lastRowFirstColumn="0" w:lastRowLastColumn="0"/>
            <w:tcW w:w="1700" w:type="dxa"/>
          </w:tcPr>
          <w:p w14:paraId="5F62F91E" w14:textId="77777777" w:rsidR="009169E8" w:rsidRPr="00294C78" w:rsidRDefault="009169E8" w:rsidP="00294C78">
            <w:pPr>
              <w:pStyle w:val="Tabletext"/>
            </w:pPr>
            <w:r w:rsidRPr="00294C78">
              <w:t>1</w:t>
            </w:r>
          </w:p>
        </w:tc>
        <w:tc>
          <w:tcPr>
            <w:cnfStyle w:val="000010000000" w:firstRow="0" w:lastRow="0" w:firstColumn="0" w:lastColumn="0" w:oddVBand="1" w:evenVBand="0" w:oddHBand="0" w:evenHBand="0" w:firstRowFirstColumn="0" w:firstRowLastColumn="0" w:lastRowFirstColumn="0" w:lastRowLastColumn="0"/>
            <w:tcW w:w="1985" w:type="dxa"/>
          </w:tcPr>
          <w:p w14:paraId="72FBE69C" w14:textId="77777777" w:rsidR="009169E8" w:rsidRPr="00294C78" w:rsidRDefault="009169E8" w:rsidP="00294C78">
            <w:pPr>
              <w:pStyle w:val="Tabletext"/>
            </w:pPr>
            <w:r w:rsidRPr="00294C78">
              <w:t>1 (category 9)</w:t>
            </w:r>
          </w:p>
        </w:tc>
      </w:tr>
      <w:tr w:rsidR="009169E8" w14:paraId="09B62946" w14:textId="77777777" w:rsidTr="007C27DC">
        <w:trPr>
          <w:trHeight w:val="113"/>
        </w:trPr>
        <w:tc>
          <w:tcPr>
            <w:cnfStyle w:val="000010000000" w:firstRow="0" w:lastRow="0" w:firstColumn="0" w:lastColumn="0" w:oddVBand="1" w:evenVBand="0" w:oddHBand="0" w:evenHBand="0" w:firstRowFirstColumn="0" w:firstRowLastColumn="0" w:lastRowFirstColumn="0" w:lastRowLastColumn="0"/>
            <w:tcW w:w="3118" w:type="dxa"/>
          </w:tcPr>
          <w:p w14:paraId="38C1F31F" w14:textId="77777777" w:rsidR="009169E8" w:rsidRPr="00294C78" w:rsidRDefault="009169E8" w:rsidP="00294C78">
            <w:pPr>
              <w:pStyle w:val="Tabletext"/>
            </w:pPr>
            <w:r w:rsidRPr="00294C78">
              <w:t>Procedure-related</w:t>
            </w:r>
          </w:p>
        </w:tc>
        <w:tc>
          <w:tcPr>
            <w:cnfStyle w:val="000001000000" w:firstRow="0" w:lastRow="0" w:firstColumn="0" w:lastColumn="0" w:oddVBand="0" w:evenVBand="1" w:oddHBand="0" w:evenHBand="0" w:firstRowFirstColumn="0" w:firstRowLastColumn="0" w:lastRowFirstColumn="0" w:lastRowLastColumn="0"/>
            <w:tcW w:w="1701" w:type="dxa"/>
          </w:tcPr>
          <w:p w14:paraId="0398AB5B" w14:textId="77777777" w:rsidR="009169E8" w:rsidRPr="00294C78" w:rsidRDefault="009169E8" w:rsidP="00294C78">
            <w:pPr>
              <w:pStyle w:val="Tabletext"/>
            </w:pPr>
            <w:r w:rsidRPr="00294C78">
              <w:t>1</w:t>
            </w:r>
          </w:p>
        </w:tc>
        <w:tc>
          <w:tcPr>
            <w:cnfStyle w:val="000010000000" w:firstRow="0" w:lastRow="0" w:firstColumn="0" w:lastColumn="0" w:oddVBand="1" w:evenVBand="0" w:oddHBand="0" w:evenHBand="0" w:firstRowFirstColumn="0" w:firstRowLastColumn="0" w:lastRowFirstColumn="0" w:lastRowLastColumn="0"/>
            <w:tcW w:w="1701" w:type="dxa"/>
          </w:tcPr>
          <w:p w14:paraId="12F2734A" w14:textId="77777777" w:rsidR="009169E8" w:rsidRPr="00294C78" w:rsidRDefault="009169E8" w:rsidP="00294C78">
            <w:pPr>
              <w:pStyle w:val="Tabletext"/>
            </w:pPr>
            <w:r w:rsidRPr="00294C78">
              <w:t>1</w:t>
            </w:r>
          </w:p>
        </w:tc>
        <w:tc>
          <w:tcPr>
            <w:cnfStyle w:val="000001000000" w:firstRow="0" w:lastRow="0" w:firstColumn="0" w:lastColumn="0" w:oddVBand="0" w:evenVBand="1" w:oddHBand="0" w:evenHBand="0" w:firstRowFirstColumn="0" w:firstRowLastColumn="0" w:lastRowFirstColumn="0" w:lastRowLastColumn="0"/>
            <w:tcW w:w="1700" w:type="dxa"/>
          </w:tcPr>
          <w:p w14:paraId="7A3D9E51" w14:textId="77777777" w:rsidR="009169E8" w:rsidRPr="00294C78" w:rsidRDefault="009169E8" w:rsidP="00294C78">
            <w:pPr>
              <w:pStyle w:val="Tabletext"/>
            </w:pPr>
            <w:r w:rsidRPr="00294C78">
              <w:t>0</w:t>
            </w:r>
          </w:p>
        </w:tc>
        <w:tc>
          <w:tcPr>
            <w:cnfStyle w:val="000010000000" w:firstRow="0" w:lastRow="0" w:firstColumn="0" w:lastColumn="0" w:oddVBand="1" w:evenVBand="0" w:oddHBand="0" w:evenHBand="0" w:firstRowFirstColumn="0" w:firstRowLastColumn="0" w:lastRowFirstColumn="0" w:lastRowLastColumn="0"/>
            <w:tcW w:w="1985" w:type="dxa"/>
          </w:tcPr>
          <w:p w14:paraId="28EF91B9" w14:textId="77777777" w:rsidR="009169E8" w:rsidRPr="00294C78" w:rsidRDefault="009169E8" w:rsidP="00294C78">
            <w:pPr>
              <w:pStyle w:val="Tabletext"/>
            </w:pPr>
            <w:r w:rsidRPr="00294C78">
              <w:t>0</w:t>
            </w:r>
          </w:p>
        </w:tc>
      </w:tr>
      <w:tr w:rsidR="009169E8" w14:paraId="6040DA76" w14:textId="77777777" w:rsidTr="007C27D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118" w:type="dxa"/>
          </w:tcPr>
          <w:p w14:paraId="2C5A0559" w14:textId="77777777" w:rsidR="009169E8" w:rsidRPr="00294C78" w:rsidRDefault="009169E8" w:rsidP="00294C78">
            <w:pPr>
              <w:pStyle w:val="Tabletext"/>
            </w:pPr>
            <w:r w:rsidRPr="00294C78">
              <w:t>Drug-related</w:t>
            </w:r>
          </w:p>
        </w:tc>
        <w:tc>
          <w:tcPr>
            <w:cnfStyle w:val="000001000000" w:firstRow="0" w:lastRow="0" w:firstColumn="0" w:lastColumn="0" w:oddVBand="0" w:evenVBand="1" w:oddHBand="0" w:evenHBand="0" w:firstRowFirstColumn="0" w:firstRowLastColumn="0" w:lastRowFirstColumn="0" w:lastRowLastColumn="0"/>
            <w:tcW w:w="1701" w:type="dxa"/>
          </w:tcPr>
          <w:p w14:paraId="148BF389" w14:textId="77777777" w:rsidR="009169E8" w:rsidRPr="00294C78" w:rsidRDefault="009169E8" w:rsidP="00294C78">
            <w:pPr>
              <w:pStyle w:val="Tabletext"/>
            </w:pPr>
            <w:r w:rsidRPr="00294C78">
              <w:t>1</w:t>
            </w:r>
          </w:p>
        </w:tc>
        <w:tc>
          <w:tcPr>
            <w:cnfStyle w:val="000010000000" w:firstRow="0" w:lastRow="0" w:firstColumn="0" w:lastColumn="0" w:oddVBand="1" w:evenVBand="0" w:oddHBand="0" w:evenHBand="0" w:firstRowFirstColumn="0" w:firstRowLastColumn="0" w:lastRowFirstColumn="0" w:lastRowLastColumn="0"/>
            <w:tcW w:w="1701" w:type="dxa"/>
          </w:tcPr>
          <w:p w14:paraId="580A9E31" w14:textId="77777777" w:rsidR="009169E8" w:rsidRPr="00294C78" w:rsidRDefault="009169E8" w:rsidP="00294C78">
            <w:pPr>
              <w:pStyle w:val="Tabletext"/>
            </w:pPr>
            <w:r w:rsidRPr="00294C78">
              <w:t>1</w:t>
            </w:r>
          </w:p>
        </w:tc>
        <w:tc>
          <w:tcPr>
            <w:cnfStyle w:val="000001000000" w:firstRow="0" w:lastRow="0" w:firstColumn="0" w:lastColumn="0" w:oddVBand="0" w:evenVBand="1" w:oddHBand="0" w:evenHBand="0" w:firstRowFirstColumn="0" w:firstRowLastColumn="0" w:lastRowFirstColumn="0" w:lastRowLastColumn="0"/>
            <w:tcW w:w="1700" w:type="dxa"/>
          </w:tcPr>
          <w:p w14:paraId="2A63AC52" w14:textId="77777777" w:rsidR="009169E8" w:rsidRPr="00294C78" w:rsidRDefault="009169E8" w:rsidP="00294C78">
            <w:pPr>
              <w:pStyle w:val="Tabletext"/>
            </w:pPr>
            <w:r w:rsidRPr="00294C78">
              <w:t>0</w:t>
            </w:r>
          </w:p>
        </w:tc>
        <w:tc>
          <w:tcPr>
            <w:cnfStyle w:val="000010000000" w:firstRow="0" w:lastRow="0" w:firstColumn="0" w:lastColumn="0" w:oddVBand="1" w:evenVBand="0" w:oddHBand="0" w:evenHBand="0" w:firstRowFirstColumn="0" w:firstRowLastColumn="0" w:lastRowFirstColumn="0" w:lastRowLastColumn="0"/>
            <w:tcW w:w="1985" w:type="dxa"/>
          </w:tcPr>
          <w:p w14:paraId="4CD69C8E" w14:textId="77777777" w:rsidR="009169E8" w:rsidRPr="00294C78" w:rsidRDefault="009169E8" w:rsidP="00294C78">
            <w:pPr>
              <w:pStyle w:val="Tabletext"/>
            </w:pPr>
            <w:r w:rsidRPr="00294C78">
              <w:t>0</w:t>
            </w:r>
          </w:p>
        </w:tc>
      </w:tr>
      <w:tr w:rsidR="009169E8" w14:paraId="76CB59C4" w14:textId="77777777" w:rsidTr="007C27DC">
        <w:trPr>
          <w:trHeight w:val="113"/>
        </w:trPr>
        <w:tc>
          <w:tcPr>
            <w:cnfStyle w:val="000010000000" w:firstRow="0" w:lastRow="0" w:firstColumn="0" w:lastColumn="0" w:oddVBand="1" w:evenVBand="0" w:oddHBand="0" w:evenHBand="0" w:firstRowFirstColumn="0" w:firstRowLastColumn="0" w:lastRowFirstColumn="0" w:lastRowLastColumn="0"/>
            <w:tcW w:w="3118" w:type="dxa"/>
          </w:tcPr>
          <w:p w14:paraId="3309C9C5" w14:textId="77777777" w:rsidR="009169E8" w:rsidRPr="00294C78" w:rsidRDefault="009169E8" w:rsidP="00294C78">
            <w:pPr>
              <w:pStyle w:val="Tabletext"/>
            </w:pPr>
            <w:r w:rsidRPr="00294C78">
              <w:t>Metabolic</w:t>
            </w:r>
          </w:p>
        </w:tc>
        <w:tc>
          <w:tcPr>
            <w:cnfStyle w:val="000001000000" w:firstRow="0" w:lastRow="0" w:firstColumn="0" w:lastColumn="0" w:oddVBand="0" w:evenVBand="1" w:oddHBand="0" w:evenHBand="0" w:firstRowFirstColumn="0" w:firstRowLastColumn="0" w:lastRowFirstColumn="0" w:lastRowLastColumn="0"/>
            <w:tcW w:w="1701" w:type="dxa"/>
          </w:tcPr>
          <w:p w14:paraId="198E496F" w14:textId="77777777" w:rsidR="009169E8" w:rsidRPr="00294C78" w:rsidRDefault="009169E8" w:rsidP="00294C78">
            <w:pPr>
              <w:pStyle w:val="Tabletext"/>
            </w:pPr>
            <w:r w:rsidRPr="00294C78">
              <w:t>1</w:t>
            </w:r>
          </w:p>
        </w:tc>
        <w:tc>
          <w:tcPr>
            <w:cnfStyle w:val="000010000000" w:firstRow="0" w:lastRow="0" w:firstColumn="0" w:lastColumn="0" w:oddVBand="1" w:evenVBand="0" w:oddHBand="0" w:evenHBand="0" w:firstRowFirstColumn="0" w:firstRowLastColumn="0" w:lastRowFirstColumn="0" w:lastRowLastColumn="0"/>
            <w:tcW w:w="1701" w:type="dxa"/>
          </w:tcPr>
          <w:p w14:paraId="02A3EA04" w14:textId="77777777" w:rsidR="009169E8" w:rsidRPr="00294C78" w:rsidRDefault="009169E8" w:rsidP="00294C78">
            <w:pPr>
              <w:pStyle w:val="Tabletext"/>
            </w:pPr>
            <w:r w:rsidRPr="00294C78">
              <w:t>0</w:t>
            </w:r>
          </w:p>
        </w:tc>
        <w:tc>
          <w:tcPr>
            <w:cnfStyle w:val="000001000000" w:firstRow="0" w:lastRow="0" w:firstColumn="0" w:lastColumn="0" w:oddVBand="0" w:evenVBand="1" w:oddHBand="0" w:evenHBand="0" w:firstRowFirstColumn="0" w:firstRowLastColumn="0" w:lastRowFirstColumn="0" w:lastRowLastColumn="0"/>
            <w:tcW w:w="1700" w:type="dxa"/>
          </w:tcPr>
          <w:p w14:paraId="655541E4" w14:textId="77777777" w:rsidR="009169E8" w:rsidRPr="00294C78" w:rsidRDefault="009169E8" w:rsidP="00294C78">
            <w:pPr>
              <w:pStyle w:val="Tabletext"/>
            </w:pPr>
            <w:r w:rsidRPr="00294C78">
              <w:t>1</w:t>
            </w:r>
          </w:p>
        </w:tc>
        <w:tc>
          <w:tcPr>
            <w:cnfStyle w:val="000010000000" w:firstRow="0" w:lastRow="0" w:firstColumn="0" w:lastColumn="0" w:oddVBand="1" w:evenVBand="0" w:oddHBand="0" w:evenHBand="0" w:firstRowFirstColumn="0" w:firstRowLastColumn="0" w:lastRowFirstColumn="0" w:lastRowLastColumn="0"/>
            <w:tcW w:w="1985" w:type="dxa"/>
          </w:tcPr>
          <w:p w14:paraId="12CDA8A4" w14:textId="77777777" w:rsidR="009169E8" w:rsidRPr="00294C78" w:rsidRDefault="009169E8" w:rsidP="00294C78">
            <w:pPr>
              <w:pStyle w:val="Tabletext"/>
            </w:pPr>
            <w:r w:rsidRPr="00294C78">
              <w:t>0</w:t>
            </w:r>
          </w:p>
        </w:tc>
      </w:tr>
      <w:tr w:rsidR="009169E8" w14:paraId="7AB39E45" w14:textId="77777777" w:rsidTr="007C27D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118" w:type="dxa"/>
          </w:tcPr>
          <w:p w14:paraId="723FAB43" w14:textId="77777777" w:rsidR="009169E8" w:rsidRPr="00294C78" w:rsidRDefault="009169E8" w:rsidP="00294C78">
            <w:pPr>
              <w:pStyle w:val="Tabletext"/>
              <w:rPr>
                <w:b/>
              </w:rPr>
            </w:pPr>
            <w:r w:rsidRPr="00294C78">
              <w:rPr>
                <w:b/>
              </w:rPr>
              <w:t>Total</w:t>
            </w:r>
          </w:p>
        </w:tc>
        <w:tc>
          <w:tcPr>
            <w:cnfStyle w:val="000001000000" w:firstRow="0" w:lastRow="0" w:firstColumn="0" w:lastColumn="0" w:oddVBand="0" w:evenVBand="1" w:oddHBand="0" w:evenHBand="0" w:firstRowFirstColumn="0" w:firstRowLastColumn="0" w:lastRowFirstColumn="0" w:lastRowLastColumn="0"/>
            <w:tcW w:w="1701" w:type="dxa"/>
          </w:tcPr>
          <w:p w14:paraId="0F9A1B4F" w14:textId="77777777" w:rsidR="009169E8" w:rsidRPr="00294C78" w:rsidRDefault="009169E8" w:rsidP="00294C78">
            <w:pPr>
              <w:pStyle w:val="Tabletext"/>
              <w:rPr>
                <w:b/>
              </w:rPr>
            </w:pPr>
            <w:r w:rsidRPr="00294C78">
              <w:rPr>
                <w:b/>
              </w:rPr>
              <w:t>128</w:t>
            </w:r>
          </w:p>
        </w:tc>
        <w:tc>
          <w:tcPr>
            <w:cnfStyle w:val="000010000000" w:firstRow="0" w:lastRow="0" w:firstColumn="0" w:lastColumn="0" w:oddVBand="1" w:evenVBand="0" w:oddHBand="0" w:evenHBand="0" w:firstRowFirstColumn="0" w:firstRowLastColumn="0" w:lastRowFirstColumn="0" w:lastRowLastColumn="0"/>
            <w:tcW w:w="1701" w:type="dxa"/>
          </w:tcPr>
          <w:p w14:paraId="261663D1" w14:textId="77777777" w:rsidR="009169E8" w:rsidRPr="00294C78" w:rsidRDefault="009169E8" w:rsidP="00294C78">
            <w:pPr>
              <w:pStyle w:val="Tabletext"/>
              <w:rPr>
                <w:b/>
              </w:rPr>
            </w:pPr>
            <w:r w:rsidRPr="00294C78">
              <w:rPr>
                <w:b/>
              </w:rPr>
              <w:t>39</w:t>
            </w:r>
          </w:p>
        </w:tc>
        <w:tc>
          <w:tcPr>
            <w:cnfStyle w:val="000001000000" w:firstRow="0" w:lastRow="0" w:firstColumn="0" w:lastColumn="0" w:oddVBand="0" w:evenVBand="1" w:oddHBand="0" w:evenHBand="0" w:firstRowFirstColumn="0" w:firstRowLastColumn="0" w:lastRowFirstColumn="0" w:lastRowLastColumn="0"/>
            <w:tcW w:w="1700" w:type="dxa"/>
          </w:tcPr>
          <w:p w14:paraId="440012A8" w14:textId="77777777" w:rsidR="009169E8" w:rsidRPr="00294C78" w:rsidRDefault="009169E8" w:rsidP="00294C78">
            <w:pPr>
              <w:pStyle w:val="Tabletext"/>
              <w:rPr>
                <w:b/>
              </w:rPr>
            </w:pPr>
            <w:r w:rsidRPr="00294C78">
              <w:rPr>
                <w:b/>
              </w:rPr>
              <w:t>82</w:t>
            </w:r>
          </w:p>
        </w:tc>
        <w:tc>
          <w:tcPr>
            <w:cnfStyle w:val="000010000000" w:firstRow="0" w:lastRow="0" w:firstColumn="0" w:lastColumn="0" w:oddVBand="1" w:evenVBand="0" w:oddHBand="0" w:evenHBand="0" w:firstRowFirstColumn="0" w:firstRowLastColumn="0" w:lastRowFirstColumn="0" w:lastRowLastColumn="0"/>
            <w:tcW w:w="1985" w:type="dxa"/>
          </w:tcPr>
          <w:p w14:paraId="51D886AE" w14:textId="77777777" w:rsidR="009169E8" w:rsidRPr="00294C78" w:rsidRDefault="009169E8" w:rsidP="00294C78">
            <w:pPr>
              <w:pStyle w:val="Tabletext"/>
              <w:rPr>
                <w:b/>
              </w:rPr>
            </w:pPr>
            <w:r w:rsidRPr="00294C78">
              <w:rPr>
                <w:b/>
              </w:rPr>
              <w:t>7</w:t>
            </w:r>
          </w:p>
        </w:tc>
      </w:tr>
    </w:tbl>
    <w:p w14:paraId="025CC373" w14:textId="77777777" w:rsidR="009169E8" w:rsidRDefault="009169E8" w:rsidP="008E28A3">
      <w:pPr>
        <w:pStyle w:val="DHHSbody"/>
      </w:pPr>
      <w:r>
        <w:t>Cardiovascular events (49) formed the largest sub</w:t>
      </w:r>
      <w:r>
        <w:rPr>
          <w:rFonts w:ascii="Cambria Math" w:hAnsi="Cambria Math" w:cs="Cambria Math"/>
        </w:rPr>
        <w:t>‑</w:t>
      </w:r>
      <w:r>
        <w:t>group of category 4–10 events. Of these 49 events, 27 (55.1 per cent) were considered inevitable (category 5). Category 4–10 cardiovascular events included:</w:t>
      </w:r>
    </w:p>
    <w:p w14:paraId="3BC2B612" w14:textId="77777777" w:rsidR="009169E8" w:rsidRDefault="009169E8" w:rsidP="00E961B4">
      <w:pPr>
        <w:pStyle w:val="Bullet1"/>
      </w:pPr>
      <w:r>
        <w:t>16 cardiac arrests (nine considered inevitable (category 5))</w:t>
      </w:r>
    </w:p>
    <w:p w14:paraId="37CF9939" w14:textId="77777777" w:rsidR="009169E8" w:rsidRDefault="009169E8" w:rsidP="00E961B4">
      <w:pPr>
        <w:pStyle w:val="Bullet1"/>
      </w:pPr>
      <w:r>
        <w:t>nine haemorrhage events (six considered inevitable (category 5))</w:t>
      </w:r>
    </w:p>
    <w:p w14:paraId="3235F188" w14:textId="77777777" w:rsidR="009169E8" w:rsidRDefault="009169E8" w:rsidP="00E961B4">
      <w:pPr>
        <w:pStyle w:val="Bullet1"/>
      </w:pPr>
      <w:r>
        <w:t>five embolic events (three involved suspected embolic events during repair of fractured hips)</w:t>
      </w:r>
    </w:p>
    <w:p w14:paraId="5A7FAF5E" w14:textId="77777777" w:rsidR="009169E8" w:rsidRDefault="009169E8" w:rsidP="00E961B4">
      <w:pPr>
        <w:pStyle w:val="Bullet1"/>
      </w:pPr>
      <w:r>
        <w:t>two myocardial infarction events (both considered inevitable (category 5))</w:t>
      </w:r>
    </w:p>
    <w:p w14:paraId="6F77957E" w14:textId="77777777" w:rsidR="009169E8" w:rsidRDefault="009169E8" w:rsidP="00BB165F">
      <w:pPr>
        <w:pStyle w:val="Bullet1"/>
      </w:pPr>
      <w:r>
        <w:t xml:space="preserve">two myocardial </w:t>
      </w:r>
      <w:proofErr w:type="spellStart"/>
      <w:r>
        <w:t>ischaemia</w:t>
      </w:r>
      <w:proofErr w:type="spellEnd"/>
      <w:r>
        <w:t xml:space="preserve"> events.</w:t>
      </w:r>
    </w:p>
    <w:p w14:paraId="59AEF5A3" w14:textId="77777777" w:rsidR="009169E8" w:rsidRDefault="009169E8" w:rsidP="008E28A3">
      <w:pPr>
        <w:pStyle w:val="DHHSbody"/>
      </w:pPr>
      <w:r>
        <w:t>Of the 38 miscellaneous events, 27 (71 per cent) were considered inevitable (category 5). Underlying conditions in these category 5 cases included malignancy (eight cases), bowel infarction/</w:t>
      </w:r>
      <w:proofErr w:type="spellStart"/>
      <w:r>
        <w:t>ischaemia</w:t>
      </w:r>
      <w:proofErr w:type="spellEnd"/>
      <w:r>
        <w:t xml:space="preserve"> (four cases), multiorgan failure (six cases) and sepsis (two cases).</w:t>
      </w:r>
    </w:p>
    <w:p w14:paraId="28125997" w14:textId="7DF1FDF5" w:rsidR="009169E8" w:rsidRDefault="009169E8" w:rsidP="008E28A3">
      <w:pPr>
        <w:pStyle w:val="DHHSbody"/>
      </w:pPr>
      <w:r>
        <w:t>Of the 18 neurological events, 15 were classified as stroke (10 were considered inevitable (category 5)).</w:t>
      </w:r>
    </w:p>
    <w:p w14:paraId="761EE351" w14:textId="77777777" w:rsidR="009169E8" w:rsidRDefault="009169E8" w:rsidP="000104F5">
      <w:pPr>
        <w:pStyle w:val="Heading1"/>
      </w:pPr>
      <w:bookmarkStart w:id="10" w:name="_Toc20234279"/>
      <w:r>
        <w:lastRenderedPageBreak/>
        <w:t>Reducing the risk</w:t>
      </w:r>
      <w:bookmarkEnd w:id="10"/>
    </w:p>
    <w:p w14:paraId="18301A26" w14:textId="6CC656BB" w:rsidR="009169E8" w:rsidRDefault="009169E8" w:rsidP="008E28A3">
      <w:pPr>
        <w:pStyle w:val="DHHSbody"/>
      </w:pPr>
      <w:r>
        <w:t xml:space="preserve">This section summarises the council’s findings by looking at the overarching themes and the clinical themes raised by the cases referred in the 2015–2017 triennium. Mortality and morbidity events are reviewed together to keep the report event rather than outcomes-focused, with an emphasis on ‘what could we do differently next time’. An overview of the event types and sub-types for category 1–3 and 4–10 events </w:t>
      </w:r>
      <w:proofErr w:type="gramStart"/>
      <w:r>
        <w:t>is</w:t>
      </w:r>
      <w:proofErr w:type="gramEnd"/>
      <w:r>
        <w:t xml:space="preserve"> provided in Table 12 at the end of the section.</w:t>
      </w:r>
    </w:p>
    <w:p w14:paraId="0867F5A1" w14:textId="0FFA44D0" w:rsidR="009169E8" w:rsidRDefault="009169E8" w:rsidP="008E28A3">
      <w:pPr>
        <w:pStyle w:val="DHHSbody"/>
      </w:pPr>
      <w:r>
        <w:t>Key messages and practice points are included with all levels of anaesthesia providers in mind. They highlight learning points raised by the reported cases and do not replace information contained within consensus guidelines.</w:t>
      </w:r>
    </w:p>
    <w:p w14:paraId="1746E274" w14:textId="77777777" w:rsidR="009169E8" w:rsidRDefault="009169E8" w:rsidP="000A4644">
      <w:pPr>
        <w:pStyle w:val="Heading2"/>
      </w:pPr>
      <w:r>
        <w:t xml:space="preserve">OVERARCHING THEMES </w:t>
      </w:r>
    </w:p>
    <w:p w14:paraId="156A4220" w14:textId="77777777" w:rsidR="009169E8" w:rsidRDefault="009169E8" w:rsidP="008E28A3">
      <w:pPr>
        <w:pStyle w:val="DHHSbody"/>
      </w:pPr>
      <w:r>
        <w:t xml:space="preserve">Three topics are explored that </w:t>
      </w:r>
      <w:proofErr w:type="gramStart"/>
      <w:r>
        <w:t>cross event</w:t>
      </w:r>
      <w:proofErr w:type="gramEnd"/>
      <w:r>
        <w:t xml:space="preserve"> types and reflect broader opportunities to reduce anaesthesia-related mortality and morbidity and deliver safer perioperative care:</w:t>
      </w:r>
    </w:p>
    <w:p w14:paraId="28779221" w14:textId="77777777" w:rsidR="009169E8" w:rsidRDefault="009169E8" w:rsidP="00E961B4">
      <w:pPr>
        <w:pStyle w:val="Bullet1"/>
      </w:pPr>
      <w:r>
        <w:t>‘human factors’ and organisational safety</w:t>
      </w:r>
    </w:p>
    <w:p w14:paraId="0E2DC0ED" w14:textId="77777777" w:rsidR="009169E8" w:rsidRDefault="009169E8" w:rsidP="00E961B4">
      <w:pPr>
        <w:pStyle w:val="Bullet1"/>
      </w:pPr>
      <w:r>
        <w:t>growth of non-operating-room anaesthesia</w:t>
      </w:r>
    </w:p>
    <w:p w14:paraId="0C4EFBC6" w14:textId="77777777" w:rsidR="009169E8" w:rsidRDefault="009169E8" w:rsidP="00BB165F">
      <w:pPr>
        <w:pStyle w:val="Bullet1"/>
      </w:pPr>
      <w:r>
        <w:t>multidisciplinary shared decision making in perioperative care.</w:t>
      </w:r>
    </w:p>
    <w:p w14:paraId="01B0A02C" w14:textId="77777777" w:rsidR="009169E8" w:rsidRDefault="009169E8" w:rsidP="000A4644">
      <w:pPr>
        <w:pStyle w:val="Heading2"/>
      </w:pPr>
      <w:r>
        <w:t>CLINICAL THEMES</w:t>
      </w:r>
    </w:p>
    <w:p w14:paraId="6FFD74D3" w14:textId="77777777" w:rsidR="009169E8" w:rsidRDefault="009169E8" w:rsidP="008E28A3">
      <w:pPr>
        <w:pStyle w:val="DHHSbody"/>
      </w:pPr>
      <w:r>
        <w:t>Cases were assigned to one primary event type and sub-type but may have raised learning points that crossed more than one clinical theme. Nine clinical themes are explored including:</w:t>
      </w:r>
    </w:p>
    <w:p w14:paraId="6977AF60" w14:textId="77777777" w:rsidR="009169E8" w:rsidRDefault="009169E8" w:rsidP="00E961B4">
      <w:pPr>
        <w:pStyle w:val="Bullet1"/>
      </w:pPr>
      <w:r>
        <w:t>airway and respiratory events</w:t>
      </w:r>
    </w:p>
    <w:p w14:paraId="2F8FD5DC" w14:textId="0F2EA33A" w:rsidR="009169E8" w:rsidRDefault="009169E8" w:rsidP="00437381">
      <w:pPr>
        <w:pStyle w:val="Bullet2"/>
      </w:pPr>
      <w:r>
        <w:t>focus on aspiration</w:t>
      </w:r>
    </w:p>
    <w:p w14:paraId="3C0C268C" w14:textId="77777777" w:rsidR="009169E8" w:rsidRDefault="009169E8" w:rsidP="00E961B4">
      <w:pPr>
        <w:pStyle w:val="Bullet1"/>
      </w:pPr>
      <w:r>
        <w:t>cardiovascular events</w:t>
      </w:r>
    </w:p>
    <w:p w14:paraId="392FA998" w14:textId="32D74303" w:rsidR="009169E8" w:rsidRDefault="009169E8" w:rsidP="00437381">
      <w:pPr>
        <w:pStyle w:val="Bullet2"/>
      </w:pPr>
      <w:r>
        <w:t xml:space="preserve">focus on perioperative cardiac arrests and myocardial </w:t>
      </w:r>
      <w:proofErr w:type="spellStart"/>
      <w:r>
        <w:t>ischaemia</w:t>
      </w:r>
      <w:proofErr w:type="spellEnd"/>
    </w:p>
    <w:p w14:paraId="7489F2CC" w14:textId="0B389C60" w:rsidR="009169E8" w:rsidRDefault="009169E8" w:rsidP="00E961B4">
      <w:pPr>
        <w:pStyle w:val="Bullet1"/>
      </w:pPr>
      <w:r>
        <w:t>metabolic events</w:t>
      </w:r>
    </w:p>
    <w:p w14:paraId="6B34805B" w14:textId="77777777" w:rsidR="009169E8" w:rsidRDefault="009169E8" w:rsidP="00E961B4">
      <w:pPr>
        <w:pStyle w:val="Bullet1"/>
      </w:pPr>
      <w:r>
        <w:t>drug-related events</w:t>
      </w:r>
    </w:p>
    <w:p w14:paraId="582D13D3" w14:textId="39CB1589" w:rsidR="009169E8" w:rsidRDefault="009169E8" w:rsidP="00437381">
      <w:pPr>
        <w:pStyle w:val="Bullet2"/>
      </w:pPr>
      <w:r>
        <w:t>focus on anaphylaxis</w:t>
      </w:r>
    </w:p>
    <w:p w14:paraId="545E6DBA" w14:textId="77777777" w:rsidR="009169E8" w:rsidRDefault="009169E8" w:rsidP="00E961B4">
      <w:pPr>
        <w:pStyle w:val="Bullet1"/>
      </w:pPr>
      <w:r>
        <w:t xml:space="preserve"> neurological events</w:t>
      </w:r>
    </w:p>
    <w:p w14:paraId="45A45DE0" w14:textId="621B0950" w:rsidR="009169E8" w:rsidRDefault="009169E8" w:rsidP="00437381">
      <w:pPr>
        <w:pStyle w:val="Bullet2"/>
      </w:pPr>
      <w:r>
        <w:t>focus on awareness during general anaesthesia</w:t>
      </w:r>
    </w:p>
    <w:p w14:paraId="4DB22407" w14:textId="77777777" w:rsidR="009169E8" w:rsidRDefault="009169E8" w:rsidP="00E961B4">
      <w:pPr>
        <w:pStyle w:val="Bullet1"/>
      </w:pPr>
      <w:r>
        <w:t>procedural complications</w:t>
      </w:r>
    </w:p>
    <w:p w14:paraId="461D0F96" w14:textId="5722FB3A" w:rsidR="009169E8" w:rsidRDefault="009169E8" w:rsidP="00437381">
      <w:pPr>
        <w:pStyle w:val="Bullet2"/>
      </w:pPr>
      <w:r>
        <w:t>focus on wrong-side nerve blocks</w:t>
      </w:r>
    </w:p>
    <w:p w14:paraId="63EBCEAC" w14:textId="15D3BA1D" w:rsidR="009169E8" w:rsidRDefault="009169E8" w:rsidP="00437381">
      <w:pPr>
        <w:pStyle w:val="Bullet2"/>
      </w:pPr>
      <w:r>
        <w:t>focus on retained throat packs</w:t>
      </w:r>
    </w:p>
    <w:p w14:paraId="68648CE0" w14:textId="30791791" w:rsidR="009169E8" w:rsidRDefault="009169E8" w:rsidP="00E961B4">
      <w:pPr>
        <w:pStyle w:val="Bullet1"/>
      </w:pPr>
      <w:r>
        <w:t>comorbidities</w:t>
      </w:r>
    </w:p>
    <w:p w14:paraId="747D58E5" w14:textId="76979697" w:rsidR="009169E8" w:rsidRDefault="009169E8" w:rsidP="00437381">
      <w:pPr>
        <w:pStyle w:val="Bullet2"/>
      </w:pPr>
      <w:r>
        <w:t>focus on obesity and obstructive sleep apnoea OSA</w:t>
      </w:r>
    </w:p>
    <w:p w14:paraId="07C83C23" w14:textId="3089E121" w:rsidR="009169E8" w:rsidRDefault="009169E8" w:rsidP="00E961B4">
      <w:pPr>
        <w:pStyle w:val="Bullet1"/>
      </w:pPr>
      <w:r>
        <w:t>preoperative assessment and management</w:t>
      </w:r>
    </w:p>
    <w:p w14:paraId="27B7B068" w14:textId="7993F0D5" w:rsidR="009169E8" w:rsidRDefault="009169E8" w:rsidP="00437381">
      <w:pPr>
        <w:pStyle w:val="Bullet2"/>
      </w:pPr>
      <w:r>
        <w:t>focus on DOSA checks</w:t>
      </w:r>
    </w:p>
    <w:p w14:paraId="4CF74745" w14:textId="348E8575" w:rsidR="009169E8" w:rsidRDefault="009169E8" w:rsidP="00E961B4">
      <w:pPr>
        <w:pStyle w:val="Bullet1"/>
      </w:pPr>
      <w:r>
        <w:t>clinical deterioration in the early postoperative period</w:t>
      </w:r>
    </w:p>
    <w:p w14:paraId="58E3953F" w14:textId="5AA2A481" w:rsidR="009169E8" w:rsidRPr="00513F1C" w:rsidRDefault="009169E8" w:rsidP="000104F5">
      <w:pPr>
        <w:pStyle w:val="Bullet2"/>
        <w:rPr>
          <w:spacing w:val="-2"/>
        </w:rPr>
      </w:pPr>
      <w:r>
        <w:t xml:space="preserve">focus on events in the post-anaesthesia care </w:t>
      </w:r>
      <w:r>
        <w:rPr>
          <w:spacing w:val="-2"/>
        </w:rPr>
        <w:t>unit (PACU) and soon after return to the ward</w:t>
      </w:r>
    </w:p>
    <w:p w14:paraId="2DE17FCF" w14:textId="77777777" w:rsidR="009169E8" w:rsidRDefault="009169E8" w:rsidP="000104F5">
      <w:pPr>
        <w:pStyle w:val="Heading1"/>
      </w:pPr>
      <w:bookmarkStart w:id="11" w:name="_Toc20234280"/>
      <w:r>
        <w:lastRenderedPageBreak/>
        <w:t>Three overarching themes</w:t>
      </w:r>
      <w:bookmarkEnd w:id="11"/>
    </w:p>
    <w:p w14:paraId="3BD74E9C" w14:textId="77777777" w:rsidR="009169E8" w:rsidRDefault="009169E8" w:rsidP="000A4644">
      <w:pPr>
        <w:pStyle w:val="Heading2"/>
      </w:pPr>
      <w:r>
        <w:t>1. THE IMPORTANCE OF HUMAN FACTORS AND ORGANISATIONAL SAFETY</w:t>
      </w:r>
    </w:p>
    <w:p w14:paraId="4DEF9C93" w14:textId="2C8DE240" w:rsidR="009169E8" w:rsidRDefault="009169E8" w:rsidP="008E28A3">
      <w:pPr>
        <w:pStyle w:val="DHHSbody"/>
      </w:pPr>
      <w:r>
        <w:t xml:space="preserve">Human factors </w:t>
      </w:r>
      <w:proofErr w:type="gramStart"/>
      <w:r>
        <w:t>examines</w:t>
      </w:r>
      <w:proofErr w:type="gramEnd"/>
      <w:r>
        <w:t xml:space="preserve"> the interactions between people, tasks, equipment and their work environment in order to design systems that enhance performance and are resilient to adverse events (Russ, et al., 2013). It greatly depends on understanding the context in which tasks are performed. In health care, the focus of human factors often centres around ‘team working, communication, situational awareness and human error’ (Jones, et al., 2018, p. 12) rather than specific technical skills.</w:t>
      </w:r>
    </w:p>
    <w:p w14:paraId="7C568E70" w14:textId="77777777" w:rsidR="009169E8" w:rsidRDefault="009169E8" w:rsidP="00BB165F">
      <w:pPr>
        <w:pStyle w:val="Heading3"/>
      </w:pPr>
      <w:r>
        <w:t>This triennium (2015–2017)</w:t>
      </w:r>
    </w:p>
    <w:p w14:paraId="1FA35321" w14:textId="77777777" w:rsidR="009169E8" w:rsidRDefault="009169E8" w:rsidP="008E28A3">
      <w:pPr>
        <w:pStyle w:val="DHHSbody"/>
      </w:pPr>
      <w:r>
        <w:t>This triennium, interactions between people, procedures, equipment, workflows and the work environment were identified as significant contributing factors in many of the anaesthesia-related events considered as having a significant degree of preventability. These factors were often identified with the benefit of hindsight and raised by clinicians as potential areas for system improvement to prevent similar events in the future and/or to mitigate the level of harm and/or improve post-event outcomes.</w:t>
      </w:r>
    </w:p>
    <w:p w14:paraId="57B8D6F4" w14:textId="77777777" w:rsidR="009169E8" w:rsidRDefault="009169E8" w:rsidP="008E28A3">
      <w:pPr>
        <w:pStyle w:val="DHHSbody"/>
      </w:pPr>
      <w:r>
        <w:t xml:space="preserve">Associated events occurred across a range of elective and emergency situations, including: </w:t>
      </w:r>
    </w:p>
    <w:p w14:paraId="691B30CB" w14:textId="77777777" w:rsidR="009169E8" w:rsidRDefault="009169E8" w:rsidP="00E961B4">
      <w:pPr>
        <w:pStyle w:val="Bullet1"/>
      </w:pPr>
      <w:r>
        <w:t>crisis management</w:t>
      </w:r>
    </w:p>
    <w:p w14:paraId="532BDA00" w14:textId="5A2D6E9D" w:rsidR="009169E8" w:rsidRDefault="009169E8" w:rsidP="00E961B4">
      <w:pPr>
        <w:pStyle w:val="Bullet1"/>
      </w:pPr>
      <w:r>
        <w:t>difficult intubations</w:t>
      </w:r>
    </w:p>
    <w:p w14:paraId="54570E50" w14:textId="77777777" w:rsidR="009169E8" w:rsidRDefault="009169E8" w:rsidP="00E961B4">
      <w:pPr>
        <w:pStyle w:val="Bullet1"/>
      </w:pPr>
      <w:r>
        <w:t>awareness under GA</w:t>
      </w:r>
    </w:p>
    <w:p w14:paraId="2ACCE483" w14:textId="77777777" w:rsidR="009169E8" w:rsidRDefault="009169E8" w:rsidP="00E961B4">
      <w:pPr>
        <w:pStyle w:val="Bullet1"/>
      </w:pPr>
      <w:r>
        <w:t xml:space="preserve">retained throat packs </w:t>
      </w:r>
    </w:p>
    <w:p w14:paraId="11673A14" w14:textId="77777777" w:rsidR="009169E8" w:rsidRDefault="009169E8" w:rsidP="00E961B4">
      <w:pPr>
        <w:pStyle w:val="Bullet1"/>
      </w:pPr>
      <w:r>
        <w:t>wrong-side nerve blocks</w:t>
      </w:r>
    </w:p>
    <w:p w14:paraId="402BC57E" w14:textId="77777777" w:rsidR="009169E8" w:rsidRDefault="009169E8" w:rsidP="00E961B4">
      <w:pPr>
        <w:pStyle w:val="Bullet1"/>
      </w:pPr>
      <w:r>
        <w:t>drug administration</w:t>
      </w:r>
    </w:p>
    <w:p w14:paraId="6A443D66" w14:textId="0068DE01" w:rsidR="009169E8" w:rsidRDefault="009169E8" w:rsidP="00E961B4">
      <w:pPr>
        <w:pStyle w:val="Bullet1"/>
      </w:pPr>
      <w:r>
        <w:t>handover of anaesthetic care</w:t>
      </w:r>
    </w:p>
    <w:p w14:paraId="56F46EF6" w14:textId="77777777" w:rsidR="009169E8" w:rsidRDefault="009169E8" w:rsidP="00E961B4">
      <w:pPr>
        <w:pStyle w:val="Bullet1"/>
      </w:pPr>
      <w:r>
        <w:t>transitions of care</w:t>
      </w:r>
    </w:p>
    <w:p w14:paraId="7A51A556" w14:textId="77777777" w:rsidR="009169E8" w:rsidRDefault="009169E8" w:rsidP="00BB165F">
      <w:pPr>
        <w:pStyle w:val="Bullet1"/>
      </w:pPr>
      <w:r>
        <w:t>coordination and organisation of perioperative care.</w:t>
      </w:r>
    </w:p>
    <w:p w14:paraId="2940C982" w14:textId="52196D42" w:rsidR="009169E8" w:rsidRDefault="009169E8" w:rsidP="008E28A3">
      <w:pPr>
        <w:pStyle w:val="DHHSbody"/>
      </w:pPr>
      <w:r>
        <w:t>Contributing factors in many of these events often related to team functioning within complex, busy environments, which is an important reminder that anaesthetists do not work alone but as part of a multidisciplinary team (Weller &amp; Merry, 2013).</w:t>
      </w:r>
    </w:p>
    <w:p w14:paraId="357F3E0B" w14:textId="77777777" w:rsidR="009169E8" w:rsidRDefault="009169E8" w:rsidP="008E28A3">
      <w:pPr>
        <w:pStyle w:val="DHHSbody"/>
      </w:pPr>
      <w:r>
        <w:t>Identified issues included:</w:t>
      </w:r>
    </w:p>
    <w:p w14:paraId="6D7C0037" w14:textId="77777777" w:rsidR="009169E8" w:rsidRDefault="009169E8" w:rsidP="00E961B4">
      <w:pPr>
        <w:pStyle w:val="Bullet1"/>
      </w:pPr>
      <w:r>
        <w:t>insufficient clarity about roles and responsibilities in crisis management</w:t>
      </w:r>
    </w:p>
    <w:p w14:paraId="49211E1D" w14:textId="77777777" w:rsidR="009169E8" w:rsidRDefault="009169E8" w:rsidP="00E961B4">
      <w:pPr>
        <w:pStyle w:val="Bullet1"/>
      </w:pPr>
      <w:r>
        <w:t>assumptions about the meaning of critical communications without verification/confirmation</w:t>
      </w:r>
    </w:p>
    <w:p w14:paraId="168D1A2D" w14:textId="77777777" w:rsidR="009169E8" w:rsidRDefault="009169E8" w:rsidP="00E961B4">
      <w:pPr>
        <w:pStyle w:val="Bullet1"/>
      </w:pPr>
      <w:r>
        <w:t>the impact of distractions during high-risk tasks – for example, after induction and intubation</w:t>
      </w:r>
    </w:p>
    <w:p w14:paraId="3E31E972" w14:textId="77777777" w:rsidR="009169E8" w:rsidRDefault="009169E8" w:rsidP="00E961B4">
      <w:pPr>
        <w:pStyle w:val="Bullet1"/>
      </w:pPr>
      <w:r>
        <w:t>missing information in clinical handovers</w:t>
      </w:r>
    </w:p>
    <w:p w14:paraId="1BD57DA1" w14:textId="77777777" w:rsidR="009169E8" w:rsidRDefault="009169E8" w:rsidP="00E961B4">
      <w:pPr>
        <w:pStyle w:val="Bullet1"/>
      </w:pPr>
      <w:r>
        <w:t>dosage calculation error with an unfamiliar medication</w:t>
      </w:r>
    </w:p>
    <w:p w14:paraId="68413A57" w14:textId="77777777" w:rsidR="009169E8" w:rsidRDefault="009169E8" w:rsidP="00E961B4">
      <w:pPr>
        <w:pStyle w:val="Bullet1"/>
      </w:pPr>
      <w:r>
        <w:t>impact of production pressures on checking processes, assessments and decision making</w:t>
      </w:r>
    </w:p>
    <w:p w14:paraId="296805EE" w14:textId="77777777" w:rsidR="009169E8" w:rsidRDefault="009169E8" w:rsidP="00E961B4">
      <w:pPr>
        <w:pStyle w:val="Bullet1"/>
      </w:pPr>
      <w:r>
        <w:t>team members working in isolation such as:</w:t>
      </w:r>
    </w:p>
    <w:p w14:paraId="16B84BA3" w14:textId="60A84820" w:rsidR="009169E8" w:rsidRDefault="009169E8" w:rsidP="00437381">
      <w:pPr>
        <w:pStyle w:val="Bullet2"/>
      </w:pPr>
      <w:r>
        <w:t>no formal check with the anaesthetic team before surgical incision</w:t>
      </w:r>
    </w:p>
    <w:p w14:paraId="373A6D54" w14:textId="6CA68DDA" w:rsidR="009169E8" w:rsidRDefault="009169E8" w:rsidP="00437381">
      <w:pPr>
        <w:pStyle w:val="Bullet2"/>
      </w:pPr>
      <w:r>
        <w:t>relevant team members not informed of perioperative complications</w:t>
      </w:r>
    </w:p>
    <w:p w14:paraId="5781036F" w14:textId="77777777" w:rsidR="009169E8" w:rsidRDefault="009169E8" w:rsidP="00E961B4">
      <w:pPr>
        <w:pStyle w:val="Bullet1"/>
      </w:pPr>
      <w:r>
        <w:t>equipment design – alarms not set and alarms disabled to avoid noise during anaesthesia induction and not re-enabled</w:t>
      </w:r>
    </w:p>
    <w:p w14:paraId="0B6DA3F3" w14:textId="77777777" w:rsidR="009169E8" w:rsidRDefault="009169E8" w:rsidP="00E961B4">
      <w:pPr>
        <w:pStyle w:val="Bullet1"/>
      </w:pPr>
      <w:r>
        <w:t>visual reminders not functioning as intended (e.g. removal before needed)</w:t>
      </w:r>
    </w:p>
    <w:p w14:paraId="083766F7" w14:textId="77777777" w:rsidR="009169E8" w:rsidRDefault="009169E8" w:rsidP="00BB165F">
      <w:pPr>
        <w:pStyle w:val="Bullet1"/>
      </w:pPr>
      <w:r>
        <w:t>impact of pattern modes.</w:t>
      </w:r>
    </w:p>
    <w:p w14:paraId="5075C25C" w14:textId="34814CDA" w:rsidR="009169E8" w:rsidRDefault="009169E8" w:rsidP="008E28A3">
      <w:pPr>
        <w:pStyle w:val="DHHSbody"/>
      </w:pPr>
      <w:r>
        <w:t>These factors come back to the core concepts of teamwork, communication, situational awareness and human error. They underscore the importance of:</w:t>
      </w:r>
    </w:p>
    <w:p w14:paraId="50AE18D7" w14:textId="77777777" w:rsidR="009169E8" w:rsidRDefault="009169E8" w:rsidP="00E961B4">
      <w:pPr>
        <w:pStyle w:val="Bullet1"/>
      </w:pPr>
      <w:r>
        <w:lastRenderedPageBreak/>
        <w:t xml:space="preserve">training in crisis management, effective </w:t>
      </w:r>
      <w:r>
        <w:rPr>
          <w:spacing w:val="-4"/>
        </w:rPr>
        <w:t xml:space="preserve">teamwork and communication, with an emphasis </w:t>
      </w:r>
      <w:r>
        <w:t>on non-technical skills as well as technical skills</w:t>
      </w:r>
    </w:p>
    <w:p w14:paraId="41FBCCA4" w14:textId="77777777" w:rsidR="009169E8" w:rsidRDefault="009169E8" w:rsidP="00E961B4">
      <w:pPr>
        <w:pStyle w:val="Bullet1"/>
      </w:pPr>
      <w:r>
        <w:t>developing skills in situational awareness – for example, minimising distractions during high-risk tasks</w:t>
      </w:r>
    </w:p>
    <w:p w14:paraId="73E695ED" w14:textId="77777777" w:rsidR="009169E8" w:rsidRDefault="009169E8" w:rsidP="00E961B4">
      <w:pPr>
        <w:pStyle w:val="Bullet1"/>
      </w:pPr>
      <w:r>
        <w:t>using cognitive aids at the point of care to reduce reliance on memory and decrease the impact of unavoidable distractions in a complex and unpredictable environment</w:t>
      </w:r>
    </w:p>
    <w:p w14:paraId="7012A9F1" w14:textId="77777777" w:rsidR="009169E8" w:rsidRDefault="009169E8" w:rsidP="00BB165F">
      <w:pPr>
        <w:pStyle w:val="Bullet1"/>
      </w:pPr>
      <w:r>
        <w:rPr>
          <w:spacing w:val="-2"/>
        </w:rPr>
        <w:t xml:space="preserve">actively designing work environments, workflows </w:t>
      </w:r>
      <w:r>
        <w:t>and equipment to reduce the risk of human error.</w:t>
      </w:r>
    </w:p>
    <w:p w14:paraId="170E84B4" w14:textId="5F6E212F" w:rsidR="009169E8" w:rsidRDefault="009169E8" w:rsidP="00BB165F">
      <w:pPr>
        <w:pStyle w:val="Heading3"/>
      </w:pPr>
      <w:r>
        <w:t>Broader context</w:t>
      </w:r>
    </w:p>
    <w:p w14:paraId="2305B480" w14:textId="77777777" w:rsidR="009169E8" w:rsidRDefault="009169E8" w:rsidP="008E28A3">
      <w:pPr>
        <w:pStyle w:val="DHHSbody"/>
      </w:pPr>
      <w:r>
        <w:t xml:space="preserve">The number of events the VCCAMM reviewed this triennium is small and based on voluntary reporting. However, similar issues have been identified in other analyses and audits of anaesthesia-related mortality and morbidity (Cook, Woodall, &amp; </w:t>
      </w:r>
      <w:proofErr w:type="spellStart"/>
      <w:r>
        <w:t>Frerk</w:t>
      </w:r>
      <w:proofErr w:type="spellEnd"/>
      <w:r>
        <w:t>, 2011b; Pandit, et al., 2014) and highlighted in reviews of human factors in anaesthesia-related settings (Jones, et al., 2018).</w:t>
      </w:r>
    </w:p>
    <w:p w14:paraId="2CEA5470" w14:textId="1EFBE7AF" w:rsidR="009169E8" w:rsidRDefault="009169E8" w:rsidP="008E28A3">
      <w:pPr>
        <w:pStyle w:val="DHHSbody"/>
      </w:pPr>
      <w:r>
        <w:t>Many of these issues are recurring themes highlighting the ongoing challenge of effectively implementing human factor solutions (</w:t>
      </w:r>
      <w:proofErr w:type="spellStart"/>
      <w:r>
        <w:t>Sevdalis</w:t>
      </w:r>
      <w:proofErr w:type="spellEnd"/>
      <w:r>
        <w:t xml:space="preserve">, Hull, &amp; Birnbach, 2012; Chandran &amp; DeSousa, 2014; </w:t>
      </w:r>
      <w:proofErr w:type="spellStart"/>
      <w:r>
        <w:t>Stiegler</w:t>
      </w:r>
      <w:proofErr w:type="spellEnd"/>
      <w:r>
        <w:t xml:space="preserve"> &amp; Tung, 2014).</w:t>
      </w:r>
    </w:p>
    <w:p w14:paraId="34B62089" w14:textId="40F3F5B9" w:rsidR="009169E8" w:rsidRDefault="009169E8" w:rsidP="008E28A3">
      <w:pPr>
        <w:pStyle w:val="DHHSbody"/>
      </w:pPr>
      <w:r>
        <w:t xml:space="preserve">Simple and practical initiatives can and have been </w:t>
      </w:r>
      <w:r>
        <w:rPr>
          <w:spacing w:val="-2"/>
        </w:rPr>
        <w:t xml:space="preserve">developed such as the ABCDE anaesthesia component checklist in the NAP 5 </w:t>
      </w:r>
      <w:r>
        <w:t>report (Pandit, et al., 2014). This checklist has been advocated for use before surgery starts and after any time the patient is moved to help reduce the risk of adverse events through a sequence of checks relating to airway, breathing, circulation, drugs and effective teamwork (Pandit, et al., 2014).</w:t>
      </w:r>
    </w:p>
    <w:p w14:paraId="4A0AE510" w14:textId="77777777" w:rsidR="009169E8" w:rsidRDefault="009169E8" w:rsidP="00BB165F">
      <w:pPr>
        <w:pStyle w:val="Heading3"/>
      </w:pPr>
      <w:r>
        <w:t>Overall key message</w:t>
      </w:r>
    </w:p>
    <w:p w14:paraId="39416404" w14:textId="4033F5E2" w:rsidR="009169E8" w:rsidRDefault="009169E8" w:rsidP="008E28A3">
      <w:pPr>
        <w:pStyle w:val="DHHSbody"/>
      </w:pPr>
      <w:r>
        <w:t>Identifying and addressing human factors is vital to ongoing improvements in safety in anaesthesia and perioperative care.</w:t>
      </w:r>
    </w:p>
    <w:p w14:paraId="1CA6C665" w14:textId="77777777" w:rsidR="009169E8" w:rsidRDefault="009169E8" w:rsidP="008E28A3">
      <w:pPr>
        <w:pStyle w:val="DHHSbody"/>
      </w:pPr>
      <w:r>
        <w:t>Factors relating to interactions between people, procedures, equipment and the work environment are often best known to those involved in an adverse event. They have thought in detail about the context in which an event occurred, have detailed knowledge as to what they were aware of and not aware of at the time of the event, and about what influenced their decision making. This information is vital to improving our understanding of how our usual systems of care contribute to potentially preventable causes of anaesthesia-related mortality and morbidity and how these systems of care can be improved.</w:t>
      </w:r>
    </w:p>
    <w:p w14:paraId="4515DB78" w14:textId="77777777" w:rsidR="009169E8" w:rsidRDefault="009169E8" w:rsidP="00BB165F">
      <w:pPr>
        <w:pStyle w:val="Heading3"/>
      </w:pPr>
      <w:r>
        <w:t>An opportunity moving forward</w:t>
      </w:r>
    </w:p>
    <w:p w14:paraId="72916F12" w14:textId="77777777" w:rsidR="009169E8" w:rsidRDefault="009169E8" w:rsidP="008E28A3">
      <w:pPr>
        <w:pStyle w:val="DHHSbody"/>
      </w:pPr>
      <w:r>
        <w:t>Support for strengthening education, training and implementing human factor principles in the Victorian health sector is vital, particularly in relation to multidisciplinary perioperative care.</w:t>
      </w:r>
    </w:p>
    <w:p w14:paraId="505EF5A2" w14:textId="6A26892E" w:rsidR="009169E8" w:rsidRDefault="009169E8" w:rsidP="008E28A3">
      <w:pPr>
        <w:pStyle w:val="DHHSbody"/>
      </w:pPr>
      <w:r>
        <w:t>Seeking clinician input about the contexts in which perioperative adverse events and near-misses occur is an important part of this process to better understand factors that influence decision making and help inform effective and targeted human factor solution design.</w:t>
      </w:r>
    </w:p>
    <w:p w14:paraId="66021780" w14:textId="77777777" w:rsidR="009169E8" w:rsidRDefault="009169E8" w:rsidP="00BB165F">
      <w:pPr>
        <w:pStyle w:val="Heading3"/>
      </w:pPr>
      <w:r>
        <w:t>References and resources</w:t>
      </w:r>
    </w:p>
    <w:p w14:paraId="794C668F" w14:textId="77777777" w:rsidR="009169E8" w:rsidRDefault="009169E8" w:rsidP="008E28A3">
      <w:pPr>
        <w:pStyle w:val="DHHSbody"/>
      </w:pPr>
      <w:r>
        <w:t>Chandran &amp; DeSousa, 2014</w:t>
      </w:r>
    </w:p>
    <w:p w14:paraId="03076CB8" w14:textId="636994C8" w:rsidR="009169E8" w:rsidRDefault="009169E8" w:rsidP="008E28A3">
      <w:pPr>
        <w:pStyle w:val="DHHSbody"/>
      </w:pPr>
      <w:r>
        <w:t>Cook et al., 2011b</w:t>
      </w:r>
    </w:p>
    <w:p w14:paraId="4EE2908E" w14:textId="77777777" w:rsidR="009169E8" w:rsidRDefault="009169E8" w:rsidP="008E28A3">
      <w:pPr>
        <w:pStyle w:val="DHHSbody"/>
      </w:pPr>
      <w:r>
        <w:t xml:space="preserve">Cornelissen &amp; </w:t>
      </w:r>
      <w:proofErr w:type="spellStart"/>
      <w:r>
        <w:t>Pitsopoulos</w:t>
      </w:r>
      <w:proofErr w:type="spellEnd"/>
      <w:r>
        <w:t>, 2019</w:t>
      </w:r>
    </w:p>
    <w:p w14:paraId="64D07CE4" w14:textId="77777777" w:rsidR="009169E8" w:rsidRPr="009169E8" w:rsidRDefault="009169E8" w:rsidP="008E28A3">
      <w:pPr>
        <w:pStyle w:val="DHHSbody"/>
        <w:rPr>
          <w:lang w:val="da-DK"/>
        </w:rPr>
      </w:pPr>
      <w:r w:rsidRPr="009169E8">
        <w:rPr>
          <w:lang w:val="da-DK"/>
        </w:rPr>
        <w:t>Dekker, 2014</w:t>
      </w:r>
    </w:p>
    <w:p w14:paraId="2D54177D" w14:textId="647DAC26" w:rsidR="009169E8" w:rsidRPr="009169E8" w:rsidRDefault="009169E8" w:rsidP="008E28A3">
      <w:pPr>
        <w:pStyle w:val="DHHSbody"/>
        <w:rPr>
          <w:lang w:val="da-DK"/>
        </w:rPr>
      </w:pPr>
      <w:r w:rsidRPr="009169E8">
        <w:rPr>
          <w:lang w:val="da-DK"/>
        </w:rPr>
        <w:t>Jones et al., 2018</w:t>
      </w:r>
    </w:p>
    <w:p w14:paraId="0E15D607" w14:textId="4442126F" w:rsidR="009169E8" w:rsidRPr="009169E8" w:rsidRDefault="009169E8" w:rsidP="008E28A3">
      <w:pPr>
        <w:pStyle w:val="DHHSbody"/>
        <w:rPr>
          <w:lang w:val="da-DK"/>
        </w:rPr>
      </w:pPr>
      <w:r w:rsidRPr="009169E8">
        <w:rPr>
          <w:lang w:val="da-DK"/>
        </w:rPr>
        <w:t>Pandit et al., 2014</w:t>
      </w:r>
    </w:p>
    <w:p w14:paraId="76C0862F" w14:textId="77777777" w:rsidR="009169E8" w:rsidRPr="009169E8" w:rsidRDefault="009169E8" w:rsidP="008E28A3">
      <w:pPr>
        <w:pStyle w:val="DHHSbody"/>
        <w:rPr>
          <w:lang w:val="da-DK"/>
        </w:rPr>
      </w:pPr>
      <w:r w:rsidRPr="009169E8">
        <w:rPr>
          <w:lang w:val="da-DK"/>
        </w:rPr>
        <w:t>Russ, et al., 2013</w:t>
      </w:r>
    </w:p>
    <w:p w14:paraId="52E8A964" w14:textId="77777777" w:rsidR="009169E8" w:rsidRPr="009169E8" w:rsidRDefault="009169E8" w:rsidP="008E28A3">
      <w:pPr>
        <w:pStyle w:val="DHHSbody"/>
        <w:rPr>
          <w:lang w:val="da-DK"/>
        </w:rPr>
      </w:pPr>
      <w:r w:rsidRPr="009169E8">
        <w:rPr>
          <w:lang w:val="da-DK"/>
        </w:rPr>
        <w:t>Sevdalis et al., 2012</w:t>
      </w:r>
    </w:p>
    <w:p w14:paraId="42B745F5" w14:textId="77777777" w:rsidR="009169E8" w:rsidRPr="009169E8" w:rsidRDefault="009169E8" w:rsidP="008E28A3">
      <w:pPr>
        <w:pStyle w:val="DHHSbody"/>
        <w:rPr>
          <w:lang w:val="da-DK"/>
        </w:rPr>
      </w:pPr>
      <w:r w:rsidRPr="009169E8">
        <w:rPr>
          <w:lang w:val="da-DK"/>
        </w:rPr>
        <w:t>Stiegler &amp; Tung, 2014</w:t>
      </w:r>
    </w:p>
    <w:p w14:paraId="0C039FAC" w14:textId="77777777" w:rsidR="009169E8" w:rsidRPr="009169E8" w:rsidRDefault="009169E8" w:rsidP="008E28A3">
      <w:pPr>
        <w:pStyle w:val="DHHSbody"/>
        <w:rPr>
          <w:lang w:val="da-DK"/>
        </w:rPr>
      </w:pPr>
      <w:r w:rsidRPr="009169E8">
        <w:rPr>
          <w:lang w:val="da-DK"/>
        </w:rPr>
        <w:lastRenderedPageBreak/>
        <w:t>VIFM Clinical Communique, March 2019</w:t>
      </w:r>
    </w:p>
    <w:p w14:paraId="021150E5" w14:textId="77777777" w:rsidR="009169E8" w:rsidRPr="009169E8" w:rsidRDefault="009169E8" w:rsidP="008E28A3">
      <w:pPr>
        <w:pStyle w:val="DHHSbody"/>
        <w:rPr>
          <w:lang w:val="da-DK"/>
        </w:rPr>
      </w:pPr>
      <w:r w:rsidRPr="009169E8">
        <w:rPr>
          <w:lang w:val="da-DK"/>
        </w:rPr>
        <w:t>Weller &amp; Merry, 2013</w:t>
      </w:r>
    </w:p>
    <w:p w14:paraId="6D5918A3" w14:textId="77777777" w:rsidR="009169E8" w:rsidRDefault="009169E8" w:rsidP="000A4644">
      <w:pPr>
        <w:pStyle w:val="Heading2"/>
      </w:pPr>
      <w:r>
        <w:t>2. THE GROWTH OF NON-OPERATING-ROOM ANAESTHESIA</w:t>
      </w:r>
    </w:p>
    <w:p w14:paraId="0E130EF2" w14:textId="77777777" w:rsidR="009169E8" w:rsidRDefault="009169E8" w:rsidP="008E28A3">
      <w:pPr>
        <w:pStyle w:val="DHHSbody"/>
      </w:pPr>
      <w:r>
        <w:t>Anaesthesia (including GA, major regional blocks, intravenous sedation and local anaesthesia with potential to cause systemic toxicity) is increasingly being provided in non-traditional locations for a growing range of non-surgical disciplines and procedures, and by a range of providers (not always anaesthetists). This broader context is not reliably covered by the current council’s voluntary reporting processes.</w:t>
      </w:r>
    </w:p>
    <w:p w14:paraId="0C310959" w14:textId="77777777" w:rsidR="009169E8" w:rsidRDefault="009169E8" w:rsidP="008E28A3">
      <w:pPr>
        <w:pStyle w:val="DHHSbody"/>
      </w:pPr>
      <w:r>
        <w:t>This rapidly changing context and growth of non</w:t>
      </w:r>
      <w:r>
        <w:rPr>
          <w:rFonts w:ascii="Cambria Math" w:hAnsi="Cambria Math" w:cs="Cambria Math"/>
        </w:rPr>
        <w:t>‑</w:t>
      </w:r>
      <w:r>
        <w:t xml:space="preserve">operating-room anaesthesia inherently brings with it new: </w:t>
      </w:r>
    </w:p>
    <w:p w14:paraId="50404DFC" w14:textId="35CA03FE" w:rsidR="009169E8" w:rsidRDefault="009169E8" w:rsidP="00E961B4">
      <w:pPr>
        <w:pStyle w:val="Bullet1"/>
      </w:pPr>
      <w:r>
        <w:t>multidisciplinary teams</w:t>
      </w:r>
    </w:p>
    <w:p w14:paraId="4DFC8E4B" w14:textId="77777777" w:rsidR="009169E8" w:rsidRDefault="009169E8" w:rsidP="00E961B4">
      <w:pPr>
        <w:pStyle w:val="Bullet1"/>
      </w:pPr>
      <w:r>
        <w:t>environments and facilities</w:t>
      </w:r>
    </w:p>
    <w:p w14:paraId="6CEBB39A" w14:textId="77777777" w:rsidR="009169E8" w:rsidRDefault="009169E8" w:rsidP="00E961B4">
      <w:pPr>
        <w:pStyle w:val="Bullet1"/>
      </w:pPr>
      <w:r>
        <w:t>workflows</w:t>
      </w:r>
    </w:p>
    <w:p w14:paraId="29560B6A" w14:textId="77777777" w:rsidR="009169E8" w:rsidRDefault="009169E8" w:rsidP="00BB165F">
      <w:pPr>
        <w:pStyle w:val="Bullet1"/>
      </w:pPr>
      <w:r>
        <w:t>clinical scenarios.</w:t>
      </w:r>
    </w:p>
    <w:p w14:paraId="6500ADB5" w14:textId="77777777" w:rsidR="009169E8" w:rsidRDefault="009169E8" w:rsidP="008E28A3">
      <w:pPr>
        <w:pStyle w:val="DHHSbody"/>
      </w:pPr>
      <w:r>
        <w:t>Risk assessment considerations around providing procedural sedation and anaesthesia in non-operating-room locations are essential, including assessment of facilities, staffing, training, equipment, workflows and emergency response needs. This includes the recovery period.</w:t>
      </w:r>
    </w:p>
    <w:p w14:paraId="6614EE8A" w14:textId="77777777" w:rsidR="009169E8" w:rsidRDefault="009169E8" w:rsidP="008E28A3">
      <w:pPr>
        <w:pStyle w:val="DHHSbody"/>
      </w:pPr>
      <w:r>
        <w:t>Council notes recent developments in this space, including:</w:t>
      </w:r>
    </w:p>
    <w:p w14:paraId="4C1012A7" w14:textId="77777777" w:rsidR="009169E8" w:rsidRDefault="009169E8" w:rsidP="00E961B4">
      <w:pPr>
        <w:pStyle w:val="Bullet1"/>
      </w:pPr>
      <w:r>
        <w:t>The Health Services (Private Hospitals and Day Procedure Centres) Amendment Regulations 2018, which came into effect on 1 July 2018 and requires that ‘anaesthesia (general anaesthesia, major regional blocks, intravenous sedation and local anaesthesia with potential to cause systemic toxicity) may only be provided in a registered hospital or day procedure centre. Dental practices must use the services of a registered mobile anaesthetic or dental sedation service if they are providing anaesthesia or intravenous sedation.’</w:t>
      </w:r>
    </w:p>
    <w:p w14:paraId="1FA86770" w14:textId="77777777" w:rsidR="009169E8" w:rsidRDefault="009169E8" w:rsidP="00BB165F">
      <w:pPr>
        <w:pStyle w:val="Bullet1"/>
      </w:pPr>
      <w:r>
        <w:t xml:space="preserve">An important ANZCA-led initiative to design and develop with stakeholders (medical, nursing and dental practitioner groups and colleges) a set of safe procedural sedation competencies that are designed to be used by all sedation practitioners and incorporated into relevant training programs (Australian and New Zealand College of </w:t>
      </w:r>
      <w:proofErr w:type="spellStart"/>
      <w:r>
        <w:t>Anaesthetsists</w:t>
      </w:r>
      <w:proofErr w:type="spellEnd"/>
      <w:r>
        <w:t>, 2019).</w:t>
      </w:r>
    </w:p>
    <w:p w14:paraId="1A94F434" w14:textId="77777777" w:rsidR="009169E8" w:rsidRDefault="009169E8" w:rsidP="00BB165F">
      <w:pPr>
        <w:pStyle w:val="Heading3"/>
      </w:pPr>
      <w:r>
        <w:t>Broader context</w:t>
      </w:r>
    </w:p>
    <w:p w14:paraId="5F69316D" w14:textId="2207EEAF" w:rsidR="009169E8" w:rsidRDefault="009169E8" w:rsidP="008E28A3">
      <w:pPr>
        <w:pStyle w:val="DHHSbody"/>
      </w:pPr>
      <w:r>
        <w:t>Rapid growth of non-operating-room anaesthesia is also gaining attention in other countries, particularly in relation to the need for greater information at a central level about the number and nature of non-operating-room anaesthesia cases (</w:t>
      </w:r>
      <w:proofErr w:type="spellStart"/>
      <w:r>
        <w:t>Nagrebetsky</w:t>
      </w:r>
      <w:proofErr w:type="spellEnd"/>
      <w:r>
        <w:t xml:space="preserve">, Gabriel, Dutton, &amp; </w:t>
      </w:r>
      <w:proofErr w:type="spellStart"/>
      <w:r>
        <w:t>Urman</w:t>
      </w:r>
      <w:proofErr w:type="spellEnd"/>
      <w:r>
        <w:t>, 2017).</w:t>
      </w:r>
    </w:p>
    <w:p w14:paraId="619A07D3" w14:textId="77777777" w:rsidR="009169E8" w:rsidRDefault="009169E8" w:rsidP="008E28A3">
      <w:pPr>
        <w:pStyle w:val="DHHSbody"/>
      </w:pPr>
      <w:r>
        <w:t>The dynamic nature of this changing context has raised concerns about the development of individual rather than standardised approaches to clinical care and the need to more accurately measure outcomes (</w:t>
      </w:r>
      <w:proofErr w:type="spellStart"/>
      <w:r>
        <w:t>Nagrebetsky</w:t>
      </w:r>
      <w:proofErr w:type="spellEnd"/>
      <w:r>
        <w:t xml:space="preserve">, Gabriel, Dutton, &amp; </w:t>
      </w:r>
      <w:proofErr w:type="spellStart"/>
      <w:r>
        <w:t>Urman</w:t>
      </w:r>
      <w:proofErr w:type="spellEnd"/>
      <w:r>
        <w:t>, 2017).</w:t>
      </w:r>
    </w:p>
    <w:p w14:paraId="6D2B12B3" w14:textId="77777777" w:rsidR="009169E8" w:rsidRDefault="009169E8" w:rsidP="00BB165F">
      <w:pPr>
        <w:pStyle w:val="Heading3"/>
      </w:pPr>
      <w:r>
        <w:t>An opportunity moving forward</w:t>
      </w:r>
    </w:p>
    <w:p w14:paraId="28795032" w14:textId="77777777" w:rsidR="009169E8" w:rsidRDefault="009169E8" w:rsidP="008E28A3">
      <w:pPr>
        <w:pStyle w:val="DHHSbody"/>
      </w:pPr>
      <w:r>
        <w:t>Monitoring and assessing anaesthesia-related outcomes in the broader and rapidly growing context of non-operating-room anaesthesia and procedural sedation is an integral part of an evolving governance approach to a changing context.</w:t>
      </w:r>
    </w:p>
    <w:p w14:paraId="510648AF" w14:textId="77777777" w:rsidR="009169E8" w:rsidRDefault="009169E8" w:rsidP="00BB165F">
      <w:pPr>
        <w:pStyle w:val="Heading3"/>
      </w:pPr>
      <w:r>
        <w:t>References</w:t>
      </w:r>
    </w:p>
    <w:p w14:paraId="791F3617" w14:textId="77777777" w:rsidR="009169E8" w:rsidRDefault="009169E8" w:rsidP="008E28A3">
      <w:pPr>
        <w:pStyle w:val="DHHSbody"/>
      </w:pPr>
      <w:r>
        <w:t xml:space="preserve">Australian and New Zealand College of </w:t>
      </w:r>
      <w:proofErr w:type="spellStart"/>
      <w:r>
        <w:t>Anaesthetsists</w:t>
      </w:r>
      <w:proofErr w:type="spellEnd"/>
      <w:r>
        <w:t>, 2019</w:t>
      </w:r>
    </w:p>
    <w:p w14:paraId="3D6B0C5D" w14:textId="77777777" w:rsidR="009169E8" w:rsidRDefault="009169E8" w:rsidP="008E28A3">
      <w:pPr>
        <w:pStyle w:val="DHHSbody"/>
      </w:pPr>
      <w:r>
        <w:t>Health Services (Private Hospitals and Day Procedure Centres) Amendment Regulations 2018</w:t>
      </w:r>
    </w:p>
    <w:p w14:paraId="4EC616F0" w14:textId="77777777" w:rsidR="009169E8" w:rsidRDefault="009169E8" w:rsidP="008E28A3">
      <w:pPr>
        <w:pStyle w:val="DHHSbody"/>
      </w:pPr>
      <w:proofErr w:type="spellStart"/>
      <w:r>
        <w:t>Nagrebetsky</w:t>
      </w:r>
      <w:proofErr w:type="spellEnd"/>
      <w:r>
        <w:t xml:space="preserve"> et al., 2017</w:t>
      </w:r>
    </w:p>
    <w:p w14:paraId="206AD626" w14:textId="77777777" w:rsidR="009169E8" w:rsidRDefault="009169E8" w:rsidP="000A4644">
      <w:pPr>
        <w:pStyle w:val="Heading2"/>
      </w:pPr>
      <w:r>
        <w:lastRenderedPageBreak/>
        <w:t>3. THE VALUE OF MULTIDISCIPLINARY SHARED DECISION MAKING IN PERIOPERATIVE CARE</w:t>
      </w:r>
    </w:p>
    <w:p w14:paraId="3DA624EE" w14:textId="77777777" w:rsidR="009169E8" w:rsidRDefault="009169E8" w:rsidP="00BB165F">
      <w:pPr>
        <w:pStyle w:val="Heading3"/>
      </w:pPr>
      <w:r>
        <w:t>This triennium (2015–2017)</w:t>
      </w:r>
    </w:p>
    <w:p w14:paraId="29E38FFC" w14:textId="77777777" w:rsidR="009169E8" w:rsidRDefault="009169E8" w:rsidP="008E28A3">
      <w:pPr>
        <w:pStyle w:val="DHHSbody"/>
      </w:pPr>
      <w:r>
        <w:t>Patients with complex medical problems presenting for elective or emergency surgery have become an increasingly common scenario, presenting significant challenges for patients and their families, as well as clinicians. This was strongly reflected this triennium in cases classified as category 3 (medical/surgical and anaesthesia factors identified) and category 5 (inevitable deaths).</w:t>
      </w:r>
    </w:p>
    <w:p w14:paraId="1A178201" w14:textId="255C6706" w:rsidR="009169E8" w:rsidRDefault="009169E8" w:rsidP="008E28A3">
      <w:pPr>
        <w:pStyle w:val="DHHSbody"/>
      </w:pPr>
      <w:r>
        <w:t>Multidisciplinary preoperative assessment by senior clinicians can help inform discussions with patients (and their families or carers) about perioperative risks, treatment options and patient goals of care, helping optimise individual care plans and outcomes, and avoiding futile interventions.</w:t>
      </w:r>
    </w:p>
    <w:p w14:paraId="12E31078" w14:textId="77777777" w:rsidR="009169E8" w:rsidRDefault="009169E8" w:rsidP="008E28A3">
      <w:pPr>
        <w:pStyle w:val="DHHSbody"/>
      </w:pPr>
      <w:r>
        <w:t>Decision making is more difficult in the intraoperative and early postoperative period when such conversations have not occurred or been clearly documented and a patient’s condition rapidly deteriorates.</w:t>
      </w:r>
    </w:p>
    <w:p w14:paraId="2BFB9699" w14:textId="77777777" w:rsidR="009169E8" w:rsidRDefault="009169E8" w:rsidP="00BB165F">
      <w:pPr>
        <w:pStyle w:val="Heading3"/>
      </w:pPr>
      <w:r>
        <w:t>Broader context</w:t>
      </w:r>
    </w:p>
    <w:p w14:paraId="6DCD3E9A" w14:textId="2CE6F7DE" w:rsidR="009169E8" w:rsidRDefault="009169E8" w:rsidP="008E28A3">
      <w:pPr>
        <w:pStyle w:val="DHHSbody"/>
      </w:pPr>
      <w:r>
        <w:t xml:space="preserve">The concept of multidisciplinary shared decision making in health care has been gaining support (Barry &amp; </w:t>
      </w:r>
      <w:proofErr w:type="spellStart"/>
      <w:r>
        <w:t>Edgman</w:t>
      </w:r>
      <w:proofErr w:type="spellEnd"/>
      <w:r>
        <w:t xml:space="preserve">-Levitan, 2012; Austin, </w:t>
      </w:r>
      <w:proofErr w:type="spellStart"/>
      <w:r>
        <w:t>Mohotige</w:t>
      </w:r>
      <w:proofErr w:type="spellEnd"/>
      <w:r>
        <w:t xml:space="preserve">, </w:t>
      </w:r>
      <w:proofErr w:type="spellStart"/>
      <w:r>
        <w:t>Sudore</w:t>
      </w:r>
      <w:proofErr w:type="spellEnd"/>
      <w:r>
        <w:t>, Smith, &amp; Hanson, 2015).</w:t>
      </w:r>
    </w:p>
    <w:p w14:paraId="33BFCCD3" w14:textId="03555049" w:rsidR="000B3C47" w:rsidRDefault="000B3C47" w:rsidP="008E28A3">
      <w:pPr>
        <w:pStyle w:val="DHHSbody"/>
      </w:pPr>
      <w:r w:rsidRPr="000B3C47">
        <w:t>[Break out box text:</w:t>
      </w:r>
    </w:p>
    <w:p w14:paraId="3C5DE4F5" w14:textId="77777777" w:rsidR="000B3C47" w:rsidRDefault="000B3C47" w:rsidP="000B3C47">
      <w:pPr>
        <w:pStyle w:val="DHHSbody"/>
      </w:pPr>
      <w:r>
        <w:t xml:space="preserve">‘Health decisions often have no single ‘best choice’ and require choosing from multiple options, each with potential benefits, harms, </w:t>
      </w:r>
      <w:proofErr w:type="spellStart"/>
      <w:r>
        <w:t>trade offs</w:t>
      </w:r>
      <w:proofErr w:type="spellEnd"/>
      <w:r>
        <w:t xml:space="preserve"> and uncertainties. For patients (and carers) to understand and have the opportunity to be actively involved in sharing decisions, clinicians need to provide relevant and clear information about the options, and the potential benefits and harms of each. This information should reflect the best available evidence </w:t>
      </w:r>
      <w:proofErr w:type="gramStart"/>
      <w:r>
        <w:t>and also</w:t>
      </w:r>
      <w:proofErr w:type="gramEnd"/>
      <w:r>
        <w:t xml:space="preserve"> take into account the patient’s personal opinions, preferences, values and priorities.’</w:t>
      </w:r>
    </w:p>
    <w:p w14:paraId="7AF5A23D" w14:textId="07A63D70" w:rsidR="000B3C47" w:rsidRDefault="000B3C47" w:rsidP="000B3C47">
      <w:pPr>
        <w:pStyle w:val="DHHSbody"/>
      </w:pPr>
      <w:r>
        <w:t>Ref</w:t>
      </w:r>
      <w:r w:rsidR="00067983">
        <w:t xml:space="preserve">erenced from an </w:t>
      </w:r>
      <w:hyperlink r:id="rId24" w:history="1">
        <w:r w:rsidR="00067983" w:rsidRPr="00067983">
          <w:rPr>
            <w:rStyle w:val="Hyperlink"/>
            <w:color w:val="0063A5"/>
            <w:u w:val="single"/>
          </w:rPr>
          <w:t>Australian Commission on Safety and Quality in Health Care web page</w:t>
        </w:r>
      </w:hyperlink>
      <w:r w:rsidR="00067983" w:rsidRPr="00067983">
        <w:rPr>
          <w:color w:val="0063A5"/>
        </w:rPr>
        <w:t xml:space="preserve"> </w:t>
      </w:r>
      <w:r>
        <w:t>&lt;https://contenttest.learningseat.com/safetyandquality/part1/shell.html&gt;</w:t>
      </w:r>
    </w:p>
    <w:p w14:paraId="72752B0D" w14:textId="4CFD4FB0" w:rsidR="009169E8" w:rsidRDefault="000B3C47" w:rsidP="008E28A3">
      <w:pPr>
        <w:pStyle w:val="DHHSbody"/>
      </w:pPr>
      <w:r w:rsidRPr="000B3C47">
        <w:t>End of break out box text.]</w:t>
      </w:r>
    </w:p>
    <w:p w14:paraId="14017BC0" w14:textId="77777777" w:rsidR="009169E8" w:rsidRDefault="009169E8" w:rsidP="008E28A3">
      <w:pPr>
        <w:pStyle w:val="DHHSbody"/>
      </w:pPr>
      <w:r>
        <w:t>This is becoming increasingly relevant to perioperative care as chronic illnesses increase in the population (Australian Bureau of Statistics, 2018) and older patients present for elective and emergency surgery with complex comorbidities.</w:t>
      </w:r>
    </w:p>
    <w:p w14:paraId="17F52921" w14:textId="77777777" w:rsidR="009169E8" w:rsidRDefault="009169E8" w:rsidP="00BB165F">
      <w:pPr>
        <w:pStyle w:val="Heading3"/>
      </w:pPr>
      <w:r>
        <w:t>Key messages</w:t>
      </w:r>
    </w:p>
    <w:p w14:paraId="33378931" w14:textId="77777777" w:rsidR="009169E8" w:rsidRDefault="009169E8" w:rsidP="00E961B4">
      <w:pPr>
        <w:pStyle w:val="Bullet1"/>
      </w:pPr>
      <w:r>
        <w:t>Good communication between teams and with patients, their families or carers is vital to effective coordination of perioperative care.</w:t>
      </w:r>
    </w:p>
    <w:p w14:paraId="7496EB19" w14:textId="77777777" w:rsidR="009169E8" w:rsidRDefault="009169E8" w:rsidP="00E961B4">
      <w:pPr>
        <w:pStyle w:val="Bullet1"/>
      </w:pPr>
      <w:r>
        <w:t>Patients with complex comorbidities benefit from experienced multidisciplinary perioperative care planning.</w:t>
      </w:r>
    </w:p>
    <w:p w14:paraId="5CC6172A" w14:textId="64E9148A" w:rsidR="009169E8" w:rsidRDefault="009169E8" w:rsidP="00BB165F">
      <w:pPr>
        <w:pStyle w:val="Bullet1"/>
      </w:pPr>
      <w:r>
        <w:t>Multidisciplinary discussion facilitates informed risk-benefit assessments regarding treatment options, timing of surgery, preoperative planning and optimisation and coordination of postoperative care.</w:t>
      </w:r>
    </w:p>
    <w:p w14:paraId="0B13ED95" w14:textId="77777777" w:rsidR="009169E8" w:rsidRDefault="009169E8" w:rsidP="00BB165F">
      <w:pPr>
        <w:pStyle w:val="Heading3"/>
      </w:pPr>
      <w:r>
        <w:t>The clinical themes explored</w:t>
      </w:r>
    </w:p>
    <w:p w14:paraId="168E17C4" w14:textId="77777777" w:rsidR="009169E8" w:rsidRDefault="009169E8" w:rsidP="00F11623">
      <w:pPr>
        <w:pStyle w:val="Heading4"/>
      </w:pPr>
      <w:r>
        <w:t>Opportunities moving forward</w:t>
      </w:r>
    </w:p>
    <w:p w14:paraId="64327B3D" w14:textId="5CC5D749" w:rsidR="009169E8" w:rsidRDefault="009169E8" w:rsidP="008E28A3">
      <w:pPr>
        <w:pStyle w:val="DHHSbody"/>
      </w:pPr>
      <w:r>
        <w:t>There is a need to explore with Victorian hospitals how systems and processes can be implemented to better support perioperative, multidisciplinary and informed shared decision making for surgical patients with complex medical problems, particularly the elderly. Key aspects include:</w:t>
      </w:r>
    </w:p>
    <w:p w14:paraId="7FAEC679" w14:textId="77777777" w:rsidR="009169E8" w:rsidRDefault="009169E8" w:rsidP="00E961B4">
      <w:pPr>
        <w:pStyle w:val="Bullet1"/>
      </w:pPr>
      <w:r>
        <w:t>senior level, multidisciplinary preoperative assessments and discussions that explore patients’ wishes and goals of care</w:t>
      </w:r>
    </w:p>
    <w:p w14:paraId="6F00FEB3" w14:textId="77777777" w:rsidR="009169E8" w:rsidRDefault="009169E8" w:rsidP="00E961B4">
      <w:pPr>
        <w:pStyle w:val="Bullet1"/>
      </w:pPr>
      <w:r>
        <w:t>support for patients (and their families or carers) to effectively participate in these discussions</w:t>
      </w:r>
    </w:p>
    <w:p w14:paraId="143804DA" w14:textId="77777777" w:rsidR="009169E8" w:rsidRDefault="009169E8" w:rsidP="00E961B4">
      <w:pPr>
        <w:pStyle w:val="Bullet1"/>
      </w:pPr>
      <w:r>
        <w:t>ensuring goals of care discussions are appropriately documented, updated and communicated to clinicians involved in the patient’s care</w:t>
      </w:r>
    </w:p>
    <w:p w14:paraId="441EE15B" w14:textId="77777777" w:rsidR="009169E8" w:rsidRDefault="009169E8" w:rsidP="00E961B4">
      <w:pPr>
        <w:pStyle w:val="Bullet1"/>
      </w:pPr>
      <w:r>
        <w:lastRenderedPageBreak/>
        <w:t>monitoring the efficacy of these discussions in meeting goals of care and reducing futile interventions</w:t>
      </w:r>
    </w:p>
    <w:p w14:paraId="6FB848CE" w14:textId="77777777" w:rsidR="009169E8" w:rsidRDefault="009169E8" w:rsidP="00BB165F">
      <w:pPr>
        <w:pStyle w:val="Bullet1"/>
      </w:pPr>
      <w:r>
        <w:t>creating training programs that support junior medical staff in developing relevant skills.</w:t>
      </w:r>
    </w:p>
    <w:p w14:paraId="0BCE047F" w14:textId="77777777" w:rsidR="009169E8" w:rsidRDefault="009169E8" w:rsidP="00BB165F">
      <w:pPr>
        <w:pStyle w:val="Heading3"/>
      </w:pPr>
      <w:r>
        <w:t>References and resources</w:t>
      </w:r>
    </w:p>
    <w:p w14:paraId="798F20C6" w14:textId="77777777" w:rsidR="009169E8" w:rsidRDefault="009169E8" w:rsidP="008E28A3">
      <w:pPr>
        <w:pStyle w:val="DHHSbody"/>
      </w:pPr>
      <w:r>
        <w:t>Austin et al., 2015</w:t>
      </w:r>
    </w:p>
    <w:p w14:paraId="02E94551" w14:textId="77777777" w:rsidR="009169E8" w:rsidRDefault="009169E8" w:rsidP="008E28A3">
      <w:pPr>
        <w:pStyle w:val="DHHSbody"/>
      </w:pPr>
      <w:r>
        <w:t xml:space="preserve">Barry &amp; </w:t>
      </w:r>
      <w:proofErr w:type="spellStart"/>
      <w:r>
        <w:t>Edgman</w:t>
      </w:r>
      <w:proofErr w:type="spellEnd"/>
      <w:r>
        <w:t>-Levitan, 2012</w:t>
      </w:r>
    </w:p>
    <w:p w14:paraId="4A14F1CB" w14:textId="77777777" w:rsidR="009169E8" w:rsidRDefault="009169E8" w:rsidP="008E28A3">
      <w:pPr>
        <w:pStyle w:val="DHHSbody"/>
      </w:pPr>
      <w:r>
        <w:t>Thomas et al., 2014</w:t>
      </w:r>
    </w:p>
    <w:p w14:paraId="208CC986" w14:textId="2CE0ED9A" w:rsidR="009169E8" w:rsidRDefault="009169E8" w:rsidP="008E28A3">
      <w:pPr>
        <w:pStyle w:val="DHHSbody"/>
      </w:pPr>
      <w:r>
        <w:t>Australian Commission on Safety and Quality in Health Care, 2015</w:t>
      </w:r>
    </w:p>
    <w:p w14:paraId="46739C6E" w14:textId="4C07FDDE" w:rsidR="009169E8" w:rsidRDefault="009169E8" w:rsidP="008E28A3">
      <w:pPr>
        <w:pStyle w:val="DHHSbody"/>
      </w:pPr>
      <w:r>
        <w:t>ACSQHC – https://www.safetyandquality.gov.au/our-work/partnering-consumers/shared-decision-making</w:t>
      </w:r>
    </w:p>
    <w:p w14:paraId="5C44F7C2" w14:textId="48597397" w:rsidR="009169E8" w:rsidRDefault="009169E8" w:rsidP="000104F5">
      <w:pPr>
        <w:pStyle w:val="Heading1"/>
      </w:pPr>
      <w:bookmarkStart w:id="12" w:name="_Toc20234281"/>
      <w:r>
        <w:lastRenderedPageBreak/>
        <w:t>Airway and respiratory events</w:t>
      </w:r>
      <w:bookmarkEnd w:id="12"/>
    </w:p>
    <w:p w14:paraId="5A6EE27B" w14:textId="77777777" w:rsidR="009169E8" w:rsidRDefault="009169E8" w:rsidP="000A4644">
      <w:pPr>
        <w:pStyle w:val="Heading2"/>
      </w:pPr>
      <w:r>
        <w:t>BACKGROUND</w:t>
      </w:r>
    </w:p>
    <w:p w14:paraId="6AF3716E" w14:textId="2AB43841" w:rsidR="009169E8" w:rsidRDefault="009169E8" w:rsidP="008E28A3">
      <w:pPr>
        <w:pStyle w:val="DHHSbody"/>
      </w:pPr>
      <w:r>
        <w:t xml:space="preserve">Expertise in airway management is a cornerstone of anaesthetic practice. With improvements in anaesthesia safety, major airway management complications are now rare (Cook, Woodall, &amp; </w:t>
      </w:r>
      <w:proofErr w:type="spellStart"/>
      <w:r>
        <w:t>Frerk</w:t>
      </w:r>
      <w:proofErr w:type="spellEnd"/>
      <w:r>
        <w:t>, 2011b). However, when they do occur, such events are potentially life threatening and require rapid assessment and intervention.</w:t>
      </w:r>
    </w:p>
    <w:p w14:paraId="1853869E" w14:textId="5EDEEBA1" w:rsidR="009169E8" w:rsidRDefault="009169E8" w:rsidP="000A4644">
      <w:pPr>
        <w:pStyle w:val="Heading2"/>
      </w:pPr>
      <w:r>
        <w:t>THIS TRIENNIUM (2015–2017)</w:t>
      </w:r>
    </w:p>
    <w:p w14:paraId="57602667" w14:textId="77777777" w:rsidR="009169E8" w:rsidRDefault="009169E8" w:rsidP="00BB165F">
      <w:pPr>
        <w:pStyle w:val="Heading3"/>
      </w:pPr>
      <w:r>
        <w:t>Airway events</w:t>
      </w:r>
    </w:p>
    <w:p w14:paraId="1EAE1071" w14:textId="77777777" w:rsidR="009169E8" w:rsidRDefault="009169E8" w:rsidP="008E28A3">
      <w:pPr>
        <w:pStyle w:val="DHHSbody"/>
      </w:pPr>
      <w:r>
        <w:t>Airway events formed the largest group of events deemed definitely or probably preventable this triennium.</w:t>
      </w:r>
    </w:p>
    <w:p w14:paraId="16B97C6B" w14:textId="29026D69" w:rsidR="009169E8" w:rsidRDefault="009169E8" w:rsidP="008E28A3">
      <w:pPr>
        <w:pStyle w:val="DHHSbody"/>
      </w:pPr>
      <w:r>
        <w:t>The council classified nine cases primarily as anaesthesia-related airway events (categories 1–3), including two mortality events and seven morbidity events.</w:t>
      </w:r>
    </w:p>
    <w:p w14:paraId="64E6E5A4" w14:textId="77777777" w:rsidR="009169E8" w:rsidRDefault="009169E8" w:rsidP="008E28A3">
      <w:pPr>
        <w:pStyle w:val="DHHSbody"/>
      </w:pPr>
      <w:r>
        <w:rPr>
          <w:spacing w:val="-2"/>
        </w:rPr>
        <w:t xml:space="preserve">Most airway events were unexpected and occurred in the context of emergency procedures (six cases), </w:t>
      </w:r>
      <w:r>
        <w:t>including when providing emergency airway assistance. All occurred in adults. Two patients required an emergency surgical airway.</w:t>
      </w:r>
    </w:p>
    <w:p w14:paraId="0904BD71" w14:textId="77777777" w:rsidR="009169E8" w:rsidRDefault="009169E8" w:rsidP="008E28A3">
      <w:pPr>
        <w:pStyle w:val="DHHSbody"/>
      </w:pPr>
      <w:r>
        <w:t>Airway-related issues included (noting some events included more than one issue):</w:t>
      </w:r>
    </w:p>
    <w:p w14:paraId="15E44B01" w14:textId="77777777" w:rsidR="009169E8" w:rsidRDefault="009169E8" w:rsidP="00E961B4">
      <w:pPr>
        <w:pStyle w:val="Bullet1"/>
      </w:pPr>
      <w:r>
        <w:t>two suspected oesophageal intubations in the context of cardiac arrest, with return of spontaneous circulation after reintubation</w:t>
      </w:r>
    </w:p>
    <w:p w14:paraId="721E2C9E" w14:textId="77777777" w:rsidR="009169E8" w:rsidRDefault="009169E8" w:rsidP="00E961B4">
      <w:pPr>
        <w:pStyle w:val="Bullet1"/>
      </w:pPr>
      <w:r>
        <w:t>two intraoperative ETT dislodgements requiring emergency reintubation, one in the context of a known difficult airway and one in a prone patient</w:t>
      </w:r>
    </w:p>
    <w:p w14:paraId="0AA29FA4" w14:textId="77777777" w:rsidR="009169E8" w:rsidRDefault="009169E8" w:rsidP="00E961B4">
      <w:pPr>
        <w:pStyle w:val="Bullet1"/>
      </w:pPr>
      <w:r>
        <w:t>two episodes of suspected laryngospasm requiring intubation (one during a procedure under sedation, the other post-</w:t>
      </w:r>
      <w:proofErr w:type="spellStart"/>
      <w:r>
        <w:t>extubation</w:t>
      </w:r>
      <w:proofErr w:type="spellEnd"/>
      <w:r>
        <w:t>)</w:t>
      </w:r>
    </w:p>
    <w:p w14:paraId="1BD2FBF8" w14:textId="77777777" w:rsidR="009169E8" w:rsidRDefault="009169E8" w:rsidP="00E961B4">
      <w:pPr>
        <w:pStyle w:val="Bullet1"/>
      </w:pPr>
      <w:r>
        <w:t>endobronchial intubation following a difficult intubation</w:t>
      </w:r>
    </w:p>
    <w:p w14:paraId="08192513" w14:textId="77777777" w:rsidR="009169E8" w:rsidRDefault="009169E8" w:rsidP="00E961B4">
      <w:pPr>
        <w:pStyle w:val="Bullet1"/>
      </w:pPr>
      <w:r>
        <w:t xml:space="preserve">a retained throat pack presenting as respiratory distress after </w:t>
      </w:r>
      <w:proofErr w:type="spellStart"/>
      <w:r>
        <w:t>extubation</w:t>
      </w:r>
      <w:proofErr w:type="spellEnd"/>
    </w:p>
    <w:p w14:paraId="47B0046C" w14:textId="77777777" w:rsidR="009169E8" w:rsidRDefault="009169E8" w:rsidP="00BB165F">
      <w:pPr>
        <w:pStyle w:val="Bullet1"/>
      </w:pPr>
      <w:r>
        <w:t>a vocal cord problem after uneventful GA with an ETT.</w:t>
      </w:r>
    </w:p>
    <w:p w14:paraId="46A677C1" w14:textId="77777777" w:rsidR="009169E8" w:rsidRDefault="009169E8" w:rsidP="008E28A3">
      <w:pPr>
        <w:pStyle w:val="DHHSbody"/>
      </w:pPr>
      <w:r>
        <w:t>Airway-related issues also occurred in cases not primarily classified as airway events, including:</w:t>
      </w:r>
    </w:p>
    <w:p w14:paraId="7B4CFCC1" w14:textId="77777777" w:rsidR="009169E8" w:rsidRDefault="009169E8" w:rsidP="00E961B4">
      <w:pPr>
        <w:pStyle w:val="Bullet1"/>
      </w:pPr>
      <w:r>
        <w:t>difficult intubation while managing suspected anaphylaxis</w:t>
      </w:r>
    </w:p>
    <w:p w14:paraId="5389698E" w14:textId="5D2C1A87" w:rsidR="009169E8" w:rsidRDefault="009169E8" w:rsidP="00BB165F">
      <w:pPr>
        <w:pStyle w:val="Bullet1"/>
      </w:pPr>
      <w:r>
        <w:t>ETT dislodgement after intubation for a cardiac arrest at the end of a procedure.</w:t>
      </w:r>
    </w:p>
    <w:p w14:paraId="59A346B9" w14:textId="77777777" w:rsidR="009169E8" w:rsidRDefault="009169E8" w:rsidP="008E28A3">
      <w:pPr>
        <w:pStyle w:val="DHHSbody"/>
      </w:pPr>
      <w:r>
        <w:t>These events underscore the important roles of training, planning, preparation (including assessment of required skills, experience, expertise) and team communication during anticipated difficult airway management. But they also emphasise the importance of being prepared for an unexpected airway emergency when anaesthesia is administered, even when sedation is planned.</w:t>
      </w:r>
    </w:p>
    <w:p w14:paraId="67DD14C0" w14:textId="00028E87" w:rsidR="009169E8" w:rsidRDefault="009169E8" w:rsidP="008E28A3">
      <w:pPr>
        <w:pStyle w:val="DHHSbody"/>
      </w:pPr>
      <w:r>
        <w:t>Suspected oesophageal intubations and intraoperative ETT dislodgements highlight the importance of end-tidal carbon dioxide (ET CO</w:t>
      </w:r>
      <w:r>
        <w:rPr>
          <w:vertAlign w:val="subscript"/>
        </w:rPr>
        <w:t>2</w:t>
      </w:r>
      <w:r>
        <w:t>) monitoring and interpretation, and the value of systematic approaches to assessing problems with oxygenation and ventilation.</w:t>
      </w:r>
    </w:p>
    <w:p w14:paraId="2771F905" w14:textId="77777777" w:rsidR="009169E8" w:rsidRDefault="009169E8" w:rsidP="008E28A3">
      <w:pPr>
        <w:pStyle w:val="DHHSbody"/>
      </w:pPr>
      <w:r>
        <w:t>Several cases were also reviewed this triennium where challenging airway management proceeded without adverse event, with specific actions identified that contributed to a good outcome. Learning points from these cases are included in this section’s key messages and practice points.</w:t>
      </w:r>
    </w:p>
    <w:p w14:paraId="569A0629" w14:textId="77777777" w:rsidR="009169E8" w:rsidRDefault="009169E8" w:rsidP="00BB165F">
      <w:pPr>
        <w:pStyle w:val="Heading3"/>
      </w:pPr>
      <w:r>
        <w:t>Respiratory events</w:t>
      </w:r>
    </w:p>
    <w:p w14:paraId="6DEB3F8A" w14:textId="7D229094" w:rsidR="009169E8" w:rsidRDefault="009169E8" w:rsidP="008E28A3">
      <w:pPr>
        <w:pStyle w:val="DHHSbody"/>
      </w:pPr>
      <w:r>
        <w:t>The council classified 13 cases primarily as anaesthesia-related respiratory events (categories 1–3), including nine mortality events and four morbidity events. Nine of the events occurred in the context of emergency procedures. Aspiration events are explored in more detail in the next subsection.</w:t>
      </w:r>
    </w:p>
    <w:p w14:paraId="74F17981" w14:textId="77777777" w:rsidR="009169E8" w:rsidRDefault="009169E8" w:rsidP="008E28A3">
      <w:pPr>
        <w:pStyle w:val="DHHSbody"/>
      </w:pPr>
      <w:r>
        <w:t>Respiratory events included:</w:t>
      </w:r>
    </w:p>
    <w:p w14:paraId="6ECF4B1D" w14:textId="77777777" w:rsidR="009169E8" w:rsidRDefault="009169E8" w:rsidP="00E961B4">
      <w:pPr>
        <w:pStyle w:val="Bullet1"/>
      </w:pPr>
      <w:r>
        <w:t>five intraoperative aspiration events (four mortality cases and one morbidity case)</w:t>
      </w:r>
    </w:p>
    <w:p w14:paraId="21817E1D" w14:textId="77777777" w:rsidR="009169E8" w:rsidRDefault="009169E8" w:rsidP="00E961B4">
      <w:pPr>
        <w:pStyle w:val="Bullet1"/>
      </w:pPr>
      <w:r>
        <w:lastRenderedPageBreak/>
        <w:t>two cases of early postoperative respiratory failure (one requiring reintubation) where the possibility of aspiration was suspected but not confirmed – one after spinal anaesthesia block and one after GA</w:t>
      </w:r>
    </w:p>
    <w:p w14:paraId="7FCFEBA2" w14:textId="77777777" w:rsidR="009169E8" w:rsidRDefault="009169E8" w:rsidP="00E961B4">
      <w:pPr>
        <w:pStyle w:val="Bullet1"/>
      </w:pPr>
      <w:r>
        <w:t>difficult ventilation in a morbidly obese patient undergoing a laparoscopic procedure with improvement after pneumoperitoneum release</w:t>
      </w:r>
    </w:p>
    <w:p w14:paraId="668FA288" w14:textId="77777777" w:rsidR="009169E8" w:rsidRDefault="009169E8" w:rsidP="00E961B4">
      <w:pPr>
        <w:pStyle w:val="Bullet1"/>
      </w:pPr>
      <w:r>
        <w:t>two cases involving pneumothorax:</w:t>
      </w:r>
    </w:p>
    <w:p w14:paraId="2F5B1ED6" w14:textId="708CC834" w:rsidR="009169E8" w:rsidRDefault="009169E8" w:rsidP="00437381">
      <w:pPr>
        <w:pStyle w:val="Bullet2"/>
      </w:pPr>
      <w:r>
        <w:t>one presenting as hypotension and desaturation progressing to cardiac arrest in an obese patient during GA for a surgical procedure with a known associated risk of pneumothorax</w:t>
      </w:r>
    </w:p>
    <w:p w14:paraId="55BAD301" w14:textId="0BEEA88B" w:rsidR="009169E8" w:rsidRDefault="009169E8" w:rsidP="00437381">
      <w:pPr>
        <w:pStyle w:val="Bullet2"/>
      </w:pPr>
      <w:r>
        <w:t>the other presenting as deterioration with hypotension (but no respiratory symptoms) in the PACU in an elderly patient with emphysema after GA</w:t>
      </w:r>
    </w:p>
    <w:p w14:paraId="7B3DB057" w14:textId="77777777" w:rsidR="009169E8" w:rsidRDefault="009169E8" w:rsidP="00E961B4">
      <w:pPr>
        <w:pStyle w:val="Bullet1"/>
      </w:pPr>
      <w:r>
        <w:t>one case of hypoxia due to sputum plugging, requiring reintubation in the PACU</w:t>
      </w:r>
    </w:p>
    <w:p w14:paraId="08A2F7CA" w14:textId="77777777" w:rsidR="009169E8" w:rsidRDefault="009169E8" w:rsidP="00E961B4">
      <w:pPr>
        <w:pStyle w:val="Bullet1"/>
      </w:pPr>
      <w:r>
        <w:t>apnoea in an obese patient after GA requiring admission to and intensive care unit (ICU) and non-invasive ventilation for suspected central hypoventilation syndrome</w:t>
      </w:r>
    </w:p>
    <w:p w14:paraId="6F08AF5C" w14:textId="77777777" w:rsidR="009169E8" w:rsidRDefault="009169E8" w:rsidP="00BB165F">
      <w:pPr>
        <w:pStyle w:val="Bullet1"/>
      </w:pPr>
      <w:r>
        <w:t>one case of acute pulmonary oedema requiring immediate postoperative reintubation.</w:t>
      </w:r>
    </w:p>
    <w:p w14:paraId="15165F52" w14:textId="77777777" w:rsidR="009169E8" w:rsidRDefault="009169E8" w:rsidP="000A4644">
      <w:pPr>
        <w:pStyle w:val="Heading2"/>
      </w:pPr>
      <w:r>
        <w:t>KEY MESSAGES FROM AIRWAY AND RESPIRATORY EVENTS</w:t>
      </w:r>
    </w:p>
    <w:p w14:paraId="1653927A" w14:textId="32117F2B" w:rsidR="009169E8" w:rsidRDefault="009169E8" w:rsidP="00E961B4">
      <w:pPr>
        <w:pStyle w:val="Bullet1"/>
      </w:pPr>
      <w:r>
        <w:t>Planning and preparation are critical in airway management. This includes having strategies for managing unexpected difficult airways, evolving airway obstruction, transitioning to a ‘can’t intubate, can’t oxygenate’ (CICO) emergency and front of neck rescue.</w:t>
      </w:r>
    </w:p>
    <w:p w14:paraId="1F2702F3" w14:textId="6448708E" w:rsidR="009169E8" w:rsidRDefault="009169E8" w:rsidP="00E961B4">
      <w:pPr>
        <w:pStyle w:val="Bullet1"/>
      </w:pPr>
      <w:r>
        <w:t>Absence or loss of ET CO</w:t>
      </w:r>
      <w:r>
        <w:rPr>
          <w:vertAlign w:val="subscript"/>
        </w:rPr>
        <w:t>2</w:t>
      </w:r>
      <w:r>
        <w:t xml:space="preserve"> in an intubated patient should always prompt an immediate reassessment of ETT position to exclude malposition, dislodgement or obstruction, including in the context of concurrent cardiac arrest.</w:t>
      </w:r>
    </w:p>
    <w:p w14:paraId="36A8F9B2" w14:textId="4A12F2EB" w:rsidR="009169E8" w:rsidRDefault="009169E8" w:rsidP="00BB165F">
      <w:pPr>
        <w:pStyle w:val="Bullet1"/>
      </w:pPr>
      <w:r>
        <w:t>A systematic approach to assessing intraoperative oxygenation and ventilation problems can help identify an unsuspected cause quickly.</w:t>
      </w:r>
    </w:p>
    <w:p w14:paraId="0B7FFE34" w14:textId="77777777" w:rsidR="009169E8" w:rsidRDefault="009169E8" w:rsidP="000A4644">
      <w:pPr>
        <w:pStyle w:val="Heading2"/>
      </w:pPr>
      <w:r>
        <w:t>PRACTICE POINTS HIGHLIGHTED BY AIRWAY AND RESPIRATORY EVENTS</w:t>
      </w:r>
    </w:p>
    <w:p w14:paraId="4847D0E1" w14:textId="53FDFA76" w:rsidR="009169E8" w:rsidRDefault="009169E8" w:rsidP="00BB165F">
      <w:pPr>
        <w:pStyle w:val="Heading3"/>
      </w:pPr>
      <w:r>
        <w:t>Assess the airway of all patients presenting for anaesthesia</w:t>
      </w:r>
    </w:p>
    <w:p w14:paraId="0625263A" w14:textId="77777777" w:rsidR="009169E8" w:rsidRDefault="009169E8" w:rsidP="00E961B4">
      <w:pPr>
        <w:pStyle w:val="Bullet1"/>
      </w:pPr>
      <w:r>
        <w:t>Planned local or regional anaesthesia or sedation does not preclude potential need for airway management.</w:t>
      </w:r>
    </w:p>
    <w:p w14:paraId="5A38346B" w14:textId="517E5995" w:rsidR="009169E8" w:rsidRDefault="009169E8" w:rsidP="00E961B4">
      <w:pPr>
        <w:pStyle w:val="Bullet1"/>
      </w:pPr>
      <w:r>
        <w:t>A reported history of difficult airway management requires due consideration.</w:t>
      </w:r>
    </w:p>
    <w:p w14:paraId="393FD34C" w14:textId="773F855D" w:rsidR="009169E8" w:rsidRDefault="009169E8" w:rsidP="00BB165F">
      <w:pPr>
        <w:pStyle w:val="Bullet1"/>
      </w:pPr>
      <w:r>
        <w:t>When preoperative airway examination is difficult, consider risk factors for a difficult airway and review past anaesthetic records when possible.</w:t>
      </w:r>
    </w:p>
    <w:p w14:paraId="0C9B6D68" w14:textId="77777777" w:rsidR="009169E8" w:rsidRDefault="009169E8" w:rsidP="00BB165F">
      <w:pPr>
        <w:pStyle w:val="Heading3"/>
      </w:pPr>
      <w:r>
        <w:t>When difficult airway management is anticipated</w:t>
      </w:r>
    </w:p>
    <w:p w14:paraId="41C0EF38" w14:textId="77777777" w:rsidR="009169E8" w:rsidRDefault="009169E8" w:rsidP="00E961B4">
      <w:pPr>
        <w:pStyle w:val="Bullet1"/>
      </w:pPr>
      <w:r>
        <w:t>Consider anaesthetic options and the skills, experience and expertise needed. This is particularly important in the out-of-hours context.</w:t>
      </w:r>
    </w:p>
    <w:p w14:paraId="21A61947" w14:textId="77777777" w:rsidR="009169E8" w:rsidRDefault="009169E8" w:rsidP="00E961B4">
      <w:pPr>
        <w:pStyle w:val="Bullet1"/>
      </w:pPr>
      <w:r>
        <w:t>Assess the availability and timeframes for specialist assistance to arrive when developing contingency plans.</w:t>
      </w:r>
    </w:p>
    <w:p w14:paraId="7C247BC7" w14:textId="77777777" w:rsidR="009169E8" w:rsidRDefault="009169E8" w:rsidP="00BB165F">
      <w:pPr>
        <w:pStyle w:val="Bullet1"/>
      </w:pPr>
      <w:r>
        <w:t>Managing obstructed airways and shared airways (such as removing an inhaled foreign body) are particularly challenging and require skill and careful planning with the surgical team.</w:t>
      </w:r>
    </w:p>
    <w:p w14:paraId="1EAD69F8" w14:textId="77777777" w:rsidR="009169E8" w:rsidRDefault="009169E8" w:rsidP="00BB165F">
      <w:pPr>
        <w:pStyle w:val="Heading3"/>
      </w:pPr>
      <w:r>
        <w:t>When failed intubation occurs</w:t>
      </w:r>
    </w:p>
    <w:p w14:paraId="7DC71F7D" w14:textId="5AEC31A0" w:rsidR="009169E8" w:rsidRDefault="009169E8" w:rsidP="00BB165F">
      <w:pPr>
        <w:pStyle w:val="Bullet1"/>
      </w:pPr>
      <w:r>
        <w:t>An important principle is not to persist with an intervention that is not working to resolve the situation. Using a difficult airway algorithm or cognitive aid can help ensure steady progression through a range of potential solutions.</w:t>
      </w:r>
    </w:p>
    <w:p w14:paraId="5B0FFACA" w14:textId="77777777" w:rsidR="009169E8" w:rsidRDefault="009169E8" w:rsidP="00BB165F">
      <w:pPr>
        <w:pStyle w:val="Heading3"/>
      </w:pPr>
      <w:r>
        <w:t>Monitoring and interpreting end-tidal carbon dioxide</w:t>
      </w:r>
    </w:p>
    <w:p w14:paraId="0F15054E" w14:textId="3238B63F" w:rsidR="009169E8" w:rsidRDefault="009169E8" w:rsidP="00BB165F">
      <w:pPr>
        <w:pStyle w:val="Bullet1"/>
      </w:pPr>
      <w:r>
        <w:t>Absence/loss of ET CO</w:t>
      </w:r>
      <w:r>
        <w:rPr>
          <w:vertAlign w:val="subscript"/>
        </w:rPr>
        <w:t>2</w:t>
      </w:r>
      <w:r>
        <w:t xml:space="preserve"> trace in an intubated patient should always raise concern regarding possible ETT malposition, dislodgement or obstruction and prompt immediate assessment of ETT position.</w:t>
      </w:r>
    </w:p>
    <w:p w14:paraId="347946B8" w14:textId="44B450AC" w:rsidR="009169E8" w:rsidRDefault="009169E8" w:rsidP="008E28A3">
      <w:pPr>
        <w:pStyle w:val="DHHSbody"/>
      </w:pPr>
      <w:r>
        <w:t>This is particularly important in the context of concurrent cardiac arrest when absence/loss of ET CO</w:t>
      </w:r>
      <w:r>
        <w:rPr>
          <w:vertAlign w:val="subscript"/>
        </w:rPr>
        <w:t>2</w:t>
      </w:r>
      <w:r>
        <w:t xml:space="preserve"> should not be assumed to be due to loss of cardiac output.</w:t>
      </w:r>
    </w:p>
    <w:p w14:paraId="2B9AE254" w14:textId="77777777" w:rsidR="009169E8" w:rsidRDefault="009169E8" w:rsidP="008E28A3">
      <w:pPr>
        <w:pStyle w:val="DHHSbody"/>
      </w:pPr>
      <w:r>
        <w:lastRenderedPageBreak/>
        <w:t xml:space="preserve">This point was also raised in the 2011 UK National Audit of Airway Management complications (Cook, Woodall, &amp; </w:t>
      </w:r>
      <w:proofErr w:type="spellStart"/>
      <w:r>
        <w:t>Frerk</w:t>
      </w:r>
      <w:proofErr w:type="spellEnd"/>
      <w:r>
        <w:t>, 2011b; Cook &amp; MacDougall-Davis, 2012).</w:t>
      </w:r>
    </w:p>
    <w:p w14:paraId="6FE9700D" w14:textId="77777777" w:rsidR="009169E8" w:rsidRDefault="009169E8" w:rsidP="00BB165F">
      <w:pPr>
        <w:pStyle w:val="Heading3"/>
      </w:pPr>
      <w:r>
        <w:t>When carbon dioxide is used for insufflation during upper gastrointestinal endoscopy</w:t>
      </w:r>
    </w:p>
    <w:p w14:paraId="697CA41F" w14:textId="5487C2C1" w:rsidR="009169E8" w:rsidRDefault="009169E8" w:rsidP="008E28A3">
      <w:pPr>
        <w:pStyle w:val="DHHSbody"/>
      </w:pPr>
      <w:r>
        <w:t>If endotracheal intubation is required in this context, the presence of gastric carbon dioxide needs to be taken into consideration when interpreting an ET CO</w:t>
      </w:r>
      <w:r>
        <w:rPr>
          <w:vertAlign w:val="subscript"/>
        </w:rPr>
        <w:t>2</w:t>
      </w:r>
      <w:r>
        <w:t xml:space="preserve"> trace to assess ETT position.</w:t>
      </w:r>
    </w:p>
    <w:p w14:paraId="6DB12DC6" w14:textId="77777777" w:rsidR="009169E8" w:rsidRDefault="009169E8" w:rsidP="00BB165F">
      <w:pPr>
        <w:pStyle w:val="Heading3"/>
      </w:pPr>
      <w:r>
        <w:t>Securing airway devices and re-assessing ventilation after a change in patient position</w:t>
      </w:r>
    </w:p>
    <w:p w14:paraId="4135F014" w14:textId="77475202" w:rsidR="009169E8" w:rsidRDefault="009169E8" w:rsidP="00E961B4">
      <w:pPr>
        <w:pStyle w:val="Bullet1"/>
      </w:pPr>
      <w:r>
        <w:t>Securing an ETT requires extra attention when the patient will be in a non-supine position for surgery and/or the ETT will be covered by surgical drapes, or in the surgical field.</w:t>
      </w:r>
    </w:p>
    <w:p w14:paraId="4D47FF83" w14:textId="06220626" w:rsidR="009169E8" w:rsidRDefault="009169E8" w:rsidP="00BB165F">
      <w:pPr>
        <w:pStyle w:val="Bullet1"/>
      </w:pPr>
      <w:r>
        <w:t>After a change in patient position, reassess the airway devices and adequacy of ventilation to allow issues to be identified and addressed before surgery begins.</w:t>
      </w:r>
    </w:p>
    <w:p w14:paraId="5E223308" w14:textId="6252972D" w:rsidR="009169E8" w:rsidRDefault="009169E8" w:rsidP="00BB165F">
      <w:pPr>
        <w:pStyle w:val="Heading3"/>
      </w:pPr>
      <w:r>
        <w:t>Assessing desaturation and/or ventilatory difficulties in an intubated patient</w:t>
      </w:r>
    </w:p>
    <w:p w14:paraId="610CB011" w14:textId="157E7C1B" w:rsidR="009169E8" w:rsidRDefault="009169E8" w:rsidP="00E961B4">
      <w:pPr>
        <w:pStyle w:val="Bullet1"/>
      </w:pPr>
      <w:r>
        <w:t>Desaturation and/or ventilatory difficulties can occur unexpectedly in any intubated patient. A systematic approach to assessing the problem is important in facilitating timely identification of an unsuspected cause.</w:t>
      </w:r>
    </w:p>
    <w:p w14:paraId="3ECB672C" w14:textId="77777777" w:rsidR="009169E8" w:rsidRDefault="009169E8" w:rsidP="00BB165F">
      <w:pPr>
        <w:pStyle w:val="Bullet1"/>
      </w:pPr>
      <w:r>
        <w:t>In the context of a difficult airway management where specialised equipment was required to secure the airway, ongoing availability of that equipment should be ensured until anaesthetic care is complete.</w:t>
      </w:r>
    </w:p>
    <w:p w14:paraId="27F4C2FA" w14:textId="77777777" w:rsidR="009169E8" w:rsidRDefault="009169E8" w:rsidP="000A4644">
      <w:pPr>
        <w:pStyle w:val="Heading2"/>
      </w:pPr>
      <w:r>
        <w:t>REFERENCES AND RESOURCES</w:t>
      </w:r>
    </w:p>
    <w:p w14:paraId="73E8C81C" w14:textId="77777777" w:rsidR="009169E8" w:rsidRDefault="009169E8" w:rsidP="008E28A3">
      <w:pPr>
        <w:pStyle w:val="DHHSbody"/>
      </w:pPr>
      <w:r>
        <w:t>Australian and New Zealand College of Anaesthetists, 2017</w:t>
      </w:r>
    </w:p>
    <w:p w14:paraId="4451CB77" w14:textId="77777777" w:rsidR="009169E8" w:rsidRDefault="009169E8" w:rsidP="008E28A3">
      <w:pPr>
        <w:pStyle w:val="DHHSbody"/>
      </w:pPr>
      <w:r>
        <w:t>Cook et al., 2011b</w:t>
      </w:r>
    </w:p>
    <w:p w14:paraId="10F76049" w14:textId="77777777" w:rsidR="009169E8" w:rsidRDefault="009169E8" w:rsidP="008E28A3">
      <w:pPr>
        <w:pStyle w:val="DHHSbody"/>
      </w:pPr>
      <w:r>
        <w:t>Cook &amp; MacDougall-Davis, 2012</w:t>
      </w:r>
    </w:p>
    <w:p w14:paraId="7D359201" w14:textId="77777777" w:rsidR="009169E8" w:rsidRPr="005B76F4" w:rsidRDefault="009169E8" w:rsidP="008E28A3">
      <w:pPr>
        <w:pStyle w:val="DHHSbody"/>
      </w:pPr>
      <w:r w:rsidRPr="005B76F4">
        <w:t xml:space="preserve">Chui, J., &amp; </w:t>
      </w:r>
      <w:proofErr w:type="spellStart"/>
      <w:r w:rsidRPr="005B76F4">
        <w:t>Craen</w:t>
      </w:r>
      <w:proofErr w:type="spellEnd"/>
      <w:r w:rsidRPr="005B76F4">
        <w:t>, R. (2016)</w:t>
      </w:r>
    </w:p>
    <w:p w14:paraId="0B2F2721" w14:textId="77777777" w:rsidR="009169E8" w:rsidRPr="005B76F4" w:rsidRDefault="009169E8" w:rsidP="008E28A3">
      <w:pPr>
        <w:pStyle w:val="DHHSbody"/>
      </w:pPr>
      <w:proofErr w:type="spellStart"/>
      <w:r w:rsidRPr="005B76F4">
        <w:t>Honardar</w:t>
      </w:r>
      <w:proofErr w:type="spellEnd"/>
      <w:r w:rsidRPr="005B76F4">
        <w:t xml:space="preserve"> et al., 2017</w:t>
      </w:r>
    </w:p>
    <w:p w14:paraId="2AFCCCB8" w14:textId="53298B02" w:rsidR="009169E8" w:rsidRDefault="009169E8" w:rsidP="008E28A3">
      <w:pPr>
        <w:pStyle w:val="DHHSbody"/>
      </w:pPr>
      <w:r>
        <w:t xml:space="preserve">Royal College of Anaesthetists (UK) </w:t>
      </w:r>
      <w:hyperlink r:id="rId25" w:history="1">
        <w:r w:rsidRPr="007C0509">
          <w:rPr>
            <w:rStyle w:val="Hyperlink"/>
            <w:color w:val="0063A5"/>
            <w:u w:val="single"/>
          </w:rPr>
          <w:t>National Audit Projects</w:t>
        </w:r>
      </w:hyperlink>
      <w:r w:rsidRPr="007C0509">
        <w:rPr>
          <w:color w:val="0063A5"/>
        </w:rPr>
        <w:t xml:space="preserve"> </w:t>
      </w:r>
      <w:r>
        <w:t>&lt;https://www.rcoa.ac.uk/research/national-audit-projects&gt;</w:t>
      </w:r>
    </w:p>
    <w:p w14:paraId="3F467D5E" w14:textId="77777777" w:rsidR="009169E8" w:rsidRDefault="009169E8" w:rsidP="008E28A3">
      <w:pPr>
        <w:pStyle w:val="DHHSbody"/>
      </w:pPr>
    </w:p>
    <w:p w14:paraId="71279BC9" w14:textId="77777777" w:rsidR="009169E8" w:rsidRDefault="009169E8" w:rsidP="000104F5">
      <w:pPr>
        <w:pStyle w:val="Heading1"/>
      </w:pPr>
      <w:bookmarkStart w:id="13" w:name="_Toc20234282"/>
      <w:r>
        <w:lastRenderedPageBreak/>
        <w:t>Focus on aspiration</w:t>
      </w:r>
      <w:bookmarkEnd w:id="13"/>
    </w:p>
    <w:p w14:paraId="166945EE" w14:textId="77777777" w:rsidR="009169E8" w:rsidRDefault="009169E8" w:rsidP="000A4644">
      <w:pPr>
        <w:pStyle w:val="Heading2"/>
      </w:pPr>
      <w:r>
        <w:t>BACKGROUND</w:t>
      </w:r>
    </w:p>
    <w:p w14:paraId="5FAC6C03" w14:textId="77777777" w:rsidR="009169E8" w:rsidRDefault="009169E8" w:rsidP="008E28A3">
      <w:pPr>
        <w:pStyle w:val="DHHSbody"/>
      </w:pPr>
      <w:r>
        <w:t xml:space="preserve">Despite improved understanding of risk factors and preventative strategies, aspiration remains an important cause of anaesthesia-related mortality. In the United Kingdom, the 4th National Audit Project of The Royal College of Anaesthetists and the Difficult Airway Society identified aspiration as the ‘single commonest cause of death’ in anaesthesia-related airway events (Cook, Woodall, &amp; </w:t>
      </w:r>
      <w:proofErr w:type="spellStart"/>
      <w:r>
        <w:t>Frerk</w:t>
      </w:r>
      <w:proofErr w:type="spellEnd"/>
      <w:r>
        <w:t>, 2011a).</w:t>
      </w:r>
    </w:p>
    <w:p w14:paraId="74B8A3E6" w14:textId="306BDAB9" w:rsidR="009169E8" w:rsidRDefault="009169E8" w:rsidP="000A4644">
      <w:pPr>
        <w:pStyle w:val="Heading2"/>
      </w:pPr>
      <w:r>
        <w:t>THIS TRIENNIUM (2015–2017)</w:t>
      </w:r>
    </w:p>
    <w:p w14:paraId="6A74B593" w14:textId="77777777" w:rsidR="009169E8" w:rsidRDefault="009169E8" w:rsidP="008E28A3">
      <w:pPr>
        <w:pStyle w:val="DHHSbody"/>
      </w:pPr>
      <w:r>
        <w:t>The council classified five cases as anaesthesia-related aspiration events this triennium (four mortalities and one morbidity). All patients had significant systemic disease. Other risk factors (Kluger &amp; Short, 1999; Robinson &amp; Davidson, 2014) included oesophageal and upper gastrointestinal pathology, recent trauma and opioids. Four cases involved non-elective procedures.</w:t>
      </w:r>
    </w:p>
    <w:p w14:paraId="1A66AE88" w14:textId="77777777" w:rsidR="009169E8" w:rsidRDefault="009169E8" w:rsidP="00E961B4">
      <w:pPr>
        <w:pStyle w:val="Bullet1"/>
      </w:pPr>
      <w:r>
        <w:t>Two events occurred during procedures under intravenous (IV) sedation in fasted patients.</w:t>
      </w:r>
    </w:p>
    <w:p w14:paraId="704260FC" w14:textId="34B2A68D" w:rsidR="009169E8" w:rsidRDefault="009169E8" w:rsidP="00E961B4">
      <w:pPr>
        <w:pStyle w:val="Bullet1"/>
      </w:pPr>
      <w:r>
        <w:t>Three events occurred during induction of GA, in one case during a modified rapid sequence induction, and in another case during rapid sequence induction in a patient being managed as a high risk for aspiration.</w:t>
      </w:r>
    </w:p>
    <w:p w14:paraId="3D8F8B9F" w14:textId="77777777" w:rsidR="009169E8" w:rsidRDefault="009169E8" w:rsidP="00BB165F">
      <w:pPr>
        <w:pStyle w:val="Bullet1"/>
      </w:pPr>
      <w:r>
        <w:t>Significant hypoxia and respiratory symptoms/signs were usually, but not always, immediately apparent. One patient deteriorated in the PACU, another developed hypoxia overnight.</w:t>
      </w:r>
    </w:p>
    <w:p w14:paraId="6F328DB3" w14:textId="77777777" w:rsidR="009169E8" w:rsidRDefault="009169E8" w:rsidP="000A4644">
      <w:pPr>
        <w:pStyle w:val="Heading2"/>
      </w:pPr>
      <w:r>
        <w:t>KEY MESSAGES FROM ASPIRATION EVENTS</w:t>
      </w:r>
    </w:p>
    <w:p w14:paraId="0172F6F4" w14:textId="44AC43AB" w:rsidR="009169E8" w:rsidRDefault="009169E8" w:rsidP="00E961B4">
      <w:pPr>
        <w:pStyle w:val="Bullet1"/>
      </w:pPr>
      <w:r>
        <w:t>Assessment of aspiration risk is important in all patients receiving anaesthesia.</w:t>
      </w:r>
    </w:p>
    <w:p w14:paraId="3278A9E9" w14:textId="1FACC5CC" w:rsidR="009169E8" w:rsidRDefault="009169E8" w:rsidP="00BB165F">
      <w:pPr>
        <w:pStyle w:val="Bullet1"/>
      </w:pPr>
      <w:r>
        <w:t>Regurgitation and aspiration can still occur despite careful assessment and management. Clinicians providing GA and procedural sedation need to be alert to the possibility of regurgitation and aspiration and be able to promptly manage such an event in terms of skills, equipment and staffing. This is particularly important in non-operating-room locations.</w:t>
      </w:r>
    </w:p>
    <w:p w14:paraId="5A1B1D1F" w14:textId="77777777" w:rsidR="009169E8" w:rsidRDefault="009169E8" w:rsidP="000A4644">
      <w:pPr>
        <w:pStyle w:val="Heading2"/>
      </w:pPr>
      <w:r>
        <w:t>PRACTICE POINT HIGHLIGHTED BY ASPIRATION EVENTS</w:t>
      </w:r>
    </w:p>
    <w:p w14:paraId="5D390C8F" w14:textId="77777777" w:rsidR="009169E8" w:rsidRDefault="009169E8" w:rsidP="00BB165F">
      <w:pPr>
        <w:pStyle w:val="Bullet1"/>
      </w:pPr>
      <w:r>
        <w:t>An extended period of close observation and monitoring is worthwhile after possible/suspected intraoperative aspiration, as hypoxia and respiratory symptoms can take time to develop.</w:t>
      </w:r>
    </w:p>
    <w:p w14:paraId="70A3A775" w14:textId="77777777" w:rsidR="009169E8" w:rsidRDefault="009169E8" w:rsidP="000A4644">
      <w:pPr>
        <w:pStyle w:val="Heading2"/>
      </w:pPr>
      <w:r>
        <w:t>REFERENCES AND RESOURCES</w:t>
      </w:r>
    </w:p>
    <w:p w14:paraId="515C27B8" w14:textId="77777777" w:rsidR="009169E8" w:rsidRDefault="009169E8" w:rsidP="008E28A3">
      <w:pPr>
        <w:pStyle w:val="DHHSbody"/>
      </w:pPr>
      <w:r>
        <w:t>Cook et al., 2011a</w:t>
      </w:r>
    </w:p>
    <w:p w14:paraId="576C8D31" w14:textId="77777777" w:rsidR="009169E8" w:rsidRPr="009169E8" w:rsidRDefault="009169E8" w:rsidP="008E28A3">
      <w:pPr>
        <w:pStyle w:val="DHHSbody"/>
        <w:rPr>
          <w:lang w:val="da-DK"/>
        </w:rPr>
      </w:pPr>
      <w:r w:rsidRPr="009169E8">
        <w:rPr>
          <w:lang w:val="da-DK"/>
        </w:rPr>
        <w:t>Kluger &amp; Short, 1999</w:t>
      </w:r>
    </w:p>
    <w:p w14:paraId="7A717859" w14:textId="77777777" w:rsidR="009169E8" w:rsidRPr="009169E8" w:rsidRDefault="009169E8" w:rsidP="008E28A3">
      <w:pPr>
        <w:pStyle w:val="DHHSbody"/>
        <w:rPr>
          <w:lang w:val="da-DK"/>
        </w:rPr>
      </w:pPr>
      <w:r w:rsidRPr="009169E8">
        <w:rPr>
          <w:lang w:val="da-DK"/>
        </w:rPr>
        <w:t>Kluger et al, 2005</w:t>
      </w:r>
    </w:p>
    <w:p w14:paraId="6E22EF95" w14:textId="77777777" w:rsidR="009169E8" w:rsidRPr="009169E8" w:rsidRDefault="009169E8" w:rsidP="008E28A3">
      <w:pPr>
        <w:pStyle w:val="DHHSbody"/>
        <w:rPr>
          <w:lang w:val="da-DK"/>
        </w:rPr>
      </w:pPr>
      <w:r w:rsidRPr="009169E8">
        <w:rPr>
          <w:lang w:val="da-DK"/>
        </w:rPr>
        <w:t>Marik, 2001</w:t>
      </w:r>
    </w:p>
    <w:p w14:paraId="4D4E0DB5" w14:textId="77777777" w:rsidR="009169E8" w:rsidRPr="009169E8" w:rsidRDefault="009169E8" w:rsidP="008E28A3">
      <w:pPr>
        <w:pStyle w:val="DHHSbody"/>
        <w:rPr>
          <w:lang w:val="da-DK"/>
        </w:rPr>
      </w:pPr>
      <w:r w:rsidRPr="009169E8">
        <w:rPr>
          <w:lang w:val="da-DK"/>
        </w:rPr>
        <w:t>Robinson &amp; Davidson, 2014</w:t>
      </w:r>
    </w:p>
    <w:p w14:paraId="4670A5DB" w14:textId="77777777" w:rsidR="009169E8" w:rsidRPr="009169E8" w:rsidRDefault="009169E8" w:rsidP="008E28A3">
      <w:pPr>
        <w:pStyle w:val="DHHSbody"/>
        <w:rPr>
          <w:lang w:val="da-DK"/>
        </w:rPr>
      </w:pPr>
      <w:r w:rsidRPr="009169E8">
        <w:rPr>
          <w:lang w:val="da-DK"/>
        </w:rPr>
        <w:t>Warner et al., 1993</w:t>
      </w:r>
    </w:p>
    <w:p w14:paraId="6A9798E0" w14:textId="77777777" w:rsidR="009169E8" w:rsidRPr="009169E8" w:rsidRDefault="009169E8" w:rsidP="008E28A3">
      <w:pPr>
        <w:pStyle w:val="DHHSbody"/>
        <w:rPr>
          <w:lang w:val="da-DK"/>
        </w:rPr>
      </w:pPr>
    </w:p>
    <w:p w14:paraId="54D0ACCE" w14:textId="77777777" w:rsidR="009169E8" w:rsidRPr="005B76F4" w:rsidRDefault="009169E8" w:rsidP="000104F5">
      <w:pPr>
        <w:pStyle w:val="Heading1"/>
        <w:rPr>
          <w:lang w:val="da-DK"/>
        </w:rPr>
      </w:pPr>
      <w:bookmarkStart w:id="14" w:name="_Toc20234283"/>
      <w:r w:rsidRPr="005B76F4">
        <w:rPr>
          <w:lang w:val="da-DK"/>
        </w:rPr>
        <w:lastRenderedPageBreak/>
        <w:t>Cardiovascular events</w:t>
      </w:r>
      <w:bookmarkEnd w:id="14"/>
    </w:p>
    <w:p w14:paraId="7262400F" w14:textId="77777777" w:rsidR="009169E8" w:rsidRDefault="009169E8" w:rsidP="000A4644">
      <w:pPr>
        <w:pStyle w:val="Heading2"/>
      </w:pPr>
      <w:r>
        <w:t>BACKGROUND</w:t>
      </w:r>
    </w:p>
    <w:p w14:paraId="3E407DA1" w14:textId="77777777" w:rsidR="009169E8" w:rsidRDefault="009169E8" w:rsidP="008E28A3">
      <w:pPr>
        <w:pStyle w:val="DHHSbody"/>
      </w:pPr>
      <w:r>
        <w:t>Major perioperative cardiac events are thought to complicate between 1.4–3.9 per cent of surgical procedures (Patel &amp; Eagle, 2015). Therefore, it is not surprising that the largest group of reported cases to the VCCAMM this triennium involved cardiovascular events (42 classified as anaesthesia-related events (categories 1–3) and 49 classified as non-anaesthesia-related (categories 4–10).</w:t>
      </w:r>
    </w:p>
    <w:p w14:paraId="4B205ED5" w14:textId="77777777" w:rsidR="009169E8" w:rsidRDefault="009169E8" w:rsidP="000A4644">
      <w:pPr>
        <w:pStyle w:val="Heading2"/>
      </w:pPr>
      <w:r>
        <w:t>THIS TRIENNIUM (2015–2017)</w:t>
      </w:r>
    </w:p>
    <w:p w14:paraId="33E2E6F3" w14:textId="422CF24F" w:rsidR="009169E8" w:rsidRDefault="009169E8" w:rsidP="008E28A3">
      <w:pPr>
        <w:pStyle w:val="DHHSbody"/>
      </w:pPr>
      <w:r>
        <w:t>The council classified 42 cases as anaesthesia-related (categories 1–3) cardiovascular events (33 mortality events, nine morbidity events).</w:t>
      </w:r>
    </w:p>
    <w:p w14:paraId="22C2BC64" w14:textId="77777777" w:rsidR="009169E8" w:rsidRDefault="009169E8" w:rsidP="008E28A3">
      <w:pPr>
        <w:pStyle w:val="DHHSbody"/>
      </w:pPr>
      <w:r>
        <w:t>These included:</w:t>
      </w:r>
    </w:p>
    <w:p w14:paraId="23C20014" w14:textId="77777777" w:rsidR="009169E8" w:rsidRDefault="009169E8" w:rsidP="00E961B4">
      <w:pPr>
        <w:pStyle w:val="Bullet1"/>
      </w:pPr>
      <w:r>
        <w:t>24 cardiac arrests (18 mortalities, six morbidities)</w:t>
      </w:r>
    </w:p>
    <w:p w14:paraId="6489B822" w14:textId="77777777" w:rsidR="009169E8" w:rsidRDefault="009169E8" w:rsidP="00E961B4">
      <w:pPr>
        <w:pStyle w:val="Bullet1"/>
      </w:pPr>
      <w:r>
        <w:t>six significant hypotension events (four mortalities, two morbidities) and another mortality associated with postoperative hypotension and hypoxia</w:t>
      </w:r>
    </w:p>
    <w:p w14:paraId="1269EB63" w14:textId="77777777" w:rsidR="009169E8" w:rsidRDefault="009169E8" w:rsidP="00E961B4">
      <w:pPr>
        <w:pStyle w:val="Bullet1"/>
      </w:pPr>
      <w:r>
        <w:t xml:space="preserve">three myocardial </w:t>
      </w:r>
      <w:proofErr w:type="spellStart"/>
      <w:r>
        <w:t>ischaemia</w:t>
      </w:r>
      <w:proofErr w:type="spellEnd"/>
      <w:r>
        <w:t xml:space="preserve"> events</w:t>
      </w:r>
    </w:p>
    <w:p w14:paraId="0477F22F" w14:textId="77777777" w:rsidR="009169E8" w:rsidRDefault="009169E8" w:rsidP="00E961B4">
      <w:pPr>
        <w:pStyle w:val="Bullet1"/>
      </w:pPr>
      <w:r>
        <w:t>two myocardial infarctions</w:t>
      </w:r>
    </w:p>
    <w:p w14:paraId="0892B7EA" w14:textId="77777777" w:rsidR="009169E8" w:rsidRDefault="009169E8" w:rsidP="00E961B4">
      <w:pPr>
        <w:pStyle w:val="Bullet1"/>
      </w:pPr>
      <w:r>
        <w:t>two haemorrhage events with intraoperative cardiac arrest in elderly patients with significant cardiovascular comorbidities</w:t>
      </w:r>
    </w:p>
    <w:p w14:paraId="7FA64061" w14:textId="77777777" w:rsidR="009169E8" w:rsidRDefault="009169E8" w:rsidP="00E961B4">
      <w:pPr>
        <w:pStyle w:val="Bullet1"/>
      </w:pPr>
      <w:r>
        <w:t xml:space="preserve">one intraoperative arrythmia in a child (brief </w:t>
      </w:r>
      <w:proofErr w:type="spellStart"/>
      <w:r>
        <w:t>asystolic</w:t>
      </w:r>
      <w:proofErr w:type="spellEnd"/>
      <w:r>
        <w:t xml:space="preserve"> cardiac arrest during inhalational induction of GA)</w:t>
      </w:r>
    </w:p>
    <w:p w14:paraId="2800C82B" w14:textId="51589A50" w:rsidR="009169E8" w:rsidRDefault="009169E8" w:rsidP="00E961B4">
      <w:pPr>
        <w:pStyle w:val="Bullet1"/>
      </w:pPr>
      <w:r>
        <w:t>one embolism event</w:t>
      </w:r>
    </w:p>
    <w:p w14:paraId="410BE812" w14:textId="77777777" w:rsidR="009169E8" w:rsidRDefault="009169E8" w:rsidP="00BB165F">
      <w:pPr>
        <w:pStyle w:val="Bullet1"/>
      </w:pPr>
      <w:r>
        <w:t>one case of cardiac failure and one case of cardiorenal multiorgan failure.</w:t>
      </w:r>
    </w:p>
    <w:p w14:paraId="342FF324" w14:textId="77777777" w:rsidR="009169E8" w:rsidRDefault="009169E8" w:rsidP="008E28A3">
      <w:pPr>
        <w:pStyle w:val="DHHSbody"/>
      </w:pPr>
      <w:r>
        <w:t>A number of other cases also involved perioperative cardiac arrest or myocardial infarction/</w:t>
      </w:r>
      <w:proofErr w:type="spellStart"/>
      <w:r>
        <w:t>ischaemia</w:t>
      </w:r>
      <w:proofErr w:type="spellEnd"/>
      <w:r>
        <w:t xml:space="preserve"> but were assigned a different primary event type and/or sub-type. These broader groups are described in more detail in the focus sections below.</w:t>
      </w:r>
    </w:p>
    <w:p w14:paraId="2E8F8E16" w14:textId="77777777" w:rsidR="009169E8" w:rsidRDefault="009169E8" w:rsidP="008E28A3">
      <w:pPr>
        <w:pStyle w:val="DHHSbody"/>
      </w:pPr>
      <w:r>
        <w:t>The five mortalities associated with significant hypotension all occurred in patients aged over 80 with complex comorbidities who had undergone fractured hip repairs (three under GA, two under spinal anaesthesia block). One died intraoperatively, and two required transfer to a high-dependency unit (HDU) or an ICU following significant hypotension in PACU and died within 24 hours. One was palliated after review in the PACU and another deteriorated overnight on the ward and was palliated. These events highlight the importance of preoperative discussions and documentation regarding goals of care in elderly patients with complex comorbidities undergoing emergent orthopaedic surgery.</w:t>
      </w:r>
    </w:p>
    <w:p w14:paraId="544AB772" w14:textId="77777777" w:rsidR="009169E8" w:rsidRDefault="009169E8" w:rsidP="000A4644">
      <w:pPr>
        <w:pStyle w:val="Heading2"/>
      </w:pPr>
      <w:r>
        <w:t>FOCUS ON PERIOPERATIVE CARDIAC ARRESTS AND MYOCARDIAL ISCHAEMIA</w:t>
      </w:r>
    </w:p>
    <w:p w14:paraId="516C839E" w14:textId="77777777" w:rsidR="009169E8" w:rsidRDefault="009169E8" w:rsidP="00BB165F">
      <w:pPr>
        <w:pStyle w:val="Heading3"/>
      </w:pPr>
      <w:r>
        <w:t>Perioperative cardiac arrests</w:t>
      </w:r>
    </w:p>
    <w:p w14:paraId="4B021578" w14:textId="77777777" w:rsidR="009169E8" w:rsidRDefault="009169E8" w:rsidP="008E28A3">
      <w:pPr>
        <w:pStyle w:val="DHHSbody"/>
      </w:pPr>
      <w:r>
        <w:t>Thirty-six cases classified as anaesthetic-related morbidity (nine cases) or mortality (27 cases) involved a perioperative cardiac arrest. Depending on the availability of information about the precipitating cause, these cases were classified by a range of primary event types:</w:t>
      </w:r>
    </w:p>
    <w:p w14:paraId="29FE8AF7" w14:textId="4F24D231" w:rsidR="009169E8" w:rsidRDefault="009169E8" w:rsidP="00E961B4">
      <w:pPr>
        <w:pStyle w:val="Bullet1"/>
      </w:pPr>
      <w:r>
        <w:t>28 arrests occurred intraoperatively – five in the PACU and three postoperatively on a ward.</w:t>
      </w:r>
    </w:p>
    <w:p w14:paraId="2525EE90" w14:textId="52A0878D" w:rsidR="009169E8" w:rsidRDefault="009169E8" w:rsidP="00E961B4">
      <w:pPr>
        <w:pStyle w:val="Bullet1"/>
      </w:pPr>
      <w:r>
        <w:t>21 of these perioperative arrests occurred in association with elective (18) or ‘semi-elective’ (three) surgical procedures; 15 occurred in association with emergency surgical procedures.</w:t>
      </w:r>
    </w:p>
    <w:p w14:paraId="3B3DD312" w14:textId="737D1FAF" w:rsidR="009169E8" w:rsidRDefault="009169E8" w:rsidP="00E961B4">
      <w:pPr>
        <w:pStyle w:val="Bullet1"/>
      </w:pPr>
      <w:r>
        <w:t>33 of the patients were aged 50 years or older. Most patients had significant comorbidities.</w:t>
      </w:r>
    </w:p>
    <w:p w14:paraId="4DD71B53" w14:textId="22357942" w:rsidR="009169E8" w:rsidRDefault="009169E8" w:rsidP="00E961B4">
      <w:pPr>
        <w:pStyle w:val="Bullet1"/>
      </w:pPr>
      <w:r>
        <w:t>13 patients were obese, six had known OSA, 13 had known ischaemic heart disease. An intraosseous line was successfully inserted in one case where intravenous access was difficult due to obesity.</w:t>
      </w:r>
    </w:p>
    <w:p w14:paraId="50402B6C" w14:textId="7879960A" w:rsidR="009169E8" w:rsidRDefault="009169E8" w:rsidP="00E961B4">
      <w:pPr>
        <w:pStyle w:val="Bullet1"/>
      </w:pPr>
      <w:r>
        <w:lastRenderedPageBreak/>
        <w:t>Associated events included confirmed or suspected anaphylaxis (seven cases), deep volatile agent (three cases), cementing during fractured hip repair (three cases) intraoperative haemorrhage (two cases) and suspected embolic events (two cases).</w:t>
      </w:r>
    </w:p>
    <w:p w14:paraId="48CEBA22" w14:textId="77777777" w:rsidR="009169E8" w:rsidRDefault="009169E8" w:rsidP="00E961B4">
      <w:pPr>
        <w:pStyle w:val="Bullet1"/>
      </w:pPr>
      <w:r>
        <w:t xml:space="preserve">In several patients the arrest was thought to be related to significant underlying cardiovascular or pulmonary disease, in particular ischaemic heart disease. In some </w:t>
      </w:r>
      <w:proofErr w:type="gramStart"/>
      <w:r>
        <w:t>cases</w:t>
      </w:r>
      <w:proofErr w:type="gramEnd"/>
      <w:r>
        <w:t xml:space="preserve"> the underlying cause was unknown. One patient was diagnosed with severe OSA during post-event investigations. In another case, air embolism was suspected after pressurised infusion of IV fluids.</w:t>
      </w:r>
    </w:p>
    <w:p w14:paraId="3DC77368" w14:textId="6B7DFF42" w:rsidR="009169E8" w:rsidRDefault="009169E8" w:rsidP="00E961B4">
      <w:pPr>
        <w:pStyle w:val="Bullet1"/>
      </w:pPr>
      <w:r>
        <w:t>Type of anaesthesia included GA (26 cases), combined spinal and GA (three cases), spinal anaesthesia (two cases), local anaesthesia and sedation (two cases), sedation (two cases), regional block and sedation (one case).</w:t>
      </w:r>
    </w:p>
    <w:p w14:paraId="27A33A72" w14:textId="77777777" w:rsidR="009169E8" w:rsidRDefault="009169E8" w:rsidP="00BB165F">
      <w:pPr>
        <w:pStyle w:val="Bullet1"/>
      </w:pPr>
      <w:r>
        <w:t>Most of these events were considered by the council to be not preventable (20 cases) or only possibly preventable (12 cases).</w:t>
      </w:r>
    </w:p>
    <w:p w14:paraId="3C05DCD7" w14:textId="77777777" w:rsidR="009169E8" w:rsidRDefault="009169E8" w:rsidP="00BB165F">
      <w:pPr>
        <w:pStyle w:val="Heading3"/>
      </w:pPr>
      <w:r>
        <w:t>Perioperative myocardial infarction or </w:t>
      </w:r>
      <w:proofErr w:type="spellStart"/>
      <w:r>
        <w:t>ischaemia</w:t>
      </w:r>
      <w:proofErr w:type="spellEnd"/>
    </w:p>
    <w:p w14:paraId="47F5EB23" w14:textId="5BB66A1B" w:rsidR="009169E8" w:rsidRDefault="009169E8" w:rsidP="008E28A3">
      <w:pPr>
        <w:pStyle w:val="DHHSbody"/>
      </w:pPr>
      <w:r>
        <w:t xml:space="preserve">Eight cases classified as anaesthesia-related mortality involved confirmed or suspected perioperative myocardial infarction or </w:t>
      </w:r>
      <w:proofErr w:type="spellStart"/>
      <w:r>
        <w:t>ischaemia</w:t>
      </w:r>
      <w:proofErr w:type="spellEnd"/>
      <w:r>
        <w:t xml:space="preserve"> (although this may not have been the primary event classification). All were categorised as category 3.</w:t>
      </w:r>
    </w:p>
    <w:p w14:paraId="404A7F0C" w14:textId="77777777" w:rsidR="009169E8" w:rsidRDefault="009169E8" w:rsidP="008E28A3">
      <w:pPr>
        <w:pStyle w:val="DHHSbody"/>
      </w:pPr>
      <w:r>
        <w:t>All eight patients were aged over 70 years; six had known ischaemic heart disease (including a history of recent STEMI and severe heart failure in one patient undergoing an emergency procedure). Three were undergoing elective procedures. Seven cases were performed under GA, and one occurred at the end of a procedure under a local anaesthetic block and sedation.</w:t>
      </w:r>
    </w:p>
    <w:p w14:paraId="04F8C754" w14:textId="77777777" w:rsidR="009169E8" w:rsidRDefault="009169E8" w:rsidP="008E28A3">
      <w:pPr>
        <w:pStyle w:val="DHHSbody"/>
      </w:pPr>
      <w:r>
        <w:t>Deterioration occurred:</w:t>
      </w:r>
    </w:p>
    <w:p w14:paraId="57039E6E" w14:textId="77777777" w:rsidR="009169E8" w:rsidRDefault="009169E8" w:rsidP="00E961B4">
      <w:pPr>
        <w:pStyle w:val="Bullet1"/>
      </w:pPr>
      <w:r>
        <w:t>during the procedure in three cases (presenting as cardiac arrest, ST depression after induction and haemodynamic deterioration post-cementing during hip fracture repair)</w:t>
      </w:r>
    </w:p>
    <w:p w14:paraId="40E1D5A7" w14:textId="77777777" w:rsidR="009169E8" w:rsidRDefault="009169E8" w:rsidP="00E961B4">
      <w:pPr>
        <w:pStyle w:val="Bullet1"/>
      </w:pPr>
      <w:r>
        <w:t>at the end of the procedure in two cases (presenting as cardiac arrest)</w:t>
      </w:r>
    </w:p>
    <w:p w14:paraId="32CE2C87" w14:textId="77777777" w:rsidR="009169E8" w:rsidRDefault="009169E8" w:rsidP="00E961B4">
      <w:pPr>
        <w:pStyle w:val="Bullet1"/>
      </w:pPr>
      <w:r>
        <w:t>in the PACU in two cases (presenting as cardiac arrest)</w:t>
      </w:r>
    </w:p>
    <w:p w14:paraId="2A8F0E1C" w14:textId="001173A4" w:rsidR="009169E8" w:rsidRDefault="009169E8" w:rsidP="00BB165F">
      <w:pPr>
        <w:pStyle w:val="Bullet1"/>
      </w:pPr>
      <w:r>
        <w:t>during the first postoperative night in one case (presenting as acute pulmonary oedema with hypoxia).</w:t>
      </w:r>
    </w:p>
    <w:p w14:paraId="4D1D248F" w14:textId="388E0849" w:rsidR="009169E8" w:rsidRDefault="009169E8" w:rsidP="008E28A3">
      <w:pPr>
        <w:pStyle w:val="DHHSbody"/>
      </w:pPr>
      <w:r>
        <w:t>In three cases, the intraoperative course was noted to have been uneventful.</w:t>
      </w:r>
    </w:p>
    <w:p w14:paraId="72105A5D" w14:textId="77777777" w:rsidR="009169E8" w:rsidRDefault="009169E8" w:rsidP="008E28A3">
      <w:pPr>
        <w:pStyle w:val="DHHSbody"/>
      </w:pPr>
      <w:r>
        <w:t xml:space="preserve">Two patients died during attempted emergency coronary revascularisation. </w:t>
      </w:r>
    </w:p>
    <w:p w14:paraId="78678882" w14:textId="3BAB9D77" w:rsidR="009169E8" w:rsidRDefault="009169E8" w:rsidP="008E28A3">
      <w:pPr>
        <w:pStyle w:val="DHHSbody"/>
      </w:pPr>
      <w:r>
        <w:t>Referred events highlighted the importance of preoperative consultation with the patient’s cardiologist regarding the perioperative management of antiplatelet therapy (APT) / dual antiplatelet therapy (DAPT) in patients with coronary stents undergoing non-cardiac surgery (NCS) to determine an appropriate plan.</w:t>
      </w:r>
    </w:p>
    <w:p w14:paraId="41C4BD3D" w14:textId="47B411C0" w:rsidR="0063099B" w:rsidRDefault="0063099B" w:rsidP="008E28A3">
      <w:pPr>
        <w:pStyle w:val="DHHSbody"/>
      </w:pPr>
      <w:r w:rsidRPr="0063099B">
        <w:t>[Break out box text:</w:t>
      </w:r>
    </w:p>
    <w:p w14:paraId="13154B2B" w14:textId="3BE0AAB8" w:rsidR="0063099B" w:rsidRDefault="0063099B" w:rsidP="0063099B">
      <w:pPr>
        <w:pStyle w:val="DHHSbody"/>
      </w:pPr>
      <w:r>
        <w:t>‘Cardiac risk in noncardiac surgeries is best tackled by a perioperative team approach. Close collaboration and shared decision-making among the patient, primary caregiver, cardiologist, surgeon, and anaesthesiologist is key to ensuring proper implementation of current evidence-based guidelines.’</w:t>
      </w:r>
    </w:p>
    <w:p w14:paraId="6219CE89" w14:textId="32F16B97" w:rsidR="0063099B" w:rsidRDefault="0063099B" w:rsidP="0063099B">
      <w:pPr>
        <w:pStyle w:val="DHHSbody"/>
      </w:pPr>
      <w:r>
        <w:t>(Patel &amp; Eagle, 2015, p. 2146)</w:t>
      </w:r>
    </w:p>
    <w:p w14:paraId="393109E2" w14:textId="13896CBD" w:rsidR="009169E8" w:rsidRDefault="0063099B" w:rsidP="008E28A3">
      <w:pPr>
        <w:pStyle w:val="DHHSbody"/>
      </w:pPr>
      <w:r w:rsidRPr="0063099B">
        <w:t>End of break out box text.]</w:t>
      </w:r>
    </w:p>
    <w:p w14:paraId="2955039C" w14:textId="77777777" w:rsidR="009169E8" w:rsidRDefault="009169E8" w:rsidP="000A4644">
      <w:pPr>
        <w:pStyle w:val="Heading2"/>
      </w:pPr>
      <w:r>
        <w:t>BROADER CONTEXT</w:t>
      </w:r>
    </w:p>
    <w:p w14:paraId="3D784FB7" w14:textId="77777777" w:rsidR="009169E8" w:rsidRDefault="009169E8" w:rsidP="00BB165F">
      <w:pPr>
        <w:pStyle w:val="Heading3"/>
      </w:pPr>
      <w:r>
        <w:t>Perioperative cardiac arrest</w:t>
      </w:r>
    </w:p>
    <w:p w14:paraId="4B96E35D" w14:textId="35021FEC" w:rsidR="009169E8" w:rsidRDefault="009169E8" w:rsidP="008E28A3">
      <w:pPr>
        <w:pStyle w:val="DHHSbody"/>
      </w:pPr>
      <w:r>
        <w:t>Estimates of risk of perioperative cardiac arrest vary depending on geographical location and methodology. Recently in the United States, the overall risk of cardiac arrest intraoperatively and in the PACU was estimated at 5.6 per 10,000 patients, with a mortality rate of 58.4 per cent, based on data reported to the National Anaesthesia Clinical Outcomes Registry (from 2010 to 2013), with the rate highest in ASA 3–4 patients and increasing with age (Nunally, O’Connor, Kordylewski, Westlake, &amp; Dutton, 2015).</w:t>
      </w:r>
    </w:p>
    <w:p w14:paraId="769D565A" w14:textId="77777777" w:rsidR="009169E8" w:rsidRDefault="009169E8" w:rsidP="00F11623">
      <w:pPr>
        <w:pStyle w:val="Heading4"/>
      </w:pPr>
      <w:r>
        <w:lastRenderedPageBreak/>
        <w:t>The risk of air embolism with pressurised infusion of IV fluids</w:t>
      </w:r>
    </w:p>
    <w:p w14:paraId="0D06A64C" w14:textId="77777777" w:rsidR="009169E8" w:rsidRDefault="009169E8" w:rsidP="008E28A3">
      <w:pPr>
        <w:pStyle w:val="DHHSbody"/>
      </w:pPr>
      <w:r>
        <w:t>The risk of air embolism with pressurised infusion of IV fluids was a topic in a 2017 Therapeutic Goods Administration (TGA) Medical Devices Safety Update (Therapeutic Goods Administration, 2017). The TGA safety update addressed re-spiking of IV solution bags and pressurised infusion of IV fluids. It highlighted that ‘intravenous solution bags are designed for single use only and there are no circumstances where they should be reconnected (re-spiked) after first use’ (p.1).</w:t>
      </w:r>
    </w:p>
    <w:p w14:paraId="020F5988" w14:textId="4C9F85A1" w:rsidR="009169E8" w:rsidRDefault="009169E8" w:rsidP="008E28A3">
      <w:pPr>
        <w:pStyle w:val="DHHSbody"/>
      </w:pPr>
      <w:r>
        <w:t xml:space="preserve">The TGA Medical Devices Safety Update is available from the </w:t>
      </w:r>
      <w:hyperlink r:id="rId26" w:history="1">
        <w:r w:rsidRPr="0063099B">
          <w:rPr>
            <w:rStyle w:val="Hyperlink"/>
            <w:color w:val="0063A5"/>
            <w:u w:val="single"/>
          </w:rPr>
          <w:t>TGA website</w:t>
        </w:r>
      </w:hyperlink>
      <w:r w:rsidRPr="0063099B">
        <w:rPr>
          <w:color w:val="0063A5"/>
        </w:rPr>
        <w:t xml:space="preserve"> </w:t>
      </w:r>
      <w:r>
        <w:t>&lt;https://www.tga.gov.au/sites/default/files/medical-devices-safety-update-volume-5-number-4-july-2017.pdf&gt;.</w:t>
      </w:r>
    </w:p>
    <w:p w14:paraId="21EA6A55" w14:textId="77777777" w:rsidR="009169E8" w:rsidRDefault="009169E8" w:rsidP="00F11623">
      <w:pPr>
        <w:pStyle w:val="Heading4"/>
      </w:pPr>
      <w:r>
        <w:t>Cemented hemiarthroplasty and adverse cardiovascular events</w:t>
      </w:r>
    </w:p>
    <w:p w14:paraId="38FE1400" w14:textId="77777777" w:rsidR="009169E8" w:rsidRDefault="009169E8" w:rsidP="008E28A3">
      <w:pPr>
        <w:pStyle w:val="DHHSbody"/>
      </w:pPr>
      <w:r>
        <w:t>A consensus guideline by the Association of Anaesthetists of Great Britain and Ireland (2015) noted that approximately 20 per cent of hip fracture operations involving a cemented prosthesis are complicated by an adverse cardiovascular event. In addition to specific technical aspects of care, strategies suggested in this guideline to reduce risks associated with cemented hemiarthroplasties emphasised the importance of team awareness of potential adverse events, identification of patients at higher risk for ‘cardiorespiratory compromise’ (p. 624), being prepared, clear team roles and responsibilities, vigilance and monitoring during and after cementing, and effective team communication.</w:t>
      </w:r>
    </w:p>
    <w:p w14:paraId="06521BAC" w14:textId="77777777" w:rsidR="009169E8" w:rsidRDefault="009169E8" w:rsidP="00BB165F">
      <w:pPr>
        <w:pStyle w:val="Heading3"/>
      </w:pPr>
      <w:r>
        <w:t>Perioperative myocardial infarction or </w:t>
      </w:r>
      <w:proofErr w:type="spellStart"/>
      <w:r>
        <w:t>ischaemia</w:t>
      </w:r>
      <w:proofErr w:type="spellEnd"/>
    </w:p>
    <w:p w14:paraId="16FC3688" w14:textId="77777777" w:rsidR="009169E8" w:rsidRDefault="009169E8" w:rsidP="008E28A3">
      <w:pPr>
        <w:pStyle w:val="DHHSbody"/>
      </w:pPr>
      <w:r>
        <w:t>Perioperative myocardial infarction after NCS is associated with a high mortality rate, even with percutaneous coronary intervention (PCI) (Parashar, et al., 2016). In an observational study by Parashar et al. (2016), mortality within 30 days of PCI after perioperative myocardial infarction was predicted by ‘bleeding event, peak troponin T level and peripheral vascular disease’, while long-term mortality was predicted by ‘older age, vascular surgery, bleeding event, and renal dysfunction’ (p. 337).</w:t>
      </w:r>
    </w:p>
    <w:p w14:paraId="69A7B2EB" w14:textId="76345B43" w:rsidR="009169E8" w:rsidRDefault="009169E8" w:rsidP="00F11623">
      <w:pPr>
        <w:pStyle w:val="Heading4"/>
      </w:pPr>
      <w:r>
        <w:t>Perioperative management of APT/DAPT</w:t>
      </w:r>
    </w:p>
    <w:p w14:paraId="6187C686" w14:textId="519E1FC3" w:rsidR="009169E8" w:rsidRDefault="009169E8" w:rsidP="008E28A3">
      <w:pPr>
        <w:pStyle w:val="DHHSbody"/>
      </w:pPr>
      <w:r>
        <w:t>Previous coronary stent implantation (both bare-metal and drug-eluting stents) within a year of NCS has been found to be an independent risk factor for major adverse cardiac and cerebrovascular events and bleeding (Mahmoud, et al., 2016).</w:t>
      </w:r>
    </w:p>
    <w:p w14:paraId="30D7E4C3" w14:textId="3A355096" w:rsidR="009169E8" w:rsidRDefault="009169E8" w:rsidP="008E28A3">
      <w:pPr>
        <w:pStyle w:val="DHHSbody"/>
      </w:pPr>
      <w:r>
        <w:t>A 2017 review of APT/DAPT for post-PCI patients undergoing NCS (Banerjee, et al., 2017) noted ‘the need to carefully consider the risk of ischemic complications, consequences of delayed surgery, and perioperative bleeding in post-PCI patients on DAPT undergoing NCS, and to individualize treatment decisions’ (p.1868) noting the importance of ‘an astute clinician, a highly individualized and collaborative approach to patient care, and team-based decision making’ (p.1869). This review noted the complexity of these decisions around APT and the difficulty in developing consensus recommendations.</w:t>
      </w:r>
    </w:p>
    <w:p w14:paraId="656FDDC3" w14:textId="77777777" w:rsidR="009169E8" w:rsidRDefault="009169E8" w:rsidP="000A4644">
      <w:pPr>
        <w:pStyle w:val="Heading2"/>
      </w:pPr>
      <w:r>
        <w:t>KEY MESSAGES FROM CARDIOVASCULAR EVENTS</w:t>
      </w:r>
    </w:p>
    <w:p w14:paraId="0F9B6247" w14:textId="77777777" w:rsidR="009169E8" w:rsidRDefault="009169E8" w:rsidP="00E961B4">
      <w:pPr>
        <w:pStyle w:val="Bullet1"/>
      </w:pPr>
      <w:r>
        <w:t>Perioperative cardiac arrests are uncommon but do occur, particularly in older patients with significant underlying comorbidities. In such patients, it is important to ensure that preoperative discussions regarding goals of care and limitations of treatment are appropriately documented, updated and communicated to clinicians involved in the patient’s care.</w:t>
      </w:r>
    </w:p>
    <w:p w14:paraId="5715E880" w14:textId="2A614EAE" w:rsidR="009169E8" w:rsidRDefault="009169E8" w:rsidP="00E961B4">
      <w:pPr>
        <w:pStyle w:val="Bullet1"/>
      </w:pPr>
      <w:r>
        <w:t xml:space="preserve">The cause of a perioperative cardiac arrest can be difficult to ascertain at the time of the event, particularly in patients with multiple comorbidities undergoing major surgery. This emphasises the importance of resuscitation </w:t>
      </w:r>
      <w:r>
        <w:rPr>
          <w:spacing w:val="-4"/>
        </w:rPr>
        <w:t xml:space="preserve">training and protocols, using crisis checklists and continually considering the differential diagnosis, </w:t>
      </w:r>
      <w:r>
        <w:t>looking for potentially reversible causes.</w:t>
      </w:r>
    </w:p>
    <w:p w14:paraId="7E8564DE" w14:textId="77777777" w:rsidR="009169E8" w:rsidRDefault="009169E8" w:rsidP="00E961B4">
      <w:pPr>
        <w:pStyle w:val="Bullet1"/>
      </w:pPr>
      <w:r>
        <w:t>Critical events sometimes occur at the end of a previously uneventful procedure, highlighting the need for ongoing monitoring vigilance at the end of a surgical procedure when theatre staff are busy and distractions are common.</w:t>
      </w:r>
    </w:p>
    <w:p w14:paraId="5E7B87D7" w14:textId="77777777" w:rsidR="009169E8" w:rsidRDefault="009169E8" w:rsidP="00E961B4">
      <w:pPr>
        <w:pStyle w:val="Bullet1"/>
      </w:pPr>
      <w:r>
        <w:t>A multidisciplinary perioperative team-based approach to managing cardiac risk in NCS is of value, particularly in patients with coronary stents in situ on APT.</w:t>
      </w:r>
    </w:p>
    <w:p w14:paraId="44173239" w14:textId="721427EC" w:rsidR="009169E8" w:rsidRDefault="009169E8" w:rsidP="00BB165F">
      <w:pPr>
        <w:pStyle w:val="Bullet1"/>
      </w:pPr>
      <w:r>
        <w:lastRenderedPageBreak/>
        <w:t xml:space="preserve">Perioperative myocardial infarction or </w:t>
      </w:r>
      <w:proofErr w:type="spellStart"/>
      <w:r>
        <w:t>ischaemia</w:t>
      </w:r>
      <w:proofErr w:type="spellEnd"/>
      <w:r>
        <w:t xml:space="preserve"> may not present with classic symptoms or signs (for example, due to the effects of anaesthetic drugs/analgesics). It may present as haemodynamic instability or as respiratory distress/hypoxia during the perioperative period.</w:t>
      </w:r>
    </w:p>
    <w:p w14:paraId="48EE9CDB" w14:textId="77777777" w:rsidR="009169E8" w:rsidRDefault="009169E8" w:rsidP="000A4644">
      <w:pPr>
        <w:pStyle w:val="Heading2"/>
      </w:pPr>
      <w:r>
        <w:t>PRACTICE POINTS HIGHLIGHTED BY CARDIOVASCULAR EVENTS</w:t>
      </w:r>
    </w:p>
    <w:p w14:paraId="050469D5" w14:textId="77777777" w:rsidR="009169E8" w:rsidRDefault="009169E8" w:rsidP="00BB165F">
      <w:pPr>
        <w:pStyle w:val="Heading3"/>
      </w:pPr>
      <w:r>
        <w:t>Reducing the risk of cardiovascular events</w:t>
      </w:r>
    </w:p>
    <w:p w14:paraId="155CD5EA" w14:textId="77777777" w:rsidR="009169E8" w:rsidRDefault="009169E8" w:rsidP="00E961B4">
      <w:pPr>
        <w:pStyle w:val="Bullet1"/>
      </w:pPr>
      <w:r>
        <w:t>Consider intra-arterial blood pressure monitoring in elderly patients with significant cardiovascular disease undergoing major surgery to assist with early detection of haemodynamic compromise.</w:t>
      </w:r>
    </w:p>
    <w:p w14:paraId="25873B11" w14:textId="0A4C8A37" w:rsidR="009169E8" w:rsidRDefault="009169E8" w:rsidP="00E961B4">
      <w:pPr>
        <w:pStyle w:val="Bullet1"/>
      </w:pPr>
      <w:r>
        <w:t>Rapid deepening of volatile anaesthesia can be associated with adverse cardiovascular effects including arrhythmia and hypotension.</w:t>
      </w:r>
    </w:p>
    <w:p w14:paraId="4FF1B279" w14:textId="355F0EA9" w:rsidR="009169E8" w:rsidRDefault="009169E8" w:rsidP="00E961B4">
      <w:pPr>
        <w:pStyle w:val="Bullet1"/>
      </w:pPr>
      <w:r>
        <w:t>Anticipation, preoperative planning and use of massive transfusion protocols enhance effective management of major intraoperative haemorrhage.</w:t>
      </w:r>
    </w:p>
    <w:p w14:paraId="0658A7BF" w14:textId="1AC24975" w:rsidR="009169E8" w:rsidRDefault="009169E8" w:rsidP="00BB165F">
      <w:pPr>
        <w:pStyle w:val="Bullet1"/>
      </w:pPr>
      <w:r>
        <w:t>Intravenous solution bags should not be re</w:t>
      </w:r>
      <w:r>
        <w:rPr>
          <w:rFonts w:ascii="Cambria Math" w:hAnsi="Cambria Math" w:cs="Cambria Math"/>
        </w:rPr>
        <w:t>‑</w:t>
      </w:r>
      <w:r>
        <w:t>spiked after first use.</w:t>
      </w:r>
    </w:p>
    <w:p w14:paraId="26311734" w14:textId="77777777" w:rsidR="009169E8" w:rsidRDefault="009169E8" w:rsidP="00BB165F">
      <w:pPr>
        <w:pStyle w:val="Heading3"/>
      </w:pPr>
      <w:r>
        <w:t>Cardiac arrest and crisis management</w:t>
      </w:r>
    </w:p>
    <w:p w14:paraId="4453FDDB" w14:textId="77777777" w:rsidR="009169E8" w:rsidRDefault="009169E8" w:rsidP="00E961B4">
      <w:pPr>
        <w:pStyle w:val="Bullet1"/>
      </w:pPr>
      <w:r>
        <w:t>In situations where there is concurrent absence/loss of ET CO</w:t>
      </w:r>
      <w:r>
        <w:rPr>
          <w:vertAlign w:val="subscript"/>
        </w:rPr>
        <w:t>2</w:t>
      </w:r>
      <w:r>
        <w:t xml:space="preserve"> signal and cardiac arrest in an intubated patient, the possibility of ETT malposition/dislodgement/obstruction should always be considered and the ETT position checked.</w:t>
      </w:r>
    </w:p>
    <w:p w14:paraId="653E9DD6" w14:textId="2A88BBBC" w:rsidR="009169E8" w:rsidRDefault="009169E8" w:rsidP="00BB165F">
      <w:pPr>
        <w:pStyle w:val="Bullet1"/>
      </w:pPr>
      <w:r>
        <w:t>Cardiac arrest in obese patients can be complicated by difficulties with vascular access. Intraosseous access is another possible option to remember in the context of resuscitation if there are no contraindications and staff are available who are familiar with the technique (Anson, 2014).</w:t>
      </w:r>
    </w:p>
    <w:p w14:paraId="2E3A0E6F" w14:textId="77777777" w:rsidR="009169E8" w:rsidRDefault="009169E8" w:rsidP="000A4644">
      <w:pPr>
        <w:pStyle w:val="Heading2"/>
      </w:pPr>
      <w:r>
        <w:t>REFERENCES AND RESOURCES</w:t>
      </w:r>
    </w:p>
    <w:p w14:paraId="04487D30" w14:textId="5FF53DC9" w:rsidR="009169E8" w:rsidRDefault="009169E8" w:rsidP="008E28A3">
      <w:pPr>
        <w:pStyle w:val="DHHSbody"/>
      </w:pPr>
      <w:r>
        <w:t xml:space="preserve">Air embolism – </w:t>
      </w:r>
      <w:hyperlink r:id="rId27" w:history="1">
        <w:r w:rsidRPr="00762256">
          <w:rPr>
            <w:rStyle w:val="Hyperlink"/>
            <w:color w:val="0063A5"/>
            <w:u w:val="single"/>
          </w:rPr>
          <w:t>TGA Medical Safety Update</w:t>
        </w:r>
      </w:hyperlink>
      <w:r w:rsidRPr="00762256">
        <w:rPr>
          <w:color w:val="0063A5"/>
        </w:rPr>
        <w:t xml:space="preserve"> </w:t>
      </w:r>
      <w:r>
        <w:t>&lt;https://www.tga.gov.au/sites/default/files/medical-devices-safety-update-volume-5-number-4-july-2017.pdf&gt;</w:t>
      </w:r>
    </w:p>
    <w:p w14:paraId="6BF74B23" w14:textId="77777777" w:rsidR="009169E8" w:rsidRDefault="009169E8" w:rsidP="008E28A3">
      <w:pPr>
        <w:pStyle w:val="DHHSbody"/>
      </w:pPr>
      <w:r>
        <w:t>Anson, 2014</w:t>
      </w:r>
    </w:p>
    <w:p w14:paraId="090A8078" w14:textId="77777777" w:rsidR="009169E8" w:rsidRDefault="009169E8" w:rsidP="008E28A3">
      <w:pPr>
        <w:pStyle w:val="DHHSbody"/>
      </w:pPr>
      <w:r>
        <w:t>Association of Anaesthetists of Great Britain and Ireland, 2015</w:t>
      </w:r>
    </w:p>
    <w:p w14:paraId="72EF2DB8" w14:textId="77777777" w:rsidR="009169E8" w:rsidRPr="000C4113" w:rsidRDefault="009169E8" w:rsidP="008E28A3">
      <w:pPr>
        <w:pStyle w:val="DHHSbody"/>
        <w:rPr>
          <w:lang w:val="da-DK"/>
        </w:rPr>
      </w:pPr>
      <w:r w:rsidRPr="000C4113">
        <w:rPr>
          <w:lang w:val="da-DK"/>
        </w:rPr>
        <w:t>Banerjee et al., 2017</w:t>
      </w:r>
    </w:p>
    <w:p w14:paraId="5CB9D98A" w14:textId="77777777" w:rsidR="009169E8" w:rsidRPr="000C4113" w:rsidRDefault="009169E8" w:rsidP="008E28A3">
      <w:pPr>
        <w:pStyle w:val="DHHSbody"/>
        <w:rPr>
          <w:lang w:val="da-DK"/>
        </w:rPr>
      </w:pPr>
      <w:r w:rsidRPr="000C4113">
        <w:rPr>
          <w:lang w:val="da-DK"/>
        </w:rPr>
        <w:t>Mahmoud et al., 2016</w:t>
      </w:r>
    </w:p>
    <w:p w14:paraId="60DB59F9" w14:textId="77777777" w:rsidR="009169E8" w:rsidRPr="000C4113" w:rsidRDefault="009169E8" w:rsidP="008E28A3">
      <w:pPr>
        <w:pStyle w:val="DHHSbody"/>
        <w:rPr>
          <w:lang w:val="da-DK"/>
        </w:rPr>
      </w:pPr>
      <w:r w:rsidRPr="000C4113">
        <w:rPr>
          <w:lang w:val="da-DK"/>
        </w:rPr>
        <w:t>Nunally et al., 2015</w:t>
      </w:r>
    </w:p>
    <w:p w14:paraId="5A17934D" w14:textId="77777777" w:rsidR="009169E8" w:rsidRPr="000C4113" w:rsidRDefault="009169E8" w:rsidP="008E28A3">
      <w:pPr>
        <w:pStyle w:val="DHHSbody"/>
        <w:rPr>
          <w:lang w:val="da-DK"/>
        </w:rPr>
      </w:pPr>
      <w:r w:rsidRPr="000C4113">
        <w:rPr>
          <w:lang w:val="da-DK"/>
        </w:rPr>
        <w:t>Parashar et al., 2016</w:t>
      </w:r>
    </w:p>
    <w:p w14:paraId="6051BE39" w14:textId="5A96F7E8" w:rsidR="009169E8" w:rsidRDefault="009169E8" w:rsidP="008E28A3">
      <w:pPr>
        <w:pStyle w:val="DHHSbody"/>
      </w:pPr>
      <w:r>
        <w:t>Patel &amp; Eagle, 2015</w:t>
      </w:r>
    </w:p>
    <w:p w14:paraId="3AFB6F44" w14:textId="77777777" w:rsidR="009169E8" w:rsidRDefault="009169E8" w:rsidP="000104F5">
      <w:pPr>
        <w:pStyle w:val="Heading1"/>
      </w:pPr>
      <w:bookmarkStart w:id="15" w:name="_Toc20234284"/>
      <w:r>
        <w:lastRenderedPageBreak/>
        <w:t>Metabolic events</w:t>
      </w:r>
      <w:bookmarkEnd w:id="15"/>
    </w:p>
    <w:p w14:paraId="20AC9FE9" w14:textId="77777777" w:rsidR="009169E8" w:rsidRDefault="009169E8" w:rsidP="000A4644">
      <w:pPr>
        <w:pStyle w:val="Heading2"/>
      </w:pPr>
      <w:r>
        <w:t>THIS TRIENNIUM (2015–2017)</w:t>
      </w:r>
    </w:p>
    <w:p w14:paraId="197F6D1D" w14:textId="6CB16C99" w:rsidR="009169E8" w:rsidRDefault="009169E8" w:rsidP="008E28A3">
      <w:pPr>
        <w:pStyle w:val="DHHSbody"/>
      </w:pPr>
      <w:r>
        <w:t>One event was classified by the council as an anaesthesia-related (categories 1–3) metabolic event. This was a morbidity event involving malignant hyperthermia presenting in a PACU context with early recognition and rapid-effective crisis management.</w:t>
      </w:r>
    </w:p>
    <w:p w14:paraId="48899F3E" w14:textId="6DA02A4E" w:rsidR="009169E8" w:rsidRDefault="009169E8" w:rsidP="008E28A3">
      <w:pPr>
        <w:pStyle w:val="DHHSbody"/>
      </w:pPr>
      <w:r>
        <w:t>This case highlighted the importance of early suspicion and the value of a readily accessible malignant hyperthermia resource kit.</w:t>
      </w:r>
    </w:p>
    <w:p w14:paraId="62AEDFB8" w14:textId="77777777" w:rsidR="009169E8" w:rsidRDefault="009169E8" w:rsidP="00BB165F">
      <w:pPr>
        <w:pStyle w:val="Heading3"/>
      </w:pPr>
      <w:r>
        <w:t>REFERENCES AND RESOURCES</w:t>
      </w:r>
    </w:p>
    <w:p w14:paraId="69C979A5" w14:textId="2610FB03" w:rsidR="009169E8" w:rsidRDefault="009026D1" w:rsidP="008E28A3">
      <w:pPr>
        <w:pStyle w:val="DHHSbody"/>
      </w:pPr>
      <w:hyperlink r:id="rId28" w:history="1">
        <w:r w:rsidR="009169E8" w:rsidRPr="00762256">
          <w:rPr>
            <w:rStyle w:val="Hyperlink"/>
            <w:color w:val="0063A5"/>
            <w:u w:val="single"/>
          </w:rPr>
          <w:t>Malignant Hyperthermia Australia and New Zealand website</w:t>
        </w:r>
      </w:hyperlink>
      <w:r w:rsidR="009169E8">
        <w:t xml:space="preserve"> &lt;http://malignanthyperthermia.org.au/&gt;</w:t>
      </w:r>
    </w:p>
    <w:p w14:paraId="3E3FCD23" w14:textId="77777777" w:rsidR="009169E8" w:rsidRDefault="009169E8" w:rsidP="000104F5">
      <w:pPr>
        <w:pStyle w:val="Heading1"/>
      </w:pPr>
      <w:bookmarkStart w:id="16" w:name="_Toc20234285"/>
      <w:r>
        <w:lastRenderedPageBreak/>
        <w:t>Drug-related events</w:t>
      </w:r>
      <w:bookmarkEnd w:id="16"/>
    </w:p>
    <w:p w14:paraId="0C7C745C" w14:textId="77777777" w:rsidR="009169E8" w:rsidRDefault="009169E8" w:rsidP="000A4644">
      <w:pPr>
        <w:pStyle w:val="Heading2"/>
      </w:pPr>
      <w:r>
        <w:t>THIS TRIENNIUM (2015–2017)</w:t>
      </w:r>
    </w:p>
    <w:p w14:paraId="1D889549" w14:textId="77777777" w:rsidR="009169E8" w:rsidRDefault="009169E8" w:rsidP="008E28A3">
      <w:pPr>
        <w:pStyle w:val="DHHSbody"/>
      </w:pPr>
      <w:r>
        <w:t>The council classified 21 events as category 1–3 drug-related events. One case was classified as a category 4 drug-related morbidity (anaphylaxis to patent blue V dye). Only 1 event was considered likely to be preventable.</w:t>
      </w:r>
    </w:p>
    <w:p w14:paraId="1BD3DD46" w14:textId="77777777" w:rsidR="009169E8" w:rsidRDefault="009169E8" w:rsidP="00E961B4">
      <w:pPr>
        <w:pStyle w:val="Bullet1"/>
      </w:pPr>
      <w:r>
        <w:t>Seventeen of the category 1–3 events involved confirmed or suspected intraoperative anaphylaxis and were considered not preventable at the time of the event. Fatal outcomes occurred in some patients despite early recognition and appropriate resuscitation efforts. These events are explored in more detail in the focus section on anaphylaxis.</w:t>
      </w:r>
    </w:p>
    <w:p w14:paraId="29DC9269" w14:textId="77777777" w:rsidR="009169E8" w:rsidRDefault="009169E8" w:rsidP="00E961B4">
      <w:pPr>
        <w:pStyle w:val="Bullet1"/>
      </w:pPr>
      <w:r>
        <w:t>Reactions to patent blue V dye injection were confirmed in one morbidity event (category 4) and suspected in two other morbidity events. These are discussed further in the focus section on anaphylaxis.</w:t>
      </w:r>
    </w:p>
    <w:p w14:paraId="0DE980AB" w14:textId="77777777" w:rsidR="009169E8" w:rsidRDefault="009169E8" w:rsidP="00E961B4">
      <w:pPr>
        <w:pStyle w:val="Bullet1"/>
      </w:pPr>
      <w:r>
        <w:t>One case of tachyarrhythmia and hypertension, with subsequent acute pulmonary oedema, followed lingual injection of bupivacaine with adrenaline.</w:t>
      </w:r>
    </w:p>
    <w:p w14:paraId="51F9CE47" w14:textId="77777777" w:rsidR="009169E8" w:rsidRDefault="009169E8" w:rsidP="00E961B4">
      <w:pPr>
        <w:pStyle w:val="Bullet1"/>
      </w:pPr>
      <w:r>
        <w:t>One case of awareness occurred due to residual paralysis in the context of undiagnosed atypical pseudocholinesterase.</w:t>
      </w:r>
    </w:p>
    <w:p w14:paraId="776B4F6F" w14:textId="3483F4F0" w:rsidR="009169E8" w:rsidRDefault="009169E8" w:rsidP="00BB165F">
      <w:pPr>
        <w:pStyle w:val="Bullet1"/>
      </w:pPr>
      <w:r>
        <w:t>One unintended drug overdose resulted in over sedation and cancellation of an elective procedure. Both a human drug calculation error and an unspecified drug pump calculation error were reported. This event highlighted the risk of error when anaesthetic staff are using unfamiliar medications and/or dosing regimens (for example, mcg/kg/hr, not mcg/kg/min).</w:t>
      </w:r>
    </w:p>
    <w:p w14:paraId="6AD346C3" w14:textId="77777777" w:rsidR="009169E8" w:rsidRDefault="009169E8" w:rsidP="000A4644">
      <w:pPr>
        <w:pStyle w:val="Heading2"/>
      </w:pPr>
      <w:r>
        <w:t>BROADER PERSPECTIVE</w:t>
      </w:r>
    </w:p>
    <w:p w14:paraId="464EA758" w14:textId="77777777" w:rsidR="009169E8" w:rsidRDefault="009169E8" w:rsidP="00BB165F">
      <w:pPr>
        <w:pStyle w:val="Heading3"/>
      </w:pPr>
      <w:r>
        <w:t xml:space="preserve">Medication errors in anaesthesia </w:t>
      </w:r>
    </w:p>
    <w:p w14:paraId="5276A23A" w14:textId="77777777" w:rsidR="009169E8" w:rsidRDefault="009169E8" w:rsidP="008E28A3">
      <w:pPr>
        <w:pStyle w:val="DHHSbody"/>
      </w:pPr>
      <w:r>
        <w:t>Medication errors in operating theatres remain a significant problem with the potential to cause serious harm, despite many of them being considered preventable. In a prospective observational study published in 2016 (</w:t>
      </w:r>
      <w:proofErr w:type="spellStart"/>
      <w:r>
        <w:t>Nanji</w:t>
      </w:r>
      <w:proofErr w:type="spellEnd"/>
      <w:r>
        <w:t>, Patel, Shaikh, Seger, &amp; Bates, 2016), it was found that 5.3 per cent of medication administrations in an operating room context were affected by a medication error and/or adverse drug event, with 79.3 per cent of these considered preventable and 64.7 per cent of errors considered serious. The most common errors were labelling errors (24.2 per cent), wrong dose errors (22.9 per cent) and omitted medications / failure to act (17.6 per cent).</w:t>
      </w:r>
    </w:p>
    <w:p w14:paraId="2C3A5AF2" w14:textId="77777777" w:rsidR="009169E8" w:rsidRDefault="009169E8" w:rsidP="008E28A3">
      <w:pPr>
        <w:pStyle w:val="DHHSbody"/>
      </w:pPr>
      <w:r>
        <w:t>A 2017 review of the literature around medication errors and medication safety in operating rooms (</w:t>
      </w:r>
      <w:proofErr w:type="spellStart"/>
      <w:r>
        <w:t>Wahr</w:t>
      </w:r>
      <w:proofErr w:type="spellEnd"/>
      <w:r>
        <w:t>, et al., 2017) noted the few ‘rigorous’ studies in this field but derived a set of strategies from the literature supported by expert opinions that may reduce the risk of medication errors during surgery. In this review, recommended strategies around drug information included use of cognitive aids, checklists, protocols and infusion rate charts. The use of smart pumps with drug libraries, guardrails and alerts was one of the recommended strategies for infusions.</w:t>
      </w:r>
    </w:p>
    <w:p w14:paraId="55BFC184" w14:textId="77777777" w:rsidR="009169E8" w:rsidRDefault="009169E8" w:rsidP="000A4644">
      <w:pPr>
        <w:pStyle w:val="Heading2"/>
      </w:pPr>
      <w:r>
        <w:t>PRACTICE POINTS</w:t>
      </w:r>
    </w:p>
    <w:p w14:paraId="386FC95C" w14:textId="455865BE" w:rsidR="009169E8" w:rsidRDefault="009169E8" w:rsidP="008E28A3">
      <w:pPr>
        <w:pStyle w:val="DHHSbody"/>
      </w:pPr>
      <w:r>
        <w:t>Protocols with clear and detailed drug preparation and administration instructions (including tables with calculated maintenance infusion doses and infusion rates for a range of patient body weights) may be helpful reference points for staff working with unfamiliar medications and/or dosing regimens (if technology-based aids are not available).</w:t>
      </w:r>
    </w:p>
    <w:p w14:paraId="338C912F" w14:textId="77777777" w:rsidR="009169E8" w:rsidRDefault="009169E8" w:rsidP="000A4644">
      <w:pPr>
        <w:pStyle w:val="Heading2"/>
      </w:pPr>
      <w:r>
        <w:t>REFERENCES AND RESOURCES</w:t>
      </w:r>
    </w:p>
    <w:p w14:paraId="32AA8BD8" w14:textId="77777777" w:rsidR="009169E8" w:rsidRDefault="009169E8" w:rsidP="008E28A3">
      <w:pPr>
        <w:pStyle w:val="DHHSbody"/>
      </w:pPr>
      <w:proofErr w:type="spellStart"/>
      <w:r>
        <w:t>Nanji</w:t>
      </w:r>
      <w:proofErr w:type="spellEnd"/>
      <w:r>
        <w:t xml:space="preserve"> et al., 2016</w:t>
      </w:r>
    </w:p>
    <w:p w14:paraId="53C3BA27" w14:textId="77777777" w:rsidR="009169E8" w:rsidRPr="000C4113" w:rsidRDefault="009169E8" w:rsidP="008E28A3">
      <w:pPr>
        <w:pStyle w:val="DHHSbody"/>
        <w:rPr>
          <w:lang w:val="fr-FR"/>
        </w:rPr>
      </w:pPr>
      <w:proofErr w:type="spellStart"/>
      <w:r w:rsidRPr="000C4113">
        <w:rPr>
          <w:lang w:val="fr-FR"/>
        </w:rPr>
        <w:t>Wahr</w:t>
      </w:r>
      <w:proofErr w:type="spellEnd"/>
      <w:r w:rsidRPr="000C4113">
        <w:rPr>
          <w:lang w:val="fr-FR"/>
        </w:rPr>
        <w:t xml:space="preserve"> et al., 2017</w:t>
      </w:r>
    </w:p>
    <w:p w14:paraId="16C95E76" w14:textId="77777777" w:rsidR="009169E8" w:rsidRPr="000C4113" w:rsidRDefault="009169E8" w:rsidP="008E28A3">
      <w:pPr>
        <w:pStyle w:val="DHHSbody"/>
        <w:rPr>
          <w:lang w:val="fr-FR"/>
        </w:rPr>
      </w:pPr>
    </w:p>
    <w:p w14:paraId="463984BF" w14:textId="77777777" w:rsidR="009169E8" w:rsidRPr="000C4113" w:rsidRDefault="009169E8" w:rsidP="000104F5">
      <w:pPr>
        <w:pStyle w:val="Heading1"/>
        <w:rPr>
          <w:lang w:val="fr-FR"/>
        </w:rPr>
      </w:pPr>
      <w:bookmarkStart w:id="17" w:name="_Toc20234286"/>
      <w:r w:rsidRPr="000C4113">
        <w:rPr>
          <w:lang w:val="fr-FR"/>
        </w:rPr>
        <w:lastRenderedPageBreak/>
        <w:t xml:space="preserve">Focus on </w:t>
      </w:r>
      <w:proofErr w:type="spellStart"/>
      <w:r w:rsidRPr="000C4113">
        <w:rPr>
          <w:lang w:val="fr-FR"/>
        </w:rPr>
        <w:t>anaphylaxis</w:t>
      </w:r>
      <w:bookmarkEnd w:id="17"/>
      <w:proofErr w:type="spellEnd"/>
    </w:p>
    <w:p w14:paraId="371DB737" w14:textId="77777777" w:rsidR="009169E8" w:rsidRDefault="009169E8" w:rsidP="000A4644">
      <w:pPr>
        <w:pStyle w:val="Heading2"/>
      </w:pPr>
      <w:r>
        <w:t>BACKGROUND</w:t>
      </w:r>
    </w:p>
    <w:p w14:paraId="0A0A9B97" w14:textId="77777777" w:rsidR="009169E8" w:rsidRDefault="009169E8" w:rsidP="008E28A3">
      <w:pPr>
        <w:pStyle w:val="DHHSbody"/>
      </w:pPr>
      <w:r>
        <w:t>Anaphylaxis remains an important cause of anaesthesia-related morbidity and mortality. Its ability to unpredictably affect the lives of otherwise healthy patients undergoing elective surgical procedures underpins the importance of continuing efforts to:</w:t>
      </w:r>
    </w:p>
    <w:p w14:paraId="53FFA4D4" w14:textId="77777777" w:rsidR="009169E8" w:rsidRDefault="009169E8" w:rsidP="00E961B4">
      <w:pPr>
        <w:pStyle w:val="Bullet1"/>
      </w:pPr>
      <w:r>
        <w:t>gain a better understanding of predisposing factors</w:t>
      </w:r>
    </w:p>
    <w:p w14:paraId="116342F8" w14:textId="77777777" w:rsidR="009169E8" w:rsidRDefault="009169E8" w:rsidP="00E961B4">
      <w:pPr>
        <w:pStyle w:val="Bullet1"/>
      </w:pPr>
      <w:r>
        <w:t>provide education and training around recognition and management</w:t>
      </w:r>
    </w:p>
    <w:p w14:paraId="280CD16D" w14:textId="6B43F998" w:rsidR="009169E8" w:rsidRDefault="009169E8" w:rsidP="00E961B4">
      <w:pPr>
        <w:pStyle w:val="Bullet1"/>
      </w:pPr>
      <w:r>
        <w:t>promote the use of cognitive aids to support evidence-based, effective crisis management</w:t>
      </w:r>
    </w:p>
    <w:p w14:paraId="0ECB1852" w14:textId="77777777" w:rsidR="009169E8" w:rsidRDefault="009169E8" w:rsidP="00BB165F">
      <w:pPr>
        <w:pStyle w:val="Bullet1"/>
      </w:pPr>
      <w:r>
        <w:t>ensure post-event follow-up to identify triggering agents and provide patient education, information and support.</w:t>
      </w:r>
    </w:p>
    <w:p w14:paraId="2070AD79" w14:textId="77777777" w:rsidR="009169E8" w:rsidRDefault="009169E8" w:rsidP="000A4644">
      <w:pPr>
        <w:pStyle w:val="Heading2"/>
      </w:pPr>
      <w:r>
        <w:t>THIS TRIENNIUM (2015–2017)</w:t>
      </w:r>
    </w:p>
    <w:p w14:paraId="1DBBD0D4" w14:textId="29CB38AD" w:rsidR="009169E8" w:rsidRDefault="009169E8" w:rsidP="008E28A3">
      <w:pPr>
        <w:pStyle w:val="DHHSbody"/>
      </w:pPr>
      <w:r>
        <w:t>Eighteen cases were classified as anaphylaxis events. Sixteen cases (six mortality, 11 morbidity events) were classified as anaesthesia-related (category 1–3) anaphylaxis events. One case was classified as a category 4 morbidity (confirmed anaphylaxis to patent blue V dye). Another postoperative death involved likely intraoperative anaphylaxis on the basis of post-mortem testing.</w:t>
      </w:r>
    </w:p>
    <w:p w14:paraId="49470EA3" w14:textId="744A1372" w:rsidR="009169E8" w:rsidRDefault="009169E8" w:rsidP="00E961B4">
      <w:pPr>
        <w:pStyle w:val="Bullet1"/>
      </w:pPr>
      <w:r>
        <w:t>Eleven cases occurred during elective procedures and seven during emergency procedures.</w:t>
      </w:r>
    </w:p>
    <w:p w14:paraId="460950D7" w14:textId="58D8EB02" w:rsidR="009169E8" w:rsidRDefault="009169E8" w:rsidP="00E961B4">
      <w:pPr>
        <w:pStyle w:val="Bullet1"/>
      </w:pPr>
      <w:r>
        <w:t>Cases were spread across the ASA score categories 1–3 (with one patient ASA 4). Ages ranged from 17 to 74 years.</w:t>
      </w:r>
    </w:p>
    <w:p w14:paraId="6E6F28D6" w14:textId="14BC8977" w:rsidR="009169E8" w:rsidRDefault="009169E8" w:rsidP="00E961B4">
      <w:pPr>
        <w:pStyle w:val="Bullet1"/>
      </w:pPr>
      <w:r>
        <w:t xml:space="preserve">All reported cases had features of at least moderate grade anaphylaxis (Kolawole, Marshall, Crilly, </w:t>
      </w:r>
      <w:proofErr w:type="spellStart"/>
      <w:r>
        <w:t>Kerridges</w:t>
      </w:r>
      <w:proofErr w:type="spellEnd"/>
      <w:r>
        <w:t>, &amp; Roessler, 2017; Rose, Green, Crilly, &amp; Kolawole, 2016). Only one patient was identified as having a previous history of anaphylaxis. All other cases were deemed not preventable at the time of the event.</w:t>
      </w:r>
    </w:p>
    <w:p w14:paraId="397E86B0" w14:textId="1FF256A0" w:rsidR="009169E8" w:rsidRDefault="009169E8" w:rsidP="00E961B4">
      <w:pPr>
        <w:pStyle w:val="Bullet1"/>
      </w:pPr>
      <w:r>
        <w:t xml:space="preserve">Six cases were attributed to </w:t>
      </w:r>
      <w:proofErr w:type="spellStart"/>
      <w:r>
        <w:t>suxamethonium</w:t>
      </w:r>
      <w:proofErr w:type="spellEnd"/>
      <w:r>
        <w:t xml:space="preserve"> (including the case of likely anaphylaxis), two to atracurium, one to cephazolin and one to patent blue V dye on the basis of post-event testing. Based on event timing, cephazolin and blue dye were suspected causes in two other cases. Information was not available at the time of this report regarding a triggering agent for the remaining eight cases, but, of note, all eight patients had received GA that included administering a neuromuscular blocking agent.</w:t>
      </w:r>
    </w:p>
    <w:p w14:paraId="4601EBF9" w14:textId="77777777" w:rsidR="009169E8" w:rsidRDefault="009169E8" w:rsidP="00E961B4">
      <w:pPr>
        <w:pStyle w:val="Bullet1"/>
      </w:pPr>
      <w:r>
        <w:t>Mast cell tryptase levels were elevated in 14 of the 17 cases.</w:t>
      </w:r>
    </w:p>
    <w:p w14:paraId="52C687B9" w14:textId="2C3EAA3D" w:rsidR="009169E8" w:rsidRDefault="009169E8" w:rsidP="00E961B4">
      <w:pPr>
        <w:pStyle w:val="Bullet1"/>
      </w:pPr>
      <w:r>
        <w:t xml:space="preserve">Of the six reported deaths attributed to anaphylaxis, all were over the age of 50 and the reaction was associated with progression to cardiac arrest in the operating theatre. Obesity </w:t>
      </w:r>
      <w:r>
        <w:rPr>
          <w:spacing w:val="-6"/>
        </w:rPr>
        <w:t xml:space="preserve">was a known comorbidity in four of these patients. </w:t>
      </w:r>
      <w:r>
        <w:t>Three patients died in the operating theatre.</w:t>
      </w:r>
    </w:p>
    <w:p w14:paraId="25519D00" w14:textId="77777777" w:rsidR="009169E8" w:rsidRDefault="009169E8" w:rsidP="00BB165F">
      <w:pPr>
        <w:pStyle w:val="Bullet1"/>
      </w:pPr>
      <w:r>
        <w:t>Referrals this triennium have highlighted that persistence may be required to encourage patients to attend follow-up for further investigation of the reaction.</w:t>
      </w:r>
    </w:p>
    <w:p w14:paraId="4700C5D7" w14:textId="77777777" w:rsidR="009169E8" w:rsidRDefault="009169E8" w:rsidP="000A4644">
      <w:pPr>
        <w:pStyle w:val="Heading2"/>
      </w:pPr>
      <w:r>
        <w:t>BROADER PERSPECTIVE</w:t>
      </w:r>
    </w:p>
    <w:p w14:paraId="03B2B5D5" w14:textId="70D21009" w:rsidR="009169E8" w:rsidRDefault="009169E8" w:rsidP="008E28A3">
      <w:pPr>
        <w:pStyle w:val="DHHSbody"/>
      </w:pPr>
      <w:r>
        <w:t xml:space="preserve">The </w:t>
      </w:r>
      <w:r w:rsidRPr="006E1E66">
        <w:rPr>
          <w:color w:val="000000" w:themeColor="text1"/>
        </w:rPr>
        <w:t xml:space="preserve">6th National Audit Project (NAP 6) report </w:t>
      </w:r>
      <w:r>
        <w:t xml:space="preserve">on perioperative anaphylaxis, published by the Royal College of Anaesthetists in 2018 (Royal College of Anaesthetists, 2018) provides a comprehensive review of 266 reports of grades 3–5 anaphylaxis collected over one year from all NHS hospitals in the UK. Access </w:t>
      </w:r>
      <w:r w:rsidR="006E1E66">
        <w:t xml:space="preserve">the </w:t>
      </w:r>
      <w:hyperlink r:id="rId29" w:anchor="pt" w:history="1">
        <w:r w:rsidR="006E1E66" w:rsidRPr="006E1E66">
          <w:rPr>
            <w:rStyle w:val="Hyperlink"/>
            <w:color w:val="0063A5"/>
            <w:u w:val="single"/>
          </w:rPr>
          <w:t>6th National Audit Project (NAP 6) report</w:t>
        </w:r>
      </w:hyperlink>
      <w:r w:rsidR="006E1E66">
        <w:t xml:space="preserve"> </w:t>
      </w:r>
      <w:r>
        <w:t>online &lt;https://www.nationalauditprojects.org.uk/NAP6Report#pt&gt;.</w:t>
      </w:r>
    </w:p>
    <w:p w14:paraId="79F64EFE" w14:textId="77777777" w:rsidR="009169E8" w:rsidRDefault="009169E8" w:rsidP="00BB165F">
      <w:pPr>
        <w:pStyle w:val="Heading3"/>
      </w:pPr>
      <w:r>
        <w:t>Reactions to patent blue V dye</w:t>
      </w:r>
    </w:p>
    <w:p w14:paraId="79416353" w14:textId="7B15A9AB" w:rsidR="009169E8" w:rsidRDefault="009169E8" w:rsidP="008E28A3">
      <w:pPr>
        <w:pStyle w:val="DHHSbody"/>
      </w:pPr>
      <w:r>
        <w:t xml:space="preserve">Patent blue V is commonly used for sentinel node </w:t>
      </w:r>
      <w:r>
        <w:rPr>
          <w:spacing w:val="-2"/>
        </w:rPr>
        <w:t xml:space="preserve">biopsy. A 2011 survey of the experience of Australian </w:t>
      </w:r>
      <w:r>
        <w:t>and New Zealand breast surgeons reported the incidence of anaphylactic reactions to patent blue V dye as 0.15 per cent (Wong &amp; Spillane, 2014).</w:t>
      </w:r>
    </w:p>
    <w:p w14:paraId="5C8C6D7F" w14:textId="77777777" w:rsidR="009169E8" w:rsidRDefault="009169E8" w:rsidP="008E28A3">
      <w:pPr>
        <w:pStyle w:val="DHHSbody"/>
      </w:pPr>
      <w:r>
        <w:t xml:space="preserve">In the recently released NAP 6 report on perioperative anaphylaxis from the United Kingdom, nine cases of confirmed anaphylaxis to patent blue V dye were identified, equating to 14.6 per 100,000 administrations in the UK, revealing </w:t>
      </w:r>
      <w:r>
        <w:lastRenderedPageBreak/>
        <w:t>this as the fourth most common cause of perioperative anaphylaxis in the audit (Harper, et al., 2018). There was often a delay between injection and onset of symptoms or signs, which has also been reported in other studies (Hunting, et al., 2009).</w:t>
      </w:r>
    </w:p>
    <w:p w14:paraId="12519534" w14:textId="77777777" w:rsidR="009169E8" w:rsidRDefault="009169E8" w:rsidP="008E28A3">
      <w:pPr>
        <w:pStyle w:val="DHHSbody"/>
      </w:pPr>
      <w:r>
        <w:t>The NAP 6 report also reported that when patent blue V was assumed to be the cause of anaphylaxis; this was sometimes a reason for failing to refer patients for formal testing (Royal College of Anaesthetists, 2018). A low rate of formal allergy testing was also found in the survey by Wong and Spillane (2011).</w:t>
      </w:r>
    </w:p>
    <w:p w14:paraId="5ED5AD3A" w14:textId="77777777" w:rsidR="009169E8" w:rsidRDefault="009169E8" w:rsidP="000A4644">
      <w:pPr>
        <w:pStyle w:val="Heading2"/>
      </w:pPr>
      <w:r>
        <w:t>KEY MESSAGES FROM ANAPHYLAXIS EVENTS</w:t>
      </w:r>
    </w:p>
    <w:p w14:paraId="466372E5" w14:textId="091AF837" w:rsidR="009169E8" w:rsidRDefault="009169E8" w:rsidP="00E961B4">
      <w:pPr>
        <w:pStyle w:val="Bullet1"/>
      </w:pPr>
      <w:r>
        <w:t>Effective anaphylaxis treatment depends on early recognition and prompt crisis management with adrenaline administration in recommended doses, aggressive fluid administration and escalation of treatment when response is not sufficient.</w:t>
      </w:r>
    </w:p>
    <w:p w14:paraId="703B9973" w14:textId="6AB10974" w:rsidR="009169E8" w:rsidRDefault="009169E8" w:rsidP="00E961B4">
      <w:pPr>
        <w:pStyle w:val="Bullet1"/>
      </w:pPr>
      <w:r>
        <w:t>Other important aspects of effective anaphylaxis management include prompt declaration of an emergency, use of anaphylaxis crisis management cards to guide and progress care, careful decision making around whether or not to continue with surgery, cautious postoperative monitoring and ensuring thorough post-event follow-up to identify triggering agents.</w:t>
      </w:r>
    </w:p>
    <w:p w14:paraId="397ABDF3" w14:textId="77777777" w:rsidR="009169E8" w:rsidRDefault="009169E8" w:rsidP="00BB165F">
      <w:pPr>
        <w:pStyle w:val="Bullet1"/>
      </w:pPr>
      <w:r>
        <w:t>However, even with prompt recognition and appropriate care, some cases of perioperative anaphylaxis continue to be fatal. This highlights the importance of continuing to further enhance our understanding of the incidence, predisposing factors, triggering agents and clinical care outcomes for perioperative anaphylaxis. An enhanced understanding will help identify ongoing research opportunities and specific areas where further clinical practice changes may reduce risk and/or improve outcomes.</w:t>
      </w:r>
    </w:p>
    <w:p w14:paraId="34D5DFC8" w14:textId="77777777" w:rsidR="009169E8" w:rsidRDefault="009169E8" w:rsidP="000A4644">
      <w:pPr>
        <w:pStyle w:val="Heading2"/>
      </w:pPr>
      <w:r>
        <w:t>PRACTICE POINTS HIGHLIGHTED BY ANAPHYLAXIS EVENTS</w:t>
      </w:r>
    </w:p>
    <w:p w14:paraId="0BF6C098" w14:textId="24C49F2D" w:rsidR="009169E8" w:rsidRDefault="009169E8" w:rsidP="00BB165F">
      <w:pPr>
        <w:pStyle w:val="Heading3"/>
      </w:pPr>
      <w:r>
        <w:t>Presenting features of anaphylaxis vary widely</w:t>
      </w:r>
    </w:p>
    <w:p w14:paraId="14473EE5" w14:textId="77777777" w:rsidR="009169E8" w:rsidRDefault="009169E8" w:rsidP="00E961B4">
      <w:pPr>
        <w:pStyle w:val="Bullet1"/>
      </w:pPr>
      <w:r>
        <w:t>Multiple clinical features may occur concurrently (for example, dermatological, cardiovascular, respiratory) or a single clinical feature (such as hypotension, tachycardia or bronchospasm) may dominate.</w:t>
      </w:r>
    </w:p>
    <w:p w14:paraId="0C448919" w14:textId="261B5ABD" w:rsidR="009169E8" w:rsidRDefault="009169E8" w:rsidP="00BB165F">
      <w:pPr>
        <w:pStyle w:val="Bullet1"/>
      </w:pPr>
      <w:r>
        <w:t>Severe hypotension during anaesthesia, particularly when it is unexplained and/or unresponsive to intervention, should raise concern regarding the possibility of anaphylaxis as a differential diagnosis.</w:t>
      </w:r>
    </w:p>
    <w:p w14:paraId="52D3FC6E" w14:textId="77777777" w:rsidR="009169E8" w:rsidRDefault="009169E8" w:rsidP="00BB165F">
      <w:pPr>
        <w:pStyle w:val="Heading3"/>
      </w:pPr>
      <w:r>
        <w:t>Management of anaphylaxis</w:t>
      </w:r>
    </w:p>
    <w:p w14:paraId="2987F4AF" w14:textId="0274D2E4" w:rsidR="009169E8" w:rsidRDefault="009169E8" w:rsidP="00E961B4">
      <w:pPr>
        <w:pStyle w:val="Bullet1"/>
      </w:pPr>
      <w:r>
        <w:t>Early and adequate adrenaline administration and fluid resuscitation in recommended doses (as per the ANZCA and ANZAAG guidelines (Australian and New Zealand College of Anaesthetists and Australian and New Zealand Anaesthetic Allergy Group, 2016)) are critical in treating suspected perioperative anaphylaxis.</w:t>
      </w:r>
    </w:p>
    <w:p w14:paraId="5FC2A68E" w14:textId="77777777" w:rsidR="009169E8" w:rsidRDefault="009169E8" w:rsidP="00BB165F">
      <w:pPr>
        <w:pStyle w:val="Bullet1"/>
      </w:pPr>
      <w:r>
        <w:t>Anaphylaxis crisis management cards are important cognitive aids to support and guide timely, comprehensive treatment and facilitate effective team-based care.</w:t>
      </w:r>
    </w:p>
    <w:p w14:paraId="497C6C47" w14:textId="77777777" w:rsidR="009169E8" w:rsidRDefault="009169E8" w:rsidP="00BB165F">
      <w:pPr>
        <w:pStyle w:val="Heading3"/>
      </w:pPr>
      <w:r>
        <w:t>Decision making around continuing surgery after intraoperative anaphylaxis</w:t>
      </w:r>
    </w:p>
    <w:p w14:paraId="4552BFB4" w14:textId="56CB1A37" w:rsidR="009169E8" w:rsidRDefault="009169E8" w:rsidP="00E961B4">
      <w:pPr>
        <w:pStyle w:val="Bullet1"/>
      </w:pPr>
      <w:r>
        <w:t xml:space="preserve">Deciding whether to continue with surgery in the context of suspected anaphylaxis is a complex decision (Sadleir, Clarke, </w:t>
      </w:r>
      <w:proofErr w:type="spellStart"/>
      <w:r>
        <w:t>Bozic</w:t>
      </w:r>
      <w:proofErr w:type="spellEnd"/>
      <w:r>
        <w:t>, &amp; Platt, 2018), requiring careful risk-benefit discussion that considers the nature of the surgery, the severity of the anaphylactic reaction and the patient’s underlying condition.</w:t>
      </w:r>
    </w:p>
    <w:p w14:paraId="1291230D" w14:textId="77777777" w:rsidR="009169E8" w:rsidRDefault="009169E8" w:rsidP="00BB165F">
      <w:pPr>
        <w:pStyle w:val="Bullet1"/>
      </w:pPr>
      <w:r>
        <w:t>In non-elective situations, another anaesthetic may be required before allergy testing has been undertaken. Seeking advice from an anaesthetic allergy testing centre can be helpful in this situation.</w:t>
      </w:r>
    </w:p>
    <w:p w14:paraId="64FA6836" w14:textId="77777777" w:rsidR="009169E8" w:rsidRDefault="009169E8" w:rsidP="000A4644">
      <w:pPr>
        <w:pStyle w:val="Heading2"/>
      </w:pPr>
      <w:r>
        <w:t>POST-EVENT LOCATION OF CARE</w:t>
      </w:r>
    </w:p>
    <w:p w14:paraId="757CCC2F" w14:textId="77777777" w:rsidR="009169E8" w:rsidRDefault="009169E8" w:rsidP="008E28A3">
      <w:pPr>
        <w:pStyle w:val="DHHSbody"/>
      </w:pPr>
      <w:r>
        <w:t>Airway oedema after anaphylaxis can last beyond 24 hours. This is an important reason for arranging HDU/ICU monitoring following perioperative anaphylaxis.</w:t>
      </w:r>
    </w:p>
    <w:p w14:paraId="4FB22ED8" w14:textId="77777777" w:rsidR="009169E8" w:rsidRDefault="009169E8" w:rsidP="000A4644">
      <w:pPr>
        <w:pStyle w:val="Heading2"/>
      </w:pPr>
    </w:p>
    <w:p w14:paraId="01BBF368" w14:textId="77777777" w:rsidR="009169E8" w:rsidRDefault="009169E8" w:rsidP="000A4644">
      <w:pPr>
        <w:pStyle w:val="Heading2"/>
      </w:pPr>
      <w:r>
        <w:t>POST-DISCHARGE FOLLOW-UP</w:t>
      </w:r>
    </w:p>
    <w:p w14:paraId="22759594" w14:textId="77777777" w:rsidR="009169E8" w:rsidRDefault="009169E8" w:rsidP="008E28A3">
      <w:pPr>
        <w:pStyle w:val="DHHSbody"/>
      </w:pPr>
      <w:r>
        <w:t>All patients discharged after experiencing perioperative anaphylaxis should be referred to an anaesthetic allergy testing centre for further investigation. The importance of follow-up should be discussed with the patient and persistent efforts made to encourage attendance. Assumptions regarding the likely triggering agent should not preclude referral.</w:t>
      </w:r>
    </w:p>
    <w:p w14:paraId="13F81C79" w14:textId="77777777" w:rsidR="009169E8" w:rsidRDefault="009169E8" w:rsidP="000A4644">
      <w:pPr>
        <w:pStyle w:val="Heading2"/>
      </w:pPr>
      <w:r>
        <w:t>REFERENCES AND RESOURCES</w:t>
      </w:r>
    </w:p>
    <w:p w14:paraId="3068FFEF" w14:textId="59FFF892" w:rsidR="009169E8" w:rsidRDefault="009169E8" w:rsidP="008E28A3">
      <w:pPr>
        <w:pStyle w:val="DHHSbody"/>
      </w:pPr>
      <w:r>
        <w:t xml:space="preserve">ANZCA and ANZAAG </w:t>
      </w:r>
      <w:hyperlink r:id="rId30" w:history="1">
        <w:r w:rsidRPr="00AA4EE1">
          <w:rPr>
            <w:rStyle w:val="Hyperlink"/>
            <w:i/>
            <w:iCs/>
            <w:color w:val="0063A5"/>
            <w:u w:val="single"/>
          </w:rPr>
          <w:t>Perioperative anaphylaxis management guidelines 2016</w:t>
        </w:r>
      </w:hyperlink>
      <w:r w:rsidRPr="00AA4EE1">
        <w:rPr>
          <w:color w:val="0063A5"/>
        </w:rPr>
        <w:t xml:space="preserve"> </w:t>
      </w:r>
      <w:r>
        <w:t>&lt;http://www.anzca.edu.au/resources/endorsed-guidelines&gt;</w:t>
      </w:r>
    </w:p>
    <w:p w14:paraId="472F5395" w14:textId="77777777" w:rsidR="009169E8" w:rsidRPr="000C4113" w:rsidRDefault="009169E8" w:rsidP="008E28A3">
      <w:pPr>
        <w:pStyle w:val="DHHSbody"/>
        <w:rPr>
          <w:lang w:val="da-DK"/>
        </w:rPr>
      </w:pPr>
      <w:r w:rsidRPr="000C4113">
        <w:rPr>
          <w:lang w:val="da-DK"/>
        </w:rPr>
        <w:t>Harper et al., 2018</w:t>
      </w:r>
    </w:p>
    <w:p w14:paraId="7DA65A36" w14:textId="77777777" w:rsidR="009169E8" w:rsidRPr="000C4113" w:rsidRDefault="009169E8" w:rsidP="008E28A3">
      <w:pPr>
        <w:pStyle w:val="DHHSbody"/>
        <w:rPr>
          <w:lang w:val="da-DK"/>
        </w:rPr>
      </w:pPr>
      <w:r w:rsidRPr="000C4113">
        <w:rPr>
          <w:lang w:val="da-DK"/>
        </w:rPr>
        <w:t>Hunting et al.</w:t>
      </w:r>
    </w:p>
    <w:p w14:paraId="71DFB6B6" w14:textId="77777777" w:rsidR="009169E8" w:rsidRPr="000C4113" w:rsidRDefault="009169E8" w:rsidP="008E28A3">
      <w:pPr>
        <w:pStyle w:val="DHHSbody"/>
        <w:rPr>
          <w:lang w:val="da-DK"/>
        </w:rPr>
      </w:pPr>
      <w:r w:rsidRPr="000C4113">
        <w:rPr>
          <w:lang w:val="da-DK"/>
        </w:rPr>
        <w:t>Kolawole et al., 2017</w:t>
      </w:r>
    </w:p>
    <w:p w14:paraId="2E714FF1" w14:textId="77777777" w:rsidR="009169E8" w:rsidRPr="000C4113" w:rsidRDefault="009169E8" w:rsidP="008E28A3">
      <w:pPr>
        <w:pStyle w:val="DHHSbody"/>
        <w:rPr>
          <w:lang w:val="da-DK"/>
        </w:rPr>
      </w:pPr>
      <w:r w:rsidRPr="000C4113">
        <w:rPr>
          <w:lang w:val="da-DK"/>
        </w:rPr>
        <w:t>Rose et al., 2016</w:t>
      </w:r>
    </w:p>
    <w:p w14:paraId="4C1492B6" w14:textId="77777777" w:rsidR="009169E8" w:rsidRDefault="009169E8" w:rsidP="008E28A3">
      <w:pPr>
        <w:pStyle w:val="DHHSbody"/>
      </w:pPr>
      <w:r>
        <w:t>Royal College of Anaesthetists, 2018</w:t>
      </w:r>
    </w:p>
    <w:p w14:paraId="4C4D38DE" w14:textId="77777777" w:rsidR="009169E8" w:rsidRDefault="009169E8" w:rsidP="008E28A3">
      <w:pPr>
        <w:pStyle w:val="DHHSbody"/>
      </w:pPr>
      <w:r>
        <w:t>Sadleir et al., 2018</w:t>
      </w:r>
    </w:p>
    <w:p w14:paraId="498B73F1" w14:textId="4F7A53A5" w:rsidR="009169E8" w:rsidRDefault="009026D1" w:rsidP="008E28A3">
      <w:pPr>
        <w:pStyle w:val="DHHSbody"/>
      </w:pPr>
      <w:hyperlink r:id="rId31" w:history="1">
        <w:r w:rsidR="009169E8" w:rsidRPr="00173A0C">
          <w:rPr>
            <w:rStyle w:val="Hyperlink"/>
            <w:color w:val="0063A5"/>
            <w:u w:val="single"/>
          </w:rPr>
          <w:t>The Australian and New Zealand Anaesthetic Allergy Group</w:t>
        </w:r>
      </w:hyperlink>
      <w:r w:rsidR="009169E8" w:rsidRPr="00173A0C">
        <w:rPr>
          <w:color w:val="0063A5"/>
        </w:rPr>
        <w:t xml:space="preserve"> </w:t>
      </w:r>
      <w:r w:rsidR="009169E8">
        <w:t>&lt;http://www.anzaag.com/&gt;</w:t>
      </w:r>
    </w:p>
    <w:p w14:paraId="05EBAF7C" w14:textId="77777777" w:rsidR="009169E8" w:rsidRDefault="009169E8" w:rsidP="008E28A3">
      <w:pPr>
        <w:pStyle w:val="DHHSbody"/>
      </w:pPr>
      <w:r>
        <w:t>Wong &amp; Spillane, 2014</w:t>
      </w:r>
    </w:p>
    <w:p w14:paraId="4F5C8D26" w14:textId="77777777" w:rsidR="009169E8" w:rsidRDefault="009169E8" w:rsidP="000104F5">
      <w:pPr>
        <w:pStyle w:val="Heading1"/>
      </w:pPr>
      <w:bookmarkStart w:id="18" w:name="_Toc20234287"/>
      <w:r>
        <w:lastRenderedPageBreak/>
        <w:t>Neurological events</w:t>
      </w:r>
      <w:bookmarkEnd w:id="18"/>
    </w:p>
    <w:p w14:paraId="06DD8FEA" w14:textId="77777777" w:rsidR="009169E8" w:rsidRDefault="009169E8" w:rsidP="000A4644">
      <w:pPr>
        <w:pStyle w:val="Heading2"/>
      </w:pPr>
      <w:r>
        <w:t>THIS TRIENNIUM (2015–2017)</w:t>
      </w:r>
    </w:p>
    <w:p w14:paraId="7CE6A533" w14:textId="48B9A253" w:rsidR="009169E8" w:rsidRDefault="009169E8" w:rsidP="008E28A3">
      <w:pPr>
        <w:pStyle w:val="DHHSbody"/>
      </w:pPr>
      <w:r>
        <w:t>Thirteen events were classified as anaesthesia-related neurological events, including:</w:t>
      </w:r>
    </w:p>
    <w:p w14:paraId="375C8146" w14:textId="77777777" w:rsidR="009169E8" w:rsidRDefault="009169E8" w:rsidP="00E961B4">
      <w:pPr>
        <w:pStyle w:val="Bullet1"/>
      </w:pPr>
      <w:r>
        <w:t>three cases of intraoperative awareness – these are discussed in the next subsection</w:t>
      </w:r>
    </w:p>
    <w:p w14:paraId="72D83C0F" w14:textId="77777777" w:rsidR="009169E8" w:rsidRDefault="009169E8" w:rsidP="00E961B4">
      <w:pPr>
        <w:pStyle w:val="Bullet1"/>
      </w:pPr>
      <w:r>
        <w:t>one case of inadequate neuromuscular blockade reversal, after a briefer than expected surgical procedure, with reintubation required in the PACU</w:t>
      </w:r>
    </w:p>
    <w:p w14:paraId="6C84FF49" w14:textId="77777777" w:rsidR="009169E8" w:rsidRDefault="009169E8" w:rsidP="00E961B4">
      <w:pPr>
        <w:pStyle w:val="Bullet1"/>
      </w:pPr>
      <w:r>
        <w:t>one case of temporary left tongue weakness and numbness after GA with an ETT in the beach chair position</w:t>
      </w:r>
    </w:p>
    <w:p w14:paraId="45428CD4" w14:textId="77777777" w:rsidR="009169E8" w:rsidRDefault="009169E8" w:rsidP="00E961B4">
      <w:pPr>
        <w:pStyle w:val="Bullet1"/>
      </w:pPr>
      <w:r>
        <w:t>one case of non-specific progressive deterioration in the PACU with drowsiness and hypertension followed by unresponsiveness and hypotension in an elderly patient following a fractured hip repair (the patient died within seven hours of surgery)</w:t>
      </w:r>
    </w:p>
    <w:p w14:paraId="25217DDB" w14:textId="14951BAD" w:rsidR="009169E8" w:rsidRDefault="009169E8" w:rsidP="00E961B4">
      <w:pPr>
        <w:pStyle w:val="Bullet1"/>
      </w:pPr>
      <w:r>
        <w:t>one case of hypoxic brain injury followed difficult intubation and ventilation and cardiac arrest</w:t>
      </w:r>
    </w:p>
    <w:p w14:paraId="10E5F010" w14:textId="77777777" w:rsidR="009169E8" w:rsidRDefault="009169E8" w:rsidP="00BB165F">
      <w:pPr>
        <w:pStyle w:val="Bullet1"/>
      </w:pPr>
      <w:r>
        <w:t>six cases of perioperative stroke, which are described further below.</w:t>
      </w:r>
    </w:p>
    <w:p w14:paraId="423D41FD" w14:textId="77777777" w:rsidR="009169E8" w:rsidRDefault="009169E8" w:rsidP="000A4644">
      <w:pPr>
        <w:pStyle w:val="Heading2"/>
      </w:pPr>
      <w:r>
        <w:t>PERIOPERATIVE STROKE</w:t>
      </w:r>
    </w:p>
    <w:p w14:paraId="43195F40" w14:textId="77777777" w:rsidR="009169E8" w:rsidRDefault="009169E8" w:rsidP="008E28A3">
      <w:pPr>
        <w:pStyle w:val="DHHSbody"/>
      </w:pPr>
      <w:r>
        <w:t>Six cases classified as anaesthesia-related (categories 1–3) morbidity and mortality involved a diagnosis of perioperative stroke in the early postoperative period (five mortalities, one morbidity). Four of these cases involved elective surgical procedures and two involved emergency surgical procedures. Four patients had known underlying hypertension as a comorbidity. In four patients, the diagnosis of stroke became apparent after the patient was slow to awaken in PACU, with three patients requiring reintubation. No specific intraoperative issues were identified in any of the six cases.</w:t>
      </w:r>
    </w:p>
    <w:p w14:paraId="3F67FA02" w14:textId="77777777" w:rsidR="009169E8" w:rsidRDefault="009169E8" w:rsidP="000A4644">
      <w:pPr>
        <w:pStyle w:val="Heading2"/>
      </w:pPr>
      <w:r>
        <w:t>BROADER PERSPECTIVE</w:t>
      </w:r>
    </w:p>
    <w:p w14:paraId="12EEFDD0" w14:textId="77777777" w:rsidR="009169E8" w:rsidRDefault="009169E8" w:rsidP="00BB165F">
      <w:pPr>
        <w:pStyle w:val="Heading3"/>
      </w:pPr>
      <w:r>
        <w:t>Perioperative stroke</w:t>
      </w:r>
    </w:p>
    <w:p w14:paraId="758BDB4B" w14:textId="3753874D" w:rsidR="009169E8" w:rsidRDefault="009169E8" w:rsidP="008E28A3">
      <w:pPr>
        <w:pStyle w:val="DHHSbody"/>
      </w:pPr>
      <w:r>
        <w:t>A review of published literature around perioperative stroke (</w:t>
      </w:r>
      <w:proofErr w:type="spellStart"/>
      <w:r>
        <w:t>Vlisides</w:t>
      </w:r>
      <w:proofErr w:type="spellEnd"/>
      <w:r>
        <w:t xml:space="preserve"> &amp; </w:t>
      </w:r>
      <w:proofErr w:type="spellStart"/>
      <w:r>
        <w:t>Mashour</w:t>
      </w:r>
      <w:proofErr w:type="spellEnd"/>
      <w:r>
        <w:t>, 2016) noted the range of pathophysiologic mechanisms (thrombosis, embolism, anaemia-associated tissue hypoxia, cerebral hypoperfusion, haemorrhage) and significant associated morbidity and mortality. Perioperative ischaemic stroke is more common than haemorrhagic stroke. Risk factors were noted to include ‘advanced age, a history of cerebrovascular disease, ischaemic heart disease, congestive cardiac failure, atrial fibrillation and renal disease’ (p. 193). This review identified that the highest risk was in patients undergoing cardiac and major vascular surgery but noted that the incidence of covert (clinically silent) stroke may be underestimated. The review also noted that while most perioperative strokes become apparent more than 24 hours after surgery, an estimated 5–15 per cent occur intraoperatively or become apparent in the immediate postoperative (PACU) period.</w:t>
      </w:r>
    </w:p>
    <w:p w14:paraId="796A4CB3" w14:textId="77777777" w:rsidR="009169E8" w:rsidRDefault="009169E8" w:rsidP="000A4644">
      <w:pPr>
        <w:pStyle w:val="Heading2"/>
      </w:pPr>
      <w:r>
        <w:t>PRACTICE POINTS HIGHLIGHTED BY NEUROLOGICAL EVENTS</w:t>
      </w:r>
    </w:p>
    <w:p w14:paraId="7E0D57C6" w14:textId="1A7A6B71" w:rsidR="009169E8" w:rsidRDefault="009169E8" w:rsidP="00E961B4">
      <w:pPr>
        <w:pStyle w:val="Bullet1"/>
      </w:pPr>
      <w:r>
        <w:t>Surgery in the ‘beach chair’ position requires careful anaesthetic and surgical management. This was a Quality and Safety topic in the ANZCA Bulletin in December 2013 (link in resources below).</w:t>
      </w:r>
    </w:p>
    <w:p w14:paraId="60ED44BC" w14:textId="77777777" w:rsidR="009169E8" w:rsidRDefault="009169E8" w:rsidP="00E961B4">
      <w:pPr>
        <w:pStyle w:val="Bullet1"/>
      </w:pPr>
      <w:r>
        <w:t xml:space="preserve">When a neuromuscular blocking agent has been administered and a surgical procedure is unexpectedly brief, it is important to consider the potential duration of action of the neuromuscular blocking agent used when determining the timing of </w:t>
      </w:r>
      <w:proofErr w:type="spellStart"/>
      <w:r>
        <w:t>extubation</w:t>
      </w:r>
      <w:proofErr w:type="spellEnd"/>
      <w:r>
        <w:t>.</w:t>
      </w:r>
    </w:p>
    <w:p w14:paraId="0972B93E" w14:textId="77777777" w:rsidR="009169E8" w:rsidRDefault="009169E8" w:rsidP="00BB165F">
      <w:pPr>
        <w:pStyle w:val="Bullet1"/>
      </w:pPr>
      <w:r>
        <w:t>Neurological assessment is important in patients who are slow to awaken in the PACU to facilitate timely diagnosis and escalation of care for acute neurological problems such as stroke.</w:t>
      </w:r>
    </w:p>
    <w:p w14:paraId="113923F1" w14:textId="77777777" w:rsidR="009169E8" w:rsidRDefault="009169E8" w:rsidP="000A4644">
      <w:pPr>
        <w:pStyle w:val="Heading2"/>
      </w:pPr>
      <w:r>
        <w:t>REFERENCES AND RESOURCES</w:t>
      </w:r>
    </w:p>
    <w:p w14:paraId="582492AA" w14:textId="33312692" w:rsidR="009169E8" w:rsidRDefault="009026D1" w:rsidP="008E28A3">
      <w:pPr>
        <w:pStyle w:val="DHHSbody"/>
      </w:pPr>
      <w:hyperlink r:id="rId32" w:history="1">
        <w:r w:rsidR="009169E8" w:rsidRPr="006763EC">
          <w:rPr>
            <w:rStyle w:val="Hyperlink"/>
            <w:color w:val="0063A5"/>
            <w:u w:val="single"/>
          </w:rPr>
          <w:t>ANZCA Bulleti</w:t>
        </w:r>
        <w:r w:rsidR="009169E8" w:rsidRPr="006763EC">
          <w:rPr>
            <w:rStyle w:val="Hyperlink"/>
          </w:rPr>
          <w:t>n</w:t>
        </w:r>
      </w:hyperlink>
      <w:r w:rsidR="009169E8">
        <w:t xml:space="preserve"> &lt;http://www.anzca.edu.au/documents/the-beach-chair-position&gt;</w:t>
      </w:r>
    </w:p>
    <w:p w14:paraId="0E1B73DB" w14:textId="77777777" w:rsidR="009169E8" w:rsidRDefault="009169E8" w:rsidP="008E28A3">
      <w:pPr>
        <w:pStyle w:val="DHHSbody"/>
      </w:pPr>
      <w:proofErr w:type="spellStart"/>
      <w:r>
        <w:t>Vlisides</w:t>
      </w:r>
      <w:proofErr w:type="spellEnd"/>
      <w:r>
        <w:t xml:space="preserve"> &amp; </w:t>
      </w:r>
      <w:proofErr w:type="spellStart"/>
      <w:r>
        <w:t>Mashour</w:t>
      </w:r>
      <w:proofErr w:type="spellEnd"/>
      <w:r>
        <w:t>, 2016</w:t>
      </w:r>
    </w:p>
    <w:p w14:paraId="2279A3D0" w14:textId="77777777" w:rsidR="009169E8" w:rsidRDefault="009169E8" w:rsidP="000104F5">
      <w:pPr>
        <w:pStyle w:val="Heading1"/>
      </w:pPr>
      <w:bookmarkStart w:id="19" w:name="_Toc20234288"/>
      <w:r>
        <w:lastRenderedPageBreak/>
        <w:t>Focus on awareness during general anaesthesia</w:t>
      </w:r>
      <w:bookmarkEnd w:id="19"/>
    </w:p>
    <w:p w14:paraId="7B0F96DC" w14:textId="77777777" w:rsidR="009169E8" w:rsidRDefault="009169E8" w:rsidP="000A4644">
      <w:pPr>
        <w:pStyle w:val="Heading2"/>
      </w:pPr>
      <w:r>
        <w:t>THIS TRIENNIUM (2015–2017)</w:t>
      </w:r>
    </w:p>
    <w:p w14:paraId="201B6A10" w14:textId="77777777" w:rsidR="009169E8" w:rsidRDefault="009169E8" w:rsidP="008E28A3">
      <w:pPr>
        <w:pStyle w:val="DHHSbody"/>
      </w:pPr>
      <w:r>
        <w:t>Four cases of awareness during GA were reported this triennium (three were classified as neurological events, one as a drug-related event). Three cases occurred during elective procedures and one during an emergency procedure. One patient had a previous history of intraoperative awareness. Circumstances included:</w:t>
      </w:r>
    </w:p>
    <w:p w14:paraId="56C0B044" w14:textId="77777777" w:rsidR="009169E8" w:rsidRDefault="009169E8" w:rsidP="00E961B4">
      <w:pPr>
        <w:pStyle w:val="Bullet1"/>
      </w:pPr>
      <w:r>
        <w:t>delay in administering volatile anaesthetic agent after induction of GA, in the context of:</w:t>
      </w:r>
    </w:p>
    <w:p w14:paraId="39371358" w14:textId="11BE540A" w:rsidR="009169E8" w:rsidRDefault="009169E8" w:rsidP="00437381">
      <w:pPr>
        <w:pStyle w:val="Bullet2"/>
      </w:pPr>
      <w:r>
        <w:t>inactivated volatile agent alarms (to prevent alarming during induction)</w:t>
      </w:r>
    </w:p>
    <w:p w14:paraId="10EDED5D" w14:textId="2D1F323A" w:rsidR="009169E8" w:rsidRDefault="009169E8" w:rsidP="00437381">
      <w:pPr>
        <w:pStyle w:val="Bullet2"/>
      </w:pPr>
      <w:r>
        <w:t>disrupted workflows, including distractions/interruptions</w:t>
      </w:r>
    </w:p>
    <w:p w14:paraId="12B7CCD3" w14:textId="77777777" w:rsidR="009169E8" w:rsidRDefault="009169E8" w:rsidP="00E961B4">
      <w:pPr>
        <w:pStyle w:val="Bullet1"/>
      </w:pPr>
      <w:r>
        <w:t>lightening of volatile anaesthesia to avoid hypotension</w:t>
      </w:r>
    </w:p>
    <w:p w14:paraId="30396B6F" w14:textId="77777777" w:rsidR="009169E8" w:rsidRDefault="009169E8" w:rsidP="00E961B4">
      <w:pPr>
        <w:pStyle w:val="Bullet1"/>
      </w:pPr>
      <w:r>
        <w:t>suspected high threshold for anaesthetic agents in a patient receiving total intravenous anaesthesia</w:t>
      </w:r>
    </w:p>
    <w:p w14:paraId="25DB3E51" w14:textId="77777777" w:rsidR="009169E8" w:rsidRDefault="009169E8" w:rsidP="00BB165F">
      <w:pPr>
        <w:pStyle w:val="Bullet1"/>
      </w:pPr>
      <w:r>
        <w:t>residual neuromuscular blockade in a patient subsequently found to have atypical pseudocholinesterase.</w:t>
      </w:r>
    </w:p>
    <w:p w14:paraId="66F27DB8" w14:textId="77777777" w:rsidR="009169E8" w:rsidRDefault="009169E8" w:rsidP="000A4644">
      <w:pPr>
        <w:pStyle w:val="Heading2"/>
      </w:pPr>
      <w:r>
        <w:t>BROADER CONTEXT</w:t>
      </w:r>
    </w:p>
    <w:p w14:paraId="7FCDE2F1" w14:textId="6578990D" w:rsidR="009169E8" w:rsidRDefault="009169E8" w:rsidP="008E28A3">
      <w:pPr>
        <w:pStyle w:val="DHHSbody"/>
      </w:pPr>
      <w:r>
        <w:t>The 5th National Audit Project (NAP 5) of the Royal College of Anaesthetists and the Association of Anaesthetists of Great Britain and Ireland on accidental awareness during GA (Pandit, et al., 2014) reported an incidence of approximately 1:19,000 anaesthetics, with most cases occurring during induction and emergence from anaesthesia. Risk factors identified in that audit included being female, younger adults, obesity, a past history of awareness, anaesthesia by trainees, after-hours and emergency surgery, obstetric/cardiac/thoracic procedures and the use of neuromuscular blocking agent drugs.</w:t>
      </w:r>
    </w:p>
    <w:p w14:paraId="1888355C" w14:textId="77777777" w:rsidR="009169E8" w:rsidRDefault="009169E8" w:rsidP="000A4644">
      <w:pPr>
        <w:pStyle w:val="Heading2"/>
      </w:pPr>
      <w:r>
        <w:t>KEY MESSAGES FROM AWARENESS EVENTS</w:t>
      </w:r>
    </w:p>
    <w:p w14:paraId="3C73BD00" w14:textId="77777777" w:rsidR="009169E8" w:rsidRDefault="009169E8" w:rsidP="008E28A3">
      <w:pPr>
        <w:pStyle w:val="DHHSbody"/>
      </w:pPr>
      <w:r>
        <w:t>The risk of awareness under anaesthesia remains a complication of great concern to both patients and anaesthetists. While a cause is not always apparent, important preventable causes include inadequate anaesthetic drug administration after induction of anaesthesia and residual neuromuscular blockade at the time of emergence.</w:t>
      </w:r>
    </w:p>
    <w:p w14:paraId="3F2673C7" w14:textId="77777777" w:rsidR="009169E8" w:rsidRDefault="009169E8" w:rsidP="000A4644">
      <w:pPr>
        <w:pStyle w:val="Heading2"/>
      </w:pPr>
      <w:r>
        <w:t>PRACTICE POINTS HIGHLIGHTED BY AWARENESS EVENTS</w:t>
      </w:r>
    </w:p>
    <w:p w14:paraId="41347DC6" w14:textId="5E94811B" w:rsidR="009169E8" w:rsidRDefault="009169E8" w:rsidP="00E961B4">
      <w:pPr>
        <w:pStyle w:val="Bullet1"/>
      </w:pPr>
      <w:r>
        <w:rPr>
          <w:spacing w:val="-2"/>
        </w:rPr>
        <w:t xml:space="preserve">Consider awareness in the differential diagnosis </w:t>
      </w:r>
      <w:r>
        <w:t>of unexplained tachycardia and hypertension during GA, particularly in patients who have received a neuromuscular blocking agent.</w:t>
      </w:r>
    </w:p>
    <w:p w14:paraId="15C9DEA9" w14:textId="0229CC8B" w:rsidR="009169E8" w:rsidRDefault="009169E8" w:rsidP="00E961B4">
      <w:pPr>
        <w:pStyle w:val="Bullet1"/>
      </w:pPr>
      <w:r>
        <w:t>The period immediately following induction of anaesthesia/intubation is a time of particular risk for inadequate anaesthetic depth due to the number of concurrent tasks demanding attention:</w:t>
      </w:r>
    </w:p>
    <w:p w14:paraId="7C6FC90A" w14:textId="677CC519" w:rsidR="009169E8" w:rsidRDefault="009169E8" w:rsidP="00437381">
      <w:pPr>
        <w:pStyle w:val="Bullet2"/>
      </w:pPr>
      <w:r>
        <w:t>Non-urgent interruptions should be avoided during this period.</w:t>
      </w:r>
    </w:p>
    <w:p w14:paraId="6780880E" w14:textId="18989AE9" w:rsidR="009169E8" w:rsidRDefault="009169E8" w:rsidP="00437381">
      <w:pPr>
        <w:pStyle w:val="Bullet2"/>
      </w:pPr>
      <w:r>
        <w:t>The use of a post-induction anaesthesia checklist before surgery begins and after any patient move (such as the ABCDE anaesthesia checklist advocated in the NAP 5 report (Pandit, et al., 2014)) may help reduce the risk of adverse events through a sequence of checks relating to airway, breathing, circulation, drugs and effective teamwork (Pandit, et al., 2014).</w:t>
      </w:r>
    </w:p>
    <w:p w14:paraId="48F07201" w14:textId="77777777" w:rsidR="009169E8" w:rsidRDefault="009169E8" w:rsidP="00BB165F">
      <w:pPr>
        <w:pStyle w:val="Bullet1"/>
      </w:pPr>
      <w:r>
        <w:t>After relaxant GA, use a nerve stimulator to assess return of neuromuscular function before allowing the patient to emerge from anaesthesia.</w:t>
      </w:r>
    </w:p>
    <w:p w14:paraId="4B525FF0" w14:textId="77777777" w:rsidR="009169E8" w:rsidRDefault="009169E8" w:rsidP="000A4644">
      <w:pPr>
        <w:pStyle w:val="Heading2"/>
      </w:pPr>
      <w:r>
        <w:t>REFERENCES AND RESOURCES</w:t>
      </w:r>
    </w:p>
    <w:p w14:paraId="32375048" w14:textId="317B88C8" w:rsidR="009169E8" w:rsidRDefault="009169E8" w:rsidP="008E28A3">
      <w:pPr>
        <w:pStyle w:val="DHHSbody"/>
      </w:pPr>
      <w:r>
        <w:t>Pandit et al., 2014</w:t>
      </w:r>
    </w:p>
    <w:p w14:paraId="0F0FA8AF" w14:textId="77777777" w:rsidR="009169E8" w:rsidRDefault="009169E8" w:rsidP="000104F5">
      <w:pPr>
        <w:pStyle w:val="Heading1"/>
      </w:pPr>
      <w:bookmarkStart w:id="20" w:name="_Toc20234289"/>
      <w:r>
        <w:lastRenderedPageBreak/>
        <w:t>Procedural complications</w:t>
      </w:r>
      <w:bookmarkEnd w:id="20"/>
    </w:p>
    <w:p w14:paraId="7BC4AD98" w14:textId="77777777" w:rsidR="009169E8" w:rsidRDefault="009169E8" w:rsidP="000A4644">
      <w:pPr>
        <w:pStyle w:val="Heading2"/>
      </w:pPr>
      <w:r>
        <w:t>THIS TRIENNIUM (2015–2017)</w:t>
      </w:r>
    </w:p>
    <w:p w14:paraId="4344A8F7" w14:textId="77777777" w:rsidR="009169E8" w:rsidRDefault="009169E8" w:rsidP="008E28A3">
      <w:pPr>
        <w:pStyle w:val="DHHSbody"/>
      </w:pPr>
      <w:r>
        <w:t>Eight events were classified as anaesthesia-related (categories 1–3) procedural complications. These included:</w:t>
      </w:r>
    </w:p>
    <w:p w14:paraId="3C12D23D" w14:textId="77777777" w:rsidR="009169E8" w:rsidRDefault="009169E8" w:rsidP="00E961B4">
      <w:pPr>
        <w:pStyle w:val="Bullet1"/>
      </w:pPr>
      <w:r>
        <w:t>three morbidity events associated with inserting intravascular lines and neural blockade catheters – all three cases were classified as category 1 events, but no better anaesthetic technique could be suggested (sub-category G)</w:t>
      </w:r>
    </w:p>
    <w:p w14:paraId="39184514" w14:textId="77777777" w:rsidR="009169E8" w:rsidRDefault="009169E8" w:rsidP="00E961B4">
      <w:pPr>
        <w:pStyle w:val="Bullet1"/>
      </w:pPr>
      <w:r>
        <w:t>one vascular injury following ultrasound-guided arterial line placement, requiring surgical repair</w:t>
      </w:r>
    </w:p>
    <w:p w14:paraId="731EDEB6" w14:textId="77777777" w:rsidR="009169E8" w:rsidRDefault="009169E8" w:rsidP="00E961B4">
      <w:pPr>
        <w:pStyle w:val="Bullet1"/>
      </w:pPr>
      <w:r>
        <w:t>one pneumothorax following interpleural catheter insertion – the patient had no respiratory symptoms but a chest x-ray was performed in the PACU due to developing tachycardia and hypertension; the patient required an urgent intercostal catheter (chest tube) insertion</w:t>
      </w:r>
    </w:p>
    <w:p w14:paraId="0252F324" w14:textId="77777777" w:rsidR="009169E8" w:rsidRDefault="009169E8" w:rsidP="00E961B4">
      <w:pPr>
        <w:pStyle w:val="Bullet1"/>
      </w:pPr>
      <w:r>
        <w:t>one report of a broken epidural catheter with a retained tip</w:t>
      </w:r>
    </w:p>
    <w:p w14:paraId="43466BD8" w14:textId="77777777" w:rsidR="009169E8" w:rsidRDefault="009169E8" w:rsidP="00E961B4">
      <w:pPr>
        <w:pStyle w:val="Bullet1"/>
      </w:pPr>
      <w:r>
        <w:t>four wrong-sided nerve blocks in the context of elective procedures and rapid turnover lists</w:t>
      </w:r>
    </w:p>
    <w:p w14:paraId="7FA4070C" w14:textId="6B3B2A9C" w:rsidR="009169E8" w:rsidRDefault="009169E8" w:rsidP="00BB165F">
      <w:pPr>
        <w:pStyle w:val="Bullet1"/>
      </w:pPr>
      <w:r>
        <w:t>one retained throat pack found in the PACU.</w:t>
      </w:r>
    </w:p>
    <w:p w14:paraId="52AF5670" w14:textId="77777777" w:rsidR="009169E8" w:rsidRDefault="009169E8" w:rsidP="008E28A3">
      <w:pPr>
        <w:pStyle w:val="DHHSbody"/>
      </w:pPr>
      <w:r>
        <w:t>Wrong-side nerve blocks and retained throat packs are explored as separate focus topics.</w:t>
      </w:r>
    </w:p>
    <w:p w14:paraId="2B93E2ED" w14:textId="57DE8739" w:rsidR="009169E8" w:rsidRDefault="009169E8" w:rsidP="000A4644">
      <w:pPr>
        <w:pStyle w:val="Heading2"/>
      </w:pPr>
      <w:r>
        <w:t>BROADER CONTEXT</w:t>
      </w:r>
    </w:p>
    <w:p w14:paraId="63756893" w14:textId="77777777" w:rsidR="009169E8" w:rsidRDefault="009169E8" w:rsidP="008E28A3">
      <w:pPr>
        <w:pStyle w:val="DHHSbody"/>
      </w:pPr>
      <w:r>
        <w:t>Arterial line complications are uncommon, with the rate estimated at 3.4 per 10,000 (Nuttall, et al., 2016), but the risk factors are not well understood.</w:t>
      </w:r>
    </w:p>
    <w:p w14:paraId="04491CBB" w14:textId="46C89F44" w:rsidR="009169E8" w:rsidRDefault="009169E8" w:rsidP="008E28A3">
      <w:pPr>
        <w:pStyle w:val="DHHSbody"/>
      </w:pPr>
      <w:r>
        <w:t>The incidence of pneumothorax with interpleural catheter insertion has been estimated at approximately 2 per cent, although it is acknowledged that this may be an underestimate and a high degree of vigilance should be maintained (</w:t>
      </w:r>
      <w:proofErr w:type="spellStart"/>
      <w:r>
        <w:t>Dravid</w:t>
      </w:r>
      <w:proofErr w:type="spellEnd"/>
      <w:r>
        <w:t xml:space="preserve"> &amp; Paul, 2007).</w:t>
      </w:r>
    </w:p>
    <w:p w14:paraId="03DFD9B9" w14:textId="77777777" w:rsidR="009169E8" w:rsidRDefault="009169E8" w:rsidP="008E28A3">
      <w:pPr>
        <w:pStyle w:val="DHHSbody"/>
      </w:pPr>
      <w:r>
        <w:t>A broken epidural catheter with fragment retention is a rare but known event and can go undetected (</w:t>
      </w:r>
      <w:proofErr w:type="spellStart"/>
      <w:r>
        <w:t>Pinciroli</w:t>
      </w:r>
      <w:proofErr w:type="spellEnd"/>
      <w:r>
        <w:t xml:space="preserve"> &amp; </w:t>
      </w:r>
      <w:proofErr w:type="spellStart"/>
      <w:r>
        <w:t>Fumagalli</w:t>
      </w:r>
      <w:proofErr w:type="spellEnd"/>
      <w:r>
        <w:t>, 2015).</w:t>
      </w:r>
    </w:p>
    <w:p w14:paraId="3DB052FE" w14:textId="77777777" w:rsidR="009169E8" w:rsidRDefault="009169E8" w:rsidP="000A4644">
      <w:pPr>
        <w:pStyle w:val="Heading2"/>
      </w:pPr>
      <w:r>
        <w:t>KEY MESSAGES FROM PROCEDURAL COMPLICATIONS</w:t>
      </w:r>
    </w:p>
    <w:p w14:paraId="306CAA60" w14:textId="77777777" w:rsidR="009169E8" w:rsidRDefault="009169E8" w:rsidP="008E28A3">
      <w:pPr>
        <w:pStyle w:val="DHHSbody"/>
      </w:pPr>
      <w:r>
        <w:t>Intravascular line and neural blockade catheter complications may have occurred even when no problems were apparent at the time of insertion. Early recognition of such complications depends on having a low threshold for considering the possibility of a procedural complication when clinical symptoms and/or signs develop.</w:t>
      </w:r>
    </w:p>
    <w:p w14:paraId="53D0DF05" w14:textId="77777777" w:rsidR="009169E8" w:rsidRDefault="009169E8" w:rsidP="000A4644">
      <w:pPr>
        <w:pStyle w:val="Heading2"/>
      </w:pPr>
      <w:r>
        <w:t>PRACTICE POINTS HIGHLIGHTED BY PROCEDURAL COMPLICATIONS</w:t>
      </w:r>
    </w:p>
    <w:p w14:paraId="0F089ADC" w14:textId="0EF68CEC" w:rsidR="009169E8" w:rsidRDefault="009169E8" w:rsidP="008E28A3">
      <w:pPr>
        <w:pStyle w:val="DHHSbody"/>
      </w:pPr>
      <w:r>
        <w:t>Factors contributing to good outcomes after procedural complications included early consideration of the possibility and prompt escalation of care with timely advice from relevant specialties regarding immediate management and subsequent follow-up.</w:t>
      </w:r>
    </w:p>
    <w:p w14:paraId="5829ADCE" w14:textId="77777777" w:rsidR="009169E8" w:rsidRDefault="009169E8" w:rsidP="000A4644">
      <w:pPr>
        <w:pStyle w:val="Heading2"/>
      </w:pPr>
      <w:r>
        <w:t>REFERENCES AND RESOURCES</w:t>
      </w:r>
    </w:p>
    <w:p w14:paraId="51FDA767" w14:textId="77777777" w:rsidR="009169E8" w:rsidRDefault="009169E8" w:rsidP="008E28A3">
      <w:pPr>
        <w:pStyle w:val="DHHSbody"/>
      </w:pPr>
      <w:proofErr w:type="spellStart"/>
      <w:r>
        <w:t>Dravid</w:t>
      </w:r>
      <w:proofErr w:type="spellEnd"/>
      <w:r>
        <w:t xml:space="preserve"> &amp; Paul 2007</w:t>
      </w:r>
    </w:p>
    <w:p w14:paraId="0B0C0605" w14:textId="77777777" w:rsidR="009169E8" w:rsidRDefault="009169E8" w:rsidP="008E28A3">
      <w:pPr>
        <w:pStyle w:val="DHHSbody"/>
      </w:pPr>
      <w:r>
        <w:t>Nuttall et al., 2016</w:t>
      </w:r>
    </w:p>
    <w:p w14:paraId="674F9AFF" w14:textId="77777777" w:rsidR="009169E8" w:rsidRDefault="009169E8" w:rsidP="008E28A3">
      <w:pPr>
        <w:pStyle w:val="DHHSbody"/>
      </w:pPr>
      <w:proofErr w:type="spellStart"/>
      <w:r>
        <w:t>Pinciroli</w:t>
      </w:r>
      <w:proofErr w:type="spellEnd"/>
      <w:r>
        <w:t xml:space="preserve"> &amp; </w:t>
      </w:r>
      <w:proofErr w:type="spellStart"/>
      <w:r>
        <w:t>Fumagalli</w:t>
      </w:r>
      <w:proofErr w:type="spellEnd"/>
      <w:r>
        <w:t xml:space="preserve"> 2015</w:t>
      </w:r>
    </w:p>
    <w:p w14:paraId="4A9EB95B" w14:textId="77777777" w:rsidR="009169E8" w:rsidRPr="006763EC" w:rsidRDefault="009169E8" w:rsidP="006763EC"/>
    <w:p w14:paraId="5C48D0F2" w14:textId="77777777" w:rsidR="009169E8" w:rsidRDefault="009169E8" w:rsidP="000104F5">
      <w:pPr>
        <w:pStyle w:val="Heading1"/>
      </w:pPr>
      <w:bookmarkStart w:id="21" w:name="_Toc20234290"/>
      <w:r>
        <w:lastRenderedPageBreak/>
        <w:t>Focus on wrong-side nerve blocks</w:t>
      </w:r>
      <w:bookmarkEnd w:id="21"/>
    </w:p>
    <w:p w14:paraId="2C585ECE" w14:textId="77777777" w:rsidR="009169E8" w:rsidRDefault="009169E8" w:rsidP="000A4644">
      <w:pPr>
        <w:pStyle w:val="Heading2"/>
      </w:pPr>
      <w:r>
        <w:t>THIS TRIENNIUM</w:t>
      </w:r>
    </w:p>
    <w:p w14:paraId="5539D130" w14:textId="77777777" w:rsidR="009169E8" w:rsidRDefault="009169E8" w:rsidP="008E28A3">
      <w:pPr>
        <w:pStyle w:val="DHHSbody"/>
      </w:pPr>
      <w:r>
        <w:t>Four cases involving wrong-side nerve blocks were reported this triennium. No adverse clinical outcomes resulted, but the surgical procedures had to be re-scheduled. Identified contributory factors included:</w:t>
      </w:r>
    </w:p>
    <w:p w14:paraId="261AFBCD" w14:textId="77777777" w:rsidR="009169E8" w:rsidRDefault="009169E8" w:rsidP="00E961B4">
      <w:pPr>
        <w:pStyle w:val="Bullet1"/>
      </w:pPr>
      <w:r>
        <w:t>language barriers</w:t>
      </w:r>
    </w:p>
    <w:p w14:paraId="743AA762" w14:textId="77777777" w:rsidR="009169E8" w:rsidRDefault="009169E8" w:rsidP="00E961B4">
      <w:pPr>
        <w:pStyle w:val="Bullet1"/>
      </w:pPr>
      <w:r>
        <w:t>anaesthesia timeout not being performed immediately before inserting the nerve block needle, allowing time for intervening events to occur, including changes in staff and distractions</w:t>
      </w:r>
    </w:p>
    <w:p w14:paraId="0934587C" w14:textId="77777777" w:rsidR="009169E8" w:rsidRDefault="009169E8" w:rsidP="00E961B4">
      <w:pPr>
        <w:pStyle w:val="Bullet1"/>
      </w:pPr>
      <w:r>
        <w:t>reported time pressures and disrupted workflows</w:t>
      </w:r>
    </w:p>
    <w:p w14:paraId="38334685" w14:textId="77777777" w:rsidR="009169E8" w:rsidRDefault="009169E8" w:rsidP="00E961B4">
      <w:pPr>
        <w:pStyle w:val="Bullet1"/>
      </w:pPr>
      <w:r>
        <w:t>lack of visibility of the surgical site marking</w:t>
      </w:r>
    </w:p>
    <w:p w14:paraId="22251C02" w14:textId="77777777" w:rsidR="009169E8" w:rsidRDefault="009169E8" w:rsidP="00BB165F">
      <w:pPr>
        <w:pStyle w:val="Bullet1"/>
      </w:pPr>
      <w:r>
        <w:t>impact of pattern modes (previous patients having the opposite side operated on).</w:t>
      </w:r>
    </w:p>
    <w:p w14:paraId="04B03B57" w14:textId="77777777" w:rsidR="009169E8" w:rsidRDefault="009169E8" w:rsidP="008E28A3">
      <w:pPr>
        <w:pStyle w:val="DHHSbody"/>
      </w:pPr>
      <w:r>
        <w:t>Use of minimal sedation (presence of awake patients) did not prevent the errors.</w:t>
      </w:r>
    </w:p>
    <w:p w14:paraId="77E13E70" w14:textId="77777777" w:rsidR="009169E8" w:rsidRDefault="009169E8" w:rsidP="000A4644">
      <w:pPr>
        <w:pStyle w:val="Heading2"/>
      </w:pPr>
      <w:r>
        <w:t>BROADER CONTEXT</w:t>
      </w:r>
    </w:p>
    <w:p w14:paraId="093A01A7" w14:textId="4639AD54" w:rsidR="009169E8" w:rsidRDefault="009169E8" w:rsidP="006763EC">
      <w:pPr>
        <w:pStyle w:val="DHHSbody"/>
      </w:pPr>
      <w:r>
        <w:t>Findings from the four cases reported this triennium align with findings from a 2011 UK Health Service Local Area Anaesthetist Survey (Simmons &amp; Brits, 2011) in which 40 per cent of 40 wrong-site blocks occurred in awake patients highlighting the fallibility of assuming an awake patient will alert the proceduralist to a potential wrong site error. Factors identified in this UK survey included distractions, changes to usual anaesthetic technique, time pressures, language barriers, surgical site marking not being visible and not using checking procedures.</w:t>
      </w:r>
    </w:p>
    <w:p w14:paraId="115E2190" w14:textId="77777777" w:rsidR="009169E8" w:rsidRDefault="009169E8" w:rsidP="000A4644">
      <w:pPr>
        <w:pStyle w:val="Heading2"/>
      </w:pPr>
      <w:r>
        <w:t>KEY MESSAGES FROM WRONG-SIDE NERVE BLOCKS</w:t>
      </w:r>
    </w:p>
    <w:p w14:paraId="633A4623" w14:textId="6487B998" w:rsidR="009169E8" w:rsidRDefault="009169E8" w:rsidP="008E28A3">
      <w:pPr>
        <w:pStyle w:val="DHHSbody"/>
      </w:pPr>
      <w:r>
        <w:t>These cases highlight the value of the ‘Stop Before You Block’ concept developed in 2010 at Nottingham Hospital in the UK. Local tools and educational resources have been developed for the Australian context and are available on the</w:t>
      </w:r>
      <w:r w:rsidRPr="006B40AA">
        <w:rPr>
          <w:color w:val="0063A5"/>
          <w:u w:val="single"/>
        </w:rPr>
        <w:t xml:space="preserve"> </w:t>
      </w:r>
      <w:hyperlink r:id="rId33" w:history="1">
        <w:r w:rsidRPr="006B40AA">
          <w:rPr>
            <w:rStyle w:val="Hyperlink"/>
            <w:color w:val="0063A5"/>
            <w:u w:val="single"/>
          </w:rPr>
          <w:t>ANZCA website</w:t>
        </w:r>
      </w:hyperlink>
      <w:r>
        <w:t xml:space="preserve"> &lt;http://www.anzca.edu.au/documents/stop-blocking-flyer-a4-p1.pdf&gt;.</w:t>
      </w:r>
    </w:p>
    <w:p w14:paraId="4DA188BA" w14:textId="77777777" w:rsidR="009169E8" w:rsidRDefault="009169E8" w:rsidP="008E28A3">
      <w:pPr>
        <w:pStyle w:val="DHHSbody"/>
      </w:pPr>
      <w:r>
        <w:t>The concept involves a ‘stop before you block’ procedure being performed by the anaesthetist, with their assistant, ‘needle in hand immediately prior to needle insertion for the block’. Key elements include:</w:t>
      </w:r>
    </w:p>
    <w:p w14:paraId="49072382" w14:textId="77777777" w:rsidR="009169E8" w:rsidRDefault="009169E8" w:rsidP="00E961B4">
      <w:pPr>
        <w:pStyle w:val="Bullet1"/>
      </w:pPr>
      <w:r>
        <w:t>confirming the side by viewing a written consent form</w:t>
      </w:r>
    </w:p>
    <w:p w14:paraId="31EA0732" w14:textId="77777777" w:rsidR="009169E8" w:rsidRDefault="009169E8" w:rsidP="00E961B4">
      <w:pPr>
        <w:pStyle w:val="Bullet1"/>
      </w:pPr>
      <w:r>
        <w:t xml:space="preserve">asking the </w:t>
      </w:r>
      <w:proofErr w:type="gramStart"/>
      <w:r>
        <w:t>patient</w:t>
      </w:r>
      <w:proofErr w:type="gramEnd"/>
      <w:r>
        <w:t xml:space="preserve"> the side of the procedure (if awake and oriented)</w:t>
      </w:r>
    </w:p>
    <w:p w14:paraId="7A22E240" w14:textId="77777777" w:rsidR="009169E8" w:rsidRDefault="009169E8" w:rsidP="00BB165F">
      <w:pPr>
        <w:pStyle w:val="Bullet1"/>
      </w:pPr>
      <w:r>
        <w:t>visualising the anaesthetic site mark.</w:t>
      </w:r>
    </w:p>
    <w:p w14:paraId="274EB055" w14:textId="77777777" w:rsidR="009169E8" w:rsidRDefault="009169E8" w:rsidP="000A4644">
      <w:pPr>
        <w:pStyle w:val="Heading2"/>
      </w:pPr>
      <w:r>
        <w:t>PRACTICE POINTS HIGHLIGHTED BY WRONG-SIDE NERVE BLOCKS</w:t>
      </w:r>
    </w:p>
    <w:p w14:paraId="10CF62C1" w14:textId="2388ECD6" w:rsidR="009169E8" w:rsidRDefault="009169E8" w:rsidP="00E961B4">
      <w:pPr>
        <w:pStyle w:val="Bullet1"/>
      </w:pPr>
      <w:r>
        <w:t>Block site and side verification needs to occur immediately prior to needle insertion for the block to prevent error due to subsequent interruptions (including staffing changes) and distractions.</w:t>
      </w:r>
    </w:p>
    <w:p w14:paraId="7F0C5097" w14:textId="77777777" w:rsidR="009169E8" w:rsidRDefault="009169E8" w:rsidP="00E961B4">
      <w:pPr>
        <w:pStyle w:val="Bullet1"/>
      </w:pPr>
      <w:r>
        <w:t>Surgical site marking needs to remain visible to staff at the time of the block.</w:t>
      </w:r>
    </w:p>
    <w:p w14:paraId="167C9FD4" w14:textId="56F2A2EF" w:rsidR="009169E8" w:rsidRDefault="009169E8" w:rsidP="00BB165F">
      <w:pPr>
        <w:pStyle w:val="Bullet1"/>
      </w:pPr>
      <w:r>
        <w:t>The ‘anaesthetic team’ needs to be present for anaesthetic timeout and the block.</w:t>
      </w:r>
    </w:p>
    <w:p w14:paraId="5E6461AB" w14:textId="77777777" w:rsidR="009169E8" w:rsidRDefault="009169E8" w:rsidP="000A4644">
      <w:pPr>
        <w:pStyle w:val="Heading2"/>
      </w:pPr>
      <w:r>
        <w:t>OPPORTUNITY FOR IMPROVEMENT</w:t>
      </w:r>
    </w:p>
    <w:p w14:paraId="4C03C426" w14:textId="77777777" w:rsidR="009169E8" w:rsidRDefault="009169E8" w:rsidP="00BB165F">
      <w:pPr>
        <w:pStyle w:val="Heading3"/>
      </w:pPr>
      <w:r>
        <w:t>Supporting patients from culturally and linguistically diverse (CALD) backgrounds</w:t>
      </w:r>
    </w:p>
    <w:p w14:paraId="4788B647" w14:textId="77777777" w:rsidR="009169E8" w:rsidRDefault="009169E8" w:rsidP="008E28A3">
      <w:pPr>
        <w:pStyle w:val="DHHSbody"/>
      </w:pPr>
      <w:r>
        <w:t>Language barriers may limit the ability of patients from culturally and linguistically diverse (CALD) backgrounds to effectively participate in safety initiatives such as ‘Stop Before You Block’. Practical point-of-care tools are needed that enable patients from culturally and linguistically diverse (CALD) backgrounds to participate in such initiatives.</w:t>
      </w:r>
    </w:p>
    <w:p w14:paraId="62C59EC7" w14:textId="77777777" w:rsidR="009169E8" w:rsidRDefault="009169E8" w:rsidP="000A4644">
      <w:pPr>
        <w:pStyle w:val="Heading2"/>
      </w:pPr>
      <w:r>
        <w:lastRenderedPageBreak/>
        <w:t>REFERENCES AND RESOURCES</w:t>
      </w:r>
    </w:p>
    <w:p w14:paraId="52692217" w14:textId="77777777" w:rsidR="009169E8" w:rsidRDefault="009169E8" w:rsidP="00BB165F">
      <w:pPr>
        <w:pStyle w:val="Heading3"/>
      </w:pPr>
      <w:r>
        <w:t>ANZCA</w:t>
      </w:r>
    </w:p>
    <w:p w14:paraId="264DB87B" w14:textId="3FB1C163" w:rsidR="009169E8" w:rsidRDefault="009169E8" w:rsidP="008E28A3">
      <w:pPr>
        <w:pStyle w:val="DHHSbody"/>
      </w:pPr>
      <w:r>
        <w:t xml:space="preserve">ANZCA PS03 </w:t>
      </w:r>
      <w:hyperlink r:id="rId34" w:history="1">
        <w:r w:rsidRPr="006B40AA">
          <w:rPr>
            <w:rStyle w:val="Hyperlink"/>
            <w:i/>
            <w:iCs/>
            <w:color w:val="0063A5"/>
            <w:u w:val="single"/>
          </w:rPr>
          <w:t>Guidelines for the management of major regional analgesia</w:t>
        </w:r>
      </w:hyperlink>
      <w:r w:rsidRPr="006B40AA">
        <w:rPr>
          <w:color w:val="0063A5"/>
        </w:rPr>
        <w:t xml:space="preserve"> </w:t>
      </w:r>
      <w:r>
        <w:t>&lt;http://www.anzca.edu.au/resources/professional-documents&gt;</w:t>
      </w:r>
    </w:p>
    <w:p w14:paraId="0EAAFE49" w14:textId="356198D2" w:rsidR="009169E8" w:rsidRDefault="009169E8" w:rsidP="008E28A3">
      <w:pPr>
        <w:pStyle w:val="DHHSbody"/>
      </w:pPr>
      <w:r>
        <w:t>‘Stop before you block’ resources:</w:t>
      </w:r>
    </w:p>
    <w:p w14:paraId="50E9E174" w14:textId="77777777" w:rsidR="009169E8" w:rsidRDefault="009169E8" w:rsidP="00E961B4">
      <w:pPr>
        <w:pStyle w:val="Bullet1"/>
      </w:pPr>
      <w:r>
        <w:t>http://www.anzca.edu.au/fellows/safety-and-quality/publications-and-resources</w:t>
      </w:r>
    </w:p>
    <w:p w14:paraId="377AFC0D" w14:textId="77777777" w:rsidR="009169E8" w:rsidRDefault="009169E8" w:rsidP="00BB165F">
      <w:pPr>
        <w:pStyle w:val="Bullet1"/>
      </w:pPr>
      <w:r>
        <w:t>http://www.anzca.edu.au/documents/stop-blocking-flyer-a4-p1.pdf</w:t>
      </w:r>
    </w:p>
    <w:p w14:paraId="0424618F" w14:textId="77777777" w:rsidR="009169E8" w:rsidRDefault="009169E8" w:rsidP="00BB165F">
      <w:pPr>
        <w:pStyle w:val="Heading3"/>
      </w:pPr>
      <w:r>
        <w:t>Royal College of Anaesthetists</w:t>
      </w:r>
    </w:p>
    <w:p w14:paraId="02BF4E78" w14:textId="2F09EA3E" w:rsidR="009169E8" w:rsidRDefault="009169E8" w:rsidP="008E28A3">
      <w:pPr>
        <w:pStyle w:val="DHHSbody"/>
      </w:pPr>
      <w:r>
        <w:t xml:space="preserve">Safe Anaesthesia Liaison Group – </w:t>
      </w:r>
      <w:hyperlink r:id="rId35" w:history="1">
        <w:r w:rsidRPr="006B40AA">
          <w:rPr>
            <w:rStyle w:val="Hyperlink"/>
            <w:color w:val="0063A5"/>
            <w:u w:val="single"/>
          </w:rPr>
          <w:t>Wrong Site Blocks During Surgery</w:t>
        </w:r>
      </w:hyperlink>
      <w:r>
        <w:t xml:space="preserve"> &lt;https://www.rcoa.ac.uk/system/files/CSQ-PS-10-wrong-site-block.pdf&gt;</w:t>
      </w:r>
    </w:p>
    <w:p w14:paraId="003208D2" w14:textId="77777777" w:rsidR="009169E8" w:rsidRDefault="009169E8" w:rsidP="008E28A3">
      <w:pPr>
        <w:pStyle w:val="DHHSbody"/>
      </w:pPr>
      <w:r>
        <w:t>Simmons &amp; Brits, 2011</w:t>
      </w:r>
    </w:p>
    <w:p w14:paraId="1A890EC0" w14:textId="5F41E6B9" w:rsidR="009169E8" w:rsidRDefault="009026D1" w:rsidP="008E28A3">
      <w:pPr>
        <w:pStyle w:val="DHHSbody"/>
      </w:pPr>
      <w:hyperlink r:id="rId36" w:history="1">
        <w:r w:rsidR="009169E8" w:rsidRPr="006B40AA">
          <w:rPr>
            <w:rStyle w:val="Hyperlink"/>
            <w:color w:val="0063A5"/>
            <w:u w:val="single"/>
          </w:rPr>
          <w:t>Wrong site block</w:t>
        </w:r>
      </w:hyperlink>
      <w:r w:rsidR="009169E8">
        <w:t xml:space="preserve"> &lt;https://www.rcoa.ac.uk/standards-of-clinical-practice/wrong-site-block&gt;</w:t>
      </w:r>
    </w:p>
    <w:p w14:paraId="46203B8E" w14:textId="7C307CA3" w:rsidR="009169E8" w:rsidRDefault="009169E8" w:rsidP="000104F5">
      <w:pPr>
        <w:pStyle w:val="Heading1"/>
      </w:pPr>
      <w:bookmarkStart w:id="22" w:name="_Toc20234291"/>
      <w:r>
        <w:lastRenderedPageBreak/>
        <w:t>Focus on retained throat packs</w:t>
      </w:r>
      <w:bookmarkEnd w:id="22"/>
    </w:p>
    <w:p w14:paraId="67CD9130" w14:textId="77777777" w:rsidR="009169E8" w:rsidRDefault="009169E8" w:rsidP="000A4644">
      <w:pPr>
        <w:pStyle w:val="Heading2"/>
      </w:pPr>
      <w:r>
        <w:t>THIS TRIENNIUM (2015–2017)</w:t>
      </w:r>
    </w:p>
    <w:p w14:paraId="5447DC51" w14:textId="6B2A7CF0" w:rsidR="009169E8" w:rsidRDefault="009169E8" w:rsidP="008E28A3">
      <w:pPr>
        <w:pStyle w:val="DHHSbody"/>
      </w:pPr>
      <w:r>
        <w:t>Two cases involving retained throat packs were reported this triennium.</w:t>
      </w:r>
    </w:p>
    <w:p w14:paraId="63DBEF42" w14:textId="5807E99D" w:rsidR="009169E8" w:rsidRDefault="009169E8" w:rsidP="00E961B4">
      <w:pPr>
        <w:pStyle w:val="Bullet1"/>
      </w:pPr>
      <w:r>
        <w:t xml:space="preserve">In both cases the throat pack was identified after </w:t>
      </w:r>
      <w:proofErr w:type="spellStart"/>
      <w:r>
        <w:t>extubation</w:t>
      </w:r>
      <w:proofErr w:type="spellEnd"/>
      <w:r>
        <w:t>. In one case the patient had no respiratory symptoms. Of note, the surgical count (which included the throat pack) had not detected the retained pack.</w:t>
      </w:r>
    </w:p>
    <w:p w14:paraId="07769D08" w14:textId="429A1190" w:rsidR="009169E8" w:rsidRDefault="009169E8" w:rsidP="00BB165F">
      <w:pPr>
        <w:pStyle w:val="Bullet1"/>
      </w:pPr>
      <w:r>
        <w:t xml:space="preserve">In the other case the throat pack was identified after the patient developed respiratory distress following </w:t>
      </w:r>
      <w:proofErr w:type="spellStart"/>
      <w:r>
        <w:t>extubation</w:t>
      </w:r>
      <w:proofErr w:type="spellEnd"/>
      <w:r>
        <w:t>. This occurred in the context of an emergency intubation and surgical procedure.</w:t>
      </w:r>
    </w:p>
    <w:p w14:paraId="6C72FE84" w14:textId="2BA09FE0" w:rsidR="009169E8" w:rsidRDefault="009169E8" w:rsidP="008E28A3">
      <w:pPr>
        <w:pStyle w:val="DHHSbody"/>
      </w:pPr>
      <w:r>
        <w:t xml:space="preserve">Risk factors for retained throat packs in a recently published systematic review included ‘distractions, emergencies, changes of staff, need for additional airway packing and unexpected rapid recovery at </w:t>
      </w:r>
      <w:proofErr w:type="spellStart"/>
      <w:r>
        <w:t>extubation</w:t>
      </w:r>
      <w:proofErr w:type="spellEnd"/>
      <w:r>
        <w:t>’ (</w:t>
      </w:r>
      <w:proofErr w:type="spellStart"/>
      <w:r>
        <w:t>Athanassoglou</w:t>
      </w:r>
      <w:proofErr w:type="spellEnd"/>
      <w:r>
        <w:t>, et al., 2018, p. 613).</w:t>
      </w:r>
    </w:p>
    <w:p w14:paraId="129AFA27" w14:textId="77777777" w:rsidR="009169E8" w:rsidRDefault="009169E8" w:rsidP="000A4644">
      <w:pPr>
        <w:pStyle w:val="Heading2"/>
      </w:pPr>
      <w:r>
        <w:t>KEY MESSAGES FROM CASES OF RETAINED THROAT PACKS</w:t>
      </w:r>
    </w:p>
    <w:p w14:paraId="5E7B68BB" w14:textId="4C2210B1" w:rsidR="009169E8" w:rsidRDefault="009169E8" w:rsidP="00E961B4">
      <w:pPr>
        <w:pStyle w:val="Bullet1"/>
      </w:pPr>
      <w:r>
        <w:t>Retained throat packs are a preventable cause of potential airway obstruction.</w:t>
      </w:r>
    </w:p>
    <w:p w14:paraId="3F6DC179" w14:textId="77777777" w:rsidR="009169E8" w:rsidRDefault="009169E8" w:rsidP="00E961B4">
      <w:pPr>
        <w:pStyle w:val="Bullet1"/>
      </w:pPr>
      <w:r>
        <w:t>Use of throat packs should be a carefully considered decision.</w:t>
      </w:r>
    </w:p>
    <w:p w14:paraId="70A41C3D" w14:textId="77777777" w:rsidR="009169E8" w:rsidRDefault="009169E8" w:rsidP="00BB165F">
      <w:pPr>
        <w:pStyle w:val="Bullet1"/>
      </w:pPr>
      <w:r>
        <w:t>Organisational protocols around throat pack use that include specified checking procedures can help reduce the risk of retained throat packs.</w:t>
      </w:r>
    </w:p>
    <w:p w14:paraId="39D5A804" w14:textId="77777777" w:rsidR="009169E8" w:rsidRDefault="009169E8" w:rsidP="000A4644">
      <w:pPr>
        <w:pStyle w:val="Heading2"/>
      </w:pPr>
      <w:r>
        <w:t>PRACTICE POINTS FROM CASES OF RETAINED THROAT PACKS</w:t>
      </w:r>
    </w:p>
    <w:p w14:paraId="549B80E9" w14:textId="77777777" w:rsidR="009169E8" w:rsidRDefault="009169E8" w:rsidP="00E961B4">
      <w:pPr>
        <w:pStyle w:val="Bullet1"/>
      </w:pPr>
      <w:r>
        <w:t>The location of visual reminders regarding throat packs is important because they need to be able to act as visual cues until the throat pack has been removed. If visual reminders such as stickers are attached to surgical drapes, the cue may be lost before the throat pack has been removed when drapes are taken down at the end of the case.</w:t>
      </w:r>
    </w:p>
    <w:p w14:paraId="6CAD5437" w14:textId="77777777" w:rsidR="009169E8" w:rsidRDefault="009169E8" w:rsidP="00BB165F">
      <w:pPr>
        <w:pStyle w:val="Bullet1"/>
      </w:pPr>
      <w:r>
        <w:t>This issue of sticky label reminders potentially being removed with surgical drapes was also identified in a 2016 Patient Safety Update by the Safe Anaesthesia Liaison Group in the UK (The Royal College of Anaesthetists, 2016).</w:t>
      </w:r>
    </w:p>
    <w:p w14:paraId="5084BF8F" w14:textId="77777777" w:rsidR="009169E8" w:rsidRDefault="009169E8" w:rsidP="000A4644">
      <w:pPr>
        <w:pStyle w:val="Heading2"/>
      </w:pPr>
      <w:r>
        <w:t>REFERENCES AND RESOURCES</w:t>
      </w:r>
    </w:p>
    <w:p w14:paraId="0FB5BB47" w14:textId="77777777" w:rsidR="009169E8" w:rsidRDefault="009169E8" w:rsidP="008E28A3">
      <w:pPr>
        <w:pStyle w:val="DHHSbody"/>
      </w:pPr>
      <w:proofErr w:type="spellStart"/>
      <w:r>
        <w:t>Athanassoglou</w:t>
      </w:r>
      <w:proofErr w:type="spellEnd"/>
      <w:r>
        <w:t xml:space="preserve"> et al. 2018</w:t>
      </w:r>
    </w:p>
    <w:p w14:paraId="49DE3C9A" w14:textId="77777777" w:rsidR="009169E8" w:rsidRDefault="009169E8" w:rsidP="008E28A3">
      <w:pPr>
        <w:pStyle w:val="DHHSbody"/>
      </w:pPr>
      <w:r>
        <w:t>The Royal College of Anaesthetists, 2016</w:t>
      </w:r>
    </w:p>
    <w:p w14:paraId="243A4E28" w14:textId="77777777" w:rsidR="009169E8" w:rsidRDefault="009169E8" w:rsidP="000104F5">
      <w:pPr>
        <w:pStyle w:val="Heading1"/>
      </w:pPr>
      <w:bookmarkStart w:id="23" w:name="_Toc20234292"/>
      <w:r>
        <w:lastRenderedPageBreak/>
        <w:t>Comorbidities</w:t>
      </w:r>
      <w:bookmarkEnd w:id="23"/>
    </w:p>
    <w:p w14:paraId="6924E96D" w14:textId="77777777" w:rsidR="009169E8" w:rsidRDefault="009169E8" w:rsidP="000A4644">
      <w:pPr>
        <w:pStyle w:val="Heading2"/>
      </w:pPr>
      <w:r>
        <w:t>THIS TRIENNIUM (2015–2017)</w:t>
      </w:r>
    </w:p>
    <w:p w14:paraId="481BF81A" w14:textId="51E7389B" w:rsidR="009169E8" w:rsidRDefault="009169E8" w:rsidP="008E28A3">
      <w:pPr>
        <w:pStyle w:val="DHHSbody"/>
      </w:pPr>
      <w:r>
        <w:t>Comorbidities were common in cases referred this triennium as evident in the ASA classifications. This is not surprising given the increasing prevalence of chronic health conditions in the Australian population.</w:t>
      </w:r>
    </w:p>
    <w:p w14:paraId="7409E0CC" w14:textId="10EE0233" w:rsidR="009169E8" w:rsidRDefault="009169E8" w:rsidP="008E28A3">
      <w:pPr>
        <w:pStyle w:val="DHHSbody"/>
      </w:pPr>
      <w:r>
        <w:t>The 2017–18 National Health Survey by the Australian Bureau of Statistics (2018, p. 19) found:</w:t>
      </w:r>
    </w:p>
    <w:p w14:paraId="15D706D7" w14:textId="430B9911" w:rsidR="00430CD7" w:rsidRDefault="00430CD7" w:rsidP="008E28A3">
      <w:pPr>
        <w:pStyle w:val="DHHSbody"/>
      </w:pPr>
      <w:r w:rsidRPr="00430CD7">
        <w:t>[Break out box text:</w:t>
      </w:r>
    </w:p>
    <w:p w14:paraId="15498993" w14:textId="2E737823" w:rsidR="00430CD7" w:rsidRDefault="00430CD7" w:rsidP="00430CD7">
      <w:pPr>
        <w:pStyle w:val="DHHSbody"/>
      </w:pPr>
      <w:r>
        <w:t>‘In 2017–18 just under half (47.3%) of Australians had one or more chronic conditions, an increase from 2007–08 when two-fifths (42.2%) of people had one or more chronic conditions.’</w:t>
      </w:r>
    </w:p>
    <w:p w14:paraId="2EFC049B" w14:textId="412F8905" w:rsidR="00430CD7" w:rsidRDefault="00430CD7" w:rsidP="00430CD7">
      <w:pPr>
        <w:pStyle w:val="DHHSbody"/>
      </w:pPr>
      <w:r>
        <w:t>‘The prevalence of chronic conditions increased with age, with four in five (80.0%) people aged 65 years and over having one or more chronic conditions.’</w:t>
      </w:r>
    </w:p>
    <w:p w14:paraId="6FACB20C" w14:textId="2ABF88C0" w:rsidR="009169E8" w:rsidRDefault="00430CD7" w:rsidP="008E28A3">
      <w:pPr>
        <w:pStyle w:val="DHHSbody"/>
      </w:pPr>
      <w:r w:rsidRPr="00430CD7">
        <w:t>End of break out box text.]</w:t>
      </w:r>
    </w:p>
    <w:p w14:paraId="4F3760E8" w14:textId="77777777" w:rsidR="009169E8" w:rsidRDefault="009169E8" w:rsidP="008E28A3">
      <w:pPr>
        <w:pStyle w:val="DHHSbody"/>
      </w:pPr>
      <w:r>
        <w:t>In the Australian Bureau of Statistics survey, some of these chronic conditions and their estimated prevalence included mental and behavioural conditions (20.1 per cent), asthma (11.2 per cent), heart, stroke and vascular disease (4.8 per cent), diabetes mellitus (type 2 – 4.1 per cent), chronic obstructive pulmonary disease (2.5 per cent), cancer (1.8 per cent) and kidney disease (1.0 per cent) (Australian Bureau of Statistics, 2018, p. 11).</w:t>
      </w:r>
    </w:p>
    <w:p w14:paraId="1A8D8983" w14:textId="1ED4AAC9" w:rsidR="009169E8" w:rsidRDefault="009169E8" w:rsidP="00BB165F">
      <w:pPr>
        <w:pStyle w:val="Heading3"/>
      </w:pPr>
      <w:r>
        <w:t>Obesity</w:t>
      </w:r>
    </w:p>
    <w:p w14:paraId="42E12947" w14:textId="5FA8B337" w:rsidR="009169E8" w:rsidRDefault="009169E8" w:rsidP="008E28A3">
      <w:pPr>
        <w:pStyle w:val="DHHSbody"/>
      </w:pPr>
      <w:r>
        <w:t>Obesity was present in 19 of the 110 cases classified as anaesthesia-related mortality or morbidity (categories 1–3) this triennium. This is not unexpected given the rising prevalence of obesity in Australian adults (Australian Institute of Health and Welfare, 2017) and the known association of obesity with chronic conditions that may lead to surgical intervention (including cardiovascular disease and some cancers).</w:t>
      </w:r>
    </w:p>
    <w:p w14:paraId="52F95598" w14:textId="57A85CA2" w:rsidR="009169E8" w:rsidRDefault="009169E8" w:rsidP="008E28A3">
      <w:pPr>
        <w:pStyle w:val="DHHSbody"/>
      </w:pPr>
      <w:r>
        <w:t>The 2017–18 National Health Survey by the Australian Bureau of Statistics (2018, p. 12) found that:</w:t>
      </w:r>
    </w:p>
    <w:p w14:paraId="70F68831" w14:textId="4A17F1A9" w:rsidR="00430CD7" w:rsidRDefault="00430CD7" w:rsidP="008E28A3">
      <w:pPr>
        <w:pStyle w:val="DHHSbody"/>
      </w:pPr>
      <w:r w:rsidRPr="00430CD7">
        <w:t>[Break out box text:</w:t>
      </w:r>
    </w:p>
    <w:p w14:paraId="139EC5DA" w14:textId="4D18ED6C" w:rsidR="00430CD7" w:rsidRDefault="00430CD7" w:rsidP="008E28A3">
      <w:pPr>
        <w:pStyle w:val="DHHSbody"/>
      </w:pPr>
      <w:r>
        <w:t>‘In 2017–18, two thirds (67.0%) of Australian adults were overweight or obese (12.5 million people), an increase from 63.4% in 2014–15. This change was driven by the increase in the proportion of adults categorised as obese, which increased from 27.9% to 31.3%.’</w:t>
      </w:r>
    </w:p>
    <w:p w14:paraId="6FC2357B" w14:textId="5E903B00" w:rsidR="009169E8" w:rsidRDefault="00430CD7" w:rsidP="008E28A3">
      <w:pPr>
        <w:pStyle w:val="DHHSbody"/>
      </w:pPr>
      <w:r w:rsidRPr="00430CD7">
        <w:t>End of break out box text.]</w:t>
      </w:r>
    </w:p>
    <w:p w14:paraId="088AA0C1" w14:textId="77777777" w:rsidR="009169E8" w:rsidRDefault="009169E8" w:rsidP="008E28A3">
      <w:pPr>
        <w:pStyle w:val="DHHSbody"/>
      </w:pPr>
      <w:r>
        <w:t>The growing prevalence of severe obesity (body mass index of 35 kg/m</w:t>
      </w:r>
      <w:r>
        <w:rPr>
          <w:vertAlign w:val="superscript"/>
        </w:rPr>
        <w:t>2</w:t>
      </w:r>
      <w:r>
        <w:t>) is particularly relevant having almost doubled between 1995 and 2014–15 (‘from 5% in 1995 to 9% in 2014–15’) (Australian Institute of Health and Welfare, 2017, p. vi).</w:t>
      </w:r>
    </w:p>
    <w:p w14:paraId="4945C356" w14:textId="65F028C8" w:rsidR="009169E8" w:rsidRDefault="009169E8" w:rsidP="008E28A3">
      <w:pPr>
        <w:pStyle w:val="DHHSbody"/>
      </w:pPr>
      <w:r>
        <w:t>This rising prevalence is concerning due to the association of obesity with both technical difficulties in providing anaesthetic care and increased perioperative risk due to associated chronic conditions including hypertension, cardiovascular disease and type 2 diabetes with their long-term consequences.</w:t>
      </w:r>
    </w:p>
    <w:p w14:paraId="14638F10" w14:textId="49597EC3" w:rsidR="009169E8" w:rsidRDefault="009169E8" w:rsidP="008E28A3">
      <w:pPr>
        <w:pStyle w:val="DHHSbody"/>
      </w:pPr>
      <w:r>
        <w:t>Technical difficulties often relate to airway management, vascular access, drug dosing and positioning (Nightingale, et al., 2015). Examples of all these difficulties were noted in cases reported to the VCCAMM this triennium where obesity was a comorbidity.</w:t>
      </w:r>
    </w:p>
    <w:p w14:paraId="4A7423F7" w14:textId="77777777" w:rsidR="009169E8" w:rsidRDefault="009169E8" w:rsidP="00BB165F">
      <w:pPr>
        <w:pStyle w:val="Heading3"/>
      </w:pPr>
      <w:r>
        <w:t>Obstructive sleep apnoea</w:t>
      </w:r>
    </w:p>
    <w:p w14:paraId="34258A6D" w14:textId="61AD90AB" w:rsidR="009169E8" w:rsidRDefault="009169E8" w:rsidP="008E28A3">
      <w:pPr>
        <w:pStyle w:val="DHHSbody"/>
      </w:pPr>
      <w:r>
        <w:t>OSA was a noted preoperative comorbidity in nine of the 110 cases classified as anaesthesia-related mortality or morbidity. In two patients, cardiac arrest occurred postoperatively in the ward. Another patient was admitted to HDU for non-invasive ventilatory support after developing respiratory failure in the immediate postoperative period.</w:t>
      </w:r>
    </w:p>
    <w:p w14:paraId="1F3C491F" w14:textId="77777777" w:rsidR="009169E8" w:rsidRDefault="009169E8" w:rsidP="008E28A3">
      <w:pPr>
        <w:pStyle w:val="DHHSbody"/>
      </w:pPr>
      <w:r>
        <w:t>The council noted the variation around the perioperative care of patients with known OSA, particularly regarding elective versus emergency surgical contexts, the location of postoperative care and actions taken when a patient’s own CPAP machine is not available for use in the hospital postoperatively.</w:t>
      </w:r>
    </w:p>
    <w:p w14:paraId="66CDF5B6" w14:textId="77777777" w:rsidR="009169E8" w:rsidRDefault="009169E8" w:rsidP="008E28A3">
      <w:pPr>
        <w:pStyle w:val="DHHSbody"/>
      </w:pPr>
      <w:r>
        <w:lastRenderedPageBreak/>
        <w:t>The emerging issue of undiagnosed OSA and central hypoventilation syndromes is particularly relevant given the rising prevalence of severe obesity in Australian adults (Australian Institute of Health and Welfare, 2017). This triennium, central hypoventilation syndrome was suspected postoperatively in an obese patient who required unplanned admission to ICU for non-invasive ventilation after developing periods of hypoventilation and apnoea following a procedure under GA. In another case, a patient with severe obesity was diagnosed with severe OSA postoperatively after intraoperative cardiac arrest occurred during an elective procedure under combined spinal and GA.</w:t>
      </w:r>
    </w:p>
    <w:p w14:paraId="03338C49" w14:textId="0ABAE3E1" w:rsidR="009169E8" w:rsidRDefault="009169E8" w:rsidP="00430CD7">
      <w:pPr>
        <w:pStyle w:val="DHHSbody"/>
      </w:pPr>
      <w:r>
        <w:t xml:space="preserve">The issue of undiagnosed obesity-related sleep-disordered breathing and associated perioperative risk has been gaining increasing attention (Nightingale, et al., 2015; Mutter, et al., 2014). OSA (diagnosed or undiagnosed) is associated with a higher incidence of postoperative respiratory complications, and undiagnosed OSA may be associated with a higher risk of postoperative cardiovascular complications (Mutter, et al., 2014). Practice guidelines for the perioperative management of patients with OSA have been developed by an American Society of </w:t>
      </w:r>
      <w:proofErr w:type="spellStart"/>
      <w:r>
        <w:t>Anesthesiologists</w:t>
      </w:r>
      <w:proofErr w:type="spellEnd"/>
      <w:r>
        <w:t xml:space="preserve"> taskforce (American Society of </w:t>
      </w:r>
      <w:proofErr w:type="spellStart"/>
      <w:r>
        <w:t>Anesthesiologists</w:t>
      </w:r>
      <w:proofErr w:type="spellEnd"/>
      <w:r>
        <w:t>, 2014).</w:t>
      </w:r>
    </w:p>
    <w:p w14:paraId="6B99792D" w14:textId="77777777" w:rsidR="009169E8" w:rsidRDefault="009169E8" w:rsidP="000A4644">
      <w:pPr>
        <w:pStyle w:val="Heading2"/>
      </w:pPr>
      <w:r>
        <w:t>KEY MESSAGES FROM COMORBIDITY CASES</w:t>
      </w:r>
    </w:p>
    <w:p w14:paraId="79CA9714" w14:textId="77777777" w:rsidR="009169E8" w:rsidRDefault="009169E8" w:rsidP="008E28A3">
      <w:pPr>
        <w:pStyle w:val="DHHSbody"/>
      </w:pPr>
      <w:r>
        <w:t>This rising prevalence of obesity and chronic health conditions in the Australian population has implications for both anaesthesia-related mortality and morbidity, and broader perioperative outcomes. It is a strong imperative to continue working towards a more multidisciplinary approach to perioperative care to reduce risks and optimise outcomes.</w:t>
      </w:r>
    </w:p>
    <w:p w14:paraId="6C12C20A" w14:textId="77777777" w:rsidR="009169E8" w:rsidRDefault="009169E8" w:rsidP="000A4644">
      <w:pPr>
        <w:pStyle w:val="Heading2"/>
      </w:pPr>
      <w:r>
        <w:t>OPPORTUNITY FOR IMPROVEMENT</w:t>
      </w:r>
    </w:p>
    <w:p w14:paraId="26AAE981" w14:textId="5A93DA38" w:rsidR="009169E8" w:rsidRDefault="009169E8" w:rsidP="008E28A3">
      <w:pPr>
        <w:pStyle w:val="DHHSbody"/>
      </w:pPr>
      <w:r>
        <w:t xml:space="preserve">Developing a </w:t>
      </w:r>
      <w:proofErr w:type="spellStart"/>
      <w:r>
        <w:t>statewide</w:t>
      </w:r>
      <w:proofErr w:type="spellEnd"/>
      <w:r>
        <w:t xml:space="preserve"> set of principles to guide and support a more consistent approach to the perioperative care of patients with diagnosed or suspected OSA or central hypoventilation syndromes would be beneficial.</w:t>
      </w:r>
    </w:p>
    <w:p w14:paraId="05CCB4B0" w14:textId="77777777" w:rsidR="009169E8" w:rsidRDefault="009169E8" w:rsidP="008E28A3">
      <w:pPr>
        <w:pStyle w:val="DHHSbody"/>
      </w:pPr>
      <w:r>
        <w:t>Principles are needed around:</w:t>
      </w:r>
    </w:p>
    <w:p w14:paraId="193C679B" w14:textId="77777777" w:rsidR="009169E8" w:rsidRDefault="009169E8" w:rsidP="00E961B4">
      <w:pPr>
        <w:pStyle w:val="Bullet1"/>
      </w:pPr>
      <w:r>
        <w:t>elective versus emergency surgical contexts</w:t>
      </w:r>
    </w:p>
    <w:p w14:paraId="3D5F6A78" w14:textId="77777777" w:rsidR="009169E8" w:rsidRDefault="009169E8" w:rsidP="00E961B4">
      <w:pPr>
        <w:pStyle w:val="Bullet1"/>
      </w:pPr>
      <w:r>
        <w:t>location of postoperative care – monitoring and staffing considerations</w:t>
      </w:r>
    </w:p>
    <w:p w14:paraId="10844A2C" w14:textId="77777777" w:rsidR="009169E8" w:rsidRDefault="009169E8" w:rsidP="00BB165F">
      <w:pPr>
        <w:pStyle w:val="Bullet1"/>
      </w:pPr>
      <w:r>
        <w:t>actions to take when a patient’s own CPAP machine is not available for use postoperatively.</w:t>
      </w:r>
    </w:p>
    <w:p w14:paraId="3E1E45E3" w14:textId="77777777" w:rsidR="009169E8" w:rsidRDefault="009169E8" w:rsidP="000A4644">
      <w:pPr>
        <w:pStyle w:val="Heading2"/>
      </w:pPr>
      <w:r>
        <w:t>REFERENCES</w:t>
      </w:r>
    </w:p>
    <w:p w14:paraId="2A6BEF61" w14:textId="77777777" w:rsidR="009169E8" w:rsidRDefault="009169E8" w:rsidP="008E28A3">
      <w:pPr>
        <w:pStyle w:val="DHHSbody"/>
      </w:pPr>
      <w:r>
        <w:t>American Society of Anaesthesiologists, 2014</w:t>
      </w:r>
    </w:p>
    <w:p w14:paraId="09CB34E2" w14:textId="77777777" w:rsidR="009169E8" w:rsidRDefault="009169E8" w:rsidP="008E28A3">
      <w:pPr>
        <w:pStyle w:val="DHHSbody"/>
      </w:pPr>
      <w:r>
        <w:t>Australian Bureau of Statistics, 2018</w:t>
      </w:r>
    </w:p>
    <w:p w14:paraId="53B87101" w14:textId="77777777" w:rsidR="009169E8" w:rsidRDefault="009169E8" w:rsidP="008E28A3">
      <w:pPr>
        <w:pStyle w:val="DHHSbody"/>
      </w:pPr>
      <w:r>
        <w:t>Australian Institute of Health and Welfare, 2017</w:t>
      </w:r>
    </w:p>
    <w:p w14:paraId="65D42853" w14:textId="77777777" w:rsidR="009169E8" w:rsidRDefault="009169E8" w:rsidP="008E28A3">
      <w:pPr>
        <w:pStyle w:val="DHHSbody"/>
      </w:pPr>
      <w:r>
        <w:t>Australian Institute of Health and Welfare, 2018</w:t>
      </w:r>
    </w:p>
    <w:p w14:paraId="171BE6C0" w14:textId="77777777" w:rsidR="009169E8" w:rsidRDefault="009169E8" w:rsidP="008E28A3">
      <w:pPr>
        <w:pStyle w:val="DHHSbody"/>
      </w:pPr>
      <w:r>
        <w:t>Mutter et al., 2014</w:t>
      </w:r>
    </w:p>
    <w:p w14:paraId="24700B20" w14:textId="77777777" w:rsidR="009169E8" w:rsidRDefault="009169E8" w:rsidP="008E28A3">
      <w:pPr>
        <w:pStyle w:val="DHHSbody"/>
      </w:pPr>
      <w:r>
        <w:t xml:space="preserve">Nightingale et al., 2015 </w:t>
      </w:r>
    </w:p>
    <w:p w14:paraId="13B38DBB" w14:textId="77777777" w:rsidR="009169E8" w:rsidRDefault="009169E8" w:rsidP="000104F5">
      <w:pPr>
        <w:pStyle w:val="Heading1"/>
      </w:pPr>
      <w:bookmarkStart w:id="24" w:name="_Toc20234293"/>
      <w:r>
        <w:lastRenderedPageBreak/>
        <w:t>Pre-operative assessment and management</w:t>
      </w:r>
      <w:bookmarkEnd w:id="24"/>
    </w:p>
    <w:p w14:paraId="3FA12A1C" w14:textId="77777777" w:rsidR="009169E8" w:rsidRDefault="009169E8" w:rsidP="000A4644">
      <w:pPr>
        <w:pStyle w:val="Heading2"/>
      </w:pPr>
      <w:r>
        <w:t>THIS TRIENNIUM (2015–2017)</w:t>
      </w:r>
    </w:p>
    <w:p w14:paraId="24D93EBA" w14:textId="77777777" w:rsidR="009169E8" w:rsidRDefault="009169E8" w:rsidP="008E28A3">
      <w:pPr>
        <w:pStyle w:val="DHHSbody"/>
      </w:pPr>
      <w:r>
        <w:t>Preoperative assessment and management factors identified as contributing to anaesthesia-related morbidity and mortality related to patients with known cardiac problems undergoing NCS, DOSA checks, and airway assessment in difficult contexts.</w:t>
      </w:r>
    </w:p>
    <w:p w14:paraId="3D483525" w14:textId="77777777" w:rsidR="009169E8" w:rsidRDefault="009169E8" w:rsidP="008E28A3">
      <w:pPr>
        <w:pStyle w:val="DHHSbody"/>
      </w:pPr>
      <w:r>
        <w:t>For patients with significant cardiac comorbidities, cases highlighted the importance of:</w:t>
      </w:r>
    </w:p>
    <w:p w14:paraId="162BA289" w14:textId="77777777" w:rsidR="009169E8" w:rsidRDefault="009169E8" w:rsidP="00E961B4">
      <w:pPr>
        <w:pStyle w:val="Bullet1"/>
      </w:pPr>
      <w:r>
        <w:t>preoperative cardiology consultation regarding management of APT/DAPT for patients with coronary stents, and ensuring the patient has clear medication instructions</w:t>
      </w:r>
    </w:p>
    <w:p w14:paraId="2307304C" w14:textId="77777777" w:rsidR="009169E8" w:rsidRDefault="009169E8" w:rsidP="00E961B4">
      <w:pPr>
        <w:pStyle w:val="Bullet1"/>
      </w:pPr>
      <w:r>
        <w:t>considering the significance of new preoperative ECG changes</w:t>
      </w:r>
    </w:p>
    <w:p w14:paraId="65D494DF" w14:textId="77777777" w:rsidR="009169E8" w:rsidRDefault="009169E8" w:rsidP="00BB165F">
      <w:pPr>
        <w:pStyle w:val="Bullet1"/>
      </w:pPr>
      <w:r>
        <w:t>ensuring documentation and handover of relevant clinical information – for example, pacemaker presence.</w:t>
      </w:r>
    </w:p>
    <w:p w14:paraId="276010DF" w14:textId="77777777" w:rsidR="009169E8" w:rsidRDefault="009169E8" w:rsidP="008E28A3">
      <w:pPr>
        <w:pStyle w:val="DHHSbody"/>
      </w:pPr>
      <w:r>
        <w:t>For DOSA patients, cases highlighted the importance of identifying any significant changes on arrival that may affect the plan for surgery or anaesthesia (for example, intercurrent illnesses, new diagnoses, changes in medications and instability of comorbidities) and ensuring such changes are communicated to the anaesthesia and surgical teams before the patient is transferred to theatre. Related cases noted a ‘pressure’ to proceed when such issues were flagged after the patient had been transferred to theatre.</w:t>
      </w:r>
    </w:p>
    <w:p w14:paraId="2B73F708" w14:textId="77777777" w:rsidR="009169E8" w:rsidRDefault="009169E8" w:rsidP="008E28A3">
      <w:pPr>
        <w:pStyle w:val="DHHSbody"/>
      </w:pPr>
      <w:r>
        <w:t>For patients unable to assist with a normal airway examination, cases highlighted the importance of considering all available information, including previous anaesthetic records when possible.</w:t>
      </w:r>
    </w:p>
    <w:p w14:paraId="068B3D8F" w14:textId="77777777" w:rsidR="009169E8" w:rsidRDefault="009169E8" w:rsidP="000A4644">
      <w:pPr>
        <w:pStyle w:val="Heading2"/>
      </w:pPr>
      <w:r>
        <w:t>KEY MESSAGES FROM PREOPERATIVE ASSESSMENT AND MANAGEMENT</w:t>
      </w:r>
    </w:p>
    <w:p w14:paraId="26C54329" w14:textId="77777777" w:rsidR="009169E8" w:rsidRDefault="009169E8" w:rsidP="00BB165F">
      <w:pPr>
        <w:pStyle w:val="Heading3"/>
      </w:pPr>
      <w:r>
        <w:t>Patients with cardiac disease – consider preoperative review by their cardiologist</w:t>
      </w:r>
    </w:p>
    <w:p w14:paraId="78AE35D0" w14:textId="77777777" w:rsidR="009169E8" w:rsidRDefault="009169E8" w:rsidP="00BB165F">
      <w:pPr>
        <w:pStyle w:val="Bullet1"/>
      </w:pPr>
      <w:r>
        <w:t>Patients with significant cardiac comorbidities can benefit from preoperative consultation with their cardiologist regarding perioperative management of their underlying condition. This is particularly important for patients with coronary stents in situ.</w:t>
      </w:r>
    </w:p>
    <w:p w14:paraId="4E535610" w14:textId="752777F9" w:rsidR="009169E8" w:rsidRDefault="009169E8" w:rsidP="00BB165F">
      <w:pPr>
        <w:pStyle w:val="Heading3"/>
      </w:pPr>
      <w:r>
        <w:t>DOSA patients – triggering clinical review when something is ‘not quite right’</w:t>
      </w:r>
    </w:p>
    <w:p w14:paraId="6E19740F" w14:textId="77777777" w:rsidR="009169E8" w:rsidRDefault="009169E8" w:rsidP="00E961B4">
      <w:pPr>
        <w:pStyle w:val="Bullet1"/>
      </w:pPr>
      <w:r>
        <w:t>Coordinating effective preoperative assessment in the context of busy DOSA areas can be challenging when staff are concurrently preparing multiple patients for surgery.</w:t>
      </w:r>
    </w:p>
    <w:p w14:paraId="618651E4" w14:textId="77777777" w:rsidR="009169E8" w:rsidRDefault="009169E8" w:rsidP="00E961B4">
      <w:pPr>
        <w:pStyle w:val="Bullet1"/>
      </w:pPr>
      <w:r>
        <w:t>Production pressures can raise the risk that a significant change in a patient’s condition, or new relevant information since the patient was last assessed may be missed. Examples include intercurrent illnesses, new diagnoses, changes in medications and instability of comorbidities. Formal checks for such changes are becoming increasingly important as more patients with increasingly significant comorbidities present as DOSA for elective procedures.</w:t>
      </w:r>
    </w:p>
    <w:p w14:paraId="79008E23" w14:textId="5A4A598E" w:rsidR="009169E8" w:rsidRDefault="009169E8" w:rsidP="00BB165F">
      <w:pPr>
        <w:pStyle w:val="Bullet1"/>
      </w:pPr>
      <w:r>
        <w:t>Clinician review in the DOSA area is important when a significant change is identified, or when something is ‘not quite right’ on admission. Review in the DOSA area facilitates discussion regarding whether or not to proceed with surgery, in an environment with less pressure to proceed than the operating theatre. For patients who have arrived unwell, it also facilitates escalation of care (e.g. a MET call or specialty consultation).</w:t>
      </w:r>
    </w:p>
    <w:p w14:paraId="013339BE" w14:textId="77777777" w:rsidR="009169E8" w:rsidRDefault="009169E8" w:rsidP="000A4644">
      <w:pPr>
        <w:pStyle w:val="Heading2"/>
      </w:pPr>
      <w:r>
        <w:t>PRACTICE POINTS ABOUT PREOPERATIVE ASSESSMENT AND MANAGEMENT</w:t>
      </w:r>
    </w:p>
    <w:p w14:paraId="253AD8BC" w14:textId="77777777" w:rsidR="009169E8" w:rsidRDefault="009169E8" w:rsidP="008E28A3">
      <w:pPr>
        <w:pStyle w:val="DHHSbody"/>
      </w:pPr>
      <w:r>
        <w:t>Many other referrals this triennium also conveyed important points regarding preoperative assessment and management. These learning points are included below.</w:t>
      </w:r>
    </w:p>
    <w:p w14:paraId="5D996C4D" w14:textId="77777777" w:rsidR="009169E8" w:rsidRDefault="009169E8" w:rsidP="00BB165F">
      <w:pPr>
        <w:pStyle w:val="Heading3"/>
      </w:pPr>
      <w:r>
        <w:t>Contact the patient’s usual treating doctor about complex comorbidities</w:t>
      </w:r>
    </w:p>
    <w:p w14:paraId="61DCC0AA" w14:textId="77777777" w:rsidR="009169E8" w:rsidRDefault="009169E8" w:rsidP="00E961B4">
      <w:pPr>
        <w:pStyle w:val="Bullet1"/>
      </w:pPr>
      <w:r>
        <w:t>The patient’s usual doctor(s) can facilitate perioperative management by providing:</w:t>
      </w:r>
    </w:p>
    <w:p w14:paraId="6CD8377C" w14:textId="2460500C" w:rsidR="009169E8" w:rsidRDefault="009169E8" w:rsidP="00437381">
      <w:pPr>
        <w:pStyle w:val="Bullet2"/>
      </w:pPr>
      <w:r>
        <w:t>a preoperative review to assess and optimise the patient’s condition</w:t>
      </w:r>
    </w:p>
    <w:p w14:paraId="3DD5884F" w14:textId="751BA6D2" w:rsidR="009169E8" w:rsidRDefault="009169E8" w:rsidP="00437381">
      <w:pPr>
        <w:pStyle w:val="Bullet2"/>
      </w:pPr>
      <w:r>
        <w:t>an accurate understanding of the current status of comorbidities</w:t>
      </w:r>
    </w:p>
    <w:p w14:paraId="43DB06B5" w14:textId="473B8579" w:rsidR="009169E8" w:rsidRDefault="009169E8" w:rsidP="00437381">
      <w:pPr>
        <w:pStyle w:val="Bullet2"/>
      </w:pPr>
      <w:r>
        <w:lastRenderedPageBreak/>
        <w:t>planning around perioperative medication management</w:t>
      </w:r>
    </w:p>
    <w:p w14:paraId="449D1696" w14:textId="28CBDD96" w:rsidR="009169E8" w:rsidRDefault="009169E8" w:rsidP="00437381">
      <w:pPr>
        <w:pStyle w:val="Bullet2"/>
      </w:pPr>
      <w:r>
        <w:t>coordination of postoperative care and follow-up.</w:t>
      </w:r>
    </w:p>
    <w:p w14:paraId="5978413F" w14:textId="77777777" w:rsidR="009169E8" w:rsidRDefault="009169E8" w:rsidP="00BB165F">
      <w:pPr>
        <w:pStyle w:val="Heading3"/>
      </w:pPr>
      <w:r>
        <w:t>Specialist referrals – ask specific questions</w:t>
      </w:r>
    </w:p>
    <w:p w14:paraId="756BF609" w14:textId="77777777" w:rsidR="009169E8" w:rsidRDefault="009169E8" w:rsidP="00BB165F">
      <w:pPr>
        <w:pStyle w:val="Bullet1"/>
      </w:pPr>
      <w:r>
        <w:t>Pre-operative referrals of a patient with complex comorbidities for non-anaesthetic specialist opinions can sometimes result in unexpected general advice regarding the type of anaesthesia that should or should not be given. This can be particularly difficult to navigate if the anaesthetist has a different opinion. Being specific about the question being asked in a referral may facilitate obtaining focused specialist advice.</w:t>
      </w:r>
    </w:p>
    <w:p w14:paraId="7DF0D11A" w14:textId="77777777" w:rsidR="009169E8" w:rsidRDefault="009169E8" w:rsidP="00BB165F">
      <w:pPr>
        <w:pStyle w:val="Heading3"/>
      </w:pPr>
      <w:r>
        <w:t>Ensure information relating to preoperative assessment is accessible to the perioperative team</w:t>
      </w:r>
    </w:p>
    <w:p w14:paraId="1A92C8D6" w14:textId="77777777" w:rsidR="009169E8" w:rsidRDefault="009169E8" w:rsidP="00BB165F">
      <w:pPr>
        <w:pStyle w:val="Bullet1"/>
      </w:pPr>
      <w:r>
        <w:t>Changes in staffing or scheduling, postoperative deterioration and unplanned returns to theatre can all result in other clinicians needing to rapidly access information about the patient’s preoperative status and underlying comorbidities, particularly if these conditions are usually managed externally.</w:t>
      </w:r>
    </w:p>
    <w:p w14:paraId="0C2F6CEC" w14:textId="715A7958" w:rsidR="009169E8" w:rsidRDefault="009169E8" w:rsidP="00BB165F">
      <w:pPr>
        <w:pStyle w:val="Heading3"/>
      </w:pPr>
      <w:r>
        <w:t>Patients need clear written instructions regarding usual medications before elective surgery</w:t>
      </w:r>
    </w:p>
    <w:p w14:paraId="12724F89" w14:textId="36EE203A" w:rsidR="009169E8" w:rsidRDefault="009169E8" w:rsidP="00E961B4">
      <w:pPr>
        <w:pStyle w:val="Bullet1"/>
      </w:pPr>
      <w:r>
        <w:t>This particularly matters for high-risk medications and in patients with complex comorbidities who take multiple medications, some of which are being ceased while others are continued.</w:t>
      </w:r>
    </w:p>
    <w:p w14:paraId="4661FE48" w14:textId="77777777" w:rsidR="009169E8" w:rsidRDefault="009169E8" w:rsidP="00E961B4">
      <w:pPr>
        <w:pStyle w:val="Bullet1"/>
      </w:pPr>
      <w:r>
        <w:t>Confirming the patient understands the instructions is an important part of preoperative care, particularly for patients from culturally and linguistically diverse (CALD) backgrounds.</w:t>
      </w:r>
    </w:p>
    <w:p w14:paraId="107AA3F2" w14:textId="62778C4B" w:rsidR="009169E8" w:rsidRDefault="009169E8" w:rsidP="008E28A3">
      <w:pPr>
        <w:pStyle w:val="Bullet1"/>
      </w:pPr>
      <w:r>
        <w:t>A contact number is helpful in case the patient has questions about the instructions.</w:t>
      </w:r>
    </w:p>
    <w:p w14:paraId="4BF02639" w14:textId="77777777" w:rsidR="009169E8" w:rsidRDefault="009169E8" w:rsidP="000104F5">
      <w:pPr>
        <w:pStyle w:val="Heading1"/>
      </w:pPr>
      <w:bookmarkStart w:id="25" w:name="_Toc20234294"/>
      <w:r>
        <w:lastRenderedPageBreak/>
        <w:t xml:space="preserve">Clinical deterioration in the </w:t>
      </w:r>
      <w:proofErr w:type="gramStart"/>
      <w:r>
        <w:t>early  postoperative</w:t>
      </w:r>
      <w:proofErr w:type="gramEnd"/>
      <w:r>
        <w:t xml:space="preserve"> period</w:t>
      </w:r>
      <w:bookmarkEnd w:id="25"/>
    </w:p>
    <w:p w14:paraId="6449B74E" w14:textId="77777777" w:rsidR="009169E8" w:rsidRDefault="009169E8" w:rsidP="000A4644">
      <w:pPr>
        <w:pStyle w:val="Heading2"/>
      </w:pPr>
      <w:r>
        <w:t>THIS TRIENNIUM (2015–2017)</w:t>
      </w:r>
    </w:p>
    <w:p w14:paraId="7B0A1D73" w14:textId="77777777" w:rsidR="009169E8" w:rsidRDefault="009169E8" w:rsidP="008E28A3">
      <w:pPr>
        <w:pStyle w:val="DHHSbody"/>
      </w:pPr>
      <w:r>
        <w:t>Eighteen cases classified as anaesthesia-related morbidity and mortality involved clinical deterioration (without progression to cardiac arrest) in the early postoperative period (15 mortalities, three morbidities). Sixteen cases were categorised as category 3, and two were categorised as category 1. Only one case was considered to be probably preventable. Eleven of the 18 cases followed emergency surgical procedures.</w:t>
      </w:r>
    </w:p>
    <w:p w14:paraId="4E18B71E" w14:textId="77777777" w:rsidR="009169E8" w:rsidRDefault="009169E8" w:rsidP="008E28A3">
      <w:pPr>
        <w:pStyle w:val="DHHSbody"/>
      </w:pPr>
      <w:r>
        <w:t>Underlying comorbidities were identified as a factor in 16 cases (sub-category H), and no better anaesthetic technique (sub-category G) could be suggested in 13 cases. Most patients were aged over 70.</w:t>
      </w:r>
    </w:p>
    <w:p w14:paraId="2535DAEF" w14:textId="1F4E0931" w:rsidR="009169E8" w:rsidRDefault="009169E8" w:rsidP="008E28A3">
      <w:pPr>
        <w:pStyle w:val="DHHSbody"/>
      </w:pPr>
      <w:r>
        <w:t>In 13 patients, deterioration occurred in the PACU, with most events related to hypoventilation and respiratory failure, or diagnosis of perioperative stroke after patients were slow to awaken following GA. Five patients were reintubated, and nine were transferred to ICU for ongoing care (one after a return to theatre).</w:t>
      </w:r>
    </w:p>
    <w:p w14:paraId="1E1CBEEB" w14:textId="0FC35E84" w:rsidR="009169E8" w:rsidRDefault="009169E8" w:rsidP="008E28A3">
      <w:pPr>
        <w:pStyle w:val="DHHSbody"/>
      </w:pPr>
      <w:r>
        <w:t>Nine cases related to patients who had undergone a fractured hip repair, four of whom deteriorated in the PACU, and five deteriorated after returning to the ward. All were aged over 80. Deterioration on the ward included developing type 2 respiratory failure, progressive hypotension and hypoxia, and a decreased Glasgow Coma Score. One patient was intubated and transferred to ICU.</w:t>
      </w:r>
    </w:p>
    <w:p w14:paraId="3B0B19C2" w14:textId="77777777" w:rsidR="009169E8" w:rsidRDefault="009169E8" w:rsidP="000A4644">
      <w:pPr>
        <w:pStyle w:val="Heading2"/>
      </w:pPr>
      <w:r>
        <w:t>KEY MESSAGES FROM EARLY POSTOPERATIVE DETERIORATION</w:t>
      </w:r>
    </w:p>
    <w:p w14:paraId="33E7FA6C" w14:textId="550DACE4" w:rsidR="009169E8" w:rsidRDefault="009169E8" w:rsidP="00BB165F">
      <w:pPr>
        <w:pStyle w:val="Heading3"/>
      </w:pPr>
      <w:r>
        <w:t>Establishing and understanding patient wishes/goals of care preoperatively</w:t>
      </w:r>
    </w:p>
    <w:p w14:paraId="657EDDFE" w14:textId="08AE96DA" w:rsidR="009169E8" w:rsidRDefault="009169E8" w:rsidP="00E961B4">
      <w:pPr>
        <w:pStyle w:val="Bullet1"/>
      </w:pPr>
      <w:r>
        <w:t>In elderly patients and/or patients with significant comorbidities, when the patient’s condition deteriorates intraoperatively or in the early postoperative period, clinical decision making is more difficult when conversations about patient wishes/goals of care have not occurred or been clearly documented before anaesthesia and surgery begins.</w:t>
      </w:r>
    </w:p>
    <w:p w14:paraId="4F175488" w14:textId="2CDDCB84" w:rsidR="009169E8" w:rsidRDefault="009169E8" w:rsidP="00BB165F">
      <w:pPr>
        <w:pStyle w:val="Bullet1"/>
      </w:pPr>
      <w:r>
        <w:t>Theatre teams should be aware of any current documentation or directives regarding goals of care or limitations of treatment. This is particularly important in high-risk patients undergoing emergency procedures where the possibility of intraoperative cardiac arrest or deterioration in the early postoperative period is more likely.</w:t>
      </w:r>
    </w:p>
    <w:p w14:paraId="4D12B787" w14:textId="77777777" w:rsidR="009169E8" w:rsidRDefault="009169E8" w:rsidP="000A4644">
      <w:pPr>
        <w:pStyle w:val="Heading2"/>
      </w:pPr>
      <w:r>
        <w:t>REFERENCES AND RESOURCES</w:t>
      </w:r>
    </w:p>
    <w:p w14:paraId="3D6A9D9A" w14:textId="53D541C5" w:rsidR="009169E8" w:rsidRDefault="009169E8" w:rsidP="008E28A3">
      <w:pPr>
        <w:pStyle w:val="DHHSbody"/>
      </w:pPr>
      <w:r>
        <w:t>Thomas et al., 2014</w:t>
      </w:r>
    </w:p>
    <w:p w14:paraId="3E2CEAF2" w14:textId="374912F6" w:rsidR="009169E8" w:rsidRDefault="009169E8" w:rsidP="000104F5">
      <w:pPr>
        <w:pStyle w:val="Heading1"/>
      </w:pPr>
      <w:bookmarkStart w:id="26" w:name="_Toc20234295"/>
      <w:r>
        <w:lastRenderedPageBreak/>
        <w:t>Event types for all categories</w:t>
      </w:r>
      <w:bookmarkEnd w:id="26"/>
    </w:p>
    <w:p w14:paraId="56D65AF7" w14:textId="77777777" w:rsidR="009169E8" w:rsidRDefault="009169E8" w:rsidP="008E28A3">
      <w:pPr>
        <w:pStyle w:val="DHHSbody"/>
      </w:pPr>
      <w:r>
        <w:t>Table 12 shows the numbers of category 1–3 and 4–10 events by type and sub-types.</w:t>
      </w:r>
    </w:p>
    <w:p w14:paraId="786C957C" w14:textId="77777777" w:rsidR="009169E8" w:rsidRDefault="009169E8" w:rsidP="00B8026E">
      <w:pPr>
        <w:pStyle w:val="Tablechartdiagramheading"/>
      </w:pPr>
      <w:r>
        <w:t>Table 12: Category 1–3 and 4–10 event types and sub-types</w:t>
      </w:r>
    </w:p>
    <w:tbl>
      <w:tblPr>
        <w:tblStyle w:val="PlainTable2"/>
        <w:tblW w:w="0" w:type="auto"/>
        <w:tblLayout w:type="fixed"/>
        <w:tblLook w:val="0020" w:firstRow="1" w:lastRow="0" w:firstColumn="0" w:lastColumn="0" w:noHBand="0" w:noVBand="0"/>
      </w:tblPr>
      <w:tblGrid>
        <w:gridCol w:w="3685"/>
        <w:gridCol w:w="1304"/>
        <w:gridCol w:w="1304"/>
        <w:gridCol w:w="1304"/>
        <w:gridCol w:w="1304"/>
        <w:gridCol w:w="1304"/>
      </w:tblGrid>
      <w:tr w:rsidR="009169E8" w14:paraId="5F037995" w14:textId="77777777" w:rsidTr="00430CD7">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685" w:type="dxa"/>
          </w:tcPr>
          <w:p w14:paraId="78AFBB7E" w14:textId="77777777" w:rsidR="009169E8" w:rsidRPr="00430CD7" w:rsidRDefault="009169E8" w:rsidP="00A90D07">
            <w:pPr>
              <w:pStyle w:val="Tableheader"/>
              <w:rPr>
                <w:b/>
              </w:rPr>
            </w:pPr>
            <w:r w:rsidRPr="00430CD7">
              <w:rPr>
                <w:b/>
              </w:rPr>
              <w:t>Event type</w:t>
            </w:r>
          </w:p>
        </w:tc>
        <w:tc>
          <w:tcPr>
            <w:cnfStyle w:val="000001000000" w:firstRow="0" w:lastRow="0" w:firstColumn="0" w:lastColumn="0" w:oddVBand="0" w:evenVBand="1" w:oddHBand="0" w:evenHBand="0" w:firstRowFirstColumn="0" w:firstRowLastColumn="0" w:lastRowFirstColumn="0" w:lastRowLastColumn="0"/>
            <w:tcW w:w="1304" w:type="dxa"/>
          </w:tcPr>
          <w:p w14:paraId="08B8BDF3" w14:textId="77777777" w:rsidR="009169E8" w:rsidRPr="00430CD7" w:rsidRDefault="009169E8" w:rsidP="00A90D07">
            <w:pPr>
              <w:pStyle w:val="Tableheader"/>
              <w:rPr>
                <w:b/>
              </w:rPr>
            </w:pPr>
            <w:r w:rsidRPr="00430CD7">
              <w:rPr>
                <w:b/>
              </w:rPr>
              <w:t>Cat 1–3 Morbidity</w:t>
            </w:r>
          </w:p>
        </w:tc>
        <w:tc>
          <w:tcPr>
            <w:cnfStyle w:val="000010000000" w:firstRow="0" w:lastRow="0" w:firstColumn="0" w:lastColumn="0" w:oddVBand="1" w:evenVBand="0" w:oddHBand="0" w:evenHBand="0" w:firstRowFirstColumn="0" w:firstRowLastColumn="0" w:lastRowFirstColumn="0" w:lastRowLastColumn="0"/>
            <w:tcW w:w="1304" w:type="dxa"/>
          </w:tcPr>
          <w:p w14:paraId="325BB96B" w14:textId="77777777" w:rsidR="009169E8" w:rsidRPr="00430CD7" w:rsidRDefault="009169E8" w:rsidP="00A90D07">
            <w:pPr>
              <w:pStyle w:val="Tableheader"/>
              <w:rPr>
                <w:b/>
              </w:rPr>
            </w:pPr>
            <w:r w:rsidRPr="00430CD7">
              <w:rPr>
                <w:b/>
              </w:rPr>
              <w:t>Cat 1–3 Mortality</w:t>
            </w:r>
          </w:p>
        </w:tc>
        <w:tc>
          <w:tcPr>
            <w:cnfStyle w:val="000001000000" w:firstRow="0" w:lastRow="0" w:firstColumn="0" w:lastColumn="0" w:oddVBand="0" w:evenVBand="1" w:oddHBand="0" w:evenHBand="0" w:firstRowFirstColumn="0" w:firstRowLastColumn="0" w:lastRowFirstColumn="0" w:lastRowLastColumn="0"/>
            <w:tcW w:w="1304" w:type="dxa"/>
          </w:tcPr>
          <w:p w14:paraId="03E502CF" w14:textId="77777777" w:rsidR="009169E8" w:rsidRPr="00430CD7" w:rsidRDefault="009169E8" w:rsidP="00A90D07">
            <w:pPr>
              <w:pStyle w:val="Tableheader"/>
              <w:rPr>
                <w:b/>
              </w:rPr>
            </w:pPr>
            <w:r w:rsidRPr="00430CD7">
              <w:rPr>
                <w:b/>
              </w:rPr>
              <w:t>Cat 4–10 Morbidity</w:t>
            </w:r>
          </w:p>
        </w:tc>
        <w:tc>
          <w:tcPr>
            <w:cnfStyle w:val="000010000000" w:firstRow="0" w:lastRow="0" w:firstColumn="0" w:lastColumn="0" w:oddVBand="1" w:evenVBand="0" w:oddHBand="0" w:evenHBand="0" w:firstRowFirstColumn="0" w:firstRowLastColumn="0" w:lastRowFirstColumn="0" w:lastRowLastColumn="0"/>
            <w:tcW w:w="1304" w:type="dxa"/>
          </w:tcPr>
          <w:p w14:paraId="03A976E0" w14:textId="77777777" w:rsidR="009169E8" w:rsidRPr="00430CD7" w:rsidRDefault="009169E8" w:rsidP="00A90D07">
            <w:pPr>
              <w:pStyle w:val="Tableheader"/>
              <w:rPr>
                <w:b/>
              </w:rPr>
            </w:pPr>
            <w:r w:rsidRPr="00430CD7">
              <w:rPr>
                <w:b/>
              </w:rPr>
              <w:t>Cat 4–10 Mortality</w:t>
            </w:r>
          </w:p>
        </w:tc>
        <w:tc>
          <w:tcPr>
            <w:cnfStyle w:val="000001000000" w:firstRow="0" w:lastRow="0" w:firstColumn="0" w:lastColumn="0" w:oddVBand="0" w:evenVBand="1" w:oddHBand="0" w:evenHBand="0" w:firstRowFirstColumn="0" w:firstRowLastColumn="0" w:lastRowFirstColumn="0" w:lastRowLastColumn="0"/>
            <w:tcW w:w="1304" w:type="dxa"/>
          </w:tcPr>
          <w:p w14:paraId="17422148" w14:textId="77777777" w:rsidR="009169E8" w:rsidRPr="00430CD7" w:rsidRDefault="009169E8" w:rsidP="00A90D07">
            <w:pPr>
              <w:pStyle w:val="Tableheader"/>
              <w:rPr>
                <w:b/>
              </w:rPr>
            </w:pPr>
            <w:r w:rsidRPr="00430CD7">
              <w:rPr>
                <w:b/>
              </w:rPr>
              <w:t>Total</w:t>
            </w:r>
          </w:p>
        </w:tc>
      </w:tr>
      <w:tr w:rsidR="009169E8" w14:paraId="6035C5C5"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235C2C56" w14:textId="77777777" w:rsidR="009169E8" w:rsidRPr="00430CD7" w:rsidRDefault="009169E8" w:rsidP="00430CD7">
            <w:pPr>
              <w:pStyle w:val="Tabletext"/>
              <w:rPr>
                <w:b/>
              </w:rPr>
            </w:pPr>
            <w:r w:rsidRPr="00430CD7">
              <w:rPr>
                <w:b/>
              </w:rPr>
              <w:t>Airway</w:t>
            </w:r>
          </w:p>
        </w:tc>
        <w:tc>
          <w:tcPr>
            <w:cnfStyle w:val="000001000000" w:firstRow="0" w:lastRow="0" w:firstColumn="0" w:lastColumn="0" w:oddVBand="0" w:evenVBand="1" w:oddHBand="0" w:evenHBand="0" w:firstRowFirstColumn="0" w:firstRowLastColumn="0" w:lastRowFirstColumn="0" w:lastRowLastColumn="0"/>
            <w:tcW w:w="1304" w:type="dxa"/>
          </w:tcPr>
          <w:p w14:paraId="221DA59A" w14:textId="77777777" w:rsidR="009169E8" w:rsidRPr="00430CD7" w:rsidRDefault="009169E8" w:rsidP="00430CD7">
            <w:pPr>
              <w:pStyle w:val="Tabletext"/>
              <w:rPr>
                <w:b/>
              </w:rPr>
            </w:pPr>
            <w:r w:rsidRPr="00430CD7">
              <w:rPr>
                <w:b/>
              </w:rPr>
              <w:t>7</w:t>
            </w:r>
          </w:p>
        </w:tc>
        <w:tc>
          <w:tcPr>
            <w:cnfStyle w:val="000010000000" w:firstRow="0" w:lastRow="0" w:firstColumn="0" w:lastColumn="0" w:oddVBand="1" w:evenVBand="0" w:oddHBand="0" w:evenHBand="0" w:firstRowFirstColumn="0" w:firstRowLastColumn="0" w:lastRowFirstColumn="0" w:lastRowLastColumn="0"/>
            <w:tcW w:w="1304" w:type="dxa"/>
          </w:tcPr>
          <w:p w14:paraId="6666CDEC" w14:textId="77777777" w:rsidR="009169E8" w:rsidRPr="00430CD7" w:rsidRDefault="009169E8" w:rsidP="00430CD7">
            <w:pPr>
              <w:pStyle w:val="Tabletext"/>
              <w:rPr>
                <w:b/>
              </w:rPr>
            </w:pPr>
            <w:r w:rsidRPr="00430CD7">
              <w:rPr>
                <w:b/>
              </w:rPr>
              <w:t>2</w:t>
            </w:r>
          </w:p>
        </w:tc>
        <w:tc>
          <w:tcPr>
            <w:cnfStyle w:val="000001000000" w:firstRow="0" w:lastRow="0" w:firstColumn="0" w:lastColumn="0" w:oddVBand="0" w:evenVBand="1" w:oddHBand="0" w:evenHBand="0" w:firstRowFirstColumn="0" w:firstRowLastColumn="0" w:lastRowFirstColumn="0" w:lastRowLastColumn="0"/>
            <w:tcW w:w="1304" w:type="dxa"/>
          </w:tcPr>
          <w:p w14:paraId="10F6D3CB" w14:textId="77777777" w:rsidR="009169E8" w:rsidRPr="00430CD7" w:rsidRDefault="009169E8" w:rsidP="00430CD7">
            <w:pPr>
              <w:pStyle w:val="Tabletext"/>
              <w:rPr>
                <w:b/>
              </w:rPr>
            </w:pPr>
            <w:r w:rsidRPr="00430CD7">
              <w:rPr>
                <w:b/>
              </w:rPr>
              <w:t>1</w:t>
            </w:r>
          </w:p>
        </w:tc>
        <w:tc>
          <w:tcPr>
            <w:cnfStyle w:val="000010000000" w:firstRow="0" w:lastRow="0" w:firstColumn="0" w:lastColumn="0" w:oddVBand="1" w:evenVBand="0" w:oddHBand="0" w:evenHBand="0" w:firstRowFirstColumn="0" w:firstRowLastColumn="0" w:lastRowFirstColumn="0" w:lastRowLastColumn="0"/>
            <w:tcW w:w="1304" w:type="dxa"/>
          </w:tcPr>
          <w:p w14:paraId="6827CC4A" w14:textId="77777777" w:rsidR="009169E8" w:rsidRPr="00430CD7" w:rsidRDefault="009169E8" w:rsidP="00430CD7">
            <w:pPr>
              <w:pStyle w:val="Tabletext"/>
              <w:rPr>
                <w:b/>
              </w:rPr>
            </w:pPr>
            <w:r w:rsidRPr="00430CD7">
              <w:rPr>
                <w:b/>
              </w:rPr>
              <w:t>1</w:t>
            </w:r>
          </w:p>
        </w:tc>
        <w:tc>
          <w:tcPr>
            <w:cnfStyle w:val="000001000000" w:firstRow="0" w:lastRow="0" w:firstColumn="0" w:lastColumn="0" w:oddVBand="0" w:evenVBand="1" w:oddHBand="0" w:evenHBand="0" w:firstRowFirstColumn="0" w:firstRowLastColumn="0" w:lastRowFirstColumn="0" w:lastRowLastColumn="0"/>
            <w:tcW w:w="1304" w:type="dxa"/>
          </w:tcPr>
          <w:p w14:paraId="59D51FE7" w14:textId="77777777" w:rsidR="009169E8" w:rsidRPr="00430CD7" w:rsidRDefault="009169E8" w:rsidP="00430CD7">
            <w:pPr>
              <w:pStyle w:val="Tabletext"/>
              <w:rPr>
                <w:b/>
              </w:rPr>
            </w:pPr>
            <w:r w:rsidRPr="00430CD7">
              <w:rPr>
                <w:b/>
              </w:rPr>
              <w:t>11</w:t>
            </w:r>
          </w:p>
        </w:tc>
      </w:tr>
      <w:tr w:rsidR="009169E8" w14:paraId="63471038"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09F10324" w14:textId="77777777" w:rsidR="009169E8" w:rsidRPr="00430CD7" w:rsidRDefault="009169E8" w:rsidP="00430CD7">
            <w:pPr>
              <w:pStyle w:val="Tabletext"/>
            </w:pPr>
            <w:r w:rsidRPr="00430CD7">
              <w:t>Airway obstruction</w:t>
            </w:r>
          </w:p>
        </w:tc>
        <w:tc>
          <w:tcPr>
            <w:cnfStyle w:val="000001000000" w:firstRow="0" w:lastRow="0" w:firstColumn="0" w:lastColumn="0" w:oddVBand="0" w:evenVBand="1" w:oddHBand="0" w:evenHBand="0" w:firstRowFirstColumn="0" w:firstRowLastColumn="0" w:lastRowFirstColumn="0" w:lastRowLastColumn="0"/>
            <w:tcW w:w="1304" w:type="dxa"/>
          </w:tcPr>
          <w:p w14:paraId="7E12371E"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1BD97F33"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01F18067"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28D79DBA"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72CAA5C9" w14:textId="77777777" w:rsidR="009169E8" w:rsidRPr="00430CD7" w:rsidRDefault="009169E8" w:rsidP="00430CD7">
            <w:pPr>
              <w:pStyle w:val="Tabletext"/>
            </w:pPr>
            <w:r w:rsidRPr="00430CD7">
              <w:t>2</w:t>
            </w:r>
          </w:p>
        </w:tc>
      </w:tr>
      <w:tr w:rsidR="009169E8" w14:paraId="28A72984"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38462C74" w14:textId="77777777" w:rsidR="009169E8" w:rsidRPr="00430CD7" w:rsidRDefault="009169E8" w:rsidP="00430CD7">
            <w:pPr>
              <w:pStyle w:val="Tabletext"/>
            </w:pPr>
            <w:r w:rsidRPr="00430CD7">
              <w:t>Failed intubation</w:t>
            </w:r>
          </w:p>
        </w:tc>
        <w:tc>
          <w:tcPr>
            <w:cnfStyle w:val="000001000000" w:firstRow="0" w:lastRow="0" w:firstColumn="0" w:lastColumn="0" w:oddVBand="0" w:evenVBand="1" w:oddHBand="0" w:evenHBand="0" w:firstRowFirstColumn="0" w:firstRowLastColumn="0" w:lastRowFirstColumn="0" w:lastRowLastColumn="0"/>
            <w:tcW w:w="1304" w:type="dxa"/>
          </w:tcPr>
          <w:p w14:paraId="77243E7F" w14:textId="77777777" w:rsidR="009169E8" w:rsidRPr="00430CD7" w:rsidRDefault="009169E8" w:rsidP="00430CD7">
            <w:pPr>
              <w:pStyle w:val="Tabletext"/>
            </w:pPr>
            <w:r w:rsidRPr="00430CD7">
              <w:t>2</w:t>
            </w:r>
          </w:p>
        </w:tc>
        <w:tc>
          <w:tcPr>
            <w:cnfStyle w:val="000010000000" w:firstRow="0" w:lastRow="0" w:firstColumn="0" w:lastColumn="0" w:oddVBand="1" w:evenVBand="0" w:oddHBand="0" w:evenHBand="0" w:firstRowFirstColumn="0" w:firstRowLastColumn="0" w:lastRowFirstColumn="0" w:lastRowLastColumn="0"/>
            <w:tcW w:w="1304" w:type="dxa"/>
          </w:tcPr>
          <w:p w14:paraId="447E7E9B"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43CBCC83"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7C718D03"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2B3B9A9C" w14:textId="77777777" w:rsidR="009169E8" w:rsidRPr="00430CD7" w:rsidRDefault="009169E8" w:rsidP="00430CD7">
            <w:pPr>
              <w:pStyle w:val="Tabletext"/>
            </w:pPr>
            <w:r w:rsidRPr="00430CD7">
              <w:t>3</w:t>
            </w:r>
          </w:p>
        </w:tc>
      </w:tr>
      <w:tr w:rsidR="009169E8" w14:paraId="48703C4D"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2FF07470" w14:textId="77777777" w:rsidR="009169E8" w:rsidRPr="00430CD7" w:rsidRDefault="009169E8" w:rsidP="00430CD7">
            <w:pPr>
              <w:pStyle w:val="Tabletext"/>
            </w:pPr>
            <w:r w:rsidRPr="00430CD7">
              <w:t>Other</w:t>
            </w:r>
          </w:p>
        </w:tc>
        <w:tc>
          <w:tcPr>
            <w:cnfStyle w:val="000001000000" w:firstRow="0" w:lastRow="0" w:firstColumn="0" w:lastColumn="0" w:oddVBand="0" w:evenVBand="1" w:oddHBand="0" w:evenHBand="0" w:firstRowFirstColumn="0" w:firstRowLastColumn="0" w:lastRowFirstColumn="0" w:lastRowLastColumn="0"/>
            <w:tcW w:w="1304" w:type="dxa"/>
          </w:tcPr>
          <w:p w14:paraId="36AFAB1B" w14:textId="77777777" w:rsidR="009169E8" w:rsidRPr="00430CD7" w:rsidRDefault="009169E8" w:rsidP="00430CD7">
            <w:pPr>
              <w:pStyle w:val="Tabletext"/>
            </w:pPr>
            <w:r w:rsidRPr="00430CD7">
              <w:t>4</w:t>
            </w:r>
          </w:p>
        </w:tc>
        <w:tc>
          <w:tcPr>
            <w:cnfStyle w:val="000010000000" w:firstRow="0" w:lastRow="0" w:firstColumn="0" w:lastColumn="0" w:oddVBand="1" w:evenVBand="0" w:oddHBand="0" w:evenHBand="0" w:firstRowFirstColumn="0" w:firstRowLastColumn="0" w:lastRowFirstColumn="0" w:lastRowLastColumn="0"/>
            <w:tcW w:w="1304" w:type="dxa"/>
          </w:tcPr>
          <w:p w14:paraId="0C43EA0D"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2476B3E4"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78DFEA05"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4121CADC" w14:textId="77777777" w:rsidR="009169E8" w:rsidRPr="00430CD7" w:rsidRDefault="009169E8" w:rsidP="00430CD7">
            <w:pPr>
              <w:pStyle w:val="Tabletext"/>
            </w:pPr>
            <w:r w:rsidRPr="00430CD7">
              <w:t>6</w:t>
            </w:r>
          </w:p>
        </w:tc>
      </w:tr>
      <w:tr w:rsidR="009169E8" w14:paraId="74989AA2"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14C642C6" w14:textId="77777777" w:rsidR="009169E8" w:rsidRPr="00430CD7" w:rsidRDefault="009169E8" w:rsidP="00430CD7">
            <w:pPr>
              <w:pStyle w:val="Tabletext"/>
              <w:rPr>
                <w:b/>
              </w:rPr>
            </w:pPr>
            <w:r w:rsidRPr="00430CD7">
              <w:rPr>
                <w:b/>
              </w:rPr>
              <w:t>Cardiovascular</w:t>
            </w:r>
          </w:p>
        </w:tc>
        <w:tc>
          <w:tcPr>
            <w:cnfStyle w:val="000001000000" w:firstRow="0" w:lastRow="0" w:firstColumn="0" w:lastColumn="0" w:oddVBand="0" w:evenVBand="1" w:oddHBand="0" w:evenHBand="0" w:firstRowFirstColumn="0" w:firstRowLastColumn="0" w:lastRowFirstColumn="0" w:lastRowLastColumn="0"/>
            <w:tcW w:w="1304" w:type="dxa"/>
          </w:tcPr>
          <w:p w14:paraId="14FC4F85" w14:textId="77777777" w:rsidR="009169E8" w:rsidRPr="00430CD7" w:rsidRDefault="009169E8" w:rsidP="00430CD7">
            <w:pPr>
              <w:pStyle w:val="Tabletext"/>
              <w:rPr>
                <w:b/>
              </w:rPr>
            </w:pPr>
            <w:r w:rsidRPr="00430CD7">
              <w:rPr>
                <w:b/>
              </w:rPr>
              <w:t>10</w:t>
            </w:r>
          </w:p>
        </w:tc>
        <w:tc>
          <w:tcPr>
            <w:cnfStyle w:val="000010000000" w:firstRow="0" w:lastRow="0" w:firstColumn="0" w:lastColumn="0" w:oddVBand="1" w:evenVBand="0" w:oddHBand="0" w:evenHBand="0" w:firstRowFirstColumn="0" w:firstRowLastColumn="0" w:lastRowFirstColumn="0" w:lastRowLastColumn="0"/>
            <w:tcW w:w="1304" w:type="dxa"/>
          </w:tcPr>
          <w:p w14:paraId="2E834D87" w14:textId="77777777" w:rsidR="009169E8" w:rsidRPr="00430CD7" w:rsidRDefault="009169E8" w:rsidP="00430CD7">
            <w:pPr>
              <w:pStyle w:val="Tabletext"/>
              <w:rPr>
                <w:b/>
              </w:rPr>
            </w:pPr>
            <w:r w:rsidRPr="00430CD7">
              <w:rPr>
                <w:b/>
              </w:rPr>
              <w:t>32</w:t>
            </w:r>
          </w:p>
        </w:tc>
        <w:tc>
          <w:tcPr>
            <w:cnfStyle w:val="000001000000" w:firstRow="0" w:lastRow="0" w:firstColumn="0" w:lastColumn="0" w:oddVBand="0" w:evenVBand="1" w:oddHBand="0" w:evenHBand="0" w:firstRowFirstColumn="0" w:firstRowLastColumn="0" w:lastRowFirstColumn="0" w:lastRowLastColumn="0"/>
            <w:tcW w:w="1304" w:type="dxa"/>
          </w:tcPr>
          <w:p w14:paraId="7E41EDF6" w14:textId="77777777" w:rsidR="009169E8" w:rsidRPr="00430CD7" w:rsidRDefault="009169E8" w:rsidP="00430CD7">
            <w:pPr>
              <w:pStyle w:val="Tabletext"/>
              <w:rPr>
                <w:b/>
              </w:rPr>
            </w:pPr>
            <w:r w:rsidRPr="00430CD7">
              <w:rPr>
                <w:b/>
              </w:rPr>
              <w:t>2</w:t>
            </w:r>
          </w:p>
        </w:tc>
        <w:tc>
          <w:tcPr>
            <w:cnfStyle w:val="000010000000" w:firstRow="0" w:lastRow="0" w:firstColumn="0" w:lastColumn="0" w:oddVBand="1" w:evenVBand="0" w:oddHBand="0" w:evenHBand="0" w:firstRowFirstColumn="0" w:firstRowLastColumn="0" w:lastRowFirstColumn="0" w:lastRowLastColumn="0"/>
            <w:tcW w:w="1304" w:type="dxa"/>
          </w:tcPr>
          <w:p w14:paraId="4252DFDE" w14:textId="77777777" w:rsidR="009169E8" w:rsidRPr="00430CD7" w:rsidRDefault="009169E8" w:rsidP="00430CD7">
            <w:pPr>
              <w:pStyle w:val="Tabletext"/>
              <w:rPr>
                <w:b/>
              </w:rPr>
            </w:pPr>
            <w:r w:rsidRPr="00430CD7">
              <w:rPr>
                <w:b/>
              </w:rPr>
              <w:t>47</w:t>
            </w:r>
          </w:p>
        </w:tc>
        <w:tc>
          <w:tcPr>
            <w:cnfStyle w:val="000001000000" w:firstRow="0" w:lastRow="0" w:firstColumn="0" w:lastColumn="0" w:oddVBand="0" w:evenVBand="1" w:oddHBand="0" w:evenHBand="0" w:firstRowFirstColumn="0" w:firstRowLastColumn="0" w:lastRowFirstColumn="0" w:lastRowLastColumn="0"/>
            <w:tcW w:w="1304" w:type="dxa"/>
          </w:tcPr>
          <w:p w14:paraId="006317E7" w14:textId="77777777" w:rsidR="009169E8" w:rsidRPr="00430CD7" w:rsidRDefault="009169E8" w:rsidP="00430CD7">
            <w:pPr>
              <w:pStyle w:val="Tabletext"/>
              <w:rPr>
                <w:b/>
              </w:rPr>
            </w:pPr>
            <w:r w:rsidRPr="00430CD7">
              <w:rPr>
                <w:b/>
              </w:rPr>
              <w:t>91</w:t>
            </w:r>
          </w:p>
        </w:tc>
      </w:tr>
      <w:tr w:rsidR="009169E8" w14:paraId="7EC49699"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1D712F04" w14:textId="77777777" w:rsidR="009169E8" w:rsidRPr="00430CD7" w:rsidRDefault="009169E8" w:rsidP="00430CD7">
            <w:pPr>
              <w:pStyle w:val="Tabletext"/>
            </w:pPr>
            <w:r w:rsidRPr="00430CD7">
              <w:t>Arrhythmia</w:t>
            </w:r>
          </w:p>
        </w:tc>
        <w:tc>
          <w:tcPr>
            <w:cnfStyle w:val="000001000000" w:firstRow="0" w:lastRow="0" w:firstColumn="0" w:lastColumn="0" w:oddVBand="0" w:evenVBand="1" w:oddHBand="0" w:evenHBand="0" w:firstRowFirstColumn="0" w:firstRowLastColumn="0" w:lastRowFirstColumn="0" w:lastRowLastColumn="0"/>
            <w:tcW w:w="1304" w:type="dxa"/>
          </w:tcPr>
          <w:p w14:paraId="1A257F8D"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2B9B088F"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75A42299"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34D040D1"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345367DF" w14:textId="77777777" w:rsidR="009169E8" w:rsidRPr="00430CD7" w:rsidRDefault="009169E8" w:rsidP="00430CD7">
            <w:pPr>
              <w:pStyle w:val="Tabletext"/>
            </w:pPr>
            <w:r w:rsidRPr="00430CD7">
              <w:t>2</w:t>
            </w:r>
          </w:p>
        </w:tc>
      </w:tr>
      <w:tr w:rsidR="009169E8" w14:paraId="421A801C"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56D25B73" w14:textId="77777777" w:rsidR="009169E8" w:rsidRPr="00430CD7" w:rsidRDefault="009169E8" w:rsidP="00430CD7">
            <w:pPr>
              <w:pStyle w:val="Tabletext"/>
            </w:pPr>
            <w:r w:rsidRPr="00430CD7">
              <w:t>Cardiac arrest</w:t>
            </w:r>
          </w:p>
        </w:tc>
        <w:tc>
          <w:tcPr>
            <w:cnfStyle w:val="000001000000" w:firstRow="0" w:lastRow="0" w:firstColumn="0" w:lastColumn="0" w:oddVBand="0" w:evenVBand="1" w:oddHBand="0" w:evenHBand="0" w:firstRowFirstColumn="0" w:firstRowLastColumn="0" w:lastRowFirstColumn="0" w:lastRowLastColumn="0"/>
            <w:tcW w:w="1304" w:type="dxa"/>
          </w:tcPr>
          <w:p w14:paraId="5F0B2BF5" w14:textId="77777777" w:rsidR="009169E8" w:rsidRPr="00430CD7" w:rsidRDefault="009169E8" w:rsidP="00430CD7">
            <w:pPr>
              <w:pStyle w:val="Tabletext"/>
            </w:pPr>
            <w:r w:rsidRPr="00430CD7">
              <w:t>6</w:t>
            </w:r>
          </w:p>
        </w:tc>
        <w:tc>
          <w:tcPr>
            <w:cnfStyle w:val="000010000000" w:firstRow="0" w:lastRow="0" w:firstColumn="0" w:lastColumn="0" w:oddVBand="1" w:evenVBand="0" w:oddHBand="0" w:evenHBand="0" w:firstRowFirstColumn="0" w:firstRowLastColumn="0" w:lastRowFirstColumn="0" w:lastRowLastColumn="0"/>
            <w:tcW w:w="1304" w:type="dxa"/>
          </w:tcPr>
          <w:p w14:paraId="4AA24665" w14:textId="77777777" w:rsidR="009169E8" w:rsidRPr="00430CD7" w:rsidRDefault="009169E8" w:rsidP="00430CD7">
            <w:pPr>
              <w:pStyle w:val="Tabletext"/>
            </w:pPr>
            <w:r w:rsidRPr="00430CD7">
              <w:t>18</w:t>
            </w:r>
          </w:p>
        </w:tc>
        <w:tc>
          <w:tcPr>
            <w:cnfStyle w:val="000001000000" w:firstRow="0" w:lastRow="0" w:firstColumn="0" w:lastColumn="0" w:oddVBand="0" w:evenVBand="1" w:oddHBand="0" w:evenHBand="0" w:firstRowFirstColumn="0" w:firstRowLastColumn="0" w:lastRowFirstColumn="0" w:lastRowLastColumn="0"/>
            <w:tcW w:w="1304" w:type="dxa"/>
          </w:tcPr>
          <w:p w14:paraId="4E737C37"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3F71168F" w14:textId="77777777" w:rsidR="009169E8" w:rsidRPr="00430CD7" w:rsidRDefault="009169E8" w:rsidP="00430CD7">
            <w:pPr>
              <w:pStyle w:val="Tabletext"/>
            </w:pPr>
            <w:r w:rsidRPr="00430CD7">
              <w:t>15</w:t>
            </w:r>
          </w:p>
        </w:tc>
        <w:tc>
          <w:tcPr>
            <w:cnfStyle w:val="000001000000" w:firstRow="0" w:lastRow="0" w:firstColumn="0" w:lastColumn="0" w:oddVBand="0" w:evenVBand="1" w:oddHBand="0" w:evenHBand="0" w:firstRowFirstColumn="0" w:firstRowLastColumn="0" w:lastRowFirstColumn="0" w:lastRowLastColumn="0"/>
            <w:tcW w:w="1304" w:type="dxa"/>
          </w:tcPr>
          <w:p w14:paraId="707B37D9" w14:textId="77777777" w:rsidR="009169E8" w:rsidRPr="00430CD7" w:rsidRDefault="009169E8" w:rsidP="00430CD7">
            <w:pPr>
              <w:pStyle w:val="Tabletext"/>
            </w:pPr>
            <w:r w:rsidRPr="00430CD7">
              <w:t>40</w:t>
            </w:r>
          </w:p>
        </w:tc>
      </w:tr>
      <w:tr w:rsidR="009169E8" w14:paraId="377B7245"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0DB18AD1" w14:textId="77777777" w:rsidR="009169E8" w:rsidRPr="00430CD7" w:rsidRDefault="009169E8" w:rsidP="00430CD7">
            <w:pPr>
              <w:pStyle w:val="Tabletext"/>
            </w:pPr>
            <w:r w:rsidRPr="00430CD7">
              <w:t>Embolism</w:t>
            </w:r>
          </w:p>
        </w:tc>
        <w:tc>
          <w:tcPr>
            <w:cnfStyle w:val="000001000000" w:firstRow="0" w:lastRow="0" w:firstColumn="0" w:lastColumn="0" w:oddVBand="0" w:evenVBand="1" w:oddHBand="0" w:evenHBand="0" w:firstRowFirstColumn="0" w:firstRowLastColumn="0" w:lastRowFirstColumn="0" w:lastRowLastColumn="0"/>
            <w:tcW w:w="1304" w:type="dxa"/>
          </w:tcPr>
          <w:p w14:paraId="6F2722D4"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4B7013FA"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25BB4C7E"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1D723C1E" w14:textId="77777777" w:rsidR="009169E8" w:rsidRPr="00430CD7" w:rsidRDefault="009169E8" w:rsidP="00430CD7">
            <w:pPr>
              <w:pStyle w:val="Tabletext"/>
            </w:pPr>
            <w:r w:rsidRPr="00430CD7">
              <w:t>5</w:t>
            </w:r>
          </w:p>
        </w:tc>
        <w:tc>
          <w:tcPr>
            <w:cnfStyle w:val="000001000000" w:firstRow="0" w:lastRow="0" w:firstColumn="0" w:lastColumn="0" w:oddVBand="0" w:evenVBand="1" w:oddHBand="0" w:evenHBand="0" w:firstRowFirstColumn="0" w:firstRowLastColumn="0" w:lastRowFirstColumn="0" w:lastRowLastColumn="0"/>
            <w:tcW w:w="1304" w:type="dxa"/>
          </w:tcPr>
          <w:p w14:paraId="4279032B" w14:textId="77777777" w:rsidR="009169E8" w:rsidRPr="00430CD7" w:rsidRDefault="009169E8" w:rsidP="00430CD7">
            <w:pPr>
              <w:pStyle w:val="Tabletext"/>
            </w:pPr>
            <w:r w:rsidRPr="00430CD7">
              <w:t>6</w:t>
            </w:r>
          </w:p>
        </w:tc>
      </w:tr>
      <w:tr w:rsidR="009169E8" w14:paraId="795D31DB"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15DB9F41" w14:textId="77777777" w:rsidR="009169E8" w:rsidRPr="00430CD7" w:rsidRDefault="009169E8" w:rsidP="00430CD7">
            <w:pPr>
              <w:pStyle w:val="Tabletext"/>
            </w:pPr>
            <w:r w:rsidRPr="00430CD7">
              <w:t>Haemorrhage</w:t>
            </w:r>
          </w:p>
        </w:tc>
        <w:tc>
          <w:tcPr>
            <w:cnfStyle w:val="000001000000" w:firstRow="0" w:lastRow="0" w:firstColumn="0" w:lastColumn="0" w:oddVBand="0" w:evenVBand="1" w:oddHBand="0" w:evenHBand="0" w:firstRowFirstColumn="0" w:firstRowLastColumn="0" w:lastRowFirstColumn="0" w:lastRowLastColumn="0"/>
            <w:tcW w:w="1304" w:type="dxa"/>
          </w:tcPr>
          <w:p w14:paraId="25794074"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37AA72B0" w14:textId="77777777" w:rsidR="009169E8" w:rsidRPr="00430CD7" w:rsidRDefault="009169E8" w:rsidP="00430CD7">
            <w:pPr>
              <w:pStyle w:val="Tabletext"/>
            </w:pPr>
            <w:r w:rsidRPr="00430CD7">
              <w:t>2</w:t>
            </w:r>
          </w:p>
        </w:tc>
        <w:tc>
          <w:tcPr>
            <w:cnfStyle w:val="000001000000" w:firstRow="0" w:lastRow="0" w:firstColumn="0" w:lastColumn="0" w:oddVBand="0" w:evenVBand="1" w:oddHBand="0" w:evenHBand="0" w:firstRowFirstColumn="0" w:firstRowLastColumn="0" w:lastRowFirstColumn="0" w:lastRowLastColumn="0"/>
            <w:tcW w:w="1304" w:type="dxa"/>
          </w:tcPr>
          <w:p w14:paraId="20FEADE5"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6561E981" w14:textId="77777777" w:rsidR="009169E8" w:rsidRPr="00430CD7" w:rsidRDefault="009169E8" w:rsidP="00430CD7">
            <w:pPr>
              <w:pStyle w:val="Tabletext"/>
            </w:pPr>
            <w:r w:rsidRPr="00430CD7">
              <w:t>9</w:t>
            </w:r>
          </w:p>
        </w:tc>
        <w:tc>
          <w:tcPr>
            <w:cnfStyle w:val="000001000000" w:firstRow="0" w:lastRow="0" w:firstColumn="0" w:lastColumn="0" w:oddVBand="0" w:evenVBand="1" w:oddHBand="0" w:evenHBand="0" w:firstRowFirstColumn="0" w:firstRowLastColumn="0" w:lastRowFirstColumn="0" w:lastRowLastColumn="0"/>
            <w:tcW w:w="1304" w:type="dxa"/>
          </w:tcPr>
          <w:p w14:paraId="7847E65B" w14:textId="77777777" w:rsidR="009169E8" w:rsidRPr="00430CD7" w:rsidRDefault="009169E8" w:rsidP="00430CD7">
            <w:pPr>
              <w:pStyle w:val="Tabletext"/>
            </w:pPr>
            <w:r w:rsidRPr="00430CD7">
              <w:t>11</w:t>
            </w:r>
          </w:p>
        </w:tc>
      </w:tr>
      <w:tr w:rsidR="009169E8" w14:paraId="0FDFAF93"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074EA80E" w14:textId="77777777" w:rsidR="009169E8" w:rsidRPr="00430CD7" w:rsidRDefault="009169E8" w:rsidP="00430CD7">
            <w:pPr>
              <w:pStyle w:val="Tabletext"/>
            </w:pPr>
            <w:r w:rsidRPr="00430CD7">
              <w:t>Hypertension – significant</w:t>
            </w:r>
          </w:p>
        </w:tc>
        <w:tc>
          <w:tcPr>
            <w:cnfStyle w:val="000001000000" w:firstRow="0" w:lastRow="0" w:firstColumn="0" w:lastColumn="0" w:oddVBand="0" w:evenVBand="1" w:oddHBand="0" w:evenHBand="0" w:firstRowFirstColumn="0" w:firstRowLastColumn="0" w:lastRowFirstColumn="0" w:lastRowLastColumn="0"/>
            <w:tcW w:w="1304" w:type="dxa"/>
          </w:tcPr>
          <w:p w14:paraId="6F91E08C"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4A60554B"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6CB4F097"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747EC298"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3DFC373B" w14:textId="77777777" w:rsidR="009169E8" w:rsidRPr="00430CD7" w:rsidRDefault="009169E8" w:rsidP="00430CD7">
            <w:pPr>
              <w:pStyle w:val="Tabletext"/>
            </w:pPr>
            <w:r w:rsidRPr="00430CD7">
              <w:t>1</w:t>
            </w:r>
          </w:p>
        </w:tc>
      </w:tr>
      <w:tr w:rsidR="009169E8" w14:paraId="6D2A6181"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135F456A" w14:textId="77777777" w:rsidR="009169E8" w:rsidRPr="00430CD7" w:rsidRDefault="009169E8" w:rsidP="00430CD7">
            <w:pPr>
              <w:pStyle w:val="Tabletext"/>
            </w:pPr>
            <w:r w:rsidRPr="00430CD7">
              <w:t>Hypotension – significant</w:t>
            </w:r>
          </w:p>
        </w:tc>
        <w:tc>
          <w:tcPr>
            <w:cnfStyle w:val="000001000000" w:firstRow="0" w:lastRow="0" w:firstColumn="0" w:lastColumn="0" w:oddVBand="0" w:evenVBand="1" w:oddHBand="0" w:evenHBand="0" w:firstRowFirstColumn="0" w:firstRowLastColumn="0" w:lastRowFirstColumn="0" w:lastRowLastColumn="0"/>
            <w:tcW w:w="1304" w:type="dxa"/>
          </w:tcPr>
          <w:p w14:paraId="48F6B106" w14:textId="77777777" w:rsidR="009169E8" w:rsidRPr="00430CD7" w:rsidRDefault="009169E8" w:rsidP="00430CD7">
            <w:pPr>
              <w:pStyle w:val="Tabletext"/>
            </w:pPr>
            <w:r w:rsidRPr="00430CD7">
              <w:t>2</w:t>
            </w:r>
          </w:p>
        </w:tc>
        <w:tc>
          <w:tcPr>
            <w:cnfStyle w:val="000010000000" w:firstRow="0" w:lastRow="0" w:firstColumn="0" w:lastColumn="0" w:oddVBand="1" w:evenVBand="0" w:oddHBand="0" w:evenHBand="0" w:firstRowFirstColumn="0" w:firstRowLastColumn="0" w:lastRowFirstColumn="0" w:lastRowLastColumn="0"/>
            <w:tcW w:w="1304" w:type="dxa"/>
          </w:tcPr>
          <w:p w14:paraId="3AF211E4" w14:textId="77777777" w:rsidR="009169E8" w:rsidRPr="00430CD7" w:rsidRDefault="009169E8" w:rsidP="00430CD7">
            <w:pPr>
              <w:pStyle w:val="Tabletext"/>
            </w:pPr>
            <w:r w:rsidRPr="00430CD7">
              <w:t>4</w:t>
            </w:r>
          </w:p>
        </w:tc>
        <w:tc>
          <w:tcPr>
            <w:cnfStyle w:val="000001000000" w:firstRow="0" w:lastRow="0" w:firstColumn="0" w:lastColumn="0" w:oddVBand="0" w:evenVBand="1" w:oddHBand="0" w:evenHBand="0" w:firstRowFirstColumn="0" w:firstRowLastColumn="0" w:lastRowFirstColumn="0" w:lastRowLastColumn="0"/>
            <w:tcW w:w="1304" w:type="dxa"/>
          </w:tcPr>
          <w:p w14:paraId="73A52214"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211959B2"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6492C207" w14:textId="77777777" w:rsidR="009169E8" w:rsidRPr="00430CD7" w:rsidRDefault="009169E8" w:rsidP="00430CD7">
            <w:pPr>
              <w:pStyle w:val="Tabletext"/>
            </w:pPr>
            <w:r w:rsidRPr="00430CD7">
              <w:t>7</w:t>
            </w:r>
          </w:p>
        </w:tc>
      </w:tr>
      <w:tr w:rsidR="009169E8" w14:paraId="7379B832"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0DEB7F56" w14:textId="77777777" w:rsidR="009169E8" w:rsidRPr="00430CD7" w:rsidRDefault="009169E8" w:rsidP="00430CD7">
            <w:pPr>
              <w:pStyle w:val="Tabletext"/>
            </w:pPr>
            <w:r w:rsidRPr="00430CD7">
              <w:t>Myocardial infarction</w:t>
            </w:r>
          </w:p>
        </w:tc>
        <w:tc>
          <w:tcPr>
            <w:cnfStyle w:val="000001000000" w:firstRow="0" w:lastRow="0" w:firstColumn="0" w:lastColumn="0" w:oddVBand="0" w:evenVBand="1" w:oddHBand="0" w:evenHBand="0" w:firstRowFirstColumn="0" w:firstRowLastColumn="0" w:lastRowFirstColumn="0" w:lastRowLastColumn="0"/>
            <w:tcW w:w="1304" w:type="dxa"/>
          </w:tcPr>
          <w:p w14:paraId="1E80C842"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4D8F406D" w14:textId="77777777" w:rsidR="009169E8" w:rsidRPr="00430CD7" w:rsidRDefault="009169E8" w:rsidP="00430CD7">
            <w:pPr>
              <w:pStyle w:val="Tabletext"/>
            </w:pPr>
            <w:r w:rsidRPr="00430CD7">
              <w:t>2</w:t>
            </w:r>
          </w:p>
        </w:tc>
        <w:tc>
          <w:tcPr>
            <w:cnfStyle w:val="000001000000" w:firstRow="0" w:lastRow="0" w:firstColumn="0" w:lastColumn="0" w:oddVBand="0" w:evenVBand="1" w:oddHBand="0" w:evenHBand="0" w:firstRowFirstColumn="0" w:firstRowLastColumn="0" w:lastRowFirstColumn="0" w:lastRowLastColumn="0"/>
            <w:tcW w:w="1304" w:type="dxa"/>
          </w:tcPr>
          <w:p w14:paraId="0BA77522"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32456388" w14:textId="77777777" w:rsidR="009169E8" w:rsidRPr="00430CD7" w:rsidRDefault="009169E8" w:rsidP="00430CD7">
            <w:pPr>
              <w:pStyle w:val="Tabletext"/>
            </w:pPr>
            <w:r w:rsidRPr="00430CD7">
              <w:t>2</w:t>
            </w:r>
          </w:p>
        </w:tc>
        <w:tc>
          <w:tcPr>
            <w:cnfStyle w:val="000001000000" w:firstRow="0" w:lastRow="0" w:firstColumn="0" w:lastColumn="0" w:oddVBand="0" w:evenVBand="1" w:oddHBand="0" w:evenHBand="0" w:firstRowFirstColumn="0" w:firstRowLastColumn="0" w:lastRowFirstColumn="0" w:lastRowLastColumn="0"/>
            <w:tcW w:w="1304" w:type="dxa"/>
          </w:tcPr>
          <w:p w14:paraId="2B082B81" w14:textId="77777777" w:rsidR="009169E8" w:rsidRPr="00430CD7" w:rsidRDefault="009169E8" w:rsidP="00430CD7">
            <w:pPr>
              <w:pStyle w:val="Tabletext"/>
            </w:pPr>
            <w:r w:rsidRPr="00430CD7">
              <w:t>4</w:t>
            </w:r>
          </w:p>
        </w:tc>
      </w:tr>
      <w:tr w:rsidR="009169E8" w14:paraId="393BFF26"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1F9C492E" w14:textId="77777777" w:rsidR="009169E8" w:rsidRPr="00430CD7" w:rsidRDefault="009169E8" w:rsidP="00430CD7">
            <w:pPr>
              <w:pStyle w:val="Tabletext"/>
            </w:pPr>
            <w:r w:rsidRPr="00430CD7">
              <w:t xml:space="preserve">Myocardial </w:t>
            </w:r>
            <w:proofErr w:type="spellStart"/>
            <w:r w:rsidRPr="00430CD7">
              <w:t>ischaemia</w:t>
            </w:r>
            <w:proofErr w:type="spellEnd"/>
          </w:p>
        </w:tc>
        <w:tc>
          <w:tcPr>
            <w:cnfStyle w:val="000001000000" w:firstRow="0" w:lastRow="0" w:firstColumn="0" w:lastColumn="0" w:oddVBand="0" w:evenVBand="1" w:oddHBand="0" w:evenHBand="0" w:firstRowFirstColumn="0" w:firstRowLastColumn="0" w:lastRowFirstColumn="0" w:lastRowLastColumn="0"/>
            <w:tcW w:w="1304" w:type="dxa"/>
          </w:tcPr>
          <w:p w14:paraId="49B03CA8"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0913D5CC" w14:textId="77777777" w:rsidR="009169E8" w:rsidRPr="00430CD7" w:rsidRDefault="009169E8" w:rsidP="00430CD7">
            <w:pPr>
              <w:pStyle w:val="Tabletext"/>
            </w:pPr>
            <w:r w:rsidRPr="00430CD7">
              <w:t>3</w:t>
            </w:r>
          </w:p>
        </w:tc>
        <w:tc>
          <w:tcPr>
            <w:cnfStyle w:val="000001000000" w:firstRow="0" w:lastRow="0" w:firstColumn="0" w:lastColumn="0" w:oddVBand="0" w:evenVBand="1" w:oddHBand="0" w:evenHBand="0" w:firstRowFirstColumn="0" w:firstRowLastColumn="0" w:lastRowFirstColumn="0" w:lastRowLastColumn="0"/>
            <w:tcW w:w="1304" w:type="dxa"/>
          </w:tcPr>
          <w:p w14:paraId="58FDA1A3"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152EE2B4"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42BBC9DD" w14:textId="77777777" w:rsidR="009169E8" w:rsidRPr="00430CD7" w:rsidRDefault="009169E8" w:rsidP="00430CD7">
            <w:pPr>
              <w:pStyle w:val="Tabletext"/>
            </w:pPr>
            <w:r w:rsidRPr="00430CD7">
              <w:t>5</w:t>
            </w:r>
          </w:p>
        </w:tc>
      </w:tr>
      <w:tr w:rsidR="009169E8" w14:paraId="29A00DF5"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4DB822CE" w14:textId="77777777" w:rsidR="009169E8" w:rsidRPr="00430CD7" w:rsidRDefault="009169E8" w:rsidP="00430CD7">
            <w:pPr>
              <w:pStyle w:val="Tabletext"/>
            </w:pPr>
            <w:r w:rsidRPr="00430CD7">
              <w:t>Other</w:t>
            </w:r>
          </w:p>
        </w:tc>
        <w:tc>
          <w:tcPr>
            <w:cnfStyle w:val="000001000000" w:firstRow="0" w:lastRow="0" w:firstColumn="0" w:lastColumn="0" w:oddVBand="0" w:evenVBand="1" w:oddHBand="0" w:evenHBand="0" w:firstRowFirstColumn="0" w:firstRowLastColumn="0" w:lastRowFirstColumn="0" w:lastRowLastColumn="0"/>
            <w:tcW w:w="1304" w:type="dxa"/>
          </w:tcPr>
          <w:p w14:paraId="2C1C160C"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4C86A2B3" w14:textId="77777777" w:rsidR="009169E8" w:rsidRPr="00430CD7" w:rsidRDefault="009169E8" w:rsidP="00430CD7">
            <w:pPr>
              <w:pStyle w:val="Tabletext"/>
            </w:pPr>
            <w:r w:rsidRPr="00430CD7">
              <w:t>3</w:t>
            </w:r>
          </w:p>
        </w:tc>
        <w:tc>
          <w:tcPr>
            <w:cnfStyle w:val="000001000000" w:firstRow="0" w:lastRow="0" w:firstColumn="0" w:lastColumn="0" w:oddVBand="0" w:evenVBand="1" w:oddHBand="0" w:evenHBand="0" w:firstRowFirstColumn="0" w:firstRowLastColumn="0" w:lastRowFirstColumn="0" w:lastRowLastColumn="0"/>
            <w:tcW w:w="1304" w:type="dxa"/>
          </w:tcPr>
          <w:p w14:paraId="641C8CC9"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3651DA1B" w14:textId="77777777" w:rsidR="009169E8" w:rsidRPr="00430CD7" w:rsidRDefault="009169E8" w:rsidP="00430CD7">
            <w:pPr>
              <w:pStyle w:val="Tabletext"/>
            </w:pPr>
            <w:r w:rsidRPr="00430CD7">
              <w:t>12</w:t>
            </w:r>
          </w:p>
        </w:tc>
        <w:tc>
          <w:tcPr>
            <w:cnfStyle w:val="000001000000" w:firstRow="0" w:lastRow="0" w:firstColumn="0" w:lastColumn="0" w:oddVBand="0" w:evenVBand="1" w:oddHBand="0" w:evenHBand="0" w:firstRowFirstColumn="0" w:firstRowLastColumn="0" w:lastRowFirstColumn="0" w:lastRowLastColumn="0"/>
            <w:tcW w:w="1304" w:type="dxa"/>
          </w:tcPr>
          <w:p w14:paraId="7D29048A" w14:textId="77777777" w:rsidR="009169E8" w:rsidRPr="00430CD7" w:rsidRDefault="009169E8" w:rsidP="00430CD7">
            <w:pPr>
              <w:pStyle w:val="Tabletext"/>
            </w:pPr>
            <w:r w:rsidRPr="00430CD7">
              <w:t>15</w:t>
            </w:r>
          </w:p>
        </w:tc>
      </w:tr>
      <w:tr w:rsidR="009169E8" w14:paraId="6ACC5897"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7C44322A" w14:textId="77777777" w:rsidR="009169E8" w:rsidRPr="008A7F61" w:rsidRDefault="009169E8" w:rsidP="00430CD7">
            <w:pPr>
              <w:pStyle w:val="Tabletext"/>
              <w:rPr>
                <w:b/>
              </w:rPr>
            </w:pPr>
            <w:r w:rsidRPr="008A7F61">
              <w:rPr>
                <w:b/>
              </w:rPr>
              <w:t>Drug-related</w:t>
            </w:r>
          </w:p>
        </w:tc>
        <w:tc>
          <w:tcPr>
            <w:cnfStyle w:val="000001000000" w:firstRow="0" w:lastRow="0" w:firstColumn="0" w:lastColumn="0" w:oddVBand="0" w:evenVBand="1" w:oddHBand="0" w:evenHBand="0" w:firstRowFirstColumn="0" w:firstRowLastColumn="0" w:lastRowFirstColumn="0" w:lastRowLastColumn="0"/>
            <w:tcW w:w="1304" w:type="dxa"/>
          </w:tcPr>
          <w:p w14:paraId="5F455E02" w14:textId="77777777" w:rsidR="009169E8" w:rsidRPr="008A7F61" w:rsidRDefault="009169E8" w:rsidP="00430CD7">
            <w:pPr>
              <w:pStyle w:val="Tabletext"/>
              <w:rPr>
                <w:b/>
              </w:rPr>
            </w:pPr>
            <w:r w:rsidRPr="008A7F61">
              <w:rPr>
                <w:b/>
              </w:rPr>
              <w:t>15</w:t>
            </w:r>
          </w:p>
        </w:tc>
        <w:tc>
          <w:tcPr>
            <w:cnfStyle w:val="000010000000" w:firstRow="0" w:lastRow="0" w:firstColumn="0" w:lastColumn="0" w:oddVBand="1" w:evenVBand="0" w:oddHBand="0" w:evenHBand="0" w:firstRowFirstColumn="0" w:firstRowLastColumn="0" w:lastRowFirstColumn="0" w:lastRowLastColumn="0"/>
            <w:tcW w:w="1304" w:type="dxa"/>
          </w:tcPr>
          <w:p w14:paraId="03344A2C" w14:textId="77777777" w:rsidR="009169E8" w:rsidRPr="008A7F61" w:rsidRDefault="009169E8" w:rsidP="00430CD7">
            <w:pPr>
              <w:pStyle w:val="Tabletext"/>
              <w:rPr>
                <w:b/>
              </w:rPr>
            </w:pPr>
            <w:r w:rsidRPr="008A7F61">
              <w:rPr>
                <w:b/>
              </w:rPr>
              <w:t>6</w:t>
            </w:r>
          </w:p>
        </w:tc>
        <w:tc>
          <w:tcPr>
            <w:cnfStyle w:val="000001000000" w:firstRow="0" w:lastRow="0" w:firstColumn="0" w:lastColumn="0" w:oddVBand="0" w:evenVBand="1" w:oddHBand="0" w:evenHBand="0" w:firstRowFirstColumn="0" w:firstRowLastColumn="0" w:lastRowFirstColumn="0" w:lastRowLastColumn="0"/>
            <w:tcW w:w="1304" w:type="dxa"/>
          </w:tcPr>
          <w:p w14:paraId="080E2C7D" w14:textId="77777777" w:rsidR="009169E8" w:rsidRPr="008A7F61" w:rsidRDefault="009169E8" w:rsidP="00430CD7">
            <w:pPr>
              <w:pStyle w:val="Tabletext"/>
              <w:rPr>
                <w:b/>
              </w:rPr>
            </w:pPr>
            <w:r w:rsidRPr="008A7F61">
              <w:rPr>
                <w:b/>
              </w:rPr>
              <w:t>1</w:t>
            </w:r>
          </w:p>
        </w:tc>
        <w:tc>
          <w:tcPr>
            <w:cnfStyle w:val="000010000000" w:firstRow="0" w:lastRow="0" w:firstColumn="0" w:lastColumn="0" w:oddVBand="1" w:evenVBand="0" w:oddHBand="0" w:evenHBand="0" w:firstRowFirstColumn="0" w:firstRowLastColumn="0" w:lastRowFirstColumn="0" w:lastRowLastColumn="0"/>
            <w:tcW w:w="1304" w:type="dxa"/>
          </w:tcPr>
          <w:p w14:paraId="22CD7B3A" w14:textId="77777777" w:rsidR="009169E8" w:rsidRPr="008A7F61" w:rsidRDefault="009169E8" w:rsidP="00430CD7">
            <w:pPr>
              <w:pStyle w:val="Tabletext"/>
              <w:rPr>
                <w:b/>
              </w:rPr>
            </w:pPr>
            <w:r w:rsidRPr="008A7F61">
              <w:rPr>
                <w:b/>
              </w:rPr>
              <w:t>0</w:t>
            </w:r>
          </w:p>
        </w:tc>
        <w:tc>
          <w:tcPr>
            <w:cnfStyle w:val="000001000000" w:firstRow="0" w:lastRow="0" w:firstColumn="0" w:lastColumn="0" w:oddVBand="0" w:evenVBand="1" w:oddHBand="0" w:evenHBand="0" w:firstRowFirstColumn="0" w:firstRowLastColumn="0" w:lastRowFirstColumn="0" w:lastRowLastColumn="0"/>
            <w:tcW w:w="1304" w:type="dxa"/>
          </w:tcPr>
          <w:p w14:paraId="3FFD12F0" w14:textId="77777777" w:rsidR="009169E8" w:rsidRPr="008A7F61" w:rsidRDefault="009169E8" w:rsidP="00430CD7">
            <w:pPr>
              <w:pStyle w:val="Tabletext"/>
              <w:rPr>
                <w:b/>
              </w:rPr>
            </w:pPr>
            <w:r w:rsidRPr="008A7F61">
              <w:rPr>
                <w:b/>
              </w:rPr>
              <w:t>22</w:t>
            </w:r>
          </w:p>
        </w:tc>
      </w:tr>
      <w:tr w:rsidR="009169E8" w14:paraId="339E3256"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3C6F8175" w14:textId="77777777" w:rsidR="009169E8" w:rsidRPr="00430CD7" w:rsidRDefault="009169E8" w:rsidP="00430CD7">
            <w:pPr>
              <w:pStyle w:val="Tabletext"/>
            </w:pPr>
            <w:r w:rsidRPr="00430CD7">
              <w:t>Anaphylaxis</w:t>
            </w:r>
          </w:p>
        </w:tc>
        <w:tc>
          <w:tcPr>
            <w:cnfStyle w:val="000001000000" w:firstRow="0" w:lastRow="0" w:firstColumn="0" w:lastColumn="0" w:oddVBand="0" w:evenVBand="1" w:oddHBand="0" w:evenHBand="0" w:firstRowFirstColumn="0" w:firstRowLastColumn="0" w:lastRowFirstColumn="0" w:lastRowLastColumn="0"/>
            <w:tcW w:w="1304" w:type="dxa"/>
          </w:tcPr>
          <w:p w14:paraId="1CC62EDC" w14:textId="77777777" w:rsidR="009169E8" w:rsidRPr="00430CD7" w:rsidRDefault="009169E8" w:rsidP="00430CD7">
            <w:pPr>
              <w:pStyle w:val="Tabletext"/>
            </w:pPr>
            <w:r w:rsidRPr="00430CD7">
              <w:t>11</w:t>
            </w:r>
          </w:p>
        </w:tc>
        <w:tc>
          <w:tcPr>
            <w:cnfStyle w:val="000010000000" w:firstRow="0" w:lastRow="0" w:firstColumn="0" w:lastColumn="0" w:oddVBand="1" w:evenVBand="0" w:oddHBand="0" w:evenHBand="0" w:firstRowFirstColumn="0" w:firstRowLastColumn="0" w:lastRowFirstColumn="0" w:lastRowLastColumn="0"/>
            <w:tcW w:w="1304" w:type="dxa"/>
          </w:tcPr>
          <w:p w14:paraId="7A008117" w14:textId="77777777" w:rsidR="009169E8" w:rsidRPr="00430CD7" w:rsidRDefault="009169E8" w:rsidP="00430CD7">
            <w:pPr>
              <w:pStyle w:val="Tabletext"/>
            </w:pPr>
            <w:r w:rsidRPr="00430CD7">
              <w:t>6</w:t>
            </w:r>
          </w:p>
        </w:tc>
        <w:tc>
          <w:tcPr>
            <w:cnfStyle w:val="000001000000" w:firstRow="0" w:lastRow="0" w:firstColumn="0" w:lastColumn="0" w:oddVBand="0" w:evenVBand="1" w:oddHBand="0" w:evenHBand="0" w:firstRowFirstColumn="0" w:firstRowLastColumn="0" w:lastRowFirstColumn="0" w:lastRowLastColumn="0"/>
            <w:tcW w:w="1304" w:type="dxa"/>
          </w:tcPr>
          <w:p w14:paraId="00654107"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477C4BC9"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0674383D" w14:textId="77777777" w:rsidR="009169E8" w:rsidRPr="00430CD7" w:rsidRDefault="009169E8" w:rsidP="00430CD7">
            <w:pPr>
              <w:pStyle w:val="Tabletext"/>
            </w:pPr>
            <w:r w:rsidRPr="00430CD7">
              <w:t>18</w:t>
            </w:r>
          </w:p>
        </w:tc>
      </w:tr>
      <w:tr w:rsidR="009169E8" w14:paraId="6151B402"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56FDCD3B" w14:textId="77777777" w:rsidR="009169E8" w:rsidRPr="00430CD7" w:rsidRDefault="009169E8" w:rsidP="00430CD7">
            <w:pPr>
              <w:pStyle w:val="Tabletext"/>
            </w:pPr>
            <w:r w:rsidRPr="00430CD7">
              <w:t>Drug-related adverse effect</w:t>
            </w:r>
          </w:p>
        </w:tc>
        <w:tc>
          <w:tcPr>
            <w:cnfStyle w:val="000001000000" w:firstRow="0" w:lastRow="0" w:firstColumn="0" w:lastColumn="0" w:oddVBand="0" w:evenVBand="1" w:oddHBand="0" w:evenHBand="0" w:firstRowFirstColumn="0" w:firstRowLastColumn="0" w:lastRowFirstColumn="0" w:lastRowLastColumn="0"/>
            <w:tcW w:w="1304" w:type="dxa"/>
          </w:tcPr>
          <w:p w14:paraId="61B72EEB" w14:textId="77777777" w:rsidR="009169E8" w:rsidRPr="00430CD7" w:rsidRDefault="009169E8" w:rsidP="00430CD7">
            <w:pPr>
              <w:pStyle w:val="Tabletext"/>
            </w:pPr>
            <w:r w:rsidRPr="00430CD7">
              <w:t>2</w:t>
            </w:r>
          </w:p>
        </w:tc>
        <w:tc>
          <w:tcPr>
            <w:cnfStyle w:val="000010000000" w:firstRow="0" w:lastRow="0" w:firstColumn="0" w:lastColumn="0" w:oddVBand="1" w:evenVBand="0" w:oddHBand="0" w:evenHBand="0" w:firstRowFirstColumn="0" w:firstRowLastColumn="0" w:lastRowFirstColumn="0" w:lastRowLastColumn="0"/>
            <w:tcW w:w="1304" w:type="dxa"/>
          </w:tcPr>
          <w:p w14:paraId="4B8FC915"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6622110E"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43F52B8A"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2F9424BA" w14:textId="77777777" w:rsidR="009169E8" w:rsidRPr="00430CD7" w:rsidRDefault="009169E8" w:rsidP="00430CD7">
            <w:pPr>
              <w:pStyle w:val="Tabletext"/>
            </w:pPr>
            <w:r w:rsidRPr="00430CD7">
              <w:t>2</w:t>
            </w:r>
          </w:p>
        </w:tc>
      </w:tr>
      <w:tr w:rsidR="009169E8" w14:paraId="38CE6D73"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167392A9" w14:textId="77777777" w:rsidR="009169E8" w:rsidRPr="00430CD7" w:rsidRDefault="009169E8" w:rsidP="00430CD7">
            <w:pPr>
              <w:pStyle w:val="Tabletext"/>
            </w:pPr>
            <w:r w:rsidRPr="00430CD7">
              <w:t>Overdose</w:t>
            </w:r>
          </w:p>
        </w:tc>
        <w:tc>
          <w:tcPr>
            <w:cnfStyle w:val="000001000000" w:firstRow="0" w:lastRow="0" w:firstColumn="0" w:lastColumn="0" w:oddVBand="0" w:evenVBand="1" w:oddHBand="0" w:evenHBand="0" w:firstRowFirstColumn="0" w:firstRowLastColumn="0" w:lastRowFirstColumn="0" w:lastRowLastColumn="0"/>
            <w:tcW w:w="1304" w:type="dxa"/>
          </w:tcPr>
          <w:p w14:paraId="6ACE2061"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00BD11EB"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70650E67"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6FE681CC"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790E6891" w14:textId="77777777" w:rsidR="009169E8" w:rsidRPr="00430CD7" w:rsidRDefault="009169E8" w:rsidP="00430CD7">
            <w:pPr>
              <w:pStyle w:val="Tabletext"/>
            </w:pPr>
            <w:r w:rsidRPr="00430CD7">
              <w:t>1</w:t>
            </w:r>
          </w:p>
        </w:tc>
      </w:tr>
      <w:tr w:rsidR="009169E8" w14:paraId="32E2BCCB"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6249A878" w14:textId="77777777" w:rsidR="009169E8" w:rsidRPr="00430CD7" w:rsidRDefault="009169E8" w:rsidP="00430CD7">
            <w:pPr>
              <w:pStyle w:val="Tabletext"/>
            </w:pPr>
            <w:r w:rsidRPr="00430CD7">
              <w:t>Other</w:t>
            </w:r>
          </w:p>
        </w:tc>
        <w:tc>
          <w:tcPr>
            <w:cnfStyle w:val="000001000000" w:firstRow="0" w:lastRow="0" w:firstColumn="0" w:lastColumn="0" w:oddVBand="0" w:evenVBand="1" w:oddHBand="0" w:evenHBand="0" w:firstRowFirstColumn="0" w:firstRowLastColumn="0" w:lastRowFirstColumn="0" w:lastRowLastColumn="0"/>
            <w:tcW w:w="1304" w:type="dxa"/>
          </w:tcPr>
          <w:p w14:paraId="3ED0FFAD"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72ED61E4"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17D16410"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56F87395"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1476F6B2" w14:textId="77777777" w:rsidR="009169E8" w:rsidRPr="00430CD7" w:rsidRDefault="009169E8" w:rsidP="00430CD7">
            <w:pPr>
              <w:pStyle w:val="Tabletext"/>
            </w:pPr>
            <w:r w:rsidRPr="00430CD7">
              <w:t>1</w:t>
            </w:r>
          </w:p>
        </w:tc>
      </w:tr>
      <w:tr w:rsidR="009169E8" w14:paraId="42EC24C0"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3F717F14" w14:textId="77777777" w:rsidR="009169E8" w:rsidRPr="008A7F61" w:rsidRDefault="009169E8" w:rsidP="00430CD7">
            <w:pPr>
              <w:pStyle w:val="Tabletext"/>
              <w:rPr>
                <w:b/>
              </w:rPr>
            </w:pPr>
            <w:r w:rsidRPr="008A7F61">
              <w:rPr>
                <w:b/>
              </w:rPr>
              <w:t>Metabolic</w:t>
            </w:r>
          </w:p>
        </w:tc>
        <w:tc>
          <w:tcPr>
            <w:cnfStyle w:val="000001000000" w:firstRow="0" w:lastRow="0" w:firstColumn="0" w:lastColumn="0" w:oddVBand="0" w:evenVBand="1" w:oddHBand="0" w:evenHBand="0" w:firstRowFirstColumn="0" w:firstRowLastColumn="0" w:lastRowFirstColumn="0" w:lastRowLastColumn="0"/>
            <w:tcW w:w="1304" w:type="dxa"/>
          </w:tcPr>
          <w:p w14:paraId="0024F91D" w14:textId="77777777" w:rsidR="009169E8" w:rsidRPr="008A7F61" w:rsidRDefault="009169E8" w:rsidP="00430CD7">
            <w:pPr>
              <w:pStyle w:val="Tabletext"/>
              <w:rPr>
                <w:b/>
              </w:rPr>
            </w:pPr>
            <w:r w:rsidRPr="008A7F61">
              <w:rPr>
                <w:b/>
              </w:rPr>
              <w:t>1</w:t>
            </w:r>
          </w:p>
        </w:tc>
        <w:tc>
          <w:tcPr>
            <w:cnfStyle w:val="000010000000" w:firstRow="0" w:lastRow="0" w:firstColumn="0" w:lastColumn="0" w:oddVBand="1" w:evenVBand="0" w:oddHBand="0" w:evenHBand="0" w:firstRowFirstColumn="0" w:firstRowLastColumn="0" w:lastRowFirstColumn="0" w:lastRowLastColumn="0"/>
            <w:tcW w:w="1304" w:type="dxa"/>
          </w:tcPr>
          <w:p w14:paraId="25756EA8" w14:textId="77777777" w:rsidR="009169E8" w:rsidRPr="008A7F61" w:rsidRDefault="009169E8" w:rsidP="00430CD7">
            <w:pPr>
              <w:pStyle w:val="Tabletext"/>
              <w:rPr>
                <w:b/>
              </w:rPr>
            </w:pPr>
            <w:r w:rsidRPr="008A7F61">
              <w:rPr>
                <w:b/>
              </w:rPr>
              <w:t>0</w:t>
            </w:r>
          </w:p>
        </w:tc>
        <w:tc>
          <w:tcPr>
            <w:cnfStyle w:val="000001000000" w:firstRow="0" w:lastRow="0" w:firstColumn="0" w:lastColumn="0" w:oddVBand="0" w:evenVBand="1" w:oddHBand="0" w:evenHBand="0" w:firstRowFirstColumn="0" w:firstRowLastColumn="0" w:lastRowFirstColumn="0" w:lastRowLastColumn="0"/>
            <w:tcW w:w="1304" w:type="dxa"/>
          </w:tcPr>
          <w:p w14:paraId="2522E173" w14:textId="77777777" w:rsidR="009169E8" w:rsidRPr="008A7F61" w:rsidRDefault="009169E8" w:rsidP="00430CD7">
            <w:pPr>
              <w:pStyle w:val="Tabletext"/>
              <w:rPr>
                <w:b/>
              </w:rPr>
            </w:pPr>
            <w:r w:rsidRPr="008A7F61">
              <w:rPr>
                <w:b/>
              </w:rPr>
              <w:t>0</w:t>
            </w:r>
          </w:p>
        </w:tc>
        <w:tc>
          <w:tcPr>
            <w:cnfStyle w:val="000010000000" w:firstRow="0" w:lastRow="0" w:firstColumn="0" w:lastColumn="0" w:oddVBand="1" w:evenVBand="0" w:oddHBand="0" w:evenHBand="0" w:firstRowFirstColumn="0" w:firstRowLastColumn="0" w:lastRowFirstColumn="0" w:lastRowLastColumn="0"/>
            <w:tcW w:w="1304" w:type="dxa"/>
          </w:tcPr>
          <w:p w14:paraId="462FC667" w14:textId="77777777" w:rsidR="009169E8" w:rsidRPr="008A7F61" w:rsidRDefault="009169E8" w:rsidP="00430CD7">
            <w:pPr>
              <w:pStyle w:val="Tabletext"/>
              <w:rPr>
                <w:b/>
              </w:rPr>
            </w:pPr>
            <w:r w:rsidRPr="008A7F61">
              <w:rPr>
                <w:b/>
              </w:rPr>
              <w:t>1</w:t>
            </w:r>
          </w:p>
        </w:tc>
        <w:tc>
          <w:tcPr>
            <w:cnfStyle w:val="000001000000" w:firstRow="0" w:lastRow="0" w:firstColumn="0" w:lastColumn="0" w:oddVBand="0" w:evenVBand="1" w:oddHBand="0" w:evenHBand="0" w:firstRowFirstColumn="0" w:firstRowLastColumn="0" w:lastRowFirstColumn="0" w:lastRowLastColumn="0"/>
            <w:tcW w:w="1304" w:type="dxa"/>
          </w:tcPr>
          <w:p w14:paraId="31DB3E27" w14:textId="77777777" w:rsidR="009169E8" w:rsidRPr="008A7F61" w:rsidRDefault="009169E8" w:rsidP="00430CD7">
            <w:pPr>
              <w:pStyle w:val="Tabletext"/>
              <w:rPr>
                <w:b/>
              </w:rPr>
            </w:pPr>
            <w:r w:rsidRPr="008A7F61">
              <w:rPr>
                <w:b/>
              </w:rPr>
              <w:t>2</w:t>
            </w:r>
          </w:p>
        </w:tc>
      </w:tr>
      <w:tr w:rsidR="009169E8" w14:paraId="34DCCA55"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784AB7A2" w14:textId="77777777" w:rsidR="009169E8" w:rsidRPr="00430CD7" w:rsidRDefault="009169E8" w:rsidP="00430CD7">
            <w:pPr>
              <w:pStyle w:val="Tabletext"/>
            </w:pPr>
            <w:r w:rsidRPr="00430CD7">
              <w:t>Malignant hyperthermia</w:t>
            </w:r>
          </w:p>
        </w:tc>
        <w:tc>
          <w:tcPr>
            <w:cnfStyle w:val="000001000000" w:firstRow="0" w:lastRow="0" w:firstColumn="0" w:lastColumn="0" w:oddVBand="0" w:evenVBand="1" w:oddHBand="0" w:evenHBand="0" w:firstRowFirstColumn="0" w:firstRowLastColumn="0" w:lastRowFirstColumn="0" w:lastRowLastColumn="0"/>
            <w:tcW w:w="1304" w:type="dxa"/>
          </w:tcPr>
          <w:p w14:paraId="6573B28B"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22955F88"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577EA07F"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2FE01BE7"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439B38BF" w14:textId="77777777" w:rsidR="009169E8" w:rsidRPr="00430CD7" w:rsidRDefault="009169E8" w:rsidP="00430CD7">
            <w:pPr>
              <w:pStyle w:val="Tabletext"/>
            </w:pPr>
            <w:r w:rsidRPr="00430CD7">
              <w:t>1</w:t>
            </w:r>
          </w:p>
        </w:tc>
      </w:tr>
      <w:tr w:rsidR="009169E8" w14:paraId="4201D7FB"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154AFBA5" w14:textId="77777777" w:rsidR="009169E8" w:rsidRPr="00430CD7" w:rsidRDefault="009169E8" w:rsidP="00430CD7">
            <w:pPr>
              <w:pStyle w:val="Tabletext"/>
            </w:pPr>
            <w:r w:rsidRPr="00430CD7">
              <w:t>Other</w:t>
            </w:r>
          </w:p>
        </w:tc>
        <w:tc>
          <w:tcPr>
            <w:cnfStyle w:val="000001000000" w:firstRow="0" w:lastRow="0" w:firstColumn="0" w:lastColumn="0" w:oddVBand="0" w:evenVBand="1" w:oddHBand="0" w:evenHBand="0" w:firstRowFirstColumn="0" w:firstRowLastColumn="0" w:lastRowFirstColumn="0" w:lastRowLastColumn="0"/>
            <w:tcW w:w="1304" w:type="dxa"/>
          </w:tcPr>
          <w:p w14:paraId="78A49778" w14:textId="77777777" w:rsidR="009169E8" w:rsidRPr="00430CD7" w:rsidRDefault="009169E8" w:rsidP="00430CD7">
            <w:pPr>
              <w:pStyle w:val="Tabletext"/>
            </w:pPr>
          </w:p>
        </w:tc>
        <w:tc>
          <w:tcPr>
            <w:cnfStyle w:val="000010000000" w:firstRow="0" w:lastRow="0" w:firstColumn="0" w:lastColumn="0" w:oddVBand="1" w:evenVBand="0" w:oddHBand="0" w:evenHBand="0" w:firstRowFirstColumn="0" w:firstRowLastColumn="0" w:lastRowFirstColumn="0" w:lastRowLastColumn="0"/>
            <w:tcW w:w="1304" w:type="dxa"/>
          </w:tcPr>
          <w:p w14:paraId="5D53CF14"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733C0F19"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621C344E"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6F0F88D9" w14:textId="77777777" w:rsidR="009169E8" w:rsidRPr="00430CD7" w:rsidRDefault="009169E8" w:rsidP="00430CD7">
            <w:pPr>
              <w:pStyle w:val="Tabletext"/>
            </w:pPr>
            <w:r w:rsidRPr="00430CD7">
              <w:t>1</w:t>
            </w:r>
          </w:p>
        </w:tc>
      </w:tr>
      <w:tr w:rsidR="009169E8" w14:paraId="63B3170F"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5BC7886E" w14:textId="77777777" w:rsidR="009169E8" w:rsidRPr="008A7F61" w:rsidRDefault="009169E8" w:rsidP="00430CD7">
            <w:pPr>
              <w:pStyle w:val="Tabletext"/>
              <w:rPr>
                <w:b/>
              </w:rPr>
            </w:pPr>
            <w:r w:rsidRPr="008A7F61">
              <w:rPr>
                <w:b/>
              </w:rPr>
              <w:t>Miscellaneous</w:t>
            </w:r>
          </w:p>
        </w:tc>
        <w:tc>
          <w:tcPr>
            <w:cnfStyle w:val="000001000000" w:firstRow="0" w:lastRow="0" w:firstColumn="0" w:lastColumn="0" w:oddVBand="0" w:evenVBand="1" w:oddHBand="0" w:evenHBand="0" w:firstRowFirstColumn="0" w:firstRowLastColumn="0" w:lastRowFirstColumn="0" w:lastRowLastColumn="0"/>
            <w:tcW w:w="1304" w:type="dxa"/>
          </w:tcPr>
          <w:p w14:paraId="10C9D269" w14:textId="77777777" w:rsidR="009169E8" w:rsidRPr="008A7F61" w:rsidRDefault="009169E8" w:rsidP="00430CD7">
            <w:pPr>
              <w:pStyle w:val="Tabletext"/>
              <w:rPr>
                <w:b/>
              </w:rPr>
            </w:pPr>
            <w:r w:rsidRPr="008A7F61">
              <w:rPr>
                <w:b/>
              </w:rPr>
              <w:t>1</w:t>
            </w:r>
          </w:p>
        </w:tc>
        <w:tc>
          <w:tcPr>
            <w:cnfStyle w:val="000010000000" w:firstRow="0" w:lastRow="0" w:firstColumn="0" w:lastColumn="0" w:oddVBand="1" w:evenVBand="0" w:oddHBand="0" w:evenHBand="0" w:firstRowFirstColumn="0" w:firstRowLastColumn="0" w:lastRowFirstColumn="0" w:lastRowLastColumn="0"/>
            <w:tcW w:w="1304" w:type="dxa"/>
          </w:tcPr>
          <w:p w14:paraId="2999AF95" w14:textId="77777777" w:rsidR="009169E8" w:rsidRPr="008A7F61" w:rsidRDefault="009169E8" w:rsidP="00430CD7">
            <w:pPr>
              <w:pStyle w:val="Tabletext"/>
              <w:rPr>
                <w:b/>
              </w:rPr>
            </w:pPr>
            <w:r w:rsidRPr="008A7F61">
              <w:rPr>
                <w:b/>
              </w:rPr>
              <w:t>2</w:t>
            </w:r>
          </w:p>
        </w:tc>
        <w:tc>
          <w:tcPr>
            <w:cnfStyle w:val="000001000000" w:firstRow="0" w:lastRow="0" w:firstColumn="0" w:lastColumn="0" w:oddVBand="0" w:evenVBand="1" w:oddHBand="0" w:evenHBand="0" w:firstRowFirstColumn="0" w:firstRowLastColumn="0" w:lastRowFirstColumn="0" w:lastRowLastColumn="0"/>
            <w:tcW w:w="1304" w:type="dxa"/>
          </w:tcPr>
          <w:p w14:paraId="07F1ABC4" w14:textId="77777777" w:rsidR="009169E8" w:rsidRPr="008A7F61" w:rsidRDefault="009169E8" w:rsidP="00430CD7">
            <w:pPr>
              <w:pStyle w:val="Tabletext"/>
              <w:rPr>
                <w:b/>
              </w:rPr>
            </w:pPr>
            <w:r w:rsidRPr="008A7F61">
              <w:rPr>
                <w:b/>
              </w:rPr>
              <w:t>0</w:t>
            </w:r>
          </w:p>
        </w:tc>
        <w:tc>
          <w:tcPr>
            <w:cnfStyle w:val="000010000000" w:firstRow="0" w:lastRow="0" w:firstColumn="0" w:lastColumn="0" w:oddVBand="1" w:evenVBand="0" w:oddHBand="0" w:evenHBand="0" w:firstRowFirstColumn="0" w:firstRowLastColumn="0" w:lastRowFirstColumn="0" w:lastRowLastColumn="0"/>
            <w:tcW w:w="1304" w:type="dxa"/>
          </w:tcPr>
          <w:p w14:paraId="5D57405D" w14:textId="77777777" w:rsidR="009169E8" w:rsidRPr="008A7F61" w:rsidRDefault="009169E8" w:rsidP="00430CD7">
            <w:pPr>
              <w:pStyle w:val="Tabletext"/>
              <w:rPr>
                <w:b/>
              </w:rPr>
            </w:pPr>
            <w:r w:rsidRPr="008A7F61">
              <w:rPr>
                <w:b/>
              </w:rPr>
              <w:t>38</w:t>
            </w:r>
          </w:p>
        </w:tc>
        <w:tc>
          <w:tcPr>
            <w:cnfStyle w:val="000001000000" w:firstRow="0" w:lastRow="0" w:firstColumn="0" w:lastColumn="0" w:oddVBand="0" w:evenVBand="1" w:oddHBand="0" w:evenHBand="0" w:firstRowFirstColumn="0" w:firstRowLastColumn="0" w:lastRowFirstColumn="0" w:lastRowLastColumn="0"/>
            <w:tcW w:w="1304" w:type="dxa"/>
          </w:tcPr>
          <w:p w14:paraId="774D1888" w14:textId="77777777" w:rsidR="009169E8" w:rsidRPr="008A7F61" w:rsidRDefault="009169E8" w:rsidP="00430CD7">
            <w:pPr>
              <w:pStyle w:val="Tabletext"/>
              <w:rPr>
                <w:b/>
              </w:rPr>
            </w:pPr>
            <w:r w:rsidRPr="008A7F61">
              <w:rPr>
                <w:b/>
              </w:rPr>
              <w:t>41</w:t>
            </w:r>
          </w:p>
        </w:tc>
      </w:tr>
      <w:tr w:rsidR="009169E8" w14:paraId="198833F9"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68888BD0" w14:textId="77777777" w:rsidR="009169E8" w:rsidRPr="00430CD7" w:rsidRDefault="009169E8" w:rsidP="00430CD7">
            <w:pPr>
              <w:pStyle w:val="Tabletext"/>
            </w:pPr>
            <w:r w:rsidRPr="00430CD7">
              <w:t>Other</w:t>
            </w:r>
          </w:p>
        </w:tc>
        <w:tc>
          <w:tcPr>
            <w:cnfStyle w:val="000001000000" w:firstRow="0" w:lastRow="0" w:firstColumn="0" w:lastColumn="0" w:oddVBand="0" w:evenVBand="1" w:oddHBand="0" w:evenHBand="0" w:firstRowFirstColumn="0" w:firstRowLastColumn="0" w:lastRowFirstColumn="0" w:lastRowLastColumn="0"/>
            <w:tcW w:w="1304" w:type="dxa"/>
          </w:tcPr>
          <w:p w14:paraId="5968A3F2"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1E665EA5" w14:textId="77777777" w:rsidR="009169E8" w:rsidRPr="00430CD7" w:rsidRDefault="009169E8" w:rsidP="00430CD7">
            <w:pPr>
              <w:pStyle w:val="Tabletext"/>
            </w:pPr>
            <w:r w:rsidRPr="00430CD7">
              <w:t>2</w:t>
            </w:r>
          </w:p>
        </w:tc>
        <w:tc>
          <w:tcPr>
            <w:cnfStyle w:val="000001000000" w:firstRow="0" w:lastRow="0" w:firstColumn="0" w:lastColumn="0" w:oddVBand="0" w:evenVBand="1" w:oddHBand="0" w:evenHBand="0" w:firstRowFirstColumn="0" w:firstRowLastColumn="0" w:lastRowFirstColumn="0" w:lastRowLastColumn="0"/>
            <w:tcW w:w="1304" w:type="dxa"/>
          </w:tcPr>
          <w:p w14:paraId="5849B0B7"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1E0D2EFB" w14:textId="77777777" w:rsidR="009169E8" w:rsidRPr="00430CD7" w:rsidRDefault="009169E8" w:rsidP="00430CD7">
            <w:pPr>
              <w:pStyle w:val="Tabletext"/>
            </w:pPr>
            <w:r w:rsidRPr="00430CD7">
              <w:t>38</w:t>
            </w:r>
          </w:p>
        </w:tc>
        <w:tc>
          <w:tcPr>
            <w:cnfStyle w:val="000001000000" w:firstRow="0" w:lastRow="0" w:firstColumn="0" w:lastColumn="0" w:oddVBand="0" w:evenVBand="1" w:oddHBand="0" w:evenHBand="0" w:firstRowFirstColumn="0" w:firstRowLastColumn="0" w:lastRowFirstColumn="0" w:lastRowLastColumn="0"/>
            <w:tcW w:w="1304" w:type="dxa"/>
          </w:tcPr>
          <w:p w14:paraId="7AD00622" w14:textId="77777777" w:rsidR="009169E8" w:rsidRPr="00430CD7" w:rsidRDefault="009169E8" w:rsidP="00430CD7">
            <w:pPr>
              <w:pStyle w:val="Tabletext"/>
            </w:pPr>
            <w:r w:rsidRPr="00430CD7">
              <w:t>41</w:t>
            </w:r>
          </w:p>
        </w:tc>
      </w:tr>
      <w:tr w:rsidR="009169E8" w14:paraId="48C9046E"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193EA769" w14:textId="77777777" w:rsidR="009169E8" w:rsidRPr="002E3284" w:rsidRDefault="009169E8" w:rsidP="00430CD7">
            <w:pPr>
              <w:pStyle w:val="Tabletext"/>
              <w:rPr>
                <w:b/>
              </w:rPr>
            </w:pPr>
            <w:r w:rsidRPr="002E3284">
              <w:rPr>
                <w:b/>
              </w:rPr>
              <w:t>Neurological</w:t>
            </w:r>
          </w:p>
        </w:tc>
        <w:tc>
          <w:tcPr>
            <w:cnfStyle w:val="000001000000" w:firstRow="0" w:lastRow="0" w:firstColumn="0" w:lastColumn="0" w:oddVBand="0" w:evenVBand="1" w:oddHBand="0" w:evenHBand="0" w:firstRowFirstColumn="0" w:firstRowLastColumn="0" w:lastRowFirstColumn="0" w:lastRowLastColumn="0"/>
            <w:tcW w:w="1304" w:type="dxa"/>
          </w:tcPr>
          <w:p w14:paraId="13A9135B" w14:textId="77777777" w:rsidR="009169E8" w:rsidRPr="002E3284" w:rsidRDefault="009169E8" w:rsidP="00430CD7">
            <w:pPr>
              <w:pStyle w:val="Tabletext"/>
              <w:rPr>
                <w:b/>
              </w:rPr>
            </w:pPr>
            <w:r w:rsidRPr="002E3284">
              <w:rPr>
                <w:b/>
              </w:rPr>
              <w:t>6</w:t>
            </w:r>
          </w:p>
        </w:tc>
        <w:tc>
          <w:tcPr>
            <w:cnfStyle w:val="000010000000" w:firstRow="0" w:lastRow="0" w:firstColumn="0" w:lastColumn="0" w:oddVBand="1" w:evenVBand="0" w:oddHBand="0" w:evenHBand="0" w:firstRowFirstColumn="0" w:firstRowLastColumn="0" w:lastRowFirstColumn="0" w:lastRowLastColumn="0"/>
            <w:tcW w:w="1304" w:type="dxa"/>
          </w:tcPr>
          <w:p w14:paraId="585843FA" w14:textId="77777777" w:rsidR="009169E8" w:rsidRPr="002E3284" w:rsidRDefault="009169E8" w:rsidP="00430CD7">
            <w:pPr>
              <w:pStyle w:val="Tabletext"/>
              <w:rPr>
                <w:b/>
              </w:rPr>
            </w:pPr>
            <w:r w:rsidRPr="002E3284">
              <w:rPr>
                <w:b/>
              </w:rPr>
              <w:t>7</w:t>
            </w:r>
          </w:p>
        </w:tc>
        <w:tc>
          <w:tcPr>
            <w:cnfStyle w:val="000001000000" w:firstRow="0" w:lastRow="0" w:firstColumn="0" w:lastColumn="0" w:oddVBand="0" w:evenVBand="1" w:oddHBand="0" w:evenHBand="0" w:firstRowFirstColumn="0" w:firstRowLastColumn="0" w:lastRowFirstColumn="0" w:lastRowLastColumn="0"/>
            <w:tcW w:w="1304" w:type="dxa"/>
          </w:tcPr>
          <w:p w14:paraId="4D34B752" w14:textId="77777777" w:rsidR="009169E8" w:rsidRPr="002E3284" w:rsidRDefault="009169E8" w:rsidP="00430CD7">
            <w:pPr>
              <w:pStyle w:val="Tabletext"/>
              <w:rPr>
                <w:b/>
              </w:rPr>
            </w:pPr>
            <w:r w:rsidRPr="002E3284">
              <w:rPr>
                <w:b/>
              </w:rPr>
              <w:t>0</w:t>
            </w:r>
          </w:p>
        </w:tc>
        <w:tc>
          <w:tcPr>
            <w:cnfStyle w:val="000010000000" w:firstRow="0" w:lastRow="0" w:firstColumn="0" w:lastColumn="0" w:oddVBand="1" w:evenVBand="0" w:oddHBand="0" w:evenHBand="0" w:firstRowFirstColumn="0" w:firstRowLastColumn="0" w:lastRowFirstColumn="0" w:lastRowLastColumn="0"/>
            <w:tcW w:w="1304" w:type="dxa"/>
          </w:tcPr>
          <w:p w14:paraId="7A699509" w14:textId="77777777" w:rsidR="009169E8" w:rsidRPr="002E3284" w:rsidRDefault="009169E8" w:rsidP="00430CD7">
            <w:pPr>
              <w:pStyle w:val="Tabletext"/>
              <w:rPr>
                <w:b/>
              </w:rPr>
            </w:pPr>
            <w:r w:rsidRPr="002E3284">
              <w:rPr>
                <w:b/>
              </w:rPr>
              <w:t>18</w:t>
            </w:r>
          </w:p>
        </w:tc>
        <w:tc>
          <w:tcPr>
            <w:cnfStyle w:val="000001000000" w:firstRow="0" w:lastRow="0" w:firstColumn="0" w:lastColumn="0" w:oddVBand="0" w:evenVBand="1" w:oddHBand="0" w:evenHBand="0" w:firstRowFirstColumn="0" w:firstRowLastColumn="0" w:lastRowFirstColumn="0" w:lastRowLastColumn="0"/>
            <w:tcW w:w="1304" w:type="dxa"/>
          </w:tcPr>
          <w:p w14:paraId="3F8768B7" w14:textId="77777777" w:rsidR="009169E8" w:rsidRPr="002E3284" w:rsidRDefault="009169E8" w:rsidP="00430CD7">
            <w:pPr>
              <w:pStyle w:val="Tabletext"/>
              <w:rPr>
                <w:b/>
              </w:rPr>
            </w:pPr>
            <w:r w:rsidRPr="002E3284">
              <w:rPr>
                <w:b/>
              </w:rPr>
              <w:t>31</w:t>
            </w:r>
          </w:p>
        </w:tc>
      </w:tr>
      <w:tr w:rsidR="009169E8" w14:paraId="74C47E48"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62BBC288" w14:textId="77777777" w:rsidR="009169E8" w:rsidRPr="00430CD7" w:rsidRDefault="009169E8" w:rsidP="00430CD7">
            <w:pPr>
              <w:pStyle w:val="Tabletext"/>
            </w:pPr>
            <w:r w:rsidRPr="00430CD7">
              <w:t>Awareness</w:t>
            </w:r>
          </w:p>
        </w:tc>
        <w:tc>
          <w:tcPr>
            <w:cnfStyle w:val="000001000000" w:firstRow="0" w:lastRow="0" w:firstColumn="0" w:lastColumn="0" w:oddVBand="0" w:evenVBand="1" w:oddHBand="0" w:evenHBand="0" w:firstRowFirstColumn="0" w:firstRowLastColumn="0" w:lastRowFirstColumn="0" w:lastRowLastColumn="0"/>
            <w:tcW w:w="1304" w:type="dxa"/>
          </w:tcPr>
          <w:p w14:paraId="5822BBB0" w14:textId="77777777" w:rsidR="009169E8" w:rsidRPr="00430CD7" w:rsidRDefault="009169E8" w:rsidP="00430CD7">
            <w:pPr>
              <w:pStyle w:val="Tabletext"/>
            </w:pPr>
            <w:r w:rsidRPr="00430CD7">
              <w:t>3</w:t>
            </w:r>
          </w:p>
        </w:tc>
        <w:tc>
          <w:tcPr>
            <w:cnfStyle w:val="000010000000" w:firstRow="0" w:lastRow="0" w:firstColumn="0" w:lastColumn="0" w:oddVBand="1" w:evenVBand="0" w:oddHBand="0" w:evenHBand="0" w:firstRowFirstColumn="0" w:firstRowLastColumn="0" w:lastRowFirstColumn="0" w:lastRowLastColumn="0"/>
            <w:tcW w:w="1304" w:type="dxa"/>
          </w:tcPr>
          <w:p w14:paraId="47873870"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298CF0F0"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1F03EF45"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74FEF9DD" w14:textId="77777777" w:rsidR="009169E8" w:rsidRPr="00430CD7" w:rsidRDefault="009169E8" w:rsidP="00430CD7">
            <w:pPr>
              <w:pStyle w:val="Tabletext"/>
            </w:pPr>
            <w:r w:rsidRPr="00430CD7">
              <w:t>3</w:t>
            </w:r>
          </w:p>
        </w:tc>
      </w:tr>
      <w:tr w:rsidR="009169E8" w14:paraId="176C5D39"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312D78AF" w14:textId="77777777" w:rsidR="009169E8" w:rsidRPr="00430CD7" w:rsidRDefault="009169E8" w:rsidP="00430CD7">
            <w:pPr>
              <w:pStyle w:val="Tabletext"/>
            </w:pPr>
            <w:r w:rsidRPr="00430CD7">
              <w:t>Inadequate N/M reversal</w:t>
            </w:r>
          </w:p>
        </w:tc>
        <w:tc>
          <w:tcPr>
            <w:cnfStyle w:val="000001000000" w:firstRow="0" w:lastRow="0" w:firstColumn="0" w:lastColumn="0" w:oddVBand="0" w:evenVBand="1" w:oddHBand="0" w:evenHBand="0" w:firstRowFirstColumn="0" w:firstRowLastColumn="0" w:lastRowFirstColumn="0" w:lastRowLastColumn="0"/>
            <w:tcW w:w="1304" w:type="dxa"/>
          </w:tcPr>
          <w:p w14:paraId="387B9409"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77EAFB87"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0CC05738"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49DEA57B"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7D7F4AFA" w14:textId="77777777" w:rsidR="009169E8" w:rsidRPr="00430CD7" w:rsidRDefault="009169E8" w:rsidP="00430CD7">
            <w:pPr>
              <w:pStyle w:val="Tabletext"/>
            </w:pPr>
            <w:r w:rsidRPr="00430CD7">
              <w:t>1</w:t>
            </w:r>
          </w:p>
        </w:tc>
      </w:tr>
      <w:tr w:rsidR="009169E8" w14:paraId="14CEFFBF"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334105AF" w14:textId="77777777" w:rsidR="009169E8" w:rsidRPr="00430CD7" w:rsidRDefault="009169E8" w:rsidP="00430CD7">
            <w:pPr>
              <w:pStyle w:val="Tabletext"/>
            </w:pPr>
            <w:r w:rsidRPr="00430CD7">
              <w:t>Nerve/plexus Injury</w:t>
            </w:r>
          </w:p>
        </w:tc>
        <w:tc>
          <w:tcPr>
            <w:cnfStyle w:val="000001000000" w:firstRow="0" w:lastRow="0" w:firstColumn="0" w:lastColumn="0" w:oddVBand="0" w:evenVBand="1" w:oddHBand="0" w:evenHBand="0" w:firstRowFirstColumn="0" w:firstRowLastColumn="0" w:lastRowFirstColumn="0" w:lastRowLastColumn="0"/>
            <w:tcW w:w="1304" w:type="dxa"/>
          </w:tcPr>
          <w:p w14:paraId="6083EA55"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3FC19DF7"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01D5D378"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031E41B1"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3ACAE564" w14:textId="77777777" w:rsidR="009169E8" w:rsidRPr="00430CD7" w:rsidRDefault="009169E8" w:rsidP="00430CD7">
            <w:pPr>
              <w:pStyle w:val="Tabletext"/>
            </w:pPr>
            <w:r w:rsidRPr="00430CD7">
              <w:t>1</w:t>
            </w:r>
          </w:p>
        </w:tc>
      </w:tr>
      <w:tr w:rsidR="009169E8" w14:paraId="2FD02A95"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64360D17" w14:textId="77777777" w:rsidR="009169E8" w:rsidRPr="00430CD7" w:rsidRDefault="009169E8" w:rsidP="00430CD7">
            <w:pPr>
              <w:pStyle w:val="Tabletext"/>
            </w:pPr>
            <w:r w:rsidRPr="00430CD7">
              <w:t>Seizure</w:t>
            </w:r>
          </w:p>
        </w:tc>
        <w:tc>
          <w:tcPr>
            <w:cnfStyle w:val="000001000000" w:firstRow="0" w:lastRow="0" w:firstColumn="0" w:lastColumn="0" w:oddVBand="0" w:evenVBand="1" w:oddHBand="0" w:evenHBand="0" w:firstRowFirstColumn="0" w:firstRowLastColumn="0" w:lastRowFirstColumn="0" w:lastRowLastColumn="0"/>
            <w:tcW w:w="1304" w:type="dxa"/>
          </w:tcPr>
          <w:p w14:paraId="08A108DF"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24DDFA80"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72DFCFC5"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0F32BF84"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28E9E3AD" w14:textId="77777777" w:rsidR="009169E8" w:rsidRPr="00430CD7" w:rsidRDefault="009169E8" w:rsidP="00430CD7">
            <w:pPr>
              <w:pStyle w:val="Tabletext"/>
            </w:pPr>
            <w:r w:rsidRPr="00430CD7">
              <w:t>1</w:t>
            </w:r>
          </w:p>
        </w:tc>
      </w:tr>
      <w:tr w:rsidR="009169E8" w14:paraId="4C714D74"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5FFE5B96" w14:textId="77777777" w:rsidR="009169E8" w:rsidRPr="00430CD7" w:rsidRDefault="009169E8" w:rsidP="00430CD7">
            <w:pPr>
              <w:pStyle w:val="Tabletext"/>
            </w:pPr>
            <w:r w:rsidRPr="00430CD7">
              <w:t>Stroke (including TIA)</w:t>
            </w:r>
          </w:p>
        </w:tc>
        <w:tc>
          <w:tcPr>
            <w:cnfStyle w:val="000001000000" w:firstRow="0" w:lastRow="0" w:firstColumn="0" w:lastColumn="0" w:oddVBand="0" w:evenVBand="1" w:oddHBand="0" w:evenHBand="0" w:firstRowFirstColumn="0" w:firstRowLastColumn="0" w:lastRowFirstColumn="0" w:lastRowLastColumn="0"/>
            <w:tcW w:w="1304" w:type="dxa"/>
          </w:tcPr>
          <w:p w14:paraId="3C0C71F1"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447C0C55" w14:textId="77777777" w:rsidR="009169E8" w:rsidRPr="00430CD7" w:rsidRDefault="009169E8" w:rsidP="00430CD7">
            <w:pPr>
              <w:pStyle w:val="Tabletext"/>
            </w:pPr>
            <w:r w:rsidRPr="00430CD7">
              <w:t>5</w:t>
            </w:r>
          </w:p>
        </w:tc>
        <w:tc>
          <w:tcPr>
            <w:cnfStyle w:val="000001000000" w:firstRow="0" w:lastRow="0" w:firstColumn="0" w:lastColumn="0" w:oddVBand="0" w:evenVBand="1" w:oddHBand="0" w:evenHBand="0" w:firstRowFirstColumn="0" w:firstRowLastColumn="0" w:lastRowFirstColumn="0" w:lastRowLastColumn="0"/>
            <w:tcW w:w="1304" w:type="dxa"/>
          </w:tcPr>
          <w:p w14:paraId="65F1F44A"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0E35ABCE" w14:textId="77777777" w:rsidR="009169E8" w:rsidRPr="00430CD7" w:rsidRDefault="009169E8" w:rsidP="00430CD7">
            <w:pPr>
              <w:pStyle w:val="Tabletext"/>
            </w:pPr>
            <w:r w:rsidRPr="00430CD7">
              <w:t>15</w:t>
            </w:r>
          </w:p>
        </w:tc>
        <w:tc>
          <w:tcPr>
            <w:cnfStyle w:val="000001000000" w:firstRow="0" w:lastRow="0" w:firstColumn="0" w:lastColumn="0" w:oddVBand="0" w:evenVBand="1" w:oddHBand="0" w:evenHBand="0" w:firstRowFirstColumn="0" w:firstRowLastColumn="0" w:lastRowFirstColumn="0" w:lastRowLastColumn="0"/>
            <w:tcW w:w="1304" w:type="dxa"/>
          </w:tcPr>
          <w:p w14:paraId="3C0CA70C" w14:textId="77777777" w:rsidR="009169E8" w:rsidRPr="00430CD7" w:rsidRDefault="009169E8" w:rsidP="00430CD7">
            <w:pPr>
              <w:pStyle w:val="Tabletext"/>
            </w:pPr>
            <w:r w:rsidRPr="00430CD7">
              <w:t>21</w:t>
            </w:r>
          </w:p>
        </w:tc>
      </w:tr>
      <w:tr w:rsidR="009169E8" w14:paraId="32BACD6F"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31B529AB" w14:textId="77777777" w:rsidR="009169E8" w:rsidRPr="00430CD7" w:rsidRDefault="009169E8" w:rsidP="00430CD7">
            <w:pPr>
              <w:pStyle w:val="Tabletext"/>
            </w:pPr>
            <w:r w:rsidRPr="00430CD7">
              <w:t>Other</w:t>
            </w:r>
          </w:p>
        </w:tc>
        <w:tc>
          <w:tcPr>
            <w:cnfStyle w:val="000001000000" w:firstRow="0" w:lastRow="0" w:firstColumn="0" w:lastColumn="0" w:oddVBand="0" w:evenVBand="1" w:oddHBand="0" w:evenHBand="0" w:firstRowFirstColumn="0" w:firstRowLastColumn="0" w:lastRowFirstColumn="0" w:lastRowLastColumn="0"/>
            <w:tcW w:w="1304" w:type="dxa"/>
          </w:tcPr>
          <w:p w14:paraId="0E0C4663"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07F4FF76" w14:textId="77777777" w:rsidR="009169E8" w:rsidRPr="00430CD7" w:rsidRDefault="009169E8" w:rsidP="00430CD7">
            <w:pPr>
              <w:pStyle w:val="Tabletext"/>
            </w:pPr>
            <w:r w:rsidRPr="00430CD7">
              <w:t>2</w:t>
            </w:r>
          </w:p>
        </w:tc>
        <w:tc>
          <w:tcPr>
            <w:cnfStyle w:val="000001000000" w:firstRow="0" w:lastRow="0" w:firstColumn="0" w:lastColumn="0" w:oddVBand="0" w:evenVBand="1" w:oddHBand="0" w:evenHBand="0" w:firstRowFirstColumn="0" w:firstRowLastColumn="0" w:lastRowFirstColumn="0" w:lastRowLastColumn="0"/>
            <w:tcW w:w="1304" w:type="dxa"/>
          </w:tcPr>
          <w:p w14:paraId="5CF90DE2"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599683E5" w14:textId="77777777" w:rsidR="009169E8" w:rsidRPr="00430CD7" w:rsidRDefault="009169E8" w:rsidP="00430CD7">
            <w:pPr>
              <w:pStyle w:val="Tabletext"/>
            </w:pPr>
            <w:r w:rsidRPr="00430CD7">
              <w:t>2</w:t>
            </w:r>
          </w:p>
        </w:tc>
        <w:tc>
          <w:tcPr>
            <w:cnfStyle w:val="000001000000" w:firstRow="0" w:lastRow="0" w:firstColumn="0" w:lastColumn="0" w:oddVBand="0" w:evenVBand="1" w:oddHBand="0" w:evenHBand="0" w:firstRowFirstColumn="0" w:firstRowLastColumn="0" w:lastRowFirstColumn="0" w:lastRowLastColumn="0"/>
            <w:tcW w:w="1304" w:type="dxa"/>
          </w:tcPr>
          <w:p w14:paraId="7E4EDE80" w14:textId="77777777" w:rsidR="009169E8" w:rsidRPr="00430CD7" w:rsidRDefault="009169E8" w:rsidP="00430CD7">
            <w:pPr>
              <w:pStyle w:val="Tabletext"/>
            </w:pPr>
            <w:r w:rsidRPr="00430CD7">
              <w:t>4</w:t>
            </w:r>
          </w:p>
        </w:tc>
      </w:tr>
      <w:tr w:rsidR="009169E8" w14:paraId="5E202716"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4367FBC2" w14:textId="77777777" w:rsidR="009169E8" w:rsidRPr="002E3284" w:rsidRDefault="009169E8" w:rsidP="00430CD7">
            <w:pPr>
              <w:pStyle w:val="Tabletext"/>
              <w:rPr>
                <w:b/>
              </w:rPr>
            </w:pPr>
            <w:r w:rsidRPr="002E3284">
              <w:rPr>
                <w:b/>
              </w:rPr>
              <w:t>Procedure-related</w:t>
            </w:r>
          </w:p>
        </w:tc>
        <w:tc>
          <w:tcPr>
            <w:cnfStyle w:val="000001000000" w:firstRow="0" w:lastRow="0" w:firstColumn="0" w:lastColumn="0" w:oddVBand="0" w:evenVBand="1" w:oddHBand="0" w:evenHBand="0" w:firstRowFirstColumn="0" w:firstRowLastColumn="0" w:lastRowFirstColumn="0" w:lastRowLastColumn="0"/>
            <w:tcW w:w="1304" w:type="dxa"/>
          </w:tcPr>
          <w:p w14:paraId="0732128E" w14:textId="77777777" w:rsidR="009169E8" w:rsidRPr="002E3284" w:rsidRDefault="009169E8" w:rsidP="00430CD7">
            <w:pPr>
              <w:pStyle w:val="Tabletext"/>
              <w:rPr>
                <w:b/>
              </w:rPr>
            </w:pPr>
            <w:r w:rsidRPr="002E3284">
              <w:rPr>
                <w:b/>
              </w:rPr>
              <w:t>8</w:t>
            </w:r>
          </w:p>
        </w:tc>
        <w:tc>
          <w:tcPr>
            <w:cnfStyle w:val="000010000000" w:firstRow="0" w:lastRow="0" w:firstColumn="0" w:lastColumn="0" w:oddVBand="1" w:evenVBand="0" w:oddHBand="0" w:evenHBand="0" w:firstRowFirstColumn="0" w:firstRowLastColumn="0" w:lastRowFirstColumn="0" w:lastRowLastColumn="0"/>
            <w:tcW w:w="1304" w:type="dxa"/>
          </w:tcPr>
          <w:p w14:paraId="26FE733B" w14:textId="77777777" w:rsidR="009169E8" w:rsidRPr="002E3284" w:rsidRDefault="009169E8" w:rsidP="00430CD7">
            <w:pPr>
              <w:pStyle w:val="Tabletext"/>
              <w:rPr>
                <w:b/>
              </w:rPr>
            </w:pPr>
          </w:p>
        </w:tc>
        <w:tc>
          <w:tcPr>
            <w:cnfStyle w:val="000001000000" w:firstRow="0" w:lastRow="0" w:firstColumn="0" w:lastColumn="0" w:oddVBand="0" w:evenVBand="1" w:oddHBand="0" w:evenHBand="0" w:firstRowFirstColumn="0" w:firstRowLastColumn="0" w:lastRowFirstColumn="0" w:lastRowLastColumn="0"/>
            <w:tcW w:w="1304" w:type="dxa"/>
          </w:tcPr>
          <w:p w14:paraId="0A976744" w14:textId="77777777" w:rsidR="009169E8" w:rsidRPr="002E3284" w:rsidRDefault="009169E8" w:rsidP="00430CD7">
            <w:pPr>
              <w:pStyle w:val="Tabletext"/>
              <w:rPr>
                <w:b/>
              </w:rPr>
            </w:pPr>
            <w:r w:rsidRPr="002E3284">
              <w:rPr>
                <w:b/>
              </w:rPr>
              <w:t>1</w:t>
            </w:r>
          </w:p>
        </w:tc>
        <w:tc>
          <w:tcPr>
            <w:cnfStyle w:val="000010000000" w:firstRow="0" w:lastRow="0" w:firstColumn="0" w:lastColumn="0" w:oddVBand="1" w:evenVBand="0" w:oddHBand="0" w:evenHBand="0" w:firstRowFirstColumn="0" w:firstRowLastColumn="0" w:lastRowFirstColumn="0" w:lastRowLastColumn="0"/>
            <w:tcW w:w="1304" w:type="dxa"/>
          </w:tcPr>
          <w:p w14:paraId="6D616475" w14:textId="77777777" w:rsidR="009169E8" w:rsidRPr="002E3284" w:rsidRDefault="009169E8" w:rsidP="00430CD7">
            <w:pPr>
              <w:pStyle w:val="Tabletext"/>
              <w:rPr>
                <w:b/>
              </w:rPr>
            </w:pPr>
          </w:p>
        </w:tc>
        <w:tc>
          <w:tcPr>
            <w:cnfStyle w:val="000001000000" w:firstRow="0" w:lastRow="0" w:firstColumn="0" w:lastColumn="0" w:oddVBand="0" w:evenVBand="1" w:oddHBand="0" w:evenHBand="0" w:firstRowFirstColumn="0" w:firstRowLastColumn="0" w:lastRowFirstColumn="0" w:lastRowLastColumn="0"/>
            <w:tcW w:w="1304" w:type="dxa"/>
          </w:tcPr>
          <w:p w14:paraId="4C57C4A7" w14:textId="77777777" w:rsidR="009169E8" w:rsidRPr="002E3284" w:rsidRDefault="009169E8" w:rsidP="00430CD7">
            <w:pPr>
              <w:pStyle w:val="Tabletext"/>
              <w:rPr>
                <w:b/>
              </w:rPr>
            </w:pPr>
            <w:r w:rsidRPr="002E3284">
              <w:rPr>
                <w:b/>
              </w:rPr>
              <w:t>9</w:t>
            </w:r>
          </w:p>
        </w:tc>
      </w:tr>
      <w:tr w:rsidR="009169E8" w14:paraId="315BE8E4"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128870D4" w14:textId="77777777" w:rsidR="009169E8" w:rsidRPr="00430CD7" w:rsidRDefault="009169E8" w:rsidP="00430CD7">
            <w:pPr>
              <w:pStyle w:val="Tabletext"/>
            </w:pPr>
            <w:r w:rsidRPr="00430CD7">
              <w:t>Vascular injury</w:t>
            </w:r>
          </w:p>
        </w:tc>
        <w:tc>
          <w:tcPr>
            <w:cnfStyle w:val="000001000000" w:firstRow="0" w:lastRow="0" w:firstColumn="0" w:lastColumn="0" w:oddVBand="0" w:evenVBand="1" w:oddHBand="0" w:evenHBand="0" w:firstRowFirstColumn="0" w:firstRowLastColumn="0" w:lastRowFirstColumn="0" w:lastRowLastColumn="0"/>
            <w:tcW w:w="1304" w:type="dxa"/>
          </w:tcPr>
          <w:p w14:paraId="175D35D5"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6DE6E46C"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4DD5FE57"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258B3A3B"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6945AF1D" w14:textId="77777777" w:rsidR="009169E8" w:rsidRPr="00430CD7" w:rsidRDefault="009169E8" w:rsidP="00430CD7">
            <w:pPr>
              <w:pStyle w:val="Tabletext"/>
            </w:pPr>
            <w:r w:rsidRPr="00430CD7">
              <w:t>1</w:t>
            </w:r>
          </w:p>
        </w:tc>
      </w:tr>
      <w:tr w:rsidR="009169E8" w14:paraId="43662BD5"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2E02483F" w14:textId="77777777" w:rsidR="009169E8" w:rsidRPr="00430CD7" w:rsidRDefault="009169E8" w:rsidP="00430CD7">
            <w:pPr>
              <w:pStyle w:val="Tabletext"/>
            </w:pPr>
            <w:r w:rsidRPr="00430CD7">
              <w:t>Other</w:t>
            </w:r>
          </w:p>
        </w:tc>
        <w:tc>
          <w:tcPr>
            <w:cnfStyle w:val="000001000000" w:firstRow="0" w:lastRow="0" w:firstColumn="0" w:lastColumn="0" w:oddVBand="0" w:evenVBand="1" w:oddHBand="0" w:evenHBand="0" w:firstRowFirstColumn="0" w:firstRowLastColumn="0" w:lastRowFirstColumn="0" w:lastRowLastColumn="0"/>
            <w:tcW w:w="1304" w:type="dxa"/>
          </w:tcPr>
          <w:p w14:paraId="289A756D" w14:textId="77777777" w:rsidR="009169E8" w:rsidRPr="00430CD7" w:rsidRDefault="009169E8" w:rsidP="00430CD7">
            <w:pPr>
              <w:pStyle w:val="Tabletext"/>
            </w:pPr>
            <w:r w:rsidRPr="00430CD7">
              <w:t>7</w:t>
            </w:r>
          </w:p>
        </w:tc>
        <w:tc>
          <w:tcPr>
            <w:cnfStyle w:val="000010000000" w:firstRow="0" w:lastRow="0" w:firstColumn="0" w:lastColumn="0" w:oddVBand="1" w:evenVBand="0" w:oddHBand="0" w:evenHBand="0" w:firstRowFirstColumn="0" w:firstRowLastColumn="0" w:lastRowFirstColumn="0" w:lastRowLastColumn="0"/>
            <w:tcW w:w="1304" w:type="dxa"/>
          </w:tcPr>
          <w:p w14:paraId="48979696"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7A78D6F9"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08DC1089"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7D7317D4" w14:textId="77777777" w:rsidR="009169E8" w:rsidRPr="00430CD7" w:rsidRDefault="009169E8" w:rsidP="00430CD7">
            <w:pPr>
              <w:pStyle w:val="Tabletext"/>
            </w:pPr>
            <w:r w:rsidRPr="00430CD7">
              <w:t>8</w:t>
            </w:r>
          </w:p>
        </w:tc>
      </w:tr>
      <w:tr w:rsidR="009169E8" w14:paraId="61E94D63"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41AC621F" w14:textId="77777777" w:rsidR="009169E8" w:rsidRPr="002E3284" w:rsidRDefault="009169E8" w:rsidP="00430CD7">
            <w:pPr>
              <w:pStyle w:val="Tabletext"/>
              <w:rPr>
                <w:b/>
              </w:rPr>
            </w:pPr>
            <w:r w:rsidRPr="002E3284">
              <w:rPr>
                <w:b/>
              </w:rPr>
              <w:t>Respiratory</w:t>
            </w:r>
          </w:p>
        </w:tc>
        <w:tc>
          <w:tcPr>
            <w:cnfStyle w:val="000001000000" w:firstRow="0" w:lastRow="0" w:firstColumn="0" w:lastColumn="0" w:oddVBand="0" w:evenVBand="1" w:oddHBand="0" w:evenHBand="0" w:firstRowFirstColumn="0" w:firstRowLastColumn="0" w:lastRowFirstColumn="0" w:lastRowLastColumn="0"/>
            <w:tcW w:w="1304" w:type="dxa"/>
          </w:tcPr>
          <w:p w14:paraId="0D3D0DA4" w14:textId="77777777" w:rsidR="009169E8" w:rsidRPr="002E3284" w:rsidRDefault="009169E8" w:rsidP="00430CD7">
            <w:pPr>
              <w:pStyle w:val="Tabletext"/>
              <w:rPr>
                <w:b/>
              </w:rPr>
            </w:pPr>
            <w:r w:rsidRPr="002E3284">
              <w:rPr>
                <w:b/>
              </w:rPr>
              <w:t>4</w:t>
            </w:r>
          </w:p>
        </w:tc>
        <w:tc>
          <w:tcPr>
            <w:cnfStyle w:val="000010000000" w:firstRow="0" w:lastRow="0" w:firstColumn="0" w:lastColumn="0" w:oddVBand="1" w:evenVBand="0" w:oddHBand="0" w:evenHBand="0" w:firstRowFirstColumn="0" w:firstRowLastColumn="0" w:lastRowFirstColumn="0" w:lastRowLastColumn="0"/>
            <w:tcW w:w="1304" w:type="dxa"/>
          </w:tcPr>
          <w:p w14:paraId="7A40FFE7" w14:textId="77777777" w:rsidR="009169E8" w:rsidRPr="002E3284" w:rsidRDefault="009169E8" w:rsidP="00430CD7">
            <w:pPr>
              <w:pStyle w:val="Tabletext"/>
              <w:rPr>
                <w:b/>
              </w:rPr>
            </w:pPr>
            <w:r w:rsidRPr="002E3284">
              <w:rPr>
                <w:b/>
              </w:rPr>
              <w:t>9</w:t>
            </w:r>
          </w:p>
        </w:tc>
        <w:tc>
          <w:tcPr>
            <w:cnfStyle w:val="000001000000" w:firstRow="0" w:lastRow="0" w:firstColumn="0" w:lastColumn="0" w:oddVBand="0" w:evenVBand="1" w:oddHBand="0" w:evenHBand="0" w:firstRowFirstColumn="0" w:firstRowLastColumn="0" w:lastRowFirstColumn="0" w:lastRowLastColumn="0"/>
            <w:tcW w:w="1304" w:type="dxa"/>
          </w:tcPr>
          <w:p w14:paraId="2AA62B05" w14:textId="77777777" w:rsidR="009169E8" w:rsidRPr="002E3284" w:rsidRDefault="009169E8" w:rsidP="00430CD7">
            <w:pPr>
              <w:pStyle w:val="Tabletext"/>
              <w:rPr>
                <w:b/>
              </w:rPr>
            </w:pPr>
            <w:r w:rsidRPr="002E3284">
              <w:rPr>
                <w:b/>
              </w:rPr>
              <w:t>0</w:t>
            </w:r>
          </w:p>
        </w:tc>
        <w:tc>
          <w:tcPr>
            <w:cnfStyle w:val="000010000000" w:firstRow="0" w:lastRow="0" w:firstColumn="0" w:lastColumn="0" w:oddVBand="1" w:evenVBand="0" w:oddHBand="0" w:evenHBand="0" w:firstRowFirstColumn="0" w:firstRowLastColumn="0" w:lastRowFirstColumn="0" w:lastRowLastColumn="0"/>
            <w:tcW w:w="1304" w:type="dxa"/>
          </w:tcPr>
          <w:p w14:paraId="43CD1A16" w14:textId="77777777" w:rsidR="009169E8" w:rsidRPr="002E3284" w:rsidRDefault="009169E8" w:rsidP="00430CD7">
            <w:pPr>
              <w:pStyle w:val="Tabletext"/>
              <w:rPr>
                <w:b/>
              </w:rPr>
            </w:pPr>
            <w:r w:rsidRPr="002E3284">
              <w:rPr>
                <w:b/>
              </w:rPr>
              <w:t>18</w:t>
            </w:r>
          </w:p>
        </w:tc>
        <w:tc>
          <w:tcPr>
            <w:cnfStyle w:val="000001000000" w:firstRow="0" w:lastRow="0" w:firstColumn="0" w:lastColumn="0" w:oddVBand="0" w:evenVBand="1" w:oddHBand="0" w:evenHBand="0" w:firstRowFirstColumn="0" w:firstRowLastColumn="0" w:lastRowFirstColumn="0" w:lastRowLastColumn="0"/>
            <w:tcW w:w="1304" w:type="dxa"/>
          </w:tcPr>
          <w:p w14:paraId="2E6E8B78" w14:textId="77777777" w:rsidR="009169E8" w:rsidRPr="002E3284" w:rsidRDefault="009169E8" w:rsidP="00430CD7">
            <w:pPr>
              <w:pStyle w:val="Tabletext"/>
              <w:rPr>
                <w:b/>
              </w:rPr>
            </w:pPr>
            <w:r w:rsidRPr="002E3284">
              <w:rPr>
                <w:b/>
              </w:rPr>
              <w:t>31</w:t>
            </w:r>
          </w:p>
        </w:tc>
      </w:tr>
      <w:tr w:rsidR="009169E8" w14:paraId="51E0DCBD"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4E4AC427" w14:textId="77777777" w:rsidR="009169E8" w:rsidRPr="00430CD7" w:rsidRDefault="009169E8" w:rsidP="00430CD7">
            <w:pPr>
              <w:pStyle w:val="Tabletext"/>
            </w:pPr>
            <w:r w:rsidRPr="00430CD7">
              <w:t>Aspiration</w:t>
            </w:r>
          </w:p>
        </w:tc>
        <w:tc>
          <w:tcPr>
            <w:cnfStyle w:val="000001000000" w:firstRow="0" w:lastRow="0" w:firstColumn="0" w:lastColumn="0" w:oddVBand="0" w:evenVBand="1" w:oddHBand="0" w:evenHBand="0" w:firstRowFirstColumn="0" w:firstRowLastColumn="0" w:lastRowFirstColumn="0" w:lastRowLastColumn="0"/>
            <w:tcW w:w="1304" w:type="dxa"/>
          </w:tcPr>
          <w:p w14:paraId="2553E94E"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1F2A26B6" w14:textId="77777777" w:rsidR="009169E8" w:rsidRPr="00430CD7" w:rsidRDefault="009169E8" w:rsidP="00430CD7">
            <w:pPr>
              <w:pStyle w:val="Tabletext"/>
            </w:pPr>
            <w:r w:rsidRPr="00430CD7">
              <w:t>4</w:t>
            </w:r>
          </w:p>
        </w:tc>
        <w:tc>
          <w:tcPr>
            <w:cnfStyle w:val="000001000000" w:firstRow="0" w:lastRow="0" w:firstColumn="0" w:lastColumn="0" w:oddVBand="0" w:evenVBand="1" w:oddHBand="0" w:evenHBand="0" w:firstRowFirstColumn="0" w:firstRowLastColumn="0" w:lastRowFirstColumn="0" w:lastRowLastColumn="0"/>
            <w:tcW w:w="1304" w:type="dxa"/>
          </w:tcPr>
          <w:p w14:paraId="2F1BD1A2"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5946128F"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7042E890" w14:textId="77777777" w:rsidR="009169E8" w:rsidRPr="00430CD7" w:rsidRDefault="009169E8" w:rsidP="00430CD7">
            <w:pPr>
              <w:pStyle w:val="Tabletext"/>
            </w:pPr>
            <w:r w:rsidRPr="00430CD7">
              <w:t>6</w:t>
            </w:r>
          </w:p>
        </w:tc>
      </w:tr>
      <w:tr w:rsidR="009169E8" w14:paraId="32C78750"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3A812563" w14:textId="77777777" w:rsidR="009169E8" w:rsidRPr="00430CD7" w:rsidRDefault="009169E8" w:rsidP="00430CD7">
            <w:pPr>
              <w:pStyle w:val="Tabletext"/>
            </w:pPr>
            <w:r w:rsidRPr="00430CD7">
              <w:lastRenderedPageBreak/>
              <w:t>Hypoventilation</w:t>
            </w:r>
          </w:p>
        </w:tc>
        <w:tc>
          <w:tcPr>
            <w:cnfStyle w:val="000001000000" w:firstRow="0" w:lastRow="0" w:firstColumn="0" w:lastColumn="0" w:oddVBand="0" w:evenVBand="1" w:oddHBand="0" w:evenHBand="0" w:firstRowFirstColumn="0" w:firstRowLastColumn="0" w:lastRowFirstColumn="0" w:lastRowLastColumn="0"/>
            <w:tcW w:w="1304" w:type="dxa"/>
          </w:tcPr>
          <w:p w14:paraId="078421EE"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73166E91"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3E9C98FA"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18A582AB"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2092976A" w14:textId="77777777" w:rsidR="009169E8" w:rsidRPr="00430CD7" w:rsidRDefault="009169E8" w:rsidP="00430CD7">
            <w:pPr>
              <w:pStyle w:val="Tabletext"/>
            </w:pPr>
            <w:r w:rsidRPr="00430CD7">
              <w:t>1</w:t>
            </w:r>
          </w:p>
        </w:tc>
      </w:tr>
      <w:tr w:rsidR="009169E8" w14:paraId="38AFEB0E"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2B9EDEAE" w14:textId="77777777" w:rsidR="009169E8" w:rsidRPr="00430CD7" w:rsidRDefault="009169E8" w:rsidP="00430CD7">
            <w:pPr>
              <w:pStyle w:val="Tabletext"/>
            </w:pPr>
            <w:r w:rsidRPr="00430CD7">
              <w:t>Hypoxia</w:t>
            </w:r>
          </w:p>
        </w:tc>
        <w:tc>
          <w:tcPr>
            <w:cnfStyle w:val="000001000000" w:firstRow="0" w:lastRow="0" w:firstColumn="0" w:lastColumn="0" w:oddVBand="0" w:evenVBand="1" w:oddHBand="0" w:evenHBand="0" w:firstRowFirstColumn="0" w:firstRowLastColumn="0" w:lastRowFirstColumn="0" w:lastRowLastColumn="0"/>
            <w:tcW w:w="1304" w:type="dxa"/>
          </w:tcPr>
          <w:p w14:paraId="08D19228"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6AE0ACF2"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4857A465"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654A807E" w14:textId="77777777" w:rsidR="009169E8" w:rsidRPr="00430CD7" w:rsidRDefault="009169E8" w:rsidP="00430CD7">
            <w:pPr>
              <w:pStyle w:val="Tabletext"/>
            </w:pPr>
            <w:r w:rsidRPr="00430CD7">
              <w:t>4</w:t>
            </w:r>
          </w:p>
        </w:tc>
        <w:tc>
          <w:tcPr>
            <w:cnfStyle w:val="000001000000" w:firstRow="0" w:lastRow="0" w:firstColumn="0" w:lastColumn="0" w:oddVBand="0" w:evenVBand="1" w:oddHBand="0" w:evenHBand="0" w:firstRowFirstColumn="0" w:firstRowLastColumn="0" w:lastRowFirstColumn="0" w:lastRowLastColumn="0"/>
            <w:tcW w:w="1304" w:type="dxa"/>
          </w:tcPr>
          <w:p w14:paraId="76305EC0" w14:textId="77777777" w:rsidR="009169E8" w:rsidRPr="00430CD7" w:rsidRDefault="009169E8" w:rsidP="00430CD7">
            <w:pPr>
              <w:pStyle w:val="Tabletext"/>
            </w:pPr>
            <w:r w:rsidRPr="00430CD7">
              <w:t>5</w:t>
            </w:r>
          </w:p>
        </w:tc>
      </w:tr>
      <w:tr w:rsidR="009169E8" w14:paraId="4E8779A6"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4FD942F0" w14:textId="77777777" w:rsidR="009169E8" w:rsidRPr="00430CD7" w:rsidRDefault="009169E8" w:rsidP="00430CD7">
            <w:pPr>
              <w:pStyle w:val="Tabletext"/>
            </w:pPr>
            <w:r w:rsidRPr="00430CD7">
              <w:t>Pneumothorax</w:t>
            </w:r>
          </w:p>
        </w:tc>
        <w:tc>
          <w:tcPr>
            <w:cnfStyle w:val="000001000000" w:firstRow="0" w:lastRow="0" w:firstColumn="0" w:lastColumn="0" w:oddVBand="0" w:evenVBand="1" w:oddHBand="0" w:evenHBand="0" w:firstRowFirstColumn="0" w:firstRowLastColumn="0" w:lastRowFirstColumn="0" w:lastRowLastColumn="0"/>
            <w:tcW w:w="1304" w:type="dxa"/>
          </w:tcPr>
          <w:p w14:paraId="5CE9DCA2"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12C21ED4"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3C2554AD"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7F2E4A62"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2DE89421" w14:textId="77777777" w:rsidR="009169E8" w:rsidRPr="00430CD7" w:rsidRDefault="009169E8" w:rsidP="00430CD7">
            <w:pPr>
              <w:pStyle w:val="Tabletext"/>
            </w:pPr>
            <w:r w:rsidRPr="00430CD7">
              <w:t>1</w:t>
            </w:r>
          </w:p>
        </w:tc>
      </w:tr>
      <w:tr w:rsidR="009169E8" w14:paraId="2297DE9A"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3E52AFF8" w14:textId="77777777" w:rsidR="009169E8" w:rsidRPr="00430CD7" w:rsidRDefault="009169E8" w:rsidP="00430CD7">
            <w:pPr>
              <w:pStyle w:val="Tabletext"/>
            </w:pPr>
            <w:r w:rsidRPr="00430CD7">
              <w:t>Pulmonary oedema</w:t>
            </w:r>
          </w:p>
        </w:tc>
        <w:tc>
          <w:tcPr>
            <w:cnfStyle w:val="000001000000" w:firstRow="0" w:lastRow="0" w:firstColumn="0" w:lastColumn="0" w:oddVBand="0" w:evenVBand="1" w:oddHBand="0" w:evenHBand="0" w:firstRowFirstColumn="0" w:firstRowLastColumn="0" w:lastRowFirstColumn="0" w:lastRowLastColumn="0"/>
            <w:tcW w:w="1304" w:type="dxa"/>
          </w:tcPr>
          <w:p w14:paraId="05358EB2"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72AFEEB8"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6266018D"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7E567009"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55150619" w14:textId="77777777" w:rsidR="009169E8" w:rsidRPr="00430CD7" w:rsidRDefault="009169E8" w:rsidP="00430CD7">
            <w:pPr>
              <w:pStyle w:val="Tabletext"/>
            </w:pPr>
            <w:r w:rsidRPr="00430CD7">
              <w:t>2</w:t>
            </w:r>
          </w:p>
        </w:tc>
      </w:tr>
      <w:tr w:rsidR="009169E8" w14:paraId="701FC677"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3743748A" w14:textId="77777777" w:rsidR="009169E8" w:rsidRPr="00430CD7" w:rsidRDefault="009169E8" w:rsidP="00430CD7">
            <w:pPr>
              <w:pStyle w:val="Tabletext"/>
            </w:pPr>
            <w:r w:rsidRPr="00430CD7">
              <w:t>Unplanned postoperative ventilation</w:t>
            </w:r>
          </w:p>
        </w:tc>
        <w:tc>
          <w:tcPr>
            <w:cnfStyle w:val="000001000000" w:firstRow="0" w:lastRow="0" w:firstColumn="0" w:lastColumn="0" w:oddVBand="0" w:evenVBand="1" w:oddHBand="0" w:evenHBand="0" w:firstRowFirstColumn="0" w:firstRowLastColumn="0" w:lastRowFirstColumn="0" w:lastRowLastColumn="0"/>
            <w:tcW w:w="1304" w:type="dxa"/>
          </w:tcPr>
          <w:p w14:paraId="31DAAD9F"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2D437E49" w14:textId="77777777" w:rsidR="009169E8" w:rsidRPr="00430CD7" w:rsidRDefault="009169E8" w:rsidP="00430CD7">
            <w:pPr>
              <w:pStyle w:val="Tabletext"/>
            </w:pPr>
            <w:r w:rsidRPr="00430CD7">
              <w:t>1</w:t>
            </w:r>
          </w:p>
        </w:tc>
        <w:tc>
          <w:tcPr>
            <w:cnfStyle w:val="000001000000" w:firstRow="0" w:lastRow="0" w:firstColumn="0" w:lastColumn="0" w:oddVBand="0" w:evenVBand="1" w:oddHBand="0" w:evenHBand="0" w:firstRowFirstColumn="0" w:firstRowLastColumn="0" w:lastRowFirstColumn="0" w:lastRowLastColumn="0"/>
            <w:tcW w:w="1304" w:type="dxa"/>
          </w:tcPr>
          <w:p w14:paraId="115081FA"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589703EC" w14:textId="77777777" w:rsidR="009169E8" w:rsidRPr="00430CD7" w:rsidRDefault="009169E8" w:rsidP="00430CD7">
            <w:pPr>
              <w:pStyle w:val="Tabletext"/>
            </w:pPr>
            <w:r w:rsidRPr="00430CD7">
              <w:t>0</w:t>
            </w:r>
          </w:p>
        </w:tc>
        <w:tc>
          <w:tcPr>
            <w:cnfStyle w:val="000001000000" w:firstRow="0" w:lastRow="0" w:firstColumn="0" w:lastColumn="0" w:oddVBand="0" w:evenVBand="1" w:oddHBand="0" w:evenHBand="0" w:firstRowFirstColumn="0" w:firstRowLastColumn="0" w:lastRowFirstColumn="0" w:lastRowLastColumn="0"/>
            <w:tcW w:w="1304" w:type="dxa"/>
          </w:tcPr>
          <w:p w14:paraId="347E661A" w14:textId="77777777" w:rsidR="009169E8" w:rsidRPr="00430CD7" w:rsidRDefault="009169E8" w:rsidP="00430CD7">
            <w:pPr>
              <w:pStyle w:val="Tabletext"/>
            </w:pPr>
            <w:r w:rsidRPr="00430CD7">
              <w:t>1</w:t>
            </w:r>
          </w:p>
        </w:tc>
      </w:tr>
      <w:tr w:rsidR="009169E8" w14:paraId="4C39564C" w14:textId="77777777" w:rsidTr="00430CD7">
        <w:trPr>
          <w:trHeight w:val="113"/>
        </w:trPr>
        <w:tc>
          <w:tcPr>
            <w:cnfStyle w:val="000010000000" w:firstRow="0" w:lastRow="0" w:firstColumn="0" w:lastColumn="0" w:oddVBand="1" w:evenVBand="0" w:oddHBand="0" w:evenHBand="0" w:firstRowFirstColumn="0" w:firstRowLastColumn="0" w:lastRowFirstColumn="0" w:lastRowLastColumn="0"/>
            <w:tcW w:w="3685" w:type="dxa"/>
          </w:tcPr>
          <w:p w14:paraId="0E0DA6F7" w14:textId="77777777" w:rsidR="009169E8" w:rsidRPr="00430CD7" w:rsidRDefault="009169E8" w:rsidP="00430CD7">
            <w:pPr>
              <w:pStyle w:val="Tabletext"/>
            </w:pPr>
            <w:r w:rsidRPr="00430CD7">
              <w:t>Other</w:t>
            </w:r>
          </w:p>
        </w:tc>
        <w:tc>
          <w:tcPr>
            <w:cnfStyle w:val="000001000000" w:firstRow="0" w:lastRow="0" w:firstColumn="0" w:lastColumn="0" w:oddVBand="0" w:evenVBand="1" w:oddHBand="0" w:evenHBand="0" w:firstRowFirstColumn="0" w:firstRowLastColumn="0" w:lastRowFirstColumn="0" w:lastRowLastColumn="0"/>
            <w:tcW w:w="1304" w:type="dxa"/>
          </w:tcPr>
          <w:p w14:paraId="3CCAFC37" w14:textId="77777777" w:rsidR="009169E8" w:rsidRPr="00430CD7" w:rsidRDefault="009169E8" w:rsidP="00430CD7">
            <w:pPr>
              <w:pStyle w:val="Tabletext"/>
            </w:pPr>
            <w:r w:rsidRPr="00430CD7">
              <w:t>1</w:t>
            </w:r>
          </w:p>
        </w:tc>
        <w:tc>
          <w:tcPr>
            <w:cnfStyle w:val="000010000000" w:firstRow="0" w:lastRow="0" w:firstColumn="0" w:lastColumn="0" w:oddVBand="1" w:evenVBand="0" w:oddHBand="0" w:evenHBand="0" w:firstRowFirstColumn="0" w:firstRowLastColumn="0" w:lastRowFirstColumn="0" w:lastRowLastColumn="0"/>
            <w:tcW w:w="1304" w:type="dxa"/>
          </w:tcPr>
          <w:p w14:paraId="523AA372" w14:textId="77777777" w:rsidR="009169E8" w:rsidRPr="00430CD7" w:rsidRDefault="009169E8" w:rsidP="00430CD7">
            <w:pPr>
              <w:pStyle w:val="Tabletext"/>
            </w:pPr>
            <w:r w:rsidRPr="00430CD7">
              <w:t>2</w:t>
            </w:r>
          </w:p>
        </w:tc>
        <w:tc>
          <w:tcPr>
            <w:cnfStyle w:val="000001000000" w:firstRow="0" w:lastRow="0" w:firstColumn="0" w:lastColumn="0" w:oddVBand="0" w:evenVBand="1" w:oddHBand="0" w:evenHBand="0" w:firstRowFirstColumn="0" w:firstRowLastColumn="0" w:lastRowFirstColumn="0" w:lastRowLastColumn="0"/>
            <w:tcW w:w="1304" w:type="dxa"/>
          </w:tcPr>
          <w:p w14:paraId="2E9D219C" w14:textId="77777777" w:rsidR="009169E8" w:rsidRPr="00430CD7" w:rsidRDefault="009169E8" w:rsidP="00430CD7">
            <w:pPr>
              <w:pStyle w:val="Tabletext"/>
            </w:pPr>
            <w:r w:rsidRPr="00430CD7">
              <w:t>0</w:t>
            </w:r>
          </w:p>
        </w:tc>
        <w:tc>
          <w:tcPr>
            <w:cnfStyle w:val="000010000000" w:firstRow="0" w:lastRow="0" w:firstColumn="0" w:lastColumn="0" w:oddVBand="1" w:evenVBand="0" w:oddHBand="0" w:evenHBand="0" w:firstRowFirstColumn="0" w:firstRowLastColumn="0" w:lastRowFirstColumn="0" w:lastRowLastColumn="0"/>
            <w:tcW w:w="1304" w:type="dxa"/>
          </w:tcPr>
          <w:p w14:paraId="5D1F254D" w14:textId="77777777" w:rsidR="009169E8" w:rsidRPr="00430CD7" w:rsidRDefault="009169E8" w:rsidP="00430CD7">
            <w:pPr>
              <w:pStyle w:val="Tabletext"/>
            </w:pPr>
            <w:r w:rsidRPr="00430CD7">
              <w:t>12</w:t>
            </w:r>
          </w:p>
        </w:tc>
        <w:tc>
          <w:tcPr>
            <w:cnfStyle w:val="000001000000" w:firstRow="0" w:lastRow="0" w:firstColumn="0" w:lastColumn="0" w:oddVBand="0" w:evenVBand="1" w:oddHBand="0" w:evenHBand="0" w:firstRowFirstColumn="0" w:firstRowLastColumn="0" w:lastRowFirstColumn="0" w:lastRowLastColumn="0"/>
            <w:tcW w:w="1304" w:type="dxa"/>
          </w:tcPr>
          <w:p w14:paraId="0EE6EDB1" w14:textId="77777777" w:rsidR="009169E8" w:rsidRPr="00430CD7" w:rsidRDefault="009169E8" w:rsidP="00430CD7">
            <w:pPr>
              <w:pStyle w:val="Tabletext"/>
            </w:pPr>
            <w:r w:rsidRPr="00430CD7">
              <w:t>15</w:t>
            </w:r>
          </w:p>
        </w:tc>
      </w:tr>
      <w:tr w:rsidR="009169E8" w14:paraId="5590201D" w14:textId="77777777" w:rsidTr="00430CD7">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685" w:type="dxa"/>
          </w:tcPr>
          <w:p w14:paraId="4EB087E3" w14:textId="77777777" w:rsidR="009169E8" w:rsidRPr="002E3284" w:rsidRDefault="009169E8" w:rsidP="00430CD7">
            <w:pPr>
              <w:pStyle w:val="Tabletext"/>
              <w:rPr>
                <w:b/>
              </w:rPr>
            </w:pPr>
            <w:r w:rsidRPr="002E3284">
              <w:rPr>
                <w:b/>
              </w:rPr>
              <w:t>Total</w:t>
            </w:r>
          </w:p>
        </w:tc>
        <w:tc>
          <w:tcPr>
            <w:cnfStyle w:val="000001000000" w:firstRow="0" w:lastRow="0" w:firstColumn="0" w:lastColumn="0" w:oddVBand="0" w:evenVBand="1" w:oddHBand="0" w:evenHBand="0" w:firstRowFirstColumn="0" w:firstRowLastColumn="0" w:lastRowFirstColumn="0" w:lastRowLastColumn="0"/>
            <w:tcW w:w="1304" w:type="dxa"/>
          </w:tcPr>
          <w:p w14:paraId="6559E6FB" w14:textId="77777777" w:rsidR="009169E8" w:rsidRPr="002E3284" w:rsidRDefault="009169E8" w:rsidP="00430CD7">
            <w:pPr>
              <w:pStyle w:val="Tabletext"/>
              <w:rPr>
                <w:b/>
              </w:rPr>
            </w:pPr>
            <w:r w:rsidRPr="002E3284">
              <w:rPr>
                <w:b/>
              </w:rPr>
              <w:t>52</w:t>
            </w:r>
          </w:p>
        </w:tc>
        <w:tc>
          <w:tcPr>
            <w:cnfStyle w:val="000010000000" w:firstRow="0" w:lastRow="0" w:firstColumn="0" w:lastColumn="0" w:oddVBand="1" w:evenVBand="0" w:oddHBand="0" w:evenHBand="0" w:firstRowFirstColumn="0" w:firstRowLastColumn="0" w:lastRowFirstColumn="0" w:lastRowLastColumn="0"/>
            <w:tcW w:w="1304" w:type="dxa"/>
          </w:tcPr>
          <w:p w14:paraId="44FF0B04" w14:textId="77777777" w:rsidR="009169E8" w:rsidRPr="002E3284" w:rsidRDefault="009169E8" w:rsidP="00430CD7">
            <w:pPr>
              <w:pStyle w:val="Tabletext"/>
              <w:rPr>
                <w:b/>
              </w:rPr>
            </w:pPr>
            <w:r w:rsidRPr="002E3284">
              <w:rPr>
                <w:b/>
              </w:rPr>
              <w:t>58</w:t>
            </w:r>
          </w:p>
        </w:tc>
        <w:tc>
          <w:tcPr>
            <w:cnfStyle w:val="000001000000" w:firstRow="0" w:lastRow="0" w:firstColumn="0" w:lastColumn="0" w:oddVBand="0" w:evenVBand="1" w:oddHBand="0" w:evenHBand="0" w:firstRowFirstColumn="0" w:firstRowLastColumn="0" w:lastRowFirstColumn="0" w:lastRowLastColumn="0"/>
            <w:tcW w:w="1304" w:type="dxa"/>
          </w:tcPr>
          <w:p w14:paraId="07567E82" w14:textId="77777777" w:rsidR="009169E8" w:rsidRPr="002E3284" w:rsidRDefault="009169E8" w:rsidP="00430CD7">
            <w:pPr>
              <w:pStyle w:val="Tabletext"/>
              <w:rPr>
                <w:b/>
              </w:rPr>
            </w:pPr>
            <w:r w:rsidRPr="002E3284">
              <w:rPr>
                <w:b/>
              </w:rPr>
              <w:t>5</w:t>
            </w:r>
          </w:p>
        </w:tc>
        <w:tc>
          <w:tcPr>
            <w:cnfStyle w:val="000010000000" w:firstRow="0" w:lastRow="0" w:firstColumn="0" w:lastColumn="0" w:oddVBand="1" w:evenVBand="0" w:oddHBand="0" w:evenHBand="0" w:firstRowFirstColumn="0" w:firstRowLastColumn="0" w:lastRowFirstColumn="0" w:lastRowLastColumn="0"/>
            <w:tcW w:w="1304" w:type="dxa"/>
          </w:tcPr>
          <w:p w14:paraId="1C4003D7" w14:textId="77777777" w:rsidR="009169E8" w:rsidRPr="002E3284" w:rsidRDefault="009169E8" w:rsidP="00430CD7">
            <w:pPr>
              <w:pStyle w:val="Tabletext"/>
              <w:rPr>
                <w:b/>
              </w:rPr>
            </w:pPr>
            <w:r w:rsidRPr="002E3284">
              <w:rPr>
                <w:b/>
              </w:rPr>
              <w:t>123</w:t>
            </w:r>
          </w:p>
        </w:tc>
        <w:tc>
          <w:tcPr>
            <w:cnfStyle w:val="000001000000" w:firstRow="0" w:lastRow="0" w:firstColumn="0" w:lastColumn="0" w:oddVBand="0" w:evenVBand="1" w:oddHBand="0" w:evenHBand="0" w:firstRowFirstColumn="0" w:firstRowLastColumn="0" w:lastRowFirstColumn="0" w:lastRowLastColumn="0"/>
            <w:tcW w:w="1304" w:type="dxa"/>
          </w:tcPr>
          <w:p w14:paraId="5EE014F0" w14:textId="77777777" w:rsidR="009169E8" w:rsidRPr="002E3284" w:rsidRDefault="009169E8" w:rsidP="00430CD7">
            <w:pPr>
              <w:pStyle w:val="Tabletext"/>
              <w:rPr>
                <w:b/>
              </w:rPr>
            </w:pPr>
            <w:r w:rsidRPr="002E3284">
              <w:rPr>
                <w:b/>
              </w:rPr>
              <w:t>238</w:t>
            </w:r>
          </w:p>
        </w:tc>
      </w:tr>
    </w:tbl>
    <w:p w14:paraId="234E7AC0" w14:textId="77777777" w:rsidR="009169E8" w:rsidRDefault="009169E8" w:rsidP="000104F5">
      <w:pPr>
        <w:pStyle w:val="Heading1"/>
      </w:pPr>
      <w:bookmarkStart w:id="27" w:name="_Toc20234296"/>
      <w:r>
        <w:lastRenderedPageBreak/>
        <w:t>Appendix 1: Council definitions of anaesthesia mortality and morbidity</w:t>
      </w:r>
      <w:bookmarkEnd w:id="27"/>
    </w:p>
    <w:p w14:paraId="50113EA3" w14:textId="77777777" w:rsidR="009169E8" w:rsidRDefault="009169E8" w:rsidP="000A4644">
      <w:pPr>
        <w:pStyle w:val="Heading2"/>
      </w:pPr>
      <w:r>
        <w:t>ANAESTHESIA-RELATED MORTALITY</w:t>
      </w:r>
    </w:p>
    <w:p w14:paraId="409CDCCA" w14:textId="24D95899" w:rsidR="009169E8" w:rsidRDefault="009169E8" w:rsidP="008E28A3">
      <w:pPr>
        <w:pStyle w:val="DHHSbody"/>
      </w:pPr>
      <w:r>
        <w:t>The council defines ‘anaesthesia-related mortality’ as one of the following:</w:t>
      </w:r>
    </w:p>
    <w:p w14:paraId="5CCF0899" w14:textId="41289BE8" w:rsidR="009169E8" w:rsidRDefault="009169E8" w:rsidP="00E961B4">
      <w:pPr>
        <w:pStyle w:val="Bullet1"/>
      </w:pPr>
      <w:r>
        <w:t>a death that occurs during an operation or procedure (or within 24 hours of its completion) performed with the assistance of sedative, analgesic, local or general anaesthetic drugs or any combination of these</w:t>
      </w:r>
    </w:p>
    <w:p w14:paraId="0D89BFE9" w14:textId="4DF1E135" w:rsidR="009169E8" w:rsidRDefault="009169E8" w:rsidP="00BB165F">
      <w:pPr>
        <w:pStyle w:val="Bullet1"/>
      </w:pPr>
      <w:r>
        <w:t>a death that may result (either partially or totally) from an incident during or after such an operation or procedure, even if more than 24 hours have elapsed since its completion.</w:t>
      </w:r>
    </w:p>
    <w:p w14:paraId="7893F774" w14:textId="77777777" w:rsidR="009169E8" w:rsidRDefault="009169E8" w:rsidP="008E28A3">
      <w:pPr>
        <w:pStyle w:val="DHHSbody"/>
      </w:pPr>
      <w:r>
        <w:t xml:space="preserve">In the event of an anaesthesia-related death, the following information should be forwarded to the VCCAMM within 28 days of the death: </w:t>
      </w:r>
    </w:p>
    <w:p w14:paraId="5F89049D" w14:textId="5359847F" w:rsidR="009169E8" w:rsidRDefault="009169E8" w:rsidP="00E961B4">
      <w:pPr>
        <w:pStyle w:val="Bullet1"/>
      </w:pPr>
      <w:r>
        <w:t xml:space="preserve">the anaesthesia </w:t>
      </w:r>
      <w:proofErr w:type="gramStart"/>
      <w:r>
        <w:t>record</w:t>
      </w:r>
      <w:proofErr w:type="gramEnd"/>
    </w:p>
    <w:p w14:paraId="2682F565" w14:textId="2C3CD89A" w:rsidR="009169E8" w:rsidRDefault="009169E8" w:rsidP="00E961B4">
      <w:pPr>
        <w:pStyle w:val="Bullet1"/>
      </w:pPr>
      <w:r>
        <w:t>the preoperative assessment, including medical comorbidities, previous surgical history, current medications, investigations, airway or other anaesthesia issues</w:t>
      </w:r>
    </w:p>
    <w:p w14:paraId="090CEEEC" w14:textId="354E44F7" w:rsidR="009169E8" w:rsidRDefault="009169E8" w:rsidP="00E961B4">
      <w:pPr>
        <w:pStyle w:val="Bullet1"/>
      </w:pPr>
      <w:r>
        <w:t>the operation or procedure report</w:t>
      </w:r>
    </w:p>
    <w:p w14:paraId="5036954C" w14:textId="4305B094" w:rsidR="009169E8" w:rsidRDefault="009169E8" w:rsidP="00E961B4">
      <w:pPr>
        <w:pStyle w:val="Bullet1"/>
      </w:pPr>
      <w:r>
        <w:t>a summary of postoperative events, including the intensive care unit or high-dependency unit if relevant</w:t>
      </w:r>
    </w:p>
    <w:p w14:paraId="590A5BF9" w14:textId="16B89A57" w:rsidR="009169E8" w:rsidRDefault="009169E8" w:rsidP="00E961B4">
      <w:pPr>
        <w:pStyle w:val="Bullet1"/>
      </w:pPr>
      <w:r>
        <w:t>any relevant postoperative investigations</w:t>
      </w:r>
    </w:p>
    <w:p w14:paraId="7D7757B7" w14:textId="4C5407B7" w:rsidR="009169E8" w:rsidRDefault="009169E8" w:rsidP="00E961B4">
      <w:pPr>
        <w:pStyle w:val="Bullet1"/>
      </w:pPr>
      <w:r>
        <w:t xml:space="preserve">a copy of the </w:t>
      </w:r>
      <w:proofErr w:type="spellStart"/>
      <w:r>
        <w:t>eMedical</w:t>
      </w:r>
      <w:proofErr w:type="spellEnd"/>
      <w:r>
        <w:t xml:space="preserve"> deposition to the coroner if applicable</w:t>
      </w:r>
    </w:p>
    <w:p w14:paraId="666CF5C6" w14:textId="4EB8CB2D" w:rsidR="009169E8" w:rsidRDefault="009169E8" w:rsidP="00BB165F">
      <w:pPr>
        <w:pStyle w:val="Bullet1"/>
      </w:pPr>
      <w:r>
        <w:t>other relevant data and/or documents including age, gender, ASA-P classification, elective or emergency status, location of the event leading to death, and the location of death.</w:t>
      </w:r>
    </w:p>
    <w:p w14:paraId="72EFEC68" w14:textId="77777777" w:rsidR="009169E8" w:rsidRDefault="009169E8" w:rsidP="000A4644">
      <w:pPr>
        <w:pStyle w:val="Heading2"/>
      </w:pPr>
      <w:r>
        <w:t>ANAESTHESIA-RELATED MORBIDITY</w:t>
      </w:r>
    </w:p>
    <w:p w14:paraId="794D39B4" w14:textId="22575311" w:rsidR="009169E8" w:rsidRDefault="009169E8" w:rsidP="008E28A3">
      <w:pPr>
        <w:pStyle w:val="DHHSbody"/>
      </w:pPr>
      <w:r>
        <w:t>The council defines ‘anaesthesia-related morbidity’ as any event related to an anaesthetic procedure that causes a life-threatening incident, temporary or permanent disability, or significant distress. Morbidity is categorised as ‘major’ or ‘minor’ according to its severity or outcome.</w:t>
      </w:r>
    </w:p>
    <w:p w14:paraId="22ABAC33" w14:textId="0B1A853A" w:rsidR="009169E8" w:rsidRDefault="009169E8" w:rsidP="008E28A3">
      <w:pPr>
        <w:pStyle w:val="DHHSbody"/>
      </w:pPr>
      <w:r>
        <w:t>In the event of an anaesthesia-related morbidity, the following information should be forwarded to the VCCAMM within 28 days of the adverse event:</w:t>
      </w:r>
    </w:p>
    <w:p w14:paraId="2EF9D31B" w14:textId="1375B194" w:rsidR="009169E8" w:rsidRDefault="009169E8" w:rsidP="00E961B4">
      <w:pPr>
        <w:pStyle w:val="Bullet1"/>
      </w:pPr>
      <w:r>
        <w:t xml:space="preserve">the anaesthesia </w:t>
      </w:r>
      <w:proofErr w:type="gramStart"/>
      <w:r>
        <w:t>record</w:t>
      </w:r>
      <w:proofErr w:type="gramEnd"/>
    </w:p>
    <w:p w14:paraId="41247D96" w14:textId="252A3463" w:rsidR="009169E8" w:rsidRDefault="009169E8" w:rsidP="00E961B4">
      <w:pPr>
        <w:pStyle w:val="Bullet1"/>
      </w:pPr>
      <w:r>
        <w:t>the preoperative assessment, including medical comorbidities, previous surgical history, current medications, investigations, airway or other anaesthesia issues</w:t>
      </w:r>
    </w:p>
    <w:p w14:paraId="2FF2C7F9" w14:textId="5F288797" w:rsidR="009169E8" w:rsidRDefault="009169E8" w:rsidP="00E961B4">
      <w:pPr>
        <w:pStyle w:val="Bullet1"/>
      </w:pPr>
      <w:r>
        <w:t>the operation or procedure report</w:t>
      </w:r>
    </w:p>
    <w:p w14:paraId="0FEE6531" w14:textId="17AC4371" w:rsidR="009169E8" w:rsidRDefault="009169E8" w:rsidP="00E961B4">
      <w:pPr>
        <w:pStyle w:val="Bullet1"/>
      </w:pPr>
      <w:r>
        <w:t>a summary of postoperative events, including the intensive care unit or high-dependency unit if relevant</w:t>
      </w:r>
    </w:p>
    <w:p w14:paraId="47ACB216" w14:textId="30E68C97" w:rsidR="009169E8" w:rsidRDefault="009169E8" w:rsidP="00E961B4">
      <w:pPr>
        <w:pStyle w:val="Bullet1"/>
      </w:pPr>
      <w:r>
        <w:t>any relevant postoperative investigations</w:t>
      </w:r>
    </w:p>
    <w:p w14:paraId="4738D30E" w14:textId="46A3FD93" w:rsidR="009169E8" w:rsidRDefault="009169E8" w:rsidP="00E961B4">
      <w:pPr>
        <w:pStyle w:val="Bullet1"/>
      </w:pPr>
      <w:r>
        <w:t>details of the clinical outcome from the adverse event</w:t>
      </w:r>
    </w:p>
    <w:p w14:paraId="719EC568" w14:textId="65C62802" w:rsidR="009169E8" w:rsidRDefault="009169E8" w:rsidP="008E28A3">
      <w:pPr>
        <w:pStyle w:val="Bullet1"/>
      </w:pPr>
      <w:r>
        <w:t>any other relevant data and/or documents, including age, gender, ASA-P classification, elective or emergency status, and the location of the event.</w:t>
      </w:r>
    </w:p>
    <w:p w14:paraId="73082B7A" w14:textId="77777777" w:rsidR="009169E8" w:rsidRDefault="009169E8" w:rsidP="000104F5">
      <w:pPr>
        <w:pStyle w:val="Heading1"/>
      </w:pPr>
      <w:bookmarkStart w:id="28" w:name="_Toc20234297"/>
      <w:r>
        <w:lastRenderedPageBreak/>
        <w:t>Appendix 2: Classification tools and definitions</w:t>
      </w:r>
      <w:bookmarkEnd w:id="28"/>
    </w:p>
    <w:p w14:paraId="068AE61F" w14:textId="77777777" w:rsidR="009169E8" w:rsidRDefault="009169E8" w:rsidP="000A4644">
      <w:pPr>
        <w:pStyle w:val="Heading2"/>
      </w:pPr>
      <w:r>
        <w:t>CATEGORIES OF MORTALITY AND MORBIDITY</w:t>
      </w:r>
    </w:p>
    <w:p w14:paraId="19AAF474" w14:textId="77777777" w:rsidR="009169E8" w:rsidRDefault="009169E8" w:rsidP="00BB165F">
      <w:pPr>
        <w:pStyle w:val="Heading3"/>
      </w:pPr>
      <w:r>
        <w:t>Deaths or morbidity attributable to anaesthesia</w:t>
      </w:r>
    </w:p>
    <w:tbl>
      <w:tblPr>
        <w:tblStyle w:val="PlainTable2"/>
        <w:tblW w:w="0" w:type="auto"/>
        <w:tblLayout w:type="fixed"/>
        <w:tblLook w:val="0020" w:firstRow="1" w:lastRow="0" w:firstColumn="0" w:lastColumn="0" w:noHBand="0" w:noVBand="0"/>
      </w:tblPr>
      <w:tblGrid>
        <w:gridCol w:w="1701"/>
        <w:gridCol w:w="8504"/>
      </w:tblGrid>
      <w:tr w:rsidR="009169E8" w14:paraId="401BBA66" w14:textId="77777777" w:rsidTr="00B0716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1701" w:type="dxa"/>
          </w:tcPr>
          <w:p w14:paraId="4E70BAAA" w14:textId="77777777" w:rsidR="009169E8" w:rsidRPr="00B07163" w:rsidRDefault="009169E8" w:rsidP="00A90D07">
            <w:pPr>
              <w:pStyle w:val="Tableheader"/>
              <w:rPr>
                <w:b/>
              </w:rPr>
            </w:pPr>
            <w:r w:rsidRPr="00B07163">
              <w:rPr>
                <w:b/>
              </w:rPr>
              <w:t>Category</w:t>
            </w:r>
          </w:p>
        </w:tc>
        <w:tc>
          <w:tcPr>
            <w:cnfStyle w:val="000001000000" w:firstRow="0" w:lastRow="0" w:firstColumn="0" w:lastColumn="0" w:oddVBand="0" w:evenVBand="1" w:oddHBand="0" w:evenHBand="0" w:firstRowFirstColumn="0" w:firstRowLastColumn="0" w:lastRowFirstColumn="0" w:lastRowLastColumn="0"/>
            <w:tcW w:w="8504" w:type="dxa"/>
          </w:tcPr>
          <w:p w14:paraId="55B5F242" w14:textId="77777777" w:rsidR="009169E8" w:rsidRPr="00B07163" w:rsidRDefault="009169E8" w:rsidP="00A90D07">
            <w:pPr>
              <w:pStyle w:val="Tableheader"/>
              <w:rPr>
                <w:b/>
              </w:rPr>
            </w:pPr>
            <w:r w:rsidRPr="00B07163">
              <w:rPr>
                <w:b/>
              </w:rPr>
              <w:t>Description</w:t>
            </w:r>
          </w:p>
        </w:tc>
      </w:tr>
      <w:tr w:rsidR="009169E8" w14:paraId="01037CFA" w14:textId="77777777" w:rsidTr="00B0716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01" w:type="dxa"/>
          </w:tcPr>
          <w:p w14:paraId="02CAAE87" w14:textId="77777777" w:rsidR="009169E8" w:rsidRDefault="009169E8" w:rsidP="00CA2A1B">
            <w:pPr>
              <w:pStyle w:val="Tabletext"/>
            </w:pPr>
            <w:r>
              <w:t>Category 1</w:t>
            </w:r>
          </w:p>
        </w:tc>
        <w:tc>
          <w:tcPr>
            <w:cnfStyle w:val="000001000000" w:firstRow="0" w:lastRow="0" w:firstColumn="0" w:lastColumn="0" w:oddVBand="0" w:evenVBand="1" w:oddHBand="0" w:evenHBand="0" w:firstRowFirstColumn="0" w:firstRowLastColumn="0" w:lastRowFirstColumn="0" w:lastRowLastColumn="0"/>
            <w:tcW w:w="8504" w:type="dxa"/>
          </w:tcPr>
          <w:p w14:paraId="349631DB" w14:textId="77777777" w:rsidR="009169E8" w:rsidRDefault="009169E8" w:rsidP="00CA2A1B">
            <w:pPr>
              <w:pStyle w:val="Tabletext"/>
            </w:pPr>
            <w:r>
              <w:t>Where it is reasonably certain that death or morbidity was caused by the anaesthesia or other factors under the control of the anaesthetist.</w:t>
            </w:r>
          </w:p>
        </w:tc>
      </w:tr>
      <w:tr w:rsidR="009169E8" w14:paraId="1D006A03" w14:textId="77777777" w:rsidTr="00B07163">
        <w:trPr>
          <w:trHeight w:val="113"/>
        </w:trPr>
        <w:tc>
          <w:tcPr>
            <w:cnfStyle w:val="000010000000" w:firstRow="0" w:lastRow="0" w:firstColumn="0" w:lastColumn="0" w:oddVBand="1" w:evenVBand="0" w:oddHBand="0" w:evenHBand="0" w:firstRowFirstColumn="0" w:firstRowLastColumn="0" w:lastRowFirstColumn="0" w:lastRowLastColumn="0"/>
            <w:tcW w:w="1701" w:type="dxa"/>
          </w:tcPr>
          <w:p w14:paraId="7DDE21D6" w14:textId="77777777" w:rsidR="009169E8" w:rsidRDefault="009169E8" w:rsidP="00CA2A1B">
            <w:pPr>
              <w:pStyle w:val="Tabletext"/>
            </w:pPr>
            <w:r>
              <w:t>Category 2</w:t>
            </w:r>
          </w:p>
        </w:tc>
        <w:tc>
          <w:tcPr>
            <w:cnfStyle w:val="000001000000" w:firstRow="0" w:lastRow="0" w:firstColumn="0" w:lastColumn="0" w:oddVBand="0" w:evenVBand="1" w:oddHBand="0" w:evenHBand="0" w:firstRowFirstColumn="0" w:firstRowLastColumn="0" w:lastRowFirstColumn="0" w:lastRowLastColumn="0"/>
            <w:tcW w:w="8504" w:type="dxa"/>
          </w:tcPr>
          <w:p w14:paraId="4DC51696" w14:textId="77777777" w:rsidR="009169E8" w:rsidRDefault="009169E8" w:rsidP="00CA2A1B">
            <w:pPr>
              <w:pStyle w:val="Tabletext"/>
            </w:pPr>
            <w:r>
              <w:t>Where there is some doubt whether death or morbidity was entirely attributable to the anaesthesia or other factors under the control of the anaesthetist.</w:t>
            </w:r>
          </w:p>
        </w:tc>
      </w:tr>
      <w:tr w:rsidR="009169E8" w14:paraId="11C33F56" w14:textId="77777777" w:rsidTr="00B0716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01" w:type="dxa"/>
          </w:tcPr>
          <w:p w14:paraId="33EFAFAF" w14:textId="77777777" w:rsidR="009169E8" w:rsidRDefault="009169E8" w:rsidP="00CA2A1B">
            <w:pPr>
              <w:pStyle w:val="Tabletext"/>
            </w:pPr>
            <w:r>
              <w:t>Category 3</w:t>
            </w:r>
          </w:p>
        </w:tc>
        <w:tc>
          <w:tcPr>
            <w:cnfStyle w:val="000001000000" w:firstRow="0" w:lastRow="0" w:firstColumn="0" w:lastColumn="0" w:oddVBand="0" w:evenVBand="1" w:oddHBand="0" w:evenHBand="0" w:firstRowFirstColumn="0" w:firstRowLastColumn="0" w:lastRowFirstColumn="0" w:lastRowLastColumn="0"/>
            <w:tcW w:w="8504" w:type="dxa"/>
          </w:tcPr>
          <w:p w14:paraId="0D33A811" w14:textId="77777777" w:rsidR="009169E8" w:rsidRDefault="009169E8" w:rsidP="00CA2A1B">
            <w:pPr>
              <w:pStyle w:val="Tabletext"/>
            </w:pPr>
            <w:r>
              <w:t>Where death or morbidity was caused by both medical/surgical and anaesthesia factors.</w:t>
            </w:r>
          </w:p>
        </w:tc>
      </w:tr>
    </w:tbl>
    <w:p w14:paraId="5C1F3021" w14:textId="77777777" w:rsidR="009169E8" w:rsidRDefault="009169E8" w:rsidP="00BB165F">
      <w:pPr>
        <w:pStyle w:val="Heading3"/>
      </w:pPr>
      <w:r>
        <w:t>Death or morbidity in which anaesthesia played no part</w:t>
      </w:r>
    </w:p>
    <w:tbl>
      <w:tblPr>
        <w:tblStyle w:val="PlainTable2"/>
        <w:tblW w:w="0" w:type="auto"/>
        <w:tblLayout w:type="fixed"/>
        <w:tblLook w:val="0020" w:firstRow="1" w:lastRow="0" w:firstColumn="0" w:lastColumn="0" w:noHBand="0" w:noVBand="0"/>
      </w:tblPr>
      <w:tblGrid>
        <w:gridCol w:w="1701"/>
        <w:gridCol w:w="8504"/>
      </w:tblGrid>
      <w:tr w:rsidR="009169E8" w14:paraId="6DEEEBFE" w14:textId="77777777" w:rsidTr="00B0716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1701" w:type="dxa"/>
          </w:tcPr>
          <w:p w14:paraId="3386535B" w14:textId="77777777" w:rsidR="009169E8" w:rsidRPr="00636B26" w:rsidRDefault="009169E8" w:rsidP="00A90D07">
            <w:pPr>
              <w:pStyle w:val="Tableheader"/>
              <w:rPr>
                <w:b/>
              </w:rPr>
            </w:pPr>
            <w:r w:rsidRPr="00636B26">
              <w:rPr>
                <w:b/>
              </w:rPr>
              <w:t>Category</w:t>
            </w:r>
          </w:p>
        </w:tc>
        <w:tc>
          <w:tcPr>
            <w:cnfStyle w:val="000001000000" w:firstRow="0" w:lastRow="0" w:firstColumn="0" w:lastColumn="0" w:oddVBand="0" w:evenVBand="1" w:oddHBand="0" w:evenHBand="0" w:firstRowFirstColumn="0" w:firstRowLastColumn="0" w:lastRowFirstColumn="0" w:lastRowLastColumn="0"/>
            <w:tcW w:w="8504" w:type="dxa"/>
          </w:tcPr>
          <w:p w14:paraId="43389D14" w14:textId="77777777" w:rsidR="009169E8" w:rsidRPr="00636B26" w:rsidRDefault="009169E8" w:rsidP="00A90D07">
            <w:pPr>
              <w:pStyle w:val="Tableheader"/>
              <w:rPr>
                <w:b/>
              </w:rPr>
            </w:pPr>
            <w:r w:rsidRPr="00636B26">
              <w:rPr>
                <w:b/>
              </w:rPr>
              <w:t>Description</w:t>
            </w:r>
          </w:p>
        </w:tc>
      </w:tr>
      <w:tr w:rsidR="009169E8" w14:paraId="701CD8A2" w14:textId="77777777" w:rsidTr="00B0716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01" w:type="dxa"/>
          </w:tcPr>
          <w:p w14:paraId="01E0666A" w14:textId="77777777" w:rsidR="009169E8" w:rsidRDefault="009169E8" w:rsidP="00CA2A1B">
            <w:pPr>
              <w:pStyle w:val="Tabletext"/>
            </w:pPr>
            <w:r>
              <w:t>Category 4</w:t>
            </w:r>
          </w:p>
        </w:tc>
        <w:tc>
          <w:tcPr>
            <w:cnfStyle w:val="000001000000" w:firstRow="0" w:lastRow="0" w:firstColumn="0" w:lastColumn="0" w:oddVBand="0" w:evenVBand="1" w:oddHBand="0" w:evenHBand="0" w:firstRowFirstColumn="0" w:firstRowLastColumn="0" w:lastRowFirstColumn="0" w:lastRowLastColumn="0"/>
            <w:tcW w:w="8504" w:type="dxa"/>
          </w:tcPr>
          <w:p w14:paraId="18C59CCB" w14:textId="77777777" w:rsidR="009169E8" w:rsidRDefault="009169E8" w:rsidP="00CA2A1B">
            <w:pPr>
              <w:pStyle w:val="Tabletext"/>
            </w:pPr>
            <w:r>
              <w:t>Surgical death or morbidity where the administration of the anaesthesia was not contributory, and surgical or other factors are implicated.</w:t>
            </w:r>
          </w:p>
        </w:tc>
      </w:tr>
      <w:tr w:rsidR="009169E8" w14:paraId="3E49CC71" w14:textId="77777777" w:rsidTr="00B07163">
        <w:trPr>
          <w:trHeight w:val="113"/>
        </w:trPr>
        <w:tc>
          <w:tcPr>
            <w:cnfStyle w:val="000010000000" w:firstRow="0" w:lastRow="0" w:firstColumn="0" w:lastColumn="0" w:oddVBand="1" w:evenVBand="0" w:oddHBand="0" w:evenHBand="0" w:firstRowFirstColumn="0" w:firstRowLastColumn="0" w:lastRowFirstColumn="0" w:lastRowLastColumn="0"/>
            <w:tcW w:w="1701" w:type="dxa"/>
          </w:tcPr>
          <w:p w14:paraId="1DAFBB3C" w14:textId="77777777" w:rsidR="009169E8" w:rsidRDefault="009169E8" w:rsidP="00CA2A1B">
            <w:pPr>
              <w:pStyle w:val="Tabletext"/>
            </w:pPr>
            <w:r>
              <w:t>Category 5</w:t>
            </w:r>
          </w:p>
        </w:tc>
        <w:tc>
          <w:tcPr>
            <w:cnfStyle w:val="000001000000" w:firstRow="0" w:lastRow="0" w:firstColumn="0" w:lastColumn="0" w:oddVBand="0" w:evenVBand="1" w:oddHBand="0" w:evenHBand="0" w:firstRowFirstColumn="0" w:firstRowLastColumn="0" w:lastRowFirstColumn="0" w:lastRowLastColumn="0"/>
            <w:tcW w:w="8504" w:type="dxa"/>
          </w:tcPr>
          <w:p w14:paraId="79AEB45A" w14:textId="77777777" w:rsidR="009169E8" w:rsidRDefault="009169E8" w:rsidP="00CA2A1B">
            <w:pPr>
              <w:pStyle w:val="Tabletext"/>
            </w:pPr>
            <w:r>
              <w:t>Inevitable death or morbidity that would have occurred irrespective of anaesthesia or surgical procedures.</w:t>
            </w:r>
          </w:p>
        </w:tc>
      </w:tr>
      <w:tr w:rsidR="009169E8" w14:paraId="430F9C85" w14:textId="77777777" w:rsidTr="00B0716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01" w:type="dxa"/>
          </w:tcPr>
          <w:p w14:paraId="3034ECAF" w14:textId="77777777" w:rsidR="009169E8" w:rsidRDefault="009169E8" w:rsidP="00CA2A1B">
            <w:pPr>
              <w:pStyle w:val="Tabletext"/>
            </w:pPr>
            <w:r>
              <w:t>Category 6</w:t>
            </w:r>
          </w:p>
        </w:tc>
        <w:tc>
          <w:tcPr>
            <w:cnfStyle w:val="000001000000" w:firstRow="0" w:lastRow="0" w:firstColumn="0" w:lastColumn="0" w:oddVBand="0" w:evenVBand="1" w:oddHBand="0" w:evenHBand="0" w:firstRowFirstColumn="0" w:firstRowLastColumn="0" w:lastRowFirstColumn="0" w:lastRowLastColumn="0"/>
            <w:tcW w:w="8504" w:type="dxa"/>
          </w:tcPr>
          <w:p w14:paraId="7968C30C" w14:textId="77777777" w:rsidR="009169E8" w:rsidRDefault="009169E8" w:rsidP="00CA2A1B">
            <w:pPr>
              <w:pStyle w:val="Tabletext"/>
            </w:pPr>
            <w:r>
              <w:t>Fortuitous death or morbidity that could not reasonably be expected to have been foreseen by those looking after the patient and was not related to the indication for surgery and was not due to factors under the control of the anaesthetist or surgeon.</w:t>
            </w:r>
          </w:p>
        </w:tc>
      </w:tr>
    </w:tbl>
    <w:p w14:paraId="63754715" w14:textId="77777777" w:rsidR="009169E8" w:rsidRDefault="009169E8" w:rsidP="00BB165F">
      <w:pPr>
        <w:pStyle w:val="Heading3"/>
      </w:pPr>
      <w:proofErr w:type="spellStart"/>
      <w:r>
        <w:t>Unassessable</w:t>
      </w:r>
      <w:proofErr w:type="spellEnd"/>
      <w:r>
        <w:t xml:space="preserve"> death/morbidity</w:t>
      </w:r>
    </w:p>
    <w:tbl>
      <w:tblPr>
        <w:tblStyle w:val="PlainTable2"/>
        <w:tblW w:w="0" w:type="auto"/>
        <w:tblLayout w:type="fixed"/>
        <w:tblLook w:val="0020" w:firstRow="1" w:lastRow="0" w:firstColumn="0" w:lastColumn="0" w:noHBand="0" w:noVBand="0"/>
      </w:tblPr>
      <w:tblGrid>
        <w:gridCol w:w="1701"/>
        <w:gridCol w:w="8504"/>
      </w:tblGrid>
      <w:tr w:rsidR="009169E8" w14:paraId="1BE8677C" w14:textId="77777777" w:rsidTr="00636B26">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1701" w:type="dxa"/>
          </w:tcPr>
          <w:p w14:paraId="2534E43F" w14:textId="77777777" w:rsidR="009169E8" w:rsidRDefault="009169E8" w:rsidP="00A90D07">
            <w:pPr>
              <w:pStyle w:val="Tableheader"/>
            </w:pPr>
            <w:r>
              <w:t>Category</w:t>
            </w:r>
          </w:p>
        </w:tc>
        <w:tc>
          <w:tcPr>
            <w:cnfStyle w:val="000001000000" w:firstRow="0" w:lastRow="0" w:firstColumn="0" w:lastColumn="0" w:oddVBand="0" w:evenVBand="1" w:oddHBand="0" w:evenHBand="0" w:firstRowFirstColumn="0" w:firstRowLastColumn="0" w:lastRowFirstColumn="0" w:lastRowLastColumn="0"/>
            <w:tcW w:w="8504" w:type="dxa"/>
          </w:tcPr>
          <w:p w14:paraId="792502C6" w14:textId="77777777" w:rsidR="009169E8" w:rsidRDefault="009169E8" w:rsidP="00A90D07">
            <w:pPr>
              <w:pStyle w:val="Tableheader"/>
            </w:pPr>
            <w:r>
              <w:t>Description</w:t>
            </w:r>
          </w:p>
        </w:tc>
      </w:tr>
      <w:tr w:rsidR="009169E8" w14:paraId="612BD7CE" w14:textId="77777777" w:rsidTr="00636B2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01" w:type="dxa"/>
          </w:tcPr>
          <w:p w14:paraId="3DD6B5C5" w14:textId="77777777" w:rsidR="009169E8" w:rsidRDefault="009169E8" w:rsidP="00CA2A1B">
            <w:pPr>
              <w:pStyle w:val="Tabletext"/>
            </w:pPr>
            <w:r>
              <w:t>Category 7</w:t>
            </w:r>
          </w:p>
        </w:tc>
        <w:tc>
          <w:tcPr>
            <w:cnfStyle w:val="000001000000" w:firstRow="0" w:lastRow="0" w:firstColumn="0" w:lastColumn="0" w:oddVBand="0" w:evenVBand="1" w:oddHBand="0" w:evenHBand="0" w:firstRowFirstColumn="0" w:firstRowLastColumn="0" w:lastRowFirstColumn="0" w:lastRowLastColumn="0"/>
            <w:tcW w:w="8504" w:type="dxa"/>
          </w:tcPr>
          <w:p w14:paraId="71082978" w14:textId="77777777" w:rsidR="009169E8" w:rsidRDefault="009169E8" w:rsidP="00CA2A1B">
            <w:pPr>
              <w:pStyle w:val="Tabletext"/>
            </w:pPr>
            <w:r>
              <w:t>Those that cannot be assessed despite considerable data but where the information is conflicting or key data is missing.</w:t>
            </w:r>
          </w:p>
        </w:tc>
      </w:tr>
      <w:tr w:rsidR="009169E8" w14:paraId="3E4CD125" w14:textId="77777777" w:rsidTr="00636B26">
        <w:trPr>
          <w:trHeight w:val="113"/>
        </w:trPr>
        <w:tc>
          <w:tcPr>
            <w:cnfStyle w:val="000010000000" w:firstRow="0" w:lastRow="0" w:firstColumn="0" w:lastColumn="0" w:oddVBand="1" w:evenVBand="0" w:oddHBand="0" w:evenHBand="0" w:firstRowFirstColumn="0" w:firstRowLastColumn="0" w:lastRowFirstColumn="0" w:lastRowLastColumn="0"/>
            <w:tcW w:w="1701" w:type="dxa"/>
          </w:tcPr>
          <w:p w14:paraId="6A02D35F" w14:textId="77777777" w:rsidR="009169E8" w:rsidRDefault="009169E8" w:rsidP="00CA2A1B">
            <w:pPr>
              <w:pStyle w:val="Tabletext"/>
            </w:pPr>
            <w:r>
              <w:t>Category 8</w:t>
            </w:r>
          </w:p>
        </w:tc>
        <w:tc>
          <w:tcPr>
            <w:cnfStyle w:val="000001000000" w:firstRow="0" w:lastRow="0" w:firstColumn="0" w:lastColumn="0" w:oddVBand="0" w:evenVBand="1" w:oddHBand="0" w:evenHBand="0" w:firstRowFirstColumn="0" w:firstRowLastColumn="0" w:lastRowFirstColumn="0" w:lastRowLastColumn="0"/>
            <w:tcW w:w="8504" w:type="dxa"/>
          </w:tcPr>
          <w:p w14:paraId="0973E60A" w14:textId="77777777" w:rsidR="009169E8" w:rsidRDefault="009169E8" w:rsidP="00CA2A1B">
            <w:pPr>
              <w:pStyle w:val="Tabletext"/>
            </w:pPr>
            <w:r>
              <w:t>Cases that cannot be assessed because of inadequate data.</w:t>
            </w:r>
          </w:p>
        </w:tc>
      </w:tr>
      <w:tr w:rsidR="009169E8" w14:paraId="4069EC8A" w14:textId="77777777" w:rsidTr="00636B26">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01" w:type="dxa"/>
          </w:tcPr>
          <w:p w14:paraId="2400452C" w14:textId="77777777" w:rsidR="009169E8" w:rsidRDefault="009169E8" w:rsidP="00CA2A1B">
            <w:pPr>
              <w:pStyle w:val="Tabletext"/>
            </w:pPr>
            <w:r>
              <w:t>Category 9</w:t>
            </w:r>
          </w:p>
        </w:tc>
        <w:tc>
          <w:tcPr>
            <w:cnfStyle w:val="000001000000" w:firstRow="0" w:lastRow="0" w:firstColumn="0" w:lastColumn="0" w:oddVBand="0" w:evenVBand="1" w:oddHBand="0" w:evenHBand="0" w:firstRowFirstColumn="0" w:firstRowLastColumn="0" w:lastRowFirstColumn="0" w:lastRowLastColumn="0"/>
            <w:tcW w:w="8504" w:type="dxa"/>
          </w:tcPr>
          <w:p w14:paraId="396A5C76" w14:textId="77777777" w:rsidR="009169E8" w:rsidRDefault="009169E8" w:rsidP="00CA2A1B">
            <w:pPr>
              <w:pStyle w:val="Tabletext"/>
            </w:pPr>
            <w:r>
              <w:t>A critical incident where a problem is identified but no morbidity occurs.</w:t>
            </w:r>
          </w:p>
        </w:tc>
      </w:tr>
    </w:tbl>
    <w:p w14:paraId="251D4509" w14:textId="77777777" w:rsidR="009169E8" w:rsidRDefault="009169E8" w:rsidP="00BB165F">
      <w:pPr>
        <w:pStyle w:val="Heading3"/>
      </w:pPr>
      <w:r>
        <w:t>Causal or contributory factors in anaesthesia-related mortality and morbidity sub</w:t>
      </w:r>
      <w:r>
        <w:rPr>
          <w:rFonts w:ascii="Cambria Math" w:hAnsi="Cambria Math" w:cs="Cambria Math"/>
        </w:rPr>
        <w:t>‑</w:t>
      </w:r>
      <w:r>
        <w:t>categories</w:t>
      </w:r>
    </w:p>
    <w:p w14:paraId="6EEE363F" w14:textId="77777777" w:rsidR="009169E8" w:rsidRDefault="009169E8" w:rsidP="00F11623">
      <w:pPr>
        <w:pStyle w:val="Heading4"/>
      </w:pPr>
      <w:r>
        <w:t>A. Preoperative</w:t>
      </w:r>
    </w:p>
    <w:tbl>
      <w:tblPr>
        <w:tblStyle w:val="PlainTable2"/>
        <w:tblW w:w="0" w:type="auto"/>
        <w:tblLayout w:type="fixed"/>
        <w:tblLook w:val="0020" w:firstRow="1" w:lastRow="0" w:firstColumn="0" w:lastColumn="0" w:noHBand="0" w:noVBand="0"/>
      </w:tblPr>
      <w:tblGrid>
        <w:gridCol w:w="2948"/>
        <w:gridCol w:w="7257"/>
      </w:tblGrid>
      <w:tr w:rsidR="009169E8" w14:paraId="36FB5A82" w14:textId="77777777" w:rsidTr="00636B26">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2948" w:type="dxa"/>
          </w:tcPr>
          <w:p w14:paraId="43A3EFC5" w14:textId="77777777" w:rsidR="009169E8" w:rsidRPr="00636B26" w:rsidRDefault="009169E8" w:rsidP="00A90D07">
            <w:pPr>
              <w:pStyle w:val="Tableheader"/>
              <w:rPr>
                <w:b/>
              </w:rPr>
            </w:pPr>
            <w:r w:rsidRPr="00636B26">
              <w:rPr>
                <w:b/>
              </w:rPr>
              <w:t>Causal or contributory factor</w:t>
            </w:r>
          </w:p>
        </w:tc>
        <w:tc>
          <w:tcPr>
            <w:cnfStyle w:val="000001000000" w:firstRow="0" w:lastRow="0" w:firstColumn="0" w:lastColumn="0" w:oddVBand="0" w:evenVBand="1" w:oddHBand="0" w:evenHBand="0" w:firstRowFirstColumn="0" w:firstRowLastColumn="0" w:lastRowFirstColumn="0" w:lastRowLastColumn="0"/>
            <w:tcW w:w="7257" w:type="dxa"/>
          </w:tcPr>
          <w:p w14:paraId="03322D2A" w14:textId="77777777" w:rsidR="009169E8" w:rsidRPr="00636B26" w:rsidRDefault="009169E8" w:rsidP="00A90D07">
            <w:pPr>
              <w:pStyle w:val="Tableheader"/>
              <w:rPr>
                <w:b/>
              </w:rPr>
            </w:pPr>
            <w:r w:rsidRPr="00636B26">
              <w:rPr>
                <w:b/>
              </w:rPr>
              <w:t>Description</w:t>
            </w:r>
          </w:p>
        </w:tc>
      </w:tr>
      <w:tr w:rsidR="00B77441" w14:paraId="4D03B045"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948" w:type="dxa"/>
          </w:tcPr>
          <w:p w14:paraId="2263A071" w14:textId="56955293" w:rsidR="00B77441" w:rsidRDefault="00B77441" w:rsidP="00CA2A1B">
            <w:pPr>
              <w:pStyle w:val="Tabletext"/>
            </w:pPr>
            <w:r>
              <w:t>(</w:t>
            </w:r>
            <w:proofErr w:type="spellStart"/>
            <w:r>
              <w:t>i</w:t>
            </w:r>
            <w:proofErr w:type="spellEnd"/>
            <w:r>
              <w:t>) Assessment</w:t>
            </w:r>
          </w:p>
        </w:tc>
        <w:tc>
          <w:tcPr>
            <w:cnfStyle w:val="000001000000" w:firstRow="0" w:lastRow="0" w:firstColumn="0" w:lastColumn="0" w:oddVBand="0" w:evenVBand="1" w:oddHBand="0" w:evenHBand="0" w:firstRowFirstColumn="0" w:firstRowLastColumn="0" w:lastRowFirstColumn="0" w:lastRowLastColumn="0"/>
            <w:tcW w:w="7257" w:type="dxa"/>
          </w:tcPr>
          <w:p w14:paraId="630EE212" w14:textId="77777777" w:rsidR="00B77441" w:rsidRDefault="00B77441" w:rsidP="00CA2A1B">
            <w:pPr>
              <w:pStyle w:val="Tabletext"/>
            </w:pPr>
            <w:r w:rsidRPr="00CA2A1B">
              <w:t>This may involve failure to take an adequate history or perform an adequate examination or to undertake appropriate investigation or consultation or make adequate assessment of the volume status of the patient in an emergency. Where this is also a surgical responsibility the case may be classified as category</w:t>
            </w:r>
            <w:r>
              <w:rPr>
                <w:rFonts w:ascii="Cambria" w:hAnsi="Cambria" w:cs="Cambria"/>
              </w:rPr>
              <w:t> </w:t>
            </w:r>
            <w:r w:rsidRPr="00CA2A1B">
              <w:t>3.</w:t>
            </w:r>
          </w:p>
        </w:tc>
      </w:tr>
      <w:tr w:rsidR="00B77441" w14:paraId="77CF3798"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2948" w:type="dxa"/>
          </w:tcPr>
          <w:p w14:paraId="6335659A" w14:textId="7FB36ABE" w:rsidR="00B77441" w:rsidRDefault="00B77441" w:rsidP="00CA2A1B">
            <w:pPr>
              <w:pStyle w:val="Tabletext"/>
            </w:pPr>
            <w:r>
              <w:t>(ii) Management</w:t>
            </w:r>
          </w:p>
        </w:tc>
        <w:tc>
          <w:tcPr>
            <w:cnfStyle w:val="000001000000" w:firstRow="0" w:lastRow="0" w:firstColumn="0" w:lastColumn="0" w:oddVBand="0" w:evenVBand="1" w:oddHBand="0" w:evenHBand="0" w:firstRowFirstColumn="0" w:firstRowLastColumn="0" w:lastRowFirstColumn="0" w:lastRowLastColumn="0"/>
            <w:tcW w:w="7257" w:type="dxa"/>
          </w:tcPr>
          <w:p w14:paraId="12879E43" w14:textId="77777777" w:rsidR="00B77441" w:rsidRDefault="00B77441" w:rsidP="00CA2A1B">
            <w:pPr>
              <w:pStyle w:val="Tabletext"/>
            </w:pPr>
            <w:r>
              <w:t>This may involve failure to administer appropriate therapy or resuscitation. Urgency and the responsibility of the surgeon may also modify this classification.</w:t>
            </w:r>
          </w:p>
        </w:tc>
      </w:tr>
    </w:tbl>
    <w:p w14:paraId="5B752C41" w14:textId="77777777" w:rsidR="009169E8" w:rsidRDefault="009169E8" w:rsidP="00F11623">
      <w:pPr>
        <w:pStyle w:val="Heading4"/>
      </w:pPr>
      <w:r>
        <w:t>B. Anaesthesia technique</w:t>
      </w:r>
    </w:p>
    <w:tbl>
      <w:tblPr>
        <w:tblStyle w:val="PlainTable2"/>
        <w:tblW w:w="0" w:type="auto"/>
        <w:tblInd w:w="-5" w:type="dxa"/>
        <w:tblLayout w:type="fixed"/>
        <w:tblLook w:val="0020" w:firstRow="1" w:lastRow="0" w:firstColumn="0" w:lastColumn="0" w:noHBand="0" w:noVBand="0"/>
      </w:tblPr>
      <w:tblGrid>
        <w:gridCol w:w="2948"/>
        <w:gridCol w:w="7257"/>
      </w:tblGrid>
      <w:tr w:rsidR="009169E8" w14:paraId="7F893932" w14:textId="77777777" w:rsidTr="004A457C">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2948" w:type="dxa"/>
          </w:tcPr>
          <w:p w14:paraId="392FABF4" w14:textId="77777777" w:rsidR="009169E8" w:rsidRPr="00DF58CF" w:rsidRDefault="009169E8" w:rsidP="00A90D07">
            <w:pPr>
              <w:pStyle w:val="Tableheader"/>
              <w:rPr>
                <w:b/>
              </w:rPr>
            </w:pPr>
            <w:r w:rsidRPr="00DF58CF">
              <w:rPr>
                <w:b/>
              </w:rPr>
              <w:t>Causal or contributory factor</w:t>
            </w:r>
          </w:p>
        </w:tc>
        <w:tc>
          <w:tcPr>
            <w:cnfStyle w:val="000001000000" w:firstRow="0" w:lastRow="0" w:firstColumn="0" w:lastColumn="0" w:oddVBand="0" w:evenVBand="1" w:oddHBand="0" w:evenHBand="0" w:firstRowFirstColumn="0" w:firstRowLastColumn="0" w:lastRowFirstColumn="0" w:lastRowLastColumn="0"/>
            <w:tcW w:w="7257" w:type="dxa"/>
          </w:tcPr>
          <w:p w14:paraId="74E49085" w14:textId="77777777" w:rsidR="009169E8" w:rsidRPr="00DF58CF" w:rsidRDefault="009169E8" w:rsidP="00A90D07">
            <w:pPr>
              <w:pStyle w:val="Tableheader"/>
              <w:rPr>
                <w:b/>
              </w:rPr>
            </w:pPr>
            <w:r w:rsidRPr="00DF58CF">
              <w:rPr>
                <w:b/>
              </w:rPr>
              <w:t>Description</w:t>
            </w:r>
          </w:p>
        </w:tc>
      </w:tr>
      <w:tr w:rsidR="004A457C" w14:paraId="1A528B20" w14:textId="77777777" w:rsidTr="004A457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948" w:type="dxa"/>
          </w:tcPr>
          <w:p w14:paraId="74727622" w14:textId="291C275D" w:rsidR="004A457C" w:rsidRDefault="004A457C" w:rsidP="00CA2A1B">
            <w:pPr>
              <w:pStyle w:val="Tabletext"/>
            </w:pPr>
            <w:r>
              <w:t>(</w:t>
            </w:r>
            <w:proofErr w:type="spellStart"/>
            <w:r>
              <w:t>i</w:t>
            </w:r>
            <w:proofErr w:type="spellEnd"/>
            <w:r>
              <w:t>) Choice or application</w:t>
            </w:r>
          </w:p>
        </w:tc>
        <w:tc>
          <w:tcPr>
            <w:cnfStyle w:val="000001000000" w:firstRow="0" w:lastRow="0" w:firstColumn="0" w:lastColumn="0" w:oddVBand="0" w:evenVBand="1" w:oddHBand="0" w:evenHBand="0" w:firstRowFirstColumn="0" w:firstRowLastColumn="0" w:lastRowFirstColumn="0" w:lastRowLastColumn="0"/>
            <w:tcW w:w="7257" w:type="dxa"/>
          </w:tcPr>
          <w:p w14:paraId="662AFDAC" w14:textId="77777777" w:rsidR="004A457C" w:rsidRDefault="004A457C" w:rsidP="00CA2A1B">
            <w:pPr>
              <w:pStyle w:val="Tabletext"/>
            </w:pPr>
            <w:r>
              <w:t>There is inappropriate choice of technique in circumstances where it is contraindicated or by the incorrect application of a technique that was correctly chosen.</w:t>
            </w:r>
          </w:p>
        </w:tc>
      </w:tr>
      <w:tr w:rsidR="004A457C" w14:paraId="0DEDE131"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2948" w:type="dxa"/>
          </w:tcPr>
          <w:p w14:paraId="5A8B936B" w14:textId="1D98E05F" w:rsidR="004A457C" w:rsidRDefault="004A457C" w:rsidP="00CA2A1B">
            <w:pPr>
              <w:pStyle w:val="Tabletext"/>
            </w:pPr>
            <w:r>
              <w:t>(ii) Airway maintenance including pulmonary aspiration</w:t>
            </w:r>
          </w:p>
        </w:tc>
        <w:tc>
          <w:tcPr>
            <w:cnfStyle w:val="000001000000" w:firstRow="0" w:lastRow="0" w:firstColumn="0" w:lastColumn="0" w:oddVBand="0" w:evenVBand="1" w:oddHBand="0" w:evenHBand="0" w:firstRowFirstColumn="0" w:firstRowLastColumn="0" w:lastRowFirstColumn="0" w:lastRowLastColumn="0"/>
            <w:tcW w:w="7257" w:type="dxa"/>
          </w:tcPr>
          <w:p w14:paraId="37A3472A" w14:textId="77777777" w:rsidR="004A457C" w:rsidRDefault="004A457C" w:rsidP="00CA2A1B">
            <w:pPr>
              <w:pStyle w:val="Tabletext"/>
            </w:pPr>
            <w:r>
              <w:t>There is inappropriate choice of artificial airway or failure to maintain or provide adequate protection of the airway or to recognise misplacement or occlusion of an artificial airway.</w:t>
            </w:r>
          </w:p>
        </w:tc>
      </w:tr>
      <w:tr w:rsidR="004A457C" w14:paraId="7BCDB76A"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948" w:type="dxa"/>
          </w:tcPr>
          <w:p w14:paraId="56D33542" w14:textId="61BDC998" w:rsidR="004A457C" w:rsidRDefault="004A457C" w:rsidP="00CA2A1B">
            <w:pPr>
              <w:pStyle w:val="Tabletext"/>
            </w:pPr>
            <w:r>
              <w:t>(iii) Ventilation</w:t>
            </w:r>
          </w:p>
        </w:tc>
        <w:tc>
          <w:tcPr>
            <w:cnfStyle w:val="000001000000" w:firstRow="0" w:lastRow="0" w:firstColumn="0" w:lastColumn="0" w:oddVBand="0" w:evenVBand="1" w:oddHBand="0" w:evenHBand="0" w:firstRowFirstColumn="0" w:firstRowLastColumn="0" w:lastRowFirstColumn="0" w:lastRowLastColumn="0"/>
            <w:tcW w:w="7257" w:type="dxa"/>
          </w:tcPr>
          <w:p w14:paraId="7FAF1BE2" w14:textId="77777777" w:rsidR="004A457C" w:rsidRDefault="004A457C" w:rsidP="00CA2A1B">
            <w:pPr>
              <w:pStyle w:val="Tabletext"/>
            </w:pPr>
            <w:r>
              <w:t>Death or morbidity is caused by failure of ventilation of the lungs for any reason. This would include inadequate ventilator settings and failure to reinstitute proper respiratory support after deliberate hypoventilation (for example, bypass).</w:t>
            </w:r>
          </w:p>
        </w:tc>
      </w:tr>
      <w:tr w:rsidR="00F134A0" w14:paraId="0869CA7E"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2948" w:type="dxa"/>
          </w:tcPr>
          <w:p w14:paraId="5D9DCC2C" w14:textId="352202C3" w:rsidR="00F134A0" w:rsidRDefault="00F134A0" w:rsidP="00CA2A1B">
            <w:pPr>
              <w:pStyle w:val="Tabletext"/>
            </w:pPr>
            <w:r>
              <w:lastRenderedPageBreak/>
              <w:t>(iv) Circulatory support</w:t>
            </w:r>
          </w:p>
        </w:tc>
        <w:tc>
          <w:tcPr>
            <w:cnfStyle w:val="000001000000" w:firstRow="0" w:lastRow="0" w:firstColumn="0" w:lastColumn="0" w:oddVBand="0" w:evenVBand="1" w:oddHBand="0" w:evenHBand="0" w:firstRowFirstColumn="0" w:firstRowLastColumn="0" w:lastRowFirstColumn="0" w:lastRowLastColumn="0"/>
            <w:tcW w:w="7257" w:type="dxa"/>
          </w:tcPr>
          <w:p w14:paraId="09AE8D27" w14:textId="77777777" w:rsidR="00F134A0" w:rsidRDefault="00F134A0" w:rsidP="00CA2A1B">
            <w:pPr>
              <w:pStyle w:val="Tabletext"/>
            </w:pPr>
            <w:r w:rsidRPr="00CA2A1B">
              <w:t>Failure to provide adequate support where there is haemodynamic instability, in</w:t>
            </w:r>
            <w:r>
              <w:rPr>
                <w:rFonts w:ascii="Cambria" w:hAnsi="Cambria" w:cs="Cambria"/>
              </w:rPr>
              <w:t> </w:t>
            </w:r>
            <w:r w:rsidRPr="00CA2A1B">
              <w:t>particular in relation to techniques involving sympathetic blockade.</w:t>
            </w:r>
          </w:p>
        </w:tc>
      </w:tr>
    </w:tbl>
    <w:p w14:paraId="109D06E6" w14:textId="77777777" w:rsidR="009169E8" w:rsidRDefault="009169E8" w:rsidP="00F11623">
      <w:pPr>
        <w:pStyle w:val="Heading4"/>
      </w:pPr>
      <w:r>
        <w:t>C. Anaesthesia drugs</w:t>
      </w:r>
    </w:p>
    <w:tbl>
      <w:tblPr>
        <w:tblStyle w:val="PlainTable2"/>
        <w:tblW w:w="0" w:type="auto"/>
        <w:tblInd w:w="-5" w:type="dxa"/>
        <w:tblLayout w:type="fixed"/>
        <w:tblLook w:val="0020" w:firstRow="1" w:lastRow="0" w:firstColumn="0" w:lastColumn="0" w:noHBand="0" w:noVBand="0"/>
      </w:tblPr>
      <w:tblGrid>
        <w:gridCol w:w="2948"/>
        <w:gridCol w:w="7257"/>
      </w:tblGrid>
      <w:tr w:rsidR="009169E8" w14:paraId="6FFE9089" w14:textId="77777777" w:rsidTr="00B73E9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2948" w:type="dxa"/>
          </w:tcPr>
          <w:p w14:paraId="731E6AA3" w14:textId="77777777" w:rsidR="009169E8" w:rsidRPr="00F134A0" w:rsidRDefault="009169E8" w:rsidP="00A90D07">
            <w:pPr>
              <w:pStyle w:val="Tableheader"/>
              <w:rPr>
                <w:b/>
              </w:rPr>
            </w:pPr>
            <w:r w:rsidRPr="00F134A0">
              <w:rPr>
                <w:b/>
              </w:rPr>
              <w:t>Causal or contributory factor</w:t>
            </w:r>
          </w:p>
        </w:tc>
        <w:tc>
          <w:tcPr>
            <w:cnfStyle w:val="000001000000" w:firstRow="0" w:lastRow="0" w:firstColumn="0" w:lastColumn="0" w:oddVBand="0" w:evenVBand="1" w:oddHBand="0" w:evenHBand="0" w:firstRowFirstColumn="0" w:firstRowLastColumn="0" w:lastRowFirstColumn="0" w:lastRowLastColumn="0"/>
            <w:tcW w:w="7257" w:type="dxa"/>
          </w:tcPr>
          <w:p w14:paraId="70EDDB2F" w14:textId="77777777" w:rsidR="009169E8" w:rsidRPr="00F134A0" w:rsidRDefault="009169E8" w:rsidP="00A90D07">
            <w:pPr>
              <w:pStyle w:val="Tableheader"/>
              <w:rPr>
                <w:b/>
              </w:rPr>
            </w:pPr>
            <w:r w:rsidRPr="00F134A0">
              <w:rPr>
                <w:b/>
              </w:rPr>
              <w:t>Description</w:t>
            </w:r>
          </w:p>
        </w:tc>
      </w:tr>
      <w:tr w:rsidR="00B73E93" w14:paraId="27882FCA" w14:textId="77777777" w:rsidTr="00B73E9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948" w:type="dxa"/>
          </w:tcPr>
          <w:p w14:paraId="3ADC33C8" w14:textId="022A99CD" w:rsidR="00B73E93" w:rsidRDefault="00B73E93" w:rsidP="00CA2A1B">
            <w:pPr>
              <w:pStyle w:val="Tabletext"/>
            </w:pPr>
            <w:r>
              <w:t>(</w:t>
            </w:r>
            <w:proofErr w:type="spellStart"/>
            <w:r>
              <w:t>i</w:t>
            </w:r>
            <w:proofErr w:type="spellEnd"/>
            <w:r>
              <w:t>) Selection</w:t>
            </w:r>
          </w:p>
        </w:tc>
        <w:tc>
          <w:tcPr>
            <w:cnfStyle w:val="000001000000" w:firstRow="0" w:lastRow="0" w:firstColumn="0" w:lastColumn="0" w:oddVBand="0" w:evenVBand="1" w:oddHBand="0" w:evenHBand="0" w:firstRowFirstColumn="0" w:firstRowLastColumn="0" w:lastRowFirstColumn="0" w:lastRowLastColumn="0"/>
            <w:tcW w:w="7257" w:type="dxa"/>
          </w:tcPr>
          <w:p w14:paraId="2CBB4664" w14:textId="77777777" w:rsidR="00B73E93" w:rsidRDefault="00B73E93" w:rsidP="00CA2A1B">
            <w:pPr>
              <w:pStyle w:val="Tabletext"/>
            </w:pPr>
            <w:r>
              <w:t>Administration of a wrong drug or one that is contraindicated or inappropriate. This would include ‘syringe swap’ errors.</w:t>
            </w:r>
          </w:p>
        </w:tc>
      </w:tr>
      <w:tr w:rsidR="00B73E93" w14:paraId="51FC6E70"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2948" w:type="dxa"/>
          </w:tcPr>
          <w:p w14:paraId="026A4F61" w14:textId="55EEBC77" w:rsidR="00B73E93" w:rsidRDefault="00B73E93" w:rsidP="00CA2A1B">
            <w:pPr>
              <w:pStyle w:val="Tabletext"/>
            </w:pPr>
            <w:r>
              <w:t>(ii) Dosage</w:t>
            </w:r>
          </w:p>
        </w:tc>
        <w:tc>
          <w:tcPr>
            <w:cnfStyle w:val="000001000000" w:firstRow="0" w:lastRow="0" w:firstColumn="0" w:lastColumn="0" w:oddVBand="0" w:evenVBand="1" w:oddHBand="0" w:evenHBand="0" w:firstRowFirstColumn="0" w:firstRowLastColumn="0" w:lastRowFirstColumn="0" w:lastRowLastColumn="0"/>
            <w:tcW w:w="7257" w:type="dxa"/>
          </w:tcPr>
          <w:p w14:paraId="4373F14A" w14:textId="77777777" w:rsidR="00B73E93" w:rsidRDefault="00B73E93" w:rsidP="00CA2A1B">
            <w:pPr>
              <w:pStyle w:val="Tabletext"/>
            </w:pPr>
            <w:r>
              <w:t>This may be due to incorrect dosage, absolute or relative to the patient’s size, age and condition and in practice is usually an overdose.</w:t>
            </w:r>
          </w:p>
        </w:tc>
      </w:tr>
      <w:tr w:rsidR="00B73E93" w14:paraId="3E04F0B5"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948" w:type="dxa"/>
          </w:tcPr>
          <w:p w14:paraId="2B41EEBB" w14:textId="25E3EAD1" w:rsidR="00B73E93" w:rsidRDefault="00B73E93" w:rsidP="00CA2A1B">
            <w:pPr>
              <w:pStyle w:val="Tabletext"/>
            </w:pPr>
            <w:r>
              <w:t>(iii) Adverse drug reaction</w:t>
            </w:r>
          </w:p>
        </w:tc>
        <w:tc>
          <w:tcPr>
            <w:cnfStyle w:val="000001000000" w:firstRow="0" w:lastRow="0" w:firstColumn="0" w:lastColumn="0" w:oddVBand="0" w:evenVBand="1" w:oddHBand="0" w:evenHBand="0" w:firstRowFirstColumn="0" w:firstRowLastColumn="0" w:lastRowFirstColumn="0" w:lastRowLastColumn="0"/>
            <w:tcW w:w="7257" w:type="dxa"/>
          </w:tcPr>
          <w:p w14:paraId="1B704B49" w14:textId="77777777" w:rsidR="00B73E93" w:rsidRDefault="00B73E93" w:rsidP="00CA2A1B">
            <w:pPr>
              <w:pStyle w:val="Tabletext"/>
            </w:pPr>
            <w:r>
              <w:t>This includes all fatal drug reactions, both acute such as anaphylaxis and the delayed effects of anaesthesia agents such as the volatile agent.</w:t>
            </w:r>
          </w:p>
        </w:tc>
      </w:tr>
      <w:tr w:rsidR="00B73E93" w14:paraId="3E002E68"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2948" w:type="dxa"/>
          </w:tcPr>
          <w:p w14:paraId="4ED7BC14" w14:textId="6B6DFE29" w:rsidR="00B73E93" w:rsidRDefault="00B73E93" w:rsidP="00CA2A1B">
            <w:pPr>
              <w:pStyle w:val="Tabletext"/>
            </w:pPr>
            <w:r>
              <w:t>(iv) Inadequate reversal</w:t>
            </w:r>
          </w:p>
        </w:tc>
        <w:tc>
          <w:tcPr>
            <w:cnfStyle w:val="000001000000" w:firstRow="0" w:lastRow="0" w:firstColumn="0" w:lastColumn="0" w:oddVBand="0" w:evenVBand="1" w:oddHBand="0" w:evenHBand="0" w:firstRowFirstColumn="0" w:firstRowLastColumn="0" w:lastRowFirstColumn="0" w:lastRowLastColumn="0"/>
            <w:tcW w:w="7257" w:type="dxa"/>
          </w:tcPr>
          <w:p w14:paraId="455737B0" w14:textId="77777777" w:rsidR="00B73E93" w:rsidRDefault="00B73E93" w:rsidP="00CA2A1B">
            <w:pPr>
              <w:pStyle w:val="Tabletext"/>
            </w:pPr>
            <w:r>
              <w:t>This would include relaxant, narcotic and tranquillising agents where reversal was indicated.</w:t>
            </w:r>
          </w:p>
        </w:tc>
      </w:tr>
      <w:tr w:rsidR="00B73E93" w14:paraId="44B3F3CC"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948" w:type="dxa"/>
          </w:tcPr>
          <w:p w14:paraId="510CBF6A" w14:textId="1FEF4923" w:rsidR="00B73E93" w:rsidRDefault="00B73E93" w:rsidP="00CA2A1B">
            <w:pPr>
              <w:pStyle w:val="Tabletext"/>
            </w:pPr>
            <w:r>
              <w:t>(v) Incomplete recovery</w:t>
            </w:r>
          </w:p>
        </w:tc>
        <w:tc>
          <w:tcPr>
            <w:cnfStyle w:val="000001000000" w:firstRow="0" w:lastRow="0" w:firstColumn="0" w:lastColumn="0" w:oddVBand="0" w:evenVBand="1" w:oddHBand="0" w:evenHBand="0" w:firstRowFirstColumn="0" w:firstRowLastColumn="0" w:lastRowFirstColumn="0" w:lastRowLastColumn="0"/>
            <w:tcW w:w="7257" w:type="dxa"/>
          </w:tcPr>
          <w:p w14:paraId="71181A40" w14:textId="77777777" w:rsidR="00B73E93" w:rsidRDefault="00B73E93" w:rsidP="00CA2A1B">
            <w:pPr>
              <w:pStyle w:val="Tabletext"/>
            </w:pPr>
            <w:r>
              <w:t>For example, due to prolonged coma.</w:t>
            </w:r>
          </w:p>
        </w:tc>
      </w:tr>
    </w:tbl>
    <w:p w14:paraId="3316540C" w14:textId="77777777" w:rsidR="009169E8" w:rsidRDefault="009169E8" w:rsidP="00F11623">
      <w:pPr>
        <w:pStyle w:val="Heading4"/>
      </w:pPr>
      <w:r>
        <w:t>D. Anaesthesia management</w:t>
      </w:r>
    </w:p>
    <w:tbl>
      <w:tblPr>
        <w:tblStyle w:val="PlainTable2"/>
        <w:tblW w:w="0" w:type="auto"/>
        <w:tblInd w:w="-5" w:type="dxa"/>
        <w:tblLayout w:type="fixed"/>
        <w:tblLook w:val="0020" w:firstRow="1" w:lastRow="0" w:firstColumn="0" w:lastColumn="0" w:noHBand="0" w:noVBand="0"/>
      </w:tblPr>
      <w:tblGrid>
        <w:gridCol w:w="2835"/>
        <w:gridCol w:w="7370"/>
      </w:tblGrid>
      <w:tr w:rsidR="009169E8" w14:paraId="20B9CDD3" w14:textId="77777777" w:rsidTr="00D50D80">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2835" w:type="dxa"/>
          </w:tcPr>
          <w:p w14:paraId="7AA3312A" w14:textId="77777777" w:rsidR="009169E8" w:rsidRPr="00D50D80" w:rsidRDefault="009169E8" w:rsidP="00A90D07">
            <w:pPr>
              <w:pStyle w:val="Tableheader"/>
              <w:rPr>
                <w:b/>
              </w:rPr>
            </w:pPr>
            <w:r w:rsidRPr="00D50D80">
              <w:rPr>
                <w:b/>
              </w:rPr>
              <w:t>Causal or contributory factor</w:t>
            </w:r>
          </w:p>
        </w:tc>
        <w:tc>
          <w:tcPr>
            <w:cnfStyle w:val="000001000000" w:firstRow="0" w:lastRow="0" w:firstColumn="0" w:lastColumn="0" w:oddVBand="0" w:evenVBand="1" w:oddHBand="0" w:evenHBand="0" w:firstRowFirstColumn="0" w:firstRowLastColumn="0" w:lastRowFirstColumn="0" w:lastRowLastColumn="0"/>
            <w:tcW w:w="7370" w:type="dxa"/>
          </w:tcPr>
          <w:p w14:paraId="61A20C2C" w14:textId="77777777" w:rsidR="009169E8" w:rsidRPr="00D50D80" w:rsidRDefault="009169E8" w:rsidP="00A90D07">
            <w:pPr>
              <w:pStyle w:val="Tableheader"/>
              <w:rPr>
                <w:b/>
              </w:rPr>
            </w:pPr>
            <w:r w:rsidRPr="00D50D80">
              <w:rPr>
                <w:b/>
              </w:rPr>
              <w:t>Description</w:t>
            </w:r>
          </w:p>
        </w:tc>
      </w:tr>
      <w:tr w:rsidR="00D50D80" w14:paraId="05B53CF7" w14:textId="77777777" w:rsidTr="00D50D8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835" w:type="dxa"/>
          </w:tcPr>
          <w:p w14:paraId="6418EE8A" w14:textId="063319DB" w:rsidR="00D50D80" w:rsidRDefault="00D50D80" w:rsidP="00CA2A1B">
            <w:pPr>
              <w:pStyle w:val="Tabletext"/>
            </w:pPr>
            <w:r>
              <w:t>(</w:t>
            </w:r>
            <w:proofErr w:type="spellStart"/>
            <w:r>
              <w:t>i</w:t>
            </w:r>
            <w:proofErr w:type="spellEnd"/>
            <w:r>
              <w:t>) Crisis management</w:t>
            </w:r>
          </w:p>
        </w:tc>
        <w:tc>
          <w:tcPr>
            <w:cnfStyle w:val="000001000000" w:firstRow="0" w:lastRow="0" w:firstColumn="0" w:lastColumn="0" w:oddVBand="0" w:evenVBand="1" w:oddHBand="0" w:evenHBand="0" w:firstRowFirstColumn="0" w:firstRowLastColumn="0" w:lastRowFirstColumn="0" w:lastRowLastColumn="0"/>
            <w:tcW w:w="7370" w:type="dxa"/>
          </w:tcPr>
          <w:p w14:paraId="2B8418B9" w14:textId="77777777" w:rsidR="00D50D80" w:rsidRDefault="00D50D80" w:rsidP="00CA2A1B">
            <w:pPr>
              <w:pStyle w:val="Tabletext"/>
            </w:pPr>
            <w:r>
              <w:t>Inadequate management of unexpected occurrences during anaesthesia or in other situations that, if uncorrected, could lead to death or severe injury.</w:t>
            </w:r>
          </w:p>
        </w:tc>
      </w:tr>
      <w:tr w:rsidR="00D50D80" w14:paraId="63EA3E1F"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2835" w:type="dxa"/>
          </w:tcPr>
          <w:p w14:paraId="67D291D9" w14:textId="7D3F8FBF" w:rsidR="00D50D80" w:rsidRDefault="00D50D80" w:rsidP="00CA2A1B">
            <w:pPr>
              <w:pStyle w:val="Tabletext"/>
            </w:pPr>
            <w:r>
              <w:t>(ii) Inadequate monitoring</w:t>
            </w:r>
          </w:p>
        </w:tc>
        <w:tc>
          <w:tcPr>
            <w:cnfStyle w:val="000001000000" w:firstRow="0" w:lastRow="0" w:firstColumn="0" w:lastColumn="0" w:oddVBand="0" w:evenVBand="1" w:oddHBand="0" w:evenHBand="0" w:firstRowFirstColumn="0" w:firstRowLastColumn="0" w:lastRowFirstColumn="0" w:lastRowLastColumn="0"/>
            <w:tcW w:w="7370" w:type="dxa"/>
          </w:tcPr>
          <w:p w14:paraId="14322CB8" w14:textId="77777777" w:rsidR="00D50D80" w:rsidRDefault="00D50D80" w:rsidP="00CA2A1B">
            <w:pPr>
              <w:pStyle w:val="Tabletext"/>
            </w:pPr>
            <w:r>
              <w:t>Failure to observe minimum standards as enunciated in the ANZCA policy document or to undertake additional monitoring when indicated – for example, use of a pulmonary artery catheter in left ventricular failure.</w:t>
            </w:r>
          </w:p>
        </w:tc>
      </w:tr>
      <w:tr w:rsidR="00D50D80" w14:paraId="235454FB"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835" w:type="dxa"/>
          </w:tcPr>
          <w:p w14:paraId="317FFF61" w14:textId="54DE9DB6" w:rsidR="00D50D80" w:rsidRDefault="00D50D80" w:rsidP="00CA2A1B">
            <w:pPr>
              <w:pStyle w:val="Tabletext"/>
            </w:pPr>
            <w:r>
              <w:t>(iii) Equipment failure</w:t>
            </w:r>
          </w:p>
        </w:tc>
        <w:tc>
          <w:tcPr>
            <w:cnfStyle w:val="000001000000" w:firstRow="0" w:lastRow="0" w:firstColumn="0" w:lastColumn="0" w:oddVBand="0" w:evenVBand="1" w:oddHBand="0" w:evenHBand="0" w:firstRowFirstColumn="0" w:firstRowLastColumn="0" w:lastRowFirstColumn="0" w:lastRowLastColumn="0"/>
            <w:tcW w:w="7370" w:type="dxa"/>
          </w:tcPr>
          <w:p w14:paraId="16750BDA" w14:textId="77777777" w:rsidR="00D50D80" w:rsidRDefault="00D50D80" w:rsidP="00CA2A1B">
            <w:pPr>
              <w:pStyle w:val="Tabletext"/>
            </w:pPr>
            <w:r>
              <w:t>Death or morbidity as a result of failure to check equipment or due to failure of an item of anaesthesia equipment.</w:t>
            </w:r>
          </w:p>
        </w:tc>
      </w:tr>
      <w:tr w:rsidR="00D50D80" w14:paraId="14864531"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2835" w:type="dxa"/>
          </w:tcPr>
          <w:p w14:paraId="23A6199B" w14:textId="2D4C91DF" w:rsidR="00D50D80" w:rsidRDefault="00D50D80" w:rsidP="00CA2A1B">
            <w:pPr>
              <w:pStyle w:val="Tabletext"/>
            </w:pPr>
            <w:r>
              <w:t>(iv) Inadequate resuscitation</w:t>
            </w:r>
          </w:p>
        </w:tc>
        <w:tc>
          <w:tcPr>
            <w:cnfStyle w:val="000001000000" w:firstRow="0" w:lastRow="0" w:firstColumn="0" w:lastColumn="0" w:oddVBand="0" w:evenVBand="1" w:oddHBand="0" w:evenHBand="0" w:firstRowFirstColumn="0" w:firstRowLastColumn="0" w:lastRowFirstColumn="0" w:lastRowLastColumn="0"/>
            <w:tcW w:w="7370" w:type="dxa"/>
          </w:tcPr>
          <w:p w14:paraId="36311884" w14:textId="77777777" w:rsidR="00D50D80" w:rsidRDefault="00D50D80" w:rsidP="00CA2A1B">
            <w:pPr>
              <w:pStyle w:val="Tabletext"/>
            </w:pPr>
            <w:r>
              <w:t>Failure to provide adequate resuscitation in an emergency situation.</w:t>
            </w:r>
          </w:p>
        </w:tc>
      </w:tr>
      <w:tr w:rsidR="00D50D80" w14:paraId="7842AFB1"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835" w:type="dxa"/>
          </w:tcPr>
          <w:p w14:paraId="236D2C55" w14:textId="72F8C213" w:rsidR="00D50D80" w:rsidRDefault="00D50D80" w:rsidP="00CA2A1B">
            <w:pPr>
              <w:pStyle w:val="Tabletext"/>
            </w:pPr>
            <w:r>
              <w:t>(v) Hypothermia</w:t>
            </w:r>
          </w:p>
        </w:tc>
        <w:tc>
          <w:tcPr>
            <w:cnfStyle w:val="000001000000" w:firstRow="0" w:lastRow="0" w:firstColumn="0" w:lastColumn="0" w:oddVBand="0" w:evenVBand="1" w:oddHBand="0" w:evenHBand="0" w:firstRowFirstColumn="0" w:firstRowLastColumn="0" w:lastRowFirstColumn="0" w:lastRowLastColumn="0"/>
            <w:tcW w:w="7370" w:type="dxa"/>
          </w:tcPr>
          <w:p w14:paraId="2E4A6CF5" w14:textId="77777777" w:rsidR="00D50D80" w:rsidRDefault="00D50D80" w:rsidP="00CA2A1B">
            <w:pPr>
              <w:pStyle w:val="Tabletext"/>
            </w:pPr>
            <w:r>
              <w:t>Failure to maintain adequate body temperature within recognised limits.</w:t>
            </w:r>
          </w:p>
        </w:tc>
      </w:tr>
    </w:tbl>
    <w:p w14:paraId="0FABF314" w14:textId="77777777" w:rsidR="009169E8" w:rsidRDefault="009169E8" w:rsidP="00F11623">
      <w:pPr>
        <w:pStyle w:val="Heading4"/>
      </w:pPr>
      <w:r>
        <w:t>E. Postoperative</w:t>
      </w:r>
    </w:p>
    <w:tbl>
      <w:tblPr>
        <w:tblStyle w:val="PlainTable2"/>
        <w:tblW w:w="0" w:type="auto"/>
        <w:tblLayout w:type="fixed"/>
        <w:tblLook w:val="0020" w:firstRow="1" w:lastRow="0" w:firstColumn="0" w:lastColumn="0" w:noHBand="0" w:noVBand="0"/>
      </w:tblPr>
      <w:tblGrid>
        <w:gridCol w:w="2835"/>
        <w:gridCol w:w="7370"/>
      </w:tblGrid>
      <w:tr w:rsidR="009169E8" w14:paraId="545ADE92" w14:textId="77777777" w:rsidTr="0088346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2835" w:type="dxa"/>
          </w:tcPr>
          <w:p w14:paraId="5298FCD0" w14:textId="77777777" w:rsidR="009169E8" w:rsidRPr="00883463" w:rsidRDefault="009169E8" w:rsidP="00A90D07">
            <w:pPr>
              <w:pStyle w:val="Tableheader"/>
              <w:rPr>
                <w:b/>
              </w:rPr>
            </w:pPr>
            <w:r w:rsidRPr="00883463">
              <w:rPr>
                <w:b/>
              </w:rPr>
              <w:t>Causal or contributory factor</w:t>
            </w:r>
          </w:p>
        </w:tc>
        <w:tc>
          <w:tcPr>
            <w:cnfStyle w:val="000001000000" w:firstRow="0" w:lastRow="0" w:firstColumn="0" w:lastColumn="0" w:oddVBand="0" w:evenVBand="1" w:oddHBand="0" w:evenHBand="0" w:firstRowFirstColumn="0" w:firstRowLastColumn="0" w:lastRowFirstColumn="0" w:lastRowLastColumn="0"/>
            <w:tcW w:w="7370" w:type="dxa"/>
          </w:tcPr>
          <w:p w14:paraId="52279A64" w14:textId="77777777" w:rsidR="009169E8" w:rsidRPr="00883463" w:rsidRDefault="009169E8" w:rsidP="00A90D07">
            <w:pPr>
              <w:pStyle w:val="Tableheader"/>
              <w:rPr>
                <w:b/>
              </w:rPr>
            </w:pPr>
            <w:r w:rsidRPr="00883463">
              <w:rPr>
                <w:b/>
              </w:rPr>
              <w:t>Description</w:t>
            </w:r>
          </w:p>
        </w:tc>
      </w:tr>
      <w:tr w:rsidR="00883463" w14:paraId="65B69222"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835" w:type="dxa"/>
          </w:tcPr>
          <w:p w14:paraId="123622F2" w14:textId="243EE341" w:rsidR="00883463" w:rsidRDefault="00883463" w:rsidP="00CA2A1B">
            <w:pPr>
              <w:pStyle w:val="Tabletext"/>
            </w:pPr>
            <w:r>
              <w:t>(</w:t>
            </w:r>
            <w:proofErr w:type="spellStart"/>
            <w:r>
              <w:t>i</w:t>
            </w:r>
            <w:proofErr w:type="spellEnd"/>
            <w:r>
              <w:t>) Management</w:t>
            </w:r>
          </w:p>
        </w:tc>
        <w:tc>
          <w:tcPr>
            <w:cnfStyle w:val="000001000000" w:firstRow="0" w:lastRow="0" w:firstColumn="0" w:lastColumn="0" w:oddVBand="0" w:evenVBand="1" w:oddHBand="0" w:evenHBand="0" w:firstRowFirstColumn="0" w:firstRowLastColumn="0" w:lastRowFirstColumn="0" w:lastRowLastColumn="0"/>
            <w:tcW w:w="7370" w:type="dxa"/>
          </w:tcPr>
          <w:p w14:paraId="41E76911" w14:textId="77777777" w:rsidR="00883463" w:rsidRDefault="00883463" w:rsidP="00CA2A1B">
            <w:pPr>
              <w:pStyle w:val="Tabletext"/>
            </w:pPr>
            <w:r>
              <w:t>Death or morbidity as a result of inappropriate intervention or omission of active intervention by the anaesthetist or a person under their direction (for example, a recovery or pain management nurse) in some matter related to the patient’s anaesthesia, pain management or resuscitation.</w:t>
            </w:r>
          </w:p>
        </w:tc>
      </w:tr>
      <w:tr w:rsidR="00883463" w14:paraId="547A5504"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2835" w:type="dxa"/>
          </w:tcPr>
          <w:p w14:paraId="2EE6F2A1" w14:textId="7D1362C0" w:rsidR="00883463" w:rsidRDefault="00883463" w:rsidP="00CA2A1B">
            <w:pPr>
              <w:pStyle w:val="Tabletext"/>
            </w:pPr>
            <w:r>
              <w:t>(ii) Supervision</w:t>
            </w:r>
          </w:p>
        </w:tc>
        <w:tc>
          <w:tcPr>
            <w:cnfStyle w:val="000001000000" w:firstRow="0" w:lastRow="0" w:firstColumn="0" w:lastColumn="0" w:oddVBand="0" w:evenVBand="1" w:oddHBand="0" w:evenHBand="0" w:firstRowFirstColumn="0" w:firstRowLastColumn="0" w:lastRowFirstColumn="0" w:lastRowLastColumn="0"/>
            <w:tcW w:w="7370" w:type="dxa"/>
          </w:tcPr>
          <w:p w14:paraId="6CF6D5F0" w14:textId="77777777" w:rsidR="00883463" w:rsidRDefault="00883463" w:rsidP="00CA2A1B">
            <w:pPr>
              <w:pStyle w:val="Tabletext"/>
            </w:pPr>
            <w:r>
              <w:t>Death or morbidity due to inadequate supervision or monitoring. The anaesthetist has ongoing responsibility, but the surgical role must also be assessed.</w:t>
            </w:r>
          </w:p>
        </w:tc>
      </w:tr>
      <w:tr w:rsidR="00883463" w14:paraId="4C9F38E2"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835" w:type="dxa"/>
          </w:tcPr>
          <w:p w14:paraId="0166EA0E" w14:textId="3CFA0B3B" w:rsidR="00883463" w:rsidRDefault="00883463" w:rsidP="00CA2A1B">
            <w:pPr>
              <w:pStyle w:val="Tabletext"/>
            </w:pPr>
            <w:r>
              <w:t>(iii) Inadequate resuscitation</w:t>
            </w:r>
          </w:p>
        </w:tc>
        <w:tc>
          <w:tcPr>
            <w:cnfStyle w:val="000001000000" w:firstRow="0" w:lastRow="0" w:firstColumn="0" w:lastColumn="0" w:oddVBand="0" w:evenVBand="1" w:oddHBand="0" w:evenHBand="0" w:firstRowFirstColumn="0" w:firstRowLastColumn="0" w:lastRowFirstColumn="0" w:lastRowLastColumn="0"/>
            <w:tcW w:w="7370" w:type="dxa"/>
          </w:tcPr>
          <w:p w14:paraId="642DD05C" w14:textId="77777777" w:rsidR="00883463" w:rsidRDefault="00883463" w:rsidP="00CA2A1B">
            <w:pPr>
              <w:pStyle w:val="Tabletext"/>
            </w:pPr>
            <w:r>
              <w:t>Death or morbidity due to inadequate management of hypovolaemia or hypoxaemia or where there has been a failure to perform proper cardiopulmonary resuscitation.</w:t>
            </w:r>
          </w:p>
        </w:tc>
      </w:tr>
    </w:tbl>
    <w:p w14:paraId="6602157D" w14:textId="77777777" w:rsidR="009169E8" w:rsidRDefault="009169E8" w:rsidP="00F11623">
      <w:pPr>
        <w:pStyle w:val="Heading4"/>
      </w:pPr>
      <w:r>
        <w:t>F. Organisational</w:t>
      </w:r>
    </w:p>
    <w:tbl>
      <w:tblPr>
        <w:tblStyle w:val="PlainTable2"/>
        <w:tblW w:w="0" w:type="auto"/>
        <w:tblLayout w:type="fixed"/>
        <w:tblLook w:val="0020" w:firstRow="1" w:lastRow="0" w:firstColumn="0" w:lastColumn="0" w:noHBand="0" w:noVBand="0"/>
      </w:tblPr>
      <w:tblGrid>
        <w:gridCol w:w="2835"/>
        <w:gridCol w:w="7370"/>
      </w:tblGrid>
      <w:tr w:rsidR="009169E8" w14:paraId="3D03EF8C" w14:textId="77777777" w:rsidTr="000041AA">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2835" w:type="dxa"/>
          </w:tcPr>
          <w:p w14:paraId="78FF5C62" w14:textId="77777777" w:rsidR="009169E8" w:rsidRPr="000041AA" w:rsidRDefault="009169E8" w:rsidP="00A90D07">
            <w:pPr>
              <w:pStyle w:val="Tableheader"/>
              <w:rPr>
                <w:b/>
              </w:rPr>
            </w:pPr>
            <w:r w:rsidRPr="000041AA">
              <w:rPr>
                <w:b/>
              </w:rPr>
              <w:t>Causal or contributory factor</w:t>
            </w:r>
          </w:p>
        </w:tc>
        <w:tc>
          <w:tcPr>
            <w:cnfStyle w:val="000001000000" w:firstRow="0" w:lastRow="0" w:firstColumn="0" w:lastColumn="0" w:oddVBand="0" w:evenVBand="1" w:oddHBand="0" w:evenHBand="0" w:firstRowFirstColumn="0" w:firstRowLastColumn="0" w:lastRowFirstColumn="0" w:lastRowLastColumn="0"/>
            <w:tcW w:w="7370" w:type="dxa"/>
          </w:tcPr>
          <w:p w14:paraId="77882518" w14:textId="77777777" w:rsidR="009169E8" w:rsidRPr="000041AA" w:rsidRDefault="009169E8" w:rsidP="00A90D07">
            <w:pPr>
              <w:pStyle w:val="Tableheader"/>
              <w:rPr>
                <w:b/>
              </w:rPr>
            </w:pPr>
            <w:r w:rsidRPr="000041AA">
              <w:rPr>
                <w:b/>
              </w:rPr>
              <w:t>Description</w:t>
            </w:r>
          </w:p>
        </w:tc>
      </w:tr>
      <w:tr w:rsidR="000041AA" w14:paraId="4A428AB0"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835" w:type="dxa"/>
          </w:tcPr>
          <w:p w14:paraId="1B98D988" w14:textId="278AA685" w:rsidR="000041AA" w:rsidRDefault="000041AA" w:rsidP="00CA2A1B">
            <w:pPr>
              <w:pStyle w:val="Tabletext"/>
            </w:pPr>
            <w:r>
              <w:t>(</w:t>
            </w:r>
            <w:proofErr w:type="spellStart"/>
            <w:r>
              <w:t>i</w:t>
            </w:r>
            <w:proofErr w:type="spellEnd"/>
            <w:r>
              <w:t>) Inadequate supervision, inexperience or assistance</w:t>
            </w:r>
          </w:p>
        </w:tc>
        <w:tc>
          <w:tcPr>
            <w:cnfStyle w:val="000001000000" w:firstRow="0" w:lastRow="0" w:firstColumn="0" w:lastColumn="0" w:oddVBand="0" w:evenVBand="1" w:oddHBand="0" w:evenHBand="0" w:firstRowFirstColumn="0" w:firstRowLastColumn="0" w:lastRowFirstColumn="0" w:lastRowLastColumn="0"/>
            <w:tcW w:w="7370" w:type="dxa"/>
          </w:tcPr>
          <w:p w14:paraId="51DDEFBA" w14:textId="77777777" w:rsidR="000041AA" w:rsidRDefault="000041AA" w:rsidP="00CA2A1B">
            <w:pPr>
              <w:pStyle w:val="Tabletext"/>
            </w:pPr>
            <w:r>
              <w:t>These factors apply whether the anaesthetist is a trainee, a non-specialist or a specialist undertaking an unfamiliar procedure. The criterion of adequacy of supervision of a trainee is based on the ANZCA policy document on supervision of trainees.</w:t>
            </w:r>
          </w:p>
        </w:tc>
      </w:tr>
      <w:tr w:rsidR="000041AA" w14:paraId="085995AE"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2835" w:type="dxa"/>
          </w:tcPr>
          <w:p w14:paraId="2CC1CCD5" w14:textId="17DBD657" w:rsidR="000041AA" w:rsidRDefault="000041AA" w:rsidP="00CA2A1B">
            <w:pPr>
              <w:pStyle w:val="Tabletext"/>
            </w:pPr>
            <w:r>
              <w:t>(ii) Poor organisation of the service</w:t>
            </w:r>
          </w:p>
        </w:tc>
        <w:tc>
          <w:tcPr>
            <w:cnfStyle w:val="000001000000" w:firstRow="0" w:lastRow="0" w:firstColumn="0" w:lastColumn="0" w:oddVBand="0" w:evenVBand="1" w:oddHBand="0" w:evenHBand="0" w:firstRowFirstColumn="0" w:firstRowLastColumn="0" w:lastRowFirstColumn="0" w:lastRowLastColumn="0"/>
            <w:tcW w:w="7370" w:type="dxa"/>
          </w:tcPr>
          <w:p w14:paraId="21DBCD24" w14:textId="77777777" w:rsidR="000041AA" w:rsidRDefault="000041AA" w:rsidP="00CA2A1B">
            <w:pPr>
              <w:pStyle w:val="Tabletext"/>
            </w:pPr>
            <w:r>
              <w:t>Inappropriate delegation, poor rostering and fatigue contributing to a fatality.</w:t>
            </w:r>
          </w:p>
        </w:tc>
      </w:tr>
      <w:tr w:rsidR="000041AA" w14:paraId="30528AEC"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2835" w:type="dxa"/>
          </w:tcPr>
          <w:p w14:paraId="14B06B5B" w14:textId="21634535" w:rsidR="000041AA" w:rsidRDefault="000041AA" w:rsidP="00CA2A1B">
            <w:pPr>
              <w:pStyle w:val="Tabletext"/>
            </w:pPr>
            <w:r>
              <w:t>(iii) Failure of interdisciplinary planning</w:t>
            </w:r>
          </w:p>
        </w:tc>
        <w:tc>
          <w:tcPr>
            <w:cnfStyle w:val="000001000000" w:firstRow="0" w:lastRow="0" w:firstColumn="0" w:lastColumn="0" w:oddVBand="0" w:evenVBand="1" w:oddHBand="0" w:evenHBand="0" w:firstRowFirstColumn="0" w:firstRowLastColumn="0" w:lastRowFirstColumn="0" w:lastRowLastColumn="0"/>
            <w:tcW w:w="7370" w:type="dxa"/>
          </w:tcPr>
          <w:p w14:paraId="4F133E86" w14:textId="77777777" w:rsidR="000041AA" w:rsidRDefault="000041AA" w:rsidP="00CA2A1B">
            <w:pPr>
              <w:pStyle w:val="Tabletext"/>
            </w:pPr>
            <w:r>
              <w:t>Poor communication in perioperative management and failure to anticipate the need for high-dependency care.</w:t>
            </w:r>
          </w:p>
        </w:tc>
      </w:tr>
    </w:tbl>
    <w:p w14:paraId="529216D3" w14:textId="77777777" w:rsidR="009169E8" w:rsidRPr="005B76F4" w:rsidRDefault="009169E8" w:rsidP="00F11623">
      <w:pPr>
        <w:pStyle w:val="Heading4"/>
      </w:pPr>
      <w:r w:rsidRPr="005B76F4">
        <w:t>G. No correctable factor identifiable</w:t>
      </w:r>
    </w:p>
    <w:p w14:paraId="61323CF4" w14:textId="77777777" w:rsidR="000041AA" w:rsidRDefault="000041AA" w:rsidP="000041AA">
      <w:pPr>
        <w:pStyle w:val="DHHSbody"/>
      </w:pPr>
      <w:r>
        <w:t>Where the death or morbidity was due to anaesthesia factors but no better technique could be suggested.</w:t>
      </w:r>
    </w:p>
    <w:p w14:paraId="00C40F88" w14:textId="77777777" w:rsidR="009169E8" w:rsidRDefault="009169E8" w:rsidP="00F11623">
      <w:pPr>
        <w:pStyle w:val="Heading4"/>
      </w:pPr>
      <w:r>
        <w:t>H. Medical condition of the patient</w:t>
      </w:r>
    </w:p>
    <w:p w14:paraId="791514EA" w14:textId="2D0EEB40" w:rsidR="009169E8" w:rsidRDefault="000041AA" w:rsidP="000041AA">
      <w:pPr>
        <w:pStyle w:val="DHHSbody"/>
      </w:pPr>
      <w:r>
        <w:t>Where it is considered that the medical condition was a significant factor in the anaesthesia-related death or morbidity.</w:t>
      </w:r>
    </w:p>
    <w:p w14:paraId="38D04C72" w14:textId="77777777" w:rsidR="009169E8" w:rsidRDefault="009169E8" w:rsidP="000A4644">
      <w:pPr>
        <w:pStyle w:val="Heading2"/>
      </w:pPr>
      <w:r>
        <w:lastRenderedPageBreak/>
        <w:t>EVENT CATEGORIES</w:t>
      </w:r>
    </w:p>
    <w:p w14:paraId="2A117992" w14:textId="7DF9B6CE" w:rsidR="009169E8" w:rsidRDefault="009169E8" w:rsidP="00E961B4">
      <w:pPr>
        <w:pStyle w:val="Bullet1"/>
      </w:pPr>
      <w:r>
        <w:t>Airway</w:t>
      </w:r>
    </w:p>
    <w:p w14:paraId="7B71ACCD" w14:textId="77777777" w:rsidR="009169E8" w:rsidRDefault="009169E8" w:rsidP="00E961B4">
      <w:pPr>
        <w:pStyle w:val="Bullet1"/>
      </w:pPr>
      <w:r>
        <w:t>Cardiovascular</w:t>
      </w:r>
    </w:p>
    <w:p w14:paraId="52FF41B6" w14:textId="77777777" w:rsidR="009169E8" w:rsidRDefault="009169E8" w:rsidP="00E961B4">
      <w:pPr>
        <w:pStyle w:val="Bullet1"/>
      </w:pPr>
      <w:r>
        <w:t>Drug-related</w:t>
      </w:r>
    </w:p>
    <w:p w14:paraId="2588CC18" w14:textId="77777777" w:rsidR="009169E8" w:rsidRDefault="009169E8" w:rsidP="00E961B4">
      <w:pPr>
        <w:pStyle w:val="Bullet1"/>
      </w:pPr>
      <w:r>
        <w:t>Equipment-related</w:t>
      </w:r>
    </w:p>
    <w:p w14:paraId="0C0A7A8E" w14:textId="77777777" w:rsidR="009169E8" w:rsidRDefault="009169E8" w:rsidP="00E961B4">
      <w:pPr>
        <w:pStyle w:val="Bullet1"/>
      </w:pPr>
      <w:r>
        <w:t>Metabolic</w:t>
      </w:r>
    </w:p>
    <w:p w14:paraId="090C5828" w14:textId="77777777" w:rsidR="009169E8" w:rsidRDefault="009169E8" w:rsidP="00E961B4">
      <w:pPr>
        <w:pStyle w:val="Bullet1"/>
      </w:pPr>
      <w:r>
        <w:t>Miscellaneous</w:t>
      </w:r>
    </w:p>
    <w:p w14:paraId="399E9D58" w14:textId="77777777" w:rsidR="009169E8" w:rsidRDefault="009169E8" w:rsidP="00E961B4">
      <w:pPr>
        <w:pStyle w:val="Bullet1"/>
      </w:pPr>
      <w:r>
        <w:t>Neurological</w:t>
      </w:r>
    </w:p>
    <w:p w14:paraId="15071642" w14:textId="77777777" w:rsidR="009169E8" w:rsidRDefault="009169E8" w:rsidP="00E961B4">
      <w:pPr>
        <w:pStyle w:val="Bullet1"/>
      </w:pPr>
      <w:r>
        <w:t>Pain management</w:t>
      </w:r>
    </w:p>
    <w:p w14:paraId="4BED9AEC" w14:textId="77777777" w:rsidR="009169E8" w:rsidRDefault="009169E8" w:rsidP="00E961B4">
      <w:pPr>
        <w:pStyle w:val="Bullet1"/>
      </w:pPr>
      <w:r>
        <w:t>Procedure-related</w:t>
      </w:r>
    </w:p>
    <w:p w14:paraId="755D2B5E" w14:textId="77777777" w:rsidR="009169E8" w:rsidRDefault="009169E8" w:rsidP="00BB165F">
      <w:pPr>
        <w:pStyle w:val="Bullet1"/>
      </w:pPr>
      <w:r>
        <w:t>Respiratory</w:t>
      </w:r>
    </w:p>
    <w:p w14:paraId="1255BAF9" w14:textId="77777777" w:rsidR="009169E8" w:rsidRPr="00B77DAB" w:rsidRDefault="009169E8" w:rsidP="00B77DAB">
      <w:pPr>
        <w:pStyle w:val="Heading4"/>
      </w:pPr>
      <w:r w:rsidRPr="00B77DAB">
        <w:t>Category: Airway</w:t>
      </w:r>
    </w:p>
    <w:tbl>
      <w:tblPr>
        <w:tblStyle w:val="PlainTable2"/>
        <w:tblW w:w="0" w:type="auto"/>
        <w:tblLayout w:type="fixed"/>
        <w:tblLook w:val="0020" w:firstRow="1" w:lastRow="0" w:firstColumn="0" w:lastColumn="0" w:noHBand="0" w:noVBand="0"/>
      </w:tblPr>
      <w:tblGrid>
        <w:gridCol w:w="3288"/>
        <w:gridCol w:w="6917"/>
      </w:tblGrid>
      <w:tr w:rsidR="009169E8" w14:paraId="2C9E6980" w14:textId="77777777" w:rsidTr="000041AA">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7DF2A5D0" w14:textId="77777777" w:rsidR="009169E8" w:rsidRPr="000041AA" w:rsidRDefault="009169E8" w:rsidP="00A90D07">
            <w:pPr>
              <w:pStyle w:val="Tableheader"/>
              <w:rPr>
                <w:b/>
              </w:rPr>
            </w:pPr>
            <w:r w:rsidRPr="000041AA">
              <w:rPr>
                <w:b/>
              </w:rPr>
              <w:t>Abbreviated description of type</w:t>
            </w:r>
          </w:p>
        </w:tc>
        <w:tc>
          <w:tcPr>
            <w:cnfStyle w:val="000001000000" w:firstRow="0" w:lastRow="0" w:firstColumn="0" w:lastColumn="0" w:oddVBand="0" w:evenVBand="1" w:oddHBand="0" w:evenHBand="0" w:firstRowFirstColumn="0" w:firstRowLastColumn="0" w:lastRowFirstColumn="0" w:lastRowLastColumn="0"/>
            <w:tcW w:w="6917" w:type="dxa"/>
          </w:tcPr>
          <w:p w14:paraId="60D02814" w14:textId="77777777" w:rsidR="009169E8" w:rsidRPr="000041AA" w:rsidRDefault="009169E8" w:rsidP="00A90D07">
            <w:pPr>
              <w:pStyle w:val="Tableheader"/>
              <w:rPr>
                <w:b/>
              </w:rPr>
            </w:pPr>
            <w:r w:rsidRPr="000041AA">
              <w:rPr>
                <w:b/>
              </w:rPr>
              <w:t>Full definition</w:t>
            </w:r>
          </w:p>
        </w:tc>
      </w:tr>
      <w:tr w:rsidR="009169E8" w14:paraId="2FC64FD7" w14:textId="77777777" w:rsidTr="000041AA">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54420BFF" w14:textId="3950AD11" w:rsidR="009169E8" w:rsidRDefault="009169E8" w:rsidP="00CA2A1B">
            <w:pPr>
              <w:pStyle w:val="Tabletext"/>
            </w:pPr>
            <w:r>
              <w:t>Airway obstruction</w:t>
            </w:r>
          </w:p>
        </w:tc>
        <w:tc>
          <w:tcPr>
            <w:cnfStyle w:val="000001000000" w:firstRow="0" w:lastRow="0" w:firstColumn="0" w:lastColumn="0" w:oddVBand="0" w:evenVBand="1" w:oddHBand="0" w:evenHBand="0" w:firstRowFirstColumn="0" w:firstRowLastColumn="0" w:lastRowFirstColumn="0" w:lastRowLastColumn="0"/>
            <w:tcW w:w="6917" w:type="dxa"/>
          </w:tcPr>
          <w:p w14:paraId="04D30DD5" w14:textId="77777777" w:rsidR="009169E8" w:rsidRDefault="009169E8" w:rsidP="00CA2A1B">
            <w:pPr>
              <w:pStyle w:val="Tabletext"/>
            </w:pPr>
            <w:r>
              <w:t>Clinically significant partial or complete upper or lower airway obstruction</w:t>
            </w:r>
          </w:p>
        </w:tc>
      </w:tr>
      <w:tr w:rsidR="009169E8" w14:paraId="064B852F" w14:textId="77777777" w:rsidTr="000041AA">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5F1AC11" w14:textId="77777777" w:rsidR="009169E8" w:rsidRDefault="009169E8" w:rsidP="00CA2A1B">
            <w:pPr>
              <w:pStyle w:val="Tabletext"/>
            </w:pPr>
            <w:r>
              <w:t>Airway soft tissue injury</w:t>
            </w:r>
          </w:p>
        </w:tc>
        <w:tc>
          <w:tcPr>
            <w:cnfStyle w:val="000001000000" w:firstRow="0" w:lastRow="0" w:firstColumn="0" w:lastColumn="0" w:oddVBand="0" w:evenVBand="1" w:oddHBand="0" w:evenHBand="0" w:firstRowFirstColumn="0" w:firstRowLastColumn="0" w:lastRowFirstColumn="0" w:lastRowLastColumn="0"/>
            <w:tcW w:w="6917" w:type="dxa"/>
          </w:tcPr>
          <w:p w14:paraId="0362F487" w14:textId="77777777" w:rsidR="009169E8" w:rsidRDefault="009169E8" w:rsidP="00CA2A1B">
            <w:pPr>
              <w:pStyle w:val="Tabletext"/>
            </w:pPr>
            <w:r>
              <w:t>Injury to non-dental structures</w:t>
            </w:r>
          </w:p>
        </w:tc>
      </w:tr>
      <w:tr w:rsidR="009169E8" w14:paraId="34AE3C1B" w14:textId="77777777" w:rsidTr="000041AA">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1A412103" w14:textId="77777777" w:rsidR="009169E8" w:rsidRDefault="009169E8" w:rsidP="00CA2A1B">
            <w:pPr>
              <w:pStyle w:val="Tabletext"/>
            </w:pPr>
            <w:r>
              <w:t>Dental injury</w:t>
            </w:r>
          </w:p>
        </w:tc>
        <w:tc>
          <w:tcPr>
            <w:cnfStyle w:val="000001000000" w:firstRow="0" w:lastRow="0" w:firstColumn="0" w:lastColumn="0" w:oddVBand="0" w:evenVBand="1" w:oddHBand="0" w:evenHBand="0" w:firstRowFirstColumn="0" w:firstRowLastColumn="0" w:lastRowFirstColumn="0" w:lastRowLastColumn="0"/>
            <w:tcW w:w="6917" w:type="dxa"/>
          </w:tcPr>
          <w:p w14:paraId="4F9C27C3" w14:textId="77777777" w:rsidR="009169E8" w:rsidRDefault="009169E8" w:rsidP="00CA2A1B">
            <w:pPr>
              <w:pStyle w:val="Tabletext"/>
            </w:pPr>
            <w:r>
              <w:t>Any injury to the teeth or dental prosthesis</w:t>
            </w:r>
          </w:p>
        </w:tc>
      </w:tr>
      <w:tr w:rsidR="009169E8" w14:paraId="36EBCBBE" w14:textId="77777777" w:rsidTr="000041AA">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1B44B09A" w14:textId="77777777" w:rsidR="009169E8" w:rsidRDefault="009169E8" w:rsidP="00CA2A1B">
            <w:pPr>
              <w:pStyle w:val="Tabletext"/>
            </w:pPr>
            <w:r>
              <w:t>Endobronchial intubation</w:t>
            </w:r>
          </w:p>
        </w:tc>
        <w:tc>
          <w:tcPr>
            <w:cnfStyle w:val="000001000000" w:firstRow="0" w:lastRow="0" w:firstColumn="0" w:lastColumn="0" w:oddVBand="0" w:evenVBand="1" w:oddHBand="0" w:evenHBand="0" w:firstRowFirstColumn="0" w:firstRowLastColumn="0" w:lastRowFirstColumn="0" w:lastRowLastColumn="0"/>
            <w:tcW w:w="6917" w:type="dxa"/>
          </w:tcPr>
          <w:p w14:paraId="3537C0CA" w14:textId="77777777" w:rsidR="009169E8" w:rsidRDefault="009169E8" w:rsidP="00CA2A1B">
            <w:pPr>
              <w:pStyle w:val="Tabletext"/>
            </w:pPr>
            <w:r>
              <w:t>Unintended clinically significant endobronchial intubation</w:t>
            </w:r>
          </w:p>
        </w:tc>
      </w:tr>
      <w:tr w:rsidR="009169E8" w14:paraId="7DA6AAFE" w14:textId="77777777" w:rsidTr="000041AA">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0EF40102" w14:textId="77777777" w:rsidR="009169E8" w:rsidRDefault="009169E8" w:rsidP="00CA2A1B">
            <w:pPr>
              <w:pStyle w:val="Tabletext"/>
            </w:pPr>
            <w:r>
              <w:t>Failed intubation</w:t>
            </w:r>
          </w:p>
        </w:tc>
        <w:tc>
          <w:tcPr>
            <w:cnfStyle w:val="000001000000" w:firstRow="0" w:lastRow="0" w:firstColumn="0" w:lastColumn="0" w:oddVBand="0" w:evenVBand="1" w:oddHBand="0" w:evenHBand="0" w:firstRowFirstColumn="0" w:firstRowLastColumn="0" w:lastRowFirstColumn="0" w:lastRowLastColumn="0"/>
            <w:tcW w:w="6917" w:type="dxa"/>
          </w:tcPr>
          <w:p w14:paraId="41D75A0E" w14:textId="77777777" w:rsidR="009169E8" w:rsidRDefault="009169E8" w:rsidP="00CA2A1B">
            <w:pPr>
              <w:pStyle w:val="Tabletext"/>
            </w:pPr>
            <w:r>
              <w:t>Inability to correctly place the endotracheal or endobronchial tube at direct laryngoscopy requiring an alternative technique</w:t>
            </w:r>
          </w:p>
        </w:tc>
      </w:tr>
      <w:tr w:rsidR="009169E8" w14:paraId="11C6DC9A" w14:textId="77777777" w:rsidTr="000041AA">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DFABF4A" w14:textId="77777777" w:rsidR="009169E8" w:rsidRDefault="009169E8" w:rsidP="00CA2A1B">
            <w:pPr>
              <w:pStyle w:val="Tabletext"/>
            </w:pPr>
            <w:r>
              <w:t>Other</w:t>
            </w:r>
          </w:p>
        </w:tc>
        <w:tc>
          <w:tcPr>
            <w:cnfStyle w:val="000001000000" w:firstRow="0" w:lastRow="0" w:firstColumn="0" w:lastColumn="0" w:oddVBand="0" w:evenVBand="1" w:oddHBand="0" w:evenHBand="0" w:firstRowFirstColumn="0" w:firstRowLastColumn="0" w:lastRowFirstColumn="0" w:lastRowLastColumn="0"/>
            <w:tcW w:w="6917" w:type="dxa"/>
          </w:tcPr>
          <w:p w14:paraId="1789852D" w14:textId="77777777" w:rsidR="009169E8" w:rsidRDefault="009169E8" w:rsidP="00CA2A1B">
            <w:pPr>
              <w:pStyle w:val="Tabletext"/>
            </w:pPr>
            <w:r>
              <w:t>Free-text option – clinically significant event that is not otherwise specified</w:t>
            </w:r>
          </w:p>
        </w:tc>
      </w:tr>
    </w:tbl>
    <w:p w14:paraId="5DB8A779" w14:textId="77777777" w:rsidR="009169E8" w:rsidRPr="00B77DAB" w:rsidRDefault="009169E8" w:rsidP="00B77DAB">
      <w:pPr>
        <w:pStyle w:val="Heading4"/>
      </w:pPr>
      <w:r w:rsidRPr="00B77DAB">
        <w:t>Category: Cardiovascular</w:t>
      </w:r>
    </w:p>
    <w:tbl>
      <w:tblPr>
        <w:tblStyle w:val="PlainTable2"/>
        <w:tblW w:w="0" w:type="auto"/>
        <w:tblLayout w:type="fixed"/>
        <w:tblLook w:val="0020" w:firstRow="1" w:lastRow="0" w:firstColumn="0" w:lastColumn="0" w:noHBand="0" w:noVBand="0"/>
      </w:tblPr>
      <w:tblGrid>
        <w:gridCol w:w="3288"/>
        <w:gridCol w:w="6917"/>
      </w:tblGrid>
      <w:tr w:rsidR="009169E8" w14:paraId="2608B3FC" w14:textId="77777777" w:rsidTr="000041AA">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0FFDA8E6" w14:textId="77777777" w:rsidR="009169E8" w:rsidRPr="000041AA" w:rsidRDefault="009169E8" w:rsidP="00A90D07">
            <w:pPr>
              <w:pStyle w:val="Tableheader"/>
              <w:rPr>
                <w:b/>
              </w:rPr>
            </w:pPr>
            <w:r w:rsidRPr="000041AA">
              <w:rPr>
                <w:b/>
              </w:rPr>
              <w:t>Abbreviated description of type</w:t>
            </w:r>
          </w:p>
        </w:tc>
        <w:tc>
          <w:tcPr>
            <w:cnfStyle w:val="000001000000" w:firstRow="0" w:lastRow="0" w:firstColumn="0" w:lastColumn="0" w:oddVBand="0" w:evenVBand="1" w:oddHBand="0" w:evenHBand="0" w:firstRowFirstColumn="0" w:firstRowLastColumn="0" w:lastRowFirstColumn="0" w:lastRowLastColumn="0"/>
            <w:tcW w:w="6917" w:type="dxa"/>
          </w:tcPr>
          <w:p w14:paraId="11452E2A" w14:textId="77777777" w:rsidR="009169E8" w:rsidRPr="000041AA" w:rsidRDefault="009169E8" w:rsidP="00A90D07">
            <w:pPr>
              <w:pStyle w:val="Tableheader"/>
              <w:rPr>
                <w:b/>
              </w:rPr>
            </w:pPr>
            <w:r w:rsidRPr="000041AA">
              <w:rPr>
                <w:b/>
              </w:rPr>
              <w:t>Full definition</w:t>
            </w:r>
          </w:p>
        </w:tc>
      </w:tr>
      <w:tr w:rsidR="009169E8" w14:paraId="07848140" w14:textId="77777777" w:rsidTr="000041AA">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36EDA343" w14:textId="77777777" w:rsidR="009169E8" w:rsidRDefault="009169E8" w:rsidP="00CA2A1B">
            <w:pPr>
              <w:pStyle w:val="Tabletext"/>
            </w:pPr>
            <w:r>
              <w:t xml:space="preserve">Anaemia </w:t>
            </w:r>
          </w:p>
        </w:tc>
        <w:tc>
          <w:tcPr>
            <w:cnfStyle w:val="000001000000" w:firstRow="0" w:lastRow="0" w:firstColumn="0" w:lastColumn="0" w:oddVBand="0" w:evenVBand="1" w:oddHBand="0" w:evenHBand="0" w:firstRowFirstColumn="0" w:firstRowLastColumn="0" w:lastRowFirstColumn="0" w:lastRowLastColumn="0"/>
            <w:tcW w:w="6917" w:type="dxa"/>
          </w:tcPr>
          <w:p w14:paraId="559D1D93" w14:textId="77777777" w:rsidR="009169E8" w:rsidRDefault="009169E8" w:rsidP="00CA2A1B">
            <w:pPr>
              <w:pStyle w:val="Tabletext"/>
            </w:pPr>
            <w:r>
              <w:t xml:space="preserve">Hb &lt; 70 g/L </w:t>
            </w:r>
          </w:p>
        </w:tc>
      </w:tr>
    </w:tbl>
    <w:p w14:paraId="37EEB9FD" w14:textId="77777777" w:rsidR="009169E8" w:rsidRDefault="009169E8" w:rsidP="00F11623">
      <w:pPr>
        <w:pStyle w:val="Heading4"/>
      </w:pPr>
      <w:r>
        <w:t>Category: Equipment-related</w:t>
      </w:r>
    </w:p>
    <w:tbl>
      <w:tblPr>
        <w:tblStyle w:val="PlainTable2"/>
        <w:tblW w:w="0" w:type="auto"/>
        <w:tblLayout w:type="fixed"/>
        <w:tblLook w:val="0020" w:firstRow="1" w:lastRow="0" w:firstColumn="0" w:lastColumn="0" w:noHBand="0" w:noVBand="0"/>
      </w:tblPr>
      <w:tblGrid>
        <w:gridCol w:w="3288"/>
        <w:gridCol w:w="6917"/>
      </w:tblGrid>
      <w:tr w:rsidR="009169E8" w14:paraId="5975E0E4" w14:textId="77777777" w:rsidTr="00010D10">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5C61ED0F" w14:textId="77777777" w:rsidR="009169E8" w:rsidRPr="000E15AF" w:rsidRDefault="009169E8" w:rsidP="00A90D07">
            <w:pPr>
              <w:pStyle w:val="Tableheader"/>
              <w:rPr>
                <w:b/>
              </w:rPr>
            </w:pPr>
            <w:r w:rsidRPr="000E15AF">
              <w:rPr>
                <w:b/>
              </w:rPr>
              <w:t>Abbreviated description of type</w:t>
            </w:r>
          </w:p>
        </w:tc>
        <w:tc>
          <w:tcPr>
            <w:cnfStyle w:val="000001000000" w:firstRow="0" w:lastRow="0" w:firstColumn="0" w:lastColumn="0" w:oddVBand="0" w:evenVBand="1" w:oddHBand="0" w:evenHBand="0" w:firstRowFirstColumn="0" w:firstRowLastColumn="0" w:lastRowFirstColumn="0" w:lastRowLastColumn="0"/>
            <w:tcW w:w="6917" w:type="dxa"/>
          </w:tcPr>
          <w:p w14:paraId="33D04F10" w14:textId="77777777" w:rsidR="009169E8" w:rsidRPr="000E15AF" w:rsidRDefault="009169E8" w:rsidP="00A90D07">
            <w:pPr>
              <w:pStyle w:val="Tableheader"/>
              <w:rPr>
                <w:b/>
              </w:rPr>
            </w:pPr>
            <w:r w:rsidRPr="000E15AF">
              <w:rPr>
                <w:b/>
              </w:rPr>
              <w:t>Full definition</w:t>
            </w:r>
          </w:p>
        </w:tc>
      </w:tr>
      <w:tr w:rsidR="009169E8" w14:paraId="010C30CF" w14:textId="77777777" w:rsidTr="00010D1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1A4180FE" w14:textId="00EA5878" w:rsidR="009169E8" w:rsidRDefault="009169E8" w:rsidP="00CA2A1B">
            <w:pPr>
              <w:pStyle w:val="Tabletext"/>
            </w:pPr>
            <w:r>
              <w:t>Arrhythmia</w:t>
            </w:r>
          </w:p>
        </w:tc>
        <w:tc>
          <w:tcPr>
            <w:cnfStyle w:val="000001000000" w:firstRow="0" w:lastRow="0" w:firstColumn="0" w:lastColumn="0" w:oddVBand="0" w:evenVBand="1" w:oddHBand="0" w:evenHBand="0" w:firstRowFirstColumn="0" w:firstRowLastColumn="0" w:lastRowFirstColumn="0" w:lastRowLastColumn="0"/>
            <w:tcW w:w="6917" w:type="dxa"/>
          </w:tcPr>
          <w:p w14:paraId="5DFE54E8" w14:textId="77777777" w:rsidR="009169E8" w:rsidRDefault="009169E8" w:rsidP="00CA2A1B">
            <w:pPr>
              <w:pStyle w:val="Tabletext"/>
            </w:pPr>
            <w:r>
              <w:t>A clinically significant rate or rhythm disturbance requiring intervention</w:t>
            </w:r>
          </w:p>
        </w:tc>
      </w:tr>
      <w:tr w:rsidR="009169E8" w14:paraId="700C9169" w14:textId="77777777" w:rsidTr="00010D10">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4BB93796" w14:textId="77777777" w:rsidR="009169E8" w:rsidRDefault="009169E8" w:rsidP="00CA2A1B">
            <w:pPr>
              <w:pStyle w:val="Tabletext"/>
            </w:pPr>
            <w:r>
              <w:t>Cardiac arrest</w:t>
            </w:r>
          </w:p>
        </w:tc>
        <w:tc>
          <w:tcPr>
            <w:cnfStyle w:val="000001000000" w:firstRow="0" w:lastRow="0" w:firstColumn="0" w:lastColumn="0" w:oddVBand="0" w:evenVBand="1" w:oddHBand="0" w:evenHBand="0" w:firstRowFirstColumn="0" w:firstRowLastColumn="0" w:lastRowFirstColumn="0" w:lastRowLastColumn="0"/>
            <w:tcW w:w="6917" w:type="dxa"/>
          </w:tcPr>
          <w:p w14:paraId="1B964CCA" w14:textId="57EF26B9" w:rsidR="009169E8" w:rsidRDefault="009169E8" w:rsidP="00CA2A1B">
            <w:pPr>
              <w:pStyle w:val="Tabletext"/>
            </w:pPr>
            <w:r>
              <w:t>Cessation of cardiac mechanical activity as confirmed by the absence of signs of circulation</w:t>
            </w:r>
          </w:p>
        </w:tc>
      </w:tr>
      <w:tr w:rsidR="009169E8" w14:paraId="44559A92" w14:textId="77777777" w:rsidTr="00010D1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2D33538B" w14:textId="53E12F8F" w:rsidR="009169E8" w:rsidRDefault="009169E8" w:rsidP="00CA2A1B">
            <w:pPr>
              <w:pStyle w:val="Tabletext"/>
            </w:pPr>
            <w:r>
              <w:t>Embolism</w:t>
            </w:r>
          </w:p>
        </w:tc>
        <w:tc>
          <w:tcPr>
            <w:cnfStyle w:val="000001000000" w:firstRow="0" w:lastRow="0" w:firstColumn="0" w:lastColumn="0" w:oddVBand="0" w:evenVBand="1" w:oddHBand="0" w:evenHBand="0" w:firstRowFirstColumn="0" w:firstRowLastColumn="0" w:lastRowFirstColumn="0" w:lastRowLastColumn="0"/>
            <w:tcW w:w="6917" w:type="dxa"/>
          </w:tcPr>
          <w:p w14:paraId="2518D2A4" w14:textId="670C24DD" w:rsidR="009169E8" w:rsidRDefault="009169E8" w:rsidP="00CA2A1B">
            <w:pPr>
              <w:pStyle w:val="Tabletext"/>
            </w:pPr>
            <w:r>
              <w:t>Clinically significant suspected air, cement, fat or venous thromboembolism</w:t>
            </w:r>
          </w:p>
        </w:tc>
      </w:tr>
      <w:tr w:rsidR="009169E8" w14:paraId="5E91CAA0" w14:textId="77777777" w:rsidTr="00010D10">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2317A756" w14:textId="77777777" w:rsidR="009169E8" w:rsidRDefault="009169E8" w:rsidP="00CA2A1B">
            <w:pPr>
              <w:pStyle w:val="Tabletext"/>
            </w:pPr>
            <w:r>
              <w:t>Haemorrhage</w:t>
            </w:r>
          </w:p>
        </w:tc>
        <w:tc>
          <w:tcPr>
            <w:cnfStyle w:val="000001000000" w:firstRow="0" w:lastRow="0" w:firstColumn="0" w:lastColumn="0" w:oddVBand="0" w:evenVBand="1" w:oddHBand="0" w:evenHBand="0" w:firstRowFirstColumn="0" w:firstRowLastColumn="0" w:lastRowFirstColumn="0" w:lastRowLastColumn="0"/>
            <w:tcW w:w="6917" w:type="dxa"/>
          </w:tcPr>
          <w:p w14:paraId="5D7B4EFB" w14:textId="77777777" w:rsidR="009169E8" w:rsidRDefault="009169E8" w:rsidP="00CA2A1B">
            <w:pPr>
              <w:pStyle w:val="Tabletext"/>
            </w:pPr>
            <w:r>
              <w:t>Clinically significant bleeding from any site or source</w:t>
            </w:r>
          </w:p>
        </w:tc>
      </w:tr>
      <w:tr w:rsidR="009169E8" w14:paraId="719AE63A" w14:textId="77777777" w:rsidTr="00010D1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1A1734FE" w14:textId="77777777" w:rsidR="009169E8" w:rsidRDefault="009169E8" w:rsidP="00CA2A1B">
            <w:pPr>
              <w:pStyle w:val="Tabletext"/>
            </w:pPr>
            <w:r>
              <w:t>Hypertension – significant</w:t>
            </w:r>
          </w:p>
        </w:tc>
        <w:tc>
          <w:tcPr>
            <w:cnfStyle w:val="000001000000" w:firstRow="0" w:lastRow="0" w:firstColumn="0" w:lastColumn="0" w:oddVBand="0" w:evenVBand="1" w:oddHBand="0" w:evenHBand="0" w:firstRowFirstColumn="0" w:firstRowLastColumn="0" w:lastRowFirstColumn="0" w:lastRowLastColumn="0"/>
            <w:tcW w:w="6917" w:type="dxa"/>
          </w:tcPr>
          <w:p w14:paraId="0758B816" w14:textId="77777777" w:rsidR="009169E8" w:rsidRDefault="009169E8" w:rsidP="00CA2A1B">
            <w:pPr>
              <w:pStyle w:val="Tabletext"/>
            </w:pPr>
            <w:r>
              <w:t>A 30 per cent or greater increase in systolic BP of at least five minutes’ duration and requiring intervention</w:t>
            </w:r>
          </w:p>
        </w:tc>
      </w:tr>
      <w:tr w:rsidR="009169E8" w14:paraId="482DC8C2" w14:textId="77777777" w:rsidTr="00010D10">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5E7F2EC9" w14:textId="77777777" w:rsidR="009169E8" w:rsidRDefault="009169E8" w:rsidP="00CA2A1B">
            <w:pPr>
              <w:pStyle w:val="Tabletext"/>
            </w:pPr>
            <w:r>
              <w:t>Hypotension – significant</w:t>
            </w:r>
          </w:p>
        </w:tc>
        <w:tc>
          <w:tcPr>
            <w:cnfStyle w:val="000001000000" w:firstRow="0" w:lastRow="0" w:firstColumn="0" w:lastColumn="0" w:oddVBand="0" w:evenVBand="1" w:oddHBand="0" w:evenHBand="0" w:firstRowFirstColumn="0" w:firstRowLastColumn="0" w:lastRowFirstColumn="0" w:lastRowLastColumn="0"/>
            <w:tcW w:w="6917" w:type="dxa"/>
          </w:tcPr>
          <w:p w14:paraId="5032CEA1" w14:textId="77777777" w:rsidR="009169E8" w:rsidRDefault="009169E8" w:rsidP="00CA2A1B">
            <w:pPr>
              <w:pStyle w:val="Tabletext"/>
            </w:pPr>
            <w:r>
              <w:t>A 30 per cent or greater decrease in systolic BP of at least five minutes’ duration and requiring intervention</w:t>
            </w:r>
          </w:p>
        </w:tc>
      </w:tr>
      <w:tr w:rsidR="009169E8" w14:paraId="61F448C2" w14:textId="77777777" w:rsidTr="00010D1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1F7BA540" w14:textId="77777777" w:rsidR="009169E8" w:rsidRDefault="009169E8" w:rsidP="00CA2A1B">
            <w:pPr>
              <w:pStyle w:val="Tabletext"/>
            </w:pPr>
            <w:r>
              <w:t>Hypovolaemia</w:t>
            </w:r>
          </w:p>
        </w:tc>
        <w:tc>
          <w:tcPr>
            <w:cnfStyle w:val="000001000000" w:firstRow="0" w:lastRow="0" w:firstColumn="0" w:lastColumn="0" w:oddVBand="0" w:evenVBand="1" w:oddHBand="0" w:evenHBand="0" w:firstRowFirstColumn="0" w:firstRowLastColumn="0" w:lastRowFirstColumn="0" w:lastRowLastColumn="0"/>
            <w:tcW w:w="6917" w:type="dxa"/>
          </w:tcPr>
          <w:p w14:paraId="657F5BDE" w14:textId="77777777" w:rsidR="009169E8" w:rsidRDefault="009169E8" w:rsidP="00CA2A1B">
            <w:pPr>
              <w:pStyle w:val="Tabletext"/>
            </w:pPr>
            <w:r>
              <w:t>Reduced circulating blood volume leading to significant hypotension</w:t>
            </w:r>
          </w:p>
        </w:tc>
      </w:tr>
      <w:tr w:rsidR="009169E8" w14:paraId="0E04D0ED" w14:textId="77777777" w:rsidTr="00010D10">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3983701" w14:textId="77777777" w:rsidR="009169E8" w:rsidRDefault="009169E8" w:rsidP="00CA2A1B">
            <w:pPr>
              <w:pStyle w:val="Tabletext"/>
            </w:pPr>
            <w:r>
              <w:t xml:space="preserve">Myocardial </w:t>
            </w:r>
            <w:proofErr w:type="spellStart"/>
            <w:r>
              <w:t>ischaemia</w:t>
            </w:r>
            <w:proofErr w:type="spellEnd"/>
          </w:p>
        </w:tc>
        <w:tc>
          <w:tcPr>
            <w:cnfStyle w:val="000001000000" w:firstRow="0" w:lastRow="0" w:firstColumn="0" w:lastColumn="0" w:oddVBand="0" w:evenVBand="1" w:oddHBand="0" w:evenHBand="0" w:firstRowFirstColumn="0" w:firstRowLastColumn="0" w:lastRowFirstColumn="0" w:lastRowLastColumn="0"/>
            <w:tcW w:w="6917" w:type="dxa"/>
          </w:tcPr>
          <w:p w14:paraId="31831D39" w14:textId="0CAD6B64" w:rsidR="009169E8" w:rsidRDefault="009169E8" w:rsidP="00CA2A1B">
            <w:pPr>
              <w:pStyle w:val="Tabletext"/>
            </w:pPr>
            <w:r>
              <w:t>Angina and/or characteristic ECG or echocardiographic changes</w:t>
            </w:r>
          </w:p>
        </w:tc>
      </w:tr>
      <w:tr w:rsidR="009169E8" w14:paraId="645F91E0" w14:textId="77777777" w:rsidTr="00010D10">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9CFD6EE" w14:textId="77777777" w:rsidR="009169E8" w:rsidRDefault="009169E8" w:rsidP="00CA2A1B">
            <w:pPr>
              <w:pStyle w:val="Tabletext"/>
            </w:pPr>
            <w:r>
              <w:t>Myocardial infarction</w:t>
            </w:r>
          </w:p>
        </w:tc>
        <w:tc>
          <w:tcPr>
            <w:cnfStyle w:val="000001000000" w:firstRow="0" w:lastRow="0" w:firstColumn="0" w:lastColumn="0" w:oddVBand="0" w:evenVBand="1" w:oddHBand="0" w:evenHBand="0" w:firstRowFirstColumn="0" w:firstRowLastColumn="0" w:lastRowFirstColumn="0" w:lastRowLastColumn="0"/>
            <w:tcW w:w="6917" w:type="dxa"/>
          </w:tcPr>
          <w:p w14:paraId="6575698F" w14:textId="77777777" w:rsidR="009169E8" w:rsidRDefault="009169E8" w:rsidP="00CA2A1B">
            <w:pPr>
              <w:pStyle w:val="Tabletext"/>
            </w:pPr>
            <w:r>
              <w:t xml:space="preserve">Confirmed by a rise/fall of cardiac enzymes in the setting of myocardial </w:t>
            </w:r>
            <w:proofErr w:type="spellStart"/>
            <w:r>
              <w:t>ischaemia</w:t>
            </w:r>
            <w:proofErr w:type="spellEnd"/>
            <w:r>
              <w:t>, new Q waves on the ECG, or autopsy findings</w:t>
            </w:r>
          </w:p>
        </w:tc>
      </w:tr>
      <w:tr w:rsidR="009169E8" w14:paraId="5C153FEA" w14:textId="77777777" w:rsidTr="00010D10">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416C330A" w14:textId="77777777" w:rsidR="009169E8" w:rsidRDefault="009169E8" w:rsidP="00CA2A1B">
            <w:pPr>
              <w:pStyle w:val="Tabletext"/>
            </w:pPr>
            <w:r>
              <w:t>Other</w:t>
            </w:r>
          </w:p>
        </w:tc>
        <w:tc>
          <w:tcPr>
            <w:cnfStyle w:val="000001000000" w:firstRow="0" w:lastRow="0" w:firstColumn="0" w:lastColumn="0" w:oddVBand="0" w:evenVBand="1" w:oddHBand="0" w:evenHBand="0" w:firstRowFirstColumn="0" w:firstRowLastColumn="0" w:lastRowFirstColumn="0" w:lastRowLastColumn="0"/>
            <w:tcW w:w="6917" w:type="dxa"/>
          </w:tcPr>
          <w:p w14:paraId="6EEED95A" w14:textId="77777777" w:rsidR="009169E8" w:rsidRDefault="009169E8" w:rsidP="00CA2A1B">
            <w:pPr>
              <w:pStyle w:val="Tabletext"/>
            </w:pPr>
            <w:r>
              <w:t>Free-text option – clinically significant event that is not otherwise specified</w:t>
            </w:r>
          </w:p>
        </w:tc>
      </w:tr>
    </w:tbl>
    <w:p w14:paraId="16A24293" w14:textId="77777777" w:rsidR="009169E8" w:rsidRDefault="009169E8" w:rsidP="00F11623">
      <w:pPr>
        <w:pStyle w:val="Heading4"/>
      </w:pPr>
      <w:r>
        <w:t>Category: Drug-related</w:t>
      </w:r>
    </w:p>
    <w:tbl>
      <w:tblPr>
        <w:tblStyle w:val="PlainTable2"/>
        <w:tblW w:w="0" w:type="auto"/>
        <w:tblLayout w:type="fixed"/>
        <w:tblLook w:val="0020" w:firstRow="1" w:lastRow="0" w:firstColumn="0" w:lastColumn="0" w:noHBand="0" w:noVBand="0"/>
      </w:tblPr>
      <w:tblGrid>
        <w:gridCol w:w="3288"/>
        <w:gridCol w:w="6917"/>
      </w:tblGrid>
      <w:tr w:rsidR="009169E8" w14:paraId="7C53CCC1" w14:textId="77777777" w:rsidTr="000573FD">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69E0BE51" w14:textId="77777777" w:rsidR="009169E8" w:rsidRPr="000573FD" w:rsidRDefault="009169E8" w:rsidP="00A90D07">
            <w:pPr>
              <w:pStyle w:val="Tableheader"/>
              <w:rPr>
                <w:b/>
              </w:rPr>
            </w:pPr>
            <w:r w:rsidRPr="000573FD">
              <w:rPr>
                <w:b/>
              </w:rPr>
              <w:t>Abbreviated description of type</w:t>
            </w:r>
          </w:p>
        </w:tc>
        <w:tc>
          <w:tcPr>
            <w:cnfStyle w:val="000001000000" w:firstRow="0" w:lastRow="0" w:firstColumn="0" w:lastColumn="0" w:oddVBand="0" w:evenVBand="1" w:oddHBand="0" w:evenHBand="0" w:firstRowFirstColumn="0" w:firstRowLastColumn="0" w:lastRowFirstColumn="0" w:lastRowLastColumn="0"/>
            <w:tcW w:w="6917" w:type="dxa"/>
          </w:tcPr>
          <w:p w14:paraId="6DF21D1D" w14:textId="77777777" w:rsidR="009169E8" w:rsidRPr="000573FD" w:rsidRDefault="009169E8" w:rsidP="00A90D07">
            <w:pPr>
              <w:pStyle w:val="Tableheader"/>
              <w:rPr>
                <w:b/>
              </w:rPr>
            </w:pPr>
            <w:r w:rsidRPr="000573FD">
              <w:rPr>
                <w:b/>
              </w:rPr>
              <w:t>Full definition</w:t>
            </w:r>
          </w:p>
        </w:tc>
      </w:tr>
      <w:tr w:rsidR="009169E8" w14:paraId="09C4DD48" w14:textId="77777777" w:rsidTr="000573FD">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35E3059E" w14:textId="77777777" w:rsidR="009169E8" w:rsidRDefault="009169E8" w:rsidP="00CA2A1B">
            <w:pPr>
              <w:pStyle w:val="Tabletext"/>
            </w:pPr>
            <w:r>
              <w:t>Anaphylaxis</w:t>
            </w:r>
          </w:p>
        </w:tc>
        <w:tc>
          <w:tcPr>
            <w:cnfStyle w:val="000001000000" w:firstRow="0" w:lastRow="0" w:firstColumn="0" w:lastColumn="0" w:oddVBand="0" w:evenVBand="1" w:oddHBand="0" w:evenHBand="0" w:firstRowFirstColumn="0" w:firstRowLastColumn="0" w:lastRowFirstColumn="0" w:lastRowLastColumn="0"/>
            <w:tcW w:w="6917" w:type="dxa"/>
          </w:tcPr>
          <w:p w14:paraId="615B61D4" w14:textId="77777777" w:rsidR="009169E8" w:rsidRDefault="009169E8" w:rsidP="00CA2A1B">
            <w:pPr>
              <w:pStyle w:val="Tabletext"/>
            </w:pPr>
            <w:r>
              <w:t>Clinically significant adverse drug reaction consistent with anaphylaxis</w:t>
            </w:r>
          </w:p>
        </w:tc>
      </w:tr>
      <w:tr w:rsidR="009169E8" w14:paraId="0AF392BC" w14:textId="77777777" w:rsidTr="000573FD">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069CFC6" w14:textId="73FD892E" w:rsidR="009169E8" w:rsidRDefault="009169E8" w:rsidP="00CA2A1B">
            <w:pPr>
              <w:pStyle w:val="Tabletext"/>
            </w:pPr>
            <w:r>
              <w:t>Drug error</w:t>
            </w:r>
          </w:p>
        </w:tc>
        <w:tc>
          <w:tcPr>
            <w:cnfStyle w:val="000001000000" w:firstRow="0" w:lastRow="0" w:firstColumn="0" w:lastColumn="0" w:oddVBand="0" w:evenVBand="1" w:oddHBand="0" w:evenHBand="0" w:firstRowFirstColumn="0" w:firstRowLastColumn="0" w:lastRowFirstColumn="0" w:lastRowLastColumn="0"/>
            <w:tcW w:w="6917" w:type="dxa"/>
          </w:tcPr>
          <w:p w14:paraId="5654B6BF" w14:textId="6084B035" w:rsidR="009169E8" w:rsidRDefault="009169E8" w:rsidP="00CA2A1B">
            <w:pPr>
              <w:pStyle w:val="Tabletext"/>
            </w:pPr>
            <w:r>
              <w:t>Inadvertent or inappropriate administration of a drug that may or may not result in harm</w:t>
            </w:r>
          </w:p>
        </w:tc>
      </w:tr>
      <w:tr w:rsidR="009169E8" w14:paraId="71FFB390" w14:textId="77777777" w:rsidTr="000573FD">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3D50E581" w14:textId="77777777" w:rsidR="009169E8" w:rsidRDefault="009169E8" w:rsidP="00CA2A1B">
            <w:pPr>
              <w:pStyle w:val="Tabletext"/>
            </w:pPr>
            <w:r>
              <w:lastRenderedPageBreak/>
              <w:t>Drug-related adverse effect</w:t>
            </w:r>
          </w:p>
        </w:tc>
        <w:tc>
          <w:tcPr>
            <w:cnfStyle w:val="000001000000" w:firstRow="0" w:lastRow="0" w:firstColumn="0" w:lastColumn="0" w:oddVBand="0" w:evenVBand="1" w:oddHBand="0" w:evenHBand="0" w:firstRowFirstColumn="0" w:firstRowLastColumn="0" w:lastRowFirstColumn="0" w:lastRowLastColumn="0"/>
            <w:tcW w:w="6917" w:type="dxa"/>
          </w:tcPr>
          <w:p w14:paraId="638149F9" w14:textId="77777777" w:rsidR="009169E8" w:rsidRDefault="009169E8" w:rsidP="00CA2A1B">
            <w:pPr>
              <w:pStyle w:val="Tabletext"/>
            </w:pPr>
            <w:r>
              <w:t>A clinically significant adverse drug reaction or side effect</w:t>
            </w:r>
          </w:p>
        </w:tc>
      </w:tr>
      <w:tr w:rsidR="009169E8" w14:paraId="18C3C397" w14:textId="77777777" w:rsidTr="000573FD">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998A0E8" w14:textId="5D68BCE4" w:rsidR="009169E8" w:rsidRDefault="009169E8" w:rsidP="00CA2A1B">
            <w:pPr>
              <w:pStyle w:val="Tabletext"/>
            </w:pPr>
            <w:r>
              <w:t>Overdose</w:t>
            </w:r>
          </w:p>
        </w:tc>
        <w:tc>
          <w:tcPr>
            <w:cnfStyle w:val="000001000000" w:firstRow="0" w:lastRow="0" w:firstColumn="0" w:lastColumn="0" w:oddVBand="0" w:evenVBand="1" w:oddHBand="0" w:evenHBand="0" w:firstRowFirstColumn="0" w:firstRowLastColumn="0" w:lastRowFirstColumn="0" w:lastRowLastColumn="0"/>
            <w:tcW w:w="6917" w:type="dxa"/>
          </w:tcPr>
          <w:p w14:paraId="6F61DF63" w14:textId="77777777" w:rsidR="009169E8" w:rsidRDefault="009169E8" w:rsidP="00CA2A1B">
            <w:pPr>
              <w:pStyle w:val="Tabletext"/>
            </w:pPr>
            <w:r>
              <w:t>Clinically significant drug overdose</w:t>
            </w:r>
          </w:p>
        </w:tc>
      </w:tr>
      <w:tr w:rsidR="009169E8" w14:paraId="0E8740F0" w14:textId="77777777" w:rsidTr="000573FD">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29333D9E" w14:textId="77777777" w:rsidR="009169E8" w:rsidRDefault="009169E8" w:rsidP="00CA2A1B">
            <w:pPr>
              <w:pStyle w:val="Tabletext"/>
            </w:pPr>
            <w:r>
              <w:t>Other</w:t>
            </w:r>
          </w:p>
        </w:tc>
        <w:tc>
          <w:tcPr>
            <w:cnfStyle w:val="000001000000" w:firstRow="0" w:lastRow="0" w:firstColumn="0" w:lastColumn="0" w:oddVBand="0" w:evenVBand="1" w:oddHBand="0" w:evenHBand="0" w:firstRowFirstColumn="0" w:firstRowLastColumn="0" w:lastRowFirstColumn="0" w:lastRowLastColumn="0"/>
            <w:tcW w:w="6917" w:type="dxa"/>
          </w:tcPr>
          <w:p w14:paraId="2DCF8DFF" w14:textId="77777777" w:rsidR="009169E8" w:rsidRDefault="009169E8" w:rsidP="00CA2A1B">
            <w:pPr>
              <w:pStyle w:val="Tabletext"/>
            </w:pPr>
            <w:r>
              <w:t>Free-text option – clinically significant event that is not otherwise specified</w:t>
            </w:r>
          </w:p>
        </w:tc>
      </w:tr>
    </w:tbl>
    <w:p w14:paraId="1FCB43F2" w14:textId="77777777" w:rsidR="009169E8" w:rsidRDefault="009169E8" w:rsidP="00F11623">
      <w:pPr>
        <w:pStyle w:val="Heading4"/>
      </w:pPr>
      <w:r>
        <w:t>Category: Metabolic</w:t>
      </w:r>
    </w:p>
    <w:tbl>
      <w:tblPr>
        <w:tblStyle w:val="PlainTable2"/>
        <w:tblW w:w="0" w:type="auto"/>
        <w:tblLayout w:type="fixed"/>
        <w:tblLook w:val="0020" w:firstRow="1" w:lastRow="0" w:firstColumn="0" w:lastColumn="0" w:noHBand="0" w:noVBand="0"/>
      </w:tblPr>
      <w:tblGrid>
        <w:gridCol w:w="3288"/>
        <w:gridCol w:w="6917"/>
      </w:tblGrid>
      <w:tr w:rsidR="009169E8" w14:paraId="1B2D13C2" w14:textId="77777777" w:rsidTr="000573FD">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53FA591B" w14:textId="77777777" w:rsidR="009169E8" w:rsidRPr="000573FD" w:rsidRDefault="009169E8" w:rsidP="00A90D07">
            <w:pPr>
              <w:pStyle w:val="Tableheader"/>
              <w:rPr>
                <w:b/>
              </w:rPr>
            </w:pPr>
            <w:r w:rsidRPr="000573FD">
              <w:rPr>
                <w:b/>
              </w:rPr>
              <w:t>Abbreviated description of type</w:t>
            </w:r>
          </w:p>
        </w:tc>
        <w:tc>
          <w:tcPr>
            <w:cnfStyle w:val="000001000000" w:firstRow="0" w:lastRow="0" w:firstColumn="0" w:lastColumn="0" w:oddVBand="0" w:evenVBand="1" w:oddHBand="0" w:evenHBand="0" w:firstRowFirstColumn="0" w:firstRowLastColumn="0" w:lastRowFirstColumn="0" w:lastRowLastColumn="0"/>
            <w:tcW w:w="6917" w:type="dxa"/>
          </w:tcPr>
          <w:p w14:paraId="46393182" w14:textId="77777777" w:rsidR="009169E8" w:rsidRPr="000573FD" w:rsidRDefault="009169E8" w:rsidP="00A90D07">
            <w:pPr>
              <w:pStyle w:val="Tableheader"/>
              <w:rPr>
                <w:b/>
              </w:rPr>
            </w:pPr>
            <w:r w:rsidRPr="000573FD">
              <w:rPr>
                <w:b/>
              </w:rPr>
              <w:t>Full definition</w:t>
            </w:r>
          </w:p>
        </w:tc>
      </w:tr>
      <w:tr w:rsidR="009169E8" w14:paraId="0ABF5735" w14:textId="77777777" w:rsidTr="000573FD">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2B5BB08D" w14:textId="77777777" w:rsidR="009169E8" w:rsidRDefault="009169E8" w:rsidP="00CA2A1B">
            <w:pPr>
              <w:pStyle w:val="Tabletext"/>
            </w:pPr>
            <w:r>
              <w:t>Hyperglycaemia</w:t>
            </w:r>
          </w:p>
        </w:tc>
        <w:tc>
          <w:tcPr>
            <w:cnfStyle w:val="000001000000" w:firstRow="0" w:lastRow="0" w:firstColumn="0" w:lastColumn="0" w:oddVBand="0" w:evenVBand="1" w:oddHBand="0" w:evenHBand="0" w:firstRowFirstColumn="0" w:firstRowLastColumn="0" w:lastRowFirstColumn="0" w:lastRowLastColumn="0"/>
            <w:tcW w:w="6917" w:type="dxa"/>
          </w:tcPr>
          <w:p w14:paraId="7790D81A" w14:textId="77777777" w:rsidR="009169E8" w:rsidRDefault="009169E8" w:rsidP="00CA2A1B">
            <w:pPr>
              <w:pStyle w:val="Tabletext"/>
            </w:pPr>
            <w:r>
              <w:t>Blood glucose &gt; 10 mmol/L requiring intervention</w:t>
            </w:r>
          </w:p>
        </w:tc>
      </w:tr>
      <w:tr w:rsidR="009169E8" w14:paraId="5789384B" w14:textId="77777777" w:rsidTr="000573FD">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981462C" w14:textId="77777777" w:rsidR="009169E8" w:rsidRDefault="009169E8" w:rsidP="00CA2A1B">
            <w:pPr>
              <w:pStyle w:val="Tabletext"/>
            </w:pPr>
            <w:r>
              <w:t>Hypoglycaemia</w:t>
            </w:r>
          </w:p>
        </w:tc>
        <w:tc>
          <w:tcPr>
            <w:cnfStyle w:val="000001000000" w:firstRow="0" w:lastRow="0" w:firstColumn="0" w:lastColumn="0" w:oddVBand="0" w:evenVBand="1" w:oddHBand="0" w:evenHBand="0" w:firstRowFirstColumn="0" w:firstRowLastColumn="0" w:lastRowFirstColumn="0" w:lastRowLastColumn="0"/>
            <w:tcW w:w="6917" w:type="dxa"/>
          </w:tcPr>
          <w:p w14:paraId="1F6DEF7C" w14:textId="77777777" w:rsidR="009169E8" w:rsidRDefault="009169E8" w:rsidP="00CA2A1B">
            <w:pPr>
              <w:pStyle w:val="Tabletext"/>
            </w:pPr>
            <w:r>
              <w:t>Blood glucose &lt; four mmol/L requiring intervention</w:t>
            </w:r>
          </w:p>
        </w:tc>
      </w:tr>
      <w:tr w:rsidR="009169E8" w14:paraId="1345C315" w14:textId="77777777" w:rsidTr="000573FD">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464183B1" w14:textId="77777777" w:rsidR="009169E8" w:rsidRDefault="009169E8" w:rsidP="00CA2A1B">
            <w:pPr>
              <w:pStyle w:val="Tabletext"/>
            </w:pPr>
            <w:r>
              <w:t xml:space="preserve">Hypothermia </w:t>
            </w:r>
          </w:p>
        </w:tc>
        <w:tc>
          <w:tcPr>
            <w:cnfStyle w:val="000001000000" w:firstRow="0" w:lastRow="0" w:firstColumn="0" w:lastColumn="0" w:oddVBand="0" w:evenVBand="1" w:oddHBand="0" w:evenHBand="0" w:firstRowFirstColumn="0" w:firstRowLastColumn="0" w:lastRowFirstColumn="0" w:lastRowLastColumn="0"/>
            <w:tcW w:w="6917" w:type="dxa"/>
          </w:tcPr>
          <w:p w14:paraId="5A65ED19" w14:textId="77777777" w:rsidR="009169E8" w:rsidRDefault="009169E8" w:rsidP="00CA2A1B">
            <w:pPr>
              <w:pStyle w:val="Tabletext"/>
            </w:pPr>
            <w:r>
              <w:t>Unplanned temperature &lt; 35°C on arrival in recovery room or equivalent</w:t>
            </w:r>
          </w:p>
        </w:tc>
      </w:tr>
      <w:tr w:rsidR="009169E8" w14:paraId="5251D3CB" w14:textId="77777777" w:rsidTr="000573FD">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659BECA" w14:textId="77777777" w:rsidR="009169E8" w:rsidRDefault="009169E8" w:rsidP="00CA2A1B">
            <w:pPr>
              <w:pStyle w:val="Tabletext"/>
            </w:pPr>
            <w:r>
              <w:t>Malignant hyperthermia</w:t>
            </w:r>
          </w:p>
        </w:tc>
        <w:tc>
          <w:tcPr>
            <w:cnfStyle w:val="000001000000" w:firstRow="0" w:lastRow="0" w:firstColumn="0" w:lastColumn="0" w:oddVBand="0" w:evenVBand="1" w:oddHBand="0" w:evenHBand="0" w:firstRowFirstColumn="0" w:firstRowLastColumn="0" w:lastRowFirstColumn="0" w:lastRowLastColumn="0"/>
            <w:tcW w:w="6917" w:type="dxa"/>
          </w:tcPr>
          <w:p w14:paraId="6BF93421" w14:textId="77777777" w:rsidR="009169E8" w:rsidRDefault="009169E8" w:rsidP="00CA2A1B">
            <w:pPr>
              <w:pStyle w:val="Tabletext"/>
            </w:pPr>
            <w:r>
              <w:t>Clinical evidence or suspicion of malignant hyperthermia</w:t>
            </w:r>
          </w:p>
        </w:tc>
      </w:tr>
      <w:tr w:rsidR="009169E8" w14:paraId="3C3C15F6" w14:textId="77777777" w:rsidTr="000573FD">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2836EBB0" w14:textId="77777777" w:rsidR="009169E8" w:rsidRDefault="009169E8" w:rsidP="00CA2A1B">
            <w:pPr>
              <w:pStyle w:val="Tabletext"/>
            </w:pPr>
            <w:r>
              <w:t>Other</w:t>
            </w:r>
          </w:p>
        </w:tc>
        <w:tc>
          <w:tcPr>
            <w:cnfStyle w:val="000001000000" w:firstRow="0" w:lastRow="0" w:firstColumn="0" w:lastColumn="0" w:oddVBand="0" w:evenVBand="1" w:oddHBand="0" w:evenHBand="0" w:firstRowFirstColumn="0" w:firstRowLastColumn="0" w:lastRowFirstColumn="0" w:lastRowLastColumn="0"/>
            <w:tcW w:w="6917" w:type="dxa"/>
          </w:tcPr>
          <w:p w14:paraId="5DFC89B7" w14:textId="77777777" w:rsidR="009169E8" w:rsidRDefault="009169E8" w:rsidP="00CA2A1B">
            <w:pPr>
              <w:pStyle w:val="Tabletext"/>
            </w:pPr>
            <w:r>
              <w:t>Free-text option – clinically significant event that is not otherwise specified</w:t>
            </w:r>
          </w:p>
        </w:tc>
      </w:tr>
    </w:tbl>
    <w:p w14:paraId="2C91B6BB" w14:textId="77777777" w:rsidR="009169E8" w:rsidRDefault="009169E8" w:rsidP="00F11623">
      <w:pPr>
        <w:pStyle w:val="Heading4"/>
      </w:pPr>
      <w:r>
        <w:t>Category: Miscellaneous</w:t>
      </w:r>
    </w:p>
    <w:tbl>
      <w:tblPr>
        <w:tblStyle w:val="PlainTable2"/>
        <w:tblW w:w="0" w:type="auto"/>
        <w:tblLayout w:type="fixed"/>
        <w:tblLook w:val="0020" w:firstRow="1" w:lastRow="0" w:firstColumn="0" w:lastColumn="0" w:noHBand="0" w:noVBand="0"/>
      </w:tblPr>
      <w:tblGrid>
        <w:gridCol w:w="3288"/>
        <w:gridCol w:w="6917"/>
      </w:tblGrid>
      <w:tr w:rsidR="009169E8" w14:paraId="65B7C4B5" w14:textId="77777777" w:rsidTr="000573FD">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6D1C00FE" w14:textId="77777777" w:rsidR="009169E8" w:rsidRPr="000573FD" w:rsidRDefault="009169E8" w:rsidP="00A90D07">
            <w:pPr>
              <w:pStyle w:val="Tableheader"/>
              <w:rPr>
                <w:b/>
              </w:rPr>
            </w:pPr>
            <w:r w:rsidRPr="000573FD">
              <w:rPr>
                <w:b/>
              </w:rPr>
              <w:t>Abbreviated description of type</w:t>
            </w:r>
          </w:p>
        </w:tc>
        <w:tc>
          <w:tcPr>
            <w:cnfStyle w:val="000001000000" w:firstRow="0" w:lastRow="0" w:firstColumn="0" w:lastColumn="0" w:oddVBand="0" w:evenVBand="1" w:oddHBand="0" w:evenHBand="0" w:firstRowFirstColumn="0" w:firstRowLastColumn="0" w:lastRowFirstColumn="0" w:lastRowLastColumn="0"/>
            <w:tcW w:w="6917" w:type="dxa"/>
          </w:tcPr>
          <w:p w14:paraId="665F010A" w14:textId="77777777" w:rsidR="009169E8" w:rsidRPr="000573FD" w:rsidRDefault="009169E8" w:rsidP="00A90D07">
            <w:pPr>
              <w:pStyle w:val="Tableheader"/>
              <w:rPr>
                <w:b/>
              </w:rPr>
            </w:pPr>
            <w:r w:rsidRPr="000573FD">
              <w:rPr>
                <w:b/>
              </w:rPr>
              <w:t>Full definition</w:t>
            </w:r>
          </w:p>
        </w:tc>
      </w:tr>
      <w:tr w:rsidR="009169E8" w14:paraId="5DB0DA7D" w14:textId="77777777" w:rsidTr="000573FD">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5602390E" w14:textId="77777777" w:rsidR="009169E8" w:rsidRDefault="009169E8" w:rsidP="00CA2A1B">
            <w:pPr>
              <w:pStyle w:val="Tabletext"/>
            </w:pPr>
            <w:r>
              <w:t>Miscellaneous</w:t>
            </w:r>
          </w:p>
        </w:tc>
        <w:tc>
          <w:tcPr>
            <w:cnfStyle w:val="000001000000" w:firstRow="0" w:lastRow="0" w:firstColumn="0" w:lastColumn="0" w:oddVBand="0" w:evenVBand="1" w:oddHBand="0" w:evenHBand="0" w:firstRowFirstColumn="0" w:firstRowLastColumn="0" w:lastRowFirstColumn="0" w:lastRowLastColumn="0"/>
            <w:tcW w:w="6917" w:type="dxa"/>
          </w:tcPr>
          <w:p w14:paraId="2E53BE1B" w14:textId="77777777" w:rsidR="009169E8" w:rsidRDefault="009169E8" w:rsidP="00CA2A1B">
            <w:pPr>
              <w:pStyle w:val="Tabletext"/>
            </w:pPr>
            <w:r>
              <w:t>Any significant adverse event not suitable for other listed categories</w:t>
            </w:r>
          </w:p>
        </w:tc>
      </w:tr>
      <w:tr w:rsidR="009169E8" w14:paraId="7149C768" w14:textId="77777777" w:rsidTr="000573FD">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4BACE97" w14:textId="77777777" w:rsidR="009169E8" w:rsidRDefault="009169E8" w:rsidP="00CA2A1B">
            <w:pPr>
              <w:pStyle w:val="Tabletext"/>
            </w:pPr>
            <w:r>
              <w:t>Other</w:t>
            </w:r>
          </w:p>
        </w:tc>
        <w:tc>
          <w:tcPr>
            <w:cnfStyle w:val="000001000000" w:firstRow="0" w:lastRow="0" w:firstColumn="0" w:lastColumn="0" w:oddVBand="0" w:evenVBand="1" w:oddHBand="0" w:evenHBand="0" w:firstRowFirstColumn="0" w:firstRowLastColumn="0" w:lastRowFirstColumn="0" w:lastRowLastColumn="0"/>
            <w:tcW w:w="6917" w:type="dxa"/>
          </w:tcPr>
          <w:p w14:paraId="6D94673F" w14:textId="77777777" w:rsidR="009169E8" w:rsidRDefault="009169E8" w:rsidP="00CA2A1B">
            <w:pPr>
              <w:pStyle w:val="Tabletext"/>
            </w:pPr>
            <w:r>
              <w:t>Free-text option – clinically significant event that is not otherwise specified</w:t>
            </w:r>
          </w:p>
        </w:tc>
      </w:tr>
    </w:tbl>
    <w:p w14:paraId="14910C0F" w14:textId="77777777" w:rsidR="009169E8" w:rsidRDefault="009169E8" w:rsidP="00F11623">
      <w:pPr>
        <w:pStyle w:val="Heading4"/>
      </w:pPr>
      <w:r>
        <w:t>Category: Neurological</w:t>
      </w:r>
    </w:p>
    <w:tbl>
      <w:tblPr>
        <w:tblStyle w:val="PlainTable2"/>
        <w:tblW w:w="0" w:type="auto"/>
        <w:tblLayout w:type="fixed"/>
        <w:tblLook w:val="0020" w:firstRow="1" w:lastRow="0" w:firstColumn="0" w:lastColumn="0" w:noHBand="0" w:noVBand="0"/>
      </w:tblPr>
      <w:tblGrid>
        <w:gridCol w:w="3288"/>
        <w:gridCol w:w="6917"/>
      </w:tblGrid>
      <w:tr w:rsidR="009169E8" w14:paraId="66AC9FB1" w14:textId="77777777" w:rsidTr="00201DC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1B8851DA" w14:textId="77777777" w:rsidR="009169E8" w:rsidRPr="00201DC3" w:rsidRDefault="009169E8" w:rsidP="00A90D07">
            <w:pPr>
              <w:pStyle w:val="Tableheader"/>
              <w:rPr>
                <w:b/>
              </w:rPr>
            </w:pPr>
            <w:r w:rsidRPr="00201DC3">
              <w:rPr>
                <w:b/>
              </w:rPr>
              <w:t>Abbreviated description of type</w:t>
            </w:r>
          </w:p>
        </w:tc>
        <w:tc>
          <w:tcPr>
            <w:cnfStyle w:val="000001000000" w:firstRow="0" w:lastRow="0" w:firstColumn="0" w:lastColumn="0" w:oddVBand="0" w:evenVBand="1" w:oddHBand="0" w:evenHBand="0" w:firstRowFirstColumn="0" w:firstRowLastColumn="0" w:lastRowFirstColumn="0" w:lastRowLastColumn="0"/>
            <w:tcW w:w="6917" w:type="dxa"/>
          </w:tcPr>
          <w:p w14:paraId="57B8C6BA" w14:textId="77777777" w:rsidR="009169E8" w:rsidRPr="00201DC3" w:rsidRDefault="009169E8" w:rsidP="00A90D07">
            <w:pPr>
              <w:pStyle w:val="Tableheader"/>
              <w:rPr>
                <w:b/>
              </w:rPr>
            </w:pPr>
            <w:r w:rsidRPr="00201DC3">
              <w:rPr>
                <w:b/>
              </w:rPr>
              <w:t>Full definition</w:t>
            </w:r>
          </w:p>
        </w:tc>
      </w:tr>
      <w:tr w:rsidR="009169E8" w14:paraId="4E2D43C4"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07772624" w14:textId="77777777" w:rsidR="009169E8" w:rsidRDefault="009169E8" w:rsidP="00CA2A1B">
            <w:pPr>
              <w:pStyle w:val="Tabletext"/>
            </w:pPr>
            <w:r>
              <w:t>Awareness</w:t>
            </w:r>
          </w:p>
        </w:tc>
        <w:tc>
          <w:tcPr>
            <w:cnfStyle w:val="000001000000" w:firstRow="0" w:lastRow="0" w:firstColumn="0" w:lastColumn="0" w:oddVBand="0" w:evenVBand="1" w:oddHBand="0" w:evenHBand="0" w:firstRowFirstColumn="0" w:firstRowLastColumn="0" w:lastRowFirstColumn="0" w:lastRowLastColumn="0"/>
            <w:tcW w:w="6917" w:type="dxa"/>
          </w:tcPr>
          <w:p w14:paraId="00FEE895" w14:textId="1F5327F0" w:rsidR="009169E8" w:rsidRDefault="009169E8" w:rsidP="00CA2A1B">
            <w:pPr>
              <w:pStyle w:val="Tabletext"/>
            </w:pPr>
            <w:r>
              <w:t>Postoperative recall of intraoperative events</w:t>
            </w:r>
          </w:p>
        </w:tc>
      </w:tr>
      <w:tr w:rsidR="009169E8" w14:paraId="1CA02DCE"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398D936A" w14:textId="77777777" w:rsidR="009169E8" w:rsidRDefault="009169E8" w:rsidP="00CA2A1B">
            <w:pPr>
              <w:pStyle w:val="Tabletext"/>
            </w:pPr>
            <w:r>
              <w:t>Delayed emergence</w:t>
            </w:r>
          </w:p>
        </w:tc>
        <w:tc>
          <w:tcPr>
            <w:cnfStyle w:val="000001000000" w:firstRow="0" w:lastRow="0" w:firstColumn="0" w:lastColumn="0" w:oddVBand="0" w:evenVBand="1" w:oddHBand="0" w:evenHBand="0" w:firstRowFirstColumn="0" w:firstRowLastColumn="0" w:lastRowFirstColumn="0" w:lastRowLastColumn="0"/>
            <w:tcW w:w="6917" w:type="dxa"/>
          </w:tcPr>
          <w:p w14:paraId="075D2D51" w14:textId="542FE626" w:rsidR="009169E8" w:rsidRDefault="009169E8" w:rsidP="00CA2A1B">
            <w:pPr>
              <w:pStyle w:val="Tabletext"/>
            </w:pPr>
            <w:r>
              <w:t>Unintended delay in recovery from anaesthesia</w:t>
            </w:r>
          </w:p>
        </w:tc>
      </w:tr>
      <w:tr w:rsidR="009169E8" w14:paraId="7DC6DD6E"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480A0636" w14:textId="77777777" w:rsidR="009169E8" w:rsidRDefault="009169E8" w:rsidP="00CA2A1B">
            <w:pPr>
              <w:pStyle w:val="Tabletext"/>
            </w:pPr>
            <w:r>
              <w:t>Inadequate neuromuscular block reversal</w:t>
            </w:r>
          </w:p>
        </w:tc>
        <w:tc>
          <w:tcPr>
            <w:cnfStyle w:val="000001000000" w:firstRow="0" w:lastRow="0" w:firstColumn="0" w:lastColumn="0" w:oddVBand="0" w:evenVBand="1" w:oddHBand="0" w:evenHBand="0" w:firstRowFirstColumn="0" w:firstRowLastColumn="0" w:lastRowFirstColumn="0" w:lastRowLastColumn="0"/>
            <w:tcW w:w="6917" w:type="dxa"/>
          </w:tcPr>
          <w:p w14:paraId="439D1F4E" w14:textId="77777777" w:rsidR="009169E8" w:rsidRDefault="009169E8" w:rsidP="00CA2A1B">
            <w:pPr>
              <w:pStyle w:val="Tabletext"/>
            </w:pPr>
            <w:r>
              <w:t>Clinically significant inadequate reversal of neuromuscular blockade</w:t>
            </w:r>
          </w:p>
        </w:tc>
      </w:tr>
      <w:tr w:rsidR="009169E8" w14:paraId="1F24415A"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5129CCF4" w14:textId="77777777" w:rsidR="009169E8" w:rsidRDefault="009169E8" w:rsidP="00CA2A1B">
            <w:pPr>
              <w:pStyle w:val="Tabletext"/>
            </w:pPr>
            <w:r>
              <w:t>Nerve/plexus injury</w:t>
            </w:r>
          </w:p>
        </w:tc>
        <w:tc>
          <w:tcPr>
            <w:cnfStyle w:val="000001000000" w:firstRow="0" w:lastRow="0" w:firstColumn="0" w:lastColumn="0" w:oddVBand="0" w:evenVBand="1" w:oddHBand="0" w:evenHBand="0" w:firstRowFirstColumn="0" w:firstRowLastColumn="0" w:lastRowFirstColumn="0" w:lastRowLastColumn="0"/>
            <w:tcW w:w="6917" w:type="dxa"/>
          </w:tcPr>
          <w:p w14:paraId="4BA8A08E" w14:textId="77777777" w:rsidR="009169E8" w:rsidRDefault="009169E8" w:rsidP="00CA2A1B">
            <w:pPr>
              <w:pStyle w:val="Tabletext"/>
            </w:pPr>
            <w:r>
              <w:t>New nerve injury confirmed by neurological examination or investigation</w:t>
            </w:r>
          </w:p>
        </w:tc>
      </w:tr>
      <w:tr w:rsidR="009169E8" w14:paraId="4A8A5A87"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4CEBE466" w14:textId="1623564A" w:rsidR="009169E8" w:rsidRDefault="009169E8" w:rsidP="00CA2A1B">
            <w:pPr>
              <w:pStyle w:val="Tabletext"/>
            </w:pPr>
            <w:r>
              <w:t>Seizure</w:t>
            </w:r>
          </w:p>
        </w:tc>
        <w:tc>
          <w:tcPr>
            <w:cnfStyle w:val="000001000000" w:firstRow="0" w:lastRow="0" w:firstColumn="0" w:lastColumn="0" w:oddVBand="0" w:evenVBand="1" w:oddHBand="0" w:evenHBand="0" w:firstRowFirstColumn="0" w:firstRowLastColumn="0" w:lastRowFirstColumn="0" w:lastRowLastColumn="0"/>
            <w:tcW w:w="6917" w:type="dxa"/>
          </w:tcPr>
          <w:p w14:paraId="10A5FA92" w14:textId="77777777" w:rsidR="009169E8" w:rsidRDefault="009169E8" w:rsidP="00CA2A1B">
            <w:pPr>
              <w:pStyle w:val="Tabletext"/>
            </w:pPr>
            <w:r>
              <w:t>Perioperative seizure</w:t>
            </w:r>
          </w:p>
        </w:tc>
      </w:tr>
      <w:tr w:rsidR="009169E8" w14:paraId="0A123BBD"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38BFBC51" w14:textId="64B21817" w:rsidR="009169E8" w:rsidRDefault="009169E8" w:rsidP="00CA2A1B">
            <w:pPr>
              <w:pStyle w:val="Tabletext"/>
            </w:pPr>
            <w:r>
              <w:t>Spinal cord injury</w:t>
            </w:r>
          </w:p>
        </w:tc>
        <w:tc>
          <w:tcPr>
            <w:cnfStyle w:val="000001000000" w:firstRow="0" w:lastRow="0" w:firstColumn="0" w:lastColumn="0" w:oddVBand="0" w:evenVBand="1" w:oddHBand="0" w:evenHBand="0" w:firstRowFirstColumn="0" w:firstRowLastColumn="0" w:lastRowFirstColumn="0" w:lastRowLastColumn="0"/>
            <w:tcW w:w="6917" w:type="dxa"/>
          </w:tcPr>
          <w:p w14:paraId="2EA85002" w14:textId="77777777" w:rsidR="009169E8" w:rsidRDefault="009169E8" w:rsidP="00CA2A1B">
            <w:pPr>
              <w:pStyle w:val="Tabletext"/>
            </w:pPr>
            <w:r>
              <w:t>New spinal cord injury confirmed by neurological examination or investigation</w:t>
            </w:r>
          </w:p>
        </w:tc>
      </w:tr>
      <w:tr w:rsidR="009169E8" w14:paraId="6C3E3292"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88A816C" w14:textId="77777777" w:rsidR="009169E8" w:rsidRDefault="009169E8" w:rsidP="00CA2A1B">
            <w:pPr>
              <w:pStyle w:val="Tabletext"/>
            </w:pPr>
            <w:r>
              <w:t>Stroke (including TIA)</w:t>
            </w:r>
          </w:p>
        </w:tc>
        <w:tc>
          <w:tcPr>
            <w:cnfStyle w:val="000001000000" w:firstRow="0" w:lastRow="0" w:firstColumn="0" w:lastColumn="0" w:oddVBand="0" w:evenVBand="1" w:oddHBand="0" w:evenHBand="0" w:firstRowFirstColumn="0" w:firstRowLastColumn="0" w:lastRowFirstColumn="0" w:lastRowLastColumn="0"/>
            <w:tcW w:w="6917" w:type="dxa"/>
          </w:tcPr>
          <w:p w14:paraId="7493FC2D" w14:textId="77777777" w:rsidR="009169E8" w:rsidRDefault="009169E8" w:rsidP="00CA2A1B">
            <w:pPr>
              <w:pStyle w:val="Tabletext"/>
            </w:pPr>
            <w:r>
              <w:t>New central nervous system deficit confirmed by investigation or neurological examination</w:t>
            </w:r>
          </w:p>
        </w:tc>
      </w:tr>
      <w:tr w:rsidR="009169E8" w14:paraId="7ABEE13A"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2926FE5B" w14:textId="77777777" w:rsidR="009169E8" w:rsidRDefault="009169E8" w:rsidP="00CA2A1B">
            <w:pPr>
              <w:pStyle w:val="Tabletext"/>
            </w:pPr>
            <w:r>
              <w:t>Other</w:t>
            </w:r>
          </w:p>
        </w:tc>
        <w:tc>
          <w:tcPr>
            <w:cnfStyle w:val="000001000000" w:firstRow="0" w:lastRow="0" w:firstColumn="0" w:lastColumn="0" w:oddVBand="0" w:evenVBand="1" w:oddHBand="0" w:evenHBand="0" w:firstRowFirstColumn="0" w:firstRowLastColumn="0" w:lastRowFirstColumn="0" w:lastRowLastColumn="0"/>
            <w:tcW w:w="6917" w:type="dxa"/>
          </w:tcPr>
          <w:p w14:paraId="57F8B183" w14:textId="77777777" w:rsidR="009169E8" w:rsidRDefault="009169E8" w:rsidP="00CA2A1B">
            <w:pPr>
              <w:pStyle w:val="Tabletext"/>
            </w:pPr>
            <w:r>
              <w:t>Free-text option – clinically significant event that is not otherwise specified</w:t>
            </w:r>
          </w:p>
        </w:tc>
      </w:tr>
    </w:tbl>
    <w:p w14:paraId="66D5A8BC" w14:textId="77777777" w:rsidR="009169E8" w:rsidRDefault="009169E8" w:rsidP="00F11623">
      <w:pPr>
        <w:pStyle w:val="Heading4"/>
      </w:pPr>
      <w:r>
        <w:t>Category: Pain management</w:t>
      </w:r>
    </w:p>
    <w:tbl>
      <w:tblPr>
        <w:tblStyle w:val="PlainTable2"/>
        <w:tblW w:w="0" w:type="auto"/>
        <w:tblLayout w:type="fixed"/>
        <w:tblLook w:val="0020" w:firstRow="1" w:lastRow="0" w:firstColumn="0" w:lastColumn="0" w:noHBand="0" w:noVBand="0"/>
      </w:tblPr>
      <w:tblGrid>
        <w:gridCol w:w="3288"/>
        <w:gridCol w:w="6917"/>
      </w:tblGrid>
      <w:tr w:rsidR="009169E8" w14:paraId="1EE9457C" w14:textId="77777777" w:rsidTr="00201DC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2DB71388" w14:textId="77777777" w:rsidR="009169E8" w:rsidRPr="00201DC3" w:rsidRDefault="009169E8" w:rsidP="00A90D07">
            <w:pPr>
              <w:pStyle w:val="Tableheader"/>
              <w:rPr>
                <w:b/>
              </w:rPr>
            </w:pPr>
            <w:r w:rsidRPr="00201DC3">
              <w:rPr>
                <w:b/>
              </w:rPr>
              <w:t>Abbreviated description of type</w:t>
            </w:r>
          </w:p>
        </w:tc>
        <w:tc>
          <w:tcPr>
            <w:cnfStyle w:val="000001000000" w:firstRow="0" w:lastRow="0" w:firstColumn="0" w:lastColumn="0" w:oddVBand="0" w:evenVBand="1" w:oddHBand="0" w:evenHBand="0" w:firstRowFirstColumn="0" w:firstRowLastColumn="0" w:lastRowFirstColumn="0" w:lastRowLastColumn="0"/>
            <w:tcW w:w="6917" w:type="dxa"/>
          </w:tcPr>
          <w:p w14:paraId="63751D13" w14:textId="77777777" w:rsidR="009169E8" w:rsidRPr="00201DC3" w:rsidRDefault="009169E8" w:rsidP="00A90D07">
            <w:pPr>
              <w:pStyle w:val="Tableheader"/>
              <w:rPr>
                <w:b/>
              </w:rPr>
            </w:pPr>
            <w:r w:rsidRPr="00201DC3">
              <w:rPr>
                <w:b/>
              </w:rPr>
              <w:t>Full definition</w:t>
            </w:r>
          </w:p>
        </w:tc>
      </w:tr>
      <w:tr w:rsidR="009169E8" w14:paraId="79C290BE"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61B68E1" w14:textId="77777777" w:rsidR="009169E8" w:rsidRDefault="009169E8" w:rsidP="00CA2A1B">
            <w:pPr>
              <w:pStyle w:val="Tabletext"/>
            </w:pPr>
            <w:r>
              <w:t>Excessive neuraxial block</w:t>
            </w:r>
          </w:p>
        </w:tc>
        <w:tc>
          <w:tcPr>
            <w:cnfStyle w:val="000001000000" w:firstRow="0" w:lastRow="0" w:firstColumn="0" w:lastColumn="0" w:oddVBand="0" w:evenVBand="1" w:oddHBand="0" w:evenHBand="0" w:firstRowFirstColumn="0" w:firstRowLastColumn="0" w:lastRowFirstColumn="0" w:lastRowLastColumn="0"/>
            <w:tcW w:w="6917" w:type="dxa"/>
          </w:tcPr>
          <w:p w14:paraId="149380D8" w14:textId="77777777" w:rsidR="009169E8" w:rsidRDefault="009169E8" w:rsidP="00CA2A1B">
            <w:pPr>
              <w:pStyle w:val="Tabletext"/>
            </w:pPr>
            <w:r w:rsidRPr="00CA2A1B">
              <w:t>Clinically significant and unintended extension of neuraxial analgesia in</w:t>
            </w:r>
            <w:r>
              <w:rPr>
                <w:rFonts w:ascii="Cambria" w:hAnsi="Cambria" w:cs="Cambria"/>
              </w:rPr>
              <w:t> </w:t>
            </w:r>
            <w:r w:rsidRPr="00CA2A1B">
              <w:t>the</w:t>
            </w:r>
            <w:r>
              <w:rPr>
                <w:rFonts w:ascii="Cambria" w:hAnsi="Cambria" w:cs="Cambria"/>
              </w:rPr>
              <w:t> </w:t>
            </w:r>
            <w:r w:rsidRPr="00CA2A1B">
              <w:t>postoperative period</w:t>
            </w:r>
          </w:p>
        </w:tc>
      </w:tr>
      <w:tr w:rsidR="009169E8" w14:paraId="26B5E1D3"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3837C4A8" w14:textId="77777777" w:rsidR="009169E8" w:rsidRDefault="009169E8" w:rsidP="00CA2A1B">
            <w:pPr>
              <w:pStyle w:val="Tabletext"/>
            </w:pPr>
            <w:r>
              <w:t>Failed regional anaesthesia</w:t>
            </w:r>
          </w:p>
        </w:tc>
        <w:tc>
          <w:tcPr>
            <w:cnfStyle w:val="000001000000" w:firstRow="0" w:lastRow="0" w:firstColumn="0" w:lastColumn="0" w:oddVBand="0" w:evenVBand="1" w:oddHBand="0" w:evenHBand="0" w:firstRowFirstColumn="0" w:firstRowLastColumn="0" w:lastRowFirstColumn="0" w:lastRowLastColumn="0"/>
            <w:tcW w:w="6917" w:type="dxa"/>
          </w:tcPr>
          <w:p w14:paraId="4E802FC8" w14:textId="77777777" w:rsidR="009169E8" w:rsidRDefault="009169E8" w:rsidP="00CA2A1B">
            <w:pPr>
              <w:pStyle w:val="Tabletext"/>
            </w:pPr>
            <w:r>
              <w:t>Unplanned requirement to give supplemental analgesia for postoperative regional blockade</w:t>
            </w:r>
          </w:p>
        </w:tc>
      </w:tr>
      <w:tr w:rsidR="009169E8" w14:paraId="2D179526"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2AA53126" w14:textId="77777777" w:rsidR="009169E8" w:rsidRDefault="009169E8" w:rsidP="00CA2A1B">
            <w:pPr>
              <w:pStyle w:val="Tabletext"/>
            </w:pPr>
            <w:r>
              <w:t>Inadequate postoperative analgesia</w:t>
            </w:r>
          </w:p>
        </w:tc>
        <w:tc>
          <w:tcPr>
            <w:cnfStyle w:val="000001000000" w:firstRow="0" w:lastRow="0" w:firstColumn="0" w:lastColumn="0" w:oddVBand="0" w:evenVBand="1" w:oddHBand="0" w:evenHBand="0" w:firstRowFirstColumn="0" w:firstRowLastColumn="0" w:lastRowFirstColumn="0" w:lastRowLastColumn="0"/>
            <w:tcW w:w="6917" w:type="dxa"/>
          </w:tcPr>
          <w:p w14:paraId="1E5B3BF3" w14:textId="77777777" w:rsidR="009169E8" w:rsidRDefault="009169E8" w:rsidP="00CA2A1B">
            <w:pPr>
              <w:pStyle w:val="Tabletext"/>
            </w:pPr>
            <w:r>
              <w:t>Inadequate postoperative analgesia regardless of chosen modality</w:t>
            </w:r>
          </w:p>
        </w:tc>
      </w:tr>
      <w:tr w:rsidR="009169E8" w14:paraId="1E0FDA28"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CC18B4C" w14:textId="77777777" w:rsidR="009169E8" w:rsidRDefault="009169E8" w:rsidP="00CA2A1B">
            <w:pPr>
              <w:pStyle w:val="Tabletext"/>
            </w:pPr>
            <w:r>
              <w:t>Local anaesthetic toxicity</w:t>
            </w:r>
          </w:p>
        </w:tc>
        <w:tc>
          <w:tcPr>
            <w:cnfStyle w:val="000001000000" w:firstRow="0" w:lastRow="0" w:firstColumn="0" w:lastColumn="0" w:oddVBand="0" w:evenVBand="1" w:oddHBand="0" w:evenHBand="0" w:firstRowFirstColumn="0" w:firstRowLastColumn="0" w:lastRowFirstColumn="0" w:lastRowLastColumn="0"/>
            <w:tcW w:w="6917" w:type="dxa"/>
          </w:tcPr>
          <w:p w14:paraId="2809E12A" w14:textId="77777777" w:rsidR="009169E8" w:rsidRDefault="009169E8" w:rsidP="00CA2A1B">
            <w:pPr>
              <w:pStyle w:val="Tabletext"/>
            </w:pPr>
            <w:r>
              <w:t>Inadvertent systemic local anaesthesia toxicity-related to a postoperative regional technique</w:t>
            </w:r>
          </w:p>
        </w:tc>
      </w:tr>
      <w:tr w:rsidR="009169E8" w14:paraId="7E21F897"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130F876" w14:textId="77777777" w:rsidR="009169E8" w:rsidRDefault="009169E8" w:rsidP="00CA2A1B">
            <w:pPr>
              <w:pStyle w:val="Tabletext"/>
            </w:pPr>
            <w:r>
              <w:t>Postoperative respiratory depression</w:t>
            </w:r>
          </w:p>
        </w:tc>
        <w:tc>
          <w:tcPr>
            <w:cnfStyle w:val="000001000000" w:firstRow="0" w:lastRow="0" w:firstColumn="0" w:lastColumn="0" w:oddVBand="0" w:evenVBand="1" w:oddHBand="0" w:evenHBand="0" w:firstRowFirstColumn="0" w:firstRowLastColumn="0" w:lastRowFirstColumn="0" w:lastRowLastColumn="0"/>
            <w:tcW w:w="6917" w:type="dxa"/>
          </w:tcPr>
          <w:p w14:paraId="2EB8AF18" w14:textId="77777777" w:rsidR="009169E8" w:rsidRDefault="009169E8" w:rsidP="00CA2A1B">
            <w:pPr>
              <w:pStyle w:val="Tabletext"/>
            </w:pPr>
            <w:r>
              <w:t>Postoperative respiratory depression requiring intervention including naloxone or HDU/ICU care</w:t>
            </w:r>
          </w:p>
        </w:tc>
      </w:tr>
      <w:tr w:rsidR="009169E8" w14:paraId="6F7CBC42"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84AC6FE" w14:textId="77777777" w:rsidR="009169E8" w:rsidRDefault="009169E8" w:rsidP="00CA2A1B">
            <w:pPr>
              <w:pStyle w:val="Tabletext"/>
            </w:pPr>
            <w:r>
              <w:t>Other</w:t>
            </w:r>
          </w:p>
        </w:tc>
        <w:tc>
          <w:tcPr>
            <w:cnfStyle w:val="000001000000" w:firstRow="0" w:lastRow="0" w:firstColumn="0" w:lastColumn="0" w:oddVBand="0" w:evenVBand="1" w:oddHBand="0" w:evenHBand="0" w:firstRowFirstColumn="0" w:firstRowLastColumn="0" w:lastRowFirstColumn="0" w:lastRowLastColumn="0"/>
            <w:tcW w:w="6917" w:type="dxa"/>
          </w:tcPr>
          <w:p w14:paraId="67C0EE24" w14:textId="77777777" w:rsidR="009169E8" w:rsidRDefault="009169E8" w:rsidP="00CA2A1B">
            <w:pPr>
              <w:pStyle w:val="Tabletext"/>
            </w:pPr>
            <w:r>
              <w:t>Free-text option – clinically significant event that is not otherwise specified</w:t>
            </w:r>
          </w:p>
        </w:tc>
      </w:tr>
    </w:tbl>
    <w:p w14:paraId="3999A1AC" w14:textId="77777777" w:rsidR="009169E8" w:rsidRDefault="009169E8" w:rsidP="00F11623">
      <w:pPr>
        <w:pStyle w:val="Heading4"/>
      </w:pPr>
      <w:r>
        <w:t>Category: Procedure-related</w:t>
      </w:r>
    </w:p>
    <w:tbl>
      <w:tblPr>
        <w:tblStyle w:val="PlainTable2"/>
        <w:tblW w:w="0" w:type="auto"/>
        <w:tblLayout w:type="fixed"/>
        <w:tblLook w:val="0020" w:firstRow="1" w:lastRow="0" w:firstColumn="0" w:lastColumn="0" w:noHBand="0" w:noVBand="0"/>
      </w:tblPr>
      <w:tblGrid>
        <w:gridCol w:w="3288"/>
        <w:gridCol w:w="6917"/>
      </w:tblGrid>
      <w:tr w:rsidR="009169E8" w14:paraId="028BA366" w14:textId="77777777" w:rsidTr="00201DC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55DC100F" w14:textId="77777777" w:rsidR="009169E8" w:rsidRPr="00201DC3" w:rsidRDefault="009169E8" w:rsidP="00A90D07">
            <w:pPr>
              <w:pStyle w:val="Tableheader"/>
              <w:rPr>
                <w:b/>
              </w:rPr>
            </w:pPr>
            <w:r w:rsidRPr="00201DC3">
              <w:rPr>
                <w:b/>
              </w:rPr>
              <w:t>Abbreviated description of type</w:t>
            </w:r>
          </w:p>
        </w:tc>
        <w:tc>
          <w:tcPr>
            <w:cnfStyle w:val="000001000000" w:firstRow="0" w:lastRow="0" w:firstColumn="0" w:lastColumn="0" w:oddVBand="0" w:evenVBand="1" w:oddHBand="0" w:evenHBand="0" w:firstRowFirstColumn="0" w:firstRowLastColumn="0" w:lastRowFirstColumn="0" w:lastRowLastColumn="0"/>
            <w:tcW w:w="6917" w:type="dxa"/>
          </w:tcPr>
          <w:p w14:paraId="766101B6" w14:textId="77777777" w:rsidR="009169E8" w:rsidRPr="00201DC3" w:rsidRDefault="009169E8" w:rsidP="00A90D07">
            <w:pPr>
              <w:pStyle w:val="Tableheader"/>
              <w:rPr>
                <w:b/>
              </w:rPr>
            </w:pPr>
            <w:r w:rsidRPr="00201DC3">
              <w:rPr>
                <w:b/>
              </w:rPr>
              <w:t>Full definition</w:t>
            </w:r>
          </w:p>
        </w:tc>
      </w:tr>
      <w:tr w:rsidR="009169E8" w14:paraId="7261E368"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42083255" w14:textId="77777777" w:rsidR="009169E8" w:rsidRDefault="009169E8" w:rsidP="00CA2A1B">
            <w:pPr>
              <w:pStyle w:val="Tabletext"/>
            </w:pPr>
            <w:r>
              <w:t>Excessive neuraxial block</w:t>
            </w:r>
          </w:p>
        </w:tc>
        <w:tc>
          <w:tcPr>
            <w:cnfStyle w:val="000001000000" w:firstRow="0" w:lastRow="0" w:firstColumn="0" w:lastColumn="0" w:oddVBand="0" w:evenVBand="1" w:oddHBand="0" w:evenHBand="0" w:firstRowFirstColumn="0" w:firstRowLastColumn="0" w:lastRowFirstColumn="0" w:lastRowLastColumn="0"/>
            <w:tcW w:w="6917" w:type="dxa"/>
          </w:tcPr>
          <w:p w14:paraId="4F7FBC26" w14:textId="4C9D0FFA" w:rsidR="009169E8" w:rsidRDefault="009169E8" w:rsidP="00CA2A1B">
            <w:pPr>
              <w:pStyle w:val="Tabletext"/>
            </w:pPr>
            <w:r>
              <w:t>Clinically significant and unintended extension of neuraxial anaesthesia or analgesia</w:t>
            </w:r>
          </w:p>
        </w:tc>
      </w:tr>
      <w:tr w:rsidR="009169E8" w14:paraId="015E6988"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305DF24F" w14:textId="77777777" w:rsidR="009169E8" w:rsidRDefault="009169E8" w:rsidP="00CA2A1B">
            <w:pPr>
              <w:pStyle w:val="Tabletext"/>
            </w:pPr>
            <w:r>
              <w:t>Failed regional anaesthesia</w:t>
            </w:r>
          </w:p>
        </w:tc>
        <w:tc>
          <w:tcPr>
            <w:cnfStyle w:val="000001000000" w:firstRow="0" w:lastRow="0" w:firstColumn="0" w:lastColumn="0" w:oddVBand="0" w:evenVBand="1" w:oddHBand="0" w:evenHBand="0" w:firstRowFirstColumn="0" w:firstRowLastColumn="0" w:lastRowFirstColumn="0" w:lastRowLastColumn="0"/>
            <w:tcW w:w="6917" w:type="dxa"/>
          </w:tcPr>
          <w:p w14:paraId="1F259F56" w14:textId="77777777" w:rsidR="009169E8" w:rsidRDefault="009169E8" w:rsidP="00CA2A1B">
            <w:pPr>
              <w:pStyle w:val="Tabletext"/>
            </w:pPr>
            <w:r>
              <w:t>Unplanned requirement to give supplemental analgesia or anaesthesia for surgery under local or regional blockade</w:t>
            </w:r>
          </w:p>
        </w:tc>
      </w:tr>
      <w:tr w:rsidR="009169E8" w14:paraId="5DAAE27A"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1E033E3B" w14:textId="77777777" w:rsidR="009169E8" w:rsidRDefault="009169E8" w:rsidP="00CA2A1B">
            <w:pPr>
              <w:pStyle w:val="Tabletext"/>
            </w:pPr>
            <w:r>
              <w:t xml:space="preserve">Inadvertent </w:t>
            </w:r>
            <w:proofErr w:type="spellStart"/>
            <w:r>
              <w:t>dural</w:t>
            </w:r>
            <w:proofErr w:type="spellEnd"/>
            <w:r>
              <w:t xml:space="preserve"> puncture</w:t>
            </w:r>
          </w:p>
        </w:tc>
        <w:tc>
          <w:tcPr>
            <w:cnfStyle w:val="000001000000" w:firstRow="0" w:lastRow="0" w:firstColumn="0" w:lastColumn="0" w:oddVBand="0" w:evenVBand="1" w:oddHBand="0" w:evenHBand="0" w:firstRowFirstColumn="0" w:firstRowLastColumn="0" w:lastRowFirstColumn="0" w:lastRowLastColumn="0"/>
            <w:tcW w:w="6917" w:type="dxa"/>
          </w:tcPr>
          <w:p w14:paraId="7D771D45" w14:textId="77777777" w:rsidR="009169E8" w:rsidRDefault="009169E8" w:rsidP="00CA2A1B">
            <w:pPr>
              <w:pStyle w:val="Tabletext"/>
            </w:pPr>
            <w:r>
              <w:t xml:space="preserve">Unintended </w:t>
            </w:r>
            <w:proofErr w:type="spellStart"/>
            <w:r>
              <w:t>dural</w:t>
            </w:r>
            <w:proofErr w:type="spellEnd"/>
            <w:r>
              <w:t xml:space="preserve"> puncture during epidural insertion</w:t>
            </w:r>
          </w:p>
        </w:tc>
      </w:tr>
      <w:tr w:rsidR="009169E8" w14:paraId="054D61EB"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FBF5508" w14:textId="77777777" w:rsidR="009169E8" w:rsidRDefault="009169E8" w:rsidP="00CA2A1B">
            <w:pPr>
              <w:pStyle w:val="Tabletext"/>
            </w:pPr>
            <w:r>
              <w:t>Local anaesthetic toxicity</w:t>
            </w:r>
          </w:p>
        </w:tc>
        <w:tc>
          <w:tcPr>
            <w:cnfStyle w:val="000001000000" w:firstRow="0" w:lastRow="0" w:firstColumn="0" w:lastColumn="0" w:oddVBand="0" w:evenVBand="1" w:oddHBand="0" w:evenHBand="0" w:firstRowFirstColumn="0" w:firstRowLastColumn="0" w:lastRowFirstColumn="0" w:lastRowLastColumn="0"/>
            <w:tcW w:w="6917" w:type="dxa"/>
          </w:tcPr>
          <w:p w14:paraId="6A2E17A1" w14:textId="77777777" w:rsidR="009169E8" w:rsidRDefault="009169E8" w:rsidP="00CA2A1B">
            <w:pPr>
              <w:pStyle w:val="Tabletext"/>
            </w:pPr>
            <w:r>
              <w:t>Inadvertent systemic local anaesthesia toxicity related to regional or local technique</w:t>
            </w:r>
          </w:p>
        </w:tc>
      </w:tr>
      <w:tr w:rsidR="009169E8" w14:paraId="49AA284E"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04B23377" w14:textId="77777777" w:rsidR="009169E8" w:rsidRDefault="009169E8" w:rsidP="00CA2A1B">
            <w:pPr>
              <w:pStyle w:val="Tabletext"/>
            </w:pPr>
            <w:r>
              <w:lastRenderedPageBreak/>
              <w:t>TOE gastro-oesophageal injury</w:t>
            </w:r>
          </w:p>
        </w:tc>
        <w:tc>
          <w:tcPr>
            <w:cnfStyle w:val="000001000000" w:firstRow="0" w:lastRow="0" w:firstColumn="0" w:lastColumn="0" w:oddVBand="0" w:evenVBand="1" w:oddHBand="0" w:evenHBand="0" w:firstRowFirstColumn="0" w:firstRowLastColumn="0" w:lastRowFirstColumn="0" w:lastRowLastColumn="0"/>
            <w:tcW w:w="6917" w:type="dxa"/>
          </w:tcPr>
          <w:p w14:paraId="436D0D75" w14:textId="407AD14C" w:rsidR="009169E8" w:rsidRDefault="009169E8" w:rsidP="00CA2A1B">
            <w:pPr>
              <w:pStyle w:val="Tabletext"/>
            </w:pPr>
            <w:r>
              <w:t>Evidence of gastric or oesophageal injury relating to transoesophageal echocardiography</w:t>
            </w:r>
          </w:p>
        </w:tc>
      </w:tr>
      <w:tr w:rsidR="009169E8" w14:paraId="0FF6B767"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1FD91A45" w14:textId="77777777" w:rsidR="009169E8" w:rsidRDefault="009169E8" w:rsidP="00CA2A1B">
            <w:pPr>
              <w:pStyle w:val="Tabletext"/>
            </w:pPr>
            <w:r>
              <w:t>Vascular injury</w:t>
            </w:r>
          </w:p>
        </w:tc>
        <w:tc>
          <w:tcPr>
            <w:cnfStyle w:val="000001000000" w:firstRow="0" w:lastRow="0" w:firstColumn="0" w:lastColumn="0" w:oddVBand="0" w:evenVBand="1" w:oddHBand="0" w:evenHBand="0" w:firstRowFirstColumn="0" w:firstRowLastColumn="0" w:lastRowFirstColumn="0" w:lastRowLastColumn="0"/>
            <w:tcW w:w="6917" w:type="dxa"/>
          </w:tcPr>
          <w:p w14:paraId="66D18C0D" w14:textId="77777777" w:rsidR="009169E8" w:rsidRDefault="009169E8" w:rsidP="00CA2A1B">
            <w:pPr>
              <w:pStyle w:val="Tabletext"/>
            </w:pPr>
            <w:r>
              <w:t>Clinically significant vascular injury resulting from intravascular cannulation</w:t>
            </w:r>
          </w:p>
        </w:tc>
      </w:tr>
      <w:tr w:rsidR="009169E8" w14:paraId="15650E90"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06E69462" w14:textId="77777777" w:rsidR="009169E8" w:rsidRDefault="009169E8" w:rsidP="00CA2A1B">
            <w:pPr>
              <w:pStyle w:val="Tabletext"/>
            </w:pPr>
            <w:r>
              <w:t>Other</w:t>
            </w:r>
          </w:p>
        </w:tc>
        <w:tc>
          <w:tcPr>
            <w:cnfStyle w:val="000001000000" w:firstRow="0" w:lastRow="0" w:firstColumn="0" w:lastColumn="0" w:oddVBand="0" w:evenVBand="1" w:oddHBand="0" w:evenHBand="0" w:firstRowFirstColumn="0" w:firstRowLastColumn="0" w:lastRowFirstColumn="0" w:lastRowLastColumn="0"/>
            <w:tcW w:w="6917" w:type="dxa"/>
          </w:tcPr>
          <w:p w14:paraId="56D71C49" w14:textId="77777777" w:rsidR="009169E8" w:rsidRDefault="009169E8" w:rsidP="00CA2A1B">
            <w:pPr>
              <w:pStyle w:val="Tabletext"/>
            </w:pPr>
            <w:r>
              <w:t>Free-text option – clinically significant event that is not otherwise specified</w:t>
            </w:r>
          </w:p>
        </w:tc>
      </w:tr>
    </w:tbl>
    <w:p w14:paraId="28BB1CE4" w14:textId="77777777" w:rsidR="009169E8" w:rsidRDefault="009169E8" w:rsidP="00F11623">
      <w:pPr>
        <w:pStyle w:val="Heading4"/>
      </w:pPr>
      <w:r>
        <w:t>Category: Respiratory</w:t>
      </w:r>
    </w:p>
    <w:tbl>
      <w:tblPr>
        <w:tblStyle w:val="PlainTable2"/>
        <w:tblW w:w="0" w:type="auto"/>
        <w:tblLayout w:type="fixed"/>
        <w:tblLook w:val="0020" w:firstRow="1" w:lastRow="0" w:firstColumn="0" w:lastColumn="0" w:noHBand="0" w:noVBand="0"/>
      </w:tblPr>
      <w:tblGrid>
        <w:gridCol w:w="3288"/>
        <w:gridCol w:w="6917"/>
      </w:tblGrid>
      <w:tr w:rsidR="009169E8" w14:paraId="63D4491E" w14:textId="77777777" w:rsidTr="00201DC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2D502FFF" w14:textId="77777777" w:rsidR="009169E8" w:rsidRPr="00201DC3" w:rsidRDefault="009169E8" w:rsidP="00A90D07">
            <w:pPr>
              <w:pStyle w:val="Tableheader"/>
              <w:rPr>
                <w:b/>
              </w:rPr>
            </w:pPr>
            <w:r w:rsidRPr="00201DC3">
              <w:rPr>
                <w:b/>
              </w:rPr>
              <w:t>Abbreviated description of type</w:t>
            </w:r>
          </w:p>
        </w:tc>
        <w:tc>
          <w:tcPr>
            <w:cnfStyle w:val="000001000000" w:firstRow="0" w:lastRow="0" w:firstColumn="0" w:lastColumn="0" w:oddVBand="0" w:evenVBand="1" w:oddHBand="0" w:evenHBand="0" w:firstRowFirstColumn="0" w:firstRowLastColumn="0" w:lastRowFirstColumn="0" w:lastRowLastColumn="0"/>
            <w:tcW w:w="6917" w:type="dxa"/>
          </w:tcPr>
          <w:p w14:paraId="784E02F4" w14:textId="77777777" w:rsidR="009169E8" w:rsidRPr="00201DC3" w:rsidRDefault="009169E8" w:rsidP="00A90D07">
            <w:pPr>
              <w:pStyle w:val="Tableheader"/>
              <w:rPr>
                <w:b/>
              </w:rPr>
            </w:pPr>
            <w:r w:rsidRPr="00201DC3">
              <w:rPr>
                <w:b/>
              </w:rPr>
              <w:t>Full definition</w:t>
            </w:r>
          </w:p>
        </w:tc>
      </w:tr>
      <w:tr w:rsidR="009169E8" w14:paraId="27F83D28"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205F51D" w14:textId="77777777" w:rsidR="009169E8" w:rsidRDefault="009169E8" w:rsidP="00CA2A1B">
            <w:pPr>
              <w:pStyle w:val="Tabletext"/>
            </w:pPr>
            <w:r>
              <w:t>Aspiration</w:t>
            </w:r>
          </w:p>
        </w:tc>
        <w:tc>
          <w:tcPr>
            <w:cnfStyle w:val="000001000000" w:firstRow="0" w:lastRow="0" w:firstColumn="0" w:lastColumn="0" w:oddVBand="0" w:evenVBand="1" w:oddHBand="0" w:evenHBand="0" w:firstRowFirstColumn="0" w:firstRowLastColumn="0" w:lastRowFirstColumn="0" w:lastRowLastColumn="0"/>
            <w:tcW w:w="6917" w:type="dxa"/>
          </w:tcPr>
          <w:p w14:paraId="199944FC" w14:textId="42BC2487" w:rsidR="009169E8" w:rsidRDefault="009169E8" w:rsidP="00CA2A1B">
            <w:pPr>
              <w:pStyle w:val="Tabletext"/>
            </w:pPr>
            <w:r>
              <w:t>Clinically significant pulmonary aspiration of gastrointestinal contents, blood or particulate matter with or without radiographic evidence</w:t>
            </w:r>
          </w:p>
        </w:tc>
      </w:tr>
      <w:tr w:rsidR="009169E8" w14:paraId="5BB893DC"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94EF78D" w14:textId="77777777" w:rsidR="009169E8" w:rsidRDefault="009169E8" w:rsidP="00CA2A1B">
            <w:pPr>
              <w:pStyle w:val="Tabletext"/>
            </w:pPr>
            <w:r>
              <w:t>Bronchospasm</w:t>
            </w:r>
          </w:p>
        </w:tc>
        <w:tc>
          <w:tcPr>
            <w:cnfStyle w:val="000001000000" w:firstRow="0" w:lastRow="0" w:firstColumn="0" w:lastColumn="0" w:oddVBand="0" w:evenVBand="1" w:oddHBand="0" w:evenHBand="0" w:firstRowFirstColumn="0" w:firstRowLastColumn="0" w:lastRowFirstColumn="0" w:lastRowLastColumn="0"/>
            <w:tcW w:w="6917" w:type="dxa"/>
          </w:tcPr>
          <w:p w14:paraId="657BDC20" w14:textId="77777777" w:rsidR="009169E8" w:rsidRDefault="009169E8" w:rsidP="00CA2A1B">
            <w:pPr>
              <w:pStyle w:val="Tabletext"/>
            </w:pPr>
            <w:r>
              <w:t>New or increased airflow obstruction, detected by wheeze and/or increased inspiratory pressures during mechanical ventilation</w:t>
            </w:r>
          </w:p>
        </w:tc>
      </w:tr>
      <w:tr w:rsidR="009169E8" w14:paraId="350C116A"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530D4FC3" w14:textId="77777777" w:rsidR="009169E8" w:rsidRDefault="009169E8" w:rsidP="00CA2A1B">
            <w:pPr>
              <w:pStyle w:val="Tabletext"/>
            </w:pPr>
            <w:r>
              <w:t>Hypoventilation</w:t>
            </w:r>
          </w:p>
        </w:tc>
        <w:tc>
          <w:tcPr>
            <w:cnfStyle w:val="000001000000" w:firstRow="0" w:lastRow="0" w:firstColumn="0" w:lastColumn="0" w:oddVBand="0" w:evenVBand="1" w:oddHBand="0" w:evenHBand="0" w:firstRowFirstColumn="0" w:firstRowLastColumn="0" w:lastRowFirstColumn="0" w:lastRowLastColumn="0"/>
            <w:tcW w:w="6917" w:type="dxa"/>
          </w:tcPr>
          <w:p w14:paraId="40B9DACF" w14:textId="77777777" w:rsidR="009169E8" w:rsidRDefault="009169E8" w:rsidP="00CA2A1B">
            <w:pPr>
              <w:pStyle w:val="Tabletext"/>
            </w:pPr>
            <w:r>
              <w:t>Clinically significant inadequate minute ventilation</w:t>
            </w:r>
          </w:p>
        </w:tc>
      </w:tr>
      <w:tr w:rsidR="009169E8" w14:paraId="6074F1CF"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2B04DDA9" w14:textId="1544C570" w:rsidR="009169E8" w:rsidRDefault="009169E8" w:rsidP="00CA2A1B">
            <w:pPr>
              <w:pStyle w:val="Tabletext"/>
            </w:pPr>
            <w:r>
              <w:t>Hypoxia</w:t>
            </w:r>
          </w:p>
        </w:tc>
        <w:tc>
          <w:tcPr>
            <w:cnfStyle w:val="000001000000" w:firstRow="0" w:lastRow="0" w:firstColumn="0" w:lastColumn="0" w:oddVBand="0" w:evenVBand="1" w:oddHBand="0" w:evenHBand="0" w:firstRowFirstColumn="0" w:firstRowLastColumn="0" w:lastRowFirstColumn="0" w:lastRowLastColumn="0"/>
            <w:tcW w:w="6917" w:type="dxa"/>
          </w:tcPr>
          <w:p w14:paraId="74B8612D" w14:textId="46D239AA" w:rsidR="009169E8" w:rsidRDefault="009169E8" w:rsidP="00CA2A1B">
            <w:pPr>
              <w:pStyle w:val="Tabletext"/>
            </w:pPr>
            <w:r>
              <w:t xml:space="preserve"> SpO2 &lt; 90% for &gt; five minutes or &lt; 80% for &gt; two minutes</w:t>
            </w:r>
          </w:p>
        </w:tc>
      </w:tr>
      <w:tr w:rsidR="009169E8" w14:paraId="4FB8FCE3"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016D72C9" w14:textId="77777777" w:rsidR="009169E8" w:rsidRDefault="009169E8" w:rsidP="00CA2A1B">
            <w:pPr>
              <w:pStyle w:val="Tabletext"/>
            </w:pPr>
            <w:r>
              <w:t>Pneumothorax</w:t>
            </w:r>
          </w:p>
        </w:tc>
        <w:tc>
          <w:tcPr>
            <w:cnfStyle w:val="000001000000" w:firstRow="0" w:lastRow="0" w:firstColumn="0" w:lastColumn="0" w:oddVBand="0" w:evenVBand="1" w:oddHBand="0" w:evenHBand="0" w:firstRowFirstColumn="0" w:firstRowLastColumn="0" w:lastRowFirstColumn="0" w:lastRowLastColumn="0"/>
            <w:tcW w:w="6917" w:type="dxa"/>
          </w:tcPr>
          <w:p w14:paraId="5ED941AA" w14:textId="77777777" w:rsidR="009169E8" w:rsidRDefault="009169E8" w:rsidP="00CA2A1B">
            <w:pPr>
              <w:pStyle w:val="Tabletext"/>
            </w:pPr>
            <w:r>
              <w:t>Clinical or radiological evidence of gas in pleural space</w:t>
            </w:r>
          </w:p>
        </w:tc>
      </w:tr>
      <w:tr w:rsidR="009169E8" w14:paraId="5FD5211D"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06CA6583" w14:textId="77777777" w:rsidR="009169E8" w:rsidRDefault="009169E8" w:rsidP="00CA2A1B">
            <w:pPr>
              <w:pStyle w:val="Tabletext"/>
            </w:pPr>
            <w:r>
              <w:t>Pulmonary oedema</w:t>
            </w:r>
          </w:p>
        </w:tc>
        <w:tc>
          <w:tcPr>
            <w:cnfStyle w:val="000001000000" w:firstRow="0" w:lastRow="0" w:firstColumn="0" w:lastColumn="0" w:oddVBand="0" w:evenVBand="1" w:oddHBand="0" w:evenHBand="0" w:firstRowFirstColumn="0" w:firstRowLastColumn="0" w:lastRowFirstColumn="0" w:lastRowLastColumn="0"/>
            <w:tcW w:w="6917" w:type="dxa"/>
          </w:tcPr>
          <w:p w14:paraId="1DA50C49" w14:textId="09FB1ACF" w:rsidR="009169E8" w:rsidRDefault="009169E8" w:rsidP="00CA2A1B">
            <w:pPr>
              <w:pStyle w:val="Tabletext"/>
            </w:pPr>
            <w:r>
              <w:t>Presence of pink frothy fluid in airway or radiological evidence</w:t>
            </w:r>
          </w:p>
        </w:tc>
      </w:tr>
      <w:tr w:rsidR="009169E8" w14:paraId="4244ED34"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0E643226" w14:textId="77777777" w:rsidR="009169E8" w:rsidRDefault="009169E8" w:rsidP="00CA2A1B">
            <w:pPr>
              <w:pStyle w:val="Tabletext"/>
            </w:pPr>
            <w:r>
              <w:t>Respiratory arrest</w:t>
            </w:r>
          </w:p>
        </w:tc>
        <w:tc>
          <w:tcPr>
            <w:cnfStyle w:val="000001000000" w:firstRow="0" w:lastRow="0" w:firstColumn="0" w:lastColumn="0" w:oddVBand="0" w:evenVBand="1" w:oddHBand="0" w:evenHBand="0" w:firstRowFirstColumn="0" w:firstRowLastColumn="0" w:lastRowFirstColumn="0" w:lastRowLastColumn="0"/>
            <w:tcW w:w="6917" w:type="dxa"/>
          </w:tcPr>
          <w:p w14:paraId="34E4A2C3" w14:textId="77777777" w:rsidR="009169E8" w:rsidRDefault="009169E8" w:rsidP="00CA2A1B">
            <w:pPr>
              <w:pStyle w:val="Tabletext"/>
            </w:pPr>
            <w:r>
              <w:t>Prolonged apnoea requiring urgent intervention</w:t>
            </w:r>
          </w:p>
        </w:tc>
      </w:tr>
      <w:tr w:rsidR="009169E8" w14:paraId="4CEDFC6B"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94CBFFA" w14:textId="77777777" w:rsidR="009169E8" w:rsidRDefault="009169E8" w:rsidP="00CA2A1B">
            <w:pPr>
              <w:pStyle w:val="Tabletext"/>
            </w:pPr>
            <w:r>
              <w:t>Unplanned postoperative ventilation</w:t>
            </w:r>
          </w:p>
        </w:tc>
        <w:tc>
          <w:tcPr>
            <w:cnfStyle w:val="000001000000" w:firstRow="0" w:lastRow="0" w:firstColumn="0" w:lastColumn="0" w:oddVBand="0" w:evenVBand="1" w:oddHBand="0" w:evenHBand="0" w:firstRowFirstColumn="0" w:firstRowLastColumn="0" w:lastRowFirstColumn="0" w:lastRowLastColumn="0"/>
            <w:tcW w:w="6917" w:type="dxa"/>
          </w:tcPr>
          <w:p w14:paraId="406DBCBA" w14:textId="014027D5" w:rsidR="009169E8" w:rsidRDefault="009169E8" w:rsidP="00CA2A1B">
            <w:pPr>
              <w:pStyle w:val="Tabletext"/>
            </w:pPr>
            <w:r>
              <w:t>Invasive or non-invasive postoperative ventilation not planned prior to induction of anaesthesia</w:t>
            </w:r>
          </w:p>
        </w:tc>
      </w:tr>
      <w:tr w:rsidR="009169E8" w14:paraId="20D2C652"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0F96E55" w14:textId="77777777" w:rsidR="009169E8" w:rsidRDefault="009169E8" w:rsidP="00CA2A1B">
            <w:pPr>
              <w:pStyle w:val="Tabletext"/>
            </w:pPr>
            <w:r>
              <w:t>Other</w:t>
            </w:r>
          </w:p>
        </w:tc>
        <w:tc>
          <w:tcPr>
            <w:cnfStyle w:val="000001000000" w:firstRow="0" w:lastRow="0" w:firstColumn="0" w:lastColumn="0" w:oddVBand="0" w:evenVBand="1" w:oddHBand="0" w:evenHBand="0" w:firstRowFirstColumn="0" w:firstRowLastColumn="0" w:lastRowFirstColumn="0" w:lastRowLastColumn="0"/>
            <w:tcW w:w="6917" w:type="dxa"/>
          </w:tcPr>
          <w:p w14:paraId="5C0AAE6F" w14:textId="77777777" w:rsidR="009169E8" w:rsidRDefault="009169E8" w:rsidP="00CA2A1B">
            <w:pPr>
              <w:pStyle w:val="Tabletext"/>
            </w:pPr>
            <w:r>
              <w:t>Free-text option – clinically significant event that is not otherwise specified</w:t>
            </w:r>
          </w:p>
        </w:tc>
      </w:tr>
    </w:tbl>
    <w:p w14:paraId="481EB670" w14:textId="77777777" w:rsidR="009169E8" w:rsidRDefault="009169E8" w:rsidP="000A4644">
      <w:pPr>
        <w:pStyle w:val="Heading2"/>
      </w:pPr>
      <w:r>
        <w:t>EVENT OUTCOMES</w:t>
      </w:r>
    </w:p>
    <w:tbl>
      <w:tblPr>
        <w:tblStyle w:val="PlainTable2"/>
        <w:tblW w:w="0" w:type="auto"/>
        <w:tblLayout w:type="fixed"/>
        <w:tblLook w:val="0020" w:firstRow="1" w:lastRow="0" w:firstColumn="0" w:lastColumn="0" w:noHBand="0" w:noVBand="0"/>
      </w:tblPr>
      <w:tblGrid>
        <w:gridCol w:w="3288"/>
        <w:gridCol w:w="6917"/>
      </w:tblGrid>
      <w:tr w:rsidR="009169E8" w14:paraId="51420BB8" w14:textId="77777777" w:rsidTr="00201DC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5D49CCF7" w14:textId="77777777" w:rsidR="009169E8" w:rsidRPr="00201DC3" w:rsidRDefault="009169E8" w:rsidP="00A90D07">
            <w:pPr>
              <w:pStyle w:val="Tableheader"/>
              <w:rPr>
                <w:b/>
              </w:rPr>
            </w:pPr>
            <w:r w:rsidRPr="00201DC3">
              <w:rPr>
                <w:b/>
              </w:rPr>
              <w:t>Abbreviated description of outcome</w:t>
            </w:r>
          </w:p>
        </w:tc>
        <w:tc>
          <w:tcPr>
            <w:cnfStyle w:val="000001000000" w:firstRow="0" w:lastRow="0" w:firstColumn="0" w:lastColumn="0" w:oddVBand="0" w:evenVBand="1" w:oddHBand="0" w:evenHBand="0" w:firstRowFirstColumn="0" w:firstRowLastColumn="0" w:lastRowFirstColumn="0" w:lastRowLastColumn="0"/>
            <w:tcW w:w="6917" w:type="dxa"/>
          </w:tcPr>
          <w:p w14:paraId="7348F73E" w14:textId="77777777" w:rsidR="009169E8" w:rsidRPr="00201DC3" w:rsidRDefault="009169E8" w:rsidP="00A90D07">
            <w:pPr>
              <w:pStyle w:val="Tableheader"/>
              <w:rPr>
                <w:b/>
              </w:rPr>
            </w:pPr>
            <w:r w:rsidRPr="00201DC3">
              <w:rPr>
                <w:b/>
              </w:rPr>
              <w:t>Full definition</w:t>
            </w:r>
          </w:p>
        </w:tc>
      </w:tr>
      <w:tr w:rsidR="009169E8" w14:paraId="675E227E"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DC877F8" w14:textId="77777777" w:rsidR="009169E8" w:rsidRDefault="009169E8" w:rsidP="00CA2A1B">
            <w:pPr>
              <w:pStyle w:val="Tabletext"/>
            </w:pPr>
            <w:r>
              <w:t>Uneventful (critical incident)</w:t>
            </w:r>
          </w:p>
        </w:tc>
        <w:tc>
          <w:tcPr>
            <w:cnfStyle w:val="000001000000" w:firstRow="0" w:lastRow="0" w:firstColumn="0" w:lastColumn="0" w:oddVBand="0" w:evenVBand="1" w:oddHBand="0" w:evenHBand="0" w:firstRowFirstColumn="0" w:firstRowLastColumn="0" w:lastRowFirstColumn="0" w:lastRowLastColumn="0"/>
            <w:tcW w:w="6917" w:type="dxa"/>
          </w:tcPr>
          <w:p w14:paraId="3EAF5509" w14:textId="77777777" w:rsidR="009169E8" w:rsidRDefault="009169E8" w:rsidP="00CA2A1B">
            <w:pPr>
              <w:pStyle w:val="Tabletext"/>
            </w:pPr>
            <w:r>
              <w:t>No patient harm</w:t>
            </w:r>
          </w:p>
        </w:tc>
      </w:tr>
      <w:tr w:rsidR="009169E8" w14:paraId="3709A714"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215E2F04" w14:textId="77777777" w:rsidR="009169E8" w:rsidRDefault="009169E8" w:rsidP="00CA2A1B">
            <w:pPr>
              <w:pStyle w:val="Tabletext"/>
            </w:pPr>
            <w:r w:rsidRPr="00CA2A1B">
              <w:t>Minor adverse event (minor</w:t>
            </w:r>
            <w:r>
              <w:rPr>
                <w:rFonts w:ascii="Cambria" w:hAnsi="Cambria" w:cs="Cambria"/>
              </w:rPr>
              <w:t> </w:t>
            </w:r>
            <w:r w:rsidRPr="00CA2A1B">
              <w:t>morbidity)</w:t>
            </w:r>
          </w:p>
        </w:tc>
        <w:tc>
          <w:tcPr>
            <w:cnfStyle w:val="000001000000" w:firstRow="0" w:lastRow="0" w:firstColumn="0" w:lastColumn="0" w:oddVBand="0" w:evenVBand="1" w:oddHBand="0" w:evenHBand="0" w:firstRowFirstColumn="0" w:firstRowLastColumn="0" w:lastRowFirstColumn="0" w:lastRowLastColumn="0"/>
            <w:tcW w:w="6917" w:type="dxa"/>
          </w:tcPr>
          <w:p w14:paraId="353E6DDE" w14:textId="77777777" w:rsidR="009169E8" w:rsidRDefault="009169E8" w:rsidP="00CA2A1B">
            <w:pPr>
              <w:pStyle w:val="Tabletext"/>
            </w:pPr>
            <w:r>
              <w:t>Mild or transient injury to the patient</w:t>
            </w:r>
          </w:p>
        </w:tc>
      </w:tr>
      <w:tr w:rsidR="009169E8" w14:paraId="4675DCA3"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085B8468" w14:textId="77777777" w:rsidR="009169E8" w:rsidRDefault="009169E8" w:rsidP="00CA2A1B">
            <w:pPr>
              <w:pStyle w:val="Tabletext"/>
            </w:pPr>
            <w:r w:rsidRPr="00CA2A1B">
              <w:t>Major adverse event (major</w:t>
            </w:r>
            <w:r>
              <w:rPr>
                <w:rFonts w:ascii="Cambria" w:hAnsi="Cambria" w:cs="Cambria"/>
              </w:rPr>
              <w:t> </w:t>
            </w:r>
            <w:r w:rsidRPr="00CA2A1B">
              <w:t>morbidity)</w:t>
            </w:r>
          </w:p>
        </w:tc>
        <w:tc>
          <w:tcPr>
            <w:cnfStyle w:val="000001000000" w:firstRow="0" w:lastRow="0" w:firstColumn="0" w:lastColumn="0" w:oddVBand="0" w:evenVBand="1" w:oddHBand="0" w:evenHBand="0" w:firstRowFirstColumn="0" w:firstRowLastColumn="0" w:lastRowFirstColumn="0" w:lastRowLastColumn="0"/>
            <w:tcW w:w="6917" w:type="dxa"/>
          </w:tcPr>
          <w:p w14:paraId="39F350F7" w14:textId="77777777" w:rsidR="009169E8" w:rsidRDefault="009169E8" w:rsidP="00CA2A1B">
            <w:pPr>
              <w:pStyle w:val="Tabletext"/>
            </w:pPr>
            <w:r w:rsidRPr="00CA2A1B">
              <w:t>Severe life-threatening event, permanent disability or prolongation of</w:t>
            </w:r>
            <w:r>
              <w:rPr>
                <w:rFonts w:ascii="Cambria" w:hAnsi="Cambria" w:cs="Cambria"/>
              </w:rPr>
              <w:t> </w:t>
            </w:r>
            <w:r w:rsidRPr="00CA2A1B">
              <w:t>hospital stay including unplanned ICU admission</w:t>
            </w:r>
          </w:p>
        </w:tc>
      </w:tr>
      <w:tr w:rsidR="009169E8" w14:paraId="160C21A1"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329E28F1" w14:textId="77777777" w:rsidR="009169E8" w:rsidRDefault="009169E8" w:rsidP="00CA2A1B">
            <w:pPr>
              <w:pStyle w:val="Tabletext"/>
            </w:pPr>
            <w:r>
              <w:t>Death (mortality)</w:t>
            </w:r>
          </w:p>
        </w:tc>
        <w:tc>
          <w:tcPr>
            <w:cnfStyle w:val="000001000000" w:firstRow="0" w:lastRow="0" w:firstColumn="0" w:lastColumn="0" w:oddVBand="0" w:evenVBand="1" w:oddHBand="0" w:evenHBand="0" w:firstRowFirstColumn="0" w:firstRowLastColumn="0" w:lastRowFirstColumn="0" w:lastRowLastColumn="0"/>
            <w:tcW w:w="6917" w:type="dxa"/>
          </w:tcPr>
          <w:p w14:paraId="78956337" w14:textId="77777777" w:rsidR="009169E8" w:rsidRDefault="009169E8" w:rsidP="00CA2A1B">
            <w:pPr>
              <w:pStyle w:val="Tabletext"/>
            </w:pPr>
            <w:r>
              <w:t>Death</w:t>
            </w:r>
          </w:p>
        </w:tc>
      </w:tr>
    </w:tbl>
    <w:p w14:paraId="53FACC0E" w14:textId="77777777" w:rsidR="009169E8" w:rsidRDefault="009169E8" w:rsidP="000A4644">
      <w:pPr>
        <w:pStyle w:val="Heading2"/>
      </w:pPr>
      <w:r>
        <w:t>PREVENTABILITY SCORE</w:t>
      </w:r>
    </w:p>
    <w:tbl>
      <w:tblPr>
        <w:tblStyle w:val="PlainTable2"/>
        <w:tblW w:w="0" w:type="auto"/>
        <w:tblLayout w:type="fixed"/>
        <w:tblLook w:val="0020" w:firstRow="1" w:lastRow="0" w:firstColumn="0" w:lastColumn="0" w:noHBand="0" w:noVBand="0"/>
      </w:tblPr>
      <w:tblGrid>
        <w:gridCol w:w="3288"/>
        <w:gridCol w:w="6917"/>
      </w:tblGrid>
      <w:tr w:rsidR="009169E8" w14:paraId="0FA92DAD" w14:textId="77777777" w:rsidTr="00201DC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288" w:type="dxa"/>
          </w:tcPr>
          <w:p w14:paraId="57730C60" w14:textId="77777777" w:rsidR="009169E8" w:rsidRPr="00201DC3" w:rsidRDefault="009169E8" w:rsidP="00A90D07">
            <w:pPr>
              <w:pStyle w:val="Tableheader"/>
              <w:rPr>
                <w:b/>
              </w:rPr>
            </w:pPr>
            <w:r w:rsidRPr="00201DC3">
              <w:rPr>
                <w:b/>
              </w:rPr>
              <w:t>Abbreviated description of preventability (score)</w:t>
            </w:r>
          </w:p>
        </w:tc>
        <w:tc>
          <w:tcPr>
            <w:cnfStyle w:val="000001000000" w:firstRow="0" w:lastRow="0" w:firstColumn="0" w:lastColumn="0" w:oddVBand="0" w:evenVBand="1" w:oddHBand="0" w:evenHBand="0" w:firstRowFirstColumn="0" w:firstRowLastColumn="0" w:lastRowFirstColumn="0" w:lastRowLastColumn="0"/>
            <w:tcW w:w="6917" w:type="dxa"/>
          </w:tcPr>
          <w:p w14:paraId="73AEB02A" w14:textId="77777777" w:rsidR="009169E8" w:rsidRPr="00201DC3" w:rsidRDefault="009169E8" w:rsidP="00A90D07">
            <w:pPr>
              <w:pStyle w:val="Tableheader"/>
              <w:rPr>
                <w:b/>
              </w:rPr>
            </w:pPr>
            <w:r w:rsidRPr="00201DC3">
              <w:rPr>
                <w:b/>
              </w:rPr>
              <w:t>Full definition</w:t>
            </w:r>
          </w:p>
        </w:tc>
      </w:tr>
      <w:tr w:rsidR="009169E8" w14:paraId="749E597C"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684A0768" w14:textId="77777777" w:rsidR="009169E8" w:rsidRDefault="009169E8" w:rsidP="00CA2A1B">
            <w:pPr>
              <w:pStyle w:val="Tabletext"/>
            </w:pPr>
            <w:r>
              <w:t>Not preventable (0)</w:t>
            </w:r>
          </w:p>
        </w:tc>
        <w:tc>
          <w:tcPr>
            <w:cnfStyle w:val="000001000000" w:firstRow="0" w:lastRow="0" w:firstColumn="0" w:lastColumn="0" w:oddVBand="0" w:evenVBand="1" w:oddHBand="0" w:evenHBand="0" w:firstRowFirstColumn="0" w:firstRowLastColumn="0" w:lastRowFirstColumn="0" w:lastRowLastColumn="0"/>
            <w:tcW w:w="6917" w:type="dxa"/>
          </w:tcPr>
          <w:p w14:paraId="7B0B1E82" w14:textId="0A570FDE" w:rsidR="009169E8" w:rsidRDefault="009169E8" w:rsidP="00CA2A1B">
            <w:pPr>
              <w:pStyle w:val="Tabletext"/>
            </w:pPr>
            <w:r>
              <w:t>No reasonable evidence of preventability (likelihood &lt; 10%)</w:t>
            </w:r>
          </w:p>
        </w:tc>
      </w:tr>
      <w:tr w:rsidR="009169E8" w14:paraId="5FBD2717"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9DBD86A" w14:textId="77777777" w:rsidR="009169E8" w:rsidRDefault="009169E8" w:rsidP="00CA2A1B">
            <w:pPr>
              <w:pStyle w:val="Tabletext"/>
            </w:pPr>
            <w:r>
              <w:t>Possibly preventable (1)</w:t>
            </w:r>
          </w:p>
        </w:tc>
        <w:tc>
          <w:tcPr>
            <w:cnfStyle w:val="000001000000" w:firstRow="0" w:lastRow="0" w:firstColumn="0" w:lastColumn="0" w:oddVBand="0" w:evenVBand="1" w:oddHBand="0" w:evenHBand="0" w:firstRowFirstColumn="0" w:firstRowLastColumn="0" w:lastRowFirstColumn="0" w:lastRowLastColumn="0"/>
            <w:tcW w:w="6917" w:type="dxa"/>
          </w:tcPr>
          <w:p w14:paraId="020A49C8" w14:textId="77777777" w:rsidR="009169E8" w:rsidRDefault="009169E8" w:rsidP="00CA2A1B">
            <w:pPr>
              <w:pStyle w:val="Tabletext"/>
            </w:pPr>
            <w:r>
              <w:t>Modest evidence of preventability (likelihood 10–50%)</w:t>
            </w:r>
          </w:p>
        </w:tc>
      </w:tr>
      <w:tr w:rsidR="009169E8" w14:paraId="63C83E8A"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288" w:type="dxa"/>
          </w:tcPr>
          <w:p w14:paraId="7691885A" w14:textId="77777777" w:rsidR="009169E8" w:rsidRDefault="009169E8" w:rsidP="00CA2A1B">
            <w:pPr>
              <w:pStyle w:val="Tabletext"/>
            </w:pPr>
            <w:r>
              <w:t>Probably preventable (2)</w:t>
            </w:r>
          </w:p>
        </w:tc>
        <w:tc>
          <w:tcPr>
            <w:cnfStyle w:val="000001000000" w:firstRow="0" w:lastRow="0" w:firstColumn="0" w:lastColumn="0" w:oddVBand="0" w:evenVBand="1" w:oddHBand="0" w:evenHBand="0" w:firstRowFirstColumn="0" w:firstRowLastColumn="0" w:lastRowFirstColumn="0" w:lastRowLastColumn="0"/>
            <w:tcW w:w="6917" w:type="dxa"/>
          </w:tcPr>
          <w:p w14:paraId="4828E439" w14:textId="77777777" w:rsidR="009169E8" w:rsidRDefault="009169E8" w:rsidP="00CA2A1B">
            <w:pPr>
              <w:pStyle w:val="Tabletext"/>
            </w:pPr>
            <w:r>
              <w:t>More than likely to have been preventable (likelihood 51–90%)</w:t>
            </w:r>
          </w:p>
        </w:tc>
      </w:tr>
      <w:tr w:rsidR="009169E8" w14:paraId="6880C68E"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3288" w:type="dxa"/>
          </w:tcPr>
          <w:p w14:paraId="14141A30" w14:textId="77777777" w:rsidR="009169E8" w:rsidRDefault="009169E8" w:rsidP="00CA2A1B">
            <w:pPr>
              <w:pStyle w:val="Tabletext"/>
            </w:pPr>
            <w:r>
              <w:t>Definitely preventable (3)</w:t>
            </w:r>
          </w:p>
        </w:tc>
        <w:tc>
          <w:tcPr>
            <w:cnfStyle w:val="000001000000" w:firstRow="0" w:lastRow="0" w:firstColumn="0" w:lastColumn="0" w:oddVBand="0" w:evenVBand="1" w:oddHBand="0" w:evenHBand="0" w:firstRowFirstColumn="0" w:firstRowLastColumn="0" w:lastRowFirstColumn="0" w:lastRowLastColumn="0"/>
            <w:tcW w:w="6917" w:type="dxa"/>
          </w:tcPr>
          <w:p w14:paraId="623D660C" w14:textId="77777777" w:rsidR="009169E8" w:rsidRDefault="009169E8" w:rsidP="00CA2A1B">
            <w:pPr>
              <w:pStyle w:val="Tabletext"/>
            </w:pPr>
            <w:r>
              <w:t>Strong evidence of preventability (likelihood &gt; 90%)</w:t>
            </w:r>
          </w:p>
        </w:tc>
      </w:tr>
    </w:tbl>
    <w:p w14:paraId="625C0721" w14:textId="77777777" w:rsidR="009169E8" w:rsidRDefault="009169E8" w:rsidP="000A4644">
      <w:pPr>
        <w:pStyle w:val="Heading2"/>
      </w:pPr>
      <w:r>
        <w:t>AMERICAN SOCIETY OF ANAESTHESIOLOGISTS PHYSICAL STATUS CLASSIFICATION (ASA)</w:t>
      </w:r>
    </w:p>
    <w:tbl>
      <w:tblPr>
        <w:tblStyle w:val="PlainTable2"/>
        <w:tblW w:w="0" w:type="auto"/>
        <w:tblLayout w:type="fixed"/>
        <w:tblLook w:val="0020" w:firstRow="1" w:lastRow="0" w:firstColumn="0" w:lastColumn="0" w:noHBand="0" w:noVBand="0"/>
      </w:tblPr>
      <w:tblGrid>
        <w:gridCol w:w="1701"/>
        <w:gridCol w:w="8504"/>
      </w:tblGrid>
      <w:tr w:rsidR="009169E8" w14:paraId="5860444C" w14:textId="77777777" w:rsidTr="00201DC3">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1701" w:type="dxa"/>
          </w:tcPr>
          <w:p w14:paraId="7F8A5A45" w14:textId="77777777" w:rsidR="009169E8" w:rsidRPr="00035B11" w:rsidRDefault="009169E8" w:rsidP="00A90D07">
            <w:pPr>
              <w:pStyle w:val="Tableheader"/>
              <w:rPr>
                <w:b/>
              </w:rPr>
            </w:pPr>
            <w:r w:rsidRPr="00035B11">
              <w:rPr>
                <w:b/>
              </w:rPr>
              <w:t>Classification</w:t>
            </w:r>
          </w:p>
        </w:tc>
        <w:tc>
          <w:tcPr>
            <w:cnfStyle w:val="000001000000" w:firstRow="0" w:lastRow="0" w:firstColumn="0" w:lastColumn="0" w:oddVBand="0" w:evenVBand="1" w:oddHBand="0" w:evenHBand="0" w:firstRowFirstColumn="0" w:firstRowLastColumn="0" w:lastRowFirstColumn="0" w:lastRowLastColumn="0"/>
            <w:tcW w:w="8504" w:type="dxa"/>
          </w:tcPr>
          <w:p w14:paraId="79B60EBC" w14:textId="77777777" w:rsidR="009169E8" w:rsidRPr="00035B11" w:rsidRDefault="009169E8" w:rsidP="00A90D07">
            <w:pPr>
              <w:pStyle w:val="Tableheader"/>
              <w:rPr>
                <w:b/>
              </w:rPr>
            </w:pPr>
            <w:r w:rsidRPr="00035B11">
              <w:rPr>
                <w:b/>
              </w:rPr>
              <w:t>Description</w:t>
            </w:r>
          </w:p>
        </w:tc>
      </w:tr>
      <w:tr w:rsidR="009169E8" w14:paraId="50F076DC"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01" w:type="dxa"/>
          </w:tcPr>
          <w:p w14:paraId="0028F726" w14:textId="77777777" w:rsidR="009169E8" w:rsidRDefault="009169E8" w:rsidP="00CA2A1B">
            <w:pPr>
              <w:pStyle w:val="Tabletext"/>
            </w:pPr>
            <w:r>
              <w:t>ASA or P-1</w:t>
            </w:r>
          </w:p>
        </w:tc>
        <w:tc>
          <w:tcPr>
            <w:cnfStyle w:val="000001000000" w:firstRow="0" w:lastRow="0" w:firstColumn="0" w:lastColumn="0" w:oddVBand="0" w:evenVBand="1" w:oddHBand="0" w:evenHBand="0" w:firstRowFirstColumn="0" w:firstRowLastColumn="0" w:lastRowFirstColumn="0" w:lastRowLastColumn="0"/>
            <w:tcW w:w="8504" w:type="dxa"/>
          </w:tcPr>
          <w:p w14:paraId="3E9E109F" w14:textId="77777777" w:rsidR="009169E8" w:rsidRDefault="009169E8" w:rsidP="00CA2A1B">
            <w:pPr>
              <w:pStyle w:val="Tabletext"/>
            </w:pPr>
            <w:r>
              <w:t>A normal healthy patient</w:t>
            </w:r>
          </w:p>
        </w:tc>
      </w:tr>
      <w:tr w:rsidR="009169E8" w14:paraId="16E9385E"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1701" w:type="dxa"/>
          </w:tcPr>
          <w:p w14:paraId="340CA8A5" w14:textId="77777777" w:rsidR="009169E8" w:rsidRDefault="009169E8" w:rsidP="00CA2A1B">
            <w:pPr>
              <w:pStyle w:val="Tabletext"/>
            </w:pPr>
            <w:r>
              <w:t>ASA or P-2</w:t>
            </w:r>
          </w:p>
        </w:tc>
        <w:tc>
          <w:tcPr>
            <w:cnfStyle w:val="000001000000" w:firstRow="0" w:lastRow="0" w:firstColumn="0" w:lastColumn="0" w:oddVBand="0" w:evenVBand="1" w:oddHBand="0" w:evenHBand="0" w:firstRowFirstColumn="0" w:firstRowLastColumn="0" w:lastRowFirstColumn="0" w:lastRowLastColumn="0"/>
            <w:tcW w:w="8504" w:type="dxa"/>
          </w:tcPr>
          <w:p w14:paraId="64AE89CC" w14:textId="77777777" w:rsidR="009169E8" w:rsidRDefault="009169E8" w:rsidP="00CA2A1B">
            <w:pPr>
              <w:pStyle w:val="Tabletext"/>
            </w:pPr>
            <w:r>
              <w:t>A patient with mild systemic disease</w:t>
            </w:r>
          </w:p>
        </w:tc>
      </w:tr>
      <w:tr w:rsidR="009169E8" w14:paraId="79C50C6B"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01" w:type="dxa"/>
          </w:tcPr>
          <w:p w14:paraId="0C243F26" w14:textId="77777777" w:rsidR="009169E8" w:rsidRDefault="009169E8" w:rsidP="00CA2A1B">
            <w:pPr>
              <w:pStyle w:val="Tabletext"/>
            </w:pPr>
            <w:r>
              <w:t>ASA or P-3</w:t>
            </w:r>
          </w:p>
        </w:tc>
        <w:tc>
          <w:tcPr>
            <w:cnfStyle w:val="000001000000" w:firstRow="0" w:lastRow="0" w:firstColumn="0" w:lastColumn="0" w:oddVBand="0" w:evenVBand="1" w:oddHBand="0" w:evenHBand="0" w:firstRowFirstColumn="0" w:firstRowLastColumn="0" w:lastRowFirstColumn="0" w:lastRowLastColumn="0"/>
            <w:tcW w:w="8504" w:type="dxa"/>
          </w:tcPr>
          <w:p w14:paraId="659755D7" w14:textId="77777777" w:rsidR="009169E8" w:rsidRDefault="009169E8" w:rsidP="00CA2A1B">
            <w:pPr>
              <w:pStyle w:val="Tabletext"/>
            </w:pPr>
            <w:r>
              <w:t>A patient with severe systemic disease</w:t>
            </w:r>
          </w:p>
        </w:tc>
      </w:tr>
      <w:tr w:rsidR="009169E8" w14:paraId="0BA94F03"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1701" w:type="dxa"/>
          </w:tcPr>
          <w:p w14:paraId="177A539E" w14:textId="77777777" w:rsidR="009169E8" w:rsidRDefault="009169E8" w:rsidP="00CA2A1B">
            <w:pPr>
              <w:pStyle w:val="Tabletext"/>
            </w:pPr>
            <w:r>
              <w:t>ASA or P-4</w:t>
            </w:r>
          </w:p>
        </w:tc>
        <w:tc>
          <w:tcPr>
            <w:cnfStyle w:val="000001000000" w:firstRow="0" w:lastRow="0" w:firstColumn="0" w:lastColumn="0" w:oddVBand="0" w:evenVBand="1" w:oddHBand="0" w:evenHBand="0" w:firstRowFirstColumn="0" w:firstRowLastColumn="0" w:lastRowFirstColumn="0" w:lastRowLastColumn="0"/>
            <w:tcW w:w="8504" w:type="dxa"/>
          </w:tcPr>
          <w:p w14:paraId="4AE699DB" w14:textId="77777777" w:rsidR="009169E8" w:rsidRDefault="009169E8" w:rsidP="00CA2A1B">
            <w:pPr>
              <w:pStyle w:val="Tabletext"/>
            </w:pPr>
            <w:r>
              <w:t>A patient with severe systemic disease that is a constant threat to life</w:t>
            </w:r>
          </w:p>
        </w:tc>
      </w:tr>
      <w:tr w:rsidR="009169E8" w14:paraId="29FE4522"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01" w:type="dxa"/>
          </w:tcPr>
          <w:p w14:paraId="7948E181" w14:textId="77777777" w:rsidR="009169E8" w:rsidRDefault="009169E8" w:rsidP="00CA2A1B">
            <w:pPr>
              <w:pStyle w:val="Tabletext"/>
            </w:pPr>
            <w:r>
              <w:t>ASA or P-5</w:t>
            </w:r>
          </w:p>
        </w:tc>
        <w:tc>
          <w:tcPr>
            <w:cnfStyle w:val="000001000000" w:firstRow="0" w:lastRow="0" w:firstColumn="0" w:lastColumn="0" w:oddVBand="0" w:evenVBand="1" w:oddHBand="0" w:evenHBand="0" w:firstRowFirstColumn="0" w:firstRowLastColumn="0" w:lastRowFirstColumn="0" w:lastRowLastColumn="0"/>
            <w:tcW w:w="8504" w:type="dxa"/>
          </w:tcPr>
          <w:p w14:paraId="7C0013A3" w14:textId="77777777" w:rsidR="009169E8" w:rsidRDefault="009169E8" w:rsidP="00CA2A1B">
            <w:pPr>
              <w:pStyle w:val="Tabletext"/>
            </w:pPr>
            <w:r>
              <w:t>A moribund patient who is not expected to survive without the operation</w:t>
            </w:r>
          </w:p>
        </w:tc>
      </w:tr>
      <w:tr w:rsidR="009169E8" w14:paraId="3FBFFA37" w14:textId="77777777" w:rsidTr="00201DC3">
        <w:trPr>
          <w:trHeight w:val="113"/>
        </w:trPr>
        <w:tc>
          <w:tcPr>
            <w:cnfStyle w:val="000010000000" w:firstRow="0" w:lastRow="0" w:firstColumn="0" w:lastColumn="0" w:oddVBand="1" w:evenVBand="0" w:oddHBand="0" w:evenHBand="0" w:firstRowFirstColumn="0" w:firstRowLastColumn="0" w:lastRowFirstColumn="0" w:lastRowLastColumn="0"/>
            <w:tcW w:w="1701" w:type="dxa"/>
          </w:tcPr>
          <w:p w14:paraId="1AAEF901" w14:textId="77777777" w:rsidR="009169E8" w:rsidRDefault="009169E8" w:rsidP="00CA2A1B">
            <w:pPr>
              <w:pStyle w:val="Tabletext"/>
            </w:pPr>
            <w:r>
              <w:t>ASA or P-6</w:t>
            </w:r>
          </w:p>
        </w:tc>
        <w:tc>
          <w:tcPr>
            <w:cnfStyle w:val="000001000000" w:firstRow="0" w:lastRow="0" w:firstColumn="0" w:lastColumn="0" w:oddVBand="0" w:evenVBand="1" w:oddHBand="0" w:evenHBand="0" w:firstRowFirstColumn="0" w:firstRowLastColumn="0" w:lastRowFirstColumn="0" w:lastRowLastColumn="0"/>
            <w:tcW w:w="8504" w:type="dxa"/>
          </w:tcPr>
          <w:p w14:paraId="45935210" w14:textId="77777777" w:rsidR="009169E8" w:rsidRDefault="009169E8" w:rsidP="00CA2A1B">
            <w:pPr>
              <w:pStyle w:val="Tabletext"/>
            </w:pPr>
            <w:r>
              <w:t xml:space="preserve">A </w:t>
            </w:r>
            <w:proofErr w:type="gramStart"/>
            <w:r>
              <w:t>brain dead</w:t>
            </w:r>
            <w:proofErr w:type="gramEnd"/>
            <w:r>
              <w:t xml:space="preserve"> patient whose organs are being removed for donor purposes</w:t>
            </w:r>
          </w:p>
        </w:tc>
      </w:tr>
      <w:tr w:rsidR="009169E8" w14:paraId="3DB45A18" w14:textId="77777777" w:rsidTr="00201DC3">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1701" w:type="dxa"/>
          </w:tcPr>
          <w:p w14:paraId="42EEF7FB" w14:textId="77777777" w:rsidR="009169E8" w:rsidRDefault="009169E8" w:rsidP="00CA2A1B">
            <w:pPr>
              <w:pStyle w:val="Tabletext"/>
            </w:pPr>
            <w:r>
              <w:t>E</w:t>
            </w:r>
          </w:p>
        </w:tc>
        <w:tc>
          <w:tcPr>
            <w:cnfStyle w:val="000001000000" w:firstRow="0" w:lastRow="0" w:firstColumn="0" w:lastColumn="0" w:oddVBand="0" w:evenVBand="1" w:oddHBand="0" w:evenHBand="0" w:firstRowFirstColumn="0" w:firstRowLastColumn="0" w:lastRowFirstColumn="0" w:lastRowLastColumn="0"/>
            <w:tcW w:w="8504" w:type="dxa"/>
          </w:tcPr>
          <w:p w14:paraId="64AC3684" w14:textId="77777777" w:rsidR="009169E8" w:rsidRDefault="009169E8" w:rsidP="00CA2A1B">
            <w:pPr>
              <w:pStyle w:val="Tabletext"/>
            </w:pPr>
            <w:r>
              <w:t>Patient requires an emergency procedure</w:t>
            </w:r>
          </w:p>
        </w:tc>
      </w:tr>
    </w:tbl>
    <w:p w14:paraId="4AF11306" w14:textId="77777777" w:rsidR="009169E8" w:rsidRDefault="009169E8" w:rsidP="008E28A3">
      <w:pPr>
        <w:pStyle w:val="DHHSbody"/>
      </w:pPr>
    </w:p>
    <w:p w14:paraId="1D73B1E3" w14:textId="49085CC6" w:rsidR="009169E8" w:rsidRPr="007E551C" w:rsidRDefault="009169E8" w:rsidP="008E28A3">
      <w:pPr>
        <w:pStyle w:val="DHHSbody"/>
      </w:pPr>
      <w:r w:rsidRPr="007E551C">
        <w:lastRenderedPageBreak/>
        <w:t xml:space="preserve">For more information, visit the </w:t>
      </w:r>
      <w:hyperlink r:id="rId37" w:history="1">
        <w:r w:rsidRPr="007E551C">
          <w:rPr>
            <w:rStyle w:val="Hyperlink"/>
            <w:color w:val="0063A5"/>
            <w:u w:val="single"/>
          </w:rPr>
          <w:t>ASA website</w:t>
        </w:r>
      </w:hyperlink>
      <w:r w:rsidRPr="007E551C">
        <w:t xml:space="preserve"> &lt;www.asahq.org/standards-and-guidelines/asa-physical-status-classification-system&gt;.</w:t>
      </w:r>
    </w:p>
    <w:p w14:paraId="038E5AF3" w14:textId="77777777" w:rsidR="009169E8" w:rsidRDefault="009169E8" w:rsidP="000104F5">
      <w:pPr>
        <w:pStyle w:val="Heading1"/>
      </w:pPr>
      <w:bookmarkStart w:id="29" w:name="_Toc20234298"/>
      <w:r>
        <w:lastRenderedPageBreak/>
        <w:t>Appendix 3: Current council and subcommittee members</w:t>
      </w:r>
      <w:bookmarkEnd w:id="29"/>
    </w:p>
    <w:p w14:paraId="0743D441" w14:textId="77777777" w:rsidR="009169E8" w:rsidRDefault="009169E8" w:rsidP="008E28A3">
      <w:pPr>
        <w:pStyle w:val="DHHSbody"/>
      </w:pPr>
    </w:p>
    <w:tbl>
      <w:tblPr>
        <w:tblStyle w:val="PlainTable2"/>
        <w:tblW w:w="0" w:type="auto"/>
        <w:tblLayout w:type="fixed"/>
        <w:tblLook w:val="0020" w:firstRow="1" w:lastRow="0" w:firstColumn="0" w:lastColumn="0" w:noHBand="0" w:noVBand="0"/>
      </w:tblPr>
      <w:tblGrid>
        <w:gridCol w:w="3969"/>
        <w:gridCol w:w="6236"/>
      </w:tblGrid>
      <w:tr w:rsidR="009169E8" w14:paraId="02C4DE8A" w14:textId="77777777" w:rsidTr="007E551C">
        <w:trPr>
          <w:cnfStyle w:val="100000000000" w:firstRow="1" w:lastRow="0" w:firstColumn="0" w:lastColumn="0" w:oddVBand="0" w:evenVBand="0" w:oddHBand="0" w:evenHBand="0" w:firstRowFirstColumn="0" w:firstRowLastColumn="0" w:lastRowFirstColumn="0" w:lastRowLastColumn="0"/>
          <w:trHeight w:val="224"/>
          <w:tblHeader/>
        </w:trPr>
        <w:tc>
          <w:tcPr>
            <w:cnfStyle w:val="000010000000" w:firstRow="0" w:lastRow="0" w:firstColumn="0" w:lastColumn="0" w:oddVBand="1" w:evenVBand="0" w:oddHBand="0" w:evenHBand="0" w:firstRowFirstColumn="0" w:firstRowLastColumn="0" w:lastRowFirstColumn="0" w:lastRowLastColumn="0"/>
            <w:tcW w:w="3969" w:type="dxa"/>
          </w:tcPr>
          <w:p w14:paraId="50326906" w14:textId="77777777" w:rsidR="009169E8" w:rsidRPr="00C566B4" w:rsidRDefault="009169E8" w:rsidP="00A90D07">
            <w:pPr>
              <w:pStyle w:val="Tableheader"/>
              <w:rPr>
                <w:b/>
              </w:rPr>
            </w:pPr>
            <w:r w:rsidRPr="00C566B4">
              <w:rPr>
                <w:b/>
              </w:rPr>
              <w:t>Given Name</w:t>
            </w:r>
          </w:p>
        </w:tc>
        <w:tc>
          <w:tcPr>
            <w:cnfStyle w:val="000001000000" w:firstRow="0" w:lastRow="0" w:firstColumn="0" w:lastColumn="0" w:oddVBand="0" w:evenVBand="1" w:oddHBand="0" w:evenHBand="0" w:firstRowFirstColumn="0" w:firstRowLastColumn="0" w:lastRowFirstColumn="0" w:lastRowLastColumn="0"/>
            <w:tcW w:w="6236" w:type="dxa"/>
          </w:tcPr>
          <w:p w14:paraId="38F3F9D9" w14:textId="77777777" w:rsidR="009169E8" w:rsidRPr="00C566B4" w:rsidRDefault="009169E8" w:rsidP="00A90D07">
            <w:pPr>
              <w:pStyle w:val="Tableheader"/>
              <w:rPr>
                <w:b/>
              </w:rPr>
            </w:pPr>
            <w:r w:rsidRPr="00C566B4">
              <w:rPr>
                <w:b/>
              </w:rPr>
              <w:t>Council membership</w:t>
            </w:r>
          </w:p>
        </w:tc>
      </w:tr>
      <w:tr w:rsidR="009169E8" w14:paraId="0E61425E" w14:textId="77777777" w:rsidTr="007E551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969" w:type="dxa"/>
          </w:tcPr>
          <w:p w14:paraId="559A0C67" w14:textId="77777777" w:rsidR="009169E8" w:rsidRPr="007E551C" w:rsidRDefault="009169E8" w:rsidP="007E551C">
            <w:pPr>
              <w:pStyle w:val="Tabletext"/>
              <w:rPr>
                <w:b/>
              </w:rPr>
            </w:pPr>
            <w:r w:rsidRPr="007E551C">
              <w:rPr>
                <w:b/>
              </w:rPr>
              <w:t xml:space="preserve">Dr Andrea </w:t>
            </w:r>
            <w:proofErr w:type="spellStart"/>
            <w:r w:rsidRPr="007E551C">
              <w:rPr>
                <w:b/>
              </w:rPr>
              <w:t>Kattula</w:t>
            </w:r>
            <w:proofErr w:type="spellEnd"/>
          </w:p>
        </w:tc>
        <w:tc>
          <w:tcPr>
            <w:cnfStyle w:val="000001000000" w:firstRow="0" w:lastRow="0" w:firstColumn="0" w:lastColumn="0" w:oddVBand="0" w:evenVBand="1" w:oddHBand="0" w:evenHBand="0" w:firstRowFirstColumn="0" w:firstRowLastColumn="0" w:lastRowFirstColumn="0" w:lastRowLastColumn="0"/>
            <w:tcW w:w="6236" w:type="dxa"/>
          </w:tcPr>
          <w:p w14:paraId="11DAB513" w14:textId="77777777" w:rsidR="009169E8" w:rsidRDefault="009169E8" w:rsidP="00CA2A1B">
            <w:pPr>
              <w:pStyle w:val="Tabletext"/>
            </w:pPr>
            <w:r>
              <w:t>Chairperson council and subcommittee</w:t>
            </w:r>
          </w:p>
        </w:tc>
      </w:tr>
      <w:tr w:rsidR="009169E8" w14:paraId="10A878B1" w14:textId="77777777" w:rsidTr="007E551C">
        <w:trPr>
          <w:trHeight w:val="113"/>
        </w:trPr>
        <w:tc>
          <w:tcPr>
            <w:cnfStyle w:val="000010000000" w:firstRow="0" w:lastRow="0" w:firstColumn="0" w:lastColumn="0" w:oddVBand="1" w:evenVBand="0" w:oddHBand="0" w:evenHBand="0" w:firstRowFirstColumn="0" w:firstRowLastColumn="0" w:lastRowFirstColumn="0" w:lastRowLastColumn="0"/>
            <w:tcW w:w="3969" w:type="dxa"/>
          </w:tcPr>
          <w:p w14:paraId="443BC6EC" w14:textId="77777777" w:rsidR="009169E8" w:rsidRPr="007E551C" w:rsidRDefault="009169E8" w:rsidP="007E551C">
            <w:pPr>
              <w:pStyle w:val="Tabletext"/>
              <w:rPr>
                <w:b/>
              </w:rPr>
            </w:pPr>
            <w:r w:rsidRPr="007E551C">
              <w:rPr>
                <w:b/>
              </w:rPr>
              <w:t>Dr Andrew Jeffreys</w:t>
            </w:r>
          </w:p>
        </w:tc>
        <w:tc>
          <w:tcPr>
            <w:cnfStyle w:val="000001000000" w:firstRow="0" w:lastRow="0" w:firstColumn="0" w:lastColumn="0" w:oddVBand="0" w:evenVBand="1" w:oddHBand="0" w:evenHBand="0" w:firstRowFirstColumn="0" w:firstRowLastColumn="0" w:lastRowFirstColumn="0" w:lastRowLastColumn="0"/>
            <w:tcW w:w="6236" w:type="dxa"/>
          </w:tcPr>
          <w:p w14:paraId="444B1D1B" w14:textId="77777777" w:rsidR="009169E8" w:rsidRDefault="009169E8" w:rsidP="00CA2A1B">
            <w:pPr>
              <w:pStyle w:val="Tabletext"/>
            </w:pPr>
            <w:r>
              <w:t>Council and subcommittee</w:t>
            </w:r>
          </w:p>
        </w:tc>
      </w:tr>
      <w:tr w:rsidR="009169E8" w14:paraId="74AD1003" w14:textId="77777777" w:rsidTr="007E551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969" w:type="dxa"/>
          </w:tcPr>
          <w:p w14:paraId="2A2AD6A6" w14:textId="77777777" w:rsidR="009169E8" w:rsidRPr="007E551C" w:rsidRDefault="009169E8" w:rsidP="007E551C">
            <w:pPr>
              <w:pStyle w:val="Tabletext"/>
              <w:rPr>
                <w:b/>
              </w:rPr>
            </w:pPr>
            <w:r w:rsidRPr="007E551C">
              <w:rPr>
                <w:b/>
              </w:rPr>
              <w:t>Ms Annette McPherson</w:t>
            </w:r>
          </w:p>
        </w:tc>
        <w:tc>
          <w:tcPr>
            <w:cnfStyle w:val="000001000000" w:firstRow="0" w:lastRow="0" w:firstColumn="0" w:lastColumn="0" w:oddVBand="0" w:evenVBand="1" w:oddHBand="0" w:evenHBand="0" w:firstRowFirstColumn="0" w:firstRowLastColumn="0" w:lastRowFirstColumn="0" w:lastRowLastColumn="0"/>
            <w:tcW w:w="6236" w:type="dxa"/>
          </w:tcPr>
          <w:p w14:paraId="4879688F" w14:textId="77777777" w:rsidR="009169E8" w:rsidRDefault="009169E8" w:rsidP="00CA2A1B">
            <w:pPr>
              <w:pStyle w:val="Tabletext"/>
            </w:pPr>
            <w:r>
              <w:t>Council and subcommittee</w:t>
            </w:r>
          </w:p>
        </w:tc>
      </w:tr>
      <w:tr w:rsidR="009169E8" w14:paraId="574A2B06" w14:textId="77777777" w:rsidTr="007E551C">
        <w:trPr>
          <w:trHeight w:val="113"/>
        </w:trPr>
        <w:tc>
          <w:tcPr>
            <w:cnfStyle w:val="000010000000" w:firstRow="0" w:lastRow="0" w:firstColumn="0" w:lastColumn="0" w:oddVBand="1" w:evenVBand="0" w:oddHBand="0" w:evenHBand="0" w:firstRowFirstColumn="0" w:firstRowLastColumn="0" w:lastRowFirstColumn="0" w:lastRowLastColumn="0"/>
            <w:tcW w:w="3969" w:type="dxa"/>
          </w:tcPr>
          <w:p w14:paraId="2E4C29AB" w14:textId="77777777" w:rsidR="009169E8" w:rsidRPr="007E551C" w:rsidRDefault="009169E8" w:rsidP="007E551C">
            <w:pPr>
              <w:pStyle w:val="Tabletext"/>
              <w:rPr>
                <w:b/>
              </w:rPr>
            </w:pPr>
            <w:r w:rsidRPr="007E551C">
              <w:rPr>
                <w:b/>
              </w:rPr>
              <w:t>Dr Christopher Bain</w:t>
            </w:r>
          </w:p>
        </w:tc>
        <w:tc>
          <w:tcPr>
            <w:cnfStyle w:val="000001000000" w:firstRow="0" w:lastRow="0" w:firstColumn="0" w:lastColumn="0" w:oddVBand="0" w:evenVBand="1" w:oddHBand="0" w:evenHBand="0" w:firstRowFirstColumn="0" w:firstRowLastColumn="0" w:lastRowFirstColumn="0" w:lastRowLastColumn="0"/>
            <w:tcW w:w="6236" w:type="dxa"/>
          </w:tcPr>
          <w:p w14:paraId="3AE75239" w14:textId="77777777" w:rsidR="009169E8" w:rsidRDefault="009169E8" w:rsidP="00CA2A1B">
            <w:pPr>
              <w:pStyle w:val="Tabletext"/>
            </w:pPr>
            <w:r>
              <w:t>Council and subcommittee</w:t>
            </w:r>
          </w:p>
        </w:tc>
      </w:tr>
      <w:tr w:rsidR="009169E8" w14:paraId="515ECACE" w14:textId="77777777" w:rsidTr="007E551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969" w:type="dxa"/>
          </w:tcPr>
          <w:p w14:paraId="5361689C" w14:textId="77777777" w:rsidR="009169E8" w:rsidRPr="007E551C" w:rsidRDefault="009169E8" w:rsidP="007E551C">
            <w:pPr>
              <w:pStyle w:val="Tabletext"/>
              <w:rPr>
                <w:b/>
              </w:rPr>
            </w:pPr>
            <w:r w:rsidRPr="007E551C">
              <w:rPr>
                <w:b/>
              </w:rPr>
              <w:t>Dr Heinrich Bouwer</w:t>
            </w:r>
          </w:p>
        </w:tc>
        <w:tc>
          <w:tcPr>
            <w:cnfStyle w:val="000001000000" w:firstRow="0" w:lastRow="0" w:firstColumn="0" w:lastColumn="0" w:oddVBand="0" w:evenVBand="1" w:oddHBand="0" w:evenHBand="0" w:firstRowFirstColumn="0" w:firstRowLastColumn="0" w:lastRowFirstColumn="0" w:lastRowLastColumn="0"/>
            <w:tcW w:w="6236" w:type="dxa"/>
          </w:tcPr>
          <w:p w14:paraId="5AF703EF" w14:textId="77777777" w:rsidR="009169E8" w:rsidRDefault="009169E8" w:rsidP="00CA2A1B">
            <w:pPr>
              <w:pStyle w:val="Tabletext"/>
            </w:pPr>
            <w:r>
              <w:t>Council and subcommittee</w:t>
            </w:r>
          </w:p>
        </w:tc>
      </w:tr>
      <w:tr w:rsidR="009169E8" w14:paraId="1DD00CA9" w14:textId="77777777" w:rsidTr="007E551C">
        <w:trPr>
          <w:trHeight w:val="113"/>
        </w:trPr>
        <w:tc>
          <w:tcPr>
            <w:cnfStyle w:val="000010000000" w:firstRow="0" w:lastRow="0" w:firstColumn="0" w:lastColumn="0" w:oddVBand="1" w:evenVBand="0" w:oddHBand="0" w:evenHBand="0" w:firstRowFirstColumn="0" w:firstRowLastColumn="0" w:lastRowFirstColumn="0" w:lastRowLastColumn="0"/>
            <w:tcW w:w="3969" w:type="dxa"/>
          </w:tcPr>
          <w:p w14:paraId="3C9718A7" w14:textId="77777777" w:rsidR="009169E8" w:rsidRPr="007E551C" w:rsidRDefault="009169E8" w:rsidP="007E551C">
            <w:pPr>
              <w:pStyle w:val="Tabletext"/>
              <w:rPr>
                <w:b/>
              </w:rPr>
            </w:pPr>
            <w:r w:rsidRPr="007E551C">
              <w:rPr>
                <w:b/>
              </w:rPr>
              <w:t>Dr Maggie Wong</w:t>
            </w:r>
          </w:p>
        </w:tc>
        <w:tc>
          <w:tcPr>
            <w:cnfStyle w:val="000001000000" w:firstRow="0" w:lastRow="0" w:firstColumn="0" w:lastColumn="0" w:oddVBand="0" w:evenVBand="1" w:oddHBand="0" w:evenHBand="0" w:firstRowFirstColumn="0" w:firstRowLastColumn="0" w:lastRowFirstColumn="0" w:lastRowLastColumn="0"/>
            <w:tcW w:w="6236" w:type="dxa"/>
          </w:tcPr>
          <w:p w14:paraId="0B999404" w14:textId="77777777" w:rsidR="009169E8" w:rsidRDefault="009169E8" w:rsidP="00CA2A1B">
            <w:pPr>
              <w:pStyle w:val="Tabletext"/>
            </w:pPr>
            <w:r>
              <w:t>Council and subcommittee</w:t>
            </w:r>
          </w:p>
        </w:tc>
      </w:tr>
      <w:tr w:rsidR="009169E8" w14:paraId="58A3A4B1" w14:textId="77777777" w:rsidTr="007E551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969" w:type="dxa"/>
          </w:tcPr>
          <w:p w14:paraId="51827381" w14:textId="77777777" w:rsidR="009169E8" w:rsidRPr="007E551C" w:rsidRDefault="009169E8" w:rsidP="007E551C">
            <w:pPr>
              <w:pStyle w:val="Tabletext"/>
              <w:rPr>
                <w:b/>
              </w:rPr>
            </w:pPr>
            <w:r w:rsidRPr="007E551C">
              <w:rPr>
                <w:b/>
              </w:rPr>
              <w:t xml:space="preserve">Ms Paula </w:t>
            </w:r>
            <w:proofErr w:type="spellStart"/>
            <w:r w:rsidRPr="007E551C">
              <w:rPr>
                <w:b/>
              </w:rPr>
              <w:t>Foran</w:t>
            </w:r>
            <w:proofErr w:type="spellEnd"/>
          </w:p>
        </w:tc>
        <w:tc>
          <w:tcPr>
            <w:cnfStyle w:val="000001000000" w:firstRow="0" w:lastRow="0" w:firstColumn="0" w:lastColumn="0" w:oddVBand="0" w:evenVBand="1" w:oddHBand="0" w:evenHBand="0" w:firstRowFirstColumn="0" w:firstRowLastColumn="0" w:lastRowFirstColumn="0" w:lastRowLastColumn="0"/>
            <w:tcW w:w="6236" w:type="dxa"/>
          </w:tcPr>
          <w:p w14:paraId="1495F9FA" w14:textId="77777777" w:rsidR="009169E8" w:rsidRDefault="009169E8" w:rsidP="00CA2A1B">
            <w:pPr>
              <w:pStyle w:val="Tabletext"/>
            </w:pPr>
            <w:r>
              <w:t>Council and subcommittee</w:t>
            </w:r>
          </w:p>
        </w:tc>
      </w:tr>
      <w:tr w:rsidR="009169E8" w14:paraId="2EED46AF" w14:textId="77777777" w:rsidTr="007E551C">
        <w:trPr>
          <w:trHeight w:val="113"/>
        </w:trPr>
        <w:tc>
          <w:tcPr>
            <w:cnfStyle w:val="000010000000" w:firstRow="0" w:lastRow="0" w:firstColumn="0" w:lastColumn="0" w:oddVBand="1" w:evenVBand="0" w:oddHBand="0" w:evenHBand="0" w:firstRowFirstColumn="0" w:firstRowLastColumn="0" w:lastRowFirstColumn="0" w:lastRowLastColumn="0"/>
            <w:tcW w:w="3969" w:type="dxa"/>
          </w:tcPr>
          <w:p w14:paraId="18F1EEF9" w14:textId="77777777" w:rsidR="009169E8" w:rsidRPr="007E551C" w:rsidRDefault="009169E8" w:rsidP="007E551C">
            <w:pPr>
              <w:pStyle w:val="Tabletext"/>
              <w:rPr>
                <w:b/>
              </w:rPr>
            </w:pPr>
            <w:r w:rsidRPr="007E551C">
              <w:rPr>
                <w:b/>
              </w:rPr>
              <w:t>Dr Simon Tomlinson</w:t>
            </w:r>
          </w:p>
        </w:tc>
        <w:tc>
          <w:tcPr>
            <w:cnfStyle w:val="000001000000" w:firstRow="0" w:lastRow="0" w:firstColumn="0" w:lastColumn="0" w:oddVBand="0" w:evenVBand="1" w:oddHBand="0" w:evenHBand="0" w:firstRowFirstColumn="0" w:firstRowLastColumn="0" w:lastRowFirstColumn="0" w:lastRowLastColumn="0"/>
            <w:tcW w:w="6236" w:type="dxa"/>
          </w:tcPr>
          <w:p w14:paraId="146983AD" w14:textId="77777777" w:rsidR="009169E8" w:rsidRDefault="009169E8" w:rsidP="00CA2A1B">
            <w:pPr>
              <w:pStyle w:val="Tabletext"/>
            </w:pPr>
            <w:r>
              <w:t>Council and Deputy chair subcommittee</w:t>
            </w:r>
          </w:p>
        </w:tc>
      </w:tr>
      <w:tr w:rsidR="009169E8" w14:paraId="358D61CA" w14:textId="77777777" w:rsidTr="007E551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969" w:type="dxa"/>
          </w:tcPr>
          <w:p w14:paraId="5FBD8250" w14:textId="77777777" w:rsidR="009169E8" w:rsidRPr="007E551C" w:rsidRDefault="009169E8" w:rsidP="007E551C">
            <w:pPr>
              <w:pStyle w:val="Tabletext"/>
              <w:rPr>
                <w:b/>
              </w:rPr>
            </w:pPr>
            <w:r w:rsidRPr="007E551C">
              <w:rPr>
                <w:b/>
              </w:rPr>
              <w:t xml:space="preserve">Ms Debra </w:t>
            </w:r>
            <w:proofErr w:type="spellStart"/>
            <w:r w:rsidRPr="007E551C">
              <w:rPr>
                <w:b/>
              </w:rPr>
              <w:t>Sudano</w:t>
            </w:r>
            <w:proofErr w:type="spellEnd"/>
          </w:p>
        </w:tc>
        <w:tc>
          <w:tcPr>
            <w:cnfStyle w:val="000001000000" w:firstRow="0" w:lastRow="0" w:firstColumn="0" w:lastColumn="0" w:oddVBand="0" w:evenVBand="1" w:oddHBand="0" w:evenHBand="0" w:firstRowFirstColumn="0" w:firstRowLastColumn="0" w:lastRowFirstColumn="0" w:lastRowLastColumn="0"/>
            <w:tcW w:w="6236" w:type="dxa"/>
          </w:tcPr>
          <w:p w14:paraId="043D0FA2" w14:textId="77777777" w:rsidR="009169E8" w:rsidRDefault="009169E8" w:rsidP="00CA2A1B">
            <w:pPr>
              <w:pStyle w:val="Tabletext"/>
            </w:pPr>
            <w:r>
              <w:t>Council</w:t>
            </w:r>
          </w:p>
        </w:tc>
      </w:tr>
      <w:tr w:rsidR="009169E8" w14:paraId="6FADBF03" w14:textId="77777777" w:rsidTr="007E551C">
        <w:trPr>
          <w:trHeight w:val="113"/>
        </w:trPr>
        <w:tc>
          <w:tcPr>
            <w:cnfStyle w:val="000010000000" w:firstRow="0" w:lastRow="0" w:firstColumn="0" w:lastColumn="0" w:oddVBand="1" w:evenVBand="0" w:oddHBand="0" w:evenHBand="0" w:firstRowFirstColumn="0" w:firstRowLastColumn="0" w:lastRowFirstColumn="0" w:lastRowLastColumn="0"/>
            <w:tcW w:w="3969" w:type="dxa"/>
          </w:tcPr>
          <w:p w14:paraId="0BED551B" w14:textId="77777777" w:rsidR="009169E8" w:rsidRPr="007E551C" w:rsidRDefault="009169E8" w:rsidP="007E551C">
            <w:pPr>
              <w:pStyle w:val="Tabletext"/>
              <w:rPr>
                <w:b/>
              </w:rPr>
            </w:pPr>
            <w:r w:rsidRPr="007E551C">
              <w:rPr>
                <w:b/>
              </w:rPr>
              <w:t>Dr Gaylene Heard</w:t>
            </w:r>
          </w:p>
        </w:tc>
        <w:tc>
          <w:tcPr>
            <w:cnfStyle w:val="000001000000" w:firstRow="0" w:lastRow="0" w:firstColumn="0" w:lastColumn="0" w:oddVBand="0" w:evenVBand="1" w:oddHBand="0" w:evenHBand="0" w:firstRowFirstColumn="0" w:firstRowLastColumn="0" w:lastRowFirstColumn="0" w:lastRowLastColumn="0"/>
            <w:tcW w:w="6236" w:type="dxa"/>
          </w:tcPr>
          <w:p w14:paraId="2AE6B4AB" w14:textId="77777777" w:rsidR="009169E8" w:rsidRDefault="009169E8" w:rsidP="00CA2A1B">
            <w:pPr>
              <w:pStyle w:val="Tabletext"/>
            </w:pPr>
            <w:r>
              <w:t>Subcommittee</w:t>
            </w:r>
          </w:p>
        </w:tc>
      </w:tr>
      <w:tr w:rsidR="009169E8" w14:paraId="01A23D9D" w14:textId="77777777" w:rsidTr="007E551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969" w:type="dxa"/>
          </w:tcPr>
          <w:p w14:paraId="7785CD73" w14:textId="77777777" w:rsidR="009169E8" w:rsidRPr="007E551C" w:rsidRDefault="009169E8" w:rsidP="007E551C">
            <w:pPr>
              <w:pStyle w:val="Tabletext"/>
              <w:rPr>
                <w:b/>
              </w:rPr>
            </w:pPr>
            <w:r w:rsidRPr="007E551C">
              <w:rPr>
                <w:b/>
              </w:rPr>
              <w:t>Dr David Beilby</w:t>
            </w:r>
          </w:p>
        </w:tc>
        <w:tc>
          <w:tcPr>
            <w:cnfStyle w:val="000001000000" w:firstRow="0" w:lastRow="0" w:firstColumn="0" w:lastColumn="0" w:oddVBand="0" w:evenVBand="1" w:oddHBand="0" w:evenHBand="0" w:firstRowFirstColumn="0" w:firstRowLastColumn="0" w:lastRowFirstColumn="0" w:lastRowLastColumn="0"/>
            <w:tcW w:w="6236" w:type="dxa"/>
          </w:tcPr>
          <w:p w14:paraId="63279C40" w14:textId="77777777" w:rsidR="009169E8" w:rsidRDefault="009169E8" w:rsidP="00CA2A1B">
            <w:pPr>
              <w:pStyle w:val="Tabletext"/>
            </w:pPr>
            <w:r>
              <w:t>Subcommittee</w:t>
            </w:r>
          </w:p>
        </w:tc>
      </w:tr>
      <w:tr w:rsidR="009169E8" w14:paraId="2A66C884" w14:textId="77777777" w:rsidTr="007E551C">
        <w:trPr>
          <w:trHeight w:val="113"/>
        </w:trPr>
        <w:tc>
          <w:tcPr>
            <w:cnfStyle w:val="000010000000" w:firstRow="0" w:lastRow="0" w:firstColumn="0" w:lastColumn="0" w:oddVBand="1" w:evenVBand="0" w:oddHBand="0" w:evenHBand="0" w:firstRowFirstColumn="0" w:firstRowLastColumn="0" w:lastRowFirstColumn="0" w:lastRowLastColumn="0"/>
            <w:tcW w:w="3969" w:type="dxa"/>
          </w:tcPr>
          <w:p w14:paraId="482254E6" w14:textId="77777777" w:rsidR="009169E8" w:rsidRPr="007E551C" w:rsidRDefault="009169E8" w:rsidP="007E551C">
            <w:pPr>
              <w:pStyle w:val="Tabletext"/>
              <w:rPr>
                <w:b/>
              </w:rPr>
            </w:pPr>
            <w:r w:rsidRPr="007E551C">
              <w:rPr>
                <w:b/>
              </w:rPr>
              <w:t xml:space="preserve">A/Prof. Philip </w:t>
            </w:r>
            <w:proofErr w:type="spellStart"/>
            <w:r w:rsidRPr="007E551C">
              <w:rPr>
                <w:b/>
              </w:rPr>
              <w:t>Ragg</w:t>
            </w:r>
            <w:proofErr w:type="spellEnd"/>
          </w:p>
        </w:tc>
        <w:tc>
          <w:tcPr>
            <w:cnfStyle w:val="000001000000" w:firstRow="0" w:lastRow="0" w:firstColumn="0" w:lastColumn="0" w:oddVBand="0" w:evenVBand="1" w:oddHBand="0" w:evenHBand="0" w:firstRowFirstColumn="0" w:firstRowLastColumn="0" w:lastRowFirstColumn="0" w:lastRowLastColumn="0"/>
            <w:tcW w:w="6236" w:type="dxa"/>
          </w:tcPr>
          <w:p w14:paraId="681FE37B" w14:textId="77777777" w:rsidR="009169E8" w:rsidRDefault="009169E8" w:rsidP="00CA2A1B">
            <w:pPr>
              <w:pStyle w:val="Tabletext"/>
            </w:pPr>
            <w:r>
              <w:t>Subcommittee</w:t>
            </w:r>
          </w:p>
        </w:tc>
      </w:tr>
      <w:tr w:rsidR="009169E8" w14:paraId="1F07418D" w14:textId="77777777" w:rsidTr="007E551C">
        <w:trPr>
          <w:cnfStyle w:val="000000100000" w:firstRow="0" w:lastRow="0" w:firstColumn="0" w:lastColumn="0" w:oddVBand="0" w:evenVBand="0" w:oddHBand="1" w:evenHBand="0" w:firstRowFirstColumn="0" w:firstRowLastColumn="0" w:lastRowFirstColumn="0" w:lastRowLastColumn="0"/>
          <w:trHeight w:val="113"/>
        </w:trPr>
        <w:tc>
          <w:tcPr>
            <w:cnfStyle w:val="000010000000" w:firstRow="0" w:lastRow="0" w:firstColumn="0" w:lastColumn="0" w:oddVBand="1" w:evenVBand="0" w:oddHBand="0" w:evenHBand="0" w:firstRowFirstColumn="0" w:firstRowLastColumn="0" w:lastRowFirstColumn="0" w:lastRowLastColumn="0"/>
            <w:tcW w:w="3969" w:type="dxa"/>
          </w:tcPr>
          <w:p w14:paraId="442739D5" w14:textId="77777777" w:rsidR="009169E8" w:rsidRPr="007E551C" w:rsidRDefault="009169E8" w:rsidP="007E551C">
            <w:pPr>
              <w:pStyle w:val="Tabletext"/>
              <w:rPr>
                <w:b/>
              </w:rPr>
            </w:pPr>
            <w:r w:rsidRPr="007E551C">
              <w:rPr>
                <w:b/>
              </w:rPr>
              <w:t xml:space="preserve">Dr </w:t>
            </w:r>
            <w:proofErr w:type="spellStart"/>
            <w:r w:rsidRPr="007E551C">
              <w:rPr>
                <w:b/>
              </w:rPr>
              <w:t>Mariolyn</w:t>
            </w:r>
            <w:proofErr w:type="spellEnd"/>
            <w:r w:rsidRPr="007E551C">
              <w:rPr>
                <w:b/>
              </w:rPr>
              <w:t xml:space="preserve"> </w:t>
            </w:r>
            <w:proofErr w:type="spellStart"/>
            <w:r w:rsidRPr="007E551C">
              <w:rPr>
                <w:b/>
              </w:rPr>
              <w:t>Rajakulenthiran</w:t>
            </w:r>
            <w:proofErr w:type="spellEnd"/>
          </w:p>
        </w:tc>
        <w:tc>
          <w:tcPr>
            <w:cnfStyle w:val="000001000000" w:firstRow="0" w:lastRow="0" w:firstColumn="0" w:lastColumn="0" w:oddVBand="0" w:evenVBand="1" w:oddHBand="0" w:evenHBand="0" w:firstRowFirstColumn="0" w:firstRowLastColumn="0" w:lastRowFirstColumn="0" w:lastRowLastColumn="0"/>
            <w:tcW w:w="6236" w:type="dxa"/>
          </w:tcPr>
          <w:p w14:paraId="2FE27DF7" w14:textId="77777777" w:rsidR="009169E8" w:rsidRDefault="009169E8" w:rsidP="00CA2A1B">
            <w:pPr>
              <w:pStyle w:val="Tabletext"/>
            </w:pPr>
            <w:r>
              <w:t>Subcommittee</w:t>
            </w:r>
          </w:p>
        </w:tc>
      </w:tr>
    </w:tbl>
    <w:p w14:paraId="71D70BE9" w14:textId="77777777" w:rsidR="009169E8" w:rsidRDefault="009169E8" w:rsidP="000104F5">
      <w:pPr>
        <w:pStyle w:val="Heading1"/>
      </w:pPr>
      <w:bookmarkStart w:id="30" w:name="_Toc20234299"/>
      <w:r>
        <w:lastRenderedPageBreak/>
        <w:t>References and useful links</w:t>
      </w:r>
      <w:bookmarkEnd w:id="30"/>
    </w:p>
    <w:p w14:paraId="6EE3E2A2" w14:textId="77777777" w:rsidR="009169E8" w:rsidRDefault="009169E8" w:rsidP="000A4644">
      <w:pPr>
        <w:pStyle w:val="Heading2"/>
      </w:pPr>
      <w:r>
        <w:t>REFERENCES</w:t>
      </w:r>
    </w:p>
    <w:p w14:paraId="377A5225" w14:textId="77777777" w:rsidR="009169E8" w:rsidRDefault="009169E8" w:rsidP="008E28A3">
      <w:pPr>
        <w:pStyle w:val="DHHSbody"/>
      </w:pPr>
      <w:r>
        <w:t xml:space="preserve">American Society of </w:t>
      </w:r>
      <w:proofErr w:type="spellStart"/>
      <w:r>
        <w:t>Anesthesiologists</w:t>
      </w:r>
      <w:proofErr w:type="spellEnd"/>
      <w:r>
        <w:t xml:space="preserve">. (2014). Practice guidelines for the perioperative management of patients with obstructive sleep </w:t>
      </w:r>
      <w:proofErr w:type="spellStart"/>
      <w:r>
        <w:t>apnea</w:t>
      </w:r>
      <w:proofErr w:type="spellEnd"/>
      <w:r>
        <w:t xml:space="preserve">: an updated report by the American Society of </w:t>
      </w:r>
      <w:proofErr w:type="spellStart"/>
      <w:r>
        <w:t>Anesthesiologists</w:t>
      </w:r>
      <w:proofErr w:type="spellEnd"/>
      <w:r>
        <w:t xml:space="preserve"> Task Force on Perioperative Management of Patients with Obstructive Sleep </w:t>
      </w:r>
      <w:proofErr w:type="spellStart"/>
      <w:r>
        <w:t>Apnea</w:t>
      </w:r>
      <w:proofErr w:type="spellEnd"/>
      <w:r>
        <w:t xml:space="preserve">. </w:t>
      </w:r>
      <w:proofErr w:type="spellStart"/>
      <w:r>
        <w:rPr>
          <w:rStyle w:val="TextItalic"/>
        </w:rPr>
        <w:t>Anesthesiology</w:t>
      </w:r>
      <w:proofErr w:type="spellEnd"/>
      <w:r>
        <w:rPr>
          <w:rStyle w:val="TextItalic"/>
        </w:rPr>
        <w:t>, 120</w:t>
      </w:r>
      <w:r>
        <w:t>(2), 268–286. doi:10.1097/ALN.0000000000000053</w:t>
      </w:r>
    </w:p>
    <w:p w14:paraId="6AAE217E" w14:textId="77777777" w:rsidR="009169E8" w:rsidRDefault="009169E8" w:rsidP="008E28A3">
      <w:pPr>
        <w:pStyle w:val="DHHSbody"/>
      </w:pPr>
      <w:r>
        <w:t xml:space="preserve">Anson, J. (2014). Vascular access in resuscitation. </w:t>
      </w:r>
      <w:proofErr w:type="spellStart"/>
      <w:r>
        <w:rPr>
          <w:rStyle w:val="TextItalic"/>
        </w:rPr>
        <w:t>Anesthesiology</w:t>
      </w:r>
      <w:proofErr w:type="spellEnd"/>
      <w:r>
        <w:rPr>
          <w:rStyle w:val="TextItalic"/>
        </w:rPr>
        <w:t>, 120</w:t>
      </w:r>
      <w:r>
        <w:t>(4), 1015–1031.</w:t>
      </w:r>
    </w:p>
    <w:p w14:paraId="3547C6A0" w14:textId="04341BC9" w:rsidR="009169E8" w:rsidRDefault="009026D1" w:rsidP="008E28A3">
      <w:pPr>
        <w:pStyle w:val="DHHSbody"/>
      </w:pPr>
      <w:hyperlink r:id="rId38" w:history="1">
        <w:r w:rsidR="009169E8" w:rsidRPr="008F2457">
          <w:rPr>
            <w:rStyle w:val="Hyperlink"/>
            <w:color w:val="0063A5"/>
            <w:u w:val="single"/>
          </w:rPr>
          <w:t>ANZCA Bulletin</w:t>
        </w:r>
      </w:hyperlink>
      <w:r w:rsidR="009169E8" w:rsidRPr="008F2457">
        <w:rPr>
          <w:color w:val="0063A5"/>
        </w:rPr>
        <w:t xml:space="preserve"> </w:t>
      </w:r>
      <w:r w:rsidR="009169E8">
        <w:t>&lt;http://www.anzca.edu.au/documents/the-beach-chair-position&gt;</w:t>
      </w:r>
    </w:p>
    <w:p w14:paraId="1D9BB887" w14:textId="1A8B7A92" w:rsidR="009169E8" w:rsidRDefault="009169E8" w:rsidP="008E28A3">
      <w:pPr>
        <w:pStyle w:val="DHHSbody"/>
      </w:pPr>
      <w:r>
        <w:t xml:space="preserve">ASA House of Delegates/Executive Committee. (2014). </w:t>
      </w:r>
      <w:hyperlink r:id="rId39" w:history="1">
        <w:r w:rsidRPr="008F2457">
          <w:rPr>
            <w:rStyle w:val="Hyperlink"/>
            <w:color w:val="0063A5"/>
            <w:u w:val="single"/>
          </w:rPr>
          <w:t>ASA physical status classification system</w:t>
        </w:r>
      </w:hyperlink>
      <w:r w:rsidR="008F2457">
        <w:t xml:space="preserve"> </w:t>
      </w:r>
      <w:r w:rsidR="008F2457">
        <w:rPr>
          <w:color w:val="000000" w:themeColor="text1"/>
        </w:rPr>
        <w:t>&lt;</w:t>
      </w:r>
      <w:r w:rsidRPr="008F2457">
        <w:rPr>
          <w:color w:val="000000" w:themeColor="text1"/>
        </w:rPr>
        <w:t>https://www.asahq.org/standards-and-guidelines/asa-physical-status-classification-system</w:t>
      </w:r>
      <w:r w:rsidR="008F2457">
        <w:rPr>
          <w:color w:val="000000" w:themeColor="text1"/>
        </w:rPr>
        <w:t>&gt;</w:t>
      </w:r>
    </w:p>
    <w:p w14:paraId="7A02C2B2" w14:textId="43B7D8A5" w:rsidR="009169E8" w:rsidRDefault="009169E8" w:rsidP="008E28A3">
      <w:pPr>
        <w:pStyle w:val="DHHSbody"/>
      </w:pPr>
      <w:r>
        <w:t xml:space="preserve">Association of Anaesthetists of Great Britain and Ireland. (2015). Safety guideline: reducing the risk from cemented hemiarthroplasty for hip fracture. </w:t>
      </w:r>
      <w:hyperlink r:id="rId40" w:history="1">
        <w:r w:rsidRPr="00C664E8">
          <w:rPr>
            <w:rStyle w:val="Hyperlink"/>
            <w:color w:val="0063A5"/>
            <w:u w:val="single"/>
          </w:rPr>
          <w:t>Anaesthesia, 70, 623–626</w:t>
        </w:r>
      </w:hyperlink>
      <w:r w:rsidR="00C664E8">
        <w:rPr>
          <w:color w:val="0063A5"/>
        </w:rPr>
        <w:t xml:space="preserve"> </w:t>
      </w:r>
      <w:r w:rsidR="00C664E8">
        <w:t>&lt;</w:t>
      </w:r>
      <w:r w:rsidRPr="00C664E8">
        <w:rPr>
          <w:color w:val="000000" w:themeColor="text1"/>
        </w:rPr>
        <w:t>https://onlinelibrary.wiley.com/doi/full/10.1111/anae.13036</w:t>
      </w:r>
      <w:r w:rsidR="00C664E8">
        <w:rPr>
          <w:color w:val="000000" w:themeColor="text1"/>
        </w:rPr>
        <w:t>&gt;</w:t>
      </w:r>
    </w:p>
    <w:p w14:paraId="56F41495" w14:textId="77777777" w:rsidR="009169E8" w:rsidRDefault="009169E8" w:rsidP="008E28A3">
      <w:pPr>
        <w:pStyle w:val="DHHSbody"/>
      </w:pPr>
      <w:proofErr w:type="spellStart"/>
      <w:r>
        <w:t>Athanassoglou</w:t>
      </w:r>
      <w:proofErr w:type="spellEnd"/>
      <w:r>
        <w:t xml:space="preserve">, V., Patel, A., McGuire, B., Higgs, A., Dover, M. S., Brennan, P. A., . . . Pandit, J. J. (2018). Systematic review of benefits or harms of routine anaesthetist-inserted throat packs in adults: practice recommendations for inserting and counting throat packs. </w:t>
      </w:r>
      <w:r>
        <w:rPr>
          <w:rStyle w:val="TextItalic"/>
        </w:rPr>
        <w:t xml:space="preserve">Anaesthesia, 73, </w:t>
      </w:r>
      <w:r>
        <w:t>612–618. doi:10.1111/anae.14197</w:t>
      </w:r>
    </w:p>
    <w:p w14:paraId="16C0E9BB" w14:textId="7EFF1B83" w:rsidR="009169E8" w:rsidRDefault="009169E8" w:rsidP="008E28A3">
      <w:pPr>
        <w:pStyle w:val="DHHSbody"/>
      </w:pPr>
      <w:r>
        <w:t xml:space="preserve">Austin, C., </w:t>
      </w:r>
      <w:proofErr w:type="spellStart"/>
      <w:r>
        <w:t>Mohotige</w:t>
      </w:r>
      <w:proofErr w:type="spellEnd"/>
      <w:r>
        <w:t xml:space="preserve">, D., </w:t>
      </w:r>
      <w:proofErr w:type="spellStart"/>
      <w:r>
        <w:t>Sudore</w:t>
      </w:r>
      <w:proofErr w:type="spellEnd"/>
      <w:r>
        <w:t xml:space="preserve">, R., Smith, A., &amp; Hanson, L. (2015). Tools to promote shared decision making in serious illnesses: a systematic review. </w:t>
      </w:r>
      <w:r>
        <w:rPr>
          <w:rStyle w:val="TextItalic"/>
        </w:rPr>
        <w:t>JAMA Internal Medicine, 175</w:t>
      </w:r>
      <w:r>
        <w:t>(7), 1213–1221. doi:10.1001/jamainternmed.2015.1679</w:t>
      </w:r>
    </w:p>
    <w:p w14:paraId="01D36681" w14:textId="3B91921E" w:rsidR="009169E8" w:rsidRPr="00C664E8" w:rsidRDefault="009169E8" w:rsidP="008E28A3">
      <w:pPr>
        <w:pStyle w:val="DHHSbody"/>
        <w:rPr>
          <w:color w:val="000000" w:themeColor="text1"/>
        </w:rPr>
      </w:pPr>
      <w:r>
        <w:t xml:space="preserve">Australian and New Zealand College of Anaesthetists. (2017). </w:t>
      </w:r>
      <w:hyperlink r:id="rId41" w:history="1">
        <w:r w:rsidRPr="00C664E8">
          <w:rPr>
            <w:rStyle w:val="Hyperlink"/>
            <w:color w:val="0063A5"/>
            <w:u w:val="single"/>
          </w:rPr>
          <w:t>PS61 – Guidelines for the management of evolving airway obstruction: Transition to the can’t intubate can’t oxygenate airway emergency</w:t>
        </w:r>
      </w:hyperlink>
      <w:r w:rsidR="00C664E8">
        <w:t xml:space="preserve"> &lt;</w:t>
      </w:r>
      <w:r w:rsidRPr="00C664E8">
        <w:rPr>
          <w:color w:val="000000" w:themeColor="text1"/>
        </w:rPr>
        <w:t>http://www.anzca.edu.au/documents/ps61-2017.pdf</w:t>
      </w:r>
      <w:r w:rsidR="00C664E8">
        <w:rPr>
          <w:color w:val="000000" w:themeColor="text1"/>
        </w:rPr>
        <w:t>&gt;</w:t>
      </w:r>
    </w:p>
    <w:p w14:paraId="261025DA" w14:textId="744B745D" w:rsidR="009169E8" w:rsidRDefault="009169E8" w:rsidP="008E28A3">
      <w:pPr>
        <w:pStyle w:val="DHHSbody"/>
      </w:pPr>
      <w:r>
        <w:t xml:space="preserve">Australian and New Zealand College of Anaesthetists and Australian and New Zealand Anaesthetic Allergy Group. (2016). </w:t>
      </w:r>
      <w:hyperlink r:id="rId42" w:history="1">
        <w:r w:rsidRPr="00B949C0">
          <w:rPr>
            <w:rStyle w:val="Hyperlink"/>
            <w:color w:val="0063A5"/>
            <w:u w:val="single"/>
          </w:rPr>
          <w:t>Perioperative anaphylaxis management guidelines</w:t>
        </w:r>
      </w:hyperlink>
      <w:r w:rsidR="00B949C0">
        <w:t xml:space="preserve"> &lt;</w:t>
      </w:r>
      <w:r w:rsidRPr="00B949C0">
        <w:rPr>
          <w:color w:val="000000" w:themeColor="text1"/>
        </w:rPr>
        <w:t>http://www.anzca.edu.au/documents/bp-anaphylaxis-2016.pdf</w:t>
      </w:r>
      <w:r w:rsidR="00B949C0">
        <w:rPr>
          <w:color w:val="000000" w:themeColor="text1"/>
        </w:rPr>
        <w:t>&gt;</w:t>
      </w:r>
    </w:p>
    <w:p w14:paraId="5488DE82" w14:textId="61843F7A" w:rsidR="009169E8" w:rsidRDefault="009169E8" w:rsidP="008E28A3">
      <w:pPr>
        <w:pStyle w:val="DHHSbody"/>
      </w:pPr>
      <w:r>
        <w:t xml:space="preserve">Australian and New Zealand College of </w:t>
      </w:r>
      <w:proofErr w:type="spellStart"/>
      <w:r>
        <w:t>Anaesthetsists</w:t>
      </w:r>
      <w:proofErr w:type="spellEnd"/>
      <w:r>
        <w:t xml:space="preserve">. (2019). </w:t>
      </w:r>
      <w:hyperlink r:id="rId43" w:history="1">
        <w:r w:rsidRPr="00541E91">
          <w:rPr>
            <w:rStyle w:val="Hyperlink"/>
            <w:color w:val="0063A5"/>
            <w:u w:val="single"/>
          </w:rPr>
          <w:t>Safe procedural sedation competencies</w:t>
        </w:r>
      </w:hyperlink>
      <w:r w:rsidR="00541E91">
        <w:rPr>
          <w:color w:val="0063A5"/>
          <w:u w:val="single"/>
        </w:rPr>
        <w:t xml:space="preserve"> </w:t>
      </w:r>
      <w:r w:rsidR="00541E91" w:rsidRPr="00541E91">
        <w:rPr>
          <w:color w:val="000000" w:themeColor="text1"/>
        </w:rPr>
        <w:t>&lt;http://www.anzca.edu.au/resources/safe-procedural-sedation-competencies</w:t>
      </w:r>
      <w:r w:rsidR="00541E91">
        <w:rPr>
          <w:color w:val="000000" w:themeColor="text1"/>
        </w:rPr>
        <w:t>&gt;</w:t>
      </w:r>
      <w:r>
        <w:t>. Retrieved May 28, 2019</w:t>
      </w:r>
      <w:r w:rsidR="00541E91">
        <w:t>.</w:t>
      </w:r>
    </w:p>
    <w:p w14:paraId="21CD088E" w14:textId="48E94604" w:rsidR="009169E8" w:rsidRDefault="009169E8" w:rsidP="008E28A3">
      <w:pPr>
        <w:pStyle w:val="DHHSbody"/>
      </w:pPr>
      <w:r>
        <w:t xml:space="preserve">Australian Bureau of Statistics. (2018). </w:t>
      </w:r>
      <w:hyperlink r:id="rId44" w:history="1">
        <w:r w:rsidRPr="00541E91">
          <w:rPr>
            <w:rStyle w:val="Hyperlink"/>
            <w:color w:val="0063A5"/>
            <w:u w:val="single"/>
          </w:rPr>
          <w:t>National Health Survey first results: Australia 2017–18</w:t>
        </w:r>
      </w:hyperlink>
      <w:r w:rsidR="00541E91">
        <w:rPr>
          <w:color w:val="0063A5"/>
          <w:u w:val="single"/>
        </w:rPr>
        <w:t xml:space="preserve"> </w:t>
      </w:r>
      <w:r w:rsidR="00541E91" w:rsidRPr="00541E91">
        <w:rPr>
          <w:color w:val="000000" w:themeColor="text1"/>
        </w:rPr>
        <w:t>&lt;https://www.ausstats.abs.gov.au/ausstats/subscriber.nsf/0/4B3976684C09F43FCA258399001CE630/$File/4364.0.55.001%20-%20national%20health%20survey,%20first%20results,%202017-18.pdf</w:t>
      </w:r>
      <w:r w:rsidR="00541E91">
        <w:rPr>
          <w:color w:val="000000" w:themeColor="text1"/>
        </w:rPr>
        <w:t>&gt;</w:t>
      </w:r>
      <w:r>
        <w:t>. Canberra, ACT.</w:t>
      </w:r>
    </w:p>
    <w:p w14:paraId="51CDF591" w14:textId="77777777" w:rsidR="009169E8" w:rsidRDefault="009169E8" w:rsidP="008E28A3">
      <w:pPr>
        <w:pStyle w:val="DHHSbody"/>
      </w:pPr>
      <w:r>
        <w:t>Australian Commission on Safety and Quality in Health Care. (2015). National Consensus Statement: Essential elements for safe and high-quality end-of-life care. Sydney: ACSQHC.</w:t>
      </w:r>
    </w:p>
    <w:p w14:paraId="6552AE8A" w14:textId="77777777" w:rsidR="009169E8" w:rsidRDefault="009169E8" w:rsidP="008E28A3">
      <w:pPr>
        <w:pStyle w:val="DHHSbody"/>
      </w:pPr>
      <w:r>
        <w:t xml:space="preserve">Australian Institute of Health and Welfare. (2017). A picture of overweight and obesity in Australia 2017. Cat. </w:t>
      </w:r>
      <w:proofErr w:type="spellStart"/>
      <w:r>
        <w:t>no.PHE</w:t>
      </w:r>
      <w:proofErr w:type="spellEnd"/>
      <w:r>
        <w:t xml:space="preserve"> 216. Canberra, ACT.</w:t>
      </w:r>
    </w:p>
    <w:p w14:paraId="5D688CFF" w14:textId="0762AB30" w:rsidR="009169E8" w:rsidRDefault="009169E8" w:rsidP="008E28A3">
      <w:pPr>
        <w:pStyle w:val="DHHSbody"/>
      </w:pPr>
      <w:r>
        <w:t>Australian Institute of Health and Welfare. (2018). 2018. Australia’s health 2018: in brief. Cat. no. AUS 222. Canberra, ACT.</w:t>
      </w:r>
    </w:p>
    <w:p w14:paraId="0EF5EAE8" w14:textId="0ED33E43" w:rsidR="009169E8" w:rsidRPr="00541E91" w:rsidRDefault="009169E8" w:rsidP="008E28A3">
      <w:pPr>
        <w:pStyle w:val="DHHSbody"/>
        <w:rPr>
          <w:color w:val="000000" w:themeColor="text1"/>
        </w:rPr>
      </w:pPr>
      <w:r>
        <w:t xml:space="preserve">Banerjee, S., </w:t>
      </w:r>
      <w:proofErr w:type="spellStart"/>
      <w:r>
        <w:t>Angiolillo</w:t>
      </w:r>
      <w:proofErr w:type="spellEnd"/>
      <w:r>
        <w:t xml:space="preserve">, D., Boden, W., Murphy, J., Khalili, H., Hasan, A., . . . Rao, S. (2017). Use of antiplatelet therapy/DAPT for post-PCI patients undergoing noncardiac surgery. </w:t>
      </w:r>
      <w:hyperlink r:id="rId45" w:history="1">
        <w:r w:rsidRPr="00541E91">
          <w:rPr>
            <w:rStyle w:val="Hyperlink"/>
            <w:i/>
            <w:iCs/>
            <w:color w:val="0063A5"/>
            <w:u w:val="single"/>
          </w:rPr>
          <w:t>Journal of the American College of Cardiology, 69</w:t>
        </w:r>
        <w:r w:rsidRPr="00541E91">
          <w:rPr>
            <w:rStyle w:val="Hyperlink"/>
            <w:color w:val="0063A5"/>
            <w:u w:val="single"/>
          </w:rPr>
          <w:t>(14), 1861–1870</w:t>
        </w:r>
      </w:hyperlink>
      <w:r>
        <w:t xml:space="preserve"> </w:t>
      </w:r>
      <w:r w:rsidR="00541E91" w:rsidRPr="00541E91">
        <w:rPr>
          <w:color w:val="000000" w:themeColor="text1"/>
        </w:rPr>
        <w:t>&lt;</w:t>
      </w:r>
      <w:r w:rsidRPr="00541E91">
        <w:rPr>
          <w:color w:val="000000" w:themeColor="text1"/>
        </w:rPr>
        <w:t>http://dx.doi.org/10.1016/j.jacc.2017.02.012</w:t>
      </w:r>
      <w:r w:rsidR="00541E91" w:rsidRPr="00541E91">
        <w:rPr>
          <w:color w:val="000000" w:themeColor="text1"/>
        </w:rPr>
        <w:t>&gt;</w:t>
      </w:r>
    </w:p>
    <w:p w14:paraId="0B4178B6" w14:textId="77777777" w:rsidR="009169E8" w:rsidRDefault="009169E8" w:rsidP="008E28A3">
      <w:pPr>
        <w:pStyle w:val="DHHSbody"/>
      </w:pPr>
      <w:r>
        <w:t xml:space="preserve">Barry, M., &amp; </w:t>
      </w:r>
      <w:proofErr w:type="spellStart"/>
      <w:r>
        <w:t>Edgman</w:t>
      </w:r>
      <w:proofErr w:type="spellEnd"/>
      <w:r>
        <w:t xml:space="preserve">-Levitan, S. (2012). Shared decision making – pinnacle of patient-centred care. </w:t>
      </w:r>
      <w:r>
        <w:rPr>
          <w:i/>
          <w:iCs/>
        </w:rPr>
        <w:t>New England Journal of Medicine, 366,</w:t>
      </w:r>
      <w:r>
        <w:t xml:space="preserve"> 780–781. doi:10.1056/NEJMp1109283</w:t>
      </w:r>
    </w:p>
    <w:p w14:paraId="69C09AF5" w14:textId="77777777" w:rsidR="009169E8" w:rsidRDefault="009169E8" w:rsidP="008E28A3">
      <w:pPr>
        <w:pStyle w:val="DHHSbody"/>
      </w:pPr>
      <w:r>
        <w:t xml:space="preserve">Chandran, R., &amp; DeSousa, K. (2014). Human factors in anaesthetic crisis. </w:t>
      </w:r>
      <w:r>
        <w:rPr>
          <w:rStyle w:val="TextItalic"/>
        </w:rPr>
        <w:t xml:space="preserve">World Journal of </w:t>
      </w:r>
      <w:proofErr w:type="spellStart"/>
      <w:r>
        <w:rPr>
          <w:rStyle w:val="TextItalic"/>
        </w:rPr>
        <w:t>Anesthesiology</w:t>
      </w:r>
      <w:proofErr w:type="spellEnd"/>
      <w:r>
        <w:rPr>
          <w:rStyle w:val="TextItalic"/>
        </w:rPr>
        <w:t xml:space="preserve">, </w:t>
      </w:r>
      <w:r>
        <w:t>203–212. doi:10.5313/</w:t>
      </w:r>
      <w:proofErr w:type="gramStart"/>
      <w:r>
        <w:t>wja.v</w:t>
      </w:r>
      <w:proofErr w:type="gramEnd"/>
      <w:r>
        <w:t>3.i3.203</w:t>
      </w:r>
    </w:p>
    <w:p w14:paraId="1D0595BA" w14:textId="77777777" w:rsidR="009169E8" w:rsidRDefault="009169E8" w:rsidP="008E28A3">
      <w:pPr>
        <w:pStyle w:val="DHHSbody"/>
      </w:pPr>
      <w:r>
        <w:lastRenderedPageBreak/>
        <w:t xml:space="preserve">Chui, J., &amp; </w:t>
      </w:r>
      <w:proofErr w:type="spellStart"/>
      <w:r>
        <w:t>Craen</w:t>
      </w:r>
      <w:proofErr w:type="spellEnd"/>
      <w:r>
        <w:t xml:space="preserve">, R. A. (2016). An update on the prone position: Continuing professional development. </w:t>
      </w:r>
      <w:r>
        <w:rPr>
          <w:rStyle w:val="TextItalic"/>
        </w:rPr>
        <w:t xml:space="preserve">Can J </w:t>
      </w:r>
      <w:proofErr w:type="spellStart"/>
      <w:r>
        <w:rPr>
          <w:rStyle w:val="TextItalic"/>
        </w:rPr>
        <w:t>Anesth</w:t>
      </w:r>
      <w:proofErr w:type="spellEnd"/>
      <w:r>
        <w:rPr>
          <w:rStyle w:val="TextItalic"/>
        </w:rPr>
        <w:t xml:space="preserve">, 63, </w:t>
      </w:r>
      <w:r>
        <w:t>737–767. doi:10.1007/s12630-016-0634-x</w:t>
      </w:r>
    </w:p>
    <w:p w14:paraId="7A4DC98C" w14:textId="77777777" w:rsidR="009169E8" w:rsidRDefault="009169E8" w:rsidP="008E28A3">
      <w:pPr>
        <w:pStyle w:val="DHHSbody"/>
      </w:pPr>
      <w:r>
        <w:t xml:space="preserve">Cook, T., &amp; MacDougall-Davis, S. (2012). Complications and failure of airway management. </w:t>
      </w:r>
      <w:r>
        <w:rPr>
          <w:i/>
          <w:iCs/>
        </w:rPr>
        <w:t>British Journal of Anaesthesia, 109</w:t>
      </w:r>
      <w:r>
        <w:t>(51), i68–i85. doi:10.1093/</w:t>
      </w:r>
      <w:proofErr w:type="spellStart"/>
      <w:r>
        <w:t>bja</w:t>
      </w:r>
      <w:proofErr w:type="spellEnd"/>
      <w:r>
        <w:t>/aes393</w:t>
      </w:r>
    </w:p>
    <w:p w14:paraId="1539FCEB" w14:textId="300668A3" w:rsidR="009169E8" w:rsidRDefault="009169E8" w:rsidP="008E28A3">
      <w:pPr>
        <w:pStyle w:val="DHHSbody"/>
      </w:pPr>
      <w:r>
        <w:t xml:space="preserve">Cook, T., Woodall, N., &amp; </w:t>
      </w:r>
      <w:proofErr w:type="spellStart"/>
      <w:r>
        <w:t>Frerk</w:t>
      </w:r>
      <w:proofErr w:type="spellEnd"/>
      <w:r>
        <w:t xml:space="preserve">, C. (2011a). </w:t>
      </w:r>
      <w:r w:rsidRPr="00541E91">
        <w:rPr>
          <w:color w:val="0063A5"/>
          <w:u w:val="single"/>
        </w:rPr>
        <w:t xml:space="preserve">4th National Audit Project (NAP 4): </w:t>
      </w:r>
      <w:r w:rsidR="00541E91" w:rsidRPr="00541E91">
        <w:rPr>
          <w:color w:val="0063A5"/>
          <w:u w:val="single"/>
        </w:rPr>
        <w:t>Major Complications of Airway Management in the United Kingdom Report and Findings – Chapter 19. Aspiration of gastric contents and of blood</w:t>
      </w:r>
      <w:r w:rsidR="00541E91" w:rsidRPr="00541E91">
        <w:rPr>
          <w:color w:val="0063A5"/>
        </w:rPr>
        <w:t xml:space="preserve"> </w:t>
      </w:r>
      <w:r w:rsidR="00541E91" w:rsidRPr="00541E91">
        <w:t>&lt;https://www.rcoa.ac.uk/nap4&gt;.</w:t>
      </w:r>
      <w:r>
        <w:t xml:space="preserve"> London: The Royal College of Anaesthetists and The Difficult Airway Society. Retrieved March 26, 2019</w:t>
      </w:r>
      <w:r w:rsidR="00541E91">
        <w:t>.</w:t>
      </w:r>
    </w:p>
    <w:p w14:paraId="16CFE9E7" w14:textId="00E8F44F" w:rsidR="009169E8" w:rsidRDefault="009169E8" w:rsidP="008E28A3">
      <w:pPr>
        <w:pStyle w:val="DHHSbody"/>
      </w:pPr>
      <w:r>
        <w:t xml:space="preserve">Cook, T., Woodall, N., &amp; </w:t>
      </w:r>
      <w:proofErr w:type="spellStart"/>
      <w:r>
        <w:t>Frerk</w:t>
      </w:r>
      <w:proofErr w:type="spellEnd"/>
      <w:r>
        <w:t xml:space="preserve">, C. (2011b). Major complications of airway management in the UK: results of the 4th National Audit Project of the Royal College of Anaesthetists and the Difficult Airway Society. Part 1: </w:t>
      </w:r>
      <w:r>
        <w:rPr>
          <w:i/>
          <w:iCs/>
        </w:rPr>
        <w:t xml:space="preserve">Anaesthesia. British Journal of Anaesthesia, 106, </w:t>
      </w:r>
      <w:r>
        <w:t xml:space="preserve">617–631. </w:t>
      </w:r>
      <w:proofErr w:type="spellStart"/>
      <w:proofErr w:type="gramStart"/>
      <w:r>
        <w:t>doi:https</w:t>
      </w:r>
      <w:proofErr w:type="spellEnd"/>
      <w:r>
        <w:t>://doi.org/10.1093/</w:t>
      </w:r>
      <w:proofErr w:type="spellStart"/>
      <w:r>
        <w:t>bja</w:t>
      </w:r>
      <w:proofErr w:type="spellEnd"/>
      <w:r>
        <w:t>/aer058</w:t>
      </w:r>
      <w:proofErr w:type="gramEnd"/>
    </w:p>
    <w:p w14:paraId="414CFD4A" w14:textId="77777777" w:rsidR="009169E8" w:rsidRDefault="009169E8" w:rsidP="008E28A3">
      <w:pPr>
        <w:pStyle w:val="DHHSbody"/>
      </w:pPr>
      <w:r>
        <w:t xml:space="preserve">Cornelissen, M., &amp; </w:t>
      </w:r>
      <w:proofErr w:type="spellStart"/>
      <w:r>
        <w:t>Pitsopoulos</w:t>
      </w:r>
      <w:proofErr w:type="spellEnd"/>
      <w:r>
        <w:t xml:space="preserve">, J. (2019). Expert commentary: Using a human factors and systems lens to view why things sometimes go wrong. </w:t>
      </w:r>
      <w:r>
        <w:rPr>
          <w:i/>
          <w:iCs/>
        </w:rPr>
        <w:t>Victorian Institute of Forensic Medicine Clinical Communique, 6,</w:t>
      </w:r>
      <w:r>
        <w:t xml:space="preserve"> 5–6.</w:t>
      </w:r>
    </w:p>
    <w:p w14:paraId="419DC677" w14:textId="77777777" w:rsidR="009169E8" w:rsidRDefault="009169E8" w:rsidP="008E28A3">
      <w:pPr>
        <w:pStyle w:val="DHHSbody"/>
      </w:pPr>
      <w:r>
        <w:t xml:space="preserve">Dekker, S. (2014). </w:t>
      </w:r>
      <w:r>
        <w:rPr>
          <w:i/>
          <w:iCs/>
        </w:rPr>
        <w:t xml:space="preserve">The field guide to understanding ‘human error’ </w:t>
      </w:r>
      <w:r>
        <w:t xml:space="preserve">(3rd ed.). Boca Raton, FL, United </w:t>
      </w:r>
      <w:proofErr w:type="gramStart"/>
      <w:r>
        <w:t>States :</w:t>
      </w:r>
      <w:proofErr w:type="gramEnd"/>
      <w:r>
        <w:t xml:space="preserve"> CRC Press/</w:t>
      </w:r>
      <w:proofErr w:type="spellStart"/>
      <w:r>
        <w:t>ebook</w:t>
      </w:r>
      <w:proofErr w:type="spellEnd"/>
      <w:r>
        <w:t>.</w:t>
      </w:r>
    </w:p>
    <w:p w14:paraId="5CD3A11D" w14:textId="77777777" w:rsidR="009169E8" w:rsidRDefault="009169E8" w:rsidP="008E28A3">
      <w:pPr>
        <w:pStyle w:val="DHHSbody"/>
      </w:pPr>
      <w:proofErr w:type="spellStart"/>
      <w:r>
        <w:t>Dravid</w:t>
      </w:r>
      <w:proofErr w:type="spellEnd"/>
      <w:r>
        <w:t xml:space="preserve">, R., &amp; Paul, R. (2007). Interpleural block – part 2. </w:t>
      </w:r>
      <w:r>
        <w:rPr>
          <w:i/>
          <w:iCs/>
        </w:rPr>
        <w:t xml:space="preserve">Anaesthesia, 62, </w:t>
      </w:r>
      <w:r>
        <w:t>1143–1153. doi:10.1111/j.1365-2044.</w:t>
      </w:r>
      <w:proofErr w:type="gramStart"/>
      <w:r>
        <w:t>2007.05181.x</w:t>
      </w:r>
      <w:proofErr w:type="gramEnd"/>
    </w:p>
    <w:p w14:paraId="3DD8C63A" w14:textId="77777777" w:rsidR="009169E8" w:rsidRDefault="009169E8" w:rsidP="008E28A3">
      <w:pPr>
        <w:pStyle w:val="DHHSbody"/>
      </w:pPr>
      <w:r>
        <w:t xml:space="preserve">Harper, N., Cook, T., </w:t>
      </w:r>
      <w:proofErr w:type="spellStart"/>
      <w:r>
        <w:t>Garcez</w:t>
      </w:r>
      <w:proofErr w:type="spellEnd"/>
      <w:r>
        <w:t xml:space="preserve">, T., Farmer, L., Floss, K., </w:t>
      </w:r>
      <w:proofErr w:type="spellStart"/>
      <w:r>
        <w:t>Marinho</w:t>
      </w:r>
      <w:proofErr w:type="spellEnd"/>
      <w:r>
        <w:t xml:space="preserve">, S., . . . McGuire, N. (2018). Anaesthesia, surgery and </w:t>
      </w:r>
      <w:proofErr w:type="gramStart"/>
      <w:r>
        <w:t>life threatening</w:t>
      </w:r>
      <w:proofErr w:type="gramEnd"/>
      <w:r>
        <w:t xml:space="preserve"> allergic reactions: Epidemiology and clinical features of perioperative anaphylaxis in the 6th National Audit Project (NAP6). </w:t>
      </w:r>
      <w:r>
        <w:rPr>
          <w:i/>
          <w:iCs/>
        </w:rPr>
        <w:t xml:space="preserve">British Journal of </w:t>
      </w:r>
      <w:proofErr w:type="spellStart"/>
      <w:r>
        <w:rPr>
          <w:i/>
          <w:iCs/>
        </w:rPr>
        <w:t>Anesthesia</w:t>
      </w:r>
      <w:proofErr w:type="spellEnd"/>
      <w:r>
        <w:rPr>
          <w:i/>
          <w:iCs/>
        </w:rPr>
        <w:t>, 121</w:t>
      </w:r>
      <w:r>
        <w:t xml:space="preserve">(1), 159–171. </w:t>
      </w:r>
      <w:proofErr w:type="gramStart"/>
      <w:r>
        <w:t>doi:10.1016/j.bja</w:t>
      </w:r>
      <w:proofErr w:type="gramEnd"/>
      <w:r>
        <w:t>.2018.04.014</w:t>
      </w:r>
    </w:p>
    <w:p w14:paraId="4039801A" w14:textId="77777777" w:rsidR="009169E8" w:rsidRDefault="009169E8" w:rsidP="008E28A3">
      <w:pPr>
        <w:pStyle w:val="DHHSbody"/>
      </w:pPr>
      <w:proofErr w:type="spellStart"/>
      <w:r>
        <w:t>Honardar</w:t>
      </w:r>
      <w:proofErr w:type="spellEnd"/>
      <w:r>
        <w:t xml:space="preserve">, M., Posner, K., &amp; Domino, K. (2017). Delayed detection of </w:t>
      </w:r>
      <w:proofErr w:type="spellStart"/>
      <w:r>
        <w:t>esophageal</w:t>
      </w:r>
      <w:proofErr w:type="spellEnd"/>
      <w:r>
        <w:t xml:space="preserve"> intubation in anaesthesia malpractice claims: brief report of a case series. </w:t>
      </w:r>
      <w:proofErr w:type="spellStart"/>
      <w:r>
        <w:rPr>
          <w:i/>
          <w:iCs/>
        </w:rPr>
        <w:t>Anesthesia</w:t>
      </w:r>
      <w:proofErr w:type="spellEnd"/>
      <w:r>
        <w:rPr>
          <w:i/>
          <w:iCs/>
        </w:rPr>
        <w:t xml:space="preserve"> &amp; Analgesia, 125</w:t>
      </w:r>
      <w:r>
        <w:t>(6), 1948–1951. doi:10.1213/ANE.0000000000001795</w:t>
      </w:r>
    </w:p>
    <w:p w14:paraId="78F447E6" w14:textId="77777777" w:rsidR="009169E8" w:rsidRDefault="009169E8" w:rsidP="008E28A3">
      <w:pPr>
        <w:pStyle w:val="DHHSbody"/>
      </w:pPr>
      <w:r>
        <w:t xml:space="preserve">Hunting, A. S., </w:t>
      </w:r>
      <w:proofErr w:type="spellStart"/>
      <w:r>
        <w:t>Nopp</w:t>
      </w:r>
      <w:proofErr w:type="spellEnd"/>
      <w:r>
        <w:t xml:space="preserve">, A., Johansson, S. G., Andersen, F., Wilhelmsen, V., &amp; </w:t>
      </w:r>
      <w:proofErr w:type="spellStart"/>
      <w:r>
        <w:t>Guttormsen</w:t>
      </w:r>
      <w:proofErr w:type="spellEnd"/>
      <w:r>
        <w:t xml:space="preserve">, A. B. (2009, December). Anaphylaxis to Patent Blue V. I. Clinical Aspects. </w:t>
      </w:r>
      <w:r>
        <w:rPr>
          <w:i/>
          <w:iCs/>
        </w:rPr>
        <w:t xml:space="preserve">Allergy, 65, </w:t>
      </w:r>
      <w:r>
        <w:t>117–123. doi:10.1111/j.1398-9995.</w:t>
      </w:r>
      <w:proofErr w:type="gramStart"/>
      <w:r>
        <w:t>2009.02192.x</w:t>
      </w:r>
      <w:proofErr w:type="gramEnd"/>
    </w:p>
    <w:p w14:paraId="4E6BB3B1" w14:textId="03F12BEE" w:rsidR="009169E8" w:rsidRDefault="009169E8" w:rsidP="008E28A3">
      <w:pPr>
        <w:pStyle w:val="DHHSbody"/>
      </w:pPr>
      <w:r>
        <w:t xml:space="preserve">Hurwitz, E., Simon, M., </w:t>
      </w:r>
      <w:proofErr w:type="spellStart"/>
      <w:r>
        <w:t>Vinta</w:t>
      </w:r>
      <w:proofErr w:type="spellEnd"/>
      <w:r>
        <w:t xml:space="preserve">, S., </w:t>
      </w:r>
      <w:proofErr w:type="spellStart"/>
      <w:r>
        <w:t>Zehm</w:t>
      </w:r>
      <w:proofErr w:type="spellEnd"/>
      <w:r>
        <w:t xml:space="preserve">, C., </w:t>
      </w:r>
      <w:proofErr w:type="spellStart"/>
      <w:r>
        <w:t>Shabot</w:t>
      </w:r>
      <w:proofErr w:type="spellEnd"/>
      <w:r>
        <w:t xml:space="preserve">, S., </w:t>
      </w:r>
      <w:proofErr w:type="spellStart"/>
      <w:r>
        <w:t>Minhajuddin</w:t>
      </w:r>
      <w:proofErr w:type="spellEnd"/>
      <w:r>
        <w:t xml:space="preserve">, A., &amp; </w:t>
      </w:r>
      <w:proofErr w:type="spellStart"/>
      <w:r>
        <w:t>Abouleish</w:t>
      </w:r>
      <w:proofErr w:type="spellEnd"/>
      <w:r>
        <w:t xml:space="preserve">, A. (2017). Adding examples to the ASA-physical status classification improves correct assignment to patients. </w:t>
      </w:r>
      <w:proofErr w:type="spellStart"/>
      <w:r>
        <w:rPr>
          <w:i/>
          <w:iCs/>
        </w:rPr>
        <w:t>Anesthesiology</w:t>
      </w:r>
      <w:proofErr w:type="spellEnd"/>
      <w:r>
        <w:rPr>
          <w:i/>
          <w:iCs/>
        </w:rPr>
        <w:t xml:space="preserve">, 126, </w:t>
      </w:r>
      <w:r>
        <w:t>614–622. doi:10.1097/ALN.0000000000001541</w:t>
      </w:r>
    </w:p>
    <w:p w14:paraId="14D96738" w14:textId="77777777" w:rsidR="009169E8" w:rsidRDefault="009169E8" w:rsidP="008E28A3">
      <w:pPr>
        <w:pStyle w:val="DHHSbody"/>
      </w:pPr>
      <w:r>
        <w:t xml:space="preserve">Jones, C., </w:t>
      </w:r>
      <w:proofErr w:type="spellStart"/>
      <w:r>
        <w:t>Fawker</w:t>
      </w:r>
      <w:proofErr w:type="spellEnd"/>
      <w:r>
        <w:t xml:space="preserve">-Corbett, J., Groom, P., Morton, B., Lister, C., &amp; Mercer, S. (2018). Human factors in preventing complications in anaesthesia: a systematic review. </w:t>
      </w:r>
      <w:r>
        <w:rPr>
          <w:i/>
          <w:iCs/>
        </w:rPr>
        <w:t>Anaesthesia, 73</w:t>
      </w:r>
      <w:r>
        <w:t>(Suppl. 1), 12–24. doi:10.1111/anae.14136</w:t>
      </w:r>
    </w:p>
    <w:p w14:paraId="7359819E" w14:textId="77777777" w:rsidR="009169E8" w:rsidRDefault="009169E8" w:rsidP="008E28A3">
      <w:pPr>
        <w:pStyle w:val="DHHSbody"/>
      </w:pPr>
      <w:r>
        <w:t xml:space="preserve">Kluger, M., &amp; Short, T. (1999). Aspiration during anaesthesia: a review of 133 cases from the Australian Anaesthetic Incident Monitoring Study (AIMS). </w:t>
      </w:r>
      <w:r>
        <w:rPr>
          <w:rStyle w:val="TextItalic"/>
        </w:rPr>
        <w:t xml:space="preserve">Anaesthesia, 15, </w:t>
      </w:r>
      <w:r>
        <w:t>19–26. doi:10.1046/j.1365-2044.</w:t>
      </w:r>
      <w:proofErr w:type="gramStart"/>
      <w:r>
        <w:t>1999.00642.x</w:t>
      </w:r>
      <w:proofErr w:type="gramEnd"/>
    </w:p>
    <w:p w14:paraId="4BCE8608" w14:textId="77777777" w:rsidR="009169E8" w:rsidRDefault="009169E8" w:rsidP="008E28A3">
      <w:pPr>
        <w:pStyle w:val="DHHSbody"/>
      </w:pPr>
      <w:r>
        <w:t xml:space="preserve">Kluger, M. T., Visvanathan, T., </w:t>
      </w:r>
      <w:proofErr w:type="spellStart"/>
      <w:r>
        <w:t>Myburgh</w:t>
      </w:r>
      <w:proofErr w:type="spellEnd"/>
      <w:r>
        <w:t xml:space="preserve">, J. A., &amp; </w:t>
      </w:r>
      <w:proofErr w:type="spellStart"/>
      <w:r>
        <w:t>Westhorpe</w:t>
      </w:r>
      <w:proofErr w:type="spellEnd"/>
      <w:r>
        <w:t xml:space="preserve">, R. N. (2005). Crisis management during anaesthesia: regurgitation, vomiting, and aspiration. </w:t>
      </w:r>
      <w:r>
        <w:rPr>
          <w:i/>
          <w:iCs/>
        </w:rPr>
        <w:t xml:space="preserve">BMJ Qual </w:t>
      </w:r>
      <w:proofErr w:type="spellStart"/>
      <w:r>
        <w:rPr>
          <w:i/>
          <w:iCs/>
        </w:rPr>
        <w:t>Saf</w:t>
      </w:r>
      <w:proofErr w:type="spellEnd"/>
      <w:r>
        <w:rPr>
          <w:i/>
          <w:iCs/>
        </w:rPr>
        <w:t>, 14</w:t>
      </w:r>
      <w:r>
        <w:t>(3), e4. doi:10.1136/qshc.2002.004259</w:t>
      </w:r>
    </w:p>
    <w:p w14:paraId="4CF8AFA8" w14:textId="77777777" w:rsidR="009169E8" w:rsidRDefault="009169E8" w:rsidP="008E28A3">
      <w:pPr>
        <w:pStyle w:val="DHHSbody"/>
      </w:pPr>
      <w:r>
        <w:t xml:space="preserve">Kolawole, H., Marshall, S., Crilly, H., </w:t>
      </w:r>
      <w:proofErr w:type="spellStart"/>
      <w:r>
        <w:t>Kerridges</w:t>
      </w:r>
      <w:proofErr w:type="spellEnd"/>
      <w:r>
        <w:t xml:space="preserve">, R., &amp; Roessler, P. (2017). Australian and New Zealand Anaesthetic Allergy Group/Australian and New Zealand College of Anaesthetists Perioperative Anaphylaxis Management Guidelines. </w:t>
      </w:r>
      <w:r>
        <w:rPr>
          <w:i/>
          <w:iCs/>
        </w:rPr>
        <w:t>Anaesthesia and Intensive Care, 45</w:t>
      </w:r>
      <w:r>
        <w:t>(2), 151–158.</w:t>
      </w:r>
    </w:p>
    <w:p w14:paraId="7B779632" w14:textId="382FD5C1" w:rsidR="009169E8" w:rsidRDefault="009169E8" w:rsidP="008E28A3">
      <w:pPr>
        <w:pStyle w:val="DHHSbody"/>
      </w:pPr>
      <w:r>
        <w:t xml:space="preserve">Mahmoud, K., </w:t>
      </w:r>
      <w:proofErr w:type="spellStart"/>
      <w:r>
        <w:t>Sanon</w:t>
      </w:r>
      <w:proofErr w:type="spellEnd"/>
      <w:r>
        <w:t xml:space="preserve">, S., </w:t>
      </w:r>
      <w:proofErr w:type="spellStart"/>
      <w:r>
        <w:t>Habermann</w:t>
      </w:r>
      <w:proofErr w:type="spellEnd"/>
      <w:r>
        <w:t xml:space="preserve">, E., Lennon, R., Thomsen, K., Wood, D., . . . Holmes Jr, D. (2016). Perioperative cardiovascular risk of prior coronary stent implantation among patients undergoing noncardiac surgery. </w:t>
      </w:r>
      <w:hyperlink r:id="rId46" w:history="1">
        <w:r w:rsidRPr="00D5020B">
          <w:rPr>
            <w:rStyle w:val="Hyperlink"/>
            <w:i/>
            <w:iCs/>
            <w:color w:val="0063A5"/>
            <w:u w:val="single"/>
          </w:rPr>
          <w:t>Journal of the American College of Cardiology, 67</w:t>
        </w:r>
        <w:r w:rsidRPr="00D5020B">
          <w:rPr>
            <w:rStyle w:val="Hyperlink"/>
            <w:color w:val="0063A5"/>
            <w:u w:val="single"/>
          </w:rPr>
          <w:t>(9), 1038–1049</w:t>
        </w:r>
      </w:hyperlink>
      <w:r w:rsidR="003059CD" w:rsidRPr="00D5020B">
        <w:rPr>
          <w:color w:val="0063A5"/>
        </w:rPr>
        <w:t xml:space="preserve"> </w:t>
      </w:r>
      <w:r w:rsidR="003059CD" w:rsidRPr="003059CD">
        <w:rPr>
          <w:color w:val="000000" w:themeColor="text1"/>
        </w:rPr>
        <w:t>&lt;https://www.sciencedirect.com/science/article/pii/S0735109716001571?via%3Dihub&gt;</w:t>
      </w:r>
      <w:r w:rsidRPr="003059CD">
        <w:rPr>
          <w:color w:val="000000" w:themeColor="text1"/>
        </w:rPr>
        <w:t>.</w:t>
      </w:r>
    </w:p>
    <w:p w14:paraId="35C9F805" w14:textId="77777777" w:rsidR="009169E8" w:rsidRDefault="009169E8" w:rsidP="008E28A3">
      <w:pPr>
        <w:pStyle w:val="DHHSbody"/>
      </w:pPr>
      <w:proofErr w:type="spellStart"/>
      <w:r>
        <w:t>Marik</w:t>
      </w:r>
      <w:proofErr w:type="spellEnd"/>
      <w:r>
        <w:t xml:space="preserve">, P. (2001). Aspiration pneumonitis and aspiration pneumonia. </w:t>
      </w:r>
      <w:r>
        <w:rPr>
          <w:i/>
          <w:iCs/>
        </w:rPr>
        <w:t>New England Journal of Medicine, 344</w:t>
      </w:r>
      <w:r>
        <w:t>(9), 665–671.</w:t>
      </w:r>
    </w:p>
    <w:p w14:paraId="203CBB66" w14:textId="77777777" w:rsidR="009169E8" w:rsidRPr="005B76F4" w:rsidRDefault="009169E8" w:rsidP="008E28A3">
      <w:pPr>
        <w:pStyle w:val="DHHSbody"/>
        <w:rPr>
          <w:lang w:val="pt-BR"/>
        </w:rPr>
      </w:pPr>
      <w:r>
        <w:t xml:space="preserve">Mayhew, D., Mendonca, V., &amp; Murthy, B. (2019). A review of ASA physical status - historical perspectives and modern developments. </w:t>
      </w:r>
      <w:r w:rsidRPr="005B76F4">
        <w:rPr>
          <w:i/>
          <w:iCs/>
          <w:lang w:val="pt-BR"/>
        </w:rPr>
        <w:t>Anaesthesia, 74,</w:t>
      </w:r>
      <w:r w:rsidRPr="005B76F4">
        <w:rPr>
          <w:lang w:val="pt-BR"/>
        </w:rPr>
        <w:t xml:space="preserve"> 373–379. doi:10.1111/anae.14569</w:t>
      </w:r>
    </w:p>
    <w:p w14:paraId="48BED791" w14:textId="7FF24F00" w:rsidR="009169E8" w:rsidRDefault="009026D1" w:rsidP="008E28A3">
      <w:pPr>
        <w:pStyle w:val="DHHSbody"/>
      </w:pPr>
      <w:hyperlink r:id="rId47" w:history="1">
        <w:r w:rsidR="009169E8" w:rsidRPr="00D5020B">
          <w:rPr>
            <w:rStyle w:val="Hyperlink"/>
            <w:color w:val="0063A5"/>
            <w:u w:val="single"/>
            <w:lang w:val="pt-BR"/>
          </w:rPr>
          <w:t>METeOR. (2019)</w:t>
        </w:r>
      </w:hyperlink>
      <w:r w:rsidR="00D5020B" w:rsidRPr="00D5020B">
        <w:rPr>
          <w:color w:val="0063A5"/>
          <w:lang w:val="pt-BR"/>
        </w:rPr>
        <w:t xml:space="preserve"> </w:t>
      </w:r>
      <w:r w:rsidR="00D5020B" w:rsidRPr="00D5020B">
        <w:rPr>
          <w:lang w:val="pt-BR"/>
        </w:rPr>
        <w:t>&lt;https://meteor.aihw.gov.au/content/index.phtml/itemId/534125&gt;</w:t>
      </w:r>
      <w:r w:rsidR="009169E8" w:rsidRPr="00D5020B">
        <w:rPr>
          <w:lang w:val="pt-BR"/>
        </w:rPr>
        <w:t xml:space="preserve">. </w:t>
      </w:r>
      <w:r w:rsidR="009169E8">
        <w:t>Retrieved from Metadata Online Registry</w:t>
      </w:r>
      <w:r w:rsidR="00D5020B">
        <w:t>.</w:t>
      </w:r>
    </w:p>
    <w:p w14:paraId="5C60AE3D" w14:textId="77777777" w:rsidR="009169E8" w:rsidRDefault="009169E8" w:rsidP="008E28A3">
      <w:pPr>
        <w:pStyle w:val="DHHSbody"/>
      </w:pPr>
      <w:r>
        <w:t xml:space="preserve">Minto, G., &amp; </w:t>
      </w:r>
      <w:proofErr w:type="spellStart"/>
      <w:r>
        <w:t>Biccard</w:t>
      </w:r>
      <w:proofErr w:type="spellEnd"/>
      <w:r>
        <w:t xml:space="preserve">, B. (2014). Assessment of the high-risk perioperative patient. </w:t>
      </w:r>
      <w:r>
        <w:rPr>
          <w:i/>
          <w:iCs/>
        </w:rPr>
        <w:t>Continuing Education in Anaesthesia, Critical Care &amp; Pain, 14</w:t>
      </w:r>
      <w:r>
        <w:t>(1), 12–17. doi:10.1093/</w:t>
      </w:r>
      <w:proofErr w:type="spellStart"/>
      <w:r>
        <w:t>bjaceaccp</w:t>
      </w:r>
      <w:proofErr w:type="spellEnd"/>
      <w:r>
        <w:t>/mkt020</w:t>
      </w:r>
    </w:p>
    <w:p w14:paraId="04094ED4" w14:textId="77777777" w:rsidR="009169E8" w:rsidRDefault="009169E8" w:rsidP="008E28A3">
      <w:pPr>
        <w:pStyle w:val="DHHSbody"/>
      </w:pPr>
      <w:r>
        <w:t xml:space="preserve">Mutter, T., Chateau, D., Moffatt, M., Ramsey, C., </w:t>
      </w:r>
      <w:proofErr w:type="spellStart"/>
      <w:r>
        <w:t>Roos</w:t>
      </w:r>
      <w:proofErr w:type="spellEnd"/>
      <w:r>
        <w:t xml:space="preserve">, L., &amp; </w:t>
      </w:r>
      <w:proofErr w:type="spellStart"/>
      <w:r>
        <w:t>Kryger</w:t>
      </w:r>
      <w:proofErr w:type="spellEnd"/>
      <w:r>
        <w:t xml:space="preserve">, M. (2014). A matched cohort study of postoperative outcomes in obstructive sleep apnoea. </w:t>
      </w:r>
      <w:proofErr w:type="spellStart"/>
      <w:r>
        <w:rPr>
          <w:i/>
          <w:iCs/>
        </w:rPr>
        <w:t>Anesthesiology</w:t>
      </w:r>
      <w:proofErr w:type="spellEnd"/>
      <w:r>
        <w:rPr>
          <w:i/>
          <w:iCs/>
        </w:rPr>
        <w:t xml:space="preserve">, 121, </w:t>
      </w:r>
      <w:r>
        <w:t>707–718. doi:10.1097/ALN.0000000000000407.</w:t>
      </w:r>
    </w:p>
    <w:p w14:paraId="7421C75F" w14:textId="77777777" w:rsidR="009169E8" w:rsidRDefault="009169E8" w:rsidP="008E28A3">
      <w:pPr>
        <w:pStyle w:val="DHHSbody"/>
      </w:pPr>
      <w:proofErr w:type="spellStart"/>
      <w:r>
        <w:t>Nagrebetsky</w:t>
      </w:r>
      <w:proofErr w:type="spellEnd"/>
      <w:r>
        <w:t xml:space="preserve">, A., Gabriel, R., Dutton, R., &amp; </w:t>
      </w:r>
      <w:proofErr w:type="spellStart"/>
      <w:r>
        <w:t>Urman</w:t>
      </w:r>
      <w:proofErr w:type="spellEnd"/>
      <w:r>
        <w:t xml:space="preserve">, R. (2017). Growth of nonoperating room </w:t>
      </w:r>
      <w:proofErr w:type="spellStart"/>
      <w:r>
        <w:t>anesthesia</w:t>
      </w:r>
      <w:proofErr w:type="spellEnd"/>
      <w:r>
        <w:t xml:space="preserve"> care in the United States: a contemporary trends analysis. </w:t>
      </w:r>
      <w:proofErr w:type="spellStart"/>
      <w:r>
        <w:rPr>
          <w:i/>
          <w:iCs/>
        </w:rPr>
        <w:t>Anesthesia</w:t>
      </w:r>
      <w:proofErr w:type="spellEnd"/>
      <w:r>
        <w:rPr>
          <w:i/>
          <w:iCs/>
        </w:rPr>
        <w:t xml:space="preserve"> &amp; Analgesia, 124</w:t>
      </w:r>
      <w:r>
        <w:t>(4), 1261–1267. doi:10.1213/ANE.0000000000001734</w:t>
      </w:r>
    </w:p>
    <w:p w14:paraId="4EEA75BB" w14:textId="77777777" w:rsidR="009169E8" w:rsidRDefault="009169E8" w:rsidP="008E28A3">
      <w:pPr>
        <w:pStyle w:val="DHHSbody"/>
      </w:pPr>
      <w:proofErr w:type="spellStart"/>
      <w:r>
        <w:t>Nanji</w:t>
      </w:r>
      <w:proofErr w:type="spellEnd"/>
      <w:r>
        <w:t xml:space="preserve">, K., Patel, A., Shaikh, S., Seger, D., &amp; Bates, D. (2016). Evaluation of perioperative medication errors and adverse drug events. </w:t>
      </w:r>
      <w:proofErr w:type="spellStart"/>
      <w:r>
        <w:rPr>
          <w:i/>
          <w:iCs/>
        </w:rPr>
        <w:t>Anesthesiology</w:t>
      </w:r>
      <w:proofErr w:type="spellEnd"/>
      <w:r>
        <w:rPr>
          <w:i/>
          <w:iCs/>
        </w:rPr>
        <w:t xml:space="preserve">, 124, </w:t>
      </w:r>
      <w:r>
        <w:t>25–34. doi:10.1097/ALN.0000000000000904</w:t>
      </w:r>
    </w:p>
    <w:p w14:paraId="13B36845" w14:textId="77777777" w:rsidR="009169E8" w:rsidRDefault="009169E8" w:rsidP="008E28A3">
      <w:pPr>
        <w:pStyle w:val="DHHSbody"/>
      </w:pPr>
      <w:r>
        <w:t xml:space="preserve">Nightingale, C., </w:t>
      </w:r>
      <w:proofErr w:type="spellStart"/>
      <w:r>
        <w:t>Margarson</w:t>
      </w:r>
      <w:proofErr w:type="spellEnd"/>
      <w:r>
        <w:t xml:space="preserve">, M., Shearer, E., Redman, J., Lucas, D., Cousins, J., . . . Griffiths, R. (2015). Peri-operative management of the obese surgical patient 2015. </w:t>
      </w:r>
      <w:r>
        <w:rPr>
          <w:i/>
          <w:iCs/>
        </w:rPr>
        <w:t xml:space="preserve">Anaesthesia, 70, </w:t>
      </w:r>
      <w:r>
        <w:t>859–876. doi:10.1111/anae.13101</w:t>
      </w:r>
    </w:p>
    <w:p w14:paraId="64B3D0AB" w14:textId="77777777" w:rsidR="009169E8" w:rsidRDefault="009169E8" w:rsidP="008E28A3">
      <w:pPr>
        <w:pStyle w:val="DHHSbody"/>
      </w:pPr>
      <w:r>
        <w:t xml:space="preserve">Nunally, M., O’Connor, M., Kordylewski, H., Westlake, B., &amp; Dutton, R. (2015). The incidence and risk factors for perioperative cardiac arrest observed in the National Anaesthesia Clinical Outcomes Registry. </w:t>
      </w:r>
      <w:proofErr w:type="spellStart"/>
      <w:r>
        <w:rPr>
          <w:i/>
          <w:iCs/>
        </w:rPr>
        <w:t>Anesthesia</w:t>
      </w:r>
      <w:proofErr w:type="spellEnd"/>
      <w:r>
        <w:rPr>
          <w:i/>
          <w:iCs/>
        </w:rPr>
        <w:t xml:space="preserve"> &amp; Analgesia, 120</w:t>
      </w:r>
      <w:r>
        <w:t>(2), 364-370. doi:10.1213/ANE.0000000000000527</w:t>
      </w:r>
    </w:p>
    <w:p w14:paraId="61591366" w14:textId="77777777" w:rsidR="009169E8" w:rsidRDefault="009169E8" w:rsidP="008E28A3">
      <w:pPr>
        <w:pStyle w:val="DHHSbody"/>
      </w:pPr>
      <w:r>
        <w:t xml:space="preserve">Nuttall, G., Burckhardt, J., Hadley, A., Kane, S., </w:t>
      </w:r>
      <w:proofErr w:type="spellStart"/>
      <w:r>
        <w:t>Kor</w:t>
      </w:r>
      <w:proofErr w:type="spellEnd"/>
      <w:r>
        <w:t xml:space="preserve">, D., Marienau, M. S., . . . Oliver, W. (2016). Surgical and patient risk factors for severe arterial line complications in adults. </w:t>
      </w:r>
      <w:proofErr w:type="spellStart"/>
      <w:r>
        <w:rPr>
          <w:i/>
          <w:iCs/>
        </w:rPr>
        <w:t>Anesthesiology</w:t>
      </w:r>
      <w:proofErr w:type="spellEnd"/>
      <w:r>
        <w:rPr>
          <w:i/>
          <w:iCs/>
        </w:rPr>
        <w:t xml:space="preserve">, 124, </w:t>
      </w:r>
      <w:r>
        <w:t>590–597.</w:t>
      </w:r>
    </w:p>
    <w:p w14:paraId="314A23BF" w14:textId="77777777" w:rsidR="009169E8" w:rsidRDefault="009169E8" w:rsidP="008E28A3">
      <w:pPr>
        <w:pStyle w:val="DHHSbody"/>
      </w:pPr>
      <w:r>
        <w:t xml:space="preserve">Pandit, J., Andrade, J., </w:t>
      </w:r>
      <w:proofErr w:type="spellStart"/>
      <w:r>
        <w:t>Bogod</w:t>
      </w:r>
      <w:proofErr w:type="spellEnd"/>
      <w:r>
        <w:t xml:space="preserve">, D., </w:t>
      </w:r>
      <w:proofErr w:type="spellStart"/>
      <w:r>
        <w:t>Hitchman</w:t>
      </w:r>
      <w:proofErr w:type="spellEnd"/>
      <w:r>
        <w:t xml:space="preserve">, J., Jonker, W., Lucas, N., . . . Cook, T. (2014). 5th National Audit Project (NAP5) on accidental awareness during general anaesthesia: summary of main findings and risk factors. </w:t>
      </w:r>
      <w:r>
        <w:rPr>
          <w:rStyle w:val="TextItalic"/>
        </w:rPr>
        <w:t>British Journal of Anaesthesia, 113</w:t>
      </w:r>
      <w:r>
        <w:t>(4), 549–559. doi:10.1093/</w:t>
      </w:r>
      <w:proofErr w:type="spellStart"/>
      <w:r>
        <w:t>bja</w:t>
      </w:r>
      <w:proofErr w:type="spellEnd"/>
      <w:r>
        <w:t>/aeu313</w:t>
      </w:r>
    </w:p>
    <w:p w14:paraId="044A1B40" w14:textId="33B6280F" w:rsidR="009169E8" w:rsidRDefault="009169E8" w:rsidP="008E28A3">
      <w:pPr>
        <w:pStyle w:val="DHHSbody"/>
      </w:pPr>
      <w:r>
        <w:t xml:space="preserve">Parashar, A., Agarwal, A., Krishnaswamy, A., Sud, K., Poddar, K., &amp; Bas, M. (2016). Percutaneous intervention for myocardial infarction after noncardiac surgery: patient characteristics and outcomes. </w:t>
      </w:r>
      <w:hyperlink r:id="rId48" w:history="1">
        <w:r w:rsidRPr="00A75138">
          <w:rPr>
            <w:rStyle w:val="Hyperlink"/>
            <w:i/>
            <w:iCs/>
            <w:color w:val="0063A5"/>
            <w:u w:val="single"/>
          </w:rPr>
          <w:t>Journal of the American College of Cardiology, 68</w:t>
        </w:r>
        <w:r w:rsidRPr="00A75138">
          <w:rPr>
            <w:rStyle w:val="Hyperlink"/>
            <w:color w:val="0063A5"/>
            <w:u w:val="single"/>
          </w:rPr>
          <w:t>(4), 329–338</w:t>
        </w:r>
      </w:hyperlink>
      <w:r w:rsidR="00A75138">
        <w:t xml:space="preserve"> &lt;</w:t>
      </w:r>
      <w:r w:rsidR="00A75138" w:rsidRPr="00A75138">
        <w:rPr>
          <w:color w:val="000000" w:themeColor="text1"/>
        </w:rPr>
        <w:t>https://doi.org/10.1016/j.jacc.2016.03.602&gt;</w:t>
      </w:r>
    </w:p>
    <w:p w14:paraId="2A0416F4" w14:textId="77777777" w:rsidR="009169E8" w:rsidRDefault="009169E8" w:rsidP="008E28A3">
      <w:pPr>
        <w:pStyle w:val="DHHSbody"/>
      </w:pPr>
      <w:r>
        <w:t xml:space="preserve">Patel, K., &amp; Eagle, P. (2015). Cardiac risk of noncardiac surgery. </w:t>
      </w:r>
      <w:r>
        <w:rPr>
          <w:i/>
          <w:iCs/>
        </w:rPr>
        <w:t>Journal of the American College of Cardiology, 66</w:t>
      </w:r>
      <w:r>
        <w:t xml:space="preserve">(19), 2140–2148. </w:t>
      </w:r>
      <w:proofErr w:type="spellStart"/>
      <w:proofErr w:type="gramStart"/>
      <w:r>
        <w:t>doi:http</w:t>
      </w:r>
      <w:proofErr w:type="spellEnd"/>
      <w:r>
        <w:t>://dx.doi.org/10.1016/j.jacc.2015.09.026</w:t>
      </w:r>
      <w:proofErr w:type="gramEnd"/>
    </w:p>
    <w:p w14:paraId="79F16B06" w14:textId="77777777" w:rsidR="009169E8" w:rsidRDefault="009169E8" w:rsidP="008E28A3">
      <w:pPr>
        <w:pStyle w:val="DHHSbody"/>
      </w:pPr>
      <w:proofErr w:type="spellStart"/>
      <w:r>
        <w:t>Pinciroli</w:t>
      </w:r>
      <w:proofErr w:type="spellEnd"/>
      <w:r>
        <w:t xml:space="preserve">, R., &amp; </w:t>
      </w:r>
      <w:proofErr w:type="spellStart"/>
      <w:r>
        <w:t>Fumagalli</w:t>
      </w:r>
      <w:proofErr w:type="spellEnd"/>
      <w:r>
        <w:t xml:space="preserve">, R. (2015). The unexpected epidural: a case report. </w:t>
      </w:r>
      <w:proofErr w:type="spellStart"/>
      <w:r>
        <w:rPr>
          <w:rStyle w:val="TextItalic"/>
        </w:rPr>
        <w:t>Anesthesiology</w:t>
      </w:r>
      <w:proofErr w:type="spellEnd"/>
      <w:r>
        <w:rPr>
          <w:rStyle w:val="TextItalic"/>
        </w:rPr>
        <w:t>, 15:</w:t>
      </w:r>
      <w:r>
        <w:t>83. doi:10.1186/s12871-015-0062-4</w:t>
      </w:r>
    </w:p>
    <w:p w14:paraId="3DA3C3F5" w14:textId="77777777" w:rsidR="009169E8" w:rsidRDefault="009169E8" w:rsidP="008E28A3">
      <w:pPr>
        <w:pStyle w:val="DHHSbody"/>
      </w:pPr>
      <w:proofErr w:type="spellStart"/>
      <w:r>
        <w:t>Popat</w:t>
      </w:r>
      <w:proofErr w:type="spellEnd"/>
      <w:r>
        <w:t xml:space="preserve">, M., Mitchell, V., </w:t>
      </w:r>
      <w:proofErr w:type="spellStart"/>
      <w:r>
        <w:t>Dravid</w:t>
      </w:r>
      <w:proofErr w:type="spellEnd"/>
      <w:r>
        <w:t xml:space="preserve">, R., Patel, A., </w:t>
      </w:r>
      <w:proofErr w:type="spellStart"/>
      <w:r>
        <w:t>Swampillai</w:t>
      </w:r>
      <w:proofErr w:type="spellEnd"/>
      <w:r>
        <w:t xml:space="preserve">, C., &amp; Higgs, A. (2012). Difficult Airway Society guidelines for the management of tracheal </w:t>
      </w:r>
      <w:proofErr w:type="spellStart"/>
      <w:r>
        <w:t>extubation</w:t>
      </w:r>
      <w:proofErr w:type="spellEnd"/>
      <w:r>
        <w:t xml:space="preserve">. </w:t>
      </w:r>
      <w:r>
        <w:rPr>
          <w:rStyle w:val="TextItalic"/>
        </w:rPr>
        <w:t xml:space="preserve">Anaesthesia, 67, </w:t>
      </w:r>
      <w:r>
        <w:t>318–340. doi:10.1111/j.1365-2044.</w:t>
      </w:r>
      <w:proofErr w:type="gramStart"/>
      <w:r>
        <w:t>2012.07075.x</w:t>
      </w:r>
      <w:proofErr w:type="gramEnd"/>
    </w:p>
    <w:p w14:paraId="4EA174BB" w14:textId="6EE8E4C9" w:rsidR="009169E8" w:rsidRDefault="009169E8" w:rsidP="008E28A3">
      <w:pPr>
        <w:pStyle w:val="DHHSbody"/>
      </w:pPr>
      <w:r>
        <w:t xml:space="preserve">Robinson, M., &amp; Davidson, A. (2014). Aspiration under anaesthesia: risk assessment and decision making. </w:t>
      </w:r>
      <w:hyperlink r:id="rId49" w:history="1">
        <w:r w:rsidRPr="00A75138">
          <w:rPr>
            <w:rStyle w:val="Hyperlink"/>
            <w:i/>
            <w:color w:val="0063A5"/>
            <w:u w:val="single"/>
          </w:rPr>
          <w:t>Continuing Education in Anaesthesia Critical Care &amp; Pain,</w:t>
        </w:r>
        <w:r w:rsidRPr="00A75138">
          <w:rPr>
            <w:rStyle w:val="Hyperlink"/>
            <w:color w:val="0063A5"/>
            <w:u w:val="single"/>
          </w:rPr>
          <w:t xml:space="preserve"> 14(4), 171–175</w:t>
        </w:r>
      </w:hyperlink>
      <w:r w:rsidR="00A75138" w:rsidRPr="00A75138">
        <w:rPr>
          <w:color w:val="0063A5"/>
          <w:u w:val="single"/>
        </w:rPr>
        <w:t xml:space="preserve"> </w:t>
      </w:r>
      <w:r w:rsidR="00A75138" w:rsidRPr="00A75138">
        <w:rPr>
          <w:color w:val="000000" w:themeColor="text1"/>
        </w:rPr>
        <w:t>&lt;https://doi.org/10.1093/bjaceaccp/mkt053&gt;</w:t>
      </w:r>
    </w:p>
    <w:p w14:paraId="230804E6" w14:textId="77777777" w:rsidR="009169E8" w:rsidRDefault="009169E8" w:rsidP="008E28A3">
      <w:pPr>
        <w:pStyle w:val="DHHSbody"/>
      </w:pPr>
      <w:r>
        <w:t xml:space="preserve">Rose, M., Green, S., Crilly, H., &amp; Kolawole, H. (2016). Perioperative anaphylaxis grading system: ‘making the grade’. </w:t>
      </w:r>
      <w:r>
        <w:rPr>
          <w:rStyle w:val="TextItalic"/>
        </w:rPr>
        <w:t>British Journal of Anaesthesia, 117</w:t>
      </w:r>
      <w:r>
        <w:t>(5), 551–553. doi:10.1093/</w:t>
      </w:r>
      <w:proofErr w:type="spellStart"/>
      <w:r>
        <w:t>bja</w:t>
      </w:r>
      <w:proofErr w:type="spellEnd"/>
      <w:r>
        <w:t>/aew251</w:t>
      </w:r>
    </w:p>
    <w:p w14:paraId="66C2E5B1" w14:textId="14B14144" w:rsidR="009169E8" w:rsidRDefault="009169E8" w:rsidP="008E28A3">
      <w:pPr>
        <w:pStyle w:val="DHHSbody"/>
      </w:pPr>
      <w:r>
        <w:t xml:space="preserve">Royal College of Anaesthetists. (2016, July). </w:t>
      </w:r>
      <w:hyperlink r:id="rId50" w:history="1">
        <w:r w:rsidRPr="001E1DF2">
          <w:rPr>
            <w:rStyle w:val="Hyperlink"/>
            <w:color w:val="0063A5"/>
            <w:u w:val="single"/>
          </w:rPr>
          <w:t>Patient Safety Update January–March 2016</w:t>
        </w:r>
      </w:hyperlink>
      <w:r w:rsidR="001E1DF2" w:rsidRPr="001E1DF2">
        <w:rPr>
          <w:color w:val="0063A5"/>
        </w:rPr>
        <w:t xml:space="preserve"> </w:t>
      </w:r>
      <w:r w:rsidR="001E1DF2" w:rsidRPr="001E1DF2">
        <w:rPr>
          <w:color w:val="000000" w:themeColor="text1"/>
        </w:rPr>
        <w:t>&lt;https://www.rcoa.ac.uk/sites/default/files/PSU-July-2016.pdf&gt;</w:t>
      </w:r>
      <w:r w:rsidRPr="001E1DF2">
        <w:rPr>
          <w:color w:val="000000" w:themeColor="text1"/>
        </w:rPr>
        <w:t xml:space="preserve">. </w:t>
      </w:r>
      <w:r>
        <w:t xml:space="preserve">UK: </w:t>
      </w:r>
      <w:proofErr w:type="spellStart"/>
      <w:r>
        <w:t>RCoA</w:t>
      </w:r>
      <w:proofErr w:type="spellEnd"/>
      <w:r>
        <w:t>. Retrieved June 7, 2019</w:t>
      </w:r>
      <w:r w:rsidR="001E1DF2">
        <w:t>.</w:t>
      </w:r>
    </w:p>
    <w:p w14:paraId="5DF2B182" w14:textId="5C5A2F79" w:rsidR="009169E8" w:rsidRDefault="009169E8" w:rsidP="008E28A3">
      <w:pPr>
        <w:pStyle w:val="DHHSbody"/>
        <w:rPr>
          <w:color w:val="0059D8"/>
        </w:rPr>
      </w:pPr>
      <w:r>
        <w:t xml:space="preserve">Royal College of Anaesthetists. (2018). </w:t>
      </w:r>
      <w:hyperlink r:id="rId51" w:anchor="pt" w:history="1">
        <w:r w:rsidRPr="00561324">
          <w:rPr>
            <w:rStyle w:val="Hyperlink"/>
            <w:color w:val="0063A5"/>
            <w:u w:val="single"/>
          </w:rPr>
          <w:t>Anaesthesia, surgery and life-threatening allergic reactions. Report and findings of the Royal College of Anaesthetists’ 6th National Audit Project</w:t>
        </w:r>
      </w:hyperlink>
      <w:r w:rsidR="00561324" w:rsidRPr="00561324">
        <w:rPr>
          <w:color w:val="0063A5"/>
          <w:u w:val="single"/>
        </w:rPr>
        <w:t xml:space="preserve"> </w:t>
      </w:r>
      <w:r w:rsidR="00561324">
        <w:t>&lt;</w:t>
      </w:r>
      <w:r w:rsidR="00561324" w:rsidRPr="00561324">
        <w:rPr>
          <w:color w:val="000000" w:themeColor="text1"/>
        </w:rPr>
        <w:t>https://www.nationalauditprojects.org.uk/NAP6Report#pt</w:t>
      </w:r>
      <w:r w:rsidR="00561324">
        <w:rPr>
          <w:color w:val="000000" w:themeColor="text1"/>
        </w:rPr>
        <w:t>&gt;</w:t>
      </w:r>
      <w:r>
        <w:t>. (T. M. Cook, &amp; N. Harper, Eds.) London.</w:t>
      </w:r>
    </w:p>
    <w:p w14:paraId="4290ABE2" w14:textId="77777777" w:rsidR="009169E8" w:rsidRDefault="009169E8" w:rsidP="008E28A3">
      <w:pPr>
        <w:pStyle w:val="DHHSbody"/>
      </w:pPr>
      <w:r>
        <w:t xml:space="preserve">Russ, A. L., Fairbanks, R. J., Karsh, B., </w:t>
      </w:r>
      <w:proofErr w:type="spellStart"/>
      <w:r>
        <w:t>Militello</w:t>
      </w:r>
      <w:proofErr w:type="spellEnd"/>
      <w:r>
        <w:t xml:space="preserve">, L. G., Saleem, J. J., &amp; Wears, R. L. (2013). The science of human factors: separating fact from fiction. </w:t>
      </w:r>
      <w:r>
        <w:rPr>
          <w:i/>
          <w:iCs/>
        </w:rPr>
        <w:t xml:space="preserve">BMJ Quality &amp; Safety, 22, </w:t>
      </w:r>
      <w:r>
        <w:t>802–808. doi:10.1136/bmjqs-2012-002036</w:t>
      </w:r>
    </w:p>
    <w:p w14:paraId="431EC6E8" w14:textId="77777777" w:rsidR="009169E8" w:rsidRDefault="009169E8" w:rsidP="008E28A3">
      <w:pPr>
        <w:pStyle w:val="DHHSbody"/>
      </w:pPr>
      <w:r>
        <w:t xml:space="preserve">Sadleir, P., Clarke, R., </w:t>
      </w:r>
      <w:proofErr w:type="spellStart"/>
      <w:r>
        <w:t>Bozic</w:t>
      </w:r>
      <w:proofErr w:type="spellEnd"/>
      <w:r>
        <w:t xml:space="preserve">, B., &amp; Platt, P. (2018). Consequences of proceeding with surgery after resuscitation from intra-operative anaphylaxis. </w:t>
      </w:r>
      <w:r>
        <w:rPr>
          <w:rStyle w:val="TextItalic"/>
        </w:rPr>
        <w:t xml:space="preserve">Anaesthesia, 73, </w:t>
      </w:r>
      <w:r>
        <w:t>32–39. doi:10.1111/anae.14106</w:t>
      </w:r>
    </w:p>
    <w:p w14:paraId="0EC188E7" w14:textId="77777777" w:rsidR="009169E8" w:rsidRPr="00A055F7" w:rsidRDefault="009169E8" w:rsidP="008E28A3">
      <w:pPr>
        <w:pStyle w:val="DHHSbody"/>
        <w:rPr>
          <w:color w:val="000000" w:themeColor="text1"/>
        </w:rPr>
      </w:pPr>
      <w:proofErr w:type="spellStart"/>
      <w:r>
        <w:lastRenderedPageBreak/>
        <w:t>Sevdalis</w:t>
      </w:r>
      <w:proofErr w:type="spellEnd"/>
      <w:r>
        <w:t xml:space="preserve">, N., Hull, L., &amp; Birnbach, D. (2012). Improving patient safety in the operating theatre and perioperative care: obstacles, interventions, and </w:t>
      </w:r>
      <w:r w:rsidRPr="00A055F7">
        <w:rPr>
          <w:color w:val="000000" w:themeColor="text1"/>
        </w:rPr>
        <w:t xml:space="preserve">priorities for accelerating progress. </w:t>
      </w:r>
      <w:r w:rsidRPr="00A055F7">
        <w:rPr>
          <w:rStyle w:val="TextItalic"/>
          <w:color w:val="000000" w:themeColor="text1"/>
        </w:rPr>
        <w:t>British Journal of Anaesthesia, 109</w:t>
      </w:r>
      <w:r w:rsidRPr="00A055F7">
        <w:rPr>
          <w:color w:val="000000" w:themeColor="text1"/>
        </w:rPr>
        <w:t>(suppl_1), i3–i16.</w:t>
      </w:r>
    </w:p>
    <w:p w14:paraId="31ADB87F" w14:textId="2DD5B6AB" w:rsidR="009169E8" w:rsidRPr="00A055F7" w:rsidRDefault="009169E8" w:rsidP="008E28A3">
      <w:pPr>
        <w:pStyle w:val="DHHSbody"/>
        <w:rPr>
          <w:color w:val="000000" w:themeColor="text1"/>
        </w:rPr>
      </w:pPr>
      <w:r w:rsidRPr="00A055F7">
        <w:rPr>
          <w:color w:val="000000" w:themeColor="text1"/>
        </w:rPr>
        <w:t xml:space="preserve">Simmons, H., &amp; Brits, R. (2011). </w:t>
      </w:r>
      <w:hyperlink r:id="rId52" w:history="1">
        <w:r w:rsidRPr="00A055F7">
          <w:rPr>
            <w:rStyle w:val="Hyperlink"/>
            <w:color w:val="0063A5"/>
            <w:u w:val="single"/>
          </w:rPr>
          <w:t>Survey of wrong site regional anaesthetics</w:t>
        </w:r>
      </w:hyperlink>
      <w:r w:rsidR="00A055F7" w:rsidRPr="00A055F7">
        <w:rPr>
          <w:color w:val="0063A5"/>
          <w:u w:val="single"/>
        </w:rPr>
        <w:t xml:space="preserve"> </w:t>
      </w:r>
      <w:r w:rsidR="00A055F7">
        <w:rPr>
          <w:color w:val="000000" w:themeColor="text1"/>
        </w:rPr>
        <w:t>&lt;</w:t>
      </w:r>
      <w:r w:rsidRPr="00A055F7">
        <w:rPr>
          <w:color w:val="000000" w:themeColor="text1"/>
        </w:rPr>
        <w:t>https://www.rcoa.ac.uk/sites/default/files/CSQ-PS-WSB-Brits-Simmons2011.pdf</w:t>
      </w:r>
      <w:r w:rsidR="00A055F7">
        <w:rPr>
          <w:color w:val="000000" w:themeColor="text1"/>
        </w:rPr>
        <w:t>&gt;</w:t>
      </w:r>
    </w:p>
    <w:p w14:paraId="708BAAEA" w14:textId="77777777" w:rsidR="009169E8" w:rsidRPr="00A055F7" w:rsidRDefault="009169E8" w:rsidP="008E28A3">
      <w:pPr>
        <w:pStyle w:val="DHHSbody"/>
        <w:rPr>
          <w:color w:val="000000" w:themeColor="text1"/>
        </w:rPr>
      </w:pPr>
      <w:proofErr w:type="spellStart"/>
      <w:r w:rsidRPr="00A055F7">
        <w:rPr>
          <w:color w:val="000000" w:themeColor="text1"/>
        </w:rPr>
        <w:t>Stiegler</w:t>
      </w:r>
      <w:proofErr w:type="spellEnd"/>
      <w:r w:rsidRPr="00A055F7">
        <w:rPr>
          <w:color w:val="000000" w:themeColor="text1"/>
        </w:rPr>
        <w:t xml:space="preserve">, M., &amp; Tung, A. (2014). Cognitive processes in </w:t>
      </w:r>
      <w:proofErr w:type="spellStart"/>
      <w:r w:rsidRPr="00A055F7">
        <w:rPr>
          <w:color w:val="000000" w:themeColor="text1"/>
        </w:rPr>
        <w:t>anesthesiology</w:t>
      </w:r>
      <w:proofErr w:type="spellEnd"/>
      <w:r w:rsidRPr="00A055F7">
        <w:rPr>
          <w:color w:val="000000" w:themeColor="text1"/>
        </w:rPr>
        <w:t xml:space="preserve"> decision making. </w:t>
      </w:r>
      <w:proofErr w:type="spellStart"/>
      <w:r w:rsidRPr="00A055F7">
        <w:rPr>
          <w:rStyle w:val="TextItalic"/>
          <w:color w:val="000000" w:themeColor="text1"/>
        </w:rPr>
        <w:t>Anesthesiology</w:t>
      </w:r>
      <w:proofErr w:type="spellEnd"/>
      <w:r w:rsidRPr="00A055F7">
        <w:rPr>
          <w:rStyle w:val="TextItalic"/>
          <w:color w:val="000000" w:themeColor="text1"/>
        </w:rPr>
        <w:t>, 120</w:t>
      </w:r>
      <w:r w:rsidRPr="00A055F7">
        <w:rPr>
          <w:color w:val="000000" w:themeColor="text1"/>
        </w:rPr>
        <w:t>(1), 204–217. doi:10.1097/ALN.0000000000000073</w:t>
      </w:r>
    </w:p>
    <w:p w14:paraId="3928B77D" w14:textId="77777777" w:rsidR="009169E8" w:rsidRDefault="009169E8" w:rsidP="008E28A3">
      <w:pPr>
        <w:pStyle w:val="DHHSbody"/>
      </w:pPr>
      <w:r>
        <w:t>Therapeutic Goods Administration. (2017). Medical devices safety update. 5(4).</w:t>
      </w:r>
    </w:p>
    <w:p w14:paraId="1C59149A" w14:textId="77777777" w:rsidR="009169E8" w:rsidRDefault="009169E8" w:rsidP="008E28A3">
      <w:pPr>
        <w:pStyle w:val="DHHSbody"/>
      </w:pPr>
      <w:r>
        <w:t xml:space="preserve">Thomas, R., Zubair, M., Hayes, B., &amp; Ashby, M. (2014). Goals of care: a clinical framework for limitation of treatment. </w:t>
      </w:r>
      <w:r>
        <w:rPr>
          <w:rStyle w:val="TextItalic"/>
        </w:rPr>
        <w:t>Medical Journal of Australia, 201</w:t>
      </w:r>
      <w:r>
        <w:t>(8), 452–455. doi:10.5694/mja14.00623</w:t>
      </w:r>
    </w:p>
    <w:p w14:paraId="20780A86" w14:textId="77777777" w:rsidR="009169E8" w:rsidRDefault="009169E8" w:rsidP="008E28A3">
      <w:pPr>
        <w:pStyle w:val="DHHSbody"/>
      </w:pPr>
      <w:proofErr w:type="spellStart"/>
      <w:r>
        <w:t>Vlisides</w:t>
      </w:r>
      <w:proofErr w:type="spellEnd"/>
      <w:r>
        <w:t xml:space="preserve">, P., &amp; </w:t>
      </w:r>
      <w:proofErr w:type="spellStart"/>
      <w:r>
        <w:t>Mashour</w:t>
      </w:r>
      <w:proofErr w:type="spellEnd"/>
      <w:r>
        <w:t xml:space="preserve">, G. (2016). Perioperative stroke. </w:t>
      </w:r>
      <w:r>
        <w:rPr>
          <w:rStyle w:val="TextItalic"/>
        </w:rPr>
        <w:t>Canadian Journal of Anaesthesia, 63</w:t>
      </w:r>
      <w:r>
        <w:t>(2), 193–204. doi:10.1007/s12630-015-0494-9</w:t>
      </w:r>
    </w:p>
    <w:p w14:paraId="38388175" w14:textId="77777777" w:rsidR="009169E8" w:rsidRDefault="009169E8" w:rsidP="008E28A3">
      <w:pPr>
        <w:pStyle w:val="DHHSbody"/>
      </w:pPr>
      <w:proofErr w:type="spellStart"/>
      <w:r>
        <w:t>Wahr</w:t>
      </w:r>
      <w:proofErr w:type="spellEnd"/>
      <w:r>
        <w:t xml:space="preserve">, J., Abernathy, E., </w:t>
      </w:r>
      <w:proofErr w:type="spellStart"/>
      <w:r>
        <w:t>Lazarra</w:t>
      </w:r>
      <w:proofErr w:type="spellEnd"/>
      <w:r>
        <w:t xml:space="preserve">, E., Keebler, J., Wall, M., Lynch, I., . . . Cooper, R. (2017). Medication safety in the operating room: literature and expert-based recommendations. </w:t>
      </w:r>
      <w:r>
        <w:rPr>
          <w:rStyle w:val="TextItalic"/>
        </w:rPr>
        <w:t>British Journal of Anaesthesia, 118</w:t>
      </w:r>
      <w:r>
        <w:t>(1), 32–43. doi:10.1093/</w:t>
      </w:r>
      <w:proofErr w:type="spellStart"/>
      <w:r>
        <w:t>bja</w:t>
      </w:r>
      <w:proofErr w:type="spellEnd"/>
      <w:r>
        <w:t>/aew379</w:t>
      </w:r>
    </w:p>
    <w:p w14:paraId="6ACB49FB" w14:textId="77777777" w:rsidR="009169E8" w:rsidRDefault="009169E8" w:rsidP="008E28A3">
      <w:pPr>
        <w:pStyle w:val="DHHSbody"/>
      </w:pPr>
      <w:r>
        <w:t xml:space="preserve">Warner, M., Warner, M., &amp; Weber, J. (1993). Clinical significance of pulmonary aspiration during the peri-operative period. </w:t>
      </w:r>
      <w:proofErr w:type="spellStart"/>
      <w:r>
        <w:rPr>
          <w:rStyle w:val="TextItalic"/>
        </w:rPr>
        <w:t>Anesthesiology</w:t>
      </w:r>
      <w:proofErr w:type="spellEnd"/>
      <w:r>
        <w:rPr>
          <w:rStyle w:val="TextItalic"/>
        </w:rPr>
        <w:t xml:space="preserve">, 78, </w:t>
      </w:r>
      <w:r>
        <w:t>56–62.</w:t>
      </w:r>
    </w:p>
    <w:p w14:paraId="13E21248" w14:textId="77777777" w:rsidR="009169E8" w:rsidRDefault="009169E8" w:rsidP="008E28A3">
      <w:pPr>
        <w:pStyle w:val="DHHSbody"/>
      </w:pPr>
      <w:r>
        <w:t xml:space="preserve">Weller, J., &amp; Merry, A. (2013). Best practice and patient safety in anaesthesia. </w:t>
      </w:r>
      <w:r>
        <w:rPr>
          <w:rStyle w:val="TextItalic"/>
        </w:rPr>
        <w:t>British Journal of Anaesthesia, 110</w:t>
      </w:r>
      <w:r>
        <w:t>(5), 671–673. doi:10.1093/</w:t>
      </w:r>
      <w:proofErr w:type="spellStart"/>
      <w:r>
        <w:t>bja</w:t>
      </w:r>
      <w:proofErr w:type="spellEnd"/>
      <w:r>
        <w:t>/aet011</w:t>
      </w:r>
    </w:p>
    <w:p w14:paraId="62E3FD71" w14:textId="77777777" w:rsidR="009169E8" w:rsidRDefault="009169E8" w:rsidP="008E28A3">
      <w:pPr>
        <w:pStyle w:val="DHHSbody"/>
      </w:pPr>
      <w:r>
        <w:t xml:space="preserve">Wong, A., &amp; Spillane, A. (2014). Patent blue V dye anaphylaxis: experience of Australian and New Zealand surgeons. </w:t>
      </w:r>
      <w:r>
        <w:rPr>
          <w:rStyle w:val="TextItalic"/>
        </w:rPr>
        <w:t>ANZ Journal of Surgery, 84</w:t>
      </w:r>
      <w:r>
        <w:t>(1–2), 37–41. doi:10.1111/j.1445-2197.</w:t>
      </w:r>
      <w:proofErr w:type="gramStart"/>
      <w:r>
        <w:t>2012.06277.x</w:t>
      </w:r>
      <w:proofErr w:type="gramEnd"/>
    </w:p>
    <w:p w14:paraId="1AF6E3F1" w14:textId="77777777" w:rsidR="009169E8" w:rsidRDefault="009169E8" w:rsidP="000A4644">
      <w:pPr>
        <w:pStyle w:val="Heading2"/>
      </w:pPr>
      <w:r>
        <w:t>USEFUL LINKS</w:t>
      </w:r>
    </w:p>
    <w:p w14:paraId="0C935631" w14:textId="332EF042" w:rsidR="009169E8" w:rsidRDefault="009169E8" w:rsidP="008E28A3">
      <w:pPr>
        <w:pStyle w:val="DHHSbody"/>
      </w:pPr>
      <w:r>
        <w:t xml:space="preserve">ANZCA and ANZAAG </w:t>
      </w:r>
      <w:hyperlink r:id="rId53" w:history="1">
        <w:r w:rsidRPr="00A055F7">
          <w:rPr>
            <w:rStyle w:val="Hyperlink"/>
            <w:i/>
            <w:color w:val="0063A5"/>
            <w:u w:val="single"/>
          </w:rPr>
          <w:t>Anaphylaxis management guidelines</w:t>
        </w:r>
      </w:hyperlink>
      <w:r>
        <w:t xml:space="preserve"> &lt;http://www.anzaag.com/Mgmt%20Resources.aspx&gt;</w:t>
      </w:r>
    </w:p>
    <w:p w14:paraId="0B5E4DC7" w14:textId="715B58DF" w:rsidR="009169E8" w:rsidRDefault="009026D1" w:rsidP="008E28A3">
      <w:pPr>
        <w:pStyle w:val="DHHSbody"/>
      </w:pPr>
      <w:hyperlink r:id="rId54" w:history="1">
        <w:r w:rsidR="009169E8" w:rsidRPr="00A055F7">
          <w:rPr>
            <w:rStyle w:val="Hyperlink"/>
            <w:i/>
            <w:iCs/>
            <w:color w:val="0063A5"/>
            <w:u w:val="single"/>
          </w:rPr>
          <w:t>Health Act 1958</w:t>
        </w:r>
      </w:hyperlink>
      <w:r w:rsidR="009169E8">
        <w:t xml:space="preserve"> &lt;http://www5.austlii.edu.au/au/legis/vic/repealed_act/ha195869/&gt;</w:t>
      </w:r>
    </w:p>
    <w:p w14:paraId="3BDA72B5" w14:textId="141F5A9F" w:rsidR="009169E8" w:rsidRDefault="009026D1" w:rsidP="008E28A3">
      <w:pPr>
        <w:pStyle w:val="DHHSbody"/>
      </w:pPr>
      <w:hyperlink r:id="rId55" w:history="1">
        <w:r w:rsidR="009169E8" w:rsidRPr="00A055F7">
          <w:rPr>
            <w:rStyle w:val="Hyperlink"/>
            <w:color w:val="0063A5"/>
            <w:u w:val="single"/>
          </w:rPr>
          <w:t>Health Services (Private Hospitals and Day Procedure Centres) Amendment Regulations 2018</w:t>
        </w:r>
        <w:r w:rsidR="009169E8" w:rsidRPr="00A055F7">
          <w:rPr>
            <w:rStyle w:val="Hyperlink"/>
          </w:rPr>
          <w:t xml:space="preserve"> </w:t>
        </w:r>
      </w:hyperlink>
      <w:r w:rsidR="009169E8">
        <w:t xml:space="preserve"> &lt;https://www2.health.vic.gov.au/hospitals-and-health-services/private-hospitals/legislation-updates&gt;</w:t>
      </w:r>
    </w:p>
    <w:p w14:paraId="466F520F" w14:textId="5C65BE99" w:rsidR="009169E8" w:rsidRDefault="009026D1" w:rsidP="008E28A3">
      <w:pPr>
        <w:pStyle w:val="DHHSbody"/>
      </w:pPr>
      <w:hyperlink r:id="rId56" w:history="1">
        <w:r w:rsidR="009169E8" w:rsidRPr="00A055F7">
          <w:rPr>
            <w:rStyle w:val="Hyperlink"/>
            <w:color w:val="0063A5"/>
            <w:u w:val="single"/>
          </w:rPr>
          <w:t>Malignant Hyperthermia Australia and New Zealand website</w:t>
        </w:r>
      </w:hyperlink>
      <w:r w:rsidR="009169E8">
        <w:t xml:space="preserve"> &lt;http://malignanthyperthermia.org.au/&gt;</w:t>
      </w:r>
    </w:p>
    <w:p w14:paraId="37ABEE27" w14:textId="7CD31ABE" w:rsidR="009169E8" w:rsidRDefault="009026D1" w:rsidP="008E28A3">
      <w:pPr>
        <w:pStyle w:val="DHHSbody"/>
      </w:pPr>
      <w:hyperlink r:id="rId57" w:history="1">
        <w:r w:rsidR="009169E8" w:rsidRPr="00A055F7">
          <w:rPr>
            <w:rStyle w:val="Hyperlink"/>
            <w:i/>
            <w:iCs/>
            <w:color w:val="0063A5"/>
            <w:u w:val="single"/>
          </w:rPr>
          <w:t>Public Health and Wellbeing Act 2008</w:t>
        </w:r>
      </w:hyperlink>
      <w:r w:rsidR="009169E8">
        <w:t xml:space="preserve"> &lt;http://classic.austlii.edu.au/au/legis/vic/consol_act/phawa2008222/&gt;</w:t>
      </w:r>
    </w:p>
    <w:p w14:paraId="59DC2CCD" w14:textId="32752DCB" w:rsidR="009169E8" w:rsidRDefault="009169E8" w:rsidP="008E28A3">
      <w:pPr>
        <w:pStyle w:val="DHHSbody"/>
      </w:pPr>
      <w:r>
        <w:t xml:space="preserve">Royal College of Anaesthetists (UK) </w:t>
      </w:r>
      <w:hyperlink r:id="rId58" w:history="1">
        <w:r w:rsidRPr="00A055F7">
          <w:rPr>
            <w:rStyle w:val="Hyperlink"/>
            <w:color w:val="0063A5"/>
            <w:u w:val="single"/>
          </w:rPr>
          <w:t>National Audit Projects</w:t>
        </w:r>
      </w:hyperlink>
      <w:r>
        <w:t xml:space="preserve"> &lt;https://www.rcoa.ac.uk/research/national-audit-projects&gt;</w:t>
      </w:r>
    </w:p>
    <w:p w14:paraId="6EAF9E1E" w14:textId="6CEB9F2E" w:rsidR="009169E8" w:rsidRDefault="009026D1" w:rsidP="008E28A3">
      <w:pPr>
        <w:pStyle w:val="DHHSbody"/>
      </w:pPr>
      <w:hyperlink r:id="rId59" w:history="1">
        <w:r w:rsidR="009169E8" w:rsidRPr="00A055F7">
          <w:rPr>
            <w:rStyle w:val="Hyperlink"/>
            <w:color w:val="0063A5"/>
            <w:u w:val="single"/>
          </w:rPr>
          <w:t>The Australian and New Zealand Anaesthetic Allergy Group</w:t>
        </w:r>
      </w:hyperlink>
      <w:r w:rsidR="009169E8">
        <w:t xml:space="preserve"> &lt;http://www.anzaag.com/&gt;</w:t>
      </w:r>
    </w:p>
    <w:p w14:paraId="53137E68" w14:textId="2DE52B6E" w:rsidR="0022070B" w:rsidRPr="00A055F7" w:rsidRDefault="009026D1" w:rsidP="00A055F7">
      <w:pPr>
        <w:pStyle w:val="DHHSbody"/>
      </w:pPr>
      <w:hyperlink r:id="rId60" w:history="1">
        <w:r w:rsidR="009169E8" w:rsidRPr="00A055F7">
          <w:rPr>
            <w:rStyle w:val="Hyperlink"/>
            <w:color w:val="0063A5"/>
            <w:u w:val="single"/>
          </w:rPr>
          <w:t>The Australian and New Zealand College of Anaesthetists professional documents</w:t>
        </w:r>
      </w:hyperlink>
      <w:r w:rsidR="009169E8">
        <w:t xml:space="preserve"> &lt;http://www.anzca.edu.au/resources/professional-documents&gt;</w:t>
      </w:r>
    </w:p>
    <w:sectPr w:rsidR="0022070B" w:rsidRPr="00A055F7" w:rsidSect="000A464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95453" w14:textId="77777777" w:rsidR="00A52D8D" w:rsidRDefault="00A52D8D" w:rsidP="002D711A">
      <w:pPr>
        <w:spacing w:after="0" w:line="240" w:lineRule="auto"/>
      </w:pPr>
      <w:r>
        <w:separator/>
      </w:r>
    </w:p>
  </w:endnote>
  <w:endnote w:type="continuationSeparator" w:id="0">
    <w:p w14:paraId="69D77806" w14:textId="77777777" w:rsidR="00A52D8D" w:rsidRDefault="00A52D8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Minion Pro">
    <w:panose1 w:val="00000000000000000000"/>
    <w:charset w:val="00"/>
    <w:family w:val="roman"/>
    <w:notTrueType/>
    <w:pitch w:val="variable"/>
    <w:sig w:usb0="60000287" w:usb1="00000001" w:usb2="00000000" w:usb3="00000000" w:csb0="0000019F" w:csb1="00000000"/>
  </w:font>
  <w:font w:name="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5F20" w14:textId="77777777" w:rsidR="005E0700" w:rsidRDefault="005E0700" w:rsidP="002A5891">
    <w:pPr>
      <w:pStyle w:val="FooterEven"/>
      <w:framePr w:wrap="around"/>
    </w:pPr>
    <w:r>
      <w:rPr>
        <w:noProof w:val="0"/>
      </w:rPr>
      <w:fldChar w:fldCharType="begin"/>
    </w:r>
    <w:r>
      <w:instrText xml:space="preserve"> PAGE   \* MERGEFORMAT </w:instrText>
    </w:r>
    <w:r>
      <w:rPr>
        <w:noProof w:val="0"/>
      </w:rPr>
      <w:fldChar w:fldCharType="separate"/>
    </w:r>
    <w:r>
      <w:t>24</w:t>
    </w:r>
    <w:r>
      <w:fldChar w:fldCharType="end"/>
    </w:r>
    <w:r>
      <w:t> </w:t>
    </w:r>
    <w:r>
      <w:t> </w:t>
    </w:r>
    <w:r w:rsidRPr="00724F74">
      <w:rPr>
        <w:b/>
      </w:rPr>
      <w:t>Safer Care Victoria</w:t>
    </w:r>
    <w:r>
      <w:t> </w:t>
    </w:r>
    <w:r>
      <w:t> </w:t>
    </w:r>
    <w:sdt>
      <w:sdtPr>
        <w:alias w:val="Title"/>
        <w:tag w:val=""/>
        <w:id w:val="1898312695"/>
        <w:dataBinding w:prefixMappings="xmlns:ns0='http://purl.org/dc/elements/1.1/' xmlns:ns1='http://schemas.openxmlformats.org/package/2006/metadata/core-properties' " w:xpath="/ns1:coreProperties[1]/ns0:title[1]" w:storeItemID="{6C3C8BC8-F283-45AE-878A-BAB7291924A1}"/>
        <w:text/>
      </w:sdtPr>
      <w:sdtEndPr/>
      <w:sdtContent>
        <w:r>
          <w:t>Victorian Consultative Council on Anaesthetic Mortality and Morbidity</w:t>
        </w:r>
      </w:sdtContent>
    </w:sdt>
    <w:r>
      <w:t xml:space="preserve"> </w:t>
    </w:r>
    <w:r>
      <w:drawing>
        <wp:anchor distT="0" distB="0" distL="114300" distR="114300" simplePos="0" relativeHeight="251667456" behindDoc="0" locked="0" layoutInCell="1" allowOverlap="1" wp14:anchorId="750657B4" wp14:editId="0F5F90A0">
          <wp:simplePos x="0" y="0"/>
          <wp:positionH relativeFrom="column">
            <wp:posOffset>4256126</wp:posOffset>
          </wp:positionH>
          <wp:positionV relativeFrom="page">
            <wp:posOffset>9493250</wp:posOffset>
          </wp:positionV>
          <wp:extent cx="1956435" cy="582930"/>
          <wp:effectExtent l="0" t="0" r="5715" b="7620"/>
          <wp:wrapNone/>
          <wp:docPr id="2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4F6A222B" w14:textId="77777777" w:rsidR="005E0700" w:rsidRPr="002A5891" w:rsidRDefault="005E0700" w:rsidP="002A58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C6E7D" w14:textId="77777777" w:rsidR="005E0700" w:rsidRDefault="009026D1" w:rsidP="002A5891">
    <w:pPr>
      <w:pStyle w:val="FooterOdd"/>
      <w:framePr w:wrap="around"/>
    </w:pPr>
    <w:sdt>
      <w:sdtPr>
        <w:alias w:val="Title"/>
        <w:tag w:val=""/>
        <w:id w:val="-1938514004"/>
        <w:dataBinding w:prefixMappings="xmlns:ns0='http://purl.org/dc/elements/1.1/' xmlns:ns1='http://schemas.openxmlformats.org/package/2006/metadata/core-properties' " w:xpath="/ns1:coreProperties[1]/ns0:title[1]" w:storeItemID="{6C3C8BC8-F283-45AE-878A-BAB7291924A1}"/>
        <w:text/>
      </w:sdtPr>
      <w:sdtEndPr/>
      <w:sdtContent>
        <w:r w:rsidR="005E0700">
          <w:t>Victorian Consultative Council on Anaesthetic Mortality and Morbidity</w:t>
        </w:r>
      </w:sdtContent>
    </w:sdt>
    <w:r w:rsidR="005E0700">
      <w:t> </w:t>
    </w:r>
    <w:r w:rsidR="005E0700">
      <w:t> </w:t>
    </w:r>
    <w:r w:rsidR="005E0700" w:rsidRPr="0097403D">
      <w:rPr>
        <w:b/>
      </w:rPr>
      <w:t>Safer Care Victoria</w:t>
    </w:r>
    <w:r w:rsidR="005E0700">
      <w:t> </w:t>
    </w:r>
    <w:r w:rsidR="005E0700">
      <w:t> </w:t>
    </w:r>
    <w:r w:rsidR="005E0700">
      <w:rPr>
        <w:noProof w:val="0"/>
      </w:rPr>
      <w:fldChar w:fldCharType="begin"/>
    </w:r>
    <w:r w:rsidR="005E0700">
      <w:instrText xml:space="preserve"> PAGE   \* MERGEFORMAT </w:instrText>
    </w:r>
    <w:r w:rsidR="005E0700">
      <w:rPr>
        <w:noProof w:val="0"/>
      </w:rPr>
      <w:fldChar w:fldCharType="separate"/>
    </w:r>
    <w:r w:rsidR="005E0700">
      <w:t>23</w:t>
    </w:r>
    <w:r w:rsidR="005E0700">
      <w:fldChar w:fldCharType="end"/>
    </w:r>
  </w:p>
  <w:p w14:paraId="2BE7ACE5" w14:textId="77777777" w:rsidR="005E0700" w:rsidRPr="002A5891" w:rsidRDefault="005E0700" w:rsidP="002A58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DFA3" w14:textId="77777777" w:rsidR="00563287" w:rsidRDefault="005632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98E56" w14:textId="77777777" w:rsidR="005E0700" w:rsidRDefault="005E0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42647" w14:textId="77777777" w:rsidR="00A52D8D" w:rsidRDefault="00A52D8D" w:rsidP="00E33E08">
      <w:pPr>
        <w:spacing w:before="0" w:after="0" w:line="240" w:lineRule="auto"/>
      </w:pPr>
    </w:p>
  </w:footnote>
  <w:footnote w:type="continuationSeparator" w:id="0">
    <w:p w14:paraId="670422A5" w14:textId="77777777" w:rsidR="00A52D8D" w:rsidRDefault="00A52D8D" w:rsidP="00E33E08">
      <w:pPr>
        <w:spacing w:before="0" w:after="0" w:line="240" w:lineRule="auto"/>
      </w:pPr>
    </w:p>
  </w:footnote>
  <w:footnote w:id="1">
    <w:p w14:paraId="76C19AC2" w14:textId="77777777" w:rsidR="005E0700" w:rsidRDefault="005E0700" w:rsidP="008E28A3">
      <w:pPr>
        <w:pStyle w:val="FootnoteText"/>
        <w:ind w:left="227" w:hanging="227"/>
      </w:pPr>
      <w:r>
        <w:rPr>
          <w:vertAlign w:val="superscript"/>
        </w:rPr>
        <w:footnoteRef/>
      </w:r>
      <w:r>
        <w:tab/>
        <w:t>This information is derived from the Department of Health and Human Services’ Victorian Admitted Episodes Dataset (VAED). This dataset records a standard set of variables for inpatient and day-only admissions from all public and private hospitals, including  demographic characteristics, diagnoses, procedures and patient status at discharge.</w:t>
      </w:r>
    </w:p>
    <w:p w14:paraId="7C5AEA87" w14:textId="77777777" w:rsidR="005E0700" w:rsidRDefault="005E0700" w:rsidP="009169E8">
      <w:pPr>
        <w:pStyle w:val="Footnote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7C961" w14:textId="3C56F394" w:rsidR="005E0700" w:rsidRDefault="005E0700">
    <w:pPr>
      <w:pStyle w:val="Header"/>
    </w:pPr>
    <w:r>
      <w:rPr>
        <w:noProof/>
      </w:rPr>
      <w:drawing>
        <wp:anchor distT="0" distB="0" distL="114300" distR="114300" simplePos="0" relativeHeight="251657213" behindDoc="1" locked="0" layoutInCell="1" allowOverlap="1" wp14:anchorId="517455CC" wp14:editId="770C4561">
          <wp:simplePos x="0" y="0"/>
          <wp:positionH relativeFrom="column">
            <wp:posOffset>-914400</wp:posOffset>
          </wp:positionH>
          <wp:positionV relativeFrom="page">
            <wp:posOffset>0</wp:posOffset>
          </wp:positionV>
          <wp:extent cx="7562088" cy="10698480"/>
          <wp:effectExtent l="0" t="0" r="1270" b="7620"/>
          <wp:wrapNone/>
          <wp:docPr id="2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19C0B" w14:textId="6ECB4BE8" w:rsidR="005E0700" w:rsidRDefault="005E0700">
    <w:pPr>
      <w:pStyle w:val="Header"/>
    </w:pPr>
    <w:r>
      <w:rPr>
        <w:noProof/>
      </w:rPr>
      <w:drawing>
        <wp:anchor distT="0" distB="0" distL="114300" distR="114300" simplePos="0" relativeHeight="251673600" behindDoc="1" locked="0" layoutInCell="1" allowOverlap="1" wp14:anchorId="09D197CA" wp14:editId="48B8CFBD">
          <wp:simplePos x="0" y="0"/>
          <wp:positionH relativeFrom="column">
            <wp:posOffset>-914400</wp:posOffset>
          </wp:positionH>
          <wp:positionV relativeFrom="page">
            <wp:posOffset>0</wp:posOffset>
          </wp:positionV>
          <wp:extent cx="7562088" cy="10698480"/>
          <wp:effectExtent l="0" t="0" r="1270" b="7620"/>
          <wp:wrapNone/>
          <wp:docPr id="26"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DB08" w14:textId="41357F06" w:rsidR="005E0700" w:rsidRDefault="005E0700" w:rsidP="0086277A">
    <w:pPr>
      <w:pStyle w:val="NoSpacing"/>
    </w:pPr>
    <w:r>
      <w:rPr>
        <w:noProof/>
      </w:rPr>
      <w:drawing>
        <wp:anchor distT="0" distB="0" distL="114300" distR="114300" simplePos="0" relativeHeight="251676672" behindDoc="0" locked="0" layoutInCell="1" allowOverlap="1" wp14:anchorId="796E43C0" wp14:editId="36332C5E">
          <wp:simplePos x="0" y="0"/>
          <wp:positionH relativeFrom="margin">
            <wp:posOffset>-200025</wp:posOffset>
          </wp:positionH>
          <wp:positionV relativeFrom="paragraph">
            <wp:posOffset>-38735</wp:posOffset>
          </wp:positionV>
          <wp:extent cx="2628900" cy="1625680"/>
          <wp:effectExtent l="0" t="0" r="0" b="0"/>
          <wp:wrapNone/>
          <wp:docPr id="29" name="Picture 29" descr="Victorian Consultative Council on Anaesthetic Mortality and Morbid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1625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88" behindDoc="1" locked="0" layoutInCell="1" allowOverlap="1" wp14:anchorId="2BA3329C" wp14:editId="282F8E05">
          <wp:simplePos x="0" y="0"/>
          <wp:positionH relativeFrom="page">
            <wp:posOffset>306070</wp:posOffset>
          </wp:positionH>
          <wp:positionV relativeFrom="page">
            <wp:posOffset>306070</wp:posOffset>
          </wp:positionV>
          <wp:extent cx="6966000" cy="10116000"/>
          <wp:effectExtent l="0" t="0" r="6350" b="0"/>
          <wp:wrapNone/>
          <wp:docPr id="28" name="Blue Solid Fill" descr="Cover 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1overla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66000" cy="10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4740" w14:textId="173BCFA9" w:rsidR="005E0700" w:rsidRDefault="005E07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2E8B6" w14:textId="6C9A5511" w:rsidR="005E0700" w:rsidRDefault="005E07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5D6E" w14:textId="082BE6A4" w:rsidR="005E0700" w:rsidRDefault="005E0700"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7E5"/>
    <w:multiLevelType w:val="hybridMultilevel"/>
    <w:tmpl w:val="68DEA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8E66D9"/>
    <w:multiLevelType w:val="hybridMultilevel"/>
    <w:tmpl w:val="AF721D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80408A"/>
    <w:multiLevelType w:val="hybridMultilevel"/>
    <w:tmpl w:val="3A089E3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57513E8"/>
    <w:multiLevelType w:val="hybridMultilevel"/>
    <w:tmpl w:val="9FF4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775BF1"/>
    <w:multiLevelType w:val="hybridMultilevel"/>
    <w:tmpl w:val="9252BC98"/>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540" w:hanging="360"/>
      </w:pPr>
      <w:rPr>
        <w:rFonts w:ascii="Courier New" w:hAnsi="Courier New" w:cs="Courier New" w:hint="default"/>
      </w:rPr>
    </w:lvl>
    <w:lvl w:ilvl="2" w:tplc="0C090005" w:tentative="1">
      <w:start w:val="1"/>
      <w:numFmt w:val="bullet"/>
      <w:lvlText w:val=""/>
      <w:lvlJc w:val="left"/>
      <w:pPr>
        <w:ind w:left="4260" w:hanging="360"/>
      </w:pPr>
      <w:rPr>
        <w:rFonts w:ascii="Wingdings" w:hAnsi="Wingdings" w:hint="default"/>
      </w:rPr>
    </w:lvl>
    <w:lvl w:ilvl="3" w:tplc="0C090001" w:tentative="1">
      <w:start w:val="1"/>
      <w:numFmt w:val="bullet"/>
      <w:lvlText w:val=""/>
      <w:lvlJc w:val="left"/>
      <w:pPr>
        <w:ind w:left="4980" w:hanging="360"/>
      </w:pPr>
      <w:rPr>
        <w:rFonts w:ascii="Symbol" w:hAnsi="Symbol" w:hint="default"/>
      </w:rPr>
    </w:lvl>
    <w:lvl w:ilvl="4" w:tplc="0C090003" w:tentative="1">
      <w:start w:val="1"/>
      <w:numFmt w:val="bullet"/>
      <w:lvlText w:val="o"/>
      <w:lvlJc w:val="left"/>
      <w:pPr>
        <w:ind w:left="5700" w:hanging="360"/>
      </w:pPr>
      <w:rPr>
        <w:rFonts w:ascii="Courier New" w:hAnsi="Courier New" w:cs="Courier New" w:hint="default"/>
      </w:rPr>
    </w:lvl>
    <w:lvl w:ilvl="5" w:tplc="0C090005" w:tentative="1">
      <w:start w:val="1"/>
      <w:numFmt w:val="bullet"/>
      <w:lvlText w:val=""/>
      <w:lvlJc w:val="left"/>
      <w:pPr>
        <w:ind w:left="6420" w:hanging="360"/>
      </w:pPr>
      <w:rPr>
        <w:rFonts w:ascii="Wingdings" w:hAnsi="Wingdings" w:hint="default"/>
      </w:rPr>
    </w:lvl>
    <w:lvl w:ilvl="6" w:tplc="0C090001" w:tentative="1">
      <w:start w:val="1"/>
      <w:numFmt w:val="bullet"/>
      <w:lvlText w:val=""/>
      <w:lvlJc w:val="left"/>
      <w:pPr>
        <w:ind w:left="7140" w:hanging="360"/>
      </w:pPr>
      <w:rPr>
        <w:rFonts w:ascii="Symbol" w:hAnsi="Symbol" w:hint="default"/>
      </w:rPr>
    </w:lvl>
    <w:lvl w:ilvl="7" w:tplc="0C090003" w:tentative="1">
      <w:start w:val="1"/>
      <w:numFmt w:val="bullet"/>
      <w:lvlText w:val="o"/>
      <w:lvlJc w:val="left"/>
      <w:pPr>
        <w:ind w:left="7860" w:hanging="360"/>
      </w:pPr>
      <w:rPr>
        <w:rFonts w:ascii="Courier New" w:hAnsi="Courier New" w:cs="Courier New" w:hint="default"/>
      </w:rPr>
    </w:lvl>
    <w:lvl w:ilvl="8" w:tplc="0C090005" w:tentative="1">
      <w:start w:val="1"/>
      <w:numFmt w:val="bullet"/>
      <w:lvlText w:val=""/>
      <w:lvlJc w:val="left"/>
      <w:pPr>
        <w:ind w:left="8580" w:hanging="360"/>
      </w:pPr>
      <w:rPr>
        <w:rFonts w:ascii="Wingdings" w:hAnsi="Wingdings" w:hint="default"/>
      </w:rPr>
    </w:lvl>
  </w:abstractNum>
  <w:abstractNum w:abstractNumId="5" w15:restartNumberingAfterBreak="0">
    <w:nsid w:val="062622CA"/>
    <w:multiLevelType w:val="hybridMultilevel"/>
    <w:tmpl w:val="19BA51C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AC2C97"/>
    <w:multiLevelType w:val="hybridMultilevel"/>
    <w:tmpl w:val="FA1CAE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B2F44C2"/>
    <w:multiLevelType w:val="hybridMultilevel"/>
    <w:tmpl w:val="F27AB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CB15F9"/>
    <w:multiLevelType w:val="hybridMultilevel"/>
    <w:tmpl w:val="24FE9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D1802E6"/>
    <w:multiLevelType w:val="multilevel"/>
    <w:tmpl w:val="AA4E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701AA8"/>
    <w:multiLevelType w:val="hybridMultilevel"/>
    <w:tmpl w:val="AF3E87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A43F1A"/>
    <w:multiLevelType w:val="hybridMultilevel"/>
    <w:tmpl w:val="ED28A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023284"/>
    <w:multiLevelType w:val="hybridMultilevel"/>
    <w:tmpl w:val="6F741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F80FA5"/>
    <w:multiLevelType w:val="hybridMultilevel"/>
    <w:tmpl w:val="1F24F9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463B0C"/>
    <w:multiLevelType w:val="hybridMultilevel"/>
    <w:tmpl w:val="10A8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6E0830"/>
    <w:multiLevelType w:val="hybridMultilevel"/>
    <w:tmpl w:val="A186308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18354DC5"/>
    <w:multiLevelType w:val="hybridMultilevel"/>
    <w:tmpl w:val="16DC5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874438A"/>
    <w:multiLevelType w:val="hybridMultilevel"/>
    <w:tmpl w:val="2786AAB6"/>
    <w:lvl w:ilvl="0" w:tplc="3F4C99C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DAA38DA"/>
    <w:multiLevelType w:val="hybridMultilevel"/>
    <w:tmpl w:val="78DCF61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BD052B"/>
    <w:multiLevelType w:val="hybridMultilevel"/>
    <w:tmpl w:val="058E77B6"/>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1FA830C4"/>
    <w:multiLevelType w:val="hybridMultilevel"/>
    <w:tmpl w:val="28742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070FC0"/>
    <w:multiLevelType w:val="hybridMultilevel"/>
    <w:tmpl w:val="E64A54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226705F6"/>
    <w:multiLevelType w:val="hybridMultilevel"/>
    <w:tmpl w:val="D1F687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272F6630"/>
    <w:multiLevelType w:val="hybridMultilevel"/>
    <w:tmpl w:val="C07C0444"/>
    <w:lvl w:ilvl="0" w:tplc="404C09D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AB51933"/>
    <w:multiLevelType w:val="hybridMultilevel"/>
    <w:tmpl w:val="04AEF0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C9D3EBD"/>
    <w:multiLevelType w:val="hybridMultilevel"/>
    <w:tmpl w:val="1EBC8D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7" w15:restartNumberingAfterBreak="0">
    <w:nsid w:val="2D821DEA"/>
    <w:multiLevelType w:val="hybridMultilevel"/>
    <w:tmpl w:val="A24CD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F84DAD"/>
    <w:multiLevelType w:val="hybridMultilevel"/>
    <w:tmpl w:val="4D82E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00A36FA"/>
    <w:multiLevelType w:val="hybridMultilevel"/>
    <w:tmpl w:val="861ED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07C4CEF"/>
    <w:multiLevelType w:val="hybridMultilevel"/>
    <w:tmpl w:val="13F87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09F772D"/>
    <w:multiLevelType w:val="hybridMultilevel"/>
    <w:tmpl w:val="0B0E5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22C0531"/>
    <w:multiLevelType w:val="hybridMultilevel"/>
    <w:tmpl w:val="D73219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33BA211A"/>
    <w:multiLevelType w:val="hybridMultilevel"/>
    <w:tmpl w:val="16BC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BB6C76"/>
    <w:multiLevelType w:val="hybridMultilevel"/>
    <w:tmpl w:val="4F528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7F023E8"/>
    <w:multiLevelType w:val="hybridMultilevel"/>
    <w:tmpl w:val="858495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38426ACF"/>
    <w:multiLevelType w:val="hybridMultilevel"/>
    <w:tmpl w:val="A112B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93615B0"/>
    <w:multiLevelType w:val="multilevel"/>
    <w:tmpl w:val="F27293EC"/>
    <w:name w:val="List num2"/>
    <w:lvl w:ilvl="0">
      <w:start w:val="1"/>
      <w:numFmt w:val="decimal"/>
      <w:pStyle w:val="Heading1numbered"/>
      <w:suff w:val="space"/>
      <w:lvlText w:val="Section %1.0"/>
      <w:lvlJc w:val="left"/>
      <w:pPr>
        <w:ind w:left="2160" w:firstLine="0"/>
      </w:pPr>
      <w:rPr>
        <w:rFonts w:hint="default"/>
      </w:rPr>
    </w:lvl>
    <w:lvl w:ilvl="1">
      <w:start w:val="1"/>
      <w:numFmt w:val="decimal"/>
      <w:pStyle w:val="Heading2numbered"/>
      <w:suff w:val="space"/>
      <w:lvlText w:val="%1.%2"/>
      <w:lvlJc w:val="left"/>
      <w:pPr>
        <w:ind w:left="458" w:firstLine="0"/>
      </w:pPr>
      <w:rPr>
        <w:rFonts w:hint="default"/>
      </w:rPr>
    </w:lvl>
    <w:lvl w:ilvl="2">
      <w:start w:val="1"/>
      <w:numFmt w:val="decimal"/>
      <w:pStyle w:val="Heading3numbered"/>
      <w:suff w:val="space"/>
      <w:lvlText w:val="%1.%2.%3"/>
      <w:lvlJc w:val="left"/>
      <w:pPr>
        <w:ind w:left="458" w:firstLine="0"/>
      </w:pPr>
      <w:rPr>
        <w:rFonts w:hint="default"/>
      </w:rPr>
    </w:lvl>
    <w:lvl w:ilvl="3">
      <w:start w:val="1"/>
      <w:numFmt w:val="decimal"/>
      <w:pStyle w:val="Heading4numbered"/>
      <w:suff w:val="space"/>
      <w:lvlText w:val="%1.%2.%3.%4"/>
      <w:lvlJc w:val="left"/>
      <w:pPr>
        <w:ind w:left="458" w:firstLine="0"/>
      </w:pPr>
      <w:rPr>
        <w:rFonts w:hint="default"/>
      </w:rPr>
    </w:lvl>
    <w:lvl w:ilvl="4">
      <w:start w:val="1"/>
      <w:numFmt w:val="none"/>
      <w:lvlText w:val=""/>
      <w:lvlJc w:val="left"/>
      <w:pPr>
        <w:ind w:left="458" w:firstLine="0"/>
      </w:pPr>
      <w:rPr>
        <w:rFonts w:hint="default"/>
      </w:rPr>
    </w:lvl>
    <w:lvl w:ilvl="5">
      <w:start w:val="1"/>
      <w:numFmt w:val="none"/>
      <w:lvlText w:val=""/>
      <w:lvlJc w:val="right"/>
      <w:pPr>
        <w:ind w:left="458" w:firstLine="0"/>
      </w:pPr>
      <w:rPr>
        <w:rFonts w:hint="default"/>
      </w:rPr>
    </w:lvl>
    <w:lvl w:ilvl="6">
      <w:start w:val="1"/>
      <w:numFmt w:val="none"/>
      <w:lvlText w:val=""/>
      <w:lvlJc w:val="left"/>
      <w:pPr>
        <w:ind w:left="458" w:firstLine="0"/>
      </w:pPr>
      <w:rPr>
        <w:rFonts w:hint="default"/>
      </w:rPr>
    </w:lvl>
    <w:lvl w:ilvl="7">
      <w:start w:val="1"/>
      <w:numFmt w:val="none"/>
      <w:lvlText w:val=""/>
      <w:lvlJc w:val="left"/>
      <w:pPr>
        <w:ind w:left="458" w:firstLine="0"/>
      </w:pPr>
      <w:rPr>
        <w:rFonts w:hint="default"/>
      </w:rPr>
    </w:lvl>
    <w:lvl w:ilvl="8">
      <w:start w:val="1"/>
      <w:numFmt w:val="none"/>
      <w:lvlText w:val=""/>
      <w:lvlJc w:val="right"/>
      <w:pPr>
        <w:ind w:left="458" w:firstLine="0"/>
      </w:pPr>
      <w:rPr>
        <w:rFonts w:hint="default"/>
      </w:rPr>
    </w:lvl>
  </w:abstractNum>
  <w:abstractNum w:abstractNumId="38" w15:restartNumberingAfterBreak="0">
    <w:nsid w:val="393A12AA"/>
    <w:multiLevelType w:val="multilevel"/>
    <w:tmpl w:val="1DE6843E"/>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9" w15:restartNumberingAfterBreak="0">
    <w:nsid w:val="399C5A42"/>
    <w:multiLevelType w:val="hybridMultilevel"/>
    <w:tmpl w:val="99E67E36"/>
    <w:lvl w:ilvl="0" w:tplc="08BA156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9A8267F"/>
    <w:multiLevelType w:val="hybridMultilevel"/>
    <w:tmpl w:val="0A0CD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A230F3D"/>
    <w:multiLevelType w:val="hybridMultilevel"/>
    <w:tmpl w:val="C7BE52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BC35FF3"/>
    <w:multiLevelType w:val="hybridMultilevel"/>
    <w:tmpl w:val="F5EE6C80"/>
    <w:lvl w:ilvl="0" w:tplc="5770D48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3C751AA5"/>
    <w:multiLevelType w:val="hybridMultilevel"/>
    <w:tmpl w:val="C18239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2241FAB"/>
    <w:multiLevelType w:val="hybridMultilevel"/>
    <w:tmpl w:val="16669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24B7EFE"/>
    <w:multiLevelType w:val="hybridMultilevel"/>
    <w:tmpl w:val="51B4D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657FD5"/>
    <w:multiLevelType w:val="hybridMultilevel"/>
    <w:tmpl w:val="8E18A46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45CB4DC6"/>
    <w:multiLevelType w:val="hybridMultilevel"/>
    <w:tmpl w:val="0ADCFB9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48" w15:restartNumberingAfterBreak="0">
    <w:nsid w:val="47890E85"/>
    <w:multiLevelType w:val="hybridMultilevel"/>
    <w:tmpl w:val="4B044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8024982"/>
    <w:multiLevelType w:val="hybridMultilevel"/>
    <w:tmpl w:val="FBA44C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88D17A4"/>
    <w:multiLevelType w:val="hybridMultilevel"/>
    <w:tmpl w:val="8FA8BC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9B84E72"/>
    <w:multiLevelType w:val="hybridMultilevel"/>
    <w:tmpl w:val="4BE64CA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AFE37C8"/>
    <w:multiLevelType w:val="hybridMultilevel"/>
    <w:tmpl w:val="87DCAC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39964EE"/>
    <w:multiLevelType w:val="hybridMultilevel"/>
    <w:tmpl w:val="8C1A5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5515977"/>
    <w:multiLevelType w:val="hybridMultilevel"/>
    <w:tmpl w:val="036A38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9B36E1B"/>
    <w:multiLevelType w:val="hybridMultilevel"/>
    <w:tmpl w:val="B74ED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AF23BEF"/>
    <w:multiLevelType w:val="hybridMultilevel"/>
    <w:tmpl w:val="F15E5408"/>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57" w15:restartNumberingAfterBreak="0">
    <w:nsid w:val="5B5F0945"/>
    <w:multiLevelType w:val="hybridMultilevel"/>
    <w:tmpl w:val="8E200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C660A3A"/>
    <w:multiLevelType w:val="hybridMultilevel"/>
    <w:tmpl w:val="0CD47E66"/>
    <w:lvl w:ilvl="0" w:tplc="3482C2C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5F13162C"/>
    <w:multiLevelType w:val="hybridMultilevel"/>
    <w:tmpl w:val="D7B24CD6"/>
    <w:lvl w:ilvl="0" w:tplc="0C090001">
      <w:start w:val="1"/>
      <w:numFmt w:val="bullet"/>
      <w:lvlText w:val=""/>
      <w:lvlJc w:val="left"/>
      <w:pPr>
        <w:ind w:left="768" w:hanging="360"/>
      </w:pPr>
      <w:rPr>
        <w:rFonts w:ascii="Symbol" w:hAnsi="Symbol" w:hint="default"/>
      </w:rPr>
    </w:lvl>
    <w:lvl w:ilvl="1" w:tplc="0C090003">
      <w:start w:val="1"/>
      <w:numFmt w:val="bullet"/>
      <w:lvlText w:val="o"/>
      <w:lvlJc w:val="left"/>
      <w:pPr>
        <w:ind w:left="1488" w:hanging="360"/>
      </w:pPr>
      <w:rPr>
        <w:rFonts w:ascii="Courier New" w:hAnsi="Courier New" w:cs="Courier New" w:hint="default"/>
      </w:rPr>
    </w:lvl>
    <w:lvl w:ilvl="2" w:tplc="0C090005">
      <w:start w:val="1"/>
      <w:numFmt w:val="bullet"/>
      <w:lvlText w:val=""/>
      <w:lvlJc w:val="left"/>
      <w:pPr>
        <w:ind w:left="2208" w:hanging="360"/>
      </w:pPr>
      <w:rPr>
        <w:rFonts w:ascii="Wingdings" w:hAnsi="Wingdings" w:hint="default"/>
      </w:rPr>
    </w:lvl>
    <w:lvl w:ilvl="3" w:tplc="0C090001">
      <w:start w:val="1"/>
      <w:numFmt w:val="bullet"/>
      <w:lvlText w:val=""/>
      <w:lvlJc w:val="left"/>
      <w:pPr>
        <w:ind w:left="2928" w:hanging="360"/>
      </w:pPr>
      <w:rPr>
        <w:rFonts w:ascii="Symbol" w:hAnsi="Symbol" w:hint="default"/>
      </w:rPr>
    </w:lvl>
    <w:lvl w:ilvl="4" w:tplc="0C090003">
      <w:start w:val="1"/>
      <w:numFmt w:val="bullet"/>
      <w:lvlText w:val="o"/>
      <w:lvlJc w:val="left"/>
      <w:pPr>
        <w:ind w:left="3648" w:hanging="360"/>
      </w:pPr>
      <w:rPr>
        <w:rFonts w:ascii="Courier New" w:hAnsi="Courier New" w:cs="Courier New" w:hint="default"/>
      </w:rPr>
    </w:lvl>
    <w:lvl w:ilvl="5" w:tplc="0C090005">
      <w:start w:val="1"/>
      <w:numFmt w:val="bullet"/>
      <w:lvlText w:val=""/>
      <w:lvlJc w:val="left"/>
      <w:pPr>
        <w:ind w:left="4368" w:hanging="360"/>
      </w:pPr>
      <w:rPr>
        <w:rFonts w:ascii="Wingdings" w:hAnsi="Wingdings" w:hint="default"/>
      </w:rPr>
    </w:lvl>
    <w:lvl w:ilvl="6" w:tplc="0C090001">
      <w:start w:val="1"/>
      <w:numFmt w:val="bullet"/>
      <w:lvlText w:val=""/>
      <w:lvlJc w:val="left"/>
      <w:pPr>
        <w:ind w:left="5088" w:hanging="360"/>
      </w:pPr>
      <w:rPr>
        <w:rFonts w:ascii="Symbol" w:hAnsi="Symbol" w:hint="default"/>
      </w:rPr>
    </w:lvl>
    <w:lvl w:ilvl="7" w:tplc="0C090003">
      <w:start w:val="1"/>
      <w:numFmt w:val="bullet"/>
      <w:lvlText w:val="o"/>
      <w:lvlJc w:val="left"/>
      <w:pPr>
        <w:ind w:left="5808" w:hanging="360"/>
      </w:pPr>
      <w:rPr>
        <w:rFonts w:ascii="Courier New" w:hAnsi="Courier New" w:cs="Courier New" w:hint="default"/>
      </w:rPr>
    </w:lvl>
    <w:lvl w:ilvl="8" w:tplc="0C090005">
      <w:start w:val="1"/>
      <w:numFmt w:val="bullet"/>
      <w:lvlText w:val=""/>
      <w:lvlJc w:val="left"/>
      <w:pPr>
        <w:ind w:left="6528" w:hanging="360"/>
      </w:pPr>
      <w:rPr>
        <w:rFonts w:ascii="Wingdings" w:hAnsi="Wingdings" w:hint="default"/>
      </w:rPr>
    </w:lvl>
  </w:abstractNum>
  <w:abstractNum w:abstractNumId="60" w15:restartNumberingAfterBreak="0">
    <w:nsid w:val="64526C3A"/>
    <w:multiLevelType w:val="hybridMultilevel"/>
    <w:tmpl w:val="559EF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D7504F"/>
    <w:multiLevelType w:val="hybridMultilevel"/>
    <w:tmpl w:val="64EAC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5095F8E"/>
    <w:multiLevelType w:val="hybridMultilevel"/>
    <w:tmpl w:val="43EC2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51F1102"/>
    <w:multiLevelType w:val="hybridMultilevel"/>
    <w:tmpl w:val="59045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66F6EC4"/>
    <w:multiLevelType w:val="hybridMultilevel"/>
    <w:tmpl w:val="5B3EB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8374660"/>
    <w:multiLevelType w:val="hybridMultilevel"/>
    <w:tmpl w:val="74AC8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8CD5903"/>
    <w:multiLevelType w:val="hybridMultilevel"/>
    <w:tmpl w:val="0116FC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9077E4D"/>
    <w:multiLevelType w:val="hybridMultilevel"/>
    <w:tmpl w:val="0C74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A7E2EB7"/>
    <w:multiLevelType w:val="hybridMultilevel"/>
    <w:tmpl w:val="DACED3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ACE202B"/>
    <w:multiLevelType w:val="hybridMultilevel"/>
    <w:tmpl w:val="D23E35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6BF2706A"/>
    <w:multiLevelType w:val="hybridMultilevel"/>
    <w:tmpl w:val="BDDA0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70856794"/>
    <w:multiLevelType w:val="hybridMultilevel"/>
    <w:tmpl w:val="DA580B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2" w15:restartNumberingAfterBreak="0">
    <w:nsid w:val="70EE1C8B"/>
    <w:multiLevelType w:val="hybridMultilevel"/>
    <w:tmpl w:val="E5B050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11877CF"/>
    <w:multiLevelType w:val="multilevel"/>
    <w:tmpl w:val="4140A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1D3E70"/>
    <w:multiLevelType w:val="hybridMultilevel"/>
    <w:tmpl w:val="431A9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76E740FC"/>
    <w:multiLevelType w:val="hybridMultilevel"/>
    <w:tmpl w:val="5E8E01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78896BF0"/>
    <w:multiLevelType w:val="hybridMultilevel"/>
    <w:tmpl w:val="E6E8F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8" w15:restartNumberingAfterBreak="0">
    <w:nsid w:val="7C9B11F6"/>
    <w:multiLevelType w:val="hybridMultilevel"/>
    <w:tmpl w:val="96BAFCC6"/>
    <w:lvl w:ilvl="0" w:tplc="D66A611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7D09150F"/>
    <w:multiLevelType w:val="hybridMultilevel"/>
    <w:tmpl w:val="42C6FD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7DC308BC"/>
    <w:multiLevelType w:val="hybridMultilevel"/>
    <w:tmpl w:val="D960E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F0E0015"/>
    <w:multiLevelType w:val="hybridMultilevel"/>
    <w:tmpl w:val="351A9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82"/>
  </w:num>
  <w:num w:numId="2">
    <w:abstractNumId w:val="23"/>
  </w:num>
  <w:num w:numId="3">
    <w:abstractNumId w:val="77"/>
  </w:num>
  <w:num w:numId="4">
    <w:abstractNumId w:val="38"/>
  </w:num>
  <w:num w:numId="5">
    <w:abstractNumId w:val="37"/>
  </w:num>
  <w:num w:numId="6">
    <w:abstractNumId w:val="41"/>
  </w:num>
  <w:num w:numId="7">
    <w:abstractNumId w:val="73"/>
  </w:num>
  <w:num w:numId="8">
    <w:abstractNumId w:val="9"/>
  </w:num>
  <w:num w:numId="9">
    <w:abstractNumId w:val="68"/>
  </w:num>
  <w:num w:numId="10">
    <w:abstractNumId w:val="50"/>
  </w:num>
  <w:num w:numId="11">
    <w:abstractNumId w:val="57"/>
  </w:num>
  <w:num w:numId="12">
    <w:abstractNumId w:val="71"/>
  </w:num>
  <w:num w:numId="13">
    <w:abstractNumId w:val="29"/>
  </w:num>
  <w:num w:numId="14">
    <w:abstractNumId w:val="40"/>
  </w:num>
  <w:num w:numId="15">
    <w:abstractNumId w:val="63"/>
  </w:num>
  <w:num w:numId="16">
    <w:abstractNumId w:val="74"/>
  </w:num>
  <w:num w:numId="17">
    <w:abstractNumId w:val="72"/>
  </w:num>
  <w:num w:numId="18">
    <w:abstractNumId w:val="64"/>
  </w:num>
  <w:num w:numId="19">
    <w:abstractNumId w:val="30"/>
  </w:num>
  <w:num w:numId="20">
    <w:abstractNumId w:val="25"/>
  </w:num>
  <w:num w:numId="21">
    <w:abstractNumId w:val="43"/>
  </w:num>
  <w:num w:numId="22">
    <w:abstractNumId w:val="79"/>
  </w:num>
  <w:num w:numId="23">
    <w:abstractNumId w:val="33"/>
  </w:num>
  <w:num w:numId="24">
    <w:abstractNumId w:val="0"/>
  </w:num>
  <w:num w:numId="25">
    <w:abstractNumId w:val="51"/>
  </w:num>
  <w:num w:numId="26">
    <w:abstractNumId w:val="11"/>
  </w:num>
  <w:num w:numId="27">
    <w:abstractNumId w:val="14"/>
  </w:num>
  <w:num w:numId="28">
    <w:abstractNumId w:val="22"/>
  </w:num>
  <w:num w:numId="29">
    <w:abstractNumId w:val="15"/>
  </w:num>
  <w:num w:numId="30">
    <w:abstractNumId w:val="53"/>
  </w:num>
  <w:num w:numId="31">
    <w:abstractNumId w:val="32"/>
  </w:num>
  <w:num w:numId="32">
    <w:abstractNumId w:val="35"/>
  </w:num>
  <w:num w:numId="33">
    <w:abstractNumId w:val="2"/>
  </w:num>
  <w:num w:numId="34">
    <w:abstractNumId w:val="81"/>
  </w:num>
  <w:num w:numId="35">
    <w:abstractNumId w:val="27"/>
  </w:num>
  <w:num w:numId="36">
    <w:abstractNumId w:val="62"/>
  </w:num>
  <w:num w:numId="37">
    <w:abstractNumId w:val="48"/>
  </w:num>
  <w:num w:numId="38">
    <w:abstractNumId w:val="1"/>
  </w:num>
  <w:num w:numId="39">
    <w:abstractNumId w:val="80"/>
  </w:num>
  <w:num w:numId="40">
    <w:abstractNumId w:val="13"/>
  </w:num>
  <w:num w:numId="41">
    <w:abstractNumId w:val="70"/>
  </w:num>
  <w:num w:numId="42">
    <w:abstractNumId w:val="54"/>
  </w:num>
  <w:num w:numId="43">
    <w:abstractNumId w:val="76"/>
  </w:num>
  <w:num w:numId="44">
    <w:abstractNumId w:val="7"/>
  </w:num>
  <w:num w:numId="45">
    <w:abstractNumId w:val="61"/>
  </w:num>
  <w:num w:numId="46">
    <w:abstractNumId w:val="75"/>
  </w:num>
  <w:num w:numId="47">
    <w:abstractNumId w:val="10"/>
  </w:num>
  <w:num w:numId="48">
    <w:abstractNumId w:val="12"/>
  </w:num>
  <w:num w:numId="49">
    <w:abstractNumId w:val="28"/>
  </w:num>
  <w:num w:numId="50">
    <w:abstractNumId w:val="46"/>
  </w:num>
  <w:num w:numId="51">
    <w:abstractNumId w:val="21"/>
  </w:num>
  <w:num w:numId="52">
    <w:abstractNumId w:val="49"/>
  </w:num>
  <w:num w:numId="53">
    <w:abstractNumId w:val="8"/>
  </w:num>
  <w:num w:numId="54">
    <w:abstractNumId w:val="6"/>
  </w:num>
  <w:num w:numId="55">
    <w:abstractNumId w:val="26"/>
  </w:num>
  <w:num w:numId="56">
    <w:abstractNumId w:val="55"/>
  </w:num>
  <w:num w:numId="57">
    <w:abstractNumId w:val="16"/>
  </w:num>
  <w:num w:numId="58">
    <w:abstractNumId w:val="69"/>
  </w:num>
  <w:num w:numId="59">
    <w:abstractNumId w:val="4"/>
  </w:num>
  <w:num w:numId="60">
    <w:abstractNumId w:val="18"/>
  </w:num>
  <w:num w:numId="61">
    <w:abstractNumId w:val="19"/>
  </w:num>
  <w:num w:numId="62">
    <w:abstractNumId w:val="67"/>
  </w:num>
  <w:num w:numId="63">
    <w:abstractNumId w:val="20"/>
  </w:num>
  <w:num w:numId="64">
    <w:abstractNumId w:val="31"/>
  </w:num>
  <w:num w:numId="65">
    <w:abstractNumId w:val="66"/>
  </w:num>
  <w:num w:numId="66">
    <w:abstractNumId w:val="65"/>
  </w:num>
  <w:num w:numId="67">
    <w:abstractNumId w:val="47"/>
  </w:num>
  <w:num w:numId="68">
    <w:abstractNumId w:val="56"/>
  </w:num>
  <w:num w:numId="69">
    <w:abstractNumId w:val="34"/>
  </w:num>
  <w:num w:numId="70">
    <w:abstractNumId w:val="3"/>
  </w:num>
  <w:num w:numId="71">
    <w:abstractNumId w:val="60"/>
  </w:num>
  <w:num w:numId="72">
    <w:abstractNumId w:val="45"/>
  </w:num>
  <w:num w:numId="73">
    <w:abstractNumId w:val="59"/>
  </w:num>
  <w:num w:numId="74">
    <w:abstractNumId w:val="5"/>
  </w:num>
  <w:num w:numId="75">
    <w:abstractNumId w:val="78"/>
  </w:num>
  <w:num w:numId="76">
    <w:abstractNumId w:val="39"/>
  </w:num>
  <w:num w:numId="77">
    <w:abstractNumId w:val="17"/>
  </w:num>
  <w:num w:numId="78">
    <w:abstractNumId w:val="24"/>
  </w:num>
  <w:num w:numId="79">
    <w:abstractNumId w:val="58"/>
  </w:num>
  <w:num w:numId="80">
    <w:abstractNumId w:val="42"/>
  </w:num>
  <w:num w:numId="81">
    <w:abstractNumId w:val="52"/>
  </w:num>
  <w:num w:numId="82">
    <w:abstractNumId w:val="44"/>
  </w:num>
  <w:num w:numId="83">
    <w:abstractNumId w:val="36"/>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3CC"/>
    <w:rsid w:val="000000B6"/>
    <w:rsid w:val="000003F6"/>
    <w:rsid w:val="000035F7"/>
    <w:rsid w:val="00003B17"/>
    <w:rsid w:val="000041AA"/>
    <w:rsid w:val="00004AFF"/>
    <w:rsid w:val="00005035"/>
    <w:rsid w:val="00006095"/>
    <w:rsid w:val="00006618"/>
    <w:rsid w:val="000104F5"/>
    <w:rsid w:val="00010D10"/>
    <w:rsid w:val="00011235"/>
    <w:rsid w:val="00011D37"/>
    <w:rsid w:val="00012F6F"/>
    <w:rsid w:val="00013F5A"/>
    <w:rsid w:val="00014213"/>
    <w:rsid w:val="00014B55"/>
    <w:rsid w:val="0001508B"/>
    <w:rsid w:val="0001588A"/>
    <w:rsid w:val="00015EC0"/>
    <w:rsid w:val="00016597"/>
    <w:rsid w:val="000172B6"/>
    <w:rsid w:val="00017787"/>
    <w:rsid w:val="000204E1"/>
    <w:rsid w:val="00020E3E"/>
    <w:rsid w:val="00021FBB"/>
    <w:rsid w:val="00022C9C"/>
    <w:rsid w:val="00022EDA"/>
    <w:rsid w:val="00022F9E"/>
    <w:rsid w:val="00023BF3"/>
    <w:rsid w:val="00026811"/>
    <w:rsid w:val="000316F8"/>
    <w:rsid w:val="00032297"/>
    <w:rsid w:val="00032B40"/>
    <w:rsid w:val="00033B24"/>
    <w:rsid w:val="0003448E"/>
    <w:rsid w:val="00035B11"/>
    <w:rsid w:val="0003605E"/>
    <w:rsid w:val="00036640"/>
    <w:rsid w:val="00037B1E"/>
    <w:rsid w:val="0004036D"/>
    <w:rsid w:val="0004185E"/>
    <w:rsid w:val="0004250E"/>
    <w:rsid w:val="000431D5"/>
    <w:rsid w:val="00044ED2"/>
    <w:rsid w:val="00045579"/>
    <w:rsid w:val="000507EE"/>
    <w:rsid w:val="00051402"/>
    <w:rsid w:val="00054684"/>
    <w:rsid w:val="000550A1"/>
    <w:rsid w:val="00055750"/>
    <w:rsid w:val="00055826"/>
    <w:rsid w:val="00055A53"/>
    <w:rsid w:val="000563C8"/>
    <w:rsid w:val="0005670E"/>
    <w:rsid w:val="00056988"/>
    <w:rsid w:val="00056B17"/>
    <w:rsid w:val="00056BC0"/>
    <w:rsid w:val="000573FD"/>
    <w:rsid w:val="0006184A"/>
    <w:rsid w:val="00064360"/>
    <w:rsid w:val="000658D5"/>
    <w:rsid w:val="0006792A"/>
    <w:rsid w:val="00067983"/>
    <w:rsid w:val="00071E87"/>
    <w:rsid w:val="00071E92"/>
    <w:rsid w:val="00072279"/>
    <w:rsid w:val="00072D39"/>
    <w:rsid w:val="00073BA3"/>
    <w:rsid w:val="0007483D"/>
    <w:rsid w:val="000753E8"/>
    <w:rsid w:val="00075E6C"/>
    <w:rsid w:val="00076293"/>
    <w:rsid w:val="00076441"/>
    <w:rsid w:val="0007674A"/>
    <w:rsid w:val="00077D2A"/>
    <w:rsid w:val="00081792"/>
    <w:rsid w:val="00081C12"/>
    <w:rsid w:val="0008278A"/>
    <w:rsid w:val="00082CDD"/>
    <w:rsid w:val="00083074"/>
    <w:rsid w:val="00084271"/>
    <w:rsid w:val="0008641C"/>
    <w:rsid w:val="000864FF"/>
    <w:rsid w:val="00087D42"/>
    <w:rsid w:val="000947BC"/>
    <w:rsid w:val="00094BA4"/>
    <w:rsid w:val="000956C5"/>
    <w:rsid w:val="00095CAC"/>
    <w:rsid w:val="00096BE7"/>
    <w:rsid w:val="0009763F"/>
    <w:rsid w:val="000A0E09"/>
    <w:rsid w:val="000A11FA"/>
    <w:rsid w:val="000A26C9"/>
    <w:rsid w:val="000A4198"/>
    <w:rsid w:val="000A4644"/>
    <w:rsid w:val="000A4B3D"/>
    <w:rsid w:val="000A4F56"/>
    <w:rsid w:val="000A5A8A"/>
    <w:rsid w:val="000A68EB"/>
    <w:rsid w:val="000A799C"/>
    <w:rsid w:val="000B0712"/>
    <w:rsid w:val="000B0CC1"/>
    <w:rsid w:val="000B1494"/>
    <w:rsid w:val="000B29AD"/>
    <w:rsid w:val="000B3C47"/>
    <w:rsid w:val="000C1110"/>
    <w:rsid w:val="000C155C"/>
    <w:rsid w:val="000C359E"/>
    <w:rsid w:val="000C4113"/>
    <w:rsid w:val="000C448E"/>
    <w:rsid w:val="000C6372"/>
    <w:rsid w:val="000C6B52"/>
    <w:rsid w:val="000C6E51"/>
    <w:rsid w:val="000C7E71"/>
    <w:rsid w:val="000D0828"/>
    <w:rsid w:val="000D0AC8"/>
    <w:rsid w:val="000D12EA"/>
    <w:rsid w:val="000D1822"/>
    <w:rsid w:val="000D2A54"/>
    <w:rsid w:val="000D309B"/>
    <w:rsid w:val="000D469E"/>
    <w:rsid w:val="000D493F"/>
    <w:rsid w:val="000D5661"/>
    <w:rsid w:val="000D6034"/>
    <w:rsid w:val="000D7517"/>
    <w:rsid w:val="000D7841"/>
    <w:rsid w:val="000E03C2"/>
    <w:rsid w:val="000E061D"/>
    <w:rsid w:val="000E0ACF"/>
    <w:rsid w:val="000E15AF"/>
    <w:rsid w:val="000E392D"/>
    <w:rsid w:val="000E39B6"/>
    <w:rsid w:val="000E3B43"/>
    <w:rsid w:val="000E3D05"/>
    <w:rsid w:val="000E5C66"/>
    <w:rsid w:val="000E6874"/>
    <w:rsid w:val="000E778D"/>
    <w:rsid w:val="000E7D2D"/>
    <w:rsid w:val="000F106D"/>
    <w:rsid w:val="000F245E"/>
    <w:rsid w:val="000F4288"/>
    <w:rsid w:val="000F4588"/>
    <w:rsid w:val="000F4B1A"/>
    <w:rsid w:val="000F4EA3"/>
    <w:rsid w:val="000F4FDF"/>
    <w:rsid w:val="000F5478"/>
    <w:rsid w:val="000F54D3"/>
    <w:rsid w:val="000F58ED"/>
    <w:rsid w:val="000F61FB"/>
    <w:rsid w:val="000F7165"/>
    <w:rsid w:val="000F77A7"/>
    <w:rsid w:val="000F7CF3"/>
    <w:rsid w:val="0010059E"/>
    <w:rsid w:val="00101CFA"/>
    <w:rsid w:val="0010205E"/>
    <w:rsid w:val="00102379"/>
    <w:rsid w:val="00102D6B"/>
    <w:rsid w:val="00102FDE"/>
    <w:rsid w:val="00103722"/>
    <w:rsid w:val="00104894"/>
    <w:rsid w:val="001049F9"/>
    <w:rsid w:val="001065D6"/>
    <w:rsid w:val="001068D5"/>
    <w:rsid w:val="001071ED"/>
    <w:rsid w:val="00110FEC"/>
    <w:rsid w:val="001117A8"/>
    <w:rsid w:val="001121BD"/>
    <w:rsid w:val="00112FA3"/>
    <w:rsid w:val="00113897"/>
    <w:rsid w:val="00113CF8"/>
    <w:rsid w:val="001146CD"/>
    <w:rsid w:val="00117D2C"/>
    <w:rsid w:val="00120DF1"/>
    <w:rsid w:val="00121252"/>
    <w:rsid w:val="0012179D"/>
    <w:rsid w:val="001220BD"/>
    <w:rsid w:val="00123FF4"/>
    <w:rsid w:val="00124609"/>
    <w:rsid w:val="00124B5D"/>
    <w:rsid w:val="0012500F"/>
    <w:rsid w:val="00125411"/>
    <w:rsid w:val="001254CE"/>
    <w:rsid w:val="001277C5"/>
    <w:rsid w:val="0013084C"/>
    <w:rsid w:val="00130FA7"/>
    <w:rsid w:val="0013246E"/>
    <w:rsid w:val="0013255A"/>
    <w:rsid w:val="001328DC"/>
    <w:rsid w:val="00133116"/>
    <w:rsid w:val="001372A2"/>
    <w:rsid w:val="00137E17"/>
    <w:rsid w:val="001400BF"/>
    <w:rsid w:val="001401F7"/>
    <w:rsid w:val="001406A0"/>
    <w:rsid w:val="00141430"/>
    <w:rsid w:val="0014171D"/>
    <w:rsid w:val="001422CC"/>
    <w:rsid w:val="001437C6"/>
    <w:rsid w:val="001438EA"/>
    <w:rsid w:val="00143CF6"/>
    <w:rsid w:val="00143FC9"/>
    <w:rsid w:val="00144C87"/>
    <w:rsid w:val="0014526E"/>
    <w:rsid w:val="00145346"/>
    <w:rsid w:val="00145A21"/>
    <w:rsid w:val="001464D4"/>
    <w:rsid w:val="00146E5B"/>
    <w:rsid w:val="0015088B"/>
    <w:rsid w:val="001526A7"/>
    <w:rsid w:val="00152F42"/>
    <w:rsid w:val="001555A9"/>
    <w:rsid w:val="001557DA"/>
    <w:rsid w:val="00156033"/>
    <w:rsid w:val="001560E7"/>
    <w:rsid w:val="001562E2"/>
    <w:rsid w:val="00156627"/>
    <w:rsid w:val="001573F5"/>
    <w:rsid w:val="00157FBC"/>
    <w:rsid w:val="00160408"/>
    <w:rsid w:val="001617B6"/>
    <w:rsid w:val="001619F0"/>
    <w:rsid w:val="00161BA9"/>
    <w:rsid w:val="0016266B"/>
    <w:rsid w:val="00163D83"/>
    <w:rsid w:val="00163E29"/>
    <w:rsid w:val="00164D6B"/>
    <w:rsid w:val="00165E66"/>
    <w:rsid w:val="00166E2E"/>
    <w:rsid w:val="00171DC6"/>
    <w:rsid w:val="00173A0C"/>
    <w:rsid w:val="00174BB1"/>
    <w:rsid w:val="00174F35"/>
    <w:rsid w:val="001768D0"/>
    <w:rsid w:val="00176F0D"/>
    <w:rsid w:val="00180C88"/>
    <w:rsid w:val="0018126C"/>
    <w:rsid w:val="00181E46"/>
    <w:rsid w:val="00181EA0"/>
    <w:rsid w:val="001838B4"/>
    <w:rsid w:val="001850DC"/>
    <w:rsid w:val="00185EA6"/>
    <w:rsid w:val="001866CF"/>
    <w:rsid w:val="00186E92"/>
    <w:rsid w:val="00186ED7"/>
    <w:rsid w:val="0018794B"/>
    <w:rsid w:val="001920FD"/>
    <w:rsid w:val="00193BAA"/>
    <w:rsid w:val="00194140"/>
    <w:rsid w:val="00195035"/>
    <w:rsid w:val="00195712"/>
    <w:rsid w:val="00195F35"/>
    <w:rsid w:val="00196143"/>
    <w:rsid w:val="0019682F"/>
    <w:rsid w:val="00197120"/>
    <w:rsid w:val="001A0D98"/>
    <w:rsid w:val="001A0DEF"/>
    <w:rsid w:val="001A120E"/>
    <w:rsid w:val="001A1CEC"/>
    <w:rsid w:val="001A228B"/>
    <w:rsid w:val="001A24FC"/>
    <w:rsid w:val="001A3BE4"/>
    <w:rsid w:val="001A55F1"/>
    <w:rsid w:val="001A5978"/>
    <w:rsid w:val="001A6ED7"/>
    <w:rsid w:val="001A7DEA"/>
    <w:rsid w:val="001B05DC"/>
    <w:rsid w:val="001B36A1"/>
    <w:rsid w:val="001B4850"/>
    <w:rsid w:val="001B549D"/>
    <w:rsid w:val="001B5F08"/>
    <w:rsid w:val="001B62F5"/>
    <w:rsid w:val="001B7613"/>
    <w:rsid w:val="001C010B"/>
    <w:rsid w:val="001C0E17"/>
    <w:rsid w:val="001C16E9"/>
    <w:rsid w:val="001C1E88"/>
    <w:rsid w:val="001C3982"/>
    <w:rsid w:val="001C4590"/>
    <w:rsid w:val="001C4982"/>
    <w:rsid w:val="001C5D4D"/>
    <w:rsid w:val="001C6CD5"/>
    <w:rsid w:val="001C7BAE"/>
    <w:rsid w:val="001D0AB2"/>
    <w:rsid w:val="001D1567"/>
    <w:rsid w:val="001D1CD9"/>
    <w:rsid w:val="001D1D4B"/>
    <w:rsid w:val="001D3722"/>
    <w:rsid w:val="001D3A54"/>
    <w:rsid w:val="001D46F2"/>
    <w:rsid w:val="001D497C"/>
    <w:rsid w:val="001D4DEF"/>
    <w:rsid w:val="001D5A74"/>
    <w:rsid w:val="001D5E5B"/>
    <w:rsid w:val="001D63FF"/>
    <w:rsid w:val="001E0A1F"/>
    <w:rsid w:val="001E1DF2"/>
    <w:rsid w:val="001E2ECE"/>
    <w:rsid w:val="001E2FEE"/>
    <w:rsid w:val="001E31FA"/>
    <w:rsid w:val="001E48F9"/>
    <w:rsid w:val="001E64F6"/>
    <w:rsid w:val="001E6774"/>
    <w:rsid w:val="001E7316"/>
    <w:rsid w:val="001E7478"/>
    <w:rsid w:val="001E7AEB"/>
    <w:rsid w:val="001F180B"/>
    <w:rsid w:val="001F473F"/>
    <w:rsid w:val="001F5896"/>
    <w:rsid w:val="001F66C6"/>
    <w:rsid w:val="001F6EB9"/>
    <w:rsid w:val="001F6F18"/>
    <w:rsid w:val="001F7816"/>
    <w:rsid w:val="00200BA7"/>
    <w:rsid w:val="00201DC3"/>
    <w:rsid w:val="00202E11"/>
    <w:rsid w:val="00203C5C"/>
    <w:rsid w:val="00204B82"/>
    <w:rsid w:val="00206E8D"/>
    <w:rsid w:val="00207262"/>
    <w:rsid w:val="00210A0E"/>
    <w:rsid w:val="0021325F"/>
    <w:rsid w:val="00213FA5"/>
    <w:rsid w:val="002140E9"/>
    <w:rsid w:val="002147BD"/>
    <w:rsid w:val="0022070B"/>
    <w:rsid w:val="00222BEB"/>
    <w:rsid w:val="00222E7F"/>
    <w:rsid w:val="002235D2"/>
    <w:rsid w:val="00224794"/>
    <w:rsid w:val="00225C27"/>
    <w:rsid w:val="00225E60"/>
    <w:rsid w:val="00226146"/>
    <w:rsid w:val="00227555"/>
    <w:rsid w:val="002275DB"/>
    <w:rsid w:val="00230195"/>
    <w:rsid w:val="00230483"/>
    <w:rsid w:val="00230BBB"/>
    <w:rsid w:val="0023123F"/>
    <w:rsid w:val="0023202C"/>
    <w:rsid w:val="0023238A"/>
    <w:rsid w:val="00233350"/>
    <w:rsid w:val="00233534"/>
    <w:rsid w:val="00234619"/>
    <w:rsid w:val="0023497A"/>
    <w:rsid w:val="002356D7"/>
    <w:rsid w:val="002372F4"/>
    <w:rsid w:val="00237EDD"/>
    <w:rsid w:val="00240411"/>
    <w:rsid w:val="002407A7"/>
    <w:rsid w:val="00240A67"/>
    <w:rsid w:val="00242C37"/>
    <w:rsid w:val="00243860"/>
    <w:rsid w:val="00244199"/>
    <w:rsid w:val="00245043"/>
    <w:rsid w:val="00245A9C"/>
    <w:rsid w:val="00246833"/>
    <w:rsid w:val="00246E38"/>
    <w:rsid w:val="00247892"/>
    <w:rsid w:val="002501E3"/>
    <w:rsid w:val="0025194D"/>
    <w:rsid w:val="00252C70"/>
    <w:rsid w:val="00254B57"/>
    <w:rsid w:val="00256620"/>
    <w:rsid w:val="002576C3"/>
    <w:rsid w:val="00260002"/>
    <w:rsid w:val="002601DA"/>
    <w:rsid w:val="0026028E"/>
    <w:rsid w:val="0026109A"/>
    <w:rsid w:val="00261405"/>
    <w:rsid w:val="00261D85"/>
    <w:rsid w:val="00263AB6"/>
    <w:rsid w:val="00264FFF"/>
    <w:rsid w:val="0026549B"/>
    <w:rsid w:val="00267128"/>
    <w:rsid w:val="002671C5"/>
    <w:rsid w:val="00267339"/>
    <w:rsid w:val="00270E76"/>
    <w:rsid w:val="002718D5"/>
    <w:rsid w:val="00271F2A"/>
    <w:rsid w:val="002726F2"/>
    <w:rsid w:val="00272A5B"/>
    <w:rsid w:val="00272B02"/>
    <w:rsid w:val="002733FB"/>
    <w:rsid w:val="00274687"/>
    <w:rsid w:val="00274FC4"/>
    <w:rsid w:val="00275FE8"/>
    <w:rsid w:val="002766D3"/>
    <w:rsid w:val="00277BE6"/>
    <w:rsid w:val="00277D5D"/>
    <w:rsid w:val="00281149"/>
    <w:rsid w:val="002828A3"/>
    <w:rsid w:val="00282F82"/>
    <w:rsid w:val="0028358F"/>
    <w:rsid w:val="002841AA"/>
    <w:rsid w:val="00284947"/>
    <w:rsid w:val="00284FA2"/>
    <w:rsid w:val="0028664B"/>
    <w:rsid w:val="00286C4C"/>
    <w:rsid w:val="002922FE"/>
    <w:rsid w:val="00292D36"/>
    <w:rsid w:val="00292D49"/>
    <w:rsid w:val="00292E84"/>
    <w:rsid w:val="00293809"/>
    <w:rsid w:val="00294A5A"/>
    <w:rsid w:val="00294C69"/>
    <w:rsid w:val="00294C78"/>
    <w:rsid w:val="00295C8A"/>
    <w:rsid w:val="00296E4B"/>
    <w:rsid w:val="00297281"/>
    <w:rsid w:val="00297A04"/>
    <w:rsid w:val="00297A47"/>
    <w:rsid w:val="002A16B6"/>
    <w:rsid w:val="002A25F6"/>
    <w:rsid w:val="002A3940"/>
    <w:rsid w:val="002A4DB1"/>
    <w:rsid w:val="002A4FFB"/>
    <w:rsid w:val="002A51D7"/>
    <w:rsid w:val="002A5891"/>
    <w:rsid w:val="002A6903"/>
    <w:rsid w:val="002B03F1"/>
    <w:rsid w:val="002B09F5"/>
    <w:rsid w:val="002B0BE2"/>
    <w:rsid w:val="002B19B3"/>
    <w:rsid w:val="002B339B"/>
    <w:rsid w:val="002B35D2"/>
    <w:rsid w:val="002B4848"/>
    <w:rsid w:val="002B512E"/>
    <w:rsid w:val="002B5E2B"/>
    <w:rsid w:val="002B6905"/>
    <w:rsid w:val="002B6DAA"/>
    <w:rsid w:val="002B7237"/>
    <w:rsid w:val="002C6246"/>
    <w:rsid w:val="002C6C46"/>
    <w:rsid w:val="002D04F1"/>
    <w:rsid w:val="002D1479"/>
    <w:rsid w:val="002D2A78"/>
    <w:rsid w:val="002D340A"/>
    <w:rsid w:val="002D4867"/>
    <w:rsid w:val="002D4925"/>
    <w:rsid w:val="002D5DB9"/>
    <w:rsid w:val="002D650B"/>
    <w:rsid w:val="002D6B6B"/>
    <w:rsid w:val="002D70F7"/>
    <w:rsid w:val="002D711A"/>
    <w:rsid w:val="002D72D9"/>
    <w:rsid w:val="002D7336"/>
    <w:rsid w:val="002D73AB"/>
    <w:rsid w:val="002D782E"/>
    <w:rsid w:val="002D7EEF"/>
    <w:rsid w:val="002E02F1"/>
    <w:rsid w:val="002E0752"/>
    <w:rsid w:val="002E0FBE"/>
    <w:rsid w:val="002E16FD"/>
    <w:rsid w:val="002E3284"/>
    <w:rsid w:val="002E3396"/>
    <w:rsid w:val="002E4882"/>
    <w:rsid w:val="002E48A0"/>
    <w:rsid w:val="002E5032"/>
    <w:rsid w:val="002E6373"/>
    <w:rsid w:val="002E63CC"/>
    <w:rsid w:val="002E65B4"/>
    <w:rsid w:val="002E679E"/>
    <w:rsid w:val="002E706C"/>
    <w:rsid w:val="002E7DF4"/>
    <w:rsid w:val="002F19B6"/>
    <w:rsid w:val="002F2052"/>
    <w:rsid w:val="002F2953"/>
    <w:rsid w:val="002F3C2D"/>
    <w:rsid w:val="002F41BA"/>
    <w:rsid w:val="002F491A"/>
    <w:rsid w:val="002F7063"/>
    <w:rsid w:val="00300651"/>
    <w:rsid w:val="00300746"/>
    <w:rsid w:val="00302D1D"/>
    <w:rsid w:val="00302F04"/>
    <w:rsid w:val="00305087"/>
    <w:rsid w:val="003059CD"/>
    <w:rsid w:val="0030605E"/>
    <w:rsid w:val="0030640C"/>
    <w:rsid w:val="003073D1"/>
    <w:rsid w:val="0031149C"/>
    <w:rsid w:val="00311BD5"/>
    <w:rsid w:val="003124D2"/>
    <w:rsid w:val="00312DD7"/>
    <w:rsid w:val="00313784"/>
    <w:rsid w:val="003146A2"/>
    <w:rsid w:val="00315A52"/>
    <w:rsid w:val="0031680E"/>
    <w:rsid w:val="003175C5"/>
    <w:rsid w:val="00321D25"/>
    <w:rsid w:val="00323219"/>
    <w:rsid w:val="00323E6A"/>
    <w:rsid w:val="00324A48"/>
    <w:rsid w:val="00326CF5"/>
    <w:rsid w:val="003272A1"/>
    <w:rsid w:val="003316C9"/>
    <w:rsid w:val="00331A2B"/>
    <w:rsid w:val="00333D1C"/>
    <w:rsid w:val="00334D4E"/>
    <w:rsid w:val="003352CF"/>
    <w:rsid w:val="003356BA"/>
    <w:rsid w:val="003357E5"/>
    <w:rsid w:val="00336631"/>
    <w:rsid w:val="003376A8"/>
    <w:rsid w:val="003379FE"/>
    <w:rsid w:val="00340802"/>
    <w:rsid w:val="00340F40"/>
    <w:rsid w:val="003414B6"/>
    <w:rsid w:val="00342D30"/>
    <w:rsid w:val="00342FBE"/>
    <w:rsid w:val="003432ED"/>
    <w:rsid w:val="003439C5"/>
    <w:rsid w:val="0034468D"/>
    <w:rsid w:val="003449B8"/>
    <w:rsid w:val="00344F9A"/>
    <w:rsid w:val="00346818"/>
    <w:rsid w:val="003506EF"/>
    <w:rsid w:val="00350C7C"/>
    <w:rsid w:val="003525A6"/>
    <w:rsid w:val="0035329E"/>
    <w:rsid w:val="00353F02"/>
    <w:rsid w:val="0035414F"/>
    <w:rsid w:val="00354575"/>
    <w:rsid w:val="00355306"/>
    <w:rsid w:val="00355B16"/>
    <w:rsid w:val="00357E8F"/>
    <w:rsid w:val="003602D9"/>
    <w:rsid w:val="00360536"/>
    <w:rsid w:val="00360FF9"/>
    <w:rsid w:val="00362B59"/>
    <w:rsid w:val="00364087"/>
    <w:rsid w:val="0036588E"/>
    <w:rsid w:val="00366430"/>
    <w:rsid w:val="00366DDF"/>
    <w:rsid w:val="0036778F"/>
    <w:rsid w:val="00367F30"/>
    <w:rsid w:val="00371444"/>
    <w:rsid w:val="00371745"/>
    <w:rsid w:val="00371FD4"/>
    <w:rsid w:val="003755D3"/>
    <w:rsid w:val="003765C2"/>
    <w:rsid w:val="003766B3"/>
    <w:rsid w:val="00377AA8"/>
    <w:rsid w:val="00381180"/>
    <w:rsid w:val="003812C0"/>
    <w:rsid w:val="003812F3"/>
    <w:rsid w:val="00381858"/>
    <w:rsid w:val="003840C8"/>
    <w:rsid w:val="00384D85"/>
    <w:rsid w:val="0038771C"/>
    <w:rsid w:val="003879F4"/>
    <w:rsid w:val="003900C1"/>
    <w:rsid w:val="00390FF5"/>
    <w:rsid w:val="00391928"/>
    <w:rsid w:val="00393314"/>
    <w:rsid w:val="00393943"/>
    <w:rsid w:val="003957C9"/>
    <w:rsid w:val="00395FDF"/>
    <w:rsid w:val="003966B4"/>
    <w:rsid w:val="003A031C"/>
    <w:rsid w:val="003A06E4"/>
    <w:rsid w:val="003A1457"/>
    <w:rsid w:val="003A355B"/>
    <w:rsid w:val="003A3C1B"/>
    <w:rsid w:val="003A3E7D"/>
    <w:rsid w:val="003A41B9"/>
    <w:rsid w:val="003A430B"/>
    <w:rsid w:val="003A4EC6"/>
    <w:rsid w:val="003A541A"/>
    <w:rsid w:val="003A6923"/>
    <w:rsid w:val="003B30CF"/>
    <w:rsid w:val="003B3576"/>
    <w:rsid w:val="003B505B"/>
    <w:rsid w:val="003B51AA"/>
    <w:rsid w:val="003C2088"/>
    <w:rsid w:val="003C2C67"/>
    <w:rsid w:val="003C2D4C"/>
    <w:rsid w:val="003C3B3A"/>
    <w:rsid w:val="003C40B2"/>
    <w:rsid w:val="003C5BA4"/>
    <w:rsid w:val="003C5EFD"/>
    <w:rsid w:val="003C6314"/>
    <w:rsid w:val="003D08F6"/>
    <w:rsid w:val="003D24A1"/>
    <w:rsid w:val="003D3271"/>
    <w:rsid w:val="003D40A4"/>
    <w:rsid w:val="003D44DE"/>
    <w:rsid w:val="003D4964"/>
    <w:rsid w:val="003D522F"/>
    <w:rsid w:val="003D548F"/>
    <w:rsid w:val="003D6A0B"/>
    <w:rsid w:val="003D6EBB"/>
    <w:rsid w:val="003E08E7"/>
    <w:rsid w:val="003E19BF"/>
    <w:rsid w:val="003E1D29"/>
    <w:rsid w:val="003E3046"/>
    <w:rsid w:val="003E36F5"/>
    <w:rsid w:val="003E37AB"/>
    <w:rsid w:val="003E3E26"/>
    <w:rsid w:val="003E6E4D"/>
    <w:rsid w:val="003E6E61"/>
    <w:rsid w:val="003F035F"/>
    <w:rsid w:val="003F05FC"/>
    <w:rsid w:val="003F1295"/>
    <w:rsid w:val="003F30DA"/>
    <w:rsid w:val="003F5102"/>
    <w:rsid w:val="003F5162"/>
    <w:rsid w:val="003F573B"/>
    <w:rsid w:val="003F71D6"/>
    <w:rsid w:val="003F737B"/>
    <w:rsid w:val="003F76FC"/>
    <w:rsid w:val="004002EB"/>
    <w:rsid w:val="00400439"/>
    <w:rsid w:val="00400E2B"/>
    <w:rsid w:val="004012B6"/>
    <w:rsid w:val="00402778"/>
    <w:rsid w:val="004050E0"/>
    <w:rsid w:val="00407A79"/>
    <w:rsid w:val="00410B39"/>
    <w:rsid w:val="0041233D"/>
    <w:rsid w:val="00412D5B"/>
    <w:rsid w:val="004133A2"/>
    <w:rsid w:val="00413A70"/>
    <w:rsid w:val="00413C68"/>
    <w:rsid w:val="00414ECB"/>
    <w:rsid w:val="00415266"/>
    <w:rsid w:val="00415AFA"/>
    <w:rsid w:val="00415ECD"/>
    <w:rsid w:val="0041627D"/>
    <w:rsid w:val="00416979"/>
    <w:rsid w:val="00417499"/>
    <w:rsid w:val="00417CDD"/>
    <w:rsid w:val="00417FC2"/>
    <w:rsid w:val="00421C07"/>
    <w:rsid w:val="00422DDC"/>
    <w:rsid w:val="004231B5"/>
    <w:rsid w:val="004234C1"/>
    <w:rsid w:val="004236C8"/>
    <w:rsid w:val="00423A6A"/>
    <w:rsid w:val="00423A9C"/>
    <w:rsid w:val="00427681"/>
    <w:rsid w:val="004278AC"/>
    <w:rsid w:val="00427BD7"/>
    <w:rsid w:val="004301BB"/>
    <w:rsid w:val="00430347"/>
    <w:rsid w:val="00430CD7"/>
    <w:rsid w:val="00430DDF"/>
    <w:rsid w:val="004326F8"/>
    <w:rsid w:val="0043383B"/>
    <w:rsid w:val="0043393F"/>
    <w:rsid w:val="00433DB7"/>
    <w:rsid w:val="0043604F"/>
    <w:rsid w:val="00437381"/>
    <w:rsid w:val="00437763"/>
    <w:rsid w:val="00442C09"/>
    <w:rsid w:val="00442D4E"/>
    <w:rsid w:val="0044361B"/>
    <w:rsid w:val="00443ACE"/>
    <w:rsid w:val="004446AA"/>
    <w:rsid w:val="00444980"/>
    <w:rsid w:val="00447CB9"/>
    <w:rsid w:val="00450073"/>
    <w:rsid w:val="00450F51"/>
    <w:rsid w:val="00453750"/>
    <w:rsid w:val="00453EAA"/>
    <w:rsid w:val="0045418A"/>
    <w:rsid w:val="00455BF4"/>
    <w:rsid w:val="00456941"/>
    <w:rsid w:val="0046068D"/>
    <w:rsid w:val="0046097D"/>
    <w:rsid w:val="00460D67"/>
    <w:rsid w:val="0046103E"/>
    <w:rsid w:val="0046107E"/>
    <w:rsid w:val="004619DC"/>
    <w:rsid w:val="00462F73"/>
    <w:rsid w:val="00462FA0"/>
    <w:rsid w:val="004635DD"/>
    <w:rsid w:val="00464FCA"/>
    <w:rsid w:val="00465154"/>
    <w:rsid w:val="00465B4F"/>
    <w:rsid w:val="004702EA"/>
    <w:rsid w:val="004716E4"/>
    <w:rsid w:val="00472E0D"/>
    <w:rsid w:val="00473879"/>
    <w:rsid w:val="0047584B"/>
    <w:rsid w:val="004764B2"/>
    <w:rsid w:val="00480759"/>
    <w:rsid w:val="004817BF"/>
    <w:rsid w:val="0048259C"/>
    <w:rsid w:val="00482D02"/>
    <w:rsid w:val="00482D1B"/>
    <w:rsid w:val="00484326"/>
    <w:rsid w:val="004848CC"/>
    <w:rsid w:val="0048516C"/>
    <w:rsid w:val="00486214"/>
    <w:rsid w:val="00487173"/>
    <w:rsid w:val="0048786A"/>
    <w:rsid w:val="00490369"/>
    <w:rsid w:val="00490D6E"/>
    <w:rsid w:val="00491D07"/>
    <w:rsid w:val="00492322"/>
    <w:rsid w:val="00492E46"/>
    <w:rsid w:val="00494CAD"/>
    <w:rsid w:val="004962C0"/>
    <w:rsid w:val="004965D2"/>
    <w:rsid w:val="00496A26"/>
    <w:rsid w:val="00497574"/>
    <w:rsid w:val="004A006C"/>
    <w:rsid w:val="004A186A"/>
    <w:rsid w:val="004A1FC1"/>
    <w:rsid w:val="004A23E6"/>
    <w:rsid w:val="004A457C"/>
    <w:rsid w:val="004A4FCF"/>
    <w:rsid w:val="004A5ACD"/>
    <w:rsid w:val="004A654E"/>
    <w:rsid w:val="004A7519"/>
    <w:rsid w:val="004B06FD"/>
    <w:rsid w:val="004B0F8E"/>
    <w:rsid w:val="004B0FAA"/>
    <w:rsid w:val="004B2549"/>
    <w:rsid w:val="004B2BC8"/>
    <w:rsid w:val="004B2C56"/>
    <w:rsid w:val="004B3141"/>
    <w:rsid w:val="004B488D"/>
    <w:rsid w:val="004B4D92"/>
    <w:rsid w:val="004B64B1"/>
    <w:rsid w:val="004B7142"/>
    <w:rsid w:val="004B78F4"/>
    <w:rsid w:val="004C0382"/>
    <w:rsid w:val="004C17DE"/>
    <w:rsid w:val="004C2E34"/>
    <w:rsid w:val="004C349E"/>
    <w:rsid w:val="004C44FF"/>
    <w:rsid w:val="004C5148"/>
    <w:rsid w:val="004C52B6"/>
    <w:rsid w:val="004C5CCF"/>
    <w:rsid w:val="004C6131"/>
    <w:rsid w:val="004C78A5"/>
    <w:rsid w:val="004C7AF7"/>
    <w:rsid w:val="004D01AC"/>
    <w:rsid w:val="004D0B1B"/>
    <w:rsid w:val="004D0B2F"/>
    <w:rsid w:val="004D1B20"/>
    <w:rsid w:val="004D3518"/>
    <w:rsid w:val="004D3C76"/>
    <w:rsid w:val="004D4B68"/>
    <w:rsid w:val="004D549A"/>
    <w:rsid w:val="004D54B1"/>
    <w:rsid w:val="004D5ACD"/>
    <w:rsid w:val="004D62D6"/>
    <w:rsid w:val="004D666C"/>
    <w:rsid w:val="004D6898"/>
    <w:rsid w:val="004D7369"/>
    <w:rsid w:val="004D79C4"/>
    <w:rsid w:val="004E0649"/>
    <w:rsid w:val="004E1CB0"/>
    <w:rsid w:val="004E2935"/>
    <w:rsid w:val="004E3054"/>
    <w:rsid w:val="004E3285"/>
    <w:rsid w:val="004E3E41"/>
    <w:rsid w:val="004E47DF"/>
    <w:rsid w:val="004E4F17"/>
    <w:rsid w:val="004E5730"/>
    <w:rsid w:val="004E6851"/>
    <w:rsid w:val="004F197A"/>
    <w:rsid w:val="004F1CCA"/>
    <w:rsid w:val="004F25D8"/>
    <w:rsid w:val="004F3F4E"/>
    <w:rsid w:val="004F43C4"/>
    <w:rsid w:val="004F4C55"/>
    <w:rsid w:val="004F5023"/>
    <w:rsid w:val="004F589C"/>
    <w:rsid w:val="004F722E"/>
    <w:rsid w:val="004F7F85"/>
    <w:rsid w:val="00503E50"/>
    <w:rsid w:val="00504AA2"/>
    <w:rsid w:val="005051A0"/>
    <w:rsid w:val="00507A11"/>
    <w:rsid w:val="00507F4D"/>
    <w:rsid w:val="00510167"/>
    <w:rsid w:val="005103A7"/>
    <w:rsid w:val="00510426"/>
    <w:rsid w:val="00513811"/>
    <w:rsid w:val="00513E86"/>
    <w:rsid w:val="00513F1C"/>
    <w:rsid w:val="00514DAB"/>
    <w:rsid w:val="00515082"/>
    <w:rsid w:val="0052088C"/>
    <w:rsid w:val="005211C2"/>
    <w:rsid w:val="00521894"/>
    <w:rsid w:val="00523E57"/>
    <w:rsid w:val="005253D5"/>
    <w:rsid w:val="0052596F"/>
    <w:rsid w:val="0052680D"/>
    <w:rsid w:val="00526E8C"/>
    <w:rsid w:val="00527CEA"/>
    <w:rsid w:val="005306A2"/>
    <w:rsid w:val="00533018"/>
    <w:rsid w:val="00533B2B"/>
    <w:rsid w:val="00533C63"/>
    <w:rsid w:val="0053416C"/>
    <w:rsid w:val="00535AA4"/>
    <w:rsid w:val="00536CCD"/>
    <w:rsid w:val="00540E4D"/>
    <w:rsid w:val="00541C2F"/>
    <w:rsid w:val="00541E91"/>
    <w:rsid w:val="00541F68"/>
    <w:rsid w:val="00542141"/>
    <w:rsid w:val="00542470"/>
    <w:rsid w:val="005431C1"/>
    <w:rsid w:val="005435D7"/>
    <w:rsid w:val="00544495"/>
    <w:rsid w:val="00545190"/>
    <w:rsid w:val="0054550D"/>
    <w:rsid w:val="00546808"/>
    <w:rsid w:val="00551E95"/>
    <w:rsid w:val="00552DE4"/>
    <w:rsid w:val="00553070"/>
    <w:rsid w:val="005532ED"/>
    <w:rsid w:val="005535D5"/>
    <w:rsid w:val="00553A08"/>
    <w:rsid w:val="00560B04"/>
    <w:rsid w:val="00561324"/>
    <w:rsid w:val="00562A23"/>
    <w:rsid w:val="00563253"/>
    <w:rsid w:val="00563287"/>
    <w:rsid w:val="0056328B"/>
    <w:rsid w:val="00563527"/>
    <w:rsid w:val="00563737"/>
    <w:rsid w:val="00563B40"/>
    <w:rsid w:val="005640EA"/>
    <w:rsid w:val="00565470"/>
    <w:rsid w:val="005660CF"/>
    <w:rsid w:val="00567B43"/>
    <w:rsid w:val="005701DB"/>
    <w:rsid w:val="00570AE3"/>
    <w:rsid w:val="00573CF9"/>
    <w:rsid w:val="0057407A"/>
    <w:rsid w:val="00575DB1"/>
    <w:rsid w:val="005762C1"/>
    <w:rsid w:val="005769F9"/>
    <w:rsid w:val="005805D8"/>
    <w:rsid w:val="0058124E"/>
    <w:rsid w:val="00581ADB"/>
    <w:rsid w:val="00581D16"/>
    <w:rsid w:val="00585982"/>
    <w:rsid w:val="00585A28"/>
    <w:rsid w:val="0058619C"/>
    <w:rsid w:val="0058648E"/>
    <w:rsid w:val="005875A3"/>
    <w:rsid w:val="00590B16"/>
    <w:rsid w:val="0059134A"/>
    <w:rsid w:val="00591838"/>
    <w:rsid w:val="00591F8C"/>
    <w:rsid w:val="0059282A"/>
    <w:rsid w:val="00592842"/>
    <w:rsid w:val="00592B9A"/>
    <w:rsid w:val="00593491"/>
    <w:rsid w:val="005953EA"/>
    <w:rsid w:val="00596FC5"/>
    <w:rsid w:val="00597B8C"/>
    <w:rsid w:val="005A07AA"/>
    <w:rsid w:val="005A0FD7"/>
    <w:rsid w:val="005A1F28"/>
    <w:rsid w:val="005A2B62"/>
    <w:rsid w:val="005A2C4C"/>
    <w:rsid w:val="005A3416"/>
    <w:rsid w:val="005A36D2"/>
    <w:rsid w:val="005A3B32"/>
    <w:rsid w:val="005A3D11"/>
    <w:rsid w:val="005A7194"/>
    <w:rsid w:val="005A7E37"/>
    <w:rsid w:val="005B15ED"/>
    <w:rsid w:val="005B1FF4"/>
    <w:rsid w:val="005B27FE"/>
    <w:rsid w:val="005B2F6A"/>
    <w:rsid w:val="005B3179"/>
    <w:rsid w:val="005B5347"/>
    <w:rsid w:val="005B5E57"/>
    <w:rsid w:val="005B6A27"/>
    <w:rsid w:val="005B6C68"/>
    <w:rsid w:val="005B6DB5"/>
    <w:rsid w:val="005B76DF"/>
    <w:rsid w:val="005B76F4"/>
    <w:rsid w:val="005B79CB"/>
    <w:rsid w:val="005C18BD"/>
    <w:rsid w:val="005C42DB"/>
    <w:rsid w:val="005C4FF9"/>
    <w:rsid w:val="005C5C2E"/>
    <w:rsid w:val="005C5C7B"/>
    <w:rsid w:val="005C7319"/>
    <w:rsid w:val="005C7C94"/>
    <w:rsid w:val="005D03CA"/>
    <w:rsid w:val="005D0412"/>
    <w:rsid w:val="005D23EF"/>
    <w:rsid w:val="005D2DE3"/>
    <w:rsid w:val="005D2E1C"/>
    <w:rsid w:val="005D3142"/>
    <w:rsid w:val="005D4CB6"/>
    <w:rsid w:val="005D4D15"/>
    <w:rsid w:val="005D5AE8"/>
    <w:rsid w:val="005D7969"/>
    <w:rsid w:val="005E0700"/>
    <w:rsid w:val="005E08D7"/>
    <w:rsid w:val="005E110C"/>
    <w:rsid w:val="005E1C0D"/>
    <w:rsid w:val="005E24C6"/>
    <w:rsid w:val="005E35AA"/>
    <w:rsid w:val="005E3CB5"/>
    <w:rsid w:val="005E4C16"/>
    <w:rsid w:val="005E5947"/>
    <w:rsid w:val="005E5B33"/>
    <w:rsid w:val="005E61A6"/>
    <w:rsid w:val="005E6D17"/>
    <w:rsid w:val="005F0FEB"/>
    <w:rsid w:val="005F21DF"/>
    <w:rsid w:val="005F2880"/>
    <w:rsid w:val="005F40EB"/>
    <w:rsid w:val="005F4AA7"/>
    <w:rsid w:val="005F5ACD"/>
    <w:rsid w:val="005F61DF"/>
    <w:rsid w:val="005F7111"/>
    <w:rsid w:val="005F7514"/>
    <w:rsid w:val="005F7B5B"/>
    <w:rsid w:val="005F7C49"/>
    <w:rsid w:val="00600501"/>
    <w:rsid w:val="0060163A"/>
    <w:rsid w:val="006023F9"/>
    <w:rsid w:val="00602C9F"/>
    <w:rsid w:val="00603A68"/>
    <w:rsid w:val="006041E0"/>
    <w:rsid w:val="00604370"/>
    <w:rsid w:val="00604487"/>
    <w:rsid w:val="00604A41"/>
    <w:rsid w:val="006054D7"/>
    <w:rsid w:val="006100D0"/>
    <w:rsid w:val="006102CF"/>
    <w:rsid w:val="00610559"/>
    <w:rsid w:val="0061065D"/>
    <w:rsid w:val="00612072"/>
    <w:rsid w:val="006130C9"/>
    <w:rsid w:val="00613292"/>
    <w:rsid w:val="00614076"/>
    <w:rsid w:val="0061648A"/>
    <w:rsid w:val="00616C90"/>
    <w:rsid w:val="00616D51"/>
    <w:rsid w:val="006201D8"/>
    <w:rsid w:val="006208C4"/>
    <w:rsid w:val="006208E8"/>
    <w:rsid w:val="00620ADB"/>
    <w:rsid w:val="00620F1A"/>
    <w:rsid w:val="00622F33"/>
    <w:rsid w:val="00623550"/>
    <w:rsid w:val="00623B67"/>
    <w:rsid w:val="0062625A"/>
    <w:rsid w:val="00626748"/>
    <w:rsid w:val="00626F93"/>
    <w:rsid w:val="0063099B"/>
    <w:rsid w:val="00630D90"/>
    <w:rsid w:val="00632F2E"/>
    <w:rsid w:val="006332F6"/>
    <w:rsid w:val="0063551F"/>
    <w:rsid w:val="00636B26"/>
    <w:rsid w:val="00636FB6"/>
    <w:rsid w:val="0063705F"/>
    <w:rsid w:val="006371AE"/>
    <w:rsid w:val="00637CB8"/>
    <w:rsid w:val="006413F2"/>
    <w:rsid w:val="00641809"/>
    <w:rsid w:val="00641ADA"/>
    <w:rsid w:val="00641BBA"/>
    <w:rsid w:val="00641EE0"/>
    <w:rsid w:val="0064280C"/>
    <w:rsid w:val="00643476"/>
    <w:rsid w:val="006443EF"/>
    <w:rsid w:val="0064549E"/>
    <w:rsid w:val="006456A6"/>
    <w:rsid w:val="006466AE"/>
    <w:rsid w:val="006467AC"/>
    <w:rsid w:val="00647E90"/>
    <w:rsid w:val="00647EC9"/>
    <w:rsid w:val="00650E7B"/>
    <w:rsid w:val="00651B65"/>
    <w:rsid w:val="006522FC"/>
    <w:rsid w:val="006534B2"/>
    <w:rsid w:val="006553FB"/>
    <w:rsid w:val="0065559B"/>
    <w:rsid w:val="0065615D"/>
    <w:rsid w:val="00657011"/>
    <w:rsid w:val="00657311"/>
    <w:rsid w:val="00657900"/>
    <w:rsid w:val="0066183A"/>
    <w:rsid w:val="00662905"/>
    <w:rsid w:val="00664451"/>
    <w:rsid w:val="006650B5"/>
    <w:rsid w:val="006651B1"/>
    <w:rsid w:val="00665778"/>
    <w:rsid w:val="00667245"/>
    <w:rsid w:val="006675D7"/>
    <w:rsid w:val="00670592"/>
    <w:rsid w:val="00670D32"/>
    <w:rsid w:val="00670D9D"/>
    <w:rsid w:val="00671AAC"/>
    <w:rsid w:val="00672575"/>
    <w:rsid w:val="00672989"/>
    <w:rsid w:val="00673FC9"/>
    <w:rsid w:val="006748C1"/>
    <w:rsid w:val="006754F4"/>
    <w:rsid w:val="006763EC"/>
    <w:rsid w:val="00676E5F"/>
    <w:rsid w:val="00681DC5"/>
    <w:rsid w:val="00681F77"/>
    <w:rsid w:val="0068237C"/>
    <w:rsid w:val="0068239B"/>
    <w:rsid w:val="006828DB"/>
    <w:rsid w:val="00682A05"/>
    <w:rsid w:val="00683BD4"/>
    <w:rsid w:val="00684ABF"/>
    <w:rsid w:val="006850F4"/>
    <w:rsid w:val="00687388"/>
    <w:rsid w:val="006911EE"/>
    <w:rsid w:val="00692A0E"/>
    <w:rsid w:val="00692B34"/>
    <w:rsid w:val="006945CA"/>
    <w:rsid w:val="006946DF"/>
    <w:rsid w:val="00696707"/>
    <w:rsid w:val="00697164"/>
    <w:rsid w:val="006A0814"/>
    <w:rsid w:val="006A1514"/>
    <w:rsid w:val="006A156A"/>
    <w:rsid w:val="006A18FE"/>
    <w:rsid w:val="006A3309"/>
    <w:rsid w:val="006A3A5A"/>
    <w:rsid w:val="006A448A"/>
    <w:rsid w:val="006A4934"/>
    <w:rsid w:val="006A5B34"/>
    <w:rsid w:val="006A6875"/>
    <w:rsid w:val="006A755F"/>
    <w:rsid w:val="006A776D"/>
    <w:rsid w:val="006A7AA1"/>
    <w:rsid w:val="006A7DF1"/>
    <w:rsid w:val="006B078B"/>
    <w:rsid w:val="006B1915"/>
    <w:rsid w:val="006B3062"/>
    <w:rsid w:val="006B40AA"/>
    <w:rsid w:val="006B471F"/>
    <w:rsid w:val="006B68C0"/>
    <w:rsid w:val="006B7267"/>
    <w:rsid w:val="006B72AD"/>
    <w:rsid w:val="006B77E5"/>
    <w:rsid w:val="006C0620"/>
    <w:rsid w:val="006C2224"/>
    <w:rsid w:val="006C249D"/>
    <w:rsid w:val="006C4BCF"/>
    <w:rsid w:val="006C6549"/>
    <w:rsid w:val="006C77A9"/>
    <w:rsid w:val="006C7F36"/>
    <w:rsid w:val="006D232C"/>
    <w:rsid w:val="006D3788"/>
    <w:rsid w:val="006D4720"/>
    <w:rsid w:val="006D4DB7"/>
    <w:rsid w:val="006D4F82"/>
    <w:rsid w:val="006D5029"/>
    <w:rsid w:val="006D5A4C"/>
    <w:rsid w:val="006D7306"/>
    <w:rsid w:val="006E17F6"/>
    <w:rsid w:val="006E1AB0"/>
    <w:rsid w:val="006E1E66"/>
    <w:rsid w:val="006E29B3"/>
    <w:rsid w:val="006E39E7"/>
    <w:rsid w:val="006E58F6"/>
    <w:rsid w:val="006E6CDF"/>
    <w:rsid w:val="006F10AB"/>
    <w:rsid w:val="006F1228"/>
    <w:rsid w:val="006F28EA"/>
    <w:rsid w:val="006F37F2"/>
    <w:rsid w:val="006F3B1B"/>
    <w:rsid w:val="006F5E66"/>
    <w:rsid w:val="006F6693"/>
    <w:rsid w:val="006F66FC"/>
    <w:rsid w:val="006F704E"/>
    <w:rsid w:val="00701CEE"/>
    <w:rsid w:val="00702A2F"/>
    <w:rsid w:val="007030F4"/>
    <w:rsid w:val="00705F06"/>
    <w:rsid w:val="00705F5B"/>
    <w:rsid w:val="00707FE8"/>
    <w:rsid w:val="00710841"/>
    <w:rsid w:val="00711955"/>
    <w:rsid w:val="00712BCC"/>
    <w:rsid w:val="00714797"/>
    <w:rsid w:val="00714AAE"/>
    <w:rsid w:val="00714DC0"/>
    <w:rsid w:val="00720A76"/>
    <w:rsid w:val="007231C8"/>
    <w:rsid w:val="00724962"/>
    <w:rsid w:val="00724A0F"/>
    <w:rsid w:val="00724ACE"/>
    <w:rsid w:val="00725E23"/>
    <w:rsid w:val="007261FF"/>
    <w:rsid w:val="00726B20"/>
    <w:rsid w:val="00726CD8"/>
    <w:rsid w:val="00726D2F"/>
    <w:rsid w:val="0072747B"/>
    <w:rsid w:val="00727772"/>
    <w:rsid w:val="00730218"/>
    <w:rsid w:val="007314BB"/>
    <w:rsid w:val="007330A4"/>
    <w:rsid w:val="0073431B"/>
    <w:rsid w:val="007344BC"/>
    <w:rsid w:val="00735415"/>
    <w:rsid w:val="007366F2"/>
    <w:rsid w:val="00736732"/>
    <w:rsid w:val="00736974"/>
    <w:rsid w:val="00736FC1"/>
    <w:rsid w:val="00740019"/>
    <w:rsid w:val="0074088D"/>
    <w:rsid w:val="00743A31"/>
    <w:rsid w:val="00745388"/>
    <w:rsid w:val="00745646"/>
    <w:rsid w:val="007456BD"/>
    <w:rsid w:val="007463B9"/>
    <w:rsid w:val="00746426"/>
    <w:rsid w:val="007474DF"/>
    <w:rsid w:val="00750B4F"/>
    <w:rsid w:val="00750BF9"/>
    <w:rsid w:val="00750CBE"/>
    <w:rsid w:val="00751505"/>
    <w:rsid w:val="00751AEB"/>
    <w:rsid w:val="007520F7"/>
    <w:rsid w:val="00752FC8"/>
    <w:rsid w:val="00753BC7"/>
    <w:rsid w:val="00755951"/>
    <w:rsid w:val="00757836"/>
    <w:rsid w:val="00757A7B"/>
    <w:rsid w:val="0076116D"/>
    <w:rsid w:val="00762256"/>
    <w:rsid w:val="00762D8E"/>
    <w:rsid w:val="0076350B"/>
    <w:rsid w:val="00764718"/>
    <w:rsid w:val="007650D2"/>
    <w:rsid w:val="00765171"/>
    <w:rsid w:val="007655F9"/>
    <w:rsid w:val="00765A51"/>
    <w:rsid w:val="00766302"/>
    <w:rsid w:val="00766B5A"/>
    <w:rsid w:val="00772209"/>
    <w:rsid w:val="007732A3"/>
    <w:rsid w:val="00776611"/>
    <w:rsid w:val="007770A5"/>
    <w:rsid w:val="0078069B"/>
    <w:rsid w:val="0078083C"/>
    <w:rsid w:val="00781068"/>
    <w:rsid w:val="0078118C"/>
    <w:rsid w:val="00782494"/>
    <w:rsid w:val="00782CF2"/>
    <w:rsid w:val="007834F2"/>
    <w:rsid w:val="00783C3C"/>
    <w:rsid w:val="00783D44"/>
    <w:rsid w:val="00784E31"/>
    <w:rsid w:val="007857A5"/>
    <w:rsid w:val="00786CBE"/>
    <w:rsid w:val="0078739F"/>
    <w:rsid w:val="00787646"/>
    <w:rsid w:val="00790927"/>
    <w:rsid w:val="00790C61"/>
    <w:rsid w:val="00791020"/>
    <w:rsid w:val="007913E4"/>
    <w:rsid w:val="00791984"/>
    <w:rsid w:val="00791B72"/>
    <w:rsid w:val="00791C10"/>
    <w:rsid w:val="007923D2"/>
    <w:rsid w:val="00793010"/>
    <w:rsid w:val="0079310C"/>
    <w:rsid w:val="00793A8B"/>
    <w:rsid w:val="00793FA9"/>
    <w:rsid w:val="00795608"/>
    <w:rsid w:val="007956DD"/>
    <w:rsid w:val="007963F3"/>
    <w:rsid w:val="00796915"/>
    <w:rsid w:val="00796F0F"/>
    <w:rsid w:val="007A04D2"/>
    <w:rsid w:val="007A42A2"/>
    <w:rsid w:val="007A4BAA"/>
    <w:rsid w:val="007A5A7F"/>
    <w:rsid w:val="007A5F82"/>
    <w:rsid w:val="007A753A"/>
    <w:rsid w:val="007B03A6"/>
    <w:rsid w:val="007B0A82"/>
    <w:rsid w:val="007B0CD5"/>
    <w:rsid w:val="007B3837"/>
    <w:rsid w:val="007B5110"/>
    <w:rsid w:val="007B648E"/>
    <w:rsid w:val="007B79D6"/>
    <w:rsid w:val="007B7E2F"/>
    <w:rsid w:val="007C02C0"/>
    <w:rsid w:val="007C0509"/>
    <w:rsid w:val="007C27DC"/>
    <w:rsid w:val="007C2AEB"/>
    <w:rsid w:val="007C4669"/>
    <w:rsid w:val="007C48A9"/>
    <w:rsid w:val="007C49DD"/>
    <w:rsid w:val="007C630A"/>
    <w:rsid w:val="007D023E"/>
    <w:rsid w:val="007D35AF"/>
    <w:rsid w:val="007D46E6"/>
    <w:rsid w:val="007D4E74"/>
    <w:rsid w:val="007D55C8"/>
    <w:rsid w:val="007D57DE"/>
    <w:rsid w:val="007D5F9E"/>
    <w:rsid w:val="007D5FD7"/>
    <w:rsid w:val="007D6403"/>
    <w:rsid w:val="007D64BC"/>
    <w:rsid w:val="007D771B"/>
    <w:rsid w:val="007E0691"/>
    <w:rsid w:val="007E098F"/>
    <w:rsid w:val="007E0B98"/>
    <w:rsid w:val="007E11ED"/>
    <w:rsid w:val="007E1BA5"/>
    <w:rsid w:val="007E1CD1"/>
    <w:rsid w:val="007E2142"/>
    <w:rsid w:val="007E2ECF"/>
    <w:rsid w:val="007E347D"/>
    <w:rsid w:val="007E35C8"/>
    <w:rsid w:val="007E3BA2"/>
    <w:rsid w:val="007E4135"/>
    <w:rsid w:val="007E44D1"/>
    <w:rsid w:val="007E551C"/>
    <w:rsid w:val="007E5B6A"/>
    <w:rsid w:val="007E733F"/>
    <w:rsid w:val="007E7731"/>
    <w:rsid w:val="007F07FE"/>
    <w:rsid w:val="007F1A4C"/>
    <w:rsid w:val="007F3267"/>
    <w:rsid w:val="007F3607"/>
    <w:rsid w:val="007F635E"/>
    <w:rsid w:val="007F723F"/>
    <w:rsid w:val="00801F89"/>
    <w:rsid w:val="008022C3"/>
    <w:rsid w:val="008037DF"/>
    <w:rsid w:val="00803958"/>
    <w:rsid w:val="008041D1"/>
    <w:rsid w:val="008041E6"/>
    <w:rsid w:val="0080548D"/>
    <w:rsid w:val="008065D2"/>
    <w:rsid w:val="00807169"/>
    <w:rsid w:val="008125A2"/>
    <w:rsid w:val="008136E2"/>
    <w:rsid w:val="00813878"/>
    <w:rsid w:val="00813E37"/>
    <w:rsid w:val="008149B5"/>
    <w:rsid w:val="00814E33"/>
    <w:rsid w:val="008157F9"/>
    <w:rsid w:val="00815A8A"/>
    <w:rsid w:val="00816539"/>
    <w:rsid w:val="0082059B"/>
    <w:rsid w:val="008209C4"/>
    <w:rsid w:val="00820D29"/>
    <w:rsid w:val="0082194C"/>
    <w:rsid w:val="008222FF"/>
    <w:rsid w:val="00823B91"/>
    <w:rsid w:val="00823FD2"/>
    <w:rsid w:val="008241FF"/>
    <w:rsid w:val="008269EC"/>
    <w:rsid w:val="00827428"/>
    <w:rsid w:val="00831A73"/>
    <w:rsid w:val="008337EF"/>
    <w:rsid w:val="00834152"/>
    <w:rsid w:val="008342D7"/>
    <w:rsid w:val="00834A37"/>
    <w:rsid w:val="008358E1"/>
    <w:rsid w:val="00835944"/>
    <w:rsid w:val="0083651C"/>
    <w:rsid w:val="00836707"/>
    <w:rsid w:val="0084019D"/>
    <w:rsid w:val="008409CA"/>
    <w:rsid w:val="00840E20"/>
    <w:rsid w:val="008411E9"/>
    <w:rsid w:val="00841617"/>
    <w:rsid w:val="00841B73"/>
    <w:rsid w:val="00841CD9"/>
    <w:rsid w:val="0084200F"/>
    <w:rsid w:val="008429A0"/>
    <w:rsid w:val="00842CA6"/>
    <w:rsid w:val="00843B2C"/>
    <w:rsid w:val="00844290"/>
    <w:rsid w:val="00844F16"/>
    <w:rsid w:val="008450E0"/>
    <w:rsid w:val="00846968"/>
    <w:rsid w:val="0085040A"/>
    <w:rsid w:val="0085043F"/>
    <w:rsid w:val="00851496"/>
    <w:rsid w:val="00851D6B"/>
    <w:rsid w:val="00851DB7"/>
    <w:rsid w:val="00854C82"/>
    <w:rsid w:val="008559D2"/>
    <w:rsid w:val="00855FF9"/>
    <w:rsid w:val="00856935"/>
    <w:rsid w:val="00856CA6"/>
    <w:rsid w:val="00857EE5"/>
    <w:rsid w:val="00860BB9"/>
    <w:rsid w:val="00860FA0"/>
    <w:rsid w:val="008617E2"/>
    <w:rsid w:val="00862211"/>
    <w:rsid w:val="0086277A"/>
    <w:rsid w:val="008636DA"/>
    <w:rsid w:val="00864493"/>
    <w:rsid w:val="00865B29"/>
    <w:rsid w:val="0086651B"/>
    <w:rsid w:val="008668A8"/>
    <w:rsid w:val="00867766"/>
    <w:rsid w:val="00867979"/>
    <w:rsid w:val="0087076C"/>
    <w:rsid w:val="00870D59"/>
    <w:rsid w:val="008710F8"/>
    <w:rsid w:val="0087441C"/>
    <w:rsid w:val="008747FA"/>
    <w:rsid w:val="00876085"/>
    <w:rsid w:val="0087630E"/>
    <w:rsid w:val="008768AD"/>
    <w:rsid w:val="00877175"/>
    <w:rsid w:val="00880AC4"/>
    <w:rsid w:val="00881671"/>
    <w:rsid w:val="00881C02"/>
    <w:rsid w:val="00883098"/>
    <w:rsid w:val="00883463"/>
    <w:rsid w:val="008850AF"/>
    <w:rsid w:val="008864C1"/>
    <w:rsid w:val="008865DC"/>
    <w:rsid w:val="00886603"/>
    <w:rsid w:val="0088687E"/>
    <w:rsid w:val="00886FFF"/>
    <w:rsid w:val="00887C36"/>
    <w:rsid w:val="0089001C"/>
    <w:rsid w:val="0089211A"/>
    <w:rsid w:val="008924C0"/>
    <w:rsid w:val="00892706"/>
    <w:rsid w:val="00894226"/>
    <w:rsid w:val="0089624B"/>
    <w:rsid w:val="00897379"/>
    <w:rsid w:val="00897447"/>
    <w:rsid w:val="008A2A0A"/>
    <w:rsid w:val="008A3EE4"/>
    <w:rsid w:val="008A4131"/>
    <w:rsid w:val="008A4900"/>
    <w:rsid w:val="008A4930"/>
    <w:rsid w:val="008A55FE"/>
    <w:rsid w:val="008A5D7B"/>
    <w:rsid w:val="008A6126"/>
    <w:rsid w:val="008A7B92"/>
    <w:rsid w:val="008A7F61"/>
    <w:rsid w:val="008B07D7"/>
    <w:rsid w:val="008B0B48"/>
    <w:rsid w:val="008B146D"/>
    <w:rsid w:val="008B2295"/>
    <w:rsid w:val="008B237E"/>
    <w:rsid w:val="008B27F2"/>
    <w:rsid w:val="008B31C5"/>
    <w:rsid w:val="008B3781"/>
    <w:rsid w:val="008B3CE0"/>
    <w:rsid w:val="008B3DD2"/>
    <w:rsid w:val="008B42AD"/>
    <w:rsid w:val="008B4A72"/>
    <w:rsid w:val="008B51B5"/>
    <w:rsid w:val="008B5666"/>
    <w:rsid w:val="008B5936"/>
    <w:rsid w:val="008B5BF4"/>
    <w:rsid w:val="008B769C"/>
    <w:rsid w:val="008C0325"/>
    <w:rsid w:val="008C118B"/>
    <w:rsid w:val="008C1D2E"/>
    <w:rsid w:val="008C35FB"/>
    <w:rsid w:val="008C43E1"/>
    <w:rsid w:val="008C4E76"/>
    <w:rsid w:val="008C510E"/>
    <w:rsid w:val="008C63DF"/>
    <w:rsid w:val="008C6AC4"/>
    <w:rsid w:val="008C7C24"/>
    <w:rsid w:val="008D0281"/>
    <w:rsid w:val="008D0D7D"/>
    <w:rsid w:val="008D2537"/>
    <w:rsid w:val="008D3032"/>
    <w:rsid w:val="008D4A3A"/>
    <w:rsid w:val="008D569B"/>
    <w:rsid w:val="008D6536"/>
    <w:rsid w:val="008D679E"/>
    <w:rsid w:val="008D6F94"/>
    <w:rsid w:val="008D6FED"/>
    <w:rsid w:val="008E0C86"/>
    <w:rsid w:val="008E1543"/>
    <w:rsid w:val="008E1573"/>
    <w:rsid w:val="008E204A"/>
    <w:rsid w:val="008E2348"/>
    <w:rsid w:val="008E2558"/>
    <w:rsid w:val="008E28A3"/>
    <w:rsid w:val="008E2EA8"/>
    <w:rsid w:val="008E2F75"/>
    <w:rsid w:val="008E5A98"/>
    <w:rsid w:val="008E6DF1"/>
    <w:rsid w:val="008F0D3C"/>
    <w:rsid w:val="008F11C1"/>
    <w:rsid w:val="008F1659"/>
    <w:rsid w:val="008F165C"/>
    <w:rsid w:val="008F2457"/>
    <w:rsid w:val="008F294A"/>
    <w:rsid w:val="008F3014"/>
    <w:rsid w:val="008F361F"/>
    <w:rsid w:val="008F3781"/>
    <w:rsid w:val="008F39CD"/>
    <w:rsid w:val="008F4582"/>
    <w:rsid w:val="008F4ACE"/>
    <w:rsid w:val="008F6490"/>
    <w:rsid w:val="008F6D45"/>
    <w:rsid w:val="008F7A45"/>
    <w:rsid w:val="00900138"/>
    <w:rsid w:val="00901628"/>
    <w:rsid w:val="00902027"/>
    <w:rsid w:val="009026D1"/>
    <w:rsid w:val="0090394E"/>
    <w:rsid w:val="0090412A"/>
    <w:rsid w:val="00904BCE"/>
    <w:rsid w:val="00904D8C"/>
    <w:rsid w:val="00904EBC"/>
    <w:rsid w:val="009066BE"/>
    <w:rsid w:val="0090732E"/>
    <w:rsid w:val="0090780B"/>
    <w:rsid w:val="00907B09"/>
    <w:rsid w:val="00907BF2"/>
    <w:rsid w:val="00907F92"/>
    <w:rsid w:val="00911266"/>
    <w:rsid w:val="00911B2D"/>
    <w:rsid w:val="00911C9F"/>
    <w:rsid w:val="00911F4B"/>
    <w:rsid w:val="009149C2"/>
    <w:rsid w:val="009153B7"/>
    <w:rsid w:val="00916538"/>
    <w:rsid w:val="009169E8"/>
    <w:rsid w:val="009170BE"/>
    <w:rsid w:val="00917FED"/>
    <w:rsid w:val="0092117B"/>
    <w:rsid w:val="009216FE"/>
    <w:rsid w:val="00922944"/>
    <w:rsid w:val="00923814"/>
    <w:rsid w:val="00924967"/>
    <w:rsid w:val="00924C64"/>
    <w:rsid w:val="00926B32"/>
    <w:rsid w:val="00926BAA"/>
    <w:rsid w:val="00927434"/>
    <w:rsid w:val="00930509"/>
    <w:rsid w:val="009318D3"/>
    <w:rsid w:val="0093223D"/>
    <w:rsid w:val="00932E34"/>
    <w:rsid w:val="009346EB"/>
    <w:rsid w:val="009347F1"/>
    <w:rsid w:val="00935896"/>
    <w:rsid w:val="00935C1B"/>
    <w:rsid w:val="00936479"/>
    <w:rsid w:val="00936AC0"/>
    <w:rsid w:val="00937A10"/>
    <w:rsid w:val="00937ABA"/>
    <w:rsid w:val="00937BDF"/>
    <w:rsid w:val="00940493"/>
    <w:rsid w:val="009405E1"/>
    <w:rsid w:val="00943D82"/>
    <w:rsid w:val="00944DAF"/>
    <w:rsid w:val="009454E1"/>
    <w:rsid w:val="0095402B"/>
    <w:rsid w:val="00954468"/>
    <w:rsid w:val="00954E69"/>
    <w:rsid w:val="00955D93"/>
    <w:rsid w:val="00956609"/>
    <w:rsid w:val="00962EDB"/>
    <w:rsid w:val="0096334D"/>
    <w:rsid w:val="00965158"/>
    <w:rsid w:val="00966115"/>
    <w:rsid w:val="00967817"/>
    <w:rsid w:val="00967C21"/>
    <w:rsid w:val="00970973"/>
    <w:rsid w:val="00970E9E"/>
    <w:rsid w:val="00971158"/>
    <w:rsid w:val="00972AF5"/>
    <w:rsid w:val="0097517B"/>
    <w:rsid w:val="00976010"/>
    <w:rsid w:val="00977585"/>
    <w:rsid w:val="00980593"/>
    <w:rsid w:val="009806F3"/>
    <w:rsid w:val="009807EF"/>
    <w:rsid w:val="00980CF8"/>
    <w:rsid w:val="009827FE"/>
    <w:rsid w:val="009834C0"/>
    <w:rsid w:val="00984332"/>
    <w:rsid w:val="00984659"/>
    <w:rsid w:val="00984EE6"/>
    <w:rsid w:val="009850BD"/>
    <w:rsid w:val="00985507"/>
    <w:rsid w:val="009862DD"/>
    <w:rsid w:val="00986AAC"/>
    <w:rsid w:val="00987E2D"/>
    <w:rsid w:val="0099040B"/>
    <w:rsid w:val="00990B5C"/>
    <w:rsid w:val="00992D80"/>
    <w:rsid w:val="00993889"/>
    <w:rsid w:val="009939A9"/>
    <w:rsid w:val="00994125"/>
    <w:rsid w:val="009949AD"/>
    <w:rsid w:val="00995526"/>
    <w:rsid w:val="009978F4"/>
    <w:rsid w:val="00997D12"/>
    <w:rsid w:val="009A0B3A"/>
    <w:rsid w:val="009A1082"/>
    <w:rsid w:val="009A1DA2"/>
    <w:rsid w:val="009A2602"/>
    <w:rsid w:val="009A34F6"/>
    <w:rsid w:val="009A3704"/>
    <w:rsid w:val="009A41F7"/>
    <w:rsid w:val="009A4200"/>
    <w:rsid w:val="009A459D"/>
    <w:rsid w:val="009A4739"/>
    <w:rsid w:val="009A4ACD"/>
    <w:rsid w:val="009A5419"/>
    <w:rsid w:val="009A56F1"/>
    <w:rsid w:val="009A5EFA"/>
    <w:rsid w:val="009A674F"/>
    <w:rsid w:val="009A6D22"/>
    <w:rsid w:val="009A70C3"/>
    <w:rsid w:val="009A7529"/>
    <w:rsid w:val="009A78BB"/>
    <w:rsid w:val="009A79E7"/>
    <w:rsid w:val="009B05D7"/>
    <w:rsid w:val="009B199C"/>
    <w:rsid w:val="009B43FE"/>
    <w:rsid w:val="009B5CA3"/>
    <w:rsid w:val="009B61F1"/>
    <w:rsid w:val="009B62E0"/>
    <w:rsid w:val="009B656C"/>
    <w:rsid w:val="009B70DA"/>
    <w:rsid w:val="009B7619"/>
    <w:rsid w:val="009C1ABD"/>
    <w:rsid w:val="009C3D88"/>
    <w:rsid w:val="009C5D5B"/>
    <w:rsid w:val="009D0181"/>
    <w:rsid w:val="009D15B4"/>
    <w:rsid w:val="009D1659"/>
    <w:rsid w:val="009D165D"/>
    <w:rsid w:val="009D1B61"/>
    <w:rsid w:val="009D20BD"/>
    <w:rsid w:val="009D2BA9"/>
    <w:rsid w:val="009D30FD"/>
    <w:rsid w:val="009D32D5"/>
    <w:rsid w:val="009D346E"/>
    <w:rsid w:val="009D4194"/>
    <w:rsid w:val="009D5491"/>
    <w:rsid w:val="009D559C"/>
    <w:rsid w:val="009D6C6B"/>
    <w:rsid w:val="009D7469"/>
    <w:rsid w:val="009E042B"/>
    <w:rsid w:val="009E0CA8"/>
    <w:rsid w:val="009E1651"/>
    <w:rsid w:val="009E167A"/>
    <w:rsid w:val="009E1BC3"/>
    <w:rsid w:val="009E2811"/>
    <w:rsid w:val="009E2E9D"/>
    <w:rsid w:val="009E37B6"/>
    <w:rsid w:val="009E3858"/>
    <w:rsid w:val="009E44EF"/>
    <w:rsid w:val="009E467D"/>
    <w:rsid w:val="009E4A35"/>
    <w:rsid w:val="009E5050"/>
    <w:rsid w:val="009E5648"/>
    <w:rsid w:val="009E5EF2"/>
    <w:rsid w:val="009E64C0"/>
    <w:rsid w:val="009E682F"/>
    <w:rsid w:val="009E70DD"/>
    <w:rsid w:val="009F06C4"/>
    <w:rsid w:val="009F2187"/>
    <w:rsid w:val="009F227E"/>
    <w:rsid w:val="009F2964"/>
    <w:rsid w:val="009F2A4B"/>
    <w:rsid w:val="009F2CEB"/>
    <w:rsid w:val="009F2ED9"/>
    <w:rsid w:val="009F2F9B"/>
    <w:rsid w:val="009F319D"/>
    <w:rsid w:val="009F3226"/>
    <w:rsid w:val="009F3231"/>
    <w:rsid w:val="009F3732"/>
    <w:rsid w:val="009F5C58"/>
    <w:rsid w:val="009F643D"/>
    <w:rsid w:val="009F712A"/>
    <w:rsid w:val="009F779A"/>
    <w:rsid w:val="00A011C7"/>
    <w:rsid w:val="00A023A0"/>
    <w:rsid w:val="00A026F5"/>
    <w:rsid w:val="00A02A84"/>
    <w:rsid w:val="00A049DE"/>
    <w:rsid w:val="00A05379"/>
    <w:rsid w:val="00A055F7"/>
    <w:rsid w:val="00A05EBC"/>
    <w:rsid w:val="00A07DA9"/>
    <w:rsid w:val="00A10276"/>
    <w:rsid w:val="00A129BD"/>
    <w:rsid w:val="00A1562B"/>
    <w:rsid w:val="00A15B96"/>
    <w:rsid w:val="00A170F4"/>
    <w:rsid w:val="00A178F7"/>
    <w:rsid w:val="00A20074"/>
    <w:rsid w:val="00A21408"/>
    <w:rsid w:val="00A21758"/>
    <w:rsid w:val="00A21CFD"/>
    <w:rsid w:val="00A22266"/>
    <w:rsid w:val="00A22C81"/>
    <w:rsid w:val="00A22D7A"/>
    <w:rsid w:val="00A24313"/>
    <w:rsid w:val="00A2500D"/>
    <w:rsid w:val="00A251D8"/>
    <w:rsid w:val="00A25909"/>
    <w:rsid w:val="00A25B78"/>
    <w:rsid w:val="00A260CF"/>
    <w:rsid w:val="00A27EF6"/>
    <w:rsid w:val="00A305FE"/>
    <w:rsid w:val="00A313FA"/>
    <w:rsid w:val="00A34037"/>
    <w:rsid w:val="00A34620"/>
    <w:rsid w:val="00A35539"/>
    <w:rsid w:val="00A36F4D"/>
    <w:rsid w:val="00A40495"/>
    <w:rsid w:val="00A423F0"/>
    <w:rsid w:val="00A43B8A"/>
    <w:rsid w:val="00A44C55"/>
    <w:rsid w:val="00A45063"/>
    <w:rsid w:val="00A459C6"/>
    <w:rsid w:val="00A4608B"/>
    <w:rsid w:val="00A46288"/>
    <w:rsid w:val="00A46BA8"/>
    <w:rsid w:val="00A46BFE"/>
    <w:rsid w:val="00A47273"/>
    <w:rsid w:val="00A47634"/>
    <w:rsid w:val="00A5172A"/>
    <w:rsid w:val="00A52D8D"/>
    <w:rsid w:val="00A53179"/>
    <w:rsid w:val="00A548C1"/>
    <w:rsid w:val="00A54C6E"/>
    <w:rsid w:val="00A55E44"/>
    <w:rsid w:val="00A5678F"/>
    <w:rsid w:val="00A5728C"/>
    <w:rsid w:val="00A57DBB"/>
    <w:rsid w:val="00A612FE"/>
    <w:rsid w:val="00A61493"/>
    <w:rsid w:val="00A63589"/>
    <w:rsid w:val="00A647BE"/>
    <w:rsid w:val="00A66675"/>
    <w:rsid w:val="00A66D1F"/>
    <w:rsid w:val="00A675A5"/>
    <w:rsid w:val="00A70B49"/>
    <w:rsid w:val="00A721FE"/>
    <w:rsid w:val="00A73269"/>
    <w:rsid w:val="00A75138"/>
    <w:rsid w:val="00A75228"/>
    <w:rsid w:val="00A752C0"/>
    <w:rsid w:val="00A75641"/>
    <w:rsid w:val="00A7606F"/>
    <w:rsid w:val="00A762CD"/>
    <w:rsid w:val="00A7631C"/>
    <w:rsid w:val="00A773A6"/>
    <w:rsid w:val="00A8064E"/>
    <w:rsid w:val="00A8126A"/>
    <w:rsid w:val="00A81CAA"/>
    <w:rsid w:val="00A81E18"/>
    <w:rsid w:val="00A81E55"/>
    <w:rsid w:val="00A828A6"/>
    <w:rsid w:val="00A8385B"/>
    <w:rsid w:val="00A84092"/>
    <w:rsid w:val="00A84A94"/>
    <w:rsid w:val="00A86FBD"/>
    <w:rsid w:val="00A8711E"/>
    <w:rsid w:val="00A872E3"/>
    <w:rsid w:val="00A90D07"/>
    <w:rsid w:val="00A90D3E"/>
    <w:rsid w:val="00A90F2C"/>
    <w:rsid w:val="00A92D94"/>
    <w:rsid w:val="00A96B17"/>
    <w:rsid w:val="00A97464"/>
    <w:rsid w:val="00A97DC3"/>
    <w:rsid w:val="00AA081E"/>
    <w:rsid w:val="00AA1CE3"/>
    <w:rsid w:val="00AA26B8"/>
    <w:rsid w:val="00AA26BD"/>
    <w:rsid w:val="00AA2D70"/>
    <w:rsid w:val="00AA3C6A"/>
    <w:rsid w:val="00AA4EE1"/>
    <w:rsid w:val="00AA4F8F"/>
    <w:rsid w:val="00AA5047"/>
    <w:rsid w:val="00AA593F"/>
    <w:rsid w:val="00AA5DE0"/>
    <w:rsid w:val="00AA6E4C"/>
    <w:rsid w:val="00AB01C0"/>
    <w:rsid w:val="00AB135D"/>
    <w:rsid w:val="00AB1B76"/>
    <w:rsid w:val="00AB2354"/>
    <w:rsid w:val="00AB2E85"/>
    <w:rsid w:val="00AC0B87"/>
    <w:rsid w:val="00AC1B88"/>
    <w:rsid w:val="00AC1BE7"/>
    <w:rsid w:val="00AC2624"/>
    <w:rsid w:val="00AC26D1"/>
    <w:rsid w:val="00AC32A8"/>
    <w:rsid w:val="00AC4942"/>
    <w:rsid w:val="00AC53E8"/>
    <w:rsid w:val="00AC6176"/>
    <w:rsid w:val="00AC6699"/>
    <w:rsid w:val="00AC6A25"/>
    <w:rsid w:val="00AC6B0B"/>
    <w:rsid w:val="00AC7328"/>
    <w:rsid w:val="00AC7662"/>
    <w:rsid w:val="00AD0589"/>
    <w:rsid w:val="00AD0B05"/>
    <w:rsid w:val="00AD0F5B"/>
    <w:rsid w:val="00AD1991"/>
    <w:rsid w:val="00AD2FA4"/>
    <w:rsid w:val="00AD4277"/>
    <w:rsid w:val="00AD43D1"/>
    <w:rsid w:val="00AD7B53"/>
    <w:rsid w:val="00AD7D64"/>
    <w:rsid w:val="00AD7E4E"/>
    <w:rsid w:val="00AE4266"/>
    <w:rsid w:val="00AE4B6B"/>
    <w:rsid w:val="00AE5C7C"/>
    <w:rsid w:val="00AE7988"/>
    <w:rsid w:val="00AF179A"/>
    <w:rsid w:val="00AF4023"/>
    <w:rsid w:val="00AF4665"/>
    <w:rsid w:val="00AF469B"/>
    <w:rsid w:val="00AF4D58"/>
    <w:rsid w:val="00AF62BD"/>
    <w:rsid w:val="00AF6666"/>
    <w:rsid w:val="00AF682D"/>
    <w:rsid w:val="00AF6AEF"/>
    <w:rsid w:val="00AF73C3"/>
    <w:rsid w:val="00AF7BC5"/>
    <w:rsid w:val="00B02A67"/>
    <w:rsid w:val="00B02BA6"/>
    <w:rsid w:val="00B03E35"/>
    <w:rsid w:val="00B051DE"/>
    <w:rsid w:val="00B06A45"/>
    <w:rsid w:val="00B07163"/>
    <w:rsid w:val="00B07EC0"/>
    <w:rsid w:val="00B10BC1"/>
    <w:rsid w:val="00B11519"/>
    <w:rsid w:val="00B12BB0"/>
    <w:rsid w:val="00B13D09"/>
    <w:rsid w:val="00B14167"/>
    <w:rsid w:val="00B175BB"/>
    <w:rsid w:val="00B17742"/>
    <w:rsid w:val="00B1791B"/>
    <w:rsid w:val="00B20342"/>
    <w:rsid w:val="00B20428"/>
    <w:rsid w:val="00B20595"/>
    <w:rsid w:val="00B211A0"/>
    <w:rsid w:val="00B21482"/>
    <w:rsid w:val="00B214DF"/>
    <w:rsid w:val="00B22BAC"/>
    <w:rsid w:val="00B23E79"/>
    <w:rsid w:val="00B24AB6"/>
    <w:rsid w:val="00B2525A"/>
    <w:rsid w:val="00B25860"/>
    <w:rsid w:val="00B2781D"/>
    <w:rsid w:val="00B305B4"/>
    <w:rsid w:val="00B31109"/>
    <w:rsid w:val="00B3200A"/>
    <w:rsid w:val="00B323C0"/>
    <w:rsid w:val="00B336B0"/>
    <w:rsid w:val="00B33D45"/>
    <w:rsid w:val="00B355FF"/>
    <w:rsid w:val="00B35AF9"/>
    <w:rsid w:val="00B3782A"/>
    <w:rsid w:val="00B401AC"/>
    <w:rsid w:val="00B40518"/>
    <w:rsid w:val="00B41186"/>
    <w:rsid w:val="00B41A36"/>
    <w:rsid w:val="00B430EC"/>
    <w:rsid w:val="00B4343D"/>
    <w:rsid w:val="00B45175"/>
    <w:rsid w:val="00B452FC"/>
    <w:rsid w:val="00B45F4B"/>
    <w:rsid w:val="00B46FA4"/>
    <w:rsid w:val="00B47669"/>
    <w:rsid w:val="00B504B6"/>
    <w:rsid w:val="00B514E6"/>
    <w:rsid w:val="00B514EA"/>
    <w:rsid w:val="00B51F57"/>
    <w:rsid w:val="00B52573"/>
    <w:rsid w:val="00B53454"/>
    <w:rsid w:val="00B54469"/>
    <w:rsid w:val="00B54BED"/>
    <w:rsid w:val="00B602C4"/>
    <w:rsid w:val="00B662AD"/>
    <w:rsid w:val="00B67738"/>
    <w:rsid w:val="00B67C79"/>
    <w:rsid w:val="00B67CE9"/>
    <w:rsid w:val="00B67E6B"/>
    <w:rsid w:val="00B704ED"/>
    <w:rsid w:val="00B718CB"/>
    <w:rsid w:val="00B73E93"/>
    <w:rsid w:val="00B74FD5"/>
    <w:rsid w:val="00B75B26"/>
    <w:rsid w:val="00B76C73"/>
    <w:rsid w:val="00B77441"/>
    <w:rsid w:val="00B77854"/>
    <w:rsid w:val="00B77DAB"/>
    <w:rsid w:val="00B8026E"/>
    <w:rsid w:val="00B80D49"/>
    <w:rsid w:val="00B81653"/>
    <w:rsid w:val="00B81673"/>
    <w:rsid w:val="00B81B44"/>
    <w:rsid w:val="00B82B79"/>
    <w:rsid w:val="00B85862"/>
    <w:rsid w:val="00B85F89"/>
    <w:rsid w:val="00B86E9E"/>
    <w:rsid w:val="00B9053B"/>
    <w:rsid w:val="00B909BA"/>
    <w:rsid w:val="00B9105A"/>
    <w:rsid w:val="00B924E4"/>
    <w:rsid w:val="00B949C0"/>
    <w:rsid w:val="00B95C66"/>
    <w:rsid w:val="00B95D2E"/>
    <w:rsid w:val="00BA0C37"/>
    <w:rsid w:val="00BA1116"/>
    <w:rsid w:val="00BA1DE1"/>
    <w:rsid w:val="00BA2891"/>
    <w:rsid w:val="00BA3782"/>
    <w:rsid w:val="00BA5423"/>
    <w:rsid w:val="00BA61AE"/>
    <w:rsid w:val="00BB0EBB"/>
    <w:rsid w:val="00BB165F"/>
    <w:rsid w:val="00BB1BC1"/>
    <w:rsid w:val="00BB2132"/>
    <w:rsid w:val="00BB331A"/>
    <w:rsid w:val="00BB4D98"/>
    <w:rsid w:val="00BB4EBF"/>
    <w:rsid w:val="00BB59E0"/>
    <w:rsid w:val="00BB60EE"/>
    <w:rsid w:val="00BC016E"/>
    <w:rsid w:val="00BC0297"/>
    <w:rsid w:val="00BC04AD"/>
    <w:rsid w:val="00BC062B"/>
    <w:rsid w:val="00BC123F"/>
    <w:rsid w:val="00BC23A2"/>
    <w:rsid w:val="00BC315C"/>
    <w:rsid w:val="00BC3422"/>
    <w:rsid w:val="00BC56E2"/>
    <w:rsid w:val="00BC56FE"/>
    <w:rsid w:val="00BC59C8"/>
    <w:rsid w:val="00BC6915"/>
    <w:rsid w:val="00BC6E19"/>
    <w:rsid w:val="00BC737F"/>
    <w:rsid w:val="00BD210A"/>
    <w:rsid w:val="00BD21C8"/>
    <w:rsid w:val="00BD3AE5"/>
    <w:rsid w:val="00BD4E5E"/>
    <w:rsid w:val="00BD5018"/>
    <w:rsid w:val="00BD6AEB"/>
    <w:rsid w:val="00BD7B69"/>
    <w:rsid w:val="00BE1236"/>
    <w:rsid w:val="00BE1963"/>
    <w:rsid w:val="00BE3F15"/>
    <w:rsid w:val="00BE44B8"/>
    <w:rsid w:val="00BE5769"/>
    <w:rsid w:val="00BE5ADC"/>
    <w:rsid w:val="00BE601E"/>
    <w:rsid w:val="00BE6FFC"/>
    <w:rsid w:val="00BE71F7"/>
    <w:rsid w:val="00BE739C"/>
    <w:rsid w:val="00BE75FD"/>
    <w:rsid w:val="00BE7D3F"/>
    <w:rsid w:val="00BF09A5"/>
    <w:rsid w:val="00BF21BE"/>
    <w:rsid w:val="00BF2543"/>
    <w:rsid w:val="00BF31CC"/>
    <w:rsid w:val="00BF328E"/>
    <w:rsid w:val="00BF4F96"/>
    <w:rsid w:val="00BF5BB4"/>
    <w:rsid w:val="00BF5C82"/>
    <w:rsid w:val="00BF5F01"/>
    <w:rsid w:val="00C015B9"/>
    <w:rsid w:val="00C022F9"/>
    <w:rsid w:val="00C03262"/>
    <w:rsid w:val="00C032EA"/>
    <w:rsid w:val="00C03918"/>
    <w:rsid w:val="00C04A89"/>
    <w:rsid w:val="00C06EB5"/>
    <w:rsid w:val="00C07B59"/>
    <w:rsid w:val="00C10AA6"/>
    <w:rsid w:val="00C1145F"/>
    <w:rsid w:val="00C1160A"/>
    <w:rsid w:val="00C11CD1"/>
    <w:rsid w:val="00C11F1E"/>
    <w:rsid w:val="00C12253"/>
    <w:rsid w:val="00C12F3C"/>
    <w:rsid w:val="00C145EF"/>
    <w:rsid w:val="00C15701"/>
    <w:rsid w:val="00C15D7B"/>
    <w:rsid w:val="00C16B29"/>
    <w:rsid w:val="00C16E4F"/>
    <w:rsid w:val="00C16FA9"/>
    <w:rsid w:val="00C179EC"/>
    <w:rsid w:val="00C20433"/>
    <w:rsid w:val="00C2065A"/>
    <w:rsid w:val="00C21470"/>
    <w:rsid w:val="00C21F17"/>
    <w:rsid w:val="00C22337"/>
    <w:rsid w:val="00C2366C"/>
    <w:rsid w:val="00C259CD"/>
    <w:rsid w:val="00C25B0D"/>
    <w:rsid w:val="00C25E1B"/>
    <w:rsid w:val="00C26B88"/>
    <w:rsid w:val="00C26F55"/>
    <w:rsid w:val="00C27EF7"/>
    <w:rsid w:val="00C32D49"/>
    <w:rsid w:val="00C338D8"/>
    <w:rsid w:val="00C33AD3"/>
    <w:rsid w:val="00C34B7B"/>
    <w:rsid w:val="00C34E6E"/>
    <w:rsid w:val="00C35BCE"/>
    <w:rsid w:val="00C41B3C"/>
    <w:rsid w:val="00C421F4"/>
    <w:rsid w:val="00C424B1"/>
    <w:rsid w:val="00C43658"/>
    <w:rsid w:val="00C43F06"/>
    <w:rsid w:val="00C44376"/>
    <w:rsid w:val="00C5011E"/>
    <w:rsid w:val="00C50FA7"/>
    <w:rsid w:val="00C5112F"/>
    <w:rsid w:val="00C515DE"/>
    <w:rsid w:val="00C51C01"/>
    <w:rsid w:val="00C54146"/>
    <w:rsid w:val="00C54414"/>
    <w:rsid w:val="00C55C65"/>
    <w:rsid w:val="00C5628C"/>
    <w:rsid w:val="00C566B4"/>
    <w:rsid w:val="00C56A0A"/>
    <w:rsid w:val="00C57BDB"/>
    <w:rsid w:val="00C6067E"/>
    <w:rsid w:val="00C630A6"/>
    <w:rsid w:val="00C637E1"/>
    <w:rsid w:val="00C664E8"/>
    <w:rsid w:val="00C665B2"/>
    <w:rsid w:val="00C67EAC"/>
    <w:rsid w:val="00C70B32"/>
    <w:rsid w:val="00C70C40"/>
    <w:rsid w:val="00C70D50"/>
    <w:rsid w:val="00C70F93"/>
    <w:rsid w:val="00C714CD"/>
    <w:rsid w:val="00C72252"/>
    <w:rsid w:val="00C72F9A"/>
    <w:rsid w:val="00C767C1"/>
    <w:rsid w:val="00C80A6B"/>
    <w:rsid w:val="00C80B4E"/>
    <w:rsid w:val="00C81105"/>
    <w:rsid w:val="00C81F8A"/>
    <w:rsid w:val="00C83EC1"/>
    <w:rsid w:val="00C857DB"/>
    <w:rsid w:val="00C86242"/>
    <w:rsid w:val="00C86D2C"/>
    <w:rsid w:val="00C87359"/>
    <w:rsid w:val="00C90387"/>
    <w:rsid w:val="00C907D7"/>
    <w:rsid w:val="00C90C7A"/>
    <w:rsid w:val="00C91056"/>
    <w:rsid w:val="00C9134D"/>
    <w:rsid w:val="00C92338"/>
    <w:rsid w:val="00C935ED"/>
    <w:rsid w:val="00C94D70"/>
    <w:rsid w:val="00C9553F"/>
    <w:rsid w:val="00C95BF0"/>
    <w:rsid w:val="00C96A32"/>
    <w:rsid w:val="00C96D2E"/>
    <w:rsid w:val="00C9747A"/>
    <w:rsid w:val="00C975F0"/>
    <w:rsid w:val="00CA05DC"/>
    <w:rsid w:val="00CA07F2"/>
    <w:rsid w:val="00CA0A95"/>
    <w:rsid w:val="00CA2259"/>
    <w:rsid w:val="00CA2474"/>
    <w:rsid w:val="00CA2935"/>
    <w:rsid w:val="00CA2A1B"/>
    <w:rsid w:val="00CA3533"/>
    <w:rsid w:val="00CA3830"/>
    <w:rsid w:val="00CA7B47"/>
    <w:rsid w:val="00CB0507"/>
    <w:rsid w:val="00CB0BA7"/>
    <w:rsid w:val="00CB1E52"/>
    <w:rsid w:val="00CB1E6C"/>
    <w:rsid w:val="00CB1F54"/>
    <w:rsid w:val="00CB2E41"/>
    <w:rsid w:val="00CB32FC"/>
    <w:rsid w:val="00CB35D1"/>
    <w:rsid w:val="00CB3976"/>
    <w:rsid w:val="00CB39B0"/>
    <w:rsid w:val="00CB516E"/>
    <w:rsid w:val="00CB5488"/>
    <w:rsid w:val="00CB6045"/>
    <w:rsid w:val="00CB7975"/>
    <w:rsid w:val="00CB7AE9"/>
    <w:rsid w:val="00CC0936"/>
    <w:rsid w:val="00CC0AB1"/>
    <w:rsid w:val="00CC12E2"/>
    <w:rsid w:val="00CC1ABE"/>
    <w:rsid w:val="00CC306E"/>
    <w:rsid w:val="00CC325F"/>
    <w:rsid w:val="00CC34B0"/>
    <w:rsid w:val="00CC38B0"/>
    <w:rsid w:val="00CC526A"/>
    <w:rsid w:val="00CC6A4B"/>
    <w:rsid w:val="00CD0307"/>
    <w:rsid w:val="00CD219B"/>
    <w:rsid w:val="00CD245C"/>
    <w:rsid w:val="00CD336B"/>
    <w:rsid w:val="00CD3D1B"/>
    <w:rsid w:val="00CD4E70"/>
    <w:rsid w:val="00CD5444"/>
    <w:rsid w:val="00CD56E1"/>
    <w:rsid w:val="00CE083F"/>
    <w:rsid w:val="00CE3DE8"/>
    <w:rsid w:val="00CE4C93"/>
    <w:rsid w:val="00CE5A7D"/>
    <w:rsid w:val="00CE7B17"/>
    <w:rsid w:val="00CF13E0"/>
    <w:rsid w:val="00CF1C2A"/>
    <w:rsid w:val="00CF2945"/>
    <w:rsid w:val="00CF3464"/>
    <w:rsid w:val="00CF43EB"/>
    <w:rsid w:val="00CF67E2"/>
    <w:rsid w:val="00CF6E94"/>
    <w:rsid w:val="00CF7B9F"/>
    <w:rsid w:val="00D00303"/>
    <w:rsid w:val="00D00D33"/>
    <w:rsid w:val="00D00F63"/>
    <w:rsid w:val="00D02663"/>
    <w:rsid w:val="00D026AF"/>
    <w:rsid w:val="00D03DCA"/>
    <w:rsid w:val="00D046CF"/>
    <w:rsid w:val="00D060F9"/>
    <w:rsid w:val="00D0633E"/>
    <w:rsid w:val="00D072BB"/>
    <w:rsid w:val="00D07A19"/>
    <w:rsid w:val="00D10B78"/>
    <w:rsid w:val="00D122EF"/>
    <w:rsid w:val="00D1242E"/>
    <w:rsid w:val="00D12E74"/>
    <w:rsid w:val="00D139B7"/>
    <w:rsid w:val="00D14A0A"/>
    <w:rsid w:val="00D1612C"/>
    <w:rsid w:val="00D16320"/>
    <w:rsid w:val="00D20D3C"/>
    <w:rsid w:val="00D20F15"/>
    <w:rsid w:val="00D22A4A"/>
    <w:rsid w:val="00D2312F"/>
    <w:rsid w:val="00D23B04"/>
    <w:rsid w:val="00D2455A"/>
    <w:rsid w:val="00D269C1"/>
    <w:rsid w:val="00D27555"/>
    <w:rsid w:val="00D27791"/>
    <w:rsid w:val="00D27A2D"/>
    <w:rsid w:val="00D31424"/>
    <w:rsid w:val="00D32885"/>
    <w:rsid w:val="00D36BDA"/>
    <w:rsid w:val="00D40997"/>
    <w:rsid w:val="00D4172E"/>
    <w:rsid w:val="00D41B2F"/>
    <w:rsid w:val="00D42636"/>
    <w:rsid w:val="00D43143"/>
    <w:rsid w:val="00D43AB4"/>
    <w:rsid w:val="00D44953"/>
    <w:rsid w:val="00D457A0"/>
    <w:rsid w:val="00D45F99"/>
    <w:rsid w:val="00D5020B"/>
    <w:rsid w:val="00D50525"/>
    <w:rsid w:val="00D50770"/>
    <w:rsid w:val="00D50D80"/>
    <w:rsid w:val="00D52B67"/>
    <w:rsid w:val="00D52D04"/>
    <w:rsid w:val="00D542F3"/>
    <w:rsid w:val="00D54513"/>
    <w:rsid w:val="00D54AAE"/>
    <w:rsid w:val="00D5558C"/>
    <w:rsid w:val="00D5644B"/>
    <w:rsid w:val="00D56E25"/>
    <w:rsid w:val="00D57D2F"/>
    <w:rsid w:val="00D57E89"/>
    <w:rsid w:val="00D6119F"/>
    <w:rsid w:val="00D61DBC"/>
    <w:rsid w:val="00D62CFE"/>
    <w:rsid w:val="00D64322"/>
    <w:rsid w:val="00D64342"/>
    <w:rsid w:val="00D6560D"/>
    <w:rsid w:val="00D65D77"/>
    <w:rsid w:val="00D661D0"/>
    <w:rsid w:val="00D701C8"/>
    <w:rsid w:val="00D701F0"/>
    <w:rsid w:val="00D718D7"/>
    <w:rsid w:val="00D731BE"/>
    <w:rsid w:val="00D73E34"/>
    <w:rsid w:val="00D76240"/>
    <w:rsid w:val="00D76D2D"/>
    <w:rsid w:val="00D7751F"/>
    <w:rsid w:val="00D814B7"/>
    <w:rsid w:val="00D839A8"/>
    <w:rsid w:val="00D879B3"/>
    <w:rsid w:val="00D90688"/>
    <w:rsid w:val="00D90892"/>
    <w:rsid w:val="00D91C2C"/>
    <w:rsid w:val="00D9202E"/>
    <w:rsid w:val="00D92517"/>
    <w:rsid w:val="00D9314D"/>
    <w:rsid w:val="00D949D2"/>
    <w:rsid w:val="00D95CBE"/>
    <w:rsid w:val="00DA1E2F"/>
    <w:rsid w:val="00DA24B7"/>
    <w:rsid w:val="00DA2B57"/>
    <w:rsid w:val="00DA3AAD"/>
    <w:rsid w:val="00DA5738"/>
    <w:rsid w:val="00DA5740"/>
    <w:rsid w:val="00DA62BB"/>
    <w:rsid w:val="00DA6F03"/>
    <w:rsid w:val="00DA73EA"/>
    <w:rsid w:val="00DA76B0"/>
    <w:rsid w:val="00DB124F"/>
    <w:rsid w:val="00DB1952"/>
    <w:rsid w:val="00DB2615"/>
    <w:rsid w:val="00DB312B"/>
    <w:rsid w:val="00DB38B9"/>
    <w:rsid w:val="00DB4EE4"/>
    <w:rsid w:val="00DB62B5"/>
    <w:rsid w:val="00DB6505"/>
    <w:rsid w:val="00DB6549"/>
    <w:rsid w:val="00DC0587"/>
    <w:rsid w:val="00DC0A98"/>
    <w:rsid w:val="00DC198C"/>
    <w:rsid w:val="00DC5654"/>
    <w:rsid w:val="00DC5F28"/>
    <w:rsid w:val="00DC658F"/>
    <w:rsid w:val="00DC674A"/>
    <w:rsid w:val="00DD2B9E"/>
    <w:rsid w:val="00DD544F"/>
    <w:rsid w:val="00DE0285"/>
    <w:rsid w:val="00DE07E8"/>
    <w:rsid w:val="00DE1CE0"/>
    <w:rsid w:val="00DE257C"/>
    <w:rsid w:val="00DE26BD"/>
    <w:rsid w:val="00DE4799"/>
    <w:rsid w:val="00DE60CC"/>
    <w:rsid w:val="00DE63ED"/>
    <w:rsid w:val="00DE6F03"/>
    <w:rsid w:val="00DE6FD6"/>
    <w:rsid w:val="00DF160C"/>
    <w:rsid w:val="00DF2C2A"/>
    <w:rsid w:val="00DF2D83"/>
    <w:rsid w:val="00DF47EC"/>
    <w:rsid w:val="00DF58CF"/>
    <w:rsid w:val="00DF6899"/>
    <w:rsid w:val="00DF743E"/>
    <w:rsid w:val="00DF748C"/>
    <w:rsid w:val="00E004F8"/>
    <w:rsid w:val="00E00655"/>
    <w:rsid w:val="00E0117C"/>
    <w:rsid w:val="00E02067"/>
    <w:rsid w:val="00E035AB"/>
    <w:rsid w:val="00E0416A"/>
    <w:rsid w:val="00E04A51"/>
    <w:rsid w:val="00E07187"/>
    <w:rsid w:val="00E11EB5"/>
    <w:rsid w:val="00E129E7"/>
    <w:rsid w:val="00E12A33"/>
    <w:rsid w:val="00E12F69"/>
    <w:rsid w:val="00E13327"/>
    <w:rsid w:val="00E134FF"/>
    <w:rsid w:val="00E13503"/>
    <w:rsid w:val="00E13B56"/>
    <w:rsid w:val="00E14A85"/>
    <w:rsid w:val="00E14F5D"/>
    <w:rsid w:val="00E16203"/>
    <w:rsid w:val="00E2079A"/>
    <w:rsid w:val="00E20BB8"/>
    <w:rsid w:val="00E210D3"/>
    <w:rsid w:val="00E21703"/>
    <w:rsid w:val="00E21864"/>
    <w:rsid w:val="00E23D43"/>
    <w:rsid w:val="00E2574E"/>
    <w:rsid w:val="00E26B32"/>
    <w:rsid w:val="00E31CD4"/>
    <w:rsid w:val="00E31E60"/>
    <w:rsid w:val="00E32870"/>
    <w:rsid w:val="00E33E08"/>
    <w:rsid w:val="00E3577E"/>
    <w:rsid w:val="00E366CA"/>
    <w:rsid w:val="00E36B97"/>
    <w:rsid w:val="00E36FB5"/>
    <w:rsid w:val="00E4009D"/>
    <w:rsid w:val="00E407B6"/>
    <w:rsid w:val="00E4105D"/>
    <w:rsid w:val="00E4140F"/>
    <w:rsid w:val="00E41CEF"/>
    <w:rsid w:val="00E41EF1"/>
    <w:rsid w:val="00E42019"/>
    <w:rsid w:val="00E423CB"/>
    <w:rsid w:val="00E42942"/>
    <w:rsid w:val="00E42F98"/>
    <w:rsid w:val="00E436DD"/>
    <w:rsid w:val="00E4382A"/>
    <w:rsid w:val="00E447E8"/>
    <w:rsid w:val="00E451AA"/>
    <w:rsid w:val="00E469B1"/>
    <w:rsid w:val="00E474B6"/>
    <w:rsid w:val="00E51DC0"/>
    <w:rsid w:val="00E52C63"/>
    <w:rsid w:val="00E52F94"/>
    <w:rsid w:val="00E54081"/>
    <w:rsid w:val="00E543A3"/>
    <w:rsid w:val="00E5500D"/>
    <w:rsid w:val="00E559FF"/>
    <w:rsid w:val="00E56270"/>
    <w:rsid w:val="00E56D36"/>
    <w:rsid w:val="00E57220"/>
    <w:rsid w:val="00E57A6E"/>
    <w:rsid w:val="00E6012C"/>
    <w:rsid w:val="00E61AC1"/>
    <w:rsid w:val="00E6568A"/>
    <w:rsid w:val="00E65A0A"/>
    <w:rsid w:val="00E71BDF"/>
    <w:rsid w:val="00E73107"/>
    <w:rsid w:val="00E74949"/>
    <w:rsid w:val="00E74DB6"/>
    <w:rsid w:val="00E75CCB"/>
    <w:rsid w:val="00E7710D"/>
    <w:rsid w:val="00E81D73"/>
    <w:rsid w:val="00E8245B"/>
    <w:rsid w:val="00E8251F"/>
    <w:rsid w:val="00E82AC8"/>
    <w:rsid w:val="00E82C21"/>
    <w:rsid w:val="00E82F59"/>
    <w:rsid w:val="00E83964"/>
    <w:rsid w:val="00E83CA7"/>
    <w:rsid w:val="00E86824"/>
    <w:rsid w:val="00E86C47"/>
    <w:rsid w:val="00E87518"/>
    <w:rsid w:val="00E90487"/>
    <w:rsid w:val="00E92192"/>
    <w:rsid w:val="00E926FD"/>
    <w:rsid w:val="00E9387B"/>
    <w:rsid w:val="00E93A4C"/>
    <w:rsid w:val="00E95A71"/>
    <w:rsid w:val="00E96029"/>
    <w:rsid w:val="00E961B4"/>
    <w:rsid w:val="00E96EC7"/>
    <w:rsid w:val="00EA187B"/>
    <w:rsid w:val="00EA1C76"/>
    <w:rsid w:val="00EA21E4"/>
    <w:rsid w:val="00EA4328"/>
    <w:rsid w:val="00EA495D"/>
    <w:rsid w:val="00EA5382"/>
    <w:rsid w:val="00EA5422"/>
    <w:rsid w:val="00EA56C8"/>
    <w:rsid w:val="00EA6445"/>
    <w:rsid w:val="00EA7502"/>
    <w:rsid w:val="00EB0422"/>
    <w:rsid w:val="00EB1186"/>
    <w:rsid w:val="00EB4EC1"/>
    <w:rsid w:val="00EB7014"/>
    <w:rsid w:val="00EB74C4"/>
    <w:rsid w:val="00EB76D7"/>
    <w:rsid w:val="00EC0690"/>
    <w:rsid w:val="00EC0BF8"/>
    <w:rsid w:val="00EC1040"/>
    <w:rsid w:val="00EC334E"/>
    <w:rsid w:val="00EC4171"/>
    <w:rsid w:val="00EC5CDE"/>
    <w:rsid w:val="00ED27E6"/>
    <w:rsid w:val="00ED3077"/>
    <w:rsid w:val="00ED487E"/>
    <w:rsid w:val="00ED57B1"/>
    <w:rsid w:val="00ED5BCB"/>
    <w:rsid w:val="00ED64F1"/>
    <w:rsid w:val="00ED666A"/>
    <w:rsid w:val="00ED6DF3"/>
    <w:rsid w:val="00ED722F"/>
    <w:rsid w:val="00ED72FA"/>
    <w:rsid w:val="00ED7F49"/>
    <w:rsid w:val="00ED7F9E"/>
    <w:rsid w:val="00EE023D"/>
    <w:rsid w:val="00EE0326"/>
    <w:rsid w:val="00EE33A1"/>
    <w:rsid w:val="00EE3C78"/>
    <w:rsid w:val="00EE3CA8"/>
    <w:rsid w:val="00EE7053"/>
    <w:rsid w:val="00EE7A0D"/>
    <w:rsid w:val="00EF0776"/>
    <w:rsid w:val="00EF1055"/>
    <w:rsid w:val="00EF11FD"/>
    <w:rsid w:val="00EF1DE0"/>
    <w:rsid w:val="00EF2CFE"/>
    <w:rsid w:val="00EF31C1"/>
    <w:rsid w:val="00EF4B8F"/>
    <w:rsid w:val="00EF4E69"/>
    <w:rsid w:val="00EF57C5"/>
    <w:rsid w:val="00EF5FC0"/>
    <w:rsid w:val="00EF6A98"/>
    <w:rsid w:val="00EF6F38"/>
    <w:rsid w:val="00EF7EAF"/>
    <w:rsid w:val="00F01179"/>
    <w:rsid w:val="00F0222C"/>
    <w:rsid w:val="00F022EA"/>
    <w:rsid w:val="00F02351"/>
    <w:rsid w:val="00F029D2"/>
    <w:rsid w:val="00F02DAD"/>
    <w:rsid w:val="00F04F86"/>
    <w:rsid w:val="00F062CA"/>
    <w:rsid w:val="00F06DB5"/>
    <w:rsid w:val="00F075F5"/>
    <w:rsid w:val="00F10040"/>
    <w:rsid w:val="00F10CAC"/>
    <w:rsid w:val="00F1138F"/>
    <w:rsid w:val="00F11623"/>
    <w:rsid w:val="00F12312"/>
    <w:rsid w:val="00F12D55"/>
    <w:rsid w:val="00F131C8"/>
    <w:rsid w:val="00F13469"/>
    <w:rsid w:val="00F134A0"/>
    <w:rsid w:val="00F152E2"/>
    <w:rsid w:val="00F16539"/>
    <w:rsid w:val="00F17CE1"/>
    <w:rsid w:val="00F204EF"/>
    <w:rsid w:val="00F20E33"/>
    <w:rsid w:val="00F2115C"/>
    <w:rsid w:val="00F2149F"/>
    <w:rsid w:val="00F22ABA"/>
    <w:rsid w:val="00F22E73"/>
    <w:rsid w:val="00F260CE"/>
    <w:rsid w:val="00F26655"/>
    <w:rsid w:val="00F26D39"/>
    <w:rsid w:val="00F26F51"/>
    <w:rsid w:val="00F278F0"/>
    <w:rsid w:val="00F328EB"/>
    <w:rsid w:val="00F329EA"/>
    <w:rsid w:val="00F32E9E"/>
    <w:rsid w:val="00F331F1"/>
    <w:rsid w:val="00F33AF8"/>
    <w:rsid w:val="00F34117"/>
    <w:rsid w:val="00F34885"/>
    <w:rsid w:val="00F34F5D"/>
    <w:rsid w:val="00F35D5A"/>
    <w:rsid w:val="00F36A75"/>
    <w:rsid w:val="00F36B12"/>
    <w:rsid w:val="00F37EFD"/>
    <w:rsid w:val="00F42285"/>
    <w:rsid w:val="00F45BB4"/>
    <w:rsid w:val="00F45CFE"/>
    <w:rsid w:val="00F45E16"/>
    <w:rsid w:val="00F46E75"/>
    <w:rsid w:val="00F47B82"/>
    <w:rsid w:val="00F503D7"/>
    <w:rsid w:val="00F507A2"/>
    <w:rsid w:val="00F50B14"/>
    <w:rsid w:val="00F51165"/>
    <w:rsid w:val="00F568E3"/>
    <w:rsid w:val="00F573EC"/>
    <w:rsid w:val="00F576E6"/>
    <w:rsid w:val="00F601EF"/>
    <w:rsid w:val="00F60F9F"/>
    <w:rsid w:val="00F62627"/>
    <w:rsid w:val="00F641C8"/>
    <w:rsid w:val="00F64F08"/>
    <w:rsid w:val="00F657C3"/>
    <w:rsid w:val="00F65F6E"/>
    <w:rsid w:val="00F66081"/>
    <w:rsid w:val="00F678B5"/>
    <w:rsid w:val="00F67BF0"/>
    <w:rsid w:val="00F70055"/>
    <w:rsid w:val="00F71425"/>
    <w:rsid w:val="00F71771"/>
    <w:rsid w:val="00F71A28"/>
    <w:rsid w:val="00F71F08"/>
    <w:rsid w:val="00F734F5"/>
    <w:rsid w:val="00F73B5B"/>
    <w:rsid w:val="00F741C9"/>
    <w:rsid w:val="00F74A68"/>
    <w:rsid w:val="00F76596"/>
    <w:rsid w:val="00F7664D"/>
    <w:rsid w:val="00F77B64"/>
    <w:rsid w:val="00F81EA7"/>
    <w:rsid w:val="00F8262F"/>
    <w:rsid w:val="00F827BA"/>
    <w:rsid w:val="00F847E1"/>
    <w:rsid w:val="00F85E65"/>
    <w:rsid w:val="00F87346"/>
    <w:rsid w:val="00F9070B"/>
    <w:rsid w:val="00F90EA5"/>
    <w:rsid w:val="00F9199F"/>
    <w:rsid w:val="00F91F5A"/>
    <w:rsid w:val="00F92A48"/>
    <w:rsid w:val="00F92D5C"/>
    <w:rsid w:val="00F9305C"/>
    <w:rsid w:val="00F95B92"/>
    <w:rsid w:val="00F95D9C"/>
    <w:rsid w:val="00F966B1"/>
    <w:rsid w:val="00F967EB"/>
    <w:rsid w:val="00F97D48"/>
    <w:rsid w:val="00FA0311"/>
    <w:rsid w:val="00FA1489"/>
    <w:rsid w:val="00FA244D"/>
    <w:rsid w:val="00FA28AD"/>
    <w:rsid w:val="00FA4A46"/>
    <w:rsid w:val="00FA60A8"/>
    <w:rsid w:val="00FA6F5E"/>
    <w:rsid w:val="00FB1C4F"/>
    <w:rsid w:val="00FB22A8"/>
    <w:rsid w:val="00FB36B3"/>
    <w:rsid w:val="00FB5086"/>
    <w:rsid w:val="00FB5963"/>
    <w:rsid w:val="00FB6B0A"/>
    <w:rsid w:val="00FB7D45"/>
    <w:rsid w:val="00FC0398"/>
    <w:rsid w:val="00FC0542"/>
    <w:rsid w:val="00FC290E"/>
    <w:rsid w:val="00FC2958"/>
    <w:rsid w:val="00FC318D"/>
    <w:rsid w:val="00FC4DB7"/>
    <w:rsid w:val="00FC56B7"/>
    <w:rsid w:val="00FD2F70"/>
    <w:rsid w:val="00FD3157"/>
    <w:rsid w:val="00FD3450"/>
    <w:rsid w:val="00FD3E93"/>
    <w:rsid w:val="00FD40BC"/>
    <w:rsid w:val="00FD50F0"/>
    <w:rsid w:val="00FD640F"/>
    <w:rsid w:val="00FD642F"/>
    <w:rsid w:val="00FD6B4C"/>
    <w:rsid w:val="00FD7198"/>
    <w:rsid w:val="00FE0553"/>
    <w:rsid w:val="00FE06BD"/>
    <w:rsid w:val="00FE24DB"/>
    <w:rsid w:val="00FE25D0"/>
    <w:rsid w:val="00FE2901"/>
    <w:rsid w:val="00FE2A9F"/>
    <w:rsid w:val="00FE2CA9"/>
    <w:rsid w:val="00FE2F5F"/>
    <w:rsid w:val="00FE4BC7"/>
    <w:rsid w:val="00FE6CB3"/>
    <w:rsid w:val="00FE71FD"/>
    <w:rsid w:val="00FE7707"/>
    <w:rsid w:val="00FF0B34"/>
    <w:rsid w:val="00FF2140"/>
    <w:rsid w:val="00FF29E7"/>
    <w:rsid w:val="00FF2E39"/>
    <w:rsid w:val="00FF307A"/>
    <w:rsid w:val="00FF41F3"/>
    <w:rsid w:val="00FF4E99"/>
    <w:rsid w:val="00FF4EBF"/>
    <w:rsid w:val="00FF65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29AB6"/>
  <w15:docId w15:val="{286A16C9-58AA-4C50-BB9B-4BCC91E4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uiPriority="39"/>
    <w:lsdException w:name="toc 6" w:semiHidden="1" w:uiPriority="39"/>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iPriority="99" w:unhideWhenUsed="1"/>
    <w:lsdException w:name="annotation text" w:semiHidden="1" w:uiPriority="99" w:unhideWhenUsed="1"/>
    <w:lsdException w:name="header" w:uiPriority="99" w:unhideWhenUsed="1"/>
    <w:lsdException w:name="footer" w:uiPriority="0" w:unhideWhenUsed="1"/>
    <w:lsdException w:name="index heading" w:uiPriority="99"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0"/>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B175BB"/>
  </w:style>
  <w:style w:type="paragraph" w:styleId="Heading1">
    <w:name w:val="heading 1"/>
    <w:basedOn w:val="Normal"/>
    <w:next w:val="Normalfollowingheading"/>
    <w:link w:val="Heading1Char"/>
    <w:uiPriority w:val="9"/>
    <w:qFormat/>
    <w:rsid w:val="00E035AB"/>
    <w:pPr>
      <w:keepNext/>
      <w:keepLines/>
      <w:pageBreakBefore/>
      <w:spacing w:before="0" w:after="48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Normal"/>
    <w:link w:val="Heading5Char"/>
    <w:uiPriority w:val="9"/>
    <w:unhideWhenUsed/>
    <w:qFormat/>
    <w:rsid w:val="00055A53"/>
    <w:pPr>
      <w:keepNext/>
      <w:keepLines/>
      <w:spacing w:before="40" w:after="0" w:line="276" w:lineRule="auto"/>
      <w:outlineLvl w:val="4"/>
    </w:pPr>
    <w:rPr>
      <w:rFonts w:asciiTheme="majorHAnsi" w:eastAsiaTheme="majorEastAsia" w:hAnsiTheme="majorHAnsi" w:cstheme="majorBidi"/>
      <w:color w:val="30678C" w:themeColor="accent1" w:themeShade="BF"/>
      <w:sz w:val="22"/>
      <w:szCs w:val="22"/>
      <w:lang w:eastAsia="en-US"/>
    </w:rPr>
  </w:style>
  <w:style w:type="paragraph" w:styleId="Heading6">
    <w:name w:val="heading 6"/>
    <w:basedOn w:val="Normal"/>
    <w:next w:val="Normal"/>
    <w:link w:val="Heading6Char"/>
    <w:uiPriority w:val="9"/>
    <w:unhideWhenUsed/>
    <w:qFormat/>
    <w:rsid w:val="00F77B64"/>
    <w:pPr>
      <w:keepNext/>
      <w:keepLines/>
      <w:spacing w:before="40" w:after="0" w:line="276" w:lineRule="auto"/>
      <w:outlineLvl w:val="5"/>
    </w:pPr>
    <w:rPr>
      <w:rFonts w:asciiTheme="majorHAnsi" w:eastAsiaTheme="majorEastAsia" w:hAnsiTheme="majorHAnsi" w:cstheme="majorBidi"/>
      <w:color w:val="20445D" w:themeColor="accent1" w:themeShade="7F"/>
      <w:sz w:val="22"/>
      <w:szCs w:val="22"/>
      <w:lang w:eastAsia="en-US"/>
    </w:rPr>
  </w:style>
  <w:style w:type="paragraph" w:styleId="Heading7">
    <w:name w:val="heading 7"/>
    <w:basedOn w:val="Normal"/>
    <w:next w:val="Normal"/>
    <w:link w:val="Heading7Char"/>
    <w:uiPriority w:val="1"/>
    <w:unhideWhenUsed/>
    <w:qFormat/>
    <w:rsid w:val="00B86E9E"/>
    <w:pPr>
      <w:keepNext/>
      <w:keepLines/>
      <w:spacing w:before="40" w:after="0"/>
      <w:outlineLvl w:val="6"/>
    </w:pPr>
    <w:rPr>
      <w:rFonts w:asciiTheme="majorHAnsi" w:eastAsiaTheme="majorEastAsia" w:hAnsiTheme="majorHAnsi" w:cstheme="majorBidi"/>
      <w:i/>
      <w:iCs/>
      <w:color w:val="2044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llowingheading">
    <w:name w:val="Normal following heading"/>
    <w:basedOn w:val="Normal"/>
    <w:next w:val="Normal"/>
    <w:uiPriority w:val="1"/>
    <w:qFormat/>
    <w:rsid w:val="00294A5A"/>
    <w:pPr>
      <w:spacing w:before="0"/>
    </w:pPr>
  </w:style>
  <w:style w:type="character" w:customStyle="1" w:styleId="Heading1Char">
    <w:name w:val="Heading 1 Char"/>
    <w:basedOn w:val="DefaultParagraphFont"/>
    <w:link w:val="Heading1"/>
    <w:uiPriority w:val="9"/>
    <w:rsid w:val="00E035AB"/>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character" w:customStyle="1" w:styleId="Heading4Char">
    <w:name w:val="Heading 4 Char"/>
    <w:basedOn w:val="DefaultParagraphFont"/>
    <w:link w:val="Heading4"/>
    <w:uiPriority w:val="9"/>
    <w:rsid w:val="00A05EBC"/>
    <w:rPr>
      <w:rFonts w:asciiTheme="majorHAnsi" w:eastAsiaTheme="majorEastAsia" w:hAnsiTheme="majorHAnsi" w:cstheme="majorBidi"/>
      <w:b/>
      <w:bCs/>
      <w:iCs/>
      <w:color w:val="000000" w:themeColor="text1"/>
    </w:rPr>
  </w:style>
  <w:style w:type="character" w:customStyle="1" w:styleId="Heading5Char">
    <w:name w:val="Heading 5 Char"/>
    <w:basedOn w:val="DefaultParagraphFont"/>
    <w:link w:val="Heading5"/>
    <w:uiPriority w:val="9"/>
    <w:rsid w:val="00055A53"/>
    <w:rPr>
      <w:rFonts w:asciiTheme="majorHAnsi" w:eastAsiaTheme="majorEastAsia" w:hAnsiTheme="majorHAnsi" w:cstheme="majorBidi"/>
      <w:color w:val="30678C" w:themeColor="accent1" w:themeShade="BF"/>
      <w:sz w:val="22"/>
      <w:szCs w:val="22"/>
      <w:lang w:eastAsia="en-US"/>
    </w:rPr>
  </w:style>
  <w:style w:type="character" w:customStyle="1" w:styleId="Heading6Char">
    <w:name w:val="Heading 6 Char"/>
    <w:basedOn w:val="DefaultParagraphFont"/>
    <w:link w:val="Heading6"/>
    <w:uiPriority w:val="9"/>
    <w:rsid w:val="00F77B64"/>
    <w:rPr>
      <w:rFonts w:asciiTheme="majorHAnsi" w:eastAsiaTheme="majorEastAsia" w:hAnsiTheme="majorHAnsi" w:cstheme="majorBidi"/>
      <w:color w:val="20445D" w:themeColor="accent1" w:themeShade="7F"/>
      <w:sz w:val="22"/>
      <w:szCs w:val="22"/>
      <w:lang w:eastAsia="en-US"/>
    </w:rPr>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rsid w:val="006A755F"/>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E6EFF6" w:themeColor="background2"/>
          <w:left w:val="nil"/>
          <w:bottom w:val="single" w:sz="24" w:space="0" w:color="CCE0ED"/>
          <w:right w:val="nil"/>
          <w:insideH w:val="nil"/>
          <w:insideV w:val="nil"/>
          <w:tl2br w:val="nil"/>
          <w:tr2bl w:val="nil"/>
        </w:tcBorders>
        <w:shd w:val="clear" w:color="auto" w:fill="EDF5F7"/>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C1570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paragraph" w:customStyle="1" w:styleId="Bullet1">
    <w:name w:val="Bullet 1"/>
    <w:uiPriority w:val="1"/>
    <w:qFormat/>
    <w:rsid w:val="001A0D98"/>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01508B"/>
    <w:pPr>
      <w:ind w:left="567" w:right="567"/>
      <w:jc w:val="center"/>
    </w:pPr>
    <w:rPr>
      <w:i/>
      <w:color w:val="000000" w:themeColor="text1"/>
    </w:rPr>
  </w:style>
  <w:style w:type="character" w:customStyle="1" w:styleId="QuoteChar">
    <w:name w:val="Quote Char"/>
    <w:basedOn w:val="DefaultParagraphFont"/>
    <w:link w:val="Quote"/>
    <w:uiPriority w:val="1"/>
    <w:rsid w:val="0001508B"/>
    <w:rPr>
      <w:i/>
      <w:color w:val="000000" w:themeColor="text1"/>
    </w:rPr>
  </w:style>
  <w:style w:type="paragraph" w:customStyle="1" w:styleId="Heading1numbered">
    <w:name w:val="Heading 1 numbered"/>
    <w:basedOn w:val="Heading1"/>
    <w:next w:val="NormalIndent"/>
    <w:qFormat/>
    <w:rsid w:val="00BD5018"/>
    <w:pPr>
      <w:framePr w:wrap="around" w:hAnchor="text"/>
      <w:numPr>
        <w:numId w:val="5"/>
      </w:numPr>
    </w:pPr>
  </w:style>
  <w:style w:type="paragraph" w:styleId="NormalIndent">
    <w:name w:val="Normal Indent"/>
    <w:basedOn w:val="Normal"/>
    <w:uiPriority w:val="1"/>
    <w:qFormat/>
    <w:rsid w:val="009B62E0"/>
    <w:pPr>
      <w:spacing w:line="252" w:lineRule="auto"/>
      <w:ind w:left="792"/>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paragraph" w:customStyle="1" w:styleId="Heading4numbered">
    <w:name w:val="Heading 4 numbered"/>
    <w:basedOn w:val="Heading4"/>
    <w:next w:val="NormalIndent"/>
    <w:qFormat/>
    <w:rsid w:val="00BD5018"/>
    <w:pPr>
      <w:numPr>
        <w:ilvl w:val="3"/>
        <w:numId w:val="5"/>
      </w:numPr>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B22BAC"/>
    <w:pPr>
      <w:framePr w:hSpace="181" w:wrap="around" w:vAnchor="page" w:hAnchor="margin" w:y="11965"/>
      <w:spacing w:before="0" w:after="0" w:line="240" w:lineRule="auto"/>
      <w:suppressOverlap/>
    </w:pPr>
    <w:rPr>
      <w:rFonts w:asciiTheme="majorHAnsi" w:eastAsia="Times New Roman" w:hAnsiTheme="majorHAnsi" w:cstheme="majorHAnsi"/>
      <w:color w:val="FFFFFF" w:themeColor="background1"/>
      <w:spacing w:val="-2"/>
      <w:sz w:val="50"/>
      <w:szCs w:val="24"/>
    </w:rPr>
  </w:style>
  <w:style w:type="character" w:customStyle="1" w:styleId="SubtitleChar">
    <w:name w:val="Subtitle Char"/>
    <w:basedOn w:val="DefaultParagraphFont"/>
    <w:link w:val="Subtitle"/>
    <w:uiPriority w:val="99"/>
    <w:rsid w:val="00B22BAC"/>
    <w:rPr>
      <w:rFonts w:asciiTheme="majorHAnsi" w:eastAsia="Times New Roman" w:hAnsiTheme="majorHAnsi" w:cstheme="majorHAnsi"/>
      <w:color w:val="FFFFFF" w:themeColor="background1"/>
      <w:spacing w:val="-2"/>
      <w:sz w:val="50"/>
      <w:szCs w:val="24"/>
    </w:rPr>
  </w:style>
  <w:style w:type="paragraph" w:styleId="TOC4">
    <w:name w:val="toc 4"/>
    <w:basedOn w:val="Normal"/>
    <w:next w:val="Normal"/>
    <w:autoRedefine/>
    <w:uiPriority w:val="39"/>
    <w:rsid w:val="00ED64F1"/>
    <w:pPr>
      <w:spacing w:after="100"/>
      <w:ind w:left="600"/>
    </w:pPr>
  </w:style>
  <w:style w:type="paragraph" w:styleId="Title">
    <w:name w:val="Title"/>
    <w:next w:val="Subtitle"/>
    <w:link w:val="TitleChar"/>
    <w:uiPriority w:val="99"/>
    <w:rsid w:val="00B22BAC"/>
    <w:pPr>
      <w:framePr w:hSpace="5670" w:wrap="around" w:vAnchor="page" w:hAnchor="page" w:x="852" w:y="3913"/>
      <w:spacing w:before="0" w:after="40" w:line="240" w:lineRule="auto"/>
      <w:ind w:right="284"/>
      <w:contextualSpacing/>
      <w:suppressOverlap/>
    </w:pPr>
    <w:rPr>
      <w:rFonts w:asciiTheme="majorHAnsi" w:eastAsia="Times New Roman" w:hAnsiTheme="majorHAnsi" w:cstheme="majorHAnsi"/>
      <w:b/>
      <w:color w:val="FFFFFF" w:themeColor="background1"/>
      <w:spacing w:val="-4"/>
      <w:sz w:val="76"/>
      <w:szCs w:val="22"/>
    </w:rPr>
  </w:style>
  <w:style w:type="character" w:customStyle="1" w:styleId="TitleChar">
    <w:name w:val="Title Char"/>
    <w:basedOn w:val="DefaultParagraphFont"/>
    <w:link w:val="Title"/>
    <w:uiPriority w:val="99"/>
    <w:rsid w:val="00B22BAC"/>
    <w:rPr>
      <w:rFonts w:asciiTheme="majorHAnsi" w:eastAsia="Times New Roman" w:hAnsiTheme="majorHAnsi" w:cstheme="majorHAnsi"/>
      <w:b/>
      <w:color w:val="FFFFFF" w:themeColor="background1"/>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40495"/>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A40495"/>
  </w:style>
  <w:style w:type="paragraph" w:styleId="Footer">
    <w:name w:val="footer"/>
    <w:basedOn w:val="Normal"/>
    <w:link w:val="FooterChar"/>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990B5C"/>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7F07FE"/>
    <w:pPr>
      <w:keepNext/>
      <w:tabs>
        <w:tab w:val="left" w:pos="1080"/>
      </w:tabs>
      <w:spacing w:before="280" w:after="210" w:line="260" w:lineRule="atLeast"/>
    </w:pPr>
    <w:rPr>
      <w:b/>
      <w:bCs/>
      <w:color w:val="0063A5"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9E1651"/>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8E1573"/>
    <w:pPr>
      <w:spacing w:before="100" w:after="100"/>
    </w:pPr>
    <w:rPr>
      <w:color w:val="0063A5" w:themeColor="text2"/>
    </w:rPr>
  </w:style>
  <w:style w:type="paragraph" w:customStyle="1" w:styleId="PulloutHeading">
    <w:name w:val="Pullout Heading"/>
    <w:basedOn w:val="PulloutText"/>
    <w:next w:val="PulloutText"/>
    <w:uiPriority w:val="1"/>
    <w:qFormat/>
    <w:rsid w:val="003F573B"/>
    <w:pPr>
      <w:spacing w:before="16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NormalWeb">
    <w:name w:val="Normal (Web)"/>
    <w:basedOn w:val="Normal"/>
    <w:uiPriority w:val="99"/>
    <w:semiHidden/>
    <w:rsid w:val="009E4A35"/>
    <w:pPr>
      <w:spacing w:before="0" w:after="0" w:line="260" w:lineRule="atLeast"/>
    </w:pPr>
    <w:rPr>
      <w:rFonts w:eastAsia="Times New Roman" w:cs="Times New Roman"/>
      <w:color w:val="000000" w:themeColor="text1"/>
      <w:szCs w:val="24"/>
    </w:rPr>
  </w:style>
  <w:style w:type="paragraph" w:customStyle="1" w:styleId="DHHSbody">
    <w:name w:val="DHHS body"/>
    <w:qFormat/>
    <w:rsid w:val="00AB2354"/>
    <w:pPr>
      <w:spacing w:before="0" w:after="120" w:line="270" w:lineRule="atLeast"/>
    </w:pPr>
    <w:rPr>
      <w:rFonts w:ascii="Arial" w:eastAsia="Times" w:hAnsi="Arial" w:cs="Times New Roman"/>
      <w:lang w:eastAsia="en-US"/>
    </w:rPr>
  </w:style>
  <w:style w:type="paragraph" w:customStyle="1" w:styleId="DHHStablefigurenote">
    <w:name w:val="DHHS table/figure note"/>
    <w:uiPriority w:val="4"/>
    <w:rsid w:val="00AB2354"/>
    <w:pPr>
      <w:spacing w:before="60" w:after="60" w:line="240" w:lineRule="exact"/>
    </w:pPr>
    <w:rPr>
      <w:rFonts w:ascii="Arial" w:eastAsia="Times New Roman" w:hAnsi="Arial" w:cs="Times New Roman"/>
      <w:i/>
      <w:sz w:val="18"/>
      <w:lang w:eastAsia="en-US"/>
    </w:rPr>
  </w:style>
  <w:style w:type="paragraph" w:customStyle="1" w:styleId="DHHSfigurecaption">
    <w:name w:val="DHHS figure caption"/>
    <w:next w:val="DHHSbody"/>
    <w:rsid w:val="00AB2354"/>
    <w:pPr>
      <w:keepNext/>
      <w:keepLines/>
      <w:spacing w:before="240" w:after="120" w:line="240" w:lineRule="auto"/>
    </w:pPr>
    <w:rPr>
      <w:rFonts w:ascii="Arial" w:eastAsia="Times New Roman" w:hAnsi="Arial" w:cs="Times New Roman"/>
      <w:b/>
      <w:lang w:eastAsia="en-US"/>
    </w:rPr>
  </w:style>
  <w:style w:type="paragraph" w:customStyle="1" w:styleId="DHHStablecolhead">
    <w:name w:val="DHHS table col head"/>
    <w:uiPriority w:val="3"/>
    <w:qFormat/>
    <w:rsid w:val="00AB2354"/>
    <w:pPr>
      <w:spacing w:before="80" w:after="60" w:line="240" w:lineRule="auto"/>
    </w:pPr>
    <w:rPr>
      <w:rFonts w:ascii="Arial" w:eastAsia="Times New Roman" w:hAnsi="Arial" w:cs="Times New Roman"/>
      <w:b/>
      <w:color w:val="004EA8"/>
      <w:lang w:eastAsia="en-US"/>
    </w:rPr>
  </w:style>
  <w:style w:type="paragraph" w:styleId="Bibliography">
    <w:name w:val="Bibliography"/>
    <w:basedOn w:val="Normal"/>
    <w:next w:val="Normal"/>
    <w:uiPriority w:val="37"/>
    <w:unhideWhenUsed/>
    <w:rsid w:val="00940493"/>
    <w:pPr>
      <w:spacing w:before="0" w:after="200" w:line="276" w:lineRule="auto"/>
    </w:pPr>
    <w:rPr>
      <w:rFonts w:eastAsiaTheme="minorHAnsi"/>
      <w:szCs w:val="22"/>
      <w:lang w:eastAsia="en-US"/>
    </w:rPr>
  </w:style>
  <w:style w:type="character" w:customStyle="1" w:styleId="element-citation">
    <w:name w:val="element-citation"/>
    <w:basedOn w:val="DefaultParagraphFont"/>
    <w:rsid w:val="00C11F1E"/>
  </w:style>
  <w:style w:type="character" w:customStyle="1" w:styleId="ref-journal">
    <w:name w:val="ref-journal"/>
    <w:basedOn w:val="DefaultParagraphFont"/>
    <w:rsid w:val="00C11F1E"/>
  </w:style>
  <w:style w:type="character" w:customStyle="1" w:styleId="ref-vol">
    <w:name w:val="ref-vol"/>
    <w:basedOn w:val="DefaultParagraphFont"/>
    <w:rsid w:val="00C11F1E"/>
  </w:style>
  <w:style w:type="character" w:styleId="CommentReference">
    <w:name w:val="annotation reference"/>
    <w:basedOn w:val="DefaultParagraphFont"/>
    <w:uiPriority w:val="99"/>
    <w:semiHidden/>
    <w:unhideWhenUsed/>
    <w:rsid w:val="00856CA6"/>
    <w:rPr>
      <w:sz w:val="16"/>
      <w:szCs w:val="16"/>
    </w:rPr>
  </w:style>
  <w:style w:type="paragraph" w:styleId="CommentText">
    <w:name w:val="annotation text"/>
    <w:basedOn w:val="Normal"/>
    <w:link w:val="CommentTextChar"/>
    <w:uiPriority w:val="99"/>
    <w:unhideWhenUsed/>
    <w:rsid w:val="00856CA6"/>
    <w:pPr>
      <w:spacing w:line="240" w:lineRule="auto"/>
    </w:pPr>
  </w:style>
  <w:style w:type="character" w:customStyle="1" w:styleId="CommentTextChar">
    <w:name w:val="Comment Text Char"/>
    <w:basedOn w:val="DefaultParagraphFont"/>
    <w:link w:val="CommentText"/>
    <w:uiPriority w:val="99"/>
    <w:rsid w:val="00856CA6"/>
  </w:style>
  <w:style w:type="paragraph" w:styleId="CommentSubject">
    <w:name w:val="annotation subject"/>
    <w:basedOn w:val="CommentText"/>
    <w:next w:val="CommentText"/>
    <w:link w:val="CommentSubjectChar"/>
    <w:uiPriority w:val="1"/>
    <w:semiHidden/>
    <w:unhideWhenUsed/>
    <w:rsid w:val="00856CA6"/>
    <w:rPr>
      <w:b/>
      <w:bCs/>
    </w:rPr>
  </w:style>
  <w:style w:type="character" w:customStyle="1" w:styleId="CommentSubjectChar">
    <w:name w:val="Comment Subject Char"/>
    <w:basedOn w:val="CommentTextChar"/>
    <w:link w:val="CommentSubject"/>
    <w:uiPriority w:val="1"/>
    <w:semiHidden/>
    <w:rsid w:val="00856CA6"/>
    <w:rPr>
      <w:b/>
      <w:bCs/>
    </w:rPr>
  </w:style>
  <w:style w:type="character" w:customStyle="1" w:styleId="UnresolvedMention1">
    <w:name w:val="Unresolved Mention1"/>
    <w:basedOn w:val="DefaultParagraphFont"/>
    <w:uiPriority w:val="99"/>
    <w:semiHidden/>
    <w:unhideWhenUsed/>
    <w:rsid w:val="0068239B"/>
    <w:rPr>
      <w:color w:val="605E5C"/>
      <w:shd w:val="clear" w:color="auto" w:fill="E1DFDD"/>
    </w:rPr>
  </w:style>
  <w:style w:type="character" w:customStyle="1" w:styleId="Heading7Char">
    <w:name w:val="Heading 7 Char"/>
    <w:basedOn w:val="DefaultParagraphFont"/>
    <w:link w:val="Heading7"/>
    <w:uiPriority w:val="1"/>
    <w:rsid w:val="00B86E9E"/>
    <w:rPr>
      <w:rFonts w:asciiTheme="majorHAnsi" w:eastAsiaTheme="majorEastAsia" w:hAnsiTheme="majorHAnsi" w:cstheme="majorBidi"/>
      <w:i/>
      <w:iCs/>
      <w:color w:val="20445D" w:themeColor="accent1" w:themeShade="7F"/>
    </w:rPr>
  </w:style>
  <w:style w:type="character" w:customStyle="1" w:styleId="sytadelpagecell">
    <w:name w:val="sytadelpagecell"/>
    <w:basedOn w:val="DefaultParagraphFont"/>
    <w:rsid w:val="005F40EB"/>
  </w:style>
  <w:style w:type="character" w:styleId="Emphasis">
    <w:name w:val="Emphasis"/>
    <w:basedOn w:val="DefaultParagraphFont"/>
    <w:uiPriority w:val="20"/>
    <w:qFormat/>
    <w:rsid w:val="00A84A94"/>
    <w:rPr>
      <w:i/>
      <w:iCs/>
    </w:rPr>
  </w:style>
  <w:style w:type="paragraph" w:customStyle="1" w:styleId="Default">
    <w:name w:val="Default"/>
    <w:rsid w:val="00ED722F"/>
    <w:pPr>
      <w:autoSpaceDE w:val="0"/>
      <w:autoSpaceDN w:val="0"/>
      <w:adjustRightInd w:val="0"/>
      <w:spacing w:before="0" w:after="0" w:line="240" w:lineRule="auto"/>
    </w:pPr>
    <w:rPr>
      <w:rFonts w:ascii="Arial" w:eastAsiaTheme="minorHAnsi" w:hAnsi="Arial" w:cs="Arial"/>
      <w:color w:val="000000"/>
      <w:sz w:val="24"/>
      <w:szCs w:val="24"/>
      <w:lang w:eastAsia="en-US"/>
    </w:rPr>
  </w:style>
  <w:style w:type="paragraph" w:styleId="TOC5">
    <w:name w:val="toc 5"/>
    <w:basedOn w:val="Normal"/>
    <w:next w:val="Normal"/>
    <w:autoRedefine/>
    <w:uiPriority w:val="39"/>
    <w:unhideWhenUsed/>
    <w:rsid w:val="009E2E9D"/>
    <w:pPr>
      <w:spacing w:before="0" w:after="100" w:line="259" w:lineRule="auto"/>
      <w:ind w:left="880"/>
    </w:pPr>
    <w:rPr>
      <w:sz w:val="22"/>
      <w:szCs w:val="22"/>
    </w:rPr>
  </w:style>
  <w:style w:type="paragraph" w:styleId="TOC6">
    <w:name w:val="toc 6"/>
    <w:basedOn w:val="Normal"/>
    <w:next w:val="Normal"/>
    <w:autoRedefine/>
    <w:uiPriority w:val="39"/>
    <w:unhideWhenUsed/>
    <w:rsid w:val="009E2E9D"/>
    <w:pPr>
      <w:spacing w:before="0" w:after="100" w:line="259" w:lineRule="auto"/>
      <w:ind w:left="1100"/>
    </w:pPr>
    <w:rPr>
      <w:sz w:val="22"/>
      <w:szCs w:val="22"/>
    </w:rPr>
  </w:style>
  <w:style w:type="paragraph" w:styleId="TOC7">
    <w:name w:val="toc 7"/>
    <w:basedOn w:val="Normal"/>
    <w:next w:val="Normal"/>
    <w:autoRedefine/>
    <w:uiPriority w:val="39"/>
    <w:unhideWhenUsed/>
    <w:rsid w:val="009E2E9D"/>
    <w:pPr>
      <w:spacing w:before="0" w:after="100" w:line="259" w:lineRule="auto"/>
      <w:ind w:left="1320"/>
    </w:pPr>
    <w:rPr>
      <w:sz w:val="22"/>
      <w:szCs w:val="22"/>
    </w:rPr>
  </w:style>
  <w:style w:type="paragraph" w:styleId="TOC8">
    <w:name w:val="toc 8"/>
    <w:basedOn w:val="Normal"/>
    <w:next w:val="Normal"/>
    <w:autoRedefine/>
    <w:uiPriority w:val="39"/>
    <w:unhideWhenUsed/>
    <w:rsid w:val="009E2E9D"/>
    <w:pPr>
      <w:spacing w:before="0" w:after="100" w:line="259" w:lineRule="auto"/>
      <w:ind w:left="1540"/>
    </w:pPr>
    <w:rPr>
      <w:sz w:val="22"/>
      <w:szCs w:val="22"/>
    </w:rPr>
  </w:style>
  <w:style w:type="paragraph" w:styleId="TOC9">
    <w:name w:val="toc 9"/>
    <w:basedOn w:val="Normal"/>
    <w:next w:val="Normal"/>
    <w:autoRedefine/>
    <w:uiPriority w:val="39"/>
    <w:unhideWhenUsed/>
    <w:rsid w:val="009E2E9D"/>
    <w:pPr>
      <w:spacing w:before="0" w:after="100" w:line="259" w:lineRule="auto"/>
      <w:ind w:left="1760"/>
    </w:pPr>
    <w:rPr>
      <w:sz w:val="22"/>
      <w:szCs w:val="22"/>
    </w:rPr>
  </w:style>
  <w:style w:type="character" w:customStyle="1" w:styleId="UnresolvedMention2">
    <w:name w:val="Unresolved Mention2"/>
    <w:basedOn w:val="DefaultParagraphFont"/>
    <w:uiPriority w:val="99"/>
    <w:semiHidden/>
    <w:unhideWhenUsed/>
    <w:rsid w:val="009E2E9D"/>
    <w:rPr>
      <w:color w:val="605E5C"/>
      <w:shd w:val="clear" w:color="auto" w:fill="E1DFDD"/>
    </w:rPr>
  </w:style>
  <w:style w:type="character" w:customStyle="1" w:styleId="UnresolvedMention3">
    <w:name w:val="Unresolved Mention3"/>
    <w:basedOn w:val="DefaultParagraphFont"/>
    <w:uiPriority w:val="99"/>
    <w:semiHidden/>
    <w:unhideWhenUsed/>
    <w:rsid w:val="005805D8"/>
    <w:rPr>
      <w:color w:val="808080"/>
      <w:shd w:val="clear" w:color="auto" w:fill="E6E6E6"/>
    </w:rPr>
  </w:style>
  <w:style w:type="paragraph" w:customStyle="1" w:styleId="Heading33">
    <w:name w:val="Heading 3.3"/>
    <w:basedOn w:val="Heading3"/>
    <w:link w:val="Heading33Char"/>
    <w:autoRedefine/>
    <w:qFormat/>
    <w:rsid w:val="00DA62BB"/>
    <w:pPr>
      <w:keepNext w:val="0"/>
      <w:keepLines w:val="0"/>
      <w:spacing w:before="120" w:after="120" w:line="276" w:lineRule="auto"/>
      <w:jc w:val="both"/>
    </w:pPr>
    <w:rPr>
      <w:rFonts w:ascii="Arial" w:eastAsia="Times New Roman" w:hAnsi="Arial" w:cs="Times New Roman"/>
      <w:b w:val="0"/>
      <w:color w:val="auto"/>
      <w:sz w:val="20"/>
      <w:szCs w:val="26"/>
    </w:rPr>
  </w:style>
  <w:style w:type="character" w:customStyle="1" w:styleId="Heading33Char">
    <w:name w:val="Heading 3.3 Char"/>
    <w:basedOn w:val="DefaultParagraphFont"/>
    <w:link w:val="Heading33"/>
    <w:rsid w:val="00DA62BB"/>
    <w:rPr>
      <w:rFonts w:ascii="Arial" w:eastAsia="Times New Roman" w:hAnsi="Arial" w:cs="Times New Roman"/>
      <w:bCs/>
      <w:szCs w:val="26"/>
    </w:rPr>
  </w:style>
  <w:style w:type="character" w:customStyle="1" w:styleId="groupname">
    <w:name w:val="groupname"/>
    <w:basedOn w:val="DefaultParagraphFont"/>
    <w:rsid w:val="00FC290E"/>
  </w:style>
  <w:style w:type="character" w:customStyle="1" w:styleId="articletitle">
    <w:name w:val="articletitle"/>
    <w:basedOn w:val="DefaultParagraphFont"/>
    <w:rsid w:val="00FC290E"/>
  </w:style>
  <w:style w:type="character" w:customStyle="1" w:styleId="pubyear">
    <w:name w:val="pubyear"/>
    <w:basedOn w:val="DefaultParagraphFont"/>
    <w:rsid w:val="00FC290E"/>
  </w:style>
  <w:style w:type="character" w:customStyle="1" w:styleId="vol">
    <w:name w:val="vol"/>
    <w:basedOn w:val="DefaultParagraphFont"/>
    <w:rsid w:val="00FC290E"/>
  </w:style>
  <w:style w:type="character" w:customStyle="1" w:styleId="pagefirst">
    <w:name w:val="pagefirst"/>
    <w:basedOn w:val="DefaultParagraphFont"/>
    <w:rsid w:val="00FC290E"/>
  </w:style>
  <w:style w:type="character" w:customStyle="1" w:styleId="pagelast">
    <w:name w:val="pagelast"/>
    <w:basedOn w:val="DefaultParagraphFont"/>
    <w:rsid w:val="00FC290E"/>
  </w:style>
  <w:style w:type="character" w:customStyle="1" w:styleId="UnresolvedMention4">
    <w:name w:val="Unresolved Mention4"/>
    <w:basedOn w:val="DefaultParagraphFont"/>
    <w:uiPriority w:val="99"/>
    <w:semiHidden/>
    <w:unhideWhenUsed/>
    <w:rsid w:val="004E2935"/>
    <w:rPr>
      <w:color w:val="605E5C"/>
      <w:shd w:val="clear" w:color="auto" w:fill="E1DFDD"/>
    </w:rPr>
  </w:style>
  <w:style w:type="character" w:styleId="SubtleEmphasis">
    <w:name w:val="Subtle Emphasis"/>
    <w:basedOn w:val="DefaultParagraphFont"/>
    <w:uiPriority w:val="1"/>
    <w:qFormat/>
    <w:rsid w:val="002B09F5"/>
    <w:rPr>
      <w:i/>
      <w:iCs/>
      <w:color w:val="404040" w:themeColor="text1" w:themeTint="BF"/>
    </w:rPr>
  </w:style>
  <w:style w:type="character" w:styleId="Strong">
    <w:name w:val="Strong"/>
    <w:basedOn w:val="DefaultParagraphFont"/>
    <w:uiPriority w:val="1"/>
    <w:qFormat/>
    <w:rsid w:val="002F7063"/>
    <w:rPr>
      <w:b/>
      <w:bCs/>
    </w:rPr>
  </w:style>
  <w:style w:type="character" w:customStyle="1" w:styleId="UnresolvedMention5">
    <w:name w:val="Unresolved Mention5"/>
    <w:basedOn w:val="DefaultParagraphFont"/>
    <w:uiPriority w:val="99"/>
    <w:semiHidden/>
    <w:unhideWhenUsed/>
    <w:rsid w:val="002E48A0"/>
    <w:rPr>
      <w:color w:val="605E5C"/>
      <w:shd w:val="clear" w:color="auto" w:fill="E1DFDD"/>
    </w:rPr>
  </w:style>
  <w:style w:type="paragraph" w:customStyle="1" w:styleId="DHHStabletext">
    <w:name w:val="DHHS table text"/>
    <w:uiPriority w:val="3"/>
    <w:qFormat/>
    <w:rsid w:val="00A8711E"/>
    <w:pPr>
      <w:spacing w:before="80" w:after="60" w:line="240" w:lineRule="auto"/>
    </w:pPr>
    <w:rPr>
      <w:rFonts w:ascii="Arial" w:eastAsia="Times New Roman" w:hAnsi="Arial" w:cs="Times New Roman"/>
      <w:lang w:eastAsia="en-US"/>
    </w:rPr>
  </w:style>
  <w:style w:type="paragraph" w:styleId="Revision">
    <w:name w:val="Revision"/>
    <w:hidden/>
    <w:uiPriority w:val="99"/>
    <w:semiHidden/>
    <w:rsid w:val="00284947"/>
    <w:pPr>
      <w:spacing w:before="0" w:after="0" w:line="240" w:lineRule="auto"/>
    </w:pPr>
  </w:style>
  <w:style w:type="character" w:styleId="UnresolvedMention">
    <w:name w:val="Unresolved Mention"/>
    <w:basedOn w:val="DefaultParagraphFont"/>
    <w:uiPriority w:val="99"/>
    <w:semiHidden/>
    <w:unhideWhenUsed/>
    <w:rsid w:val="00A423F0"/>
    <w:rPr>
      <w:color w:val="605E5C"/>
      <w:shd w:val="clear" w:color="auto" w:fill="E1DFDD"/>
    </w:rPr>
  </w:style>
  <w:style w:type="paragraph" w:customStyle="1" w:styleId="NoParagraphStyle">
    <w:name w:val="[No Paragraph Style]"/>
    <w:rsid w:val="009169E8"/>
    <w:pPr>
      <w:autoSpaceDE w:val="0"/>
      <w:autoSpaceDN w:val="0"/>
      <w:adjustRightInd w:val="0"/>
      <w:spacing w:before="0" w:after="0" w:line="288" w:lineRule="auto"/>
      <w:textAlignment w:val="center"/>
    </w:pPr>
    <w:rPr>
      <w:rFonts w:ascii="Minion Pro" w:hAnsi="Minion Pro" w:cs="Minion Pro"/>
      <w:color w:val="000000"/>
      <w:sz w:val="24"/>
      <w:szCs w:val="24"/>
      <w:lang w:val="en-US"/>
    </w:rPr>
  </w:style>
  <w:style w:type="paragraph" w:customStyle="1" w:styleId="Heading1Headings">
    <w:name w:val="Heading 1 (Headings)"/>
    <w:basedOn w:val="NoParagraphStyle"/>
    <w:uiPriority w:val="99"/>
    <w:rsid w:val="009169E8"/>
    <w:pPr>
      <w:suppressAutoHyphens/>
      <w:spacing w:line="520" w:lineRule="atLeast"/>
    </w:pPr>
    <w:rPr>
      <w:rFonts w:ascii="VIC" w:hAnsi="VIC" w:cs="VIC"/>
      <w:b/>
      <w:bCs/>
      <w:color w:val="0059D8"/>
      <w:sz w:val="48"/>
      <w:szCs w:val="48"/>
      <w:lang w:val="en-GB"/>
    </w:rPr>
  </w:style>
  <w:style w:type="paragraph" w:customStyle="1" w:styleId="BodyCopy">
    <w:name w:val="Body Copy"/>
    <w:basedOn w:val="NoParagraphStyle"/>
    <w:uiPriority w:val="99"/>
    <w:rsid w:val="009169E8"/>
    <w:pPr>
      <w:suppressAutoHyphens/>
      <w:spacing w:after="170" w:line="280" w:lineRule="atLeast"/>
    </w:pPr>
    <w:rPr>
      <w:rFonts w:ascii="VIC" w:hAnsi="VIC" w:cs="VIC"/>
      <w:sz w:val="20"/>
      <w:szCs w:val="20"/>
      <w:lang w:val="en-GB"/>
    </w:rPr>
  </w:style>
  <w:style w:type="paragraph" w:customStyle="1" w:styleId="ContentsHeadingContentsPage">
    <w:name w:val="Contents Heading (Contents Page)"/>
    <w:basedOn w:val="NoParagraphStyle"/>
    <w:uiPriority w:val="99"/>
    <w:rsid w:val="009169E8"/>
    <w:pPr>
      <w:pBdr>
        <w:bottom w:val="single" w:sz="2" w:space="5" w:color="000000"/>
      </w:pBdr>
      <w:tabs>
        <w:tab w:val="left" w:pos="360"/>
        <w:tab w:val="left" w:pos="720"/>
        <w:tab w:val="right" w:pos="10205"/>
      </w:tabs>
      <w:suppressAutoHyphens/>
      <w:spacing w:before="57" w:after="57" w:line="300" w:lineRule="atLeast"/>
    </w:pPr>
    <w:rPr>
      <w:rFonts w:ascii="VIC" w:hAnsi="VIC" w:cs="VIC"/>
      <w:b/>
      <w:bCs/>
      <w:spacing w:val="-2"/>
      <w:sz w:val="20"/>
      <w:szCs w:val="20"/>
    </w:rPr>
  </w:style>
  <w:style w:type="paragraph" w:customStyle="1" w:styleId="Heading2Headings">
    <w:name w:val="Heading 2 (Headings)"/>
    <w:basedOn w:val="NoParagraphStyle"/>
    <w:uiPriority w:val="99"/>
    <w:rsid w:val="009169E8"/>
    <w:pPr>
      <w:suppressAutoHyphens/>
      <w:spacing w:before="170" w:after="57" w:line="280" w:lineRule="atLeast"/>
    </w:pPr>
    <w:rPr>
      <w:rFonts w:ascii="VIC" w:hAnsi="VIC" w:cs="VIC"/>
      <w:b/>
      <w:bCs/>
      <w:caps/>
      <w:color w:val="0059D8"/>
      <w:lang w:val="en-GB"/>
    </w:rPr>
  </w:style>
  <w:style w:type="paragraph" w:customStyle="1" w:styleId="Bullet">
    <w:name w:val="Bullet"/>
    <w:basedOn w:val="BodyCopy"/>
    <w:uiPriority w:val="99"/>
    <w:rsid w:val="009169E8"/>
    <w:pPr>
      <w:tabs>
        <w:tab w:val="left" w:pos="283"/>
      </w:tabs>
      <w:spacing w:after="57"/>
      <w:ind w:left="283" w:hanging="283"/>
    </w:pPr>
  </w:style>
  <w:style w:type="paragraph" w:customStyle="1" w:styleId="BulletLast">
    <w:name w:val="Bullet Last"/>
    <w:basedOn w:val="Bullet"/>
    <w:uiPriority w:val="99"/>
    <w:rsid w:val="009169E8"/>
    <w:pPr>
      <w:spacing w:after="170"/>
    </w:pPr>
  </w:style>
  <w:style w:type="paragraph" w:customStyle="1" w:styleId="Heading3Headings">
    <w:name w:val="Heading 3 (Headings)"/>
    <w:basedOn w:val="NoParagraphStyle"/>
    <w:uiPriority w:val="99"/>
    <w:rsid w:val="009169E8"/>
    <w:pPr>
      <w:suppressAutoHyphens/>
      <w:spacing w:before="170" w:after="57" w:line="280" w:lineRule="atLeast"/>
    </w:pPr>
    <w:rPr>
      <w:rFonts w:ascii="VIC" w:hAnsi="VIC" w:cs="VIC"/>
      <w:b/>
      <w:bCs/>
      <w:lang w:val="en-GB"/>
    </w:rPr>
  </w:style>
  <w:style w:type="paragraph" w:customStyle="1" w:styleId="FigureHeadingTablesandfigures">
    <w:name w:val="Figure Heading (Tables and figures)"/>
    <w:basedOn w:val="NoParagraphStyle"/>
    <w:uiPriority w:val="99"/>
    <w:rsid w:val="009169E8"/>
    <w:pPr>
      <w:suppressAutoHyphens/>
      <w:spacing w:before="113" w:after="170" w:line="260" w:lineRule="atLeast"/>
    </w:pPr>
    <w:rPr>
      <w:rFonts w:ascii="VIC" w:hAnsi="VIC" w:cs="VIC"/>
      <w:b/>
      <w:bCs/>
      <w:color w:val="0059D8"/>
      <w:sz w:val="20"/>
      <w:szCs w:val="20"/>
      <w:lang w:val="en-GB"/>
    </w:rPr>
  </w:style>
  <w:style w:type="paragraph" w:customStyle="1" w:styleId="FigurecaptionTablesandfigures">
    <w:name w:val="Figure caption (Tables and figures)"/>
    <w:basedOn w:val="BodyCopy"/>
    <w:uiPriority w:val="99"/>
    <w:rsid w:val="009169E8"/>
    <w:pPr>
      <w:spacing w:line="170" w:lineRule="atLeast"/>
      <w:ind w:left="227" w:hanging="227"/>
    </w:pPr>
    <w:rPr>
      <w:sz w:val="14"/>
      <w:szCs w:val="14"/>
    </w:rPr>
  </w:style>
  <w:style w:type="paragraph" w:customStyle="1" w:styleId="TablebodyTablesandfigures">
    <w:name w:val="Table body (Tables and figures)"/>
    <w:basedOn w:val="NoParagraphStyle"/>
    <w:uiPriority w:val="99"/>
    <w:rsid w:val="009169E8"/>
    <w:pPr>
      <w:suppressAutoHyphens/>
      <w:spacing w:line="190" w:lineRule="atLeast"/>
    </w:pPr>
    <w:rPr>
      <w:rFonts w:ascii="VIC" w:hAnsi="VIC" w:cs="VIC"/>
      <w:sz w:val="16"/>
      <w:szCs w:val="16"/>
    </w:rPr>
  </w:style>
  <w:style w:type="paragraph" w:customStyle="1" w:styleId="bullet20">
    <w:name w:val="bullet 2"/>
    <w:basedOn w:val="BodyCopy"/>
    <w:uiPriority w:val="99"/>
    <w:rsid w:val="009169E8"/>
    <w:pPr>
      <w:spacing w:after="57"/>
      <w:ind w:left="567" w:hanging="283"/>
    </w:pPr>
  </w:style>
  <w:style w:type="paragraph" w:customStyle="1" w:styleId="Heading4Headings">
    <w:name w:val="Heading 4 (Headings)"/>
    <w:basedOn w:val="NoParagraphStyle"/>
    <w:uiPriority w:val="99"/>
    <w:rsid w:val="009169E8"/>
    <w:pPr>
      <w:suppressAutoHyphens/>
      <w:spacing w:before="227" w:after="57" w:line="240" w:lineRule="atLeast"/>
    </w:pPr>
    <w:rPr>
      <w:rFonts w:ascii="VIC" w:hAnsi="VIC" w:cs="VIC"/>
      <w:b/>
      <w:bCs/>
      <w:sz w:val="20"/>
      <w:szCs w:val="20"/>
      <w:lang w:val="en-GB"/>
    </w:rPr>
  </w:style>
  <w:style w:type="paragraph" w:customStyle="1" w:styleId="TableheadingTablesandfigures">
    <w:name w:val="Table heading (Tables and figures)"/>
    <w:basedOn w:val="FigureHeadingTablesandfigures"/>
    <w:uiPriority w:val="99"/>
    <w:rsid w:val="009169E8"/>
    <w:pPr>
      <w:spacing w:line="200" w:lineRule="atLeast"/>
    </w:pPr>
    <w:rPr>
      <w:sz w:val="16"/>
      <w:szCs w:val="16"/>
    </w:rPr>
  </w:style>
  <w:style w:type="paragraph" w:customStyle="1" w:styleId="Footnotes">
    <w:name w:val="Footnotes"/>
    <w:basedOn w:val="BodyCopy"/>
    <w:uiPriority w:val="99"/>
    <w:rsid w:val="009169E8"/>
    <w:pPr>
      <w:spacing w:after="57" w:line="170" w:lineRule="atLeast"/>
      <w:ind w:left="227" w:hanging="227"/>
    </w:pPr>
    <w:rPr>
      <w:sz w:val="14"/>
      <w:szCs w:val="14"/>
    </w:rPr>
  </w:style>
  <w:style w:type="character" w:customStyle="1" w:styleId="TextItalic">
    <w:name w:val="Text_Italic"/>
    <w:uiPriority w:val="99"/>
    <w:rsid w:val="009169E8"/>
    <w:rPr>
      <w:i/>
      <w:iCs/>
    </w:rPr>
  </w:style>
  <w:style w:type="character" w:customStyle="1" w:styleId="GovernementBluebullet">
    <w:name w:val="Governement Blue / bullet"/>
    <w:uiPriority w:val="99"/>
    <w:rsid w:val="009169E8"/>
    <w:rPr>
      <w:color w:val="0059D8"/>
    </w:rPr>
  </w:style>
  <w:style w:type="character" w:customStyle="1" w:styleId="TextRoman">
    <w:name w:val="Text_Roman"/>
    <w:uiPriority w:val="99"/>
    <w:rsid w:val="009169E8"/>
  </w:style>
  <w:style w:type="character" w:customStyle="1" w:styleId="Textsemibold">
    <w:name w:val="Text_semibold"/>
    <w:basedOn w:val="TextRoman"/>
    <w:uiPriority w:val="99"/>
    <w:rsid w:val="009169E8"/>
    <w:rPr>
      <w:b/>
      <w:bCs/>
    </w:rPr>
  </w:style>
  <w:style w:type="character" w:styleId="FollowedHyperlink">
    <w:name w:val="FollowedHyperlink"/>
    <w:basedOn w:val="DefaultParagraphFont"/>
    <w:uiPriority w:val="1"/>
    <w:semiHidden/>
    <w:unhideWhenUsed/>
    <w:rsid w:val="00790927"/>
    <w:rPr>
      <w:color w:val="0063A5" w:themeColor="followedHyperlink"/>
      <w:u w:val="single"/>
    </w:rPr>
  </w:style>
  <w:style w:type="table" w:styleId="PlainTable2">
    <w:name w:val="Plain Table 2"/>
    <w:basedOn w:val="TableNormal"/>
    <w:uiPriority w:val="42"/>
    <w:rsid w:val="007E5B6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7E5B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9415">
      <w:bodyDiv w:val="1"/>
      <w:marLeft w:val="0"/>
      <w:marRight w:val="0"/>
      <w:marTop w:val="0"/>
      <w:marBottom w:val="0"/>
      <w:divBdr>
        <w:top w:val="none" w:sz="0" w:space="0" w:color="auto"/>
        <w:left w:val="none" w:sz="0" w:space="0" w:color="auto"/>
        <w:bottom w:val="none" w:sz="0" w:space="0" w:color="auto"/>
        <w:right w:val="none" w:sz="0" w:space="0" w:color="auto"/>
      </w:divBdr>
    </w:div>
    <w:div w:id="13192400">
      <w:bodyDiv w:val="1"/>
      <w:marLeft w:val="0"/>
      <w:marRight w:val="0"/>
      <w:marTop w:val="0"/>
      <w:marBottom w:val="0"/>
      <w:divBdr>
        <w:top w:val="none" w:sz="0" w:space="0" w:color="auto"/>
        <w:left w:val="none" w:sz="0" w:space="0" w:color="auto"/>
        <w:bottom w:val="none" w:sz="0" w:space="0" w:color="auto"/>
        <w:right w:val="none" w:sz="0" w:space="0" w:color="auto"/>
      </w:divBdr>
    </w:div>
    <w:div w:id="15891593">
      <w:bodyDiv w:val="1"/>
      <w:marLeft w:val="0"/>
      <w:marRight w:val="0"/>
      <w:marTop w:val="0"/>
      <w:marBottom w:val="0"/>
      <w:divBdr>
        <w:top w:val="none" w:sz="0" w:space="0" w:color="auto"/>
        <w:left w:val="none" w:sz="0" w:space="0" w:color="auto"/>
        <w:bottom w:val="none" w:sz="0" w:space="0" w:color="auto"/>
        <w:right w:val="none" w:sz="0" w:space="0" w:color="auto"/>
      </w:divBdr>
    </w:div>
    <w:div w:id="17974581">
      <w:bodyDiv w:val="1"/>
      <w:marLeft w:val="0"/>
      <w:marRight w:val="0"/>
      <w:marTop w:val="0"/>
      <w:marBottom w:val="0"/>
      <w:divBdr>
        <w:top w:val="none" w:sz="0" w:space="0" w:color="auto"/>
        <w:left w:val="none" w:sz="0" w:space="0" w:color="auto"/>
        <w:bottom w:val="none" w:sz="0" w:space="0" w:color="auto"/>
        <w:right w:val="none" w:sz="0" w:space="0" w:color="auto"/>
      </w:divBdr>
    </w:div>
    <w:div w:id="19863047">
      <w:bodyDiv w:val="1"/>
      <w:marLeft w:val="0"/>
      <w:marRight w:val="0"/>
      <w:marTop w:val="0"/>
      <w:marBottom w:val="0"/>
      <w:divBdr>
        <w:top w:val="none" w:sz="0" w:space="0" w:color="auto"/>
        <w:left w:val="none" w:sz="0" w:space="0" w:color="auto"/>
        <w:bottom w:val="none" w:sz="0" w:space="0" w:color="auto"/>
        <w:right w:val="none" w:sz="0" w:space="0" w:color="auto"/>
      </w:divBdr>
    </w:div>
    <w:div w:id="21904908">
      <w:bodyDiv w:val="1"/>
      <w:marLeft w:val="0"/>
      <w:marRight w:val="0"/>
      <w:marTop w:val="0"/>
      <w:marBottom w:val="0"/>
      <w:divBdr>
        <w:top w:val="none" w:sz="0" w:space="0" w:color="auto"/>
        <w:left w:val="none" w:sz="0" w:space="0" w:color="auto"/>
        <w:bottom w:val="none" w:sz="0" w:space="0" w:color="auto"/>
        <w:right w:val="none" w:sz="0" w:space="0" w:color="auto"/>
      </w:divBdr>
    </w:div>
    <w:div w:id="22217278">
      <w:bodyDiv w:val="1"/>
      <w:marLeft w:val="0"/>
      <w:marRight w:val="0"/>
      <w:marTop w:val="0"/>
      <w:marBottom w:val="0"/>
      <w:divBdr>
        <w:top w:val="none" w:sz="0" w:space="0" w:color="auto"/>
        <w:left w:val="none" w:sz="0" w:space="0" w:color="auto"/>
        <w:bottom w:val="none" w:sz="0" w:space="0" w:color="auto"/>
        <w:right w:val="none" w:sz="0" w:space="0" w:color="auto"/>
      </w:divBdr>
    </w:div>
    <w:div w:id="33041321">
      <w:bodyDiv w:val="1"/>
      <w:marLeft w:val="0"/>
      <w:marRight w:val="0"/>
      <w:marTop w:val="0"/>
      <w:marBottom w:val="0"/>
      <w:divBdr>
        <w:top w:val="none" w:sz="0" w:space="0" w:color="auto"/>
        <w:left w:val="none" w:sz="0" w:space="0" w:color="auto"/>
        <w:bottom w:val="none" w:sz="0" w:space="0" w:color="auto"/>
        <w:right w:val="none" w:sz="0" w:space="0" w:color="auto"/>
      </w:divBdr>
    </w:div>
    <w:div w:id="35812702">
      <w:bodyDiv w:val="1"/>
      <w:marLeft w:val="0"/>
      <w:marRight w:val="0"/>
      <w:marTop w:val="0"/>
      <w:marBottom w:val="0"/>
      <w:divBdr>
        <w:top w:val="none" w:sz="0" w:space="0" w:color="auto"/>
        <w:left w:val="none" w:sz="0" w:space="0" w:color="auto"/>
        <w:bottom w:val="none" w:sz="0" w:space="0" w:color="auto"/>
        <w:right w:val="none" w:sz="0" w:space="0" w:color="auto"/>
      </w:divBdr>
    </w:div>
    <w:div w:id="43144649">
      <w:bodyDiv w:val="1"/>
      <w:marLeft w:val="0"/>
      <w:marRight w:val="0"/>
      <w:marTop w:val="0"/>
      <w:marBottom w:val="0"/>
      <w:divBdr>
        <w:top w:val="none" w:sz="0" w:space="0" w:color="auto"/>
        <w:left w:val="none" w:sz="0" w:space="0" w:color="auto"/>
        <w:bottom w:val="none" w:sz="0" w:space="0" w:color="auto"/>
        <w:right w:val="none" w:sz="0" w:space="0" w:color="auto"/>
      </w:divBdr>
    </w:div>
    <w:div w:id="43649112">
      <w:bodyDiv w:val="1"/>
      <w:marLeft w:val="0"/>
      <w:marRight w:val="0"/>
      <w:marTop w:val="0"/>
      <w:marBottom w:val="0"/>
      <w:divBdr>
        <w:top w:val="none" w:sz="0" w:space="0" w:color="auto"/>
        <w:left w:val="none" w:sz="0" w:space="0" w:color="auto"/>
        <w:bottom w:val="none" w:sz="0" w:space="0" w:color="auto"/>
        <w:right w:val="none" w:sz="0" w:space="0" w:color="auto"/>
      </w:divBdr>
    </w:div>
    <w:div w:id="50736769">
      <w:bodyDiv w:val="1"/>
      <w:marLeft w:val="0"/>
      <w:marRight w:val="0"/>
      <w:marTop w:val="0"/>
      <w:marBottom w:val="0"/>
      <w:divBdr>
        <w:top w:val="none" w:sz="0" w:space="0" w:color="auto"/>
        <w:left w:val="none" w:sz="0" w:space="0" w:color="auto"/>
        <w:bottom w:val="none" w:sz="0" w:space="0" w:color="auto"/>
        <w:right w:val="none" w:sz="0" w:space="0" w:color="auto"/>
      </w:divBdr>
    </w:div>
    <w:div w:id="53430508">
      <w:bodyDiv w:val="1"/>
      <w:marLeft w:val="0"/>
      <w:marRight w:val="0"/>
      <w:marTop w:val="0"/>
      <w:marBottom w:val="0"/>
      <w:divBdr>
        <w:top w:val="none" w:sz="0" w:space="0" w:color="auto"/>
        <w:left w:val="none" w:sz="0" w:space="0" w:color="auto"/>
        <w:bottom w:val="none" w:sz="0" w:space="0" w:color="auto"/>
        <w:right w:val="none" w:sz="0" w:space="0" w:color="auto"/>
      </w:divBdr>
    </w:div>
    <w:div w:id="55981880">
      <w:bodyDiv w:val="1"/>
      <w:marLeft w:val="0"/>
      <w:marRight w:val="0"/>
      <w:marTop w:val="0"/>
      <w:marBottom w:val="0"/>
      <w:divBdr>
        <w:top w:val="none" w:sz="0" w:space="0" w:color="auto"/>
        <w:left w:val="none" w:sz="0" w:space="0" w:color="auto"/>
        <w:bottom w:val="none" w:sz="0" w:space="0" w:color="auto"/>
        <w:right w:val="none" w:sz="0" w:space="0" w:color="auto"/>
      </w:divBdr>
    </w:div>
    <w:div w:id="57945876">
      <w:bodyDiv w:val="1"/>
      <w:marLeft w:val="0"/>
      <w:marRight w:val="0"/>
      <w:marTop w:val="0"/>
      <w:marBottom w:val="0"/>
      <w:divBdr>
        <w:top w:val="none" w:sz="0" w:space="0" w:color="auto"/>
        <w:left w:val="none" w:sz="0" w:space="0" w:color="auto"/>
        <w:bottom w:val="none" w:sz="0" w:space="0" w:color="auto"/>
        <w:right w:val="none" w:sz="0" w:space="0" w:color="auto"/>
      </w:divBdr>
    </w:div>
    <w:div w:id="58526039">
      <w:bodyDiv w:val="1"/>
      <w:marLeft w:val="0"/>
      <w:marRight w:val="0"/>
      <w:marTop w:val="0"/>
      <w:marBottom w:val="0"/>
      <w:divBdr>
        <w:top w:val="none" w:sz="0" w:space="0" w:color="auto"/>
        <w:left w:val="none" w:sz="0" w:space="0" w:color="auto"/>
        <w:bottom w:val="none" w:sz="0" w:space="0" w:color="auto"/>
        <w:right w:val="none" w:sz="0" w:space="0" w:color="auto"/>
      </w:divBdr>
    </w:div>
    <w:div w:id="59794966">
      <w:bodyDiv w:val="1"/>
      <w:marLeft w:val="0"/>
      <w:marRight w:val="0"/>
      <w:marTop w:val="0"/>
      <w:marBottom w:val="0"/>
      <w:divBdr>
        <w:top w:val="none" w:sz="0" w:space="0" w:color="auto"/>
        <w:left w:val="none" w:sz="0" w:space="0" w:color="auto"/>
        <w:bottom w:val="none" w:sz="0" w:space="0" w:color="auto"/>
        <w:right w:val="none" w:sz="0" w:space="0" w:color="auto"/>
      </w:divBdr>
    </w:div>
    <w:div w:id="68774215">
      <w:bodyDiv w:val="1"/>
      <w:marLeft w:val="0"/>
      <w:marRight w:val="0"/>
      <w:marTop w:val="0"/>
      <w:marBottom w:val="0"/>
      <w:divBdr>
        <w:top w:val="none" w:sz="0" w:space="0" w:color="auto"/>
        <w:left w:val="none" w:sz="0" w:space="0" w:color="auto"/>
        <w:bottom w:val="none" w:sz="0" w:space="0" w:color="auto"/>
        <w:right w:val="none" w:sz="0" w:space="0" w:color="auto"/>
      </w:divBdr>
    </w:div>
    <w:div w:id="71585601">
      <w:bodyDiv w:val="1"/>
      <w:marLeft w:val="0"/>
      <w:marRight w:val="0"/>
      <w:marTop w:val="0"/>
      <w:marBottom w:val="0"/>
      <w:divBdr>
        <w:top w:val="none" w:sz="0" w:space="0" w:color="auto"/>
        <w:left w:val="none" w:sz="0" w:space="0" w:color="auto"/>
        <w:bottom w:val="none" w:sz="0" w:space="0" w:color="auto"/>
        <w:right w:val="none" w:sz="0" w:space="0" w:color="auto"/>
      </w:divBdr>
    </w:div>
    <w:div w:id="90702876">
      <w:bodyDiv w:val="1"/>
      <w:marLeft w:val="0"/>
      <w:marRight w:val="0"/>
      <w:marTop w:val="0"/>
      <w:marBottom w:val="0"/>
      <w:divBdr>
        <w:top w:val="none" w:sz="0" w:space="0" w:color="auto"/>
        <w:left w:val="none" w:sz="0" w:space="0" w:color="auto"/>
        <w:bottom w:val="none" w:sz="0" w:space="0" w:color="auto"/>
        <w:right w:val="none" w:sz="0" w:space="0" w:color="auto"/>
      </w:divBdr>
    </w:div>
    <w:div w:id="98793450">
      <w:bodyDiv w:val="1"/>
      <w:marLeft w:val="0"/>
      <w:marRight w:val="0"/>
      <w:marTop w:val="0"/>
      <w:marBottom w:val="0"/>
      <w:divBdr>
        <w:top w:val="none" w:sz="0" w:space="0" w:color="auto"/>
        <w:left w:val="none" w:sz="0" w:space="0" w:color="auto"/>
        <w:bottom w:val="none" w:sz="0" w:space="0" w:color="auto"/>
        <w:right w:val="none" w:sz="0" w:space="0" w:color="auto"/>
      </w:divBdr>
    </w:div>
    <w:div w:id="99759211">
      <w:bodyDiv w:val="1"/>
      <w:marLeft w:val="0"/>
      <w:marRight w:val="0"/>
      <w:marTop w:val="0"/>
      <w:marBottom w:val="0"/>
      <w:divBdr>
        <w:top w:val="none" w:sz="0" w:space="0" w:color="auto"/>
        <w:left w:val="none" w:sz="0" w:space="0" w:color="auto"/>
        <w:bottom w:val="none" w:sz="0" w:space="0" w:color="auto"/>
        <w:right w:val="none" w:sz="0" w:space="0" w:color="auto"/>
      </w:divBdr>
    </w:div>
    <w:div w:id="100342858">
      <w:bodyDiv w:val="1"/>
      <w:marLeft w:val="0"/>
      <w:marRight w:val="0"/>
      <w:marTop w:val="0"/>
      <w:marBottom w:val="0"/>
      <w:divBdr>
        <w:top w:val="none" w:sz="0" w:space="0" w:color="auto"/>
        <w:left w:val="none" w:sz="0" w:space="0" w:color="auto"/>
        <w:bottom w:val="none" w:sz="0" w:space="0" w:color="auto"/>
        <w:right w:val="none" w:sz="0" w:space="0" w:color="auto"/>
      </w:divBdr>
    </w:div>
    <w:div w:id="108164602">
      <w:bodyDiv w:val="1"/>
      <w:marLeft w:val="0"/>
      <w:marRight w:val="0"/>
      <w:marTop w:val="0"/>
      <w:marBottom w:val="0"/>
      <w:divBdr>
        <w:top w:val="none" w:sz="0" w:space="0" w:color="auto"/>
        <w:left w:val="none" w:sz="0" w:space="0" w:color="auto"/>
        <w:bottom w:val="none" w:sz="0" w:space="0" w:color="auto"/>
        <w:right w:val="none" w:sz="0" w:space="0" w:color="auto"/>
      </w:divBdr>
    </w:div>
    <w:div w:id="108472888">
      <w:bodyDiv w:val="1"/>
      <w:marLeft w:val="0"/>
      <w:marRight w:val="0"/>
      <w:marTop w:val="0"/>
      <w:marBottom w:val="0"/>
      <w:divBdr>
        <w:top w:val="none" w:sz="0" w:space="0" w:color="auto"/>
        <w:left w:val="none" w:sz="0" w:space="0" w:color="auto"/>
        <w:bottom w:val="none" w:sz="0" w:space="0" w:color="auto"/>
        <w:right w:val="none" w:sz="0" w:space="0" w:color="auto"/>
      </w:divBdr>
    </w:div>
    <w:div w:id="109319058">
      <w:bodyDiv w:val="1"/>
      <w:marLeft w:val="0"/>
      <w:marRight w:val="0"/>
      <w:marTop w:val="0"/>
      <w:marBottom w:val="0"/>
      <w:divBdr>
        <w:top w:val="none" w:sz="0" w:space="0" w:color="auto"/>
        <w:left w:val="none" w:sz="0" w:space="0" w:color="auto"/>
        <w:bottom w:val="none" w:sz="0" w:space="0" w:color="auto"/>
        <w:right w:val="none" w:sz="0" w:space="0" w:color="auto"/>
      </w:divBdr>
    </w:div>
    <w:div w:id="117988889">
      <w:bodyDiv w:val="1"/>
      <w:marLeft w:val="0"/>
      <w:marRight w:val="0"/>
      <w:marTop w:val="0"/>
      <w:marBottom w:val="0"/>
      <w:divBdr>
        <w:top w:val="none" w:sz="0" w:space="0" w:color="auto"/>
        <w:left w:val="none" w:sz="0" w:space="0" w:color="auto"/>
        <w:bottom w:val="none" w:sz="0" w:space="0" w:color="auto"/>
        <w:right w:val="none" w:sz="0" w:space="0" w:color="auto"/>
      </w:divBdr>
    </w:div>
    <w:div w:id="122891061">
      <w:bodyDiv w:val="1"/>
      <w:marLeft w:val="0"/>
      <w:marRight w:val="0"/>
      <w:marTop w:val="0"/>
      <w:marBottom w:val="0"/>
      <w:divBdr>
        <w:top w:val="none" w:sz="0" w:space="0" w:color="auto"/>
        <w:left w:val="none" w:sz="0" w:space="0" w:color="auto"/>
        <w:bottom w:val="none" w:sz="0" w:space="0" w:color="auto"/>
        <w:right w:val="none" w:sz="0" w:space="0" w:color="auto"/>
      </w:divBdr>
    </w:div>
    <w:div w:id="124323584">
      <w:bodyDiv w:val="1"/>
      <w:marLeft w:val="0"/>
      <w:marRight w:val="0"/>
      <w:marTop w:val="0"/>
      <w:marBottom w:val="0"/>
      <w:divBdr>
        <w:top w:val="none" w:sz="0" w:space="0" w:color="auto"/>
        <w:left w:val="none" w:sz="0" w:space="0" w:color="auto"/>
        <w:bottom w:val="none" w:sz="0" w:space="0" w:color="auto"/>
        <w:right w:val="none" w:sz="0" w:space="0" w:color="auto"/>
      </w:divBdr>
    </w:div>
    <w:div w:id="124855975">
      <w:bodyDiv w:val="1"/>
      <w:marLeft w:val="0"/>
      <w:marRight w:val="0"/>
      <w:marTop w:val="0"/>
      <w:marBottom w:val="0"/>
      <w:divBdr>
        <w:top w:val="none" w:sz="0" w:space="0" w:color="auto"/>
        <w:left w:val="none" w:sz="0" w:space="0" w:color="auto"/>
        <w:bottom w:val="none" w:sz="0" w:space="0" w:color="auto"/>
        <w:right w:val="none" w:sz="0" w:space="0" w:color="auto"/>
      </w:divBdr>
    </w:div>
    <w:div w:id="131607665">
      <w:bodyDiv w:val="1"/>
      <w:marLeft w:val="0"/>
      <w:marRight w:val="0"/>
      <w:marTop w:val="0"/>
      <w:marBottom w:val="0"/>
      <w:divBdr>
        <w:top w:val="none" w:sz="0" w:space="0" w:color="auto"/>
        <w:left w:val="none" w:sz="0" w:space="0" w:color="auto"/>
        <w:bottom w:val="none" w:sz="0" w:space="0" w:color="auto"/>
        <w:right w:val="none" w:sz="0" w:space="0" w:color="auto"/>
      </w:divBdr>
    </w:div>
    <w:div w:id="136726475">
      <w:bodyDiv w:val="1"/>
      <w:marLeft w:val="0"/>
      <w:marRight w:val="0"/>
      <w:marTop w:val="0"/>
      <w:marBottom w:val="0"/>
      <w:divBdr>
        <w:top w:val="none" w:sz="0" w:space="0" w:color="auto"/>
        <w:left w:val="none" w:sz="0" w:space="0" w:color="auto"/>
        <w:bottom w:val="none" w:sz="0" w:space="0" w:color="auto"/>
        <w:right w:val="none" w:sz="0" w:space="0" w:color="auto"/>
      </w:divBdr>
    </w:div>
    <w:div w:id="136993883">
      <w:bodyDiv w:val="1"/>
      <w:marLeft w:val="0"/>
      <w:marRight w:val="0"/>
      <w:marTop w:val="0"/>
      <w:marBottom w:val="0"/>
      <w:divBdr>
        <w:top w:val="none" w:sz="0" w:space="0" w:color="auto"/>
        <w:left w:val="none" w:sz="0" w:space="0" w:color="auto"/>
        <w:bottom w:val="none" w:sz="0" w:space="0" w:color="auto"/>
        <w:right w:val="none" w:sz="0" w:space="0" w:color="auto"/>
      </w:divBdr>
    </w:div>
    <w:div w:id="141192472">
      <w:bodyDiv w:val="1"/>
      <w:marLeft w:val="0"/>
      <w:marRight w:val="0"/>
      <w:marTop w:val="0"/>
      <w:marBottom w:val="0"/>
      <w:divBdr>
        <w:top w:val="none" w:sz="0" w:space="0" w:color="auto"/>
        <w:left w:val="none" w:sz="0" w:space="0" w:color="auto"/>
        <w:bottom w:val="none" w:sz="0" w:space="0" w:color="auto"/>
        <w:right w:val="none" w:sz="0" w:space="0" w:color="auto"/>
      </w:divBdr>
    </w:div>
    <w:div w:id="143544904">
      <w:bodyDiv w:val="1"/>
      <w:marLeft w:val="0"/>
      <w:marRight w:val="0"/>
      <w:marTop w:val="0"/>
      <w:marBottom w:val="0"/>
      <w:divBdr>
        <w:top w:val="none" w:sz="0" w:space="0" w:color="auto"/>
        <w:left w:val="none" w:sz="0" w:space="0" w:color="auto"/>
        <w:bottom w:val="none" w:sz="0" w:space="0" w:color="auto"/>
        <w:right w:val="none" w:sz="0" w:space="0" w:color="auto"/>
      </w:divBdr>
    </w:div>
    <w:div w:id="145706781">
      <w:bodyDiv w:val="1"/>
      <w:marLeft w:val="0"/>
      <w:marRight w:val="0"/>
      <w:marTop w:val="0"/>
      <w:marBottom w:val="0"/>
      <w:divBdr>
        <w:top w:val="none" w:sz="0" w:space="0" w:color="auto"/>
        <w:left w:val="none" w:sz="0" w:space="0" w:color="auto"/>
        <w:bottom w:val="none" w:sz="0" w:space="0" w:color="auto"/>
        <w:right w:val="none" w:sz="0" w:space="0" w:color="auto"/>
      </w:divBdr>
    </w:div>
    <w:div w:id="152726674">
      <w:bodyDiv w:val="1"/>
      <w:marLeft w:val="0"/>
      <w:marRight w:val="0"/>
      <w:marTop w:val="0"/>
      <w:marBottom w:val="0"/>
      <w:divBdr>
        <w:top w:val="none" w:sz="0" w:space="0" w:color="auto"/>
        <w:left w:val="none" w:sz="0" w:space="0" w:color="auto"/>
        <w:bottom w:val="none" w:sz="0" w:space="0" w:color="auto"/>
        <w:right w:val="none" w:sz="0" w:space="0" w:color="auto"/>
      </w:divBdr>
    </w:div>
    <w:div w:id="154146153">
      <w:bodyDiv w:val="1"/>
      <w:marLeft w:val="0"/>
      <w:marRight w:val="0"/>
      <w:marTop w:val="0"/>
      <w:marBottom w:val="0"/>
      <w:divBdr>
        <w:top w:val="none" w:sz="0" w:space="0" w:color="auto"/>
        <w:left w:val="none" w:sz="0" w:space="0" w:color="auto"/>
        <w:bottom w:val="none" w:sz="0" w:space="0" w:color="auto"/>
        <w:right w:val="none" w:sz="0" w:space="0" w:color="auto"/>
      </w:divBdr>
    </w:div>
    <w:div w:id="158497364">
      <w:bodyDiv w:val="1"/>
      <w:marLeft w:val="0"/>
      <w:marRight w:val="0"/>
      <w:marTop w:val="0"/>
      <w:marBottom w:val="0"/>
      <w:divBdr>
        <w:top w:val="none" w:sz="0" w:space="0" w:color="auto"/>
        <w:left w:val="none" w:sz="0" w:space="0" w:color="auto"/>
        <w:bottom w:val="none" w:sz="0" w:space="0" w:color="auto"/>
        <w:right w:val="none" w:sz="0" w:space="0" w:color="auto"/>
      </w:divBdr>
    </w:div>
    <w:div w:id="164251153">
      <w:bodyDiv w:val="1"/>
      <w:marLeft w:val="0"/>
      <w:marRight w:val="0"/>
      <w:marTop w:val="0"/>
      <w:marBottom w:val="0"/>
      <w:divBdr>
        <w:top w:val="none" w:sz="0" w:space="0" w:color="auto"/>
        <w:left w:val="none" w:sz="0" w:space="0" w:color="auto"/>
        <w:bottom w:val="none" w:sz="0" w:space="0" w:color="auto"/>
        <w:right w:val="none" w:sz="0" w:space="0" w:color="auto"/>
      </w:divBdr>
    </w:div>
    <w:div w:id="170141655">
      <w:bodyDiv w:val="1"/>
      <w:marLeft w:val="0"/>
      <w:marRight w:val="0"/>
      <w:marTop w:val="0"/>
      <w:marBottom w:val="0"/>
      <w:divBdr>
        <w:top w:val="none" w:sz="0" w:space="0" w:color="auto"/>
        <w:left w:val="none" w:sz="0" w:space="0" w:color="auto"/>
        <w:bottom w:val="none" w:sz="0" w:space="0" w:color="auto"/>
        <w:right w:val="none" w:sz="0" w:space="0" w:color="auto"/>
      </w:divBdr>
    </w:div>
    <w:div w:id="175117024">
      <w:bodyDiv w:val="1"/>
      <w:marLeft w:val="0"/>
      <w:marRight w:val="0"/>
      <w:marTop w:val="0"/>
      <w:marBottom w:val="0"/>
      <w:divBdr>
        <w:top w:val="none" w:sz="0" w:space="0" w:color="auto"/>
        <w:left w:val="none" w:sz="0" w:space="0" w:color="auto"/>
        <w:bottom w:val="none" w:sz="0" w:space="0" w:color="auto"/>
        <w:right w:val="none" w:sz="0" w:space="0" w:color="auto"/>
      </w:divBdr>
    </w:div>
    <w:div w:id="177357806">
      <w:bodyDiv w:val="1"/>
      <w:marLeft w:val="0"/>
      <w:marRight w:val="0"/>
      <w:marTop w:val="0"/>
      <w:marBottom w:val="0"/>
      <w:divBdr>
        <w:top w:val="none" w:sz="0" w:space="0" w:color="auto"/>
        <w:left w:val="none" w:sz="0" w:space="0" w:color="auto"/>
        <w:bottom w:val="none" w:sz="0" w:space="0" w:color="auto"/>
        <w:right w:val="none" w:sz="0" w:space="0" w:color="auto"/>
      </w:divBdr>
    </w:div>
    <w:div w:id="178351615">
      <w:bodyDiv w:val="1"/>
      <w:marLeft w:val="0"/>
      <w:marRight w:val="0"/>
      <w:marTop w:val="0"/>
      <w:marBottom w:val="0"/>
      <w:divBdr>
        <w:top w:val="none" w:sz="0" w:space="0" w:color="auto"/>
        <w:left w:val="none" w:sz="0" w:space="0" w:color="auto"/>
        <w:bottom w:val="none" w:sz="0" w:space="0" w:color="auto"/>
        <w:right w:val="none" w:sz="0" w:space="0" w:color="auto"/>
      </w:divBdr>
    </w:div>
    <w:div w:id="188494455">
      <w:bodyDiv w:val="1"/>
      <w:marLeft w:val="0"/>
      <w:marRight w:val="0"/>
      <w:marTop w:val="0"/>
      <w:marBottom w:val="0"/>
      <w:divBdr>
        <w:top w:val="none" w:sz="0" w:space="0" w:color="auto"/>
        <w:left w:val="none" w:sz="0" w:space="0" w:color="auto"/>
        <w:bottom w:val="none" w:sz="0" w:space="0" w:color="auto"/>
        <w:right w:val="none" w:sz="0" w:space="0" w:color="auto"/>
      </w:divBdr>
    </w:div>
    <w:div w:id="190922581">
      <w:bodyDiv w:val="1"/>
      <w:marLeft w:val="0"/>
      <w:marRight w:val="0"/>
      <w:marTop w:val="0"/>
      <w:marBottom w:val="0"/>
      <w:divBdr>
        <w:top w:val="none" w:sz="0" w:space="0" w:color="auto"/>
        <w:left w:val="none" w:sz="0" w:space="0" w:color="auto"/>
        <w:bottom w:val="none" w:sz="0" w:space="0" w:color="auto"/>
        <w:right w:val="none" w:sz="0" w:space="0" w:color="auto"/>
      </w:divBdr>
    </w:div>
    <w:div w:id="199174219">
      <w:bodyDiv w:val="1"/>
      <w:marLeft w:val="0"/>
      <w:marRight w:val="0"/>
      <w:marTop w:val="0"/>
      <w:marBottom w:val="0"/>
      <w:divBdr>
        <w:top w:val="none" w:sz="0" w:space="0" w:color="auto"/>
        <w:left w:val="none" w:sz="0" w:space="0" w:color="auto"/>
        <w:bottom w:val="none" w:sz="0" w:space="0" w:color="auto"/>
        <w:right w:val="none" w:sz="0" w:space="0" w:color="auto"/>
      </w:divBdr>
    </w:div>
    <w:div w:id="199325710">
      <w:bodyDiv w:val="1"/>
      <w:marLeft w:val="0"/>
      <w:marRight w:val="0"/>
      <w:marTop w:val="0"/>
      <w:marBottom w:val="0"/>
      <w:divBdr>
        <w:top w:val="none" w:sz="0" w:space="0" w:color="auto"/>
        <w:left w:val="none" w:sz="0" w:space="0" w:color="auto"/>
        <w:bottom w:val="none" w:sz="0" w:space="0" w:color="auto"/>
        <w:right w:val="none" w:sz="0" w:space="0" w:color="auto"/>
      </w:divBdr>
    </w:div>
    <w:div w:id="208804165">
      <w:bodyDiv w:val="1"/>
      <w:marLeft w:val="0"/>
      <w:marRight w:val="0"/>
      <w:marTop w:val="0"/>
      <w:marBottom w:val="0"/>
      <w:divBdr>
        <w:top w:val="none" w:sz="0" w:space="0" w:color="auto"/>
        <w:left w:val="none" w:sz="0" w:space="0" w:color="auto"/>
        <w:bottom w:val="none" w:sz="0" w:space="0" w:color="auto"/>
        <w:right w:val="none" w:sz="0" w:space="0" w:color="auto"/>
      </w:divBdr>
    </w:div>
    <w:div w:id="220097013">
      <w:bodyDiv w:val="1"/>
      <w:marLeft w:val="0"/>
      <w:marRight w:val="0"/>
      <w:marTop w:val="0"/>
      <w:marBottom w:val="0"/>
      <w:divBdr>
        <w:top w:val="none" w:sz="0" w:space="0" w:color="auto"/>
        <w:left w:val="none" w:sz="0" w:space="0" w:color="auto"/>
        <w:bottom w:val="none" w:sz="0" w:space="0" w:color="auto"/>
        <w:right w:val="none" w:sz="0" w:space="0" w:color="auto"/>
      </w:divBdr>
    </w:div>
    <w:div w:id="223805751">
      <w:bodyDiv w:val="1"/>
      <w:marLeft w:val="0"/>
      <w:marRight w:val="0"/>
      <w:marTop w:val="0"/>
      <w:marBottom w:val="0"/>
      <w:divBdr>
        <w:top w:val="none" w:sz="0" w:space="0" w:color="auto"/>
        <w:left w:val="none" w:sz="0" w:space="0" w:color="auto"/>
        <w:bottom w:val="none" w:sz="0" w:space="0" w:color="auto"/>
        <w:right w:val="none" w:sz="0" w:space="0" w:color="auto"/>
      </w:divBdr>
    </w:div>
    <w:div w:id="228272544">
      <w:bodyDiv w:val="1"/>
      <w:marLeft w:val="0"/>
      <w:marRight w:val="0"/>
      <w:marTop w:val="0"/>
      <w:marBottom w:val="0"/>
      <w:divBdr>
        <w:top w:val="none" w:sz="0" w:space="0" w:color="auto"/>
        <w:left w:val="none" w:sz="0" w:space="0" w:color="auto"/>
        <w:bottom w:val="none" w:sz="0" w:space="0" w:color="auto"/>
        <w:right w:val="none" w:sz="0" w:space="0" w:color="auto"/>
      </w:divBdr>
    </w:div>
    <w:div w:id="228272843">
      <w:bodyDiv w:val="1"/>
      <w:marLeft w:val="0"/>
      <w:marRight w:val="0"/>
      <w:marTop w:val="0"/>
      <w:marBottom w:val="0"/>
      <w:divBdr>
        <w:top w:val="none" w:sz="0" w:space="0" w:color="auto"/>
        <w:left w:val="none" w:sz="0" w:space="0" w:color="auto"/>
        <w:bottom w:val="none" w:sz="0" w:space="0" w:color="auto"/>
        <w:right w:val="none" w:sz="0" w:space="0" w:color="auto"/>
      </w:divBdr>
    </w:div>
    <w:div w:id="229116486">
      <w:bodyDiv w:val="1"/>
      <w:marLeft w:val="0"/>
      <w:marRight w:val="0"/>
      <w:marTop w:val="0"/>
      <w:marBottom w:val="0"/>
      <w:divBdr>
        <w:top w:val="none" w:sz="0" w:space="0" w:color="auto"/>
        <w:left w:val="none" w:sz="0" w:space="0" w:color="auto"/>
        <w:bottom w:val="none" w:sz="0" w:space="0" w:color="auto"/>
        <w:right w:val="none" w:sz="0" w:space="0" w:color="auto"/>
      </w:divBdr>
      <w:divsChild>
        <w:div w:id="1193877870">
          <w:marLeft w:val="0"/>
          <w:marRight w:val="0"/>
          <w:marTop w:val="0"/>
          <w:marBottom w:val="0"/>
          <w:divBdr>
            <w:top w:val="none" w:sz="0" w:space="0" w:color="auto"/>
            <w:left w:val="none" w:sz="0" w:space="0" w:color="auto"/>
            <w:bottom w:val="none" w:sz="0" w:space="0" w:color="auto"/>
            <w:right w:val="none" w:sz="0" w:space="0" w:color="auto"/>
          </w:divBdr>
          <w:divsChild>
            <w:div w:id="1819607439">
              <w:marLeft w:val="0"/>
              <w:marRight w:val="0"/>
              <w:marTop w:val="0"/>
              <w:marBottom w:val="0"/>
              <w:divBdr>
                <w:top w:val="none" w:sz="0" w:space="0" w:color="auto"/>
                <w:left w:val="none" w:sz="0" w:space="0" w:color="auto"/>
                <w:bottom w:val="none" w:sz="0" w:space="0" w:color="auto"/>
                <w:right w:val="none" w:sz="0" w:space="0" w:color="auto"/>
              </w:divBdr>
              <w:divsChild>
                <w:div w:id="17402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25586">
      <w:bodyDiv w:val="1"/>
      <w:marLeft w:val="0"/>
      <w:marRight w:val="0"/>
      <w:marTop w:val="0"/>
      <w:marBottom w:val="0"/>
      <w:divBdr>
        <w:top w:val="none" w:sz="0" w:space="0" w:color="auto"/>
        <w:left w:val="none" w:sz="0" w:space="0" w:color="auto"/>
        <w:bottom w:val="none" w:sz="0" w:space="0" w:color="auto"/>
        <w:right w:val="none" w:sz="0" w:space="0" w:color="auto"/>
      </w:divBdr>
    </w:div>
    <w:div w:id="240408633">
      <w:bodyDiv w:val="1"/>
      <w:marLeft w:val="0"/>
      <w:marRight w:val="0"/>
      <w:marTop w:val="0"/>
      <w:marBottom w:val="0"/>
      <w:divBdr>
        <w:top w:val="none" w:sz="0" w:space="0" w:color="auto"/>
        <w:left w:val="none" w:sz="0" w:space="0" w:color="auto"/>
        <w:bottom w:val="none" w:sz="0" w:space="0" w:color="auto"/>
        <w:right w:val="none" w:sz="0" w:space="0" w:color="auto"/>
      </w:divBdr>
    </w:div>
    <w:div w:id="242226283">
      <w:bodyDiv w:val="1"/>
      <w:marLeft w:val="0"/>
      <w:marRight w:val="0"/>
      <w:marTop w:val="0"/>
      <w:marBottom w:val="0"/>
      <w:divBdr>
        <w:top w:val="none" w:sz="0" w:space="0" w:color="auto"/>
        <w:left w:val="none" w:sz="0" w:space="0" w:color="auto"/>
        <w:bottom w:val="none" w:sz="0" w:space="0" w:color="auto"/>
        <w:right w:val="none" w:sz="0" w:space="0" w:color="auto"/>
      </w:divBdr>
    </w:div>
    <w:div w:id="246497941">
      <w:bodyDiv w:val="1"/>
      <w:marLeft w:val="0"/>
      <w:marRight w:val="0"/>
      <w:marTop w:val="0"/>
      <w:marBottom w:val="0"/>
      <w:divBdr>
        <w:top w:val="none" w:sz="0" w:space="0" w:color="auto"/>
        <w:left w:val="none" w:sz="0" w:space="0" w:color="auto"/>
        <w:bottom w:val="none" w:sz="0" w:space="0" w:color="auto"/>
        <w:right w:val="none" w:sz="0" w:space="0" w:color="auto"/>
      </w:divBdr>
    </w:div>
    <w:div w:id="252474660">
      <w:bodyDiv w:val="1"/>
      <w:marLeft w:val="0"/>
      <w:marRight w:val="0"/>
      <w:marTop w:val="0"/>
      <w:marBottom w:val="0"/>
      <w:divBdr>
        <w:top w:val="none" w:sz="0" w:space="0" w:color="auto"/>
        <w:left w:val="none" w:sz="0" w:space="0" w:color="auto"/>
        <w:bottom w:val="none" w:sz="0" w:space="0" w:color="auto"/>
        <w:right w:val="none" w:sz="0" w:space="0" w:color="auto"/>
      </w:divBdr>
    </w:div>
    <w:div w:id="264651950">
      <w:bodyDiv w:val="1"/>
      <w:marLeft w:val="0"/>
      <w:marRight w:val="0"/>
      <w:marTop w:val="0"/>
      <w:marBottom w:val="0"/>
      <w:divBdr>
        <w:top w:val="none" w:sz="0" w:space="0" w:color="auto"/>
        <w:left w:val="none" w:sz="0" w:space="0" w:color="auto"/>
        <w:bottom w:val="none" w:sz="0" w:space="0" w:color="auto"/>
        <w:right w:val="none" w:sz="0" w:space="0" w:color="auto"/>
      </w:divBdr>
    </w:div>
    <w:div w:id="278951558">
      <w:bodyDiv w:val="1"/>
      <w:marLeft w:val="0"/>
      <w:marRight w:val="0"/>
      <w:marTop w:val="0"/>
      <w:marBottom w:val="0"/>
      <w:divBdr>
        <w:top w:val="none" w:sz="0" w:space="0" w:color="auto"/>
        <w:left w:val="none" w:sz="0" w:space="0" w:color="auto"/>
        <w:bottom w:val="none" w:sz="0" w:space="0" w:color="auto"/>
        <w:right w:val="none" w:sz="0" w:space="0" w:color="auto"/>
      </w:divBdr>
    </w:div>
    <w:div w:id="286208280">
      <w:bodyDiv w:val="1"/>
      <w:marLeft w:val="0"/>
      <w:marRight w:val="0"/>
      <w:marTop w:val="0"/>
      <w:marBottom w:val="0"/>
      <w:divBdr>
        <w:top w:val="none" w:sz="0" w:space="0" w:color="auto"/>
        <w:left w:val="none" w:sz="0" w:space="0" w:color="auto"/>
        <w:bottom w:val="none" w:sz="0" w:space="0" w:color="auto"/>
        <w:right w:val="none" w:sz="0" w:space="0" w:color="auto"/>
      </w:divBdr>
    </w:div>
    <w:div w:id="296305166">
      <w:bodyDiv w:val="1"/>
      <w:marLeft w:val="0"/>
      <w:marRight w:val="0"/>
      <w:marTop w:val="0"/>
      <w:marBottom w:val="0"/>
      <w:divBdr>
        <w:top w:val="none" w:sz="0" w:space="0" w:color="auto"/>
        <w:left w:val="none" w:sz="0" w:space="0" w:color="auto"/>
        <w:bottom w:val="none" w:sz="0" w:space="0" w:color="auto"/>
        <w:right w:val="none" w:sz="0" w:space="0" w:color="auto"/>
      </w:divBdr>
    </w:div>
    <w:div w:id="298876923">
      <w:bodyDiv w:val="1"/>
      <w:marLeft w:val="0"/>
      <w:marRight w:val="0"/>
      <w:marTop w:val="0"/>
      <w:marBottom w:val="0"/>
      <w:divBdr>
        <w:top w:val="none" w:sz="0" w:space="0" w:color="auto"/>
        <w:left w:val="none" w:sz="0" w:space="0" w:color="auto"/>
        <w:bottom w:val="none" w:sz="0" w:space="0" w:color="auto"/>
        <w:right w:val="none" w:sz="0" w:space="0" w:color="auto"/>
      </w:divBdr>
    </w:div>
    <w:div w:id="301810870">
      <w:bodyDiv w:val="1"/>
      <w:marLeft w:val="0"/>
      <w:marRight w:val="0"/>
      <w:marTop w:val="0"/>
      <w:marBottom w:val="0"/>
      <w:divBdr>
        <w:top w:val="none" w:sz="0" w:space="0" w:color="auto"/>
        <w:left w:val="none" w:sz="0" w:space="0" w:color="auto"/>
        <w:bottom w:val="none" w:sz="0" w:space="0" w:color="auto"/>
        <w:right w:val="none" w:sz="0" w:space="0" w:color="auto"/>
      </w:divBdr>
    </w:div>
    <w:div w:id="302202168">
      <w:bodyDiv w:val="1"/>
      <w:marLeft w:val="0"/>
      <w:marRight w:val="0"/>
      <w:marTop w:val="0"/>
      <w:marBottom w:val="0"/>
      <w:divBdr>
        <w:top w:val="none" w:sz="0" w:space="0" w:color="auto"/>
        <w:left w:val="none" w:sz="0" w:space="0" w:color="auto"/>
        <w:bottom w:val="none" w:sz="0" w:space="0" w:color="auto"/>
        <w:right w:val="none" w:sz="0" w:space="0" w:color="auto"/>
      </w:divBdr>
    </w:div>
    <w:div w:id="302930198">
      <w:bodyDiv w:val="1"/>
      <w:marLeft w:val="0"/>
      <w:marRight w:val="0"/>
      <w:marTop w:val="0"/>
      <w:marBottom w:val="0"/>
      <w:divBdr>
        <w:top w:val="none" w:sz="0" w:space="0" w:color="auto"/>
        <w:left w:val="none" w:sz="0" w:space="0" w:color="auto"/>
        <w:bottom w:val="none" w:sz="0" w:space="0" w:color="auto"/>
        <w:right w:val="none" w:sz="0" w:space="0" w:color="auto"/>
      </w:divBdr>
    </w:div>
    <w:div w:id="304164628">
      <w:bodyDiv w:val="1"/>
      <w:marLeft w:val="0"/>
      <w:marRight w:val="0"/>
      <w:marTop w:val="0"/>
      <w:marBottom w:val="0"/>
      <w:divBdr>
        <w:top w:val="none" w:sz="0" w:space="0" w:color="auto"/>
        <w:left w:val="none" w:sz="0" w:space="0" w:color="auto"/>
        <w:bottom w:val="none" w:sz="0" w:space="0" w:color="auto"/>
        <w:right w:val="none" w:sz="0" w:space="0" w:color="auto"/>
      </w:divBdr>
    </w:div>
    <w:div w:id="305398621">
      <w:bodyDiv w:val="1"/>
      <w:marLeft w:val="0"/>
      <w:marRight w:val="0"/>
      <w:marTop w:val="0"/>
      <w:marBottom w:val="0"/>
      <w:divBdr>
        <w:top w:val="none" w:sz="0" w:space="0" w:color="auto"/>
        <w:left w:val="none" w:sz="0" w:space="0" w:color="auto"/>
        <w:bottom w:val="none" w:sz="0" w:space="0" w:color="auto"/>
        <w:right w:val="none" w:sz="0" w:space="0" w:color="auto"/>
      </w:divBdr>
    </w:div>
    <w:div w:id="308675324">
      <w:bodyDiv w:val="1"/>
      <w:marLeft w:val="0"/>
      <w:marRight w:val="0"/>
      <w:marTop w:val="0"/>
      <w:marBottom w:val="0"/>
      <w:divBdr>
        <w:top w:val="none" w:sz="0" w:space="0" w:color="auto"/>
        <w:left w:val="none" w:sz="0" w:space="0" w:color="auto"/>
        <w:bottom w:val="none" w:sz="0" w:space="0" w:color="auto"/>
        <w:right w:val="none" w:sz="0" w:space="0" w:color="auto"/>
      </w:divBdr>
    </w:div>
    <w:div w:id="310016330">
      <w:bodyDiv w:val="1"/>
      <w:marLeft w:val="0"/>
      <w:marRight w:val="0"/>
      <w:marTop w:val="0"/>
      <w:marBottom w:val="0"/>
      <w:divBdr>
        <w:top w:val="none" w:sz="0" w:space="0" w:color="auto"/>
        <w:left w:val="none" w:sz="0" w:space="0" w:color="auto"/>
        <w:bottom w:val="none" w:sz="0" w:space="0" w:color="auto"/>
        <w:right w:val="none" w:sz="0" w:space="0" w:color="auto"/>
      </w:divBdr>
    </w:div>
    <w:div w:id="310788741">
      <w:bodyDiv w:val="1"/>
      <w:marLeft w:val="0"/>
      <w:marRight w:val="0"/>
      <w:marTop w:val="0"/>
      <w:marBottom w:val="0"/>
      <w:divBdr>
        <w:top w:val="none" w:sz="0" w:space="0" w:color="auto"/>
        <w:left w:val="none" w:sz="0" w:space="0" w:color="auto"/>
        <w:bottom w:val="none" w:sz="0" w:space="0" w:color="auto"/>
        <w:right w:val="none" w:sz="0" w:space="0" w:color="auto"/>
      </w:divBdr>
    </w:div>
    <w:div w:id="312104308">
      <w:bodyDiv w:val="1"/>
      <w:marLeft w:val="0"/>
      <w:marRight w:val="0"/>
      <w:marTop w:val="0"/>
      <w:marBottom w:val="0"/>
      <w:divBdr>
        <w:top w:val="none" w:sz="0" w:space="0" w:color="auto"/>
        <w:left w:val="none" w:sz="0" w:space="0" w:color="auto"/>
        <w:bottom w:val="none" w:sz="0" w:space="0" w:color="auto"/>
        <w:right w:val="none" w:sz="0" w:space="0" w:color="auto"/>
      </w:divBdr>
    </w:div>
    <w:div w:id="312223900">
      <w:bodyDiv w:val="1"/>
      <w:marLeft w:val="0"/>
      <w:marRight w:val="0"/>
      <w:marTop w:val="0"/>
      <w:marBottom w:val="0"/>
      <w:divBdr>
        <w:top w:val="none" w:sz="0" w:space="0" w:color="auto"/>
        <w:left w:val="none" w:sz="0" w:space="0" w:color="auto"/>
        <w:bottom w:val="none" w:sz="0" w:space="0" w:color="auto"/>
        <w:right w:val="none" w:sz="0" w:space="0" w:color="auto"/>
      </w:divBdr>
    </w:div>
    <w:div w:id="312953284">
      <w:bodyDiv w:val="1"/>
      <w:marLeft w:val="0"/>
      <w:marRight w:val="0"/>
      <w:marTop w:val="0"/>
      <w:marBottom w:val="0"/>
      <w:divBdr>
        <w:top w:val="none" w:sz="0" w:space="0" w:color="auto"/>
        <w:left w:val="none" w:sz="0" w:space="0" w:color="auto"/>
        <w:bottom w:val="none" w:sz="0" w:space="0" w:color="auto"/>
        <w:right w:val="none" w:sz="0" w:space="0" w:color="auto"/>
      </w:divBdr>
    </w:div>
    <w:div w:id="316154641">
      <w:bodyDiv w:val="1"/>
      <w:marLeft w:val="0"/>
      <w:marRight w:val="0"/>
      <w:marTop w:val="0"/>
      <w:marBottom w:val="0"/>
      <w:divBdr>
        <w:top w:val="none" w:sz="0" w:space="0" w:color="auto"/>
        <w:left w:val="none" w:sz="0" w:space="0" w:color="auto"/>
        <w:bottom w:val="none" w:sz="0" w:space="0" w:color="auto"/>
        <w:right w:val="none" w:sz="0" w:space="0" w:color="auto"/>
      </w:divBdr>
    </w:div>
    <w:div w:id="324237633">
      <w:bodyDiv w:val="1"/>
      <w:marLeft w:val="0"/>
      <w:marRight w:val="0"/>
      <w:marTop w:val="0"/>
      <w:marBottom w:val="0"/>
      <w:divBdr>
        <w:top w:val="none" w:sz="0" w:space="0" w:color="auto"/>
        <w:left w:val="none" w:sz="0" w:space="0" w:color="auto"/>
        <w:bottom w:val="none" w:sz="0" w:space="0" w:color="auto"/>
        <w:right w:val="none" w:sz="0" w:space="0" w:color="auto"/>
      </w:divBdr>
    </w:div>
    <w:div w:id="342052098">
      <w:bodyDiv w:val="1"/>
      <w:marLeft w:val="0"/>
      <w:marRight w:val="0"/>
      <w:marTop w:val="0"/>
      <w:marBottom w:val="0"/>
      <w:divBdr>
        <w:top w:val="none" w:sz="0" w:space="0" w:color="auto"/>
        <w:left w:val="none" w:sz="0" w:space="0" w:color="auto"/>
        <w:bottom w:val="none" w:sz="0" w:space="0" w:color="auto"/>
        <w:right w:val="none" w:sz="0" w:space="0" w:color="auto"/>
      </w:divBdr>
    </w:div>
    <w:div w:id="346758137">
      <w:bodyDiv w:val="1"/>
      <w:marLeft w:val="0"/>
      <w:marRight w:val="0"/>
      <w:marTop w:val="0"/>
      <w:marBottom w:val="0"/>
      <w:divBdr>
        <w:top w:val="none" w:sz="0" w:space="0" w:color="auto"/>
        <w:left w:val="none" w:sz="0" w:space="0" w:color="auto"/>
        <w:bottom w:val="none" w:sz="0" w:space="0" w:color="auto"/>
        <w:right w:val="none" w:sz="0" w:space="0" w:color="auto"/>
      </w:divBdr>
    </w:div>
    <w:div w:id="351761079">
      <w:bodyDiv w:val="1"/>
      <w:marLeft w:val="0"/>
      <w:marRight w:val="0"/>
      <w:marTop w:val="0"/>
      <w:marBottom w:val="0"/>
      <w:divBdr>
        <w:top w:val="none" w:sz="0" w:space="0" w:color="auto"/>
        <w:left w:val="none" w:sz="0" w:space="0" w:color="auto"/>
        <w:bottom w:val="none" w:sz="0" w:space="0" w:color="auto"/>
        <w:right w:val="none" w:sz="0" w:space="0" w:color="auto"/>
      </w:divBdr>
    </w:div>
    <w:div w:id="358972083">
      <w:bodyDiv w:val="1"/>
      <w:marLeft w:val="0"/>
      <w:marRight w:val="0"/>
      <w:marTop w:val="0"/>
      <w:marBottom w:val="0"/>
      <w:divBdr>
        <w:top w:val="none" w:sz="0" w:space="0" w:color="auto"/>
        <w:left w:val="none" w:sz="0" w:space="0" w:color="auto"/>
        <w:bottom w:val="none" w:sz="0" w:space="0" w:color="auto"/>
        <w:right w:val="none" w:sz="0" w:space="0" w:color="auto"/>
      </w:divBdr>
    </w:div>
    <w:div w:id="360939135">
      <w:bodyDiv w:val="1"/>
      <w:marLeft w:val="0"/>
      <w:marRight w:val="0"/>
      <w:marTop w:val="0"/>
      <w:marBottom w:val="0"/>
      <w:divBdr>
        <w:top w:val="none" w:sz="0" w:space="0" w:color="auto"/>
        <w:left w:val="none" w:sz="0" w:space="0" w:color="auto"/>
        <w:bottom w:val="none" w:sz="0" w:space="0" w:color="auto"/>
        <w:right w:val="none" w:sz="0" w:space="0" w:color="auto"/>
      </w:divBdr>
    </w:div>
    <w:div w:id="368458415">
      <w:bodyDiv w:val="1"/>
      <w:marLeft w:val="0"/>
      <w:marRight w:val="0"/>
      <w:marTop w:val="0"/>
      <w:marBottom w:val="0"/>
      <w:divBdr>
        <w:top w:val="none" w:sz="0" w:space="0" w:color="auto"/>
        <w:left w:val="none" w:sz="0" w:space="0" w:color="auto"/>
        <w:bottom w:val="none" w:sz="0" w:space="0" w:color="auto"/>
        <w:right w:val="none" w:sz="0" w:space="0" w:color="auto"/>
      </w:divBdr>
    </w:div>
    <w:div w:id="371654967">
      <w:bodyDiv w:val="1"/>
      <w:marLeft w:val="0"/>
      <w:marRight w:val="0"/>
      <w:marTop w:val="0"/>
      <w:marBottom w:val="0"/>
      <w:divBdr>
        <w:top w:val="none" w:sz="0" w:space="0" w:color="auto"/>
        <w:left w:val="none" w:sz="0" w:space="0" w:color="auto"/>
        <w:bottom w:val="none" w:sz="0" w:space="0" w:color="auto"/>
        <w:right w:val="none" w:sz="0" w:space="0" w:color="auto"/>
      </w:divBdr>
    </w:div>
    <w:div w:id="371999115">
      <w:bodyDiv w:val="1"/>
      <w:marLeft w:val="0"/>
      <w:marRight w:val="0"/>
      <w:marTop w:val="0"/>
      <w:marBottom w:val="0"/>
      <w:divBdr>
        <w:top w:val="none" w:sz="0" w:space="0" w:color="auto"/>
        <w:left w:val="none" w:sz="0" w:space="0" w:color="auto"/>
        <w:bottom w:val="none" w:sz="0" w:space="0" w:color="auto"/>
        <w:right w:val="none" w:sz="0" w:space="0" w:color="auto"/>
      </w:divBdr>
    </w:div>
    <w:div w:id="377167783">
      <w:bodyDiv w:val="1"/>
      <w:marLeft w:val="0"/>
      <w:marRight w:val="0"/>
      <w:marTop w:val="0"/>
      <w:marBottom w:val="0"/>
      <w:divBdr>
        <w:top w:val="none" w:sz="0" w:space="0" w:color="auto"/>
        <w:left w:val="none" w:sz="0" w:space="0" w:color="auto"/>
        <w:bottom w:val="none" w:sz="0" w:space="0" w:color="auto"/>
        <w:right w:val="none" w:sz="0" w:space="0" w:color="auto"/>
      </w:divBdr>
    </w:div>
    <w:div w:id="377318668">
      <w:bodyDiv w:val="1"/>
      <w:marLeft w:val="0"/>
      <w:marRight w:val="0"/>
      <w:marTop w:val="0"/>
      <w:marBottom w:val="0"/>
      <w:divBdr>
        <w:top w:val="none" w:sz="0" w:space="0" w:color="auto"/>
        <w:left w:val="none" w:sz="0" w:space="0" w:color="auto"/>
        <w:bottom w:val="none" w:sz="0" w:space="0" w:color="auto"/>
        <w:right w:val="none" w:sz="0" w:space="0" w:color="auto"/>
      </w:divBdr>
    </w:div>
    <w:div w:id="382947833">
      <w:bodyDiv w:val="1"/>
      <w:marLeft w:val="0"/>
      <w:marRight w:val="0"/>
      <w:marTop w:val="0"/>
      <w:marBottom w:val="0"/>
      <w:divBdr>
        <w:top w:val="none" w:sz="0" w:space="0" w:color="auto"/>
        <w:left w:val="none" w:sz="0" w:space="0" w:color="auto"/>
        <w:bottom w:val="none" w:sz="0" w:space="0" w:color="auto"/>
        <w:right w:val="none" w:sz="0" w:space="0" w:color="auto"/>
      </w:divBdr>
    </w:div>
    <w:div w:id="383404879">
      <w:bodyDiv w:val="1"/>
      <w:marLeft w:val="0"/>
      <w:marRight w:val="0"/>
      <w:marTop w:val="0"/>
      <w:marBottom w:val="0"/>
      <w:divBdr>
        <w:top w:val="none" w:sz="0" w:space="0" w:color="auto"/>
        <w:left w:val="none" w:sz="0" w:space="0" w:color="auto"/>
        <w:bottom w:val="none" w:sz="0" w:space="0" w:color="auto"/>
        <w:right w:val="none" w:sz="0" w:space="0" w:color="auto"/>
      </w:divBdr>
    </w:div>
    <w:div w:id="389307250">
      <w:bodyDiv w:val="1"/>
      <w:marLeft w:val="0"/>
      <w:marRight w:val="0"/>
      <w:marTop w:val="0"/>
      <w:marBottom w:val="0"/>
      <w:divBdr>
        <w:top w:val="none" w:sz="0" w:space="0" w:color="auto"/>
        <w:left w:val="none" w:sz="0" w:space="0" w:color="auto"/>
        <w:bottom w:val="none" w:sz="0" w:space="0" w:color="auto"/>
        <w:right w:val="none" w:sz="0" w:space="0" w:color="auto"/>
      </w:divBdr>
    </w:div>
    <w:div w:id="395129698">
      <w:bodyDiv w:val="1"/>
      <w:marLeft w:val="0"/>
      <w:marRight w:val="0"/>
      <w:marTop w:val="0"/>
      <w:marBottom w:val="0"/>
      <w:divBdr>
        <w:top w:val="none" w:sz="0" w:space="0" w:color="auto"/>
        <w:left w:val="none" w:sz="0" w:space="0" w:color="auto"/>
        <w:bottom w:val="none" w:sz="0" w:space="0" w:color="auto"/>
        <w:right w:val="none" w:sz="0" w:space="0" w:color="auto"/>
      </w:divBdr>
    </w:div>
    <w:div w:id="396439319">
      <w:bodyDiv w:val="1"/>
      <w:marLeft w:val="0"/>
      <w:marRight w:val="0"/>
      <w:marTop w:val="0"/>
      <w:marBottom w:val="0"/>
      <w:divBdr>
        <w:top w:val="none" w:sz="0" w:space="0" w:color="auto"/>
        <w:left w:val="none" w:sz="0" w:space="0" w:color="auto"/>
        <w:bottom w:val="none" w:sz="0" w:space="0" w:color="auto"/>
        <w:right w:val="none" w:sz="0" w:space="0" w:color="auto"/>
      </w:divBdr>
    </w:div>
    <w:div w:id="397290278">
      <w:bodyDiv w:val="1"/>
      <w:marLeft w:val="0"/>
      <w:marRight w:val="0"/>
      <w:marTop w:val="0"/>
      <w:marBottom w:val="0"/>
      <w:divBdr>
        <w:top w:val="none" w:sz="0" w:space="0" w:color="auto"/>
        <w:left w:val="none" w:sz="0" w:space="0" w:color="auto"/>
        <w:bottom w:val="none" w:sz="0" w:space="0" w:color="auto"/>
        <w:right w:val="none" w:sz="0" w:space="0" w:color="auto"/>
      </w:divBdr>
    </w:div>
    <w:div w:id="397365354">
      <w:bodyDiv w:val="1"/>
      <w:marLeft w:val="0"/>
      <w:marRight w:val="0"/>
      <w:marTop w:val="0"/>
      <w:marBottom w:val="0"/>
      <w:divBdr>
        <w:top w:val="none" w:sz="0" w:space="0" w:color="auto"/>
        <w:left w:val="none" w:sz="0" w:space="0" w:color="auto"/>
        <w:bottom w:val="none" w:sz="0" w:space="0" w:color="auto"/>
        <w:right w:val="none" w:sz="0" w:space="0" w:color="auto"/>
      </w:divBdr>
    </w:div>
    <w:div w:id="402610652">
      <w:bodyDiv w:val="1"/>
      <w:marLeft w:val="0"/>
      <w:marRight w:val="0"/>
      <w:marTop w:val="0"/>
      <w:marBottom w:val="0"/>
      <w:divBdr>
        <w:top w:val="none" w:sz="0" w:space="0" w:color="auto"/>
        <w:left w:val="none" w:sz="0" w:space="0" w:color="auto"/>
        <w:bottom w:val="none" w:sz="0" w:space="0" w:color="auto"/>
        <w:right w:val="none" w:sz="0" w:space="0" w:color="auto"/>
      </w:divBdr>
    </w:div>
    <w:div w:id="403768217">
      <w:bodyDiv w:val="1"/>
      <w:marLeft w:val="0"/>
      <w:marRight w:val="0"/>
      <w:marTop w:val="0"/>
      <w:marBottom w:val="0"/>
      <w:divBdr>
        <w:top w:val="none" w:sz="0" w:space="0" w:color="auto"/>
        <w:left w:val="none" w:sz="0" w:space="0" w:color="auto"/>
        <w:bottom w:val="none" w:sz="0" w:space="0" w:color="auto"/>
        <w:right w:val="none" w:sz="0" w:space="0" w:color="auto"/>
      </w:divBdr>
    </w:div>
    <w:div w:id="411658884">
      <w:bodyDiv w:val="1"/>
      <w:marLeft w:val="0"/>
      <w:marRight w:val="0"/>
      <w:marTop w:val="0"/>
      <w:marBottom w:val="0"/>
      <w:divBdr>
        <w:top w:val="none" w:sz="0" w:space="0" w:color="auto"/>
        <w:left w:val="none" w:sz="0" w:space="0" w:color="auto"/>
        <w:bottom w:val="none" w:sz="0" w:space="0" w:color="auto"/>
        <w:right w:val="none" w:sz="0" w:space="0" w:color="auto"/>
      </w:divBdr>
    </w:div>
    <w:div w:id="412358685">
      <w:bodyDiv w:val="1"/>
      <w:marLeft w:val="0"/>
      <w:marRight w:val="0"/>
      <w:marTop w:val="0"/>
      <w:marBottom w:val="0"/>
      <w:divBdr>
        <w:top w:val="none" w:sz="0" w:space="0" w:color="auto"/>
        <w:left w:val="none" w:sz="0" w:space="0" w:color="auto"/>
        <w:bottom w:val="none" w:sz="0" w:space="0" w:color="auto"/>
        <w:right w:val="none" w:sz="0" w:space="0" w:color="auto"/>
      </w:divBdr>
    </w:div>
    <w:div w:id="412706772">
      <w:bodyDiv w:val="1"/>
      <w:marLeft w:val="0"/>
      <w:marRight w:val="0"/>
      <w:marTop w:val="0"/>
      <w:marBottom w:val="0"/>
      <w:divBdr>
        <w:top w:val="none" w:sz="0" w:space="0" w:color="auto"/>
        <w:left w:val="none" w:sz="0" w:space="0" w:color="auto"/>
        <w:bottom w:val="none" w:sz="0" w:space="0" w:color="auto"/>
        <w:right w:val="none" w:sz="0" w:space="0" w:color="auto"/>
      </w:divBdr>
    </w:div>
    <w:div w:id="419376561">
      <w:bodyDiv w:val="1"/>
      <w:marLeft w:val="0"/>
      <w:marRight w:val="0"/>
      <w:marTop w:val="0"/>
      <w:marBottom w:val="0"/>
      <w:divBdr>
        <w:top w:val="none" w:sz="0" w:space="0" w:color="auto"/>
        <w:left w:val="none" w:sz="0" w:space="0" w:color="auto"/>
        <w:bottom w:val="none" w:sz="0" w:space="0" w:color="auto"/>
        <w:right w:val="none" w:sz="0" w:space="0" w:color="auto"/>
      </w:divBdr>
    </w:div>
    <w:div w:id="420294204">
      <w:bodyDiv w:val="1"/>
      <w:marLeft w:val="0"/>
      <w:marRight w:val="0"/>
      <w:marTop w:val="0"/>
      <w:marBottom w:val="0"/>
      <w:divBdr>
        <w:top w:val="none" w:sz="0" w:space="0" w:color="auto"/>
        <w:left w:val="none" w:sz="0" w:space="0" w:color="auto"/>
        <w:bottom w:val="none" w:sz="0" w:space="0" w:color="auto"/>
        <w:right w:val="none" w:sz="0" w:space="0" w:color="auto"/>
      </w:divBdr>
    </w:div>
    <w:div w:id="423916117">
      <w:bodyDiv w:val="1"/>
      <w:marLeft w:val="0"/>
      <w:marRight w:val="0"/>
      <w:marTop w:val="0"/>
      <w:marBottom w:val="0"/>
      <w:divBdr>
        <w:top w:val="none" w:sz="0" w:space="0" w:color="auto"/>
        <w:left w:val="none" w:sz="0" w:space="0" w:color="auto"/>
        <w:bottom w:val="none" w:sz="0" w:space="0" w:color="auto"/>
        <w:right w:val="none" w:sz="0" w:space="0" w:color="auto"/>
      </w:divBdr>
    </w:div>
    <w:div w:id="424031950">
      <w:bodyDiv w:val="1"/>
      <w:marLeft w:val="0"/>
      <w:marRight w:val="0"/>
      <w:marTop w:val="0"/>
      <w:marBottom w:val="0"/>
      <w:divBdr>
        <w:top w:val="none" w:sz="0" w:space="0" w:color="auto"/>
        <w:left w:val="none" w:sz="0" w:space="0" w:color="auto"/>
        <w:bottom w:val="none" w:sz="0" w:space="0" w:color="auto"/>
        <w:right w:val="none" w:sz="0" w:space="0" w:color="auto"/>
      </w:divBdr>
    </w:div>
    <w:div w:id="428161820">
      <w:bodyDiv w:val="1"/>
      <w:marLeft w:val="0"/>
      <w:marRight w:val="0"/>
      <w:marTop w:val="0"/>
      <w:marBottom w:val="0"/>
      <w:divBdr>
        <w:top w:val="none" w:sz="0" w:space="0" w:color="auto"/>
        <w:left w:val="none" w:sz="0" w:space="0" w:color="auto"/>
        <w:bottom w:val="none" w:sz="0" w:space="0" w:color="auto"/>
        <w:right w:val="none" w:sz="0" w:space="0" w:color="auto"/>
      </w:divBdr>
    </w:div>
    <w:div w:id="450170746">
      <w:bodyDiv w:val="1"/>
      <w:marLeft w:val="0"/>
      <w:marRight w:val="0"/>
      <w:marTop w:val="0"/>
      <w:marBottom w:val="0"/>
      <w:divBdr>
        <w:top w:val="none" w:sz="0" w:space="0" w:color="auto"/>
        <w:left w:val="none" w:sz="0" w:space="0" w:color="auto"/>
        <w:bottom w:val="none" w:sz="0" w:space="0" w:color="auto"/>
        <w:right w:val="none" w:sz="0" w:space="0" w:color="auto"/>
      </w:divBdr>
    </w:div>
    <w:div w:id="457644247">
      <w:bodyDiv w:val="1"/>
      <w:marLeft w:val="0"/>
      <w:marRight w:val="0"/>
      <w:marTop w:val="0"/>
      <w:marBottom w:val="0"/>
      <w:divBdr>
        <w:top w:val="none" w:sz="0" w:space="0" w:color="auto"/>
        <w:left w:val="none" w:sz="0" w:space="0" w:color="auto"/>
        <w:bottom w:val="none" w:sz="0" w:space="0" w:color="auto"/>
        <w:right w:val="none" w:sz="0" w:space="0" w:color="auto"/>
      </w:divBdr>
    </w:div>
    <w:div w:id="458229998">
      <w:bodyDiv w:val="1"/>
      <w:marLeft w:val="0"/>
      <w:marRight w:val="0"/>
      <w:marTop w:val="0"/>
      <w:marBottom w:val="0"/>
      <w:divBdr>
        <w:top w:val="none" w:sz="0" w:space="0" w:color="auto"/>
        <w:left w:val="none" w:sz="0" w:space="0" w:color="auto"/>
        <w:bottom w:val="none" w:sz="0" w:space="0" w:color="auto"/>
        <w:right w:val="none" w:sz="0" w:space="0" w:color="auto"/>
      </w:divBdr>
    </w:div>
    <w:div w:id="464199775">
      <w:bodyDiv w:val="1"/>
      <w:marLeft w:val="0"/>
      <w:marRight w:val="0"/>
      <w:marTop w:val="0"/>
      <w:marBottom w:val="0"/>
      <w:divBdr>
        <w:top w:val="none" w:sz="0" w:space="0" w:color="auto"/>
        <w:left w:val="none" w:sz="0" w:space="0" w:color="auto"/>
        <w:bottom w:val="none" w:sz="0" w:space="0" w:color="auto"/>
        <w:right w:val="none" w:sz="0" w:space="0" w:color="auto"/>
      </w:divBdr>
    </w:div>
    <w:div w:id="466045228">
      <w:bodyDiv w:val="1"/>
      <w:marLeft w:val="0"/>
      <w:marRight w:val="0"/>
      <w:marTop w:val="0"/>
      <w:marBottom w:val="0"/>
      <w:divBdr>
        <w:top w:val="none" w:sz="0" w:space="0" w:color="auto"/>
        <w:left w:val="none" w:sz="0" w:space="0" w:color="auto"/>
        <w:bottom w:val="none" w:sz="0" w:space="0" w:color="auto"/>
        <w:right w:val="none" w:sz="0" w:space="0" w:color="auto"/>
      </w:divBdr>
    </w:div>
    <w:div w:id="466245955">
      <w:bodyDiv w:val="1"/>
      <w:marLeft w:val="0"/>
      <w:marRight w:val="0"/>
      <w:marTop w:val="0"/>
      <w:marBottom w:val="0"/>
      <w:divBdr>
        <w:top w:val="none" w:sz="0" w:space="0" w:color="auto"/>
        <w:left w:val="none" w:sz="0" w:space="0" w:color="auto"/>
        <w:bottom w:val="none" w:sz="0" w:space="0" w:color="auto"/>
        <w:right w:val="none" w:sz="0" w:space="0" w:color="auto"/>
      </w:divBdr>
    </w:div>
    <w:div w:id="476068778">
      <w:bodyDiv w:val="1"/>
      <w:marLeft w:val="0"/>
      <w:marRight w:val="0"/>
      <w:marTop w:val="0"/>
      <w:marBottom w:val="0"/>
      <w:divBdr>
        <w:top w:val="none" w:sz="0" w:space="0" w:color="auto"/>
        <w:left w:val="none" w:sz="0" w:space="0" w:color="auto"/>
        <w:bottom w:val="none" w:sz="0" w:space="0" w:color="auto"/>
        <w:right w:val="none" w:sz="0" w:space="0" w:color="auto"/>
      </w:divBdr>
    </w:div>
    <w:div w:id="486828346">
      <w:bodyDiv w:val="1"/>
      <w:marLeft w:val="0"/>
      <w:marRight w:val="0"/>
      <w:marTop w:val="0"/>
      <w:marBottom w:val="0"/>
      <w:divBdr>
        <w:top w:val="none" w:sz="0" w:space="0" w:color="auto"/>
        <w:left w:val="none" w:sz="0" w:space="0" w:color="auto"/>
        <w:bottom w:val="none" w:sz="0" w:space="0" w:color="auto"/>
        <w:right w:val="none" w:sz="0" w:space="0" w:color="auto"/>
      </w:divBdr>
    </w:div>
    <w:div w:id="487787484">
      <w:bodyDiv w:val="1"/>
      <w:marLeft w:val="0"/>
      <w:marRight w:val="0"/>
      <w:marTop w:val="0"/>
      <w:marBottom w:val="0"/>
      <w:divBdr>
        <w:top w:val="none" w:sz="0" w:space="0" w:color="auto"/>
        <w:left w:val="none" w:sz="0" w:space="0" w:color="auto"/>
        <w:bottom w:val="none" w:sz="0" w:space="0" w:color="auto"/>
        <w:right w:val="none" w:sz="0" w:space="0" w:color="auto"/>
      </w:divBdr>
    </w:div>
    <w:div w:id="492724856">
      <w:bodyDiv w:val="1"/>
      <w:marLeft w:val="0"/>
      <w:marRight w:val="0"/>
      <w:marTop w:val="0"/>
      <w:marBottom w:val="0"/>
      <w:divBdr>
        <w:top w:val="none" w:sz="0" w:space="0" w:color="auto"/>
        <w:left w:val="none" w:sz="0" w:space="0" w:color="auto"/>
        <w:bottom w:val="none" w:sz="0" w:space="0" w:color="auto"/>
        <w:right w:val="none" w:sz="0" w:space="0" w:color="auto"/>
      </w:divBdr>
    </w:div>
    <w:div w:id="493493207">
      <w:bodyDiv w:val="1"/>
      <w:marLeft w:val="0"/>
      <w:marRight w:val="0"/>
      <w:marTop w:val="0"/>
      <w:marBottom w:val="0"/>
      <w:divBdr>
        <w:top w:val="none" w:sz="0" w:space="0" w:color="auto"/>
        <w:left w:val="none" w:sz="0" w:space="0" w:color="auto"/>
        <w:bottom w:val="none" w:sz="0" w:space="0" w:color="auto"/>
        <w:right w:val="none" w:sz="0" w:space="0" w:color="auto"/>
      </w:divBdr>
    </w:div>
    <w:div w:id="505633123">
      <w:bodyDiv w:val="1"/>
      <w:marLeft w:val="0"/>
      <w:marRight w:val="0"/>
      <w:marTop w:val="0"/>
      <w:marBottom w:val="0"/>
      <w:divBdr>
        <w:top w:val="none" w:sz="0" w:space="0" w:color="auto"/>
        <w:left w:val="none" w:sz="0" w:space="0" w:color="auto"/>
        <w:bottom w:val="none" w:sz="0" w:space="0" w:color="auto"/>
        <w:right w:val="none" w:sz="0" w:space="0" w:color="auto"/>
      </w:divBdr>
    </w:div>
    <w:div w:id="511067950">
      <w:bodyDiv w:val="1"/>
      <w:marLeft w:val="0"/>
      <w:marRight w:val="0"/>
      <w:marTop w:val="0"/>
      <w:marBottom w:val="0"/>
      <w:divBdr>
        <w:top w:val="none" w:sz="0" w:space="0" w:color="auto"/>
        <w:left w:val="none" w:sz="0" w:space="0" w:color="auto"/>
        <w:bottom w:val="none" w:sz="0" w:space="0" w:color="auto"/>
        <w:right w:val="none" w:sz="0" w:space="0" w:color="auto"/>
      </w:divBdr>
    </w:div>
    <w:div w:id="511454911">
      <w:bodyDiv w:val="1"/>
      <w:marLeft w:val="0"/>
      <w:marRight w:val="0"/>
      <w:marTop w:val="0"/>
      <w:marBottom w:val="0"/>
      <w:divBdr>
        <w:top w:val="none" w:sz="0" w:space="0" w:color="auto"/>
        <w:left w:val="none" w:sz="0" w:space="0" w:color="auto"/>
        <w:bottom w:val="none" w:sz="0" w:space="0" w:color="auto"/>
        <w:right w:val="none" w:sz="0" w:space="0" w:color="auto"/>
      </w:divBdr>
    </w:div>
    <w:div w:id="517162245">
      <w:bodyDiv w:val="1"/>
      <w:marLeft w:val="0"/>
      <w:marRight w:val="0"/>
      <w:marTop w:val="0"/>
      <w:marBottom w:val="0"/>
      <w:divBdr>
        <w:top w:val="none" w:sz="0" w:space="0" w:color="auto"/>
        <w:left w:val="none" w:sz="0" w:space="0" w:color="auto"/>
        <w:bottom w:val="none" w:sz="0" w:space="0" w:color="auto"/>
        <w:right w:val="none" w:sz="0" w:space="0" w:color="auto"/>
      </w:divBdr>
    </w:div>
    <w:div w:id="522667523">
      <w:bodyDiv w:val="1"/>
      <w:marLeft w:val="0"/>
      <w:marRight w:val="0"/>
      <w:marTop w:val="0"/>
      <w:marBottom w:val="0"/>
      <w:divBdr>
        <w:top w:val="none" w:sz="0" w:space="0" w:color="auto"/>
        <w:left w:val="none" w:sz="0" w:space="0" w:color="auto"/>
        <w:bottom w:val="none" w:sz="0" w:space="0" w:color="auto"/>
        <w:right w:val="none" w:sz="0" w:space="0" w:color="auto"/>
      </w:divBdr>
    </w:div>
    <w:div w:id="526795352">
      <w:bodyDiv w:val="1"/>
      <w:marLeft w:val="0"/>
      <w:marRight w:val="0"/>
      <w:marTop w:val="0"/>
      <w:marBottom w:val="0"/>
      <w:divBdr>
        <w:top w:val="none" w:sz="0" w:space="0" w:color="auto"/>
        <w:left w:val="none" w:sz="0" w:space="0" w:color="auto"/>
        <w:bottom w:val="none" w:sz="0" w:space="0" w:color="auto"/>
        <w:right w:val="none" w:sz="0" w:space="0" w:color="auto"/>
      </w:divBdr>
    </w:div>
    <w:div w:id="529611939">
      <w:bodyDiv w:val="1"/>
      <w:marLeft w:val="0"/>
      <w:marRight w:val="0"/>
      <w:marTop w:val="0"/>
      <w:marBottom w:val="0"/>
      <w:divBdr>
        <w:top w:val="none" w:sz="0" w:space="0" w:color="auto"/>
        <w:left w:val="none" w:sz="0" w:space="0" w:color="auto"/>
        <w:bottom w:val="none" w:sz="0" w:space="0" w:color="auto"/>
        <w:right w:val="none" w:sz="0" w:space="0" w:color="auto"/>
      </w:divBdr>
    </w:div>
    <w:div w:id="530650215">
      <w:bodyDiv w:val="1"/>
      <w:marLeft w:val="0"/>
      <w:marRight w:val="0"/>
      <w:marTop w:val="0"/>
      <w:marBottom w:val="0"/>
      <w:divBdr>
        <w:top w:val="none" w:sz="0" w:space="0" w:color="auto"/>
        <w:left w:val="none" w:sz="0" w:space="0" w:color="auto"/>
        <w:bottom w:val="none" w:sz="0" w:space="0" w:color="auto"/>
        <w:right w:val="none" w:sz="0" w:space="0" w:color="auto"/>
      </w:divBdr>
    </w:div>
    <w:div w:id="531041655">
      <w:bodyDiv w:val="1"/>
      <w:marLeft w:val="0"/>
      <w:marRight w:val="0"/>
      <w:marTop w:val="0"/>
      <w:marBottom w:val="0"/>
      <w:divBdr>
        <w:top w:val="none" w:sz="0" w:space="0" w:color="auto"/>
        <w:left w:val="none" w:sz="0" w:space="0" w:color="auto"/>
        <w:bottom w:val="none" w:sz="0" w:space="0" w:color="auto"/>
        <w:right w:val="none" w:sz="0" w:space="0" w:color="auto"/>
      </w:divBdr>
    </w:div>
    <w:div w:id="534004460">
      <w:bodyDiv w:val="1"/>
      <w:marLeft w:val="0"/>
      <w:marRight w:val="0"/>
      <w:marTop w:val="0"/>
      <w:marBottom w:val="0"/>
      <w:divBdr>
        <w:top w:val="none" w:sz="0" w:space="0" w:color="auto"/>
        <w:left w:val="none" w:sz="0" w:space="0" w:color="auto"/>
        <w:bottom w:val="none" w:sz="0" w:space="0" w:color="auto"/>
        <w:right w:val="none" w:sz="0" w:space="0" w:color="auto"/>
      </w:divBdr>
    </w:div>
    <w:div w:id="535310861">
      <w:bodyDiv w:val="1"/>
      <w:marLeft w:val="0"/>
      <w:marRight w:val="0"/>
      <w:marTop w:val="0"/>
      <w:marBottom w:val="0"/>
      <w:divBdr>
        <w:top w:val="none" w:sz="0" w:space="0" w:color="auto"/>
        <w:left w:val="none" w:sz="0" w:space="0" w:color="auto"/>
        <w:bottom w:val="none" w:sz="0" w:space="0" w:color="auto"/>
        <w:right w:val="none" w:sz="0" w:space="0" w:color="auto"/>
      </w:divBdr>
    </w:div>
    <w:div w:id="535584843">
      <w:bodyDiv w:val="1"/>
      <w:marLeft w:val="0"/>
      <w:marRight w:val="0"/>
      <w:marTop w:val="0"/>
      <w:marBottom w:val="0"/>
      <w:divBdr>
        <w:top w:val="none" w:sz="0" w:space="0" w:color="auto"/>
        <w:left w:val="none" w:sz="0" w:space="0" w:color="auto"/>
        <w:bottom w:val="none" w:sz="0" w:space="0" w:color="auto"/>
        <w:right w:val="none" w:sz="0" w:space="0" w:color="auto"/>
      </w:divBdr>
    </w:div>
    <w:div w:id="542252515">
      <w:bodyDiv w:val="1"/>
      <w:marLeft w:val="0"/>
      <w:marRight w:val="0"/>
      <w:marTop w:val="0"/>
      <w:marBottom w:val="0"/>
      <w:divBdr>
        <w:top w:val="none" w:sz="0" w:space="0" w:color="auto"/>
        <w:left w:val="none" w:sz="0" w:space="0" w:color="auto"/>
        <w:bottom w:val="none" w:sz="0" w:space="0" w:color="auto"/>
        <w:right w:val="none" w:sz="0" w:space="0" w:color="auto"/>
      </w:divBdr>
    </w:div>
    <w:div w:id="546723637">
      <w:bodyDiv w:val="1"/>
      <w:marLeft w:val="0"/>
      <w:marRight w:val="0"/>
      <w:marTop w:val="0"/>
      <w:marBottom w:val="0"/>
      <w:divBdr>
        <w:top w:val="none" w:sz="0" w:space="0" w:color="auto"/>
        <w:left w:val="none" w:sz="0" w:space="0" w:color="auto"/>
        <w:bottom w:val="none" w:sz="0" w:space="0" w:color="auto"/>
        <w:right w:val="none" w:sz="0" w:space="0" w:color="auto"/>
      </w:divBdr>
    </w:div>
    <w:div w:id="549148225">
      <w:bodyDiv w:val="1"/>
      <w:marLeft w:val="0"/>
      <w:marRight w:val="0"/>
      <w:marTop w:val="0"/>
      <w:marBottom w:val="0"/>
      <w:divBdr>
        <w:top w:val="none" w:sz="0" w:space="0" w:color="auto"/>
        <w:left w:val="none" w:sz="0" w:space="0" w:color="auto"/>
        <w:bottom w:val="none" w:sz="0" w:space="0" w:color="auto"/>
        <w:right w:val="none" w:sz="0" w:space="0" w:color="auto"/>
      </w:divBdr>
    </w:div>
    <w:div w:id="559679409">
      <w:bodyDiv w:val="1"/>
      <w:marLeft w:val="0"/>
      <w:marRight w:val="0"/>
      <w:marTop w:val="0"/>
      <w:marBottom w:val="0"/>
      <w:divBdr>
        <w:top w:val="none" w:sz="0" w:space="0" w:color="auto"/>
        <w:left w:val="none" w:sz="0" w:space="0" w:color="auto"/>
        <w:bottom w:val="none" w:sz="0" w:space="0" w:color="auto"/>
        <w:right w:val="none" w:sz="0" w:space="0" w:color="auto"/>
      </w:divBdr>
    </w:div>
    <w:div w:id="573972105">
      <w:bodyDiv w:val="1"/>
      <w:marLeft w:val="0"/>
      <w:marRight w:val="0"/>
      <w:marTop w:val="0"/>
      <w:marBottom w:val="0"/>
      <w:divBdr>
        <w:top w:val="none" w:sz="0" w:space="0" w:color="auto"/>
        <w:left w:val="none" w:sz="0" w:space="0" w:color="auto"/>
        <w:bottom w:val="none" w:sz="0" w:space="0" w:color="auto"/>
        <w:right w:val="none" w:sz="0" w:space="0" w:color="auto"/>
      </w:divBdr>
    </w:div>
    <w:div w:id="581597750">
      <w:bodyDiv w:val="1"/>
      <w:marLeft w:val="0"/>
      <w:marRight w:val="0"/>
      <w:marTop w:val="0"/>
      <w:marBottom w:val="0"/>
      <w:divBdr>
        <w:top w:val="none" w:sz="0" w:space="0" w:color="auto"/>
        <w:left w:val="none" w:sz="0" w:space="0" w:color="auto"/>
        <w:bottom w:val="none" w:sz="0" w:space="0" w:color="auto"/>
        <w:right w:val="none" w:sz="0" w:space="0" w:color="auto"/>
      </w:divBdr>
    </w:div>
    <w:div w:id="588779250">
      <w:bodyDiv w:val="1"/>
      <w:marLeft w:val="0"/>
      <w:marRight w:val="0"/>
      <w:marTop w:val="0"/>
      <w:marBottom w:val="0"/>
      <w:divBdr>
        <w:top w:val="none" w:sz="0" w:space="0" w:color="auto"/>
        <w:left w:val="none" w:sz="0" w:space="0" w:color="auto"/>
        <w:bottom w:val="none" w:sz="0" w:space="0" w:color="auto"/>
        <w:right w:val="none" w:sz="0" w:space="0" w:color="auto"/>
      </w:divBdr>
    </w:div>
    <w:div w:id="591206858">
      <w:bodyDiv w:val="1"/>
      <w:marLeft w:val="0"/>
      <w:marRight w:val="0"/>
      <w:marTop w:val="0"/>
      <w:marBottom w:val="0"/>
      <w:divBdr>
        <w:top w:val="none" w:sz="0" w:space="0" w:color="auto"/>
        <w:left w:val="none" w:sz="0" w:space="0" w:color="auto"/>
        <w:bottom w:val="none" w:sz="0" w:space="0" w:color="auto"/>
        <w:right w:val="none" w:sz="0" w:space="0" w:color="auto"/>
      </w:divBdr>
    </w:div>
    <w:div w:id="602106382">
      <w:bodyDiv w:val="1"/>
      <w:marLeft w:val="0"/>
      <w:marRight w:val="0"/>
      <w:marTop w:val="0"/>
      <w:marBottom w:val="0"/>
      <w:divBdr>
        <w:top w:val="none" w:sz="0" w:space="0" w:color="auto"/>
        <w:left w:val="none" w:sz="0" w:space="0" w:color="auto"/>
        <w:bottom w:val="none" w:sz="0" w:space="0" w:color="auto"/>
        <w:right w:val="none" w:sz="0" w:space="0" w:color="auto"/>
      </w:divBdr>
    </w:div>
    <w:div w:id="620188564">
      <w:bodyDiv w:val="1"/>
      <w:marLeft w:val="0"/>
      <w:marRight w:val="0"/>
      <w:marTop w:val="0"/>
      <w:marBottom w:val="0"/>
      <w:divBdr>
        <w:top w:val="none" w:sz="0" w:space="0" w:color="auto"/>
        <w:left w:val="none" w:sz="0" w:space="0" w:color="auto"/>
        <w:bottom w:val="none" w:sz="0" w:space="0" w:color="auto"/>
        <w:right w:val="none" w:sz="0" w:space="0" w:color="auto"/>
      </w:divBdr>
    </w:div>
    <w:div w:id="629287823">
      <w:bodyDiv w:val="1"/>
      <w:marLeft w:val="0"/>
      <w:marRight w:val="0"/>
      <w:marTop w:val="0"/>
      <w:marBottom w:val="0"/>
      <w:divBdr>
        <w:top w:val="none" w:sz="0" w:space="0" w:color="auto"/>
        <w:left w:val="none" w:sz="0" w:space="0" w:color="auto"/>
        <w:bottom w:val="none" w:sz="0" w:space="0" w:color="auto"/>
        <w:right w:val="none" w:sz="0" w:space="0" w:color="auto"/>
      </w:divBdr>
    </w:div>
    <w:div w:id="633288841">
      <w:bodyDiv w:val="1"/>
      <w:marLeft w:val="0"/>
      <w:marRight w:val="0"/>
      <w:marTop w:val="0"/>
      <w:marBottom w:val="0"/>
      <w:divBdr>
        <w:top w:val="none" w:sz="0" w:space="0" w:color="auto"/>
        <w:left w:val="none" w:sz="0" w:space="0" w:color="auto"/>
        <w:bottom w:val="none" w:sz="0" w:space="0" w:color="auto"/>
        <w:right w:val="none" w:sz="0" w:space="0" w:color="auto"/>
      </w:divBdr>
    </w:div>
    <w:div w:id="636226085">
      <w:bodyDiv w:val="1"/>
      <w:marLeft w:val="0"/>
      <w:marRight w:val="0"/>
      <w:marTop w:val="0"/>
      <w:marBottom w:val="0"/>
      <w:divBdr>
        <w:top w:val="none" w:sz="0" w:space="0" w:color="auto"/>
        <w:left w:val="none" w:sz="0" w:space="0" w:color="auto"/>
        <w:bottom w:val="none" w:sz="0" w:space="0" w:color="auto"/>
        <w:right w:val="none" w:sz="0" w:space="0" w:color="auto"/>
      </w:divBdr>
    </w:div>
    <w:div w:id="644704091">
      <w:bodyDiv w:val="1"/>
      <w:marLeft w:val="0"/>
      <w:marRight w:val="0"/>
      <w:marTop w:val="0"/>
      <w:marBottom w:val="0"/>
      <w:divBdr>
        <w:top w:val="none" w:sz="0" w:space="0" w:color="auto"/>
        <w:left w:val="none" w:sz="0" w:space="0" w:color="auto"/>
        <w:bottom w:val="none" w:sz="0" w:space="0" w:color="auto"/>
        <w:right w:val="none" w:sz="0" w:space="0" w:color="auto"/>
      </w:divBdr>
    </w:div>
    <w:div w:id="646014272">
      <w:bodyDiv w:val="1"/>
      <w:marLeft w:val="0"/>
      <w:marRight w:val="0"/>
      <w:marTop w:val="0"/>
      <w:marBottom w:val="0"/>
      <w:divBdr>
        <w:top w:val="none" w:sz="0" w:space="0" w:color="auto"/>
        <w:left w:val="none" w:sz="0" w:space="0" w:color="auto"/>
        <w:bottom w:val="none" w:sz="0" w:space="0" w:color="auto"/>
        <w:right w:val="none" w:sz="0" w:space="0" w:color="auto"/>
      </w:divBdr>
    </w:div>
    <w:div w:id="650059897">
      <w:bodyDiv w:val="1"/>
      <w:marLeft w:val="0"/>
      <w:marRight w:val="0"/>
      <w:marTop w:val="0"/>
      <w:marBottom w:val="0"/>
      <w:divBdr>
        <w:top w:val="none" w:sz="0" w:space="0" w:color="auto"/>
        <w:left w:val="none" w:sz="0" w:space="0" w:color="auto"/>
        <w:bottom w:val="none" w:sz="0" w:space="0" w:color="auto"/>
        <w:right w:val="none" w:sz="0" w:space="0" w:color="auto"/>
      </w:divBdr>
    </w:div>
    <w:div w:id="651257911">
      <w:bodyDiv w:val="1"/>
      <w:marLeft w:val="0"/>
      <w:marRight w:val="0"/>
      <w:marTop w:val="0"/>
      <w:marBottom w:val="0"/>
      <w:divBdr>
        <w:top w:val="none" w:sz="0" w:space="0" w:color="auto"/>
        <w:left w:val="none" w:sz="0" w:space="0" w:color="auto"/>
        <w:bottom w:val="none" w:sz="0" w:space="0" w:color="auto"/>
        <w:right w:val="none" w:sz="0" w:space="0" w:color="auto"/>
      </w:divBdr>
    </w:div>
    <w:div w:id="658339742">
      <w:bodyDiv w:val="1"/>
      <w:marLeft w:val="0"/>
      <w:marRight w:val="0"/>
      <w:marTop w:val="0"/>
      <w:marBottom w:val="0"/>
      <w:divBdr>
        <w:top w:val="none" w:sz="0" w:space="0" w:color="auto"/>
        <w:left w:val="none" w:sz="0" w:space="0" w:color="auto"/>
        <w:bottom w:val="none" w:sz="0" w:space="0" w:color="auto"/>
        <w:right w:val="none" w:sz="0" w:space="0" w:color="auto"/>
      </w:divBdr>
    </w:div>
    <w:div w:id="665287039">
      <w:bodyDiv w:val="1"/>
      <w:marLeft w:val="0"/>
      <w:marRight w:val="0"/>
      <w:marTop w:val="0"/>
      <w:marBottom w:val="0"/>
      <w:divBdr>
        <w:top w:val="none" w:sz="0" w:space="0" w:color="auto"/>
        <w:left w:val="none" w:sz="0" w:space="0" w:color="auto"/>
        <w:bottom w:val="none" w:sz="0" w:space="0" w:color="auto"/>
        <w:right w:val="none" w:sz="0" w:space="0" w:color="auto"/>
      </w:divBdr>
    </w:div>
    <w:div w:id="666176215">
      <w:bodyDiv w:val="1"/>
      <w:marLeft w:val="0"/>
      <w:marRight w:val="0"/>
      <w:marTop w:val="0"/>
      <w:marBottom w:val="0"/>
      <w:divBdr>
        <w:top w:val="none" w:sz="0" w:space="0" w:color="auto"/>
        <w:left w:val="none" w:sz="0" w:space="0" w:color="auto"/>
        <w:bottom w:val="none" w:sz="0" w:space="0" w:color="auto"/>
        <w:right w:val="none" w:sz="0" w:space="0" w:color="auto"/>
      </w:divBdr>
    </w:div>
    <w:div w:id="667905824">
      <w:bodyDiv w:val="1"/>
      <w:marLeft w:val="0"/>
      <w:marRight w:val="0"/>
      <w:marTop w:val="0"/>
      <w:marBottom w:val="0"/>
      <w:divBdr>
        <w:top w:val="none" w:sz="0" w:space="0" w:color="auto"/>
        <w:left w:val="none" w:sz="0" w:space="0" w:color="auto"/>
        <w:bottom w:val="none" w:sz="0" w:space="0" w:color="auto"/>
        <w:right w:val="none" w:sz="0" w:space="0" w:color="auto"/>
      </w:divBdr>
    </w:div>
    <w:div w:id="668291597">
      <w:bodyDiv w:val="1"/>
      <w:marLeft w:val="0"/>
      <w:marRight w:val="0"/>
      <w:marTop w:val="0"/>
      <w:marBottom w:val="0"/>
      <w:divBdr>
        <w:top w:val="none" w:sz="0" w:space="0" w:color="auto"/>
        <w:left w:val="none" w:sz="0" w:space="0" w:color="auto"/>
        <w:bottom w:val="none" w:sz="0" w:space="0" w:color="auto"/>
        <w:right w:val="none" w:sz="0" w:space="0" w:color="auto"/>
      </w:divBdr>
    </w:div>
    <w:div w:id="672294119">
      <w:bodyDiv w:val="1"/>
      <w:marLeft w:val="0"/>
      <w:marRight w:val="0"/>
      <w:marTop w:val="0"/>
      <w:marBottom w:val="0"/>
      <w:divBdr>
        <w:top w:val="none" w:sz="0" w:space="0" w:color="auto"/>
        <w:left w:val="none" w:sz="0" w:space="0" w:color="auto"/>
        <w:bottom w:val="none" w:sz="0" w:space="0" w:color="auto"/>
        <w:right w:val="none" w:sz="0" w:space="0" w:color="auto"/>
      </w:divBdr>
    </w:div>
    <w:div w:id="672996476">
      <w:bodyDiv w:val="1"/>
      <w:marLeft w:val="0"/>
      <w:marRight w:val="0"/>
      <w:marTop w:val="0"/>
      <w:marBottom w:val="0"/>
      <w:divBdr>
        <w:top w:val="none" w:sz="0" w:space="0" w:color="auto"/>
        <w:left w:val="none" w:sz="0" w:space="0" w:color="auto"/>
        <w:bottom w:val="none" w:sz="0" w:space="0" w:color="auto"/>
        <w:right w:val="none" w:sz="0" w:space="0" w:color="auto"/>
      </w:divBdr>
    </w:div>
    <w:div w:id="674723409">
      <w:bodyDiv w:val="1"/>
      <w:marLeft w:val="0"/>
      <w:marRight w:val="0"/>
      <w:marTop w:val="0"/>
      <w:marBottom w:val="0"/>
      <w:divBdr>
        <w:top w:val="none" w:sz="0" w:space="0" w:color="auto"/>
        <w:left w:val="none" w:sz="0" w:space="0" w:color="auto"/>
        <w:bottom w:val="none" w:sz="0" w:space="0" w:color="auto"/>
        <w:right w:val="none" w:sz="0" w:space="0" w:color="auto"/>
      </w:divBdr>
    </w:div>
    <w:div w:id="690106137">
      <w:bodyDiv w:val="1"/>
      <w:marLeft w:val="0"/>
      <w:marRight w:val="0"/>
      <w:marTop w:val="0"/>
      <w:marBottom w:val="0"/>
      <w:divBdr>
        <w:top w:val="none" w:sz="0" w:space="0" w:color="auto"/>
        <w:left w:val="none" w:sz="0" w:space="0" w:color="auto"/>
        <w:bottom w:val="none" w:sz="0" w:space="0" w:color="auto"/>
        <w:right w:val="none" w:sz="0" w:space="0" w:color="auto"/>
      </w:divBdr>
    </w:div>
    <w:div w:id="694577999">
      <w:bodyDiv w:val="1"/>
      <w:marLeft w:val="0"/>
      <w:marRight w:val="0"/>
      <w:marTop w:val="0"/>
      <w:marBottom w:val="0"/>
      <w:divBdr>
        <w:top w:val="none" w:sz="0" w:space="0" w:color="auto"/>
        <w:left w:val="none" w:sz="0" w:space="0" w:color="auto"/>
        <w:bottom w:val="none" w:sz="0" w:space="0" w:color="auto"/>
        <w:right w:val="none" w:sz="0" w:space="0" w:color="auto"/>
      </w:divBdr>
    </w:div>
    <w:div w:id="695083489">
      <w:bodyDiv w:val="1"/>
      <w:marLeft w:val="0"/>
      <w:marRight w:val="0"/>
      <w:marTop w:val="0"/>
      <w:marBottom w:val="0"/>
      <w:divBdr>
        <w:top w:val="none" w:sz="0" w:space="0" w:color="auto"/>
        <w:left w:val="none" w:sz="0" w:space="0" w:color="auto"/>
        <w:bottom w:val="none" w:sz="0" w:space="0" w:color="auto"/>
        <w:right w:val="none" w:sz="0" w:space="0" w:color="auto"/>
      </w:divBdr>
    </w:div>
    <w:div w:id="698362935">
      <w:bodyDiv w:val="1"/>
      <w:marLeft w:val="0"/>
      <w:marRight w:val="0"/>
      <w:marTop w:val="0"/>
      <w:marBottom w:val="0"/>
      <w:divBdr>
        <w:top w:val="none" w:sz="0" w:space="0" w:color="auto"/>
        <w:left w:val="none" w:sz="0" w:space="0" w:color="auto"/>
        <w:bottom w:val="none" w:sz="0" w:space="0" w:color="auto"/>
        <w:right w:val="none" w:sz="0" w:space="0" w:color="auto"/>
      </w:divBdr>
    </w:div>
    <w:div w:id="699357511">
      <w:bodyDiv w:val="1"/>
      <w:marLeft w:val="0"/>
      <w:marRight w:val="0"/>
      <w:marTop w:val="0"/>
      <w:marBottom w:val="0"/>
      <w:divBdr>
        <w:top w:val="none" w:sz="0" w:space="0" w:color="auto"/>
        <w:left w:val="none" w:sz="0" w:space="0" w:color="auto"/>
        <w:bottom w:val="none" w:sz="0" w:space="0" w:color="auto"/>
        <w:right w:val="none" w:sz="0" w:space="0" w:color="auto"/>
      </w:divBdr>
    </w:div>
    <w:div w:id="699629161">
      <w:bodyDiv w:val="1"/>
      <w:marLeft w:val="0"/>
      <w:marRight w:val="0"/>
      <w:marTop w:val="0"/>
      <w:marBottom w:val="0"/>
      <w:divBdr>
        <w:top w:val="none" w:sz="0" w:space="0" w:color="auto"/>
        <w:left w:val="none" w:sz="0" w:space="0" w:color="auto"/>
        <w:bottom w:val="none" w:sz="0" w:space="0" w:color="auto"/>
        <w:right w:val="none" w:sz="0" w:space="0" w:color="auto"/>
      </w:divBdr>
    </w:div>
    <w:div w:id="710302891">
      <w:bodyDiv w:val="1"/>
      <w:marLeft w:val="0"/>
      <w:marRight w:val="0"/>
      <w:marTop w:val="0"/>
      <w:marBottom w:val="0"/>
      <w:divBdr>
        <w:top w:val="none" w:sz="0" w:space="0" w:color="auto"/>
        <w:left w:val="none" w:sz="0" w:space="0" w:color="auto"/>
        <w:bottom w:val="none" w:sz="0" w:space="0" w:color="auto"/>
        <w:right w:val="none" w:sz="0" w:space="0" w:color="auto"/>
      </w:divBdr>
    </w:div>
    <w:div w:id="721516144">
      <w:bodyDiv w:val="1"/>
      <w:marLeft w:val="0"/>
      <w:marRight w:val="0"/>
      <w:marTop w:val="0"/>
      <w:marBottom w:val="0"/>
      <w:divBdr>
        <w:top w:val="none" w:sz="0" w:space="0" w:color="auto"/>
        <w:left w:val="none" w:sz="0" w:space="0" w:color="auto"/>
        <w:bottom w:val="none" w:sz="0" w:space="0" w:color="auto"/>
        <w:right w:val="none" w:sz="0" w:space="0" w:color="auto"/>
      </w:divBdr>
    </w:div>
    <w:div w:id="746653902">
      <w:bodyDiv w:val="1"/>
      <w:marLeft w:val="0"/>
      <w:marRight w:val="0"/>
      <w:marTop w:val="0"/>
      <w:marBottom w:val="0"/>
      <w:divBdr>
        <w:top w:val="none" w:sz="0" w:space="0" w:color="auto"/>
        <w:left w:val="none" w:sz="0" w:space="0" w:color="auto"/>
        <w:bottom w:val="none" w:sz="0" w:space="0" w:color="auto"/>
        <w:right w:val="none" w:sz="0" w:space="0" w:color="auto"/>
      </w:divBdr>
    </w:div>
    <w:div w:id="746659378">
      <w:bodyDiv w:val="1"/>
      <w:marLeft w:val="0"/>
      <w:marRight w:val="0"/>
      <w:marTop w:val="0"/>
      <w:marBottom w:val="0"/>
      <w:divBdr>
        <w:top w:val="none" w:sz="0" w:space="0" w:color="auto"/>
        <w:left w:val="none" w:sz="0" w:space="0" w:color="auto"/>
        <w:bottom w:val="none" w:sz="0" w:space="0" w:color="auto"/>
        <w:right w:val="none" w:sz="0" w:space="0" w:color="auto"/>
      </w:divBdr>
    </w:div>
    <w:div w:id="756488704">
      <w:bodyDiv w:val="1"/>
      <w:marLeft w:val="0"/>
      <w:marRight w:val="0"/>
      <w:marTop w:val="0"/>
      <w:marBottom w:val="0"/>
      <w:divBdr>
        <w:top w:val="none" w:sz="0" w:space="0" w:color="auto"/>
        <w:left w:val="none" w:sz="0" w:space="0" w:color="auto"/>
        <w:bottom w:val="none" w:sz="0" w:space="0" w:color="auto"/>
        <w:right w:val="none" w:sz="0" w:space="0" w:color="auto"/>
      </w:divBdr>
    </w:div>
    <w:div w:id="760759132">
      <w:bodyDiv w:val="1"/>
      <w:marLeft w:val="0"/>
      <w:marRight w:val="0"/>
      <w:marTop w:val="0"/>
      <w:marBottom w:val="0"/>
      <w:divBdr>
        <w:top w:val="none" w:sz="0" w:space="0" w:color="auto"/>
        <w:left w:val="none" w:sz="0" w:space="0" w:color="auto"/>
        <w:bottom w:val="none" w:sz="0" w:space="0" w:color="auto"/>
        <w:right w:val="none" w:sz="0" w:space="0" w:color="auto"/>
      </w:divBdr>
    </w:div>
    <w:div w:id="765812210">
      <w:bodyDiv w:val="1"/>
      <w:marLeft w:val="0"/>
      <w:marRight w:val="0"/>
      <w:marTop w:val="0"/>
      <w:marBottom w:val="0"/>
      <w:divBdr>
        <w:top w:val="none" w:sz="0" w:space="0" w:color="auto"/>
        <w:left w:val="none" w:sz="0" w:space="0" w:color="auto"/>
        <w:bottom w:val="none" w:sz="0" w:space="0" w:color="auto"/>
        <w:right w:val="none" w:sz="0" w:space="0" w:color="auto"/>
      </w:divBdr>
    </w:div>
    <w:div w:id="767893029">
      <w:bodyDiv w:val="1"/>
      <w:marLeft w:val="0"/>
      <w:marRight w:val="0"/>
      <w:marTop w:val="0"/>
      <w:marBottom w:val="0"/>
      <w:divBdr>
        <w:top w:val="none" w:sz="0" w:space="0" w:color="auto"/>
        <w:left w:val="none" w:sz="0" w:space="0" w:color="auto"/>
        <w:bottom w:val="none" w:sz="0" w:space="0" w:color="auto"/>
        <w:right w:val="none" w:sz="0" w:space="0" w:color="auto"/>
      </w:divBdr>
    </w:div>
    <w:div w:id="768502637">
      <w:bodyDiv w:val="1"/>
      <w:marLeft w:val="0"/>
      <w:marRight w:val="0"/>
      <w:marTop w:val="0"/>
      <w:marBottom w:val="0"/>
      <w:divBdr>
        <w:top w:val="none" w:sz="0" w:space="0" w:color="auto"/>
        <w:left w:val="none" w:sz="0" w:space="0" w:color="auto"/>
        <w:bottom w:val="none" w:sz="0" w:space="0" w:color="auto"/>
        <w:right w:val="none" w:sz="0" w:space="0" w:color="auto"/>
      </w:divBdr>
    </w:div>
    <w:div w:id="769818560">
      <w:bodyDiv w:val="1"/>
      <w:marLeft w:val="0"/>
      <w:marRight w:val="0"/>
      <w:marTop w:val="0"/>
      <w:marBottom w:val="0"/>
      <w:divBdr>
        <w:top w:val="none" w:sz="0" w:space="0" w:color="auto"/>
        <w:left w:val="none" w:sz="0" w:space="0" w:color="auto"/>
        <w:bottom w:val="none" w:sz="0" w:space="0" w:color="auto"/>
        <w:right w:val="none" w:sz="0" w:space="0" w:color="auto"/>
      </w:divBdr>
    </w:div>
    <w:div w:id="778527802">
      <w:bodyDiv w:val="1"/>
      <w:marLeft w:val="0"/>
      <w:marRight w:val="0"/>
      <w:marTop w:val="0"/>
      <w:marBottom w:val="0"/>
      <w:divBdr>
        <w:top w:val="none" w:sz="0" w:space="0" w:color="auto"/>
        <w:left w:val="none" w:sz="0" w:space="0" w:color="auto"/>
        <w:bottom w:val="none" w:sz="0" w:space="0" w:color="auto"/>
        <w:right w:val="none" w:sz="0" w:space="0" w:color="auto"/>
      </w:divBdr>
    </w:div>
    <w:div w:id="783500338">
      <w:bodyDiv w:val="1"/>
      <w:marLeft w:val="0"/>
      <w:marRight w:val="0"/>
      <w:marTop w:val="0"/>
      <w:marBottom w:val="0"/>
      <w:divBdr>
        <w:top w:val="none" w:sz="0" w:space="0" w:color="auto"/>
        <w:left w:val="none" w:sz="0" w:space="0" w:color="auto"/>
        <w:bottom w:val="none" w:sz="0" w:space="0" w:color="auto"/>
        <w:right w:val="none" w:sz="0" w:space="0" w:color="auto"/>
      </w:divBdr>
    </w:div>
    <w:div w:id="788475843">
      <w:bodyDiv w:val="1"/>
      <w:marLeft w:val="0"/>
      <w:marRight w:val="0"/>
      <w:marTop w:val="0"/>
      <w:marBottom w:val="0"/>
      <w:divBdr>
        <w:top w:val="none" w:sz="0" w:space="0" w:color="auto"/>
        <w:left w:val="none" w:sz="0" w:space="0" w:color="auto"/>
        <w:bottom w:val="none" w:sz="0" w:space="0" w:color="auto"/>
        <w:right w:val="none" w:sz="0" w:space="0" w:color="auto"/>
      </w:divBdr>
    </w:div>
    <w:div w:id="798301970">
      <w:bodyDiv w:val="1"/>
      <w:marLeft w:val="0"/>
      <w:marRight w:val="0"/>
      <w:marTop w:val="0"/>
      <w:marBottom w:val="0"/>
      <w:divBdr>
        <w:top w:val="none" w:sz="0" w:space="0" w:color="auto"/>
        <w:left w:val="none" w:sz="0" w:space="0" w:color="auto"/>
        <w:bottom w:val="none" w:sz="0" w:space="0" w:color="auto"/>
        <w:right w:val="none" w:sz="0" w:space="0" w:color="auto"/>
      </w:divBdr>
    </w:div>
    <w:div w:id="798690956">
      <w:bodyDiv w:val="1"/>
      <w:marLeft w:val="0"/>
      <w:marRight w:val="0"/>
      <w:marTop w:val="0"/>
      <w:marBottom w:val="0"/>
      <w:divBdr>
        <w:top w:val="none" w:sz="0" w:space="0" w:color="auto"/>
        <w:left w:val="none" w:sz="0" w:space="0" w:color="auto"/>
        <w:bottom w:val="none" w:sz="0" w:space="0" w:color="auto"/>
        <w:right w:val="none" w:sz="0" w:space="0" w:color="auto"/>
      </w:divBdr>
    </w:div>
    <w:div w:id="809714199">
      <w:bodyDiv w:val="1"/>
      <w:marLeft w:val="0"/>
      <w:marRight w:val="0"/>
      <w:marTop w:val="0"/>
      <w:marBottom w:val="0"/>
      <w:divBdr>
        <w:top w:val="none" w:sz="0" w:space="0" w:color="auto"/>
        <w:left w:val="none" w:sz="0" w:space="0" w:color="auto"/>
        <w:bottom w:val="none" w:sz="0" w:space="0" w:color="auto"/>
        <w:right w:val="none" w:sz="0" w:space="0" w:color="auto"/>
      </w:divBdr>
    </w:div>
    <w:div w:id="811824910">
      <w:bodyDiv w:val="1"/>
      <w:marLeft w:val="0"/>
      <w:marRight w:val="0"/>
      <w:marTop w:val="0"/>
      <w:marBottom w:val="0"/>
      <w:divBdr>
        <w:top w:val="none" w:sz="0" w:space="0" w:color="auto"/>
        <w:left w:val="none" w:sz="0" w:space="0" w:color="auto"/>
        <w:bottom w:val="none" w:sz="0" w:space="0" w:color="auto"/>
        <w:right w:val="none" w:sz="0" w:space="0" w:color="auto"/>
      </w:divBdr>
    </w:div>
    <w:div w:id="816268401">
      <w:bodyDiv w:val="1"/>
      <w:marLeft w:val="0"/>
      <w:marRight w:val="0"/>
      <w:marTop w:val="0"/>
      <w:marBottom w:val="0"/>
      <w:divBdr>
        <w:top w:val="none" w:sz="0" w:space="0" w:color="auto"/>
        <w:left w:val="none" w:sz="0" w:space="0" w:color="auto"/>
        <w:bottom w:val="none" w:sz="0" w:space="0" w:color="auto"/>
        <w:right w:val="none" w:sz="0" w:space="0" w:color="auto"/>
      </w:divBdr>
    </w:div>
    <w:div w:id="821123418">
      <w:bodyDiv w:val="1"/>
      <w:marLeft w:val="0"/>
      <w:marRight w:val="0"/>
      <w:marTop w:val="0"/>
      <w:marBottom w:val="0"/>
      <w:divBdr>
        <w:top w:val="none" w:sz="0" w:space="0" w:color="auto"/>
        <w:left w:val="none" w:sz="0" w:space="0" w:color="auto"/>
        <w:bottom w:val="none" w:sz="0" w:space="0" w:color="auto"/>
        <w:right w:val="none" w:sz="0" w:space="0" w:color="auto"/>
      </w:divBdr>
      <w:divsChild>
        <w:div w:id="121197278">
          <w:marLeft w:val="144"/>
          <w:marRight w:val="0"/>
          <w:marTop w:val="120"/>
          <w:marBottom w:val="40"/>
          <w:divBdr>
            <w:top w:val="none" w:sz="0" w:space="0" w:color="auto"/>
            <w:left w:val="none" w:sz="0" w:space="0" w:color="auto"/>
            <w:bottom w:val="none" w:sz="0" w:space="0" w:color="auto"/>
            <w:right w:val="none" w:sz="0" w:space="0" w:color="auto"/>
          </w:divBdr>
        </w:div>
        <w:div w:id="326592732">
          <w:marLeft w:val="144"/>
          <w:marRight w:val="0"/>
          <w:marTop w:val="240"/>
          <w:marBottom w:val="40"/>
          <w:divBdr>
            <w:top w:val="none" w:sz="0" w:space="0" w:color="auto"/>
            <w:left w:val="none" w:sz="0" w:space="0" w:color="auto"/>
            <w:bottom w:val="none" w:sz="0" w:space="0" w:color="auto"/>
            <w:right w:val="none" w:sz="0" w:space="0" w:color="auto"/>
          </w:divBdr>
        </w:div>
        <w:div w:id="632642452">
          <w:marLeft w:val="144"/>
          <w:marRight w:val="0"/>
          <w:marTop w:val="240"/>
          <w:marBottom w:val="40"/>
          <w:divBdr>
            <w:top w:val="none" w:sz="0" w:space="0" w:color="auto"/>
            <w:left w:val="none" w:sz="0" w:space="0" w:color="auto"/>
            <w:bottom w:val="none" w:sz="0" w:space="0" w:color="auto"/>
            <w:right w:val="none" w:sz="0" w:space="0" w:color="auto"/>
          </w:divBdr>
        </w:div>
        <w:div w:id="1395615902">
          <w:marLeft w:val="144"/>
          <w:marRight w:val="0"/>
          <w:marTop w:val="240"/>
          <w:marBottom w:val="40"/>
          <w:divBdr>
            <w:top w:val="none" w:sz="0" w:space="0" w:color="auto"/>
            <w:left w:val="none" w:sz="0" w:space="0" w:color="auto"/>
            <w:bottom w:val="none" w:sz="0" w:space="0" w:color="auto"/>
            <w:right w:val="none" w:sz="0" w:space="0" w:color="auto"/>
          </w:divBdr>
        </w:div>
      </w:divsChild>
    </w:div>
    <w:div w:id="822699615">
      <w:bodyDiv w:val="1"/>
      <w:marLeft w:val="0"/>
      <w:marRight w:val="0"/>
      <w:marTop w:val="0"/>
      <w:marBottom w:val="0"/>
      <w:divBdr>
        <w:top w:val="none" w:sz="0" w:space="0" w:color="auto"/>
        <w:left w:val="none" w:sz="0" w:space="0" w:color="auto"/>
        <w:bottom w:val="none" w:sz="0" w:space="0" w:color="auto"/>
        <w:right w:val="none" w:sz="0" w:space="0" w:color="auto"/>
      </w:divBdr>
    </w:div>
    <w:div w:id="828323267">
      <w:bodyDiv w:val="1"/>
      <w:marLeft w:val="0"/>
      <w:marRight w:val="0"/>
      <w:marTop w:val="0"/>
      <w:marBottom w:val="0"/>
      <w:divBdr>
        <w:top w:val="none" w:sz="0" w:space="0" w:color="auto"/>
        <w:left w:val="none" w:sz="0" w:space="0" w:color="auto"/>
        <w:bottom w:val="none" w:sz="0" w:space="0" w:color="auto"/>
        <w:right w:val="none" w:sz="0" w:space="0" w:color="auto"/>
      </w:divBdr>
    </w:div>
    <w:div w:id="834759653">
      <w:bodyDiv w:val="1"/>
      <w:marLeft w:val="0"/>
      <w:marRight w:val="0"/>
      <w:marTop w:val="0"/>
      <w:marBottom w:val="0"/>
      <w:divBdr>
        <w:top w:val="none" w:sz="0" w:space="0" w:color="auto"/>
        <w:left w:val="none" w:sz="0" w:space="0" w:color="auto"/>
        <w:bottom w:val="none" w:sz="0" w:space="0" w:color="auto"/>
        <w:right w:val="none" w:sz="0" w:space="0" w:color="auto"/>
      </w:divBdr>
    </w:div>
    <w:div w:id="847184142">
      <w:bodyDiv w:val="1"/>
      <w:marLeft w:val="0"/>
      <w:marRight w:val="0"/>
      <w:marTop w:val="0"/>
      <w:marBottom w:val="0"/>
      <w:divBdr>
        <w:top w:val="none" w:sz="0" w:space="0" w:color="auto"/>
        <w:left w:val="none" w:sz="0" w:space="0" w:color="auto"/>
        <w:bottom w:val="none" w:sz="0" w:space="0" w:color="auto"/>
        <w:right w:val="none" w:sz="0" w:space="0" w:color="auto"/>
      </w:divBdr>
    </w:div>
    <w:div w:id="848642836">
      <w:bodyDiv w:val="1"/>
      <w:marLeft w:val="0"/>
      <w:marRight w:val="0"/>
      <w:marTop w:val="0"/>
      <w:marBottom w:val="0"/>
      <w:divBdr>
        <w:top w:val="none" w:sz="0" w:space="0" w:color="auto"/>
        <w:left w:val="none" w:sz="0" w:space="0" w:color="auto"/>
        <w:bottom w:val="none" w:sz="0" w:space="0" w:color="auto"/>
        <w:right w:val="none" w:sz="0" w:space="0" w:color="auto"/>
      </w:divBdr>
    </w:div>
    <w:div w:id="858277840">
      <w:bodyDiv w:val="1"/>
      <w:marLeft w:val="0"/>
      <w:marRight w:val="0"/>
      <w:marTop w:val="0"/>
      <w:marBottom w:val="0"/>
      <w:divBdr>
        <w:top w:val="none" w:sz="0" w:space="0" w:color="auto"/>
        <w:left w:val="none" w:sz="0" w:space="0" w:color="auto"/>
        <w:bottom w:val="none" w:sz="0" w:space="0" w:color="auto"/>
        <w:right w:val="none" w:sz="0" w:space="0" w:color="auto"/>
      </w:divBdr>
    </w:div>
    <w:div w:id="862284004">
      <w:bodyDiv w:val="1"/>
      <w:marLeft w:val="0"/>
      <w:marRight w:val="0"/>
      <w:marTop w:val="0"/>
      <w:marBottom w:val="0"/>
      <w:divBdr>
        <w:top w:val="none" w:sz="0" w:space="0" w:color="auto"/>
        <w:left w:val="none" w:sz="0" w:space="0" w:color="auto"/>
        <w:bottom w:val="none" w:sz="0" w:space="0" w:color="auto"/>
        <w:right w:val="none" w:sz="0" w:space="0" w:color="auto"/>
      </w:divBdr>
    </w:div>
    <w:div w:id="865872386">
      <w:bodyDiv w:val="1"/>
      <w:marLeft w:val="0"/>
      <w:marRight w:val="0"/>
      <w:marTop w:val="0"/>
      <w:marBottom w:val="0"/>
      <w:divBdr>
        <w:top w:val="none" w:sz="0" w:space="0" w:color="auto"/>
        <w:left w:val="none" w:sz="0" w:space="0" w:color="auto"/>
        <w:bottom w:val="none" w:sz="0" w:space="0" w:color="auto"/>
        <w:right w:val="none" w:sz="0" w:space="0" w:color="auto"/>
      </w:divBdr>
    </w:div>
    <w:div w:id="865944877">
      <w:bodyDiv w:val="1"/>
      <w:marLeft w:val="0"/>
      <w:marRight w:val="0"/>
      <w:marTop w:val="0"/>
      <w:marBottom w:val="0"/>
      <w:divBdr>
        <w:top w:val="none" w:sz="0" w:space="0" w:color="auto"/>
        <w:left w:val="none" w:sz="0" w:space="0" w:color="auto"/>
        <w:bottom w:val="none" w:sz="0" w:space="0" w:color="auto"/>
        <w:right w:val="none" w:sz="0" w:space="0" w:color="auto"/>
      </w:divBdr>
    </w:div>
    <w:div w:id="866213851">
      <w:bodyDiv w:val="1"/>
      <w:marLeft w:val="0"/>
      <w:marRight w:val="0"/>
      <w:marTop w:val="0"/>
      <w:marBottom w:val="0"/>
      <w:divBdr>
        <w:top w:val="none" w:sz="0" w:space="0" w:color="auto"/>
        <w:left w:val="none" w:sz="0" w:space="0" w:color="auto"/>
        <w:bottom w:val="none" w:sz="0" w:space="0" w:color="auto"/>
        <w:right w:val="none" w:sz="0" w:space="0" w:color="auto"/>
      </w:divBdr>
    </w:div>
    <w:div w:id="866408245">
      <w:bodyDiv w:val="1"/>
      <w:marLeft w:val="0"/>
      <w:marRight w:val="0"/>
      <w:marTop w:val="0"/>
      <w:marBottom w:val="0"/>
      <w:divBdr>
        <w:top w:val="none" w:sz="0" w:space="0" w:color="auto"/>
        <w:left w:val="none" w:sz="0" w:space="0" w:color="auto"/>
        <w:bottom w:val="none" w:sz="0" w:space="0" w:color="auto"/>
        <w:right w:val="none" w:sz="0" w:space="0" w:color="auto"/>
      </w:divBdr>
    </w:div>
    <w:div w:id="867375592">
      <w:bodyDiv w:val="1"/>
      <w:marLeft w:val="0"/>
      <w:marRight w:val="0"/>
      <w:marTop w:val="0"/>
      <w:marBottom w:val="0"/>
      <w:divBdr>
        <w:top w:val="none" w:sz="0" w:space="0" w:color="auto"/>
        <w:left w:val="none" w:sz="0" w:space="0" w:color="auto"/>
        <w:bottom w:val="none" w:sz="0" w:space="0" w:color="auto"/>
        <w:right w:val="none" w:sz="0" w:space="0" w:color="auto"/>
      </w:divBdr>
    </w:div>
    <w:div w:id="874997481">
      <w:bodyDiv w:val="1"/>
      <w:marLeft w:val="0"/>
      <w:marRight w:val="0"/>
      <w:marTop w:val="0"/>
      <w:marBottom w:val="0"/>
      <w:divBdr>
        <w:top w:val="none" w:sz="0" w:space="0" w:color="auto"/>
        <w:left w:val="none" w:sz="0" w:space="0" w:color="auto"/>
        <w:bottom w:val="none" w:sz="0" w:space="0" w:color="auto"/>
        <w:right w:val="none" w:sz="0" w:space="0" w:color="auto"/>
      </w:divBdr>
    </w:div>
    <w:div w:id="876429510">
      <w:bodyDiv w:val="1"/>
      <w:marLeft w:val="0"/>
      <w:marRight w:val="0"/>
      <w:marTop w:val="0"/>
      <w:marBottom w:val="0"/>
      <w:divBdr>
        <w:top w:val="none" w:sz="0" w:space="0" w:color="auto"/>
        <w:left w:val="none" w:sz="0" w:space="0" w:color="auto"/>
        <w:bottom w:val="none" w:sz="0" w:space="0" w:color="auto"/>
        <w:right w:val="none" w:sz="0" w:space="0" w:color="auto"/>
      </w:divBdr>
    </w:div>
    <w:div w:id="882330048">
      <w:bodyDiv w:val="1"/>
      <w:marLeft w:val="0"/>
      <w:marRight w:val="0"/>
      <w:marTop w:val="0"/>
      <w:marBottom w:val="0"/>
      <w:divBdr>
        <w:top w:val="none" w:sz="0" w:space="0" w:color="auto"/>
        <w:left w:val="none" w:sz="0" w:space="0" w:color="auto"/>
        <w:bottom w:val="none" w:sz="0" w:space="0" w:color="auto"/>
        <w:right w:val="none" w:sz="0" w:space="0" w:color="auto"/>
      </w:divBdr>
    </w:div>
    <w:div w:id="884023948">
      <w:bodyDiv w:val="1"/>
      <w:marLeft w:val="0"/>
      <w:marRight w:val="0"/>
      <w:marTop w:val="0"/>
      <w:marBottom w:val="0"/>
      <w:divBdr>
        <w:top w:val="none" w:sz="0" w:space="0" w:color="auto"/>
        <w:left w:val="none" w:sz="0" w:space="0" w:color="auto"/>
        <w:bottom w:val="none" w:sz="0" w:space="0" w:color="auto"/>
        <w:right w:val="none" w:sz="0" w:space="0" w:color="auto"/>
      </w:divBdr>
    </w:div>
    <w:div w:id="886644765">
      <w:bodyDiv w:val="1"/>
      <w:marLeft w:val="0"/>
      <w:marRight w:val="0"/>
      <w:marTop w:val="0"/>
      <w:marBottom w:val="0"/>
      <w:divBdr>
        <w:top w:val="none" w:sz="0" w:space="0" w:color="auto"/>
        <w:left w:val="none" w:sz="0" w:space="0" w:color="auto"/>
        <w:bottom w:val="none" w:sz="0" w:space="0" w:color="auto"/>
        <w:right w:val="none" w:sz="0" w:space="0" w:color="auto"/>
      </w:divBdr>
    </w:div>
    <w:div w:id="895051576">
      <w:bodyDiv w:val="1"/>
      <w:marLeft w:val="0"/>
      <w:marRight w:val="0"/>
      <w:marTop w:val="0"/>
      <w:marBottom w:val="0"/>
      <w:divBdr>
        <w:top w:val="none" w:sz="0" w:space="0" w:color="auto"/>
        <w:left w:val="none" w:sz="0" w:space="0" w:color="auto"/>
        <w:bottom w:val="none" w:sz="0" w:space="0" w:color="auto"/>
        <w:right w:val="none" w:sz="0" w:space="0" w:color="auto"/>
      </w:divBdr>
    </w:div>
    <w:div w:id="898900638">
      <w:bodyDiv w:val="1"/>
      <w:marLeft w:val="0"/>
      <w:marRight w:val="0"/>
      <w:marTop w:val="0"/>
      <w:marBottom w:val="0"/>
      <w:divBdr>
        <w:top w:val="none" w:sz="0" w:space="0" w:color="auto"/>
        <w:left w:val="none" w:sz="0" w:space="0" w:color="auto"/>
        <w:bottom w:val="none" w:sz="0" w:space="0" w:color="auto"/>
        <w:right w:val="none" w:sz="0" w:space="0" w:color="auto"/>
      </w:divBdr>
    </w:div>
    <w:div w:id="903643071">
      <w:bodyDiv w:val="1"/>
      <w:marLeft w:val="0"/>
      <w:marRight w:val="0"/>
      <w:marTop w:val="0"/>
      <w:marBottom w:val="0"/>
      <w:divBdr>
        <w:top w:val="none" w:sz="0" w:space="0" w:color="auto"/>
        <w:left w:val="none" w:sz="0" w:space="0" w:color="auto"/>
        <w:bottom w:val="none" w:sz="0" w:space="0" w:color="auto"/>
        <w:right w:val="none" w:sz="0" w:space="0" w:color="auto"/>
      </w:divBdr>
    </w:div>
    <w:div w:id="904528204">
      <w:bodyDiv w:val="1"/>
      <w:marLeft w:val="0"/>
      <w:marRight w:val="0"/>
      <w:marTop w:val="0"/>
      <w:marBottom w:val="0"/>
      <w:divBdr>
        <w:top w:val="none" w:sz="0" w:space="0" w:color="auto"/>
        <w:left w:val="none" w:sz="0" w:space="0" w:color="auto"/>
        <w:bottom w:val="none" w:sz="0" w:space="0" w:color="auto"/>
        <w:right w:val="none" w:sz="0" w:space="0" w:color="auto"/>
      </w:divBdr>
    </w:div>
    <w:div w:id="904989577">
      <w:bodyDiv w:val="1"/>
      <w:marLeft w:val="0"/>
      <w:marRight w:val="0"/>
      <w:marTop w:val="0"/>
      <w:marBottom w:val="0"/>
      <w:divBdr>
        <w:top w:val="none" w:sz="0" w:space="0" w:color="auto"/>
        <w:left w:val="none" w:sz="0" w:space="0" w:color="auto"/>
        <w:bottom w:val="none" w:sz="0" w:space="0" w:color="auto"/>
        <w:right w:val="none" w:sz="0" w:space="0" w:color="auto"/>
      </w:divBdr>
    </w:div>
    <w:div w:id="905140212">
      <w:bodyDiv w:val="1"/>
      <w:marLeft w:val="0"/>
      <w:marRight w:val="0"/>
      <w:marTop w:val="0"/>
      <w:marBottom w:val="0"/>
      <w:divBdr>
        <w:top w:val="none" w:sz="0" w:space="0" w:color="auto"/>
        <w:left w:val="none" w:sz="0" w:space="0" w:color="auto"/>
        <w:bottom w:val="none" w:sz="0" w:space="0" w:color="auto"/>
        <w:right w:val="none" w:sz="0" w:space="0" w:color="auto"/>
      </w:divBdr>
    </w:div>
    <w:div w:id="911964286">
      <w:bodyDiv w:val="1"/>
      <w:marLeft w:val="0"/>
      <w:marRight w:val="0"/>
      <w:marTop w:val="0"/>
      <w:marBottom w:val="0"/>
      <w:divBdr>
        <w:top w:val="none" w:sz="0" w:space="0" w:color="auto"/>
        <w:left w:val="none" w:sz="0" w:space="0" w:color="auto"/>
        <w:bottom w:val="none" w:sz="0" w:space="0" w:color="auto"/>
        <w:right w:val="none" w:sz="0" w:space="0" w:color="auto"/>
      </w:divBdr>
    </w:div>
    <w:div w:id="912545652">
      <w:bodyDiv w:val="1"/>
      <w:marLeft w:val="0"/>
      <w:marRight w:val="0"/>
      <w:marTop w:val="0"/>
      <w:marBottom w:val="0"/>
      <w:divBdr>
        <w:top w:val="none" w:sz="0" w:space="0" w:color="auto"/>
        <w:left w:val="none" w:sz="0" w:space="0" w:color="auto"/>
        <w:bottom w:val="none" w:sz="0" w:space="0" w:color="auto"/>
        <w:right w:val="none" w:sz="0" w:space="0" w:color="auto"/>
      </w:divBdr>
    </w:div>
    <w:div w:id="924416848">
      <w:bodyDiv w:val="1"/>
      <w:marLeft w:val="0"/>
      <w:marRight w:val="0"/>
      <w:marTop w:val="0"/>
      <w:marBottom w:val="0"/>
      <w:divBdr>
        <w:top w:val="none" w:sz="0" w:space="0" w:color="auto"/>
        <w:left w:val="none" w:sz="0" w:space="0" w:color="auto"/>
        <w:bottom w:val="none" w:sz="0" w:space="0" w:color="auto"/>
        <w:right w:val="none" w:sz="0" w:space="0" w:color="auto"/>
      </w:divBdr>
    </w:div>
    <w:div w:id="927344202">
      <w:bodyDiv w:val="1"/>
      <w:marLeft w:val="0"/>
      <w:marRight w:val="0"/>
      <w:marTop w:val="0"/>
      <w:marBottom w:val="0"/>
      <w:divBdr>
        <w:top w:val="none" w:sz="0" w:space="0" w:color="auto"/>
        <w:left w:val="none" w:sz="0" w:space="0" w:color="auto"/>
        <w:bottom w:val="none" w:sz="0" w:space="0" w:color="auto"/>
        <w:right w:val="none" w:sz="0" w:space="0" w:color="auto"/>
      </w:divBdr>
    </w:div>
    <w:div w:id="930746257">
      <w:bodyDiv w:val="1"/>
      <w:marLeft w:val="0"/>
      <w:marRight w:val="0"/>
      <w:marTop w:val="0"/>
      <w:marBottom w:val="0"/>
      <w:divBdr>
        <w:top w:val="none" w:sz="0" w:space="0" w:color="auto"/>
        <w:left w:val="none" w:sz="0" w:space="0" w:color="auto"/>
        <w:bottom w:val="none" w:sz="0" w:space="0" w:color="auto"/>
        <w:right w:val="none" w:sz="0" w:space="0" w:color="auto"/>
      </w:divBdr>
    </w:div>
    <w:div w:id="930772351">
      <w:bodyDiv w:val="1"/>
      <w:marLeft w:val="0"/>
      <w:marRight w:val="0"/>
      <w:marTop w:val="0"/>
      <w:marBottom w:val="0"/>
      <w:divBdr>
        <w:top w:val="none" w:sz="0" w:space="0" w:color="auto"/>
        <w:left w:val="none" w:sz="0" w:space="0" w:color="auto"/>
        <w:bottom w:val="none" w:sz="0" w:space="0" w:color="auto"/>
        <w:right w:val="none" w:sz="0" w:space="0" w:color="auto"/>
      </w:divBdr>
    </w:div>
    <w:div w:id="937060322">
      <w:bodyDiv w:val="1"/>
      <w:marLeft w:val="0"/>
      <w:marRight w:val="0"/>
      <w:marTop w:val="0"/>
      <w:marBottom w:val="0"/>
      <w:divBdr>
        <w:top w:val="none" w:sz="0" w:space="0" w:color="auto"/>
        <w:left w:val="none" w:sz="0" w:space="0" w:color="auto"/>
        <w:bottom w:val="none" w:sz="0" w:space="0" w:color="auto"/>
        <w:right w:val="none" w:sz="0" w:space="0" w:color="auto"/>
      </w:divBdr>
    </w:div>
    <w:div w:id="938951550">
      <w:bodyDiv w:val="1"/>
      <w:marLeft w:val="0"/>
      <w:marRight w:val="0"/>
      <w:marTop w:val="0"/>
      <w:marBottom w:val="0"/>
      <w:divBdr>
        <w:top w:val="none" w:sz="0" w:space="0" w:color="auto"/>
        <w:left w:val="none" w:sz="0" w:space="0" w:color="auto"/>
        <w:bottom w:val="none" w:sz="0" w:space="0" w:color="auto"/>
        <w:right w:val="none" w:sz="0" w:space="0" w:color="auto"/>
      </w:divBdr>
    </w:div>
    <w:div w:id="971134832">
      <w:bodyDiv w:val="1"/>
      <w:marLeft w:val="0"/>
      <w:marRight w:val="0"/>
      <w:marTop w:val="0"/>
      <w:marBottom w:val="0"/>
      <w:divBdr>
        <w:top w:val="none" w:sz="0" w:space="0" w:color="auto"/>
        <w:left w:val="none" w:sz="0" w:space="0" w:color="auto"/>
        <w:bottom w:val="none" w:sz="0" w:space="0" w:color="auto"/>
        <w:right w:val="none" w:sz="0" w:space="0" w:color="auto"/>
      </w:divBdr>
    </w:div>
    <w:div w:id="971592897">
      <w:bodyDiv w:val="1"/>
      <w:marLeft w:val="0"/>
      <w:marRight w:val="0"/>
      <w:marTop w:val="0"/>
      <w:marBottom w:val="0"/>
      <w:divBdr>
        <w:top w:val="none" w:sz="0" w:space="0" w:color="auto"/>
        <w:left w:val="none" w:sz="0" w:space="0" w:color="auto"/>
        <w:bottom w:val="none" w:sz="0" w:space="0" w:color="auto"/>
        <w:right w:val="none" w:sz="0" w:space="0" w:color="auto"/>
      </w:divBdr>
    </w:div>
    <w:div w:id="974525859">
      <w:bodyDiv w:val="1"/>
      <w:marLeft w:val="0"/>
      <w:marRight w:val="0"/>
      <w:marTop w:val="0"/>
      <w:marBottom w:val="0"/>
      <w:divBdr>
        <w:top w:val="none" w:sz="0" w:space="0" w:color="auto"/>
        <w:left w:val="none" w:sz="0" w:space="0" w:color="auto"/>
        <w:bottom w:val="none" w:sz="0" w:space="0" w:color="auto"/>
        <w:right w:val="none" w:sz="0" w:space="0" w:color="auto"/>
      </w:divBdr>
    </w:div>
    <w:div w:id="977035325">
      <w:bodyDiv w:val="1"/>
      <w:marLeft w:val="0"/>
      <w:marRight w:val="0"/>
      <w:marTop w:val="0"/>
      <w:marBottom w:val="0"/>
      <w:divBdr>
        <w:top w:val="none" w:sz="0" w:space="0" w:color="auto"/>
        <w:left w:val="none" w:sz="0" w:space="0" w:color="auto"/>
        <w:bottom w:val="none" w:sz="0" w:space="0" w:color="auto"/>
        <w:right w:val="none" w:sz="0" w:space="0" w:color="auto"/>
      </w:divBdr>
    </w:div>
    <w:div w:id="981957969">
      <w:bodyDiv w:val="1"/>
      <w:marLeft w:val="0"/>
      <w:marRight w:val="0"/>
      <w:marTop w:val="0"/>
      <w:marBottom w:val="0"/>
      <w:divBdr>
        <w:top w:val="none" w:sz="0" w:space="0" w:color="auto"/>
        <w:left w:val="none" w:sz="0" w:space="0" w:color="auto"/>
        <w:bottom w:val="none" w:sz="0" w:space="0" w:color="auto"/>
        <w:right w:val="none" w:sz="0" w:space="0" w:color="auto"/>
      </w:divBdr>
      <w:divsChild>
        <w:div w:id="1121529324">
          <w:marLeft w:val="547"/>
          <w:marRight w:val="0"/>
          <w:marTop w:val="0"/>
          <w:marBottom w:val="0"/>
          <w:divBdr>
            <w:top w:val="none" w:sz="0" w:space="0" w:color="auto"/>
            <w:left w:val="none" w:sz="0" w:space="0" w:color="auto"/>
            <w:bottom w:val="none" w:sz="0" w:space="0" w:color="auto"/>
            <w:right w:val="none" w:sz="0" w:space="0" w:color="auto"/>
          </w:divBdr>
        </w:div>
        <w:div w:id="2136364432">
          <w:marLeft w:val="547"/>
          <w:marRight w:val="0"/>
          <w:marTop w:val="0"/>
          <w:marBottom w:val="0"/>
          <w:divBdr>
            <w:top w:val="none" w:sz="0" w:space="0" w:color="auto"/>
            <w:left w:val="none" w:sz="0" w:space="0" w:color="auto"/>
            <w:bottom w:val="none" w:sz="0" w:space="0" w:color="auto"/>
            <w:right w:val="none" w:sz="0" w:space="0" w:color="auto"/>
          </w:divBdr>
        </w:div>
      </w:divsChild>
    </w:div>
    <w:div w:id="983200078">
      <w:bodyDiv w:val="1"/>
      <w:marLeft w:val="0"/>
      <w:marRight w:val="0"/>
      <w:marTop w:val="0"/>
      <w:marBottom w:val="0"/>
      <w:divBdr>
        <w:top w:val="none" w:sz="0" w:space="0" w:color="auto"/>
        <w:left w:val="none" w:sz="0" w:space="0" w:color="auto"/>
        <w:bottom w:val="none" w:sz="0" w:space="0" w:color="auto"/>
        <w:right w:val="none" w:sz="0" w:space="0" w:color="auto"/>
      </w:divBdr>
    </w:div>
    <w:div w:id="984315505">
      <w:bodyDiv w:val="1"/>
      <w:marLeft w:val="0"/>
      <w:marRight w:val="0"/>
      <w:marTop w:val="0"/>
      <w:marBottom w:val="0"/>
      <w:divBdr>
        <w:top w:val="none" w:sz="0" w:space="0" w:color="auto"/>
        <w:left w:val="none" w:sz="0" w:space="0" w:color="auto"/>
        <w:bottom w:val="none" w:sz="0" w:space="0" w:color="auto"/>
        <w:right w:val="none" w:sz="0" w:space="0" w:color="auto"/>
      </w:divBdr>
    </w:div>
    <w:div w:id="987133570">
      <w:bodyDiv w:val="1"/>
      <w:marLeft w:val="0"/>
      <w:marRight w:val="0"/>
      <w:marTop w:val="0"/>
      <w:marBottom w:val="0"/>
      <w:divBdr>
        <w:top w:val="none" w:sz="0" w:space="0" w:color="auto"/>
        <w:left w:val="none" w:sz="0" w:space="0" w:color="auto"/>
        <w:bottom w:val="none" w:sz="0" w:space="0" w:color="auto"/>
        <w:right w:val="none" w:sz="0" w:space="0" w:color="auto"/>
      </w:divBdr>
    </w:div>
    <w:div w:id="992954915">
      <w:bodyDiv w:val="1"/>
      <w:marLeft w:val="0"/>
      <w:marRight w:val="0"/>
      <w:marTop w:val="0"/>
      <w:marBottom w:val="0"/>
      <w:divBdr>
        <w:top w:val="none" w:sz="0" w:space="0" w:color="auto"/>
        <w:left w:val="none" w:sz="0" w:space="0" w:color="auto"/>
        <w:bottom w:val="none" w:sz="0" w:space="0" w:color="auto"/>
        <w:right w:val="none" w:sz="0" w:space="0" w:color="auto"/>
      </w:divBdr>
    </w:div>
    <w:div w:id="1005132694">
      <w:bodyDiv w:val="1"/>
      <w:marLeft w:val="0"/>
      <w:marRight w:val="0"/>
      <w:marTop w:val="0"/>
      <w:marBottom w:val="0"/>
      <w:divBdr>
        <w:top w:val="none" w:sz="0" w:space="0" w:color="auto"/>
        <w:left w:val="none" w:sz="0" w:space="0" w:color="auto"/>
        <w:bottom w:val="none" w:sz="0" w:space="0" w:color="auto"/>
        <w:right w:val="none" w:sz="0" w:space="0" w:color="auto"/>
      </w:divBdr>
    </w:div>
    <w:div w:id="1007756453">
      <w:bodyDiv w:val="1"/>
      <w:marLeft w:val="0"/>
      <w:marRight w:val="0"/>
      <w:marTop w:val="0"/>
      <w:marBottom w:val="0"/>
      <w:divBdr>
        <w:top w:val="none" w:sz="0" w:space="0" w:color="auto"/>
        <w:left w:val="none" w:sz="0" w:space="0" w:color="auto"/>
        <w:bottom w:val="none" w:sz="0" w:space="0" w:color="auto"/>
        <w:right w:val="none" w:sz="0" w:space="0" w:color="auto"/>
      </w:divBdr>
    </w:div>
    <w:div w:id="1013337355">
      <w:bodyDiv w:val="1"/>
      <w:marLeft w:val="0"/>
      <w:marRight w:val="0"/>
      <w:marTop w:val="0"/>
      <w:marBottom w:val="0"/>
      <w:divBdr>
        <w:top w:val="none" w:sz="0" w:space="0" w:color="auto"/>
        <w:left w:val="none" w:sz="0" w:space="0" w:color="auto"/>
        <w:bottom w:val="none" w:sz="0" w:space="0" w:color="auto"/>
        <w:right w:val="none" w:sz="0" w:space="0" w:color="auto"/>
      </w:divBdr>
    </w:div>
    <w:div w:id="1023363478">
      <w:bodyDiv w:val="1"/>
      <w:marLeft w:val="0"/>
      <w:marRight w:val="0"/>
      <w:marTop w:val="0"/>
      <w:marBottom w:val="0"/>
      <w:divBdr>
        <w:top w:val="none" w:sz="0" w:space="0" w:color="auto"/>
        <w:left w:val="none" w:sz="0" w:space="0" w:color="auto"/>
        <w:bottom w:val="none" w:sz="0" w:space="0" w:color="auto"/>
        <w:right w:val="none" w:sz="0" w:space="0" w:color="auto"/>
      </w:divBdr>
    </w:div>
    <w:div w:id="1023559909">
      <w:bodyDiv w:val="1"/>
      <w:marLeft w:val="0"/>
      <w:marRight w:val="0"/>
      <w:marTop w:val="0"/>
      <w:marBottom w:val="0"/>
      <w:divBdr>
        <w:top w:val="none" w:sz="0" w:space="0" w:color="auto"/>
        <w:left w:val="none" w:sz="0" w:space="0" w:color="auto"/>
        <w:bottom w:val="none" w:sz="0" w:space="0" w:color="auto"/>
        <w:right w:val="none" w:sz="0" w:space="0" w:color="auto"/>
      </w:divBdr>
    </w:div>
    <w:div w:id="1025401932">
      <w:bodyDiv w:val="1"/>
      <w:marLeft w:val="0"/>
      <w:marRight w:val="0"/>
      <w:marTop w:val="0"/>
      <w:marBottom w:val="0"/>
      <w:divBdr>
        <w:top w:val="none" w:sz="0" w:space="0" w:color="auto"/>
        <w:left w:val="none" w:sz="0" w:space="0" w:color="auto"/>
        <w:bottom w:val="none" w:sz="0" w:space="0" w:color="auto"/>
        <w:right w:val="none" w:sz="0" w:space="0" w:color="auto"/>
      </w:divBdr>
    </w:div>
    <w:div w:id="1025447109">
      <w:bodyDiv w:val="1"/>
      <w:marLeft w:val="0"/>
      <w:marRight w:val="0"/>
      <w:marTop w:val="0"/>
      <w:marBottom w:val="0"/>
      <w:divBdr>
        <w:top w:val="none" w:sz="0" w:space="0" w:color="auto"/>
        <w:left w:val="none" w:sz="0" w:space="0" w:color="auto"/>
        <w:bottom w:val="none" w:sz="0" w:space="0" w:color="auto"/>
        <w:right w:val="none" w:sz="0" w:space="0" w:color="auto"/>
      </w:divBdr>
    </w:div>
    <w:div w:id="1027868935">
      <w:bodyDiv w:val="1"/>
      <w:marLeft w:val="0"/>
      <w:marRight w:val="0"/>
      <w:marTop w:val="0"/>
      <w:marBottom w:val="0"/>
      <w:divBdr>
        <w:top w:val="none" w:sz="0" w:space="0" w:color="auto"/>
        <w:left w:val="none" w:sz="0" w:space="0" w:color="auto"/>
        <w:bottom w:val="none" w:sz="0" w:space="0" w:color="auto"/>
        <w:right w:val="none" w:sz="0" w:space="0" w:color="auto"/>
      </w:divBdr>
    </w:div>
    <w:div w:id="1035039351">
      <w:bodyDiv w:val="1"/>
      <w:marLeft w:val="0"/>
      <w:marRight w:val="0"/>
      <w:marTop w:val="0"/>
      <w:marBottom w:val="0"/>
      <w:divBdr>
        <w:top w:val="none" w:sz="0" w:space="0" w:color="auto"/>
        <w:left w:val="none" w:sz="0" w:space="0" w:color="auto"/>
        <w:bottom w:val="none" w:sz="0" w:space="0" w:color="auto"/>
        <w:right w:val="none" w:sz="0" w:space="0" w:color="auto"/>
      </w:divBdr>
    </w:div>
    <w:div w:id="1037465678">
      <w:bodyDiv w:val="1"/>
      <w:marLeft w:val="0"/>
      <w:marRight w:val="0"/>
      <w:marTop w:val="0"/>
      <w:marBottom w:val="0"/>
      <w:divBdr>
        <w:top w:val="none" w:sz="0" w:space="0" w:color="auto"/>
        <w:left w:val="none" w:sz="0" w:space="0" w:color="auto"/>
        <w:bottom w:val="none" w:sz="0" w:space="0" w:color="auto"/>
        <w:right w:val="none" w:sz="0" w:space="0" w:color="auto"/>
      </w:divBdr>
    </w:div>
    <w:div w:id="1043018032">
      <w:bodyDiv w:val="1"/>
      <w:marLeft w:val="0"/>
      <w:marRight w:val="0"/>
      <w:marTop w:val="0"/>
      <w:marBottom w:val="0"/>
      <w:divBdr>
        <w:top w:val="none" w:sz="0" w:space="0" w:color="auto"/>
        <w:left w:val="none" w:sz="0" w:space="0" w:color="auto"/>
        <w:bottom w:val="none" w:sz="0" w:space="0" w:color="auto"/>
        <w:right w:val="none" w:sz="0" w:space="0" w:color="auto"/>
      </w:divBdr>
    </w:div>
    <w:div w:id="1045253497">
      <w:bodyDiv w:val="1"/>
      <w:marLeft w:val="0"/>
      <w:marRight w:val="0"/>
      <w:marTop w:val="0"/>
      <w:marBottom w:val="0"/>
      <w:divBdr>
        <w:top w:val="none" w:sz="0" w:space="0" w:color="auto"/>
        <w:left w:val="none" w:sz="0" w:space="0" w:color="auto"/>
        <w:bottom w:val="none" w:sz="0" w:space="0" w:color="auto"/>
        <w:right w:val="none" w:sz="0" w:space="0" w:color="auto"/>
      </w:divBdr>
    </w:div>
    <w:div w:id="1047148397">
      <w:bodyDiv w:val="1"/>
      <w:marLeft w:val="0"/>
      <w:marRight w:val="0"/>
      <w:marTop w:val="0"/>
      <w:marBottom w:val="0"/>
      <w:divBdr>
        <w:top w:val="none" w:sz="0" w:space="0" w:color="auto"/>
        <w:left w:val="none" w:sz="0" w:space="0" w:color="auto"/>
        <w:bottom w:val="none" w:sz="0" w:space="0" w:color="auto"/>
        <w:right w:val="none" w:sz="0" w:space="0" w:color="auto"/>
      </w:divBdr>
    </w:div>
    <w:div w:id="1054045484">
      <w:bodyDiv w:val="1"/>
      <w:marLeft w:val="0"/>
      <w:marRight w:val="0"/>
      <w:marTop w:val="0"/>
      <w:marBottom w:val="0"/>
      <w:divBdr>
        <w:top w:val="none" w:sz="0" w:space="0" w:color="auto"/>
        <w:left w:val="none" w:sz="0" w:space="0" w:color="auto"/>
        <w:bottom w:val="none" w:sz="0" w:space="0" w:color="auto"/>
        <w:right w:val="none" w:sz="0" w:space="0" w:color="auto"/>
      </w:divBdr>
    </w:div>
    <w:div w:id="1054475545">
      <w:bodyDiv w:val="1"/>
      <w:marLeft w:val="0"/>
      <w:marRight w:val="0"/>
      <w:marTop w:val="0"/>
      <w:marBottom w:val="0"/>
      <w:divBdr>
        <w:top w:val="none" w:sz="0" w:space="0" w:color="auto"/>
        <w:left w:val="none" w:sz="0" w:space="0" w:color="auto"/>
        <w:bottom w:val="none" w:sz="0" w:space="0" w:color="auto"/>
        <w:right w:val="none" w:sz="0" w:space="0" w:color="auto"/>
      </w:divBdr>
    </w:div>
    <w:div w:id="1061169811">
      <w:bodyDiv w:val="1"/>
      <w:marLeft w:val="0"/>
      <w:marRight w:val="0"/>
      <w:marTop w:val="0"/>
      <w:marBottom w:val="0"/>
      <w:divBdr>
        <w:top w:val="none" w:sz="0" w:space="0" w:color="auto"/>
        <w:left w:val="none" w:sz="0" w:space="0" w:color="auto"/>
        <w:bottom w:val="none" w:sz="0" w:space="0" w:color="auto"/>
        <w:right w:val="none" w:sz="0" w:space="0" w:color="auto"/>
      </w:divBdr>
    </w:div>
    <w:div w:id="1068041494">
      <w:bodyDiv w:val="1"/>
      <w:marLeft w:val="0"/>
      <w:marRight w:val="0"/>
      <w:marTop w:val="0"/>
      <w:marBottom w:val="0"/>
      <w:divBdr>
        <w:top w:val="none" w:sz="0" w:space="0" w:color="auto"/>
        <w:left w:val="none" w:sz="0" w:space="0" w:color="auto"/>
        <w:bottom w:val="none" w:sz="0" w:space="0" w:color="auto"/>
        <w:right w:val="none" w:sz="0" w:space="0" w:color="auto"/>
      </w:divBdr>
    </w:div>
    <w:div w:id="1070540876">
      <w:bodyDiv w:val="1"/>
      <w:marLeft w:val="0"/>
      <w:marRight w:val="0"/>
      <w:marTop w:val="0"/>
      <w:marBottom w:val="0"/>
      <w:divBdr>
        <w:top w:val="none" w:sz="0" w:space="0" w:color="auto"/>
        <w:left w:val="none" w:sz="0" w:space="0" w:color="auto"/>
        <w:bottom w:val="none" w:sz="0" w:space="0" w:color="auto"/>
        <w:right w:val="none" w:sz="0" w:space="0" w:color="auto"/>
      </w:divBdr>
    </w:div>
    <w:div w:id="1085490094">
      <w:bodyDiv w:val="1"/>
      <w:marLeft w:val="0"/>
      <w:marRight w:val="0"/>
      <w:marTop w:val="0"/>
      <w:marBottom w:val="0"/>
      <w:divBdr>
        <w:top w:val="none" w:sz="0" w:space="0" w:color="auto"/>
        <w:left w:val="none" w:sz="0" w:space="0" w:color="auto"/>
        <w:bottom w:val="none" w:sz="0" w:space="0" w:color="auto"/>
        <w:right w:val="none" w:sz="0" w:space="0" w:color="auto"/>
      </w:divBdr>
    </w:div>
    <w:div w:id="1092823049">
      <w:bodyDiv w:val="1"/>
      <w:marLeft w:val="0"/>
      <w:marRight w:val="0"/>
      <w:marTop w:val="0"/>
      <w:marBottom w:val="0"/>
      <w:divBdr>
        <w:top w:val="none" w:sz="0" w:space="0" w:color="auto"/>
        <w:left w:val="none" w:sz="0" w:space="0" w:color="auto"/>
        <w:bottom w:val="none" w:sz="0" w:space="0" w:color="auto"/>
        <w:right w:val="none" w:sz="0" w:space="0" w:color="auto"/>
      </w:divBdr>
    </w:div>
    <w:div w:id="1110510358">
      <w:bodyDiv w:val="1"/>
      <w:marLeft w:val="0"/>
      <w:marRight w:val="0"/>
      <w:marTop w:val="0"/>
      <w:marBottom w:val="0"/>
      <w:divBdr>
        <w:top w:val="none" w:sz="0" w:space="0" w:color="auto"/>
        <w:left w:val="none" w:sz="0" w:space="0" w:color="auto"/>
        <w:bottom w:val="none" w:sz="0" w:space="0" w:color="auto"/>
        <w:right w:val="none" w:sz="0" w:space="0" w:color="auto"/>
      </w:divBdr>
    </w:div>
    <w:div w:id="1121076945">
      <w:bodyDiv w:val="1"/>
      <w:marLeft w:val="0"/>
      <w:marRight w:val="0"/>
      <w:marTop w:val="0"/>
      <w:marBottom w:val="0"/>
      <w:divBdr>
        <w:top w:val="none" w:sz="0" w:space="0" w:color="auto"/>
        <w:left w:val="none" w:sz="0" w:space="0" w:color="auto"/>
        <w:bottom w:val="none" w:sz="0" w:space="0" w:color="auto"/>
        <w:right w:val="none" w:sz="0" w:space="0" w:color="auto"/>
      </w:divBdr>
    </w:div>
    <w:div w:id="1128665891">
      <w:bodyDiv w:val="1"/>
      <w:marLeft w:val="0"/>
      <w:marRight w:val="0"/>
      <w:marTop w:val="0"/>
      <w:marBottom w:val="0"/>
      <w:divBdr>
        <w:top w:val="none" w:sz="0" w:space="0" w:color="auto"/>
        <w:left w:val="none" w:sz="0" w:space="0" w:color="auto"/>
        <w:bottom w:val="none" w:sz="0" w:space="0" w:color="auto"/>
        <w:right w:val="none" w:sz="0" w:space="0" w:color="auto"/>
      </w:divBdr>
    </w:div>
    <w:div w:id="1129007460">
      <w:bodyDiv w:val="1"/>
      <w:marLeft w:val="0"/>
      <w:marRight w:val="0"/>
      <w:marTop w:val="0"/>
      <w:marBottom w:val="0"/>
      <w:divBdr>
        <w:top w:val="none" w:sz="0" w:space="0" w:color="auto"/>
        <w:left w:val="none" w:sz="0" w:space="0" w:color="auto"/>
        <w:bottom w:val="none" w:sz="0" w:space="0" w:color="auto"/>
        <w:right w:val="none" w:sz="0" w:space="0" w:color="auto"/>
      </w:divBdr>
    </w:div>
    <w:div w:id="1133061471">
      <w:bodyDiv w:val="1"/>
      <w:marLeft w:val="0"/>
      <w:marRight w:val="0"/>
      <w:marTop w:val="0"/>
      <w:marBottom w:val="0"/>
      <w:divBdr>
        <w:top w:val="none" w:sz="0" w:space="0" w:color="auto"/>
        <w:left w:val="none" w:sz="0" w:space="0" w:color="auto"/>
        <w:bottom w:val="none" w:sz="0" w:space="0" w:color="auto"/>
        <w:right w:val="none" w:sz="0" w:space="0" w:color="auto"/>
      </w:divBdr>
    </w:div>
    <w:div w:id="1133869719">
      <w:bodyDiv w:val="1"/>
      <w:marLeft w:val="0"/>
      <w:marRight w:val="0"/>
      <w:marTop w:val="0"/>
      <w:marBottom w:val="0"/>
      <w:divBdr>
        <w:top w:val="none" w:sz="0" w:space="0" w:color="auto"/>
        <w:left w:val="none" w:sz="0" w:space="0" w:color="auto"/>
        <w:bottom w:val="none" w:sz="0" w:space="0" w:color="auto"/>
        <w:right w:val="none" w:sz="0" w:space="0" w:color="auto"/>
      </w:divBdr>
    </w:div>
    <w:div w:id="1151946051">
      <w:bodyDiv w:val="1"/>
      <w:marLeft w:val="0"/>
      <w:marRight w:val="0"/>
      <w:marTop w:val="0"/>
      <w:marBottom w:val="0"/>
      <w:divBdr>
        <w:top w:val="none" w:sz="0" w:space="0" w:color="auto"/>
        <w:left w:val="none" w:sz="0" w:space="0" w:color="auto"/>
        <w:bottom w:val="none" w:sz="0" w:space="0" w:color="auto"/>
        <w:right w:val="none" w:sz="0" w:space="0" w:color="auto"/>
      </w:divBdr>
    </w:div>
    <w:div w:id="1156072990">
      <w:bodyDiv w:val="1"/>
      <w:marLeft w:val="0"/>
      <w:marRight w:val="0"/>
      <w:marTop w:val="0"/>
      <w:marBottom w:val="0"/>
      <w:divBdr>
        <w:top w:val="none" w:sz="0" w:space="0" w:color="auto"/>
        <w:left w:val="none" w:sz="0" w:space="0" w:color="auto"/>
        <w:bottom w:val="none" w:sz="0" w:space="0" w:color="auto"/>
        <w:right w:val="none" w:sz="0" w:space="0" w:color="auto"/>
      </w:divBdr>
    </w:div>
    <w:div w:id="1162162365">
      <w:bodyDiv w:val="1"/>
      <w:marLeft w:val="0"/>
      <w:marRight w:val="0"/>
      <w:marTop w:val="0"/>
      <w:marBottom w:val="0"/>
      <w:divBdr>
        <w:top w:val="none" w:sz="0" w:space="0" w:color="auto"/>
        <w:left w:val="none" w:sz="0" w:space="0" w:color="auto"/>
        <w:bottom w:val="none" w:sz="0" w:space="0" w:color="auto"/>
        <w:right w:val="none" w:sz="0" w:space="0" w:color="auto"/>
      </w:divBdr>
    </w:div>
    <w:div w:id="1162693938">
      <w:bodyDiv w:val="1"/>
      <w:marLeft w:val="0"/>
      <w:marRight w:val="0"/>
      <w:marTop w:val="0"/>
      <w:marBottom w:val="0"/>
      <w:divBdr>
        <w:top w:val="none" w:sz="0" w:space="0" w:color="auto"/>
        <w:left w:val="none" w:sz="0" w:space="0" w:color="auto"/>
        <w:bottom w:val="none" w:sz="0" w:space="0" w:color="auto"/>
        <w:right w:val="none" w:sz="0" w:space="0" w:color="auto"/>
      </w:divBdr>
    </w:div>
    <w:div w:id="1165784481">
      <w:bodyDiv w:val="1"/>
      <w:marLeft w:val="0"/>
      <w:marRight w:val="0"/>
      <w:marTop w:val="0"/>
      <w:marBottom w:val="0"/>
      <w:divBdr>
        <w:top w:val="none" w:sz="0" w:space="0" w:color="auto"/>
        <w:left w:val="none" w:sz="0" w:space="0" w:color="auto"/>
        <w:bottom w:val="none" w:sz="0" w:space="0" w:color="auto"/>
        <w:right w:val="none" w:sz="0" w:space="0" w:color="auto"/>
      </w:divBdr>
    </w:div>
    <w:div w:id="1169711574">
      <w:bodyDiv w:val="1"/>
      <w:marLeft w:val="0"/>
      <w:marRight w:val="0"/>
      <w:marTop w:val="0"/>
      <w:marBottom w:val="0"/>
      <w:divBdr>
        <w:top w:val="none" w:sz="0" w:space="0" w:color="auto"/>
        <w:left w:val="none" w:sz="0" w:space="0" w:color="auto"/>
        <w:bottom w:val="none" w:sz="0" w:space="0" w:color="auto"/>
        <w:right w:val="none" w:sz="0" w:space="0" w:color="auto"/>
      </w:divBdr>
    </w:div>
    <w:div w:id="1170099569">
      <w:bodyDiv w:val="1"/>
      <w:marLeft w:val="0"/>
      <w:marRight w:val="0"/>
      <w:marTop w:val="0"/>
      <w:marBottom w:val="0"/>
      <w:divBdr>
        <w:top w:val="none" w:sz="0" w:space="0" w:color="auto"/>
        <w:left w:val="none" w:sz="0" w:space="0" w:color="auto"/>
        <w:bottom w:val="none" w:sz="0" w:space="0" w:color="auto"/>
        <w:right w:val="none" w:sz="0" w:space="0" w:color="auto"/>
      </w:divBdr>
    </w:div>
    <w:div w:id="1171872870">
      <w:bodyDiv w:val="1"/>
      <w:marLeft w:val="0"/>
      <w:marRight w:val="0"/>
      <w:marTop w:val="0"/>
      <w:marBottom w:val="0"/>
      <w:divBdr>
        <w:top w:val="none" w:sz="0" w:space="0" w:color="auto"/>
        <w:left w:val="none" w:sz="0" w:space="0" w:color="auto"/>
        <w:bottom w:val="none" w:sz="0" w:space="0" w:color="auto"/>
        <w:right w:val="none" w:sz="0" w:space="0" w:color="auto"/>
      </w:divBdr>
    </w:div>
    <w:div w:id="1173573196">
      <w:bodyDiv w:val="1"/>
      <w:marLeft w:val="0"/>
      <w:marRight w:val="0"/>
      <w:marTop w:val="0"/>
      <w:marBottom w:val="0"/>
      <w:divBdr>
        <w:top w:val="none" w:sz="0" w:space="0" w:color="auto"/>
        <w:left w:val="none" w:sz="0" w:space="0" w:color="auto"/>
        <w:bottom w:val="none" w:sz="0" w:space="0" w:color="auto"/>
        <w:right w:val="none" w:sz="0" w:space="0" w:color="auto"/>
      </w:divBdr>
    </w:div>
    <w:div w:id="1177429366">
      <w:bodyDiv w:val="1"/>
      <w:marLeft w:val="0"/>
      <w:marRight w:val="0"/>
      <w:marTop w:val="0"/>
      <w:marBottom w:val="0"/>
      <w:divBdr>
        <w:top w:val="none" w:sz="0" w:space="0" w:color="auto"/>
        <w:left w:val="none" w:sz="0" w:space="0" w:color="auto"/>
        <w:bottom w:val="none" w:sz="0" w:space="0" w:color="auto"/>
        <w:right w:val="none" w:sz="0" w:space="0" w:color="auto"/>
      </w:divBdr>
    </w:div>
    <w:div w:id="1179345913">
      <w:bodyDiv w:val="1"/>
      <w:marLeft w:val="0"/>
      <w:marRight w:val="0"/>
      <w:marTop w:val="0"/>
      <w:marBottom w:val="0"/>
      <w:divBdr>
        <w:top w:val="none" w:sz="0" w:space="0" w:color="auto"/>
        <w:left w:val="none" w:sz="0" w:space="0" w:color="auto"/>
        <w:bottom w:val="none" w:sz="0" w:space="0" w:color="auto"/>
        <w:right w:val="none" w:sz="0" w:space="0" w:color="auto"/>
      </w:divBdr>
    </w:div>
    <w:div w:id="1179809870">
      <w:bodyDiv w:val="1"/>
      <w:marLeft w:val="0"/>
      <w:marRight w:val="0"/>
      <w:marTop w:val="0"/>
      <w:marBottom w:val="0"/>
      <w:divBdr>
        <w:top w:val="none" w:sz="0" w:space="0" w:color="auto"/>
        <w:left w:val="none" w:sz="0" w:space="0" w:color="auto"/>
        <w:bottom w:val="none" w:sz="0" w:space="0" w:color="auto"/>
        <w:right w:val="none" w:sz="0" w:space="0" w:color="auto"/>
      </w:divBdr>
    </w:div>
    <w:div w:id="1180505542">
      <w:bodyDiv w:val="1"/>
      <w:marLeft w:val="0"/>
      <w:marRight w:val="0"/>
      <w:marTop w:val="0"/>
      <w:marBottom w:val="0"/>
      <w:divBdr>
        <w:top w:val="none" w:sz="0" w:space="0" w:color="auto"/>
        <w:left w:val="none" w:sz="0" w:space="0" w:color="auto"/>
        <w:bottom w:val="none" w:sz="0" w:space="0" w:color="auto"/>
        <w:right w:val="none" w:sz="0" w:space="0" w:color="auto"/>
      </w:divBdr>
    </w:div>
    <w:div w:id="1181353494">
      <w:bodyDiv w:val="1"/>
      <w:marLeft w:val="0"/>
      <w:marRight w:val="0"/>
      <w:marTop w:val="0"/>
      <w:marBottom w:val="0"/>
      <w:divBdr>
        <w:top w:val="none" w:sz="0" w:space="0" w:color="auto"/>
        <w:left w:val="none" w:sz="0" w:space="0" w:color="auto"/>
        <w:bottom w:val="none" w:sz="0" w:space="0" w:color="auto"/>
        <w:right w:val="none" w:sz="0" w:space="0" w:color="auto"/>
      </w:divBdr>
    </w:div>
    <w:div w:id="1183931557">
      <w:bodyDiv w:val="1"/>
      <w:marLeft w:val="0"/>
      <w:marRight w:val="0"/>
      <w:marTop w:val="0"/>
      <w:marBottom w:val="0"/>
      <w:divBdr>
        <w:top w:val="none" w:sz="0" w:space="0" w:color="auto"/>
        <w:left w:val="none" w:sz="0" w:space="0" w:color="auto"/>
        <w:bottom w:val="none" w:sz="0" w:space="0" w:color="auto"/>
        <w:right w:val="none" w:sz="0" w:space="0" w:color="auto"/>
      </w:divBdr>
    </w:div>
    <w:div w:id="1187988984">
      <w:bodyDiv w:val="1"/>
      <w:marLeft w:val="0"/>
      <w:marRight w:val="0"/>
      <w:marTop w:val="0"/>
      <w:marBottom w:val="0"/>
      <w:divBdr>
        <w:top w:val="none" w:sz="0" w:space="0" w:color="auto"/>
        <w:left w:val="none" w:sz="0" w:space="0" w:color="auto"/>
        <w:bottom w:val="none" w:sz="0" w:space="0" w:color="auto"/>
        <w:right w:val="none" w:sz="0" w:space="0" w:color="auto"/>
      </w:divBdr>
    </w:div>
    <w:div w:id="1188830563">
      <w:bodyDiv w:val="1"/>
      <w:marLeft w:val="0"/>
      <w:marRight w:val="0"/>
      <w:marTop w:val="0"/>
      <w:marBottom w:val="0"/>
      <w:divBdr>
        <w:top w:val="none" w:sz="0" w:space="0" w:color="auto"/>
        <w:left w:val="none" w:sz="0" w:space="0" w:color="auto"/>
        <w:bottom w:val="none" w:sz="0" w:space="0" w:color="auto"/>
        <w:right w:val="none" w:sz="0" w:space="0" w:color="auto"/>
      </w:divBdr>
    </w:div>
    <w:div w:id="1189029414">
      <w:bodyDiv w:val="1"/>
      <w:marLeft w:val="0"/>
      <w:marRight w:val="0"/>
      <w:marTop w:val="0"/>
      <w:marBottom w:val="0"/>
      <w:divBdr>
        <w:top w:val="none" w:sz="0" w:space="0" w:color="auto"/>
        <w:left w:val="none" w:sz="0" w:space="0" w:color="auto"/>
        <w:bottom w:val="none" w:sz="0" w:space="0" w:color="auto"/>
        <w:right w:val="none" w:sz="0" w:space="0" w:color="auto"/>
      </w:divBdr>
    </w:div>
    <w:div w:id="1193346360">
      <w:bodyDiv w:val="1"/>
      <w:marLeft w:val="0"/>
      <w:marRight w:val="0"/>
      <w:marTop w:val="0"/>
      <w:marBottom w:val="0"/>
      <w:divBdr>
        <w:top w:val="none" w:sz="0" w:space="0" w:color="auto"/>
        <w:left w:val="none" w:sz="0" w:space="0" w:color="auto"/>
        <w:bottom w:val="none" w:sz="0" w:space="0" w:color="auto"/>
        <w:right w:val="none" w:sz="0" w:space="0" w:color="auto"/>
      </w:divBdr>
    </w:div>
    <w:div w:id="1196700397">
      <w:bodyDiv w:val="1"/>
      <w:marLeft w:val="0"/>
      <w:marRight w:val="0"/>
      <w:marTop w:val="0"/>
      <w:marBottom w:val="0"/>
      <w:divBdr>
        <w:top w:val="none" w:sz="0" w:space="0" w:color="auto"/>
        <w:left w:val="none" w:sz="0" w:space="0" w:color="auto"/>
        <w:bottom w:val="none" w:sz="0" w:space="0" w:color="auto"/>
        <w:right w:val="none" w:sz="0" w:space="0" w:color="auto"/>
      </w:divBdr>
    </w:div>
    <w:div w:id="1200776536">
      <w:bodyDiv w:val="1"/>
      <w:marLeft w:val="0"/>
      <w:marRight w:val="0"/>
      <w:marTop w:val="0"/>
      <w:marBottom w:val="0"/>
      <w:divBdr>
        <w:top w:val="none" w:sz="0" w:space="0" w:color="auto"/>
        <w:left w:val="none" w:sz="0" w:space="0" w:color="auto"/>
        <w:bottom w:val="none" w:sz="0" w:space="0" w:color="auto"/>
        <w:right w:val="none" w:sz="0" w:space="0" w:color="auto"/>
      </w:divBdr>
    </w:div>
    <w:div w:id="1204707228">
      <w:bodyDiv w:val="1"/>
      <w:marLeft w:val="0"/>
      <w:marRight w:val="0"/>
      <w:marTop w:val="0"/>
      <w:marBottom w:val="0"/>
      <w:divBdr>
        <w:top w:val="none" w:sz="0" w:space="0" w:color="auto"/>
        <w:left w:val="none" w:sz="0" w:space="0" w:color="auto"/>
        <w:bottom w:val="none" w:sz="0" w:space="0" w:color="auto"/>
        <w:right w:val="none" w:sz="0" w:space="0" w:color="auto"/>
      </w:divBdr>
    </w:div>
    <w:div w:id="1226718588">
      <w:bodyDiv w:val="1"/>
      <w:marLeft w:val="0"/>
      <w:marRight w:val="0"/>
      <w:marTop w:val="0"/>
      <w:marBottom w:val="0"/>
      <w:divBdr>
        <w:top w:val="none" w:sz="0" w:space="0" w:color="auto"/>
        <w:left w:val="none" w:sz="0" w:space="0" w:color="auto"/>
        <w:bottom w:val="none" w:sz="0" w:space="0" w:color="auto"/>
        <w:right w:val="none" w:sz="0" w:space="0" w:color="auto"/>
      </w:divBdr>
    </w:div>
    <w:div w:id="1227687935">
      <w:bodyDiv w:val="1"/>
      <w:marLeft w:val="0"/>
      <w:marRight w:val="0"/>
      <w:marTop w:val="0"/>
      <w:marBottom w:val="0"/>
      <w:divBdr>
        <w:top w:val="none" w:sz="0" w:space="0" w:color="auto"/>
        <w:left w:val="none" w:sz="0" w:space="0" w:color="auto"/>
        <w:bottom w:val="none" w:sz="0" w:space="0" w:color="auto"/>
        <w:right w:val="none" w:sz="0" w:space="0" w:color="auto"/>
      </w:divBdr>
    </w:div>
    <w:div w:id="1229540367">
      <w:bodyDiv w:val="1"/>
      <w:marLeft w:val="0"/>
      <w:marRight w:val="0"/>
      <w:marTop w:val="0"/>
      <w:marBottom w:val="0"/>
      <w:divBdr>
        <w:top w:val="none" w:sz="0" w:space="0" w:color="auto"/>
        <w:left w:val="none" w:sz="0" w:space="0" w:color="auto"/>
        <w:bottom w:val="none" w:sz="0" w:space="0" w:color="auto"/>
        <w:right w:val="none" w:sz="0" w:space="0" w:color="auto"/>
      </w:divBdr>
    </w:div>
    <w:div w:id="1239097997">
      <w:bodyDiv w:val="1"/>
      <w:marLeft w:val="0"/>
      <w:marRight w:val="0"/>
      <w:marTop w:val="0"/>
      <w:marBottom w:val="0"/>
      <w:divBdr>
        <w:top w:val="none" w:sz="0" w:space="0" w:color="auto"/>
        <w:left w:val="none" w:sz="0" w:space="0" w:color="auto"/>
        <w:bottom w:val="none" w:sz="0" w:space="0" w:color="auto"/>
        <w:right w:val="none" w:sz="0" w:space="0" w:color="auto"/>
      </w:divBdr>
    </w:div>
    <w:div w:id="1255474268">
      <w:bodyDiv w:val="1"/>
      <w:marLeft w:val="0"/>
      <w:marRight w:val="0"/>
      <w:marTop w:val="0"/>
      <w:marBottom w:val="0"/>
      <w:divBdr>
        <w:top w:val="none" w:sz="0" w:space="0" w:color="auto"/>
        <w:left w:val="none" w:sz="0" w:space="0" w:color="auto"/>
        <w:bottom w:val="none" w:sz="0" w:space="0" w:color="auto"/>
        <w:right w:val="none" w:sz="0" w:space="0" w:color="auto"/>
      </w:divBdr>
    </w:div>
    <w:div w:id="1256596764">
      <w:bodyDiv w:val="1"/>
      <w:marLeft w:val="0"/>
      <w:marRight w:val="0"/>
      <w:marTop w:val="0"/>
      <w:marBottom w:val="0"/>
      <w:divBdr>
        <w:top w:val="none" w:sz="0" w:space="0" w:color="auto"/>
        <w:left w:val="none" w:sz="0" w:space="0" w:color="auto"/>
        <w:bottom w:val="none" w:sz="0" w:space="0" w:color="auto"/>
        <w:right w:val="none" w:sz="0" w:space="0" w:color="auto"/>
      </w:divBdr>
    </w:div>
    <w:div w:id="1259673509">
      <w:bodyDiv w:val="1"/>
      <w:marLeft w:val="0"/>
      <w:marRight w:val="0"/>
      <w:marTop w:val="0"/>
      <w:marBottom w:val="0"/>
      <w:divBdr>
        <w:top w:val="none" w:sz="0" w:space="0" w:color="auto"/>
        <w:left w:val="none" w:sz="0" w:space="0" w:color="auto"/>
        <w:bottom w:val="none" w:sz="0" w:space="0" w:color="auto"/>
        <w:right w:val="none" w:sz="0" w:space="0" w:color="auto"/>
      </w:divBdr>
    </w:div>
    <w:div w:id="1265386021">
      <w:bodyDiv w:val="1"/>
      <w:marLeft w:val="0"/>
      <w:marRight w:val="0"/>
      <w:marTop w:val="0"/>
      <w:marBottom w:val="0"/>
      <w:divBdr>
        <w:top w:val="none" w:sz="0" w:space="0" w:color="auto"/>
        <w:left w:val="none" w:sz="0" w:space="0" w:color="auto"/>
        <w:bottom w:val="none" w:sz="0" w:space="0" w:color="auto"/>
        <w:right w:val="none" w:sz="0" w:space="0" w:color="auto"/>
      </w:divBdr>
    </w:div>
    <w:div w:id="1267546166">
      <w:bodyDiv w:val="1"/>
      <w:marLeft w:val="0"/>
      <w:marRight w:val="0"/>
      <w:marTop w:val="0"/>
      <w:marBottom w:val="0"/>
      <w:divBdr>
        <w:top w:val="none" w:sz="0" w:space="0" w:color="auto"/>
        <w:left w:val="none" w:sz="0" w:space="0" w:color="auto"/>
        <w:bottom w:val="none" w:sz="0" w:space="0" w:color="auto"/>
        <w:right w:val="none" w:sz="0" w:space="0" w:color="auto"/>
      </w:divBdr>
    </w:div>
    <w:div w:id="1269510886">
      <w:bodyDiv w:val="1"/>
      <w:marLeft w:val="0"/>
      <w:marRight w:val="0"/>
      <w:marTop w:val="0"/>
      <w:marBottom w:val="0"/>
      <w:divBdr>
        <w:top w:val="none" w:sz="0" w:space="0" w:color="auto"/>
        <w:left w:val="none" w:sz="0" w:space="0" w:color="auto"/>
        <w:bottom w:val="none" w:sz="0" w:space="0" w:color="auto"/>
        <w:right w:val="none" w:sz="0" w:space="0" w:color="auto"/>
      </w:divBdr>
    </w:div>
    <w:div w:id="1271669162">
      <w:bodyDiv w:val="1"/>
      <w:marLeft w:val="0"/>
      <w:marRight w:val="0"/>
      <w:marTop w:val="0"/>
      <w:marBottom w:val="0"/>
      <w:divBdr>
        <w:top w:val="none" w:sz="0" w:space="0" w:color="auto"/>
        <w:left w:val="none" w:sz="0" w:space="0" w:color="auto"/>
        <w:bottom w:val="none" w:sz="0" w:space="0" w:color="auto"/>
        <w:right w:val="none" w:sz="0" w:space="0" w:color="auto"/>
      </w:divBdr>
    </w:div>
    <w:div w:id="1272737535">
      <w:bodyDiv w:val="1"/>
      <w:marLeft w:val="0"/>
      <w:marRight w:val="0"/>
      <w:marTop w:val="0"/>
      <w:marBottom w:val="0"/>
      <w:divBdr>
        <w:top w:val="none" w:sz="0" w:space="0" w:color="auto"/>
        <w:left w:val="none" w:sz="0" w:space="0" w:color="auto"/>
        <w:bottom w:val="none" w:sz="0" w:space="0" w:color="auto"/>
        <w:right w:val="none" w:sz="0" w:space="0" w:color="auto"/>
      </w:divBdr>
    </w:div>
    <w:div w:id="1274436269">
      <w:bodyDiv w:val="1"/>
      <w:marLeft w:val="0"/>
      <w:marRight w:val="0"/>
      <w:marTop w:val="0"/>
      <w:marBottom w:val="0"/>
      <w:divBdr>
        <w:top w:val="none" w:sz="0" w:space="0" w:color="auto"/>
        <w:left w:val="none" w:sz="0" w:space="0" w:color="auto"/>
        <w:bottom w:val="none" w:sz="0" w:space="0" w:color="auto"/>
        <w:right w:val="none" w:sz="0" w:space="0" w:color="auto"/>
      </w:divBdr>
    </w:div>
    <w:div w:id="1283461738">
      <w:bodyDiv w:val="1"/>
      <w:marLeft w:val="0"/>
      <w:marRight w:val="0"/>
      <w:marTop w:val="0"/>
      <w:marBottom w:val="0"/>
      <w:divBdr>
        <w:top w:val="none" w:sz="0" w:space="0" w:color="auto"/>
        <w:left w:val="none" w:sz="0" w:space="0" w:color="auto"/>
        <w:bottom w:val="none" w:sz="0" w:space="0" w:color="auto"/>
        <w:right w:val="none" w:sz="0" w:space="0" w:color="auto"/>
      </w:divBdr>
    </w:div>
    <w:div w:id="1291401169">
      <w:bodyDiv w:val="1"/>
      <w:marLeft w:val="0"/>
      <w:marRight w:val="0"/>
      <w:marTop w:val="0"/>
      <w:marBottom w:val="0"/>
      <w:divBdr>
        <w:top w:val="none" w:sz="0" w:space="0" w:color="auto"/>
        <w:left w:val="none" w:sz="0" w:space="0" w:color="auto"/>
        <w:bottom w:val="none" w:sz="0" w:space="0" w:color="auto"/>
        <w:right w:val="none" w:sz="0" w:space="0" w:color="auto"/>
      </w:divBdr>
    </w:div>
    <w:div w:id="1291520162">
      <w:bodyDiv w:val="1"/>
      <w:marLeft w:val="0"/>
      <w:marRight w:val="0"/>
      <w:marTop w:val="0"/>
      <w:marBottom w:val="0"/>
      <w:divBdr>
        <w:top w:val="none" w:sz="0" w:space="0" w:color="auto"/>
        <w:left w:val="none" w:sz="0" w:space="0" w:color="auto"/>
        <w:bottom w:val="none" w:sz="0" w:space="0" w:color="auto"/>
        <w:right w:val="none" w:sz="0" w:space="0" w:color="auto"/>
      </w:divBdr>
    </w:div>
    <w:div w:id="1306203742">
      <w:bodyDiv w:val="1"/>
      <w:marLeft w:val="0"/>
      <w:marRight w:val="0"/>
      <w:marTop w:val="0"/>
      <w:marBottom w:val="0"/>
      <w:divBdr>
        <w:top w:val="none" w:sz="0" w:space="0" w:color="auto"/>
        <w:left w:val="none" w:sz="0" w:space="0" w:color="auto"/>
        <w:bottom w:val="none" w:sz="0" w:space="0" w:color="auto"/>
        <w:right w:val="none" w:sz="0" w:space="0" w:color="auto"/>
      </w:divBdr>
    </w:div>
    <w:div w:id="1307777408">
      <w:bodyDiv w:val="1"/>
      <w:marLeft w:val="0"/>
      <w:marRight w:val="0"/>
      <w:marTop w:val="0"/>
      <w:marBottom w:val="0"/>
      <w:divBdr>
        <w:top w:val="none" w:sz="0" w:space="0" w:color="auto"/>
        <w:left w:val="none" w:sz="0" w:space="0" w:color="auto"/>
        <w:bottom w:val="none" w:sz="0" w:space="0" w:color="auto"/>
        <w:right w:val="none" w:sz="0" w:space="0" w:color="auto"/>
      </w:divBdr>
    </w:div>
    <w:div w:id="1308121820">
      <w:bodyDiv w:val="1"/>
      <w:marLeft w:val="0"/>
      <w:marRight w:val="0"/>
      <w:marTop w:val="0"/>
      <w:marBottom w:val="0"/>
      <w:divBdr>
        <w:top w:val="none" w:sz="0" w:space="0" w:color="auto"/>
        <w:left w:val="none" w:sz="0" w:space="0" w:color="auto"/>
        <w:bottom w:val="none" w:sz="0" w:space="0" w:color="auto"/>
        <w:right w:val="none" w:sz="0" w:space="0" w:color="auto"/>
      </w:divBdr>
    </w:div>
    <w:div w:id="1317300598">
      <w:bodyDiv w:val="1"/>
      <w:marLeft w:val="0"/>
      <w:marRight w:val="0"/>
      <w:marTop w:val="0"/>
      <w:marBottom w:val="0"/>
      <w:divBdr>
        <w:top w:val="none" w:sz="0" w:space="0" w:color="auto"/>
        <w:left w:val="none" w:sz="0" w:space="0" w:color="auto"/>
        <w:bottom w:val="none" w:sz="0" w:space="0" w:color="auto"/>
        <w:right w:val="none" w:sz="0" w:space="0" w:color="auto"/>
      </w:divBdr>
    </w:div>
    <w:div w:id="1317614450">
      <w:bodyDiv w:val="1"/>
      <w:marLeft w:val="0"/>
      <w:marRight w:val="0"/>
      <w:marTop w:val="0"/>
      <w:marBottom w:val="0"/>
      <w:divBdr>
        <w:top w:val="none" w:sz="0" w:space="0" w:color="auto"/>
        <w:left w:val="none" w:sz="0" w:space="0" w:color="auto"/>
        <w:bottom w:val="none" w:sz="0" w:space="0" w:color="auto"/>
        <w:right w:val="none" w:sz="0" w:space="0" w:color="auto"/>
      </w:divBdr>
    </w:div>
    <w:div w:id="1323704907">
      <w:bodyDiv w:val="1"/>
      <w:marLeft w:val="0"/>
      <w:marRight w:val="0"/>
      <w:marTop w:val="0"/>
      <w:marBottom w:val="0"/>
      <w:divBdr>
        <w:top w:val="none" w:sz="0" w:space="0" w:color="auto"/>
        <w:left w:val="none" w:sz="0" w:space="0" w:color="auto"/>
        <w:bottom w:val="none" w:sz="0" w:space="0" w:color="auto"/>
        <w:right w:val="none" w:sz="0" w:space="0" w:color="auto"/>
      </w:divBdr>
    </w:div>
    <w:div w:id="1325427563">
      <w:bodyDiv w:val="1"/>
      <w:marLeft w:val="0"/>
      <w:marRight w:val="0"/>
      <w:marTop w:val="0"/>
      <w:marBottom w:val="0"/>
      <w:divBdr>
        <w:top w:val="none" w:sz="0" w:space="0" w:color="auto"/>
        <w:left w:val="none" w:sz="0" w:space="0" w:color="auto"/>
        <w:bottom w:val="none" w:sz="0" w:space="0" w:color="auto"/>
        <w:right w:val="none" w:sz="0" w:space="0" w:color="auto"/>
      </w:divBdr>
    </w:div>
    <w:div w:id="1339428245">
      <w:bodyDiv w:val="1"/>
      <w:marLeft w:val="0"/>
      <w:marRight w:val="0"/>
      <w:marTop w:val="0"/>
      <w:marBottom w:val="0"/>
      <w:divBdr>
        <w:top w:val="none" w:sz="0" w:space="0" w:color="auto"/>
        <w:left w:val="none" w:sz="0" w:space="0" w:color="auto"/>
        <w:bottom w:val="none" w:sz="0" w:space="0" w:color="auto"/>
        <w:right w:val="none" w:sz="0" w:space="0" w:color="auto"/>
      </w:divBdr>
    </w:div>
    <w:div w:id="1345474852">
      <w:bodyDiv w:val="1"/>
      <w:marLeft w:val="0"/>
      <w:marRight w:val="0"/>
      <w:marTop w:val="0"/>
      <w:marBottom w:val="0"/>
      <w:divBdr>
        <w:top w:val="none" w:sz="0" w:space="0" w:color="auto"/>
        <w:left w:val="none" w:sz="0" w:space="0" w:color="auto"/>
        <w:bottom w:val="none" w:sz="0" w:space="0" w:color="auto"/>
        <w:right w:val="none" w:sz="0" w:space="0" w:color="auto"/>
      </w:divBdr>
    </w:div>
    <w:div w:id="1350721055">
      <w:bodyDiv w:val="1"/>
      <w:marLeft w:val="0"/>
      <w:marRight w:val="0"/>
      <w:marTop w:val="0"/>
      <w:marBottom w:val="0"/>
      <w:divBdr>
        <w:top w:val="none" w:sz="0" w:space="0" w:color="auto"/>
        <w:left w:val="none" w:sz="0" w:space="0" w:color="auto"/>
        <w:bottom w:val="none" w:sz="0" w:space="0" w:color="auto"/>
        <w:right w:val="none" w:sz="0" w:space="0" w:color="auto"/>
      </w:divBdr>
    </w:div>
    <w:div w:id="1350791737">
      <w:bodyDiv w:val="1"/>
      <w:marLeft w:val="0"/>
      <w:marRight w:val="0"/>
      <w:marTop w:val="0"/>
      <w:marBottom w:val="0"/>
      <w:divBdr>
        <w:top w:val="none" w:sz="0" w:space="0" w:color="auto"/>
        <w:left w:val="none" w:sz="0" w:space="0" w:color="auto"/>
        <w:bottom w:val="none" w:sz="0" w:space="0" w:color="auto"/>
        <w:right w:val="none" w:sz="0" w:space="0" w:color="auto"/>
      </w:divBdr>
    </w:div>
    <w:div w:id="1351450308">
      <w:bodyDiv w:val="1"/>
      <w:marLeft w:val="0"/>
      <w:marRight w:val="0"/>
      <w:marTop w:val="0"/>
      <w:marBottom w:val="0"/>
      <w:divBdr>
        <w:top w:val="none" w:sz="0" w:space="0" w:color="auto"/>
        <w:left w:val="none" w:sz="0" w:space="0" w:color="auto"/>
        <w:bottom w:val="none" w:sz="0" w:space="0" w:color="auto"/>
        <w:right w:val="none" w:sz="0" w:space="0" w:color="auto"/>
      </w:divBdr>
    </w:div>
    <w:div w:id="1352343982">
      <w:bodyDiv w:val="1"/>
      <w:marLeft w:val="0"/>
      <w:marRight w:val="0"/>
      <w:marTop w:val="0"/>
      <w:marBottom w:val="0"/>
      <w:divBdr>
        <w:top w:val="none" w:sz="0" w:space="0" w:color="auto"/>
        <w:left w:val="none" w:sz="0" w:space="0" w:color="auto"/>
        <w:bottom w:val="none" w:sz="0" w:space="0" w:color="auto"/>
        <w:right w:val="none" w:sz="0" w:space="0" w:color="auto"/>
      </w:divBdr>
    </w:div>
    <w:div w:id="1355811865">
      <w:bodyDiv w:val="1"/>
      <w:marLeft w:val="0"/>
      <w:marRight w:val="0"/>
      <w:marTop w:val="0"/>
      <w:marBottom w:val="0"/>
      <w:divBdr>
        <w:top w:val="none" w:sz="0" w:space="0" w:color="auto"/>
        <w:left w:val="none" w:sz="0" w:space="0" w:color="auto"/>
        <w:bottom w:val="none" w:sz="0" w:space="0" w:color="auto"/>
        <w:right w:val="none" w:sz="0" w:space="0" w:color="auto"/>
      </w:divBdr>
    </w:div>
    <w:div w:id="1356419794">
      <w:bodyDiv w:val="1"/>
      <w:marLeft w:val="0"/>
      <w:marRight w:val="0"/>
      <w:marTop w:val="0"/>
      <w:marBottom w:val="0"/>
      <w:divBdr>
        <w:top w:val="none" w:sz="0" w:space="0" w:color="auto"/>
        <w:left w:val="none" w:sz="0" w:space="0" w:color="auto"/>
        <w:bottom w:val="none" w:sz="0" w:space="0" w:color="auto"/>
        <w:right w:val="none" w:sz="0" w:space="0" w:color="auto"/>
      </w:divBdr>
    </w:div>
    <w:div w:id="1369524525">
      <w:bodyDiv w:val="1"/>
      <w:marLeft w:val="0"/>
      <w:marRight w:val="0"/>
      <w:marTop w:val="0"/>
      <w:marBottom w:val="0"/>
      <w:divBdr>
        <w:top w:val="none" w:sz="0" w:space="0" w:color="auto"/>
        <w:left w:val="none" w:sz="0" w:space="0" w:color="auto"/>
        <w:bottom w:val="none" w:sz="0" w:space="0" w:color="auto"/>
        <w:right w:val="none" w:sz="0" w:space="0" w:color="auto"/>
      </w:divBdr>
    </w:div>
    <w:div w:id="1371149898">
      <w:bodyDiv w:val="1"/>
      <w:marLeft w:val="0"/>
      <w:marRight w:val="0"/>
      <w:marTop w:val="0"/>
      <w:marBottom w:val="0"/>
      <w:divBdr>
        <w:top w:val="none" w:sz="0" w:space="0" w:color="auto"/>
        <w:left w:val="none" w:sz="0" w:space="0" w:color="auto"/>
        <w:bottom w:val="none" w:sz="0" w:space="0" w:color="auto"/>
        <w:right w:val="none" w:sz="0" w:space="0" w:color="auto"/>
      </w:divBdr>
    </w:div>
    <w:div w:id="1374235060">
      <w:bodyDiv w:val="1"/>
      <w:marLeft w:val="0"/>
      <w:marRight w:val="0"/>
      <w:marTop w:val="0"/>
      <w:marBottom w:val="0"/>
      <w:divBdr>
        <w:top w:val="none" w:sz="0" w:space="0" w:color="auto"/>
        <w:left w:val="none" w:sz="0" w:space="0" w:color="auto"/>
        <w:bottom w:val="none" w:sz="0" w:space="0" w:color="auto"/>
        <w:right w:val="none" w:sz="0" w:space="0" w:color="auto"/>
      </w:divBdr>
    </w:div>
    <w:div w:id="1381831011">
      <w:bodyDiv w:val="1"/>
      <w:marLeft w:val="0"/>
      <w:marRight w:val="0"/>
      <w:marTop w:val="0"/>
      <w:marBottom w:val="0"/>
      <w:divBdr>
        <w:top w:val="none" w:sz="0" w:space="0" w:color="auto"/>
        <w:left w:val="none" w:sz="0" w:space="0" w:color="auto"/>
        <w:bottom w:val="none" w:sz="0" w:space="0" w:color="auto"/>
        <w:right w:val="none" w:sz="0" w:space="0" w:color="auto"/>
      </w:divBdr>
    </w:div>
    <w:div w:id="1392147042">
      <w:bodyDiv w:val="1"/>
      <w:marLeft w:val="0"/>
      <w:marRight w:val="0"/>
      <w:marTop w:val="0"/>
      <w:marBottom w:val="0"/>
      <w:divBdr>
        <w:top w:val="none" w:sz="0" w:space="0" w:color="auto"/>
        <w:left w:val="none" w:sz="0" w:space="0" w:color="auto"/>
        <w:bottom w:val="none" w:sz="0" w:space="0" w:color="auto"/>
        <w:right w:val="none" w:sz="0" w:space="0" w:color="auto"/>
      </w:divBdr>
    </w:div>
    <w:div w:id="1393503897">
      <w:bodyDiv w:val="1"/>
      <w:marLeft w:val="0"/>
      <w:marRight w:val="0"/>
      <w:marTop w:val="0"/>
      <w:marBottom w:val="0"/>
      <w:divBdr>
        <w:top w:val="none" w:sz="0" w:space="0" w:color="auto"/>
        <w:left w:val="none" w:sz="0" w:space="0" w:color="auto"/>
        <w:bottom w:val="none" w:sz="0" w:space="0" w:color="auto"/>
        <w:right w:val="none" w:sz="0" w:space="0" w:color="auto"/>
      </w:divBdr>
    </w:div>
    <w:div w:id="1400397355">
      <w:bodyDiv w:val="1"/>
      <w:marLeft w:val="0"/>
      <w:marRight w:val="0"/>
      <w:marTop w:val="0"/>
      <w:marBottom w:val="0"/>
      <w:divBdr>
        <w:top w:val="none" w:sz="0" w:space="0" w:color="auto"/>
        <w:left w:val="none" w:sz="0" w:space="0" w:color="auto"/>
        <w:bottom w:val="none" w:sz="0" w:space="0" w:color="auto"/>
        <w:right w:val="none" w:sz="0" w:space="0" w:color="auto"/>
      </w:divBdr>
    </w:div>
    <w:div w:id="1401559968">
      <w:bodyDiv w:val="1"/>
      <w:marLeft w:val="0"/>
      <w:marRight w:val="0"/>
      <w:marTop w:val="0"/>
      <w:marBottom w:val="0"/>
      <w:divBdr>
        <w:top w:val="none" w:sz="0" w:space="0" w:color="auto"/>
        <w:left w:val="none" w:sz="0" w:space="0" w:color="auto"/>
        <w:bottom w:val="none" w:sz="0" w:space="0" w:color="auto"/>
        <w:right w:val="none" w:sz="0" w:space="0" w:color="auto"/>
      </w:divBdr>
    </w:div>
    <w:div w:id="1405449161">
      <w:bodyDiv w:val="1"/>
      <w:marLeft w:val="0"/>
      <w:marRight w:val="0"/>
      <w:marTop w:val="0"/>
      <w:marBottom w:val="0"/>
      <w:divBdr>
        <w:top w:val="none" w:sz="0" w:space="0" w:color="auto"/>
        <w:left w:val="none" w:sz="0" w:space="0" w:color="auto"/>
        <w:bottom w:val="none" w:sz="0" w:space="0" w:color="auto"/>
        <w:right w:val="none" w:sz="0" w:space="0" w:color="auto"/>
      </w:divBdr>
    </w:div>
    <w:div w:id="1406368498">
      <w:bodyDiv w:val="1"/>
      <w:marLeft w:val="0"/>
      <w:marRight w:val="0"/>
      <w:marTop w:val="0"/>
      <w:marBottom w:val="0"/>
      <w:divBdr>
        <w:top w:val="none" w:sz="0" w:space="0" w:color="auto"/>
        <w:left w:val="none" w:sz="0" w:space="0" w:color="auto"/>
        <w:bottom w:val="none" w:sz="0" w:space="0" w:color="auto"/>
        <w:right w:val="none" w:sz="0" w:space="0" w:color="auto"/>
      </w:divBdr>
    </w:div>
    <w:div w:id="1411387342">
      <w:bodyDiv w:val="1"/>
      <w:marLeft w:val="0"/>
      <w:marRight w:val="0"/>
      <w:marTop w:val="0"/>
      <w:marBottom w:val="0"/>
      <w:divBdr>
        <w:top w:val="none" w:sz="0" w:space="0" w:color="auto"/>
        <w:left w:val="none" w:sz="0" w:space="0" w:color="auto"/>
        <w:bottom w:val="none" w:sz="0" w:space="0" w:color="auto"/>
        <w:right w:val="none" w:sz="0" w:space="0" w:color="auto"/>
      </w:divBdr>
    </w:div>
    <w:div w:id="1412433885">
      <w:bodyDiv w:val="1"/>
      <w:marLeft w:val="0"/>
      <w:marRight w:val="0"/>
      <w:marTop w:val="0"/>
      <w:marBottom w:val="0"/>
      <w:divBdr>
        <w:top w:val="none" w:sz="0" w:space="0" w:color="auto"/>
        <w:left w:val="none" w:sz="0" w:space="0" w:color="auto"/>
        <w:bottom w:val="none" w:sz="0" w:space="0" w:color="auto"/>
        <w:right w:val="none" w:sz="0" w:space="0" w:color="auto"/>
      </w:divBdr>
    </w:div>
    <w:div w:id="1413118467">
      <w:bodyDiv w:val="1"/>
      <w:marLeft w:val="0"/>
      <w:marRight w:val="0"/>
      <w:marTop w:val="0"/>
      <w:marBottom w:val="0"/>
      <w:divBdr>
        <w:top w:val="none" w:sz="0" w:space="0" w:color="auto"/>
        <w:left w:val="none" w:sz="0" w:space="0" w:color="auto"/>
        <w:bottom w:val="none" w:sz="0" w:space="0" w:color="auto"/>
        <w:right w:val="none" w:sz="0" w:space="0" w:color="auto"/>
      </w:divBdr>
    </w:div>
    <w:div w:id="1413774289">
      <w:bodyDiv w:val="1"/>
      <w:marLeft w:val="0"/>
      <w:marRight w:val="0"/>
      <w:marTop w:val="0"/>
      <w:marBottom w:val="0"/>
      <w:divBdr>
        <w:top w:val="none" w:sz="0" w:space="0" w:color="auto"/>
        <w:left w:val="none" w:sz="0" w:space="0" w:color="auto"/>
        <w:bottom w:val="none" w:sz="0" w:space="0" w:color="auto"/>
        <w:right w:val="none" w:sz="0" w:space="0" w:color="auto"/>
      </w:divBdr>
    </w:div>
    <w:div w:id="1415862541">
      <w:bodyDiv w:val="1"/>
      <w:marLeft w:val="0"/>
      <w:marRight w:val="0"/>
      <w:marTop w:val="0"/>
      <w:marBottom w:val="0"/>
      <w:divBdr>
        <w:top w:val="none" w:sz="0" w:space="0" w:color="auto"/>
        <w:left w:val="none" w:sz="0" w:space="0" w:color="auto"/>
        <w:bottom w:val="none" w:sz="0" w:space="0" w:color="auto"/>
        <w:right w:val="none" w:sz="0" w:space="0" w:color="auto"/>
      </w:divBdr>
    </w:div>
    <w:div w:id="1416512995">
      <w:bodyDiv w:val="1"/>
      <w:marLeft w:val="0"/>
      <w:marRight w:val="0"/>
      <w:marTop w:val="0"/>
      <w:marBottom w:val="0"/>
      <w:divBdr>
        <w:top w:val="none" w:sz="0" w:space="0" w:color="auto"/>
        <w:left w:val="none" w:sz="0" w:space="0" w:color="auto"/>
        <w:bottom w:val="none" w:sz="0" w:space="0" w:color="auto"/>
        <w:right w:val="none" w:sz="0" w:space="0" w:color="auto"/>
      </w:divBdr>
    </w:div>
    <w:div w:id="1421217134">
      <w:bodyDiv w:val="1"/>
      <w:marLeft w:val="0"/>
      <w:marRight w:val="0"/>
      <w:marTop w:val="0"/>
      <w:marBottom w:val="0"/>
      <w:divBdr>
        <w:top w:val="none" w:sz="0" w:space="0" w:color="auto"/>
        <w:left w:val="none" w:sz="0" w:space="0" w:color="auto"/>
        <w:bottom w:val="none" w:sz="0" w:space="0" w:color="auto"/>
        <w:right w:val="none" w:sz="0" w:space="0" w:color="auto"/>
      </w:divBdr>
    </w:div>
    <w:div w:id="1423453135">
      <w:bodyDiv w:val="1"/>
      <w:marLeft w:val="0"/>
      <w:marRight w:val="0"/>
      <w:marTop w:val="0"/>
      <w:marBottom w:val="0"/>
      <w:divBdr>
        <w:top w:val="none" w:sz="0" w:space="0" w:color="auto"/>
        <w:left w:val="none" w:sz="0" w:space="0" w:color="auto"/>
        <w:bottom w:val="none" w:sz="0" w:space="0" w:color="auto"/>
        <w:right w:val="none" w:sz="0" w:space="0" w:color="auto"/>
      </w:divBdr>
    </w:div>
    <w:div w:id="1424573546">
      <w:bodyDiv w:val="1"/>
      <w:marLeft w:val="0"/>
      <w:marRight w:val="0"/>
      <w:marTop w:val="0"/>
      <w:marBottom w:val="0"/>
      <w:divBdr>
        <w:top w:val="none" w:sz="0" w:space="0" w:color="auto"/>
        <w:left w:val="none" w:sz="0" w:space="0" w:color="auto"/>
        <w:bottom w:val="none" w:sz="0" w:space="0" w:color="auto"/>
        <w:right w:val="none" w:sz="0" w:space="0" w:color="auto"/>
      </w:divBdr>
    </w:div>
    <w:div w:id="1432047296">
      <w:bodyDiv w:val="1"/>
      <w:marLeft w:val="0"/>
      <w:marRight w:val="0"/>
      <w:marTop w:val="0"/>
      <w:marBottom w:val="0"/>
      <w:divBdr>
        <w:top w:val="none" w:sz="0" w:space="0" w:color="auto"/>
        <w:left w:val="none" w:sz="0" w:space="0" w:color="auto"/>
        <w:bottom w:val="none" w:sz="0" w:space="0" w:color="auto"/>
        <w:right w:val="none" w:sz="0" w:space="0" w:color="auto"/>
      </w:divBdr>
    </w:div>
    <w:div w:id="1437482072">
      <w:bodyDiv w:val="1"/>
      <w:marLeft w:val="0"/>
      <w:marRight w:val="0"/>
      <w:marTop w:val="0"/>
      <w:marBottom w:val="0"/>
      <w:divBdr>
        <w:top w:val="none" w:sz="0" w:space="0" w:color="auto"/>
        <w:left w:val="none" w:sz="0" w:space="0" w:color="auto"/>
        <w:bottom w:val="none" w:sz="0" w:space="0" w:color="auto"/>
        <w:right w:val="none" w:sz="0" w:space="0" w:color="auto"/>
      </w:divBdr>
    </w:div>
    <w:div w:id="1440565382">
      <w:bodyDiv w:val="1"/>
      <w:marLeft w:val="0"/>
      <w:marRight w:val="0"/>
      <w:marTop w:val="0"/>
      <w:marBottom w:val="0"/>
      <w:divBdr>
        <w:top w:val="none" w:sz="0" w:space="0" w:color="auto"/>
        <w:left w:val="none" w:sz="0" w:space="0" w:color="auto"/>
        <w:bottom w:val="none" w:sz="0" w:space="0" w:color="auto"/>
        <w:right w:val="none" w:sz="0" w:space="0" w:color="auto"/>
      </w:divBdr>
    </w:div>
    <w:div w:id="1465541091">
      <w:bodyDiv w:val="1"/>
      <w:marLeft w:val="0"/>
      <w:marRight w:val="0"/>
      <w:marTop w:val="0"/>
      <w:marBottom w:val="0"/>
      <w:divBdr>
        <w:top w:val="none" w:sz="0" w:space="0" w:color="auto"/>
        <w:left w:val="none" w:sz="0" w:space="0" w:color="auto"/>
        <w:bottom w:val="none" w:sz="0" w:space="0" w:color="auto"/>
        <w:right w:val="none" w:sz="0" w:space="0" w:color="auto"/>
      </w:divBdr>
    </w:div>
    <w:div w:id="1468621311">
      <w:bodyDiv w:val="1"/>
      <w:marLeft w:val="0"/>
      <w:marRight w:val="0"/>
      <w:marTop w:val="0"/>
      <w:marBottom w:val="0"/>
      <w:divBdr>
        <w:top w:val="none" w:sz="0" w:space="0" w:color="auto"/>
        <w:left w:val="none" w:sz="0" w:space="0" w:color="auto"/>
        <w:bottom w:val="none" w:sz="0" w:space="0" w:color="auto"/>
        <w:right w:val="none" w:sz="0" w:space="0" w:color="auto"/>
      </w:divBdr>
    </w:div>
    <w:div w:id="1473212790">
      <w:bodyDiv w:val="1"/>
      <w:marLeft w:val="0"/>
      <w:marRight w:val="0"/>
      <w:marTop w:val="0"/>
      <w:marBottom w:val="0"/>
      <w:divBdr>
        <w:top w:val="none" w:sz="0" w:space="0" w:color="auto"/>
        <w:left w:val="none" w:sz="0" w:space="0" w:color="auto"/>
        <w:bottom w:val="none" w:sz="0" w:space="0" w:color="auto"/>
        <w:right w:val="none" w:sz="0" w:space="0" w:color="auto"/>
      </w:divBdr>
    </w:div>
    <w:div w:id="1479112864">
      <w:bodyDiv w:val="1"/>
      <w:marLeft w:val="0"/>
      <w:marRight w:val="0"/>
      <w:marTop w:val="0"/>
      <w:marBottom w:val="0"/>
      <w:divBdr>
        <w:top w:val="none" w:sz="0" w:space="0" w:color="auto"/>
        <w:left w:val="none" w:sz="0" w:space="0" w:color="auto"/>
        <w:bottom w:val="none" w:sz="0" w:space="0" w:color="auto"/>
        <w:right w:val="none" w:sz="0" w:space="0" w:color="auto"/>
      </w:divBdr>
    </w:div>
    <w:div w:id="1480536601">
      <w:bodyDiv w:val="1"/>
      <w:marLeft w:val="0"/>
      <w:marRight w:val="0"/>
      <w:marTop w:val="0"/>
      <w:marBottom w:val="0"/>
      <w:divBdr>
        <w:top w:val="none" w:sz="0" w:space="0" w:color="auto"/>
        <w:left w:val="none" w:sz="0" w:space="0" w:color="auto"/>
        <w:bottom w:val="none" w:sz="0" w:space="0" w:color="auto"/>
        <w:right w:val="none" w:sz="0" w:space="0" w:color="auto"/>
      </w:divBdr>
    </w:div>
    <w:div w:id="1484346200">
      <w:bodyDiv w:val="1"/>
      <w:marLeft w:val="0"/>
      <w:marRight w:val="0"/>
      <w:marTop w:val="0"/>
      <w:marBottom w:val="0"/>
      <w:divBdr>
        <w:top w:val="none" w:sz="0" w:space="0" w:color="auto"/>
        <w:left w:val="none" w:sz="0" w:space="0" w:color="auto"/>
        <w:bottom w:val="none" w:sz="0" w:space="0" w:color="auto"/>
        <w:right w:val="none" w:sz="0" w:space="0" w:color="auto"/>
      </w:divBdr>
    </w:div>
    <w:div w:id="1486630985">
      <w:bodyDiv w:val="1"/>
      <w:marLeft w:val="0"/>
      <w:marRight w:val="0"/>
      <w:marTop w:val="0"/>
      <w:marBottom w:val="0"/>
      <w:divBdr>
        <w:top w:val="none" w:sz="0" w:space="0" w:color="auto"/>
        <w:left w:val="none" w:sz="0" w:space="0" w:color="auto"/>
        <w:bottom w:val="none" w:sz="0" w:space="0" w:color="auto"/>
        <w:right w:val="none" w:sz="0" w:space="0" w:color="auto"/>
      </w:divBdr>
    </w:div>
    <w:div w:id="1503474231">
      <w:bodyDiv w:val="1"/>
      <w:marLeft w:val="0"/>
      <w:marRight w:val="0"/>
      <w:marTop w:val="0"/>
      <w:marBottom w:val="0"/>
      <w:divBdr>
        <w:top w:val="none" w:sz="0" w:space="0" w:color="auto"/>
        <w:left w:val="none" w:sz="0" w:space="0" w:color="auto"/>
        <w:bottom w:val="none" w:sz="0" w:space="0" w:color="auto"/>
        <w:right w:val="none" w:sz="0" w:space="0" w:color="auto"/>
      </w:divBdr>
    </w:div>
    <w:div w:id="1510558129">
      <w:bodyDiv w:val="1"/>
      <w:marLeft w:val="0"/>
      <w:marRight w:val="0"/>
      <w:marTop w:val="0"/>
      <w:marBottom w:val="0"/>
      <w:divBdr>
        <w:top w:val="none" w:sz="0" w:space="0" w:color="auto"/>
        <w:left w:val="none" w:sz="0" w:space="0" w:color="auto"/>
        <w:bottom w:val="none" w:sz="0" w:space="0" w:color="auto"/>
        <w:right w:val="none" w:sz="0" w:space="0" w:color="auto"/>
      </w:divBdr>
    </w:div>
    <w:div w:id="1512988279">
      <w:bodyDiv w:val="1"/>
      <w:marLeft w:val="0"/>
      <w:marRight w:val="0"/>
      <w:marTop w:val="0"/>
      <w:marBottom w:val="0"/>
      <w:divBdr>
        <w:top w:val="none" w:sz="0" w:space="0" w:color="auto"/>
        <w:left w:val="none" w:sz="0" w:space="0" w:color="auto"/>
        <w:bottom w:val="none" w:sz="0" w:space="0" w:color="auto"/>
        <w:right w:val="none" w:sz="0" w:space="0" w:color="auto"/>
      </w:divBdr>
    </w:div>
    <w:div w:id="1513372383">
      <w:bodyDiv w:val="1"/>
      <w:marLeft w:val="0"/>
      <w:marRight w:val="0"/>
      <w:marTop w:val="0"/>
      <w:marBottom w:val="0"/>
      <w:divBdr>
        <w:top w:val="none" w:sz="0" w:space="0" w:color="auto"/>
        <w:left w:val="none" w:sz="0" w:space="0" w:color="auto"/>
        <w:bottom w:val="none" w:sz="0" w:space="0" w:color="auto"/>
        <w:right w:val="none" w:sz="0" w:space="0" w:color="auto"/>
      </w:divBdr>
    </w:div>
    <w:div w:id="1519080060">
      <w:bodyDiv w:val="1"/>
      <w:marLeft w:val="0"/>
      <w:marRight w:val="0"/>
      <w:marTop w:val="0"/>
      <w:marBottom w:val="0"/>
      <w:divBdr>
        <w:top w:val="none" w:sz="0" w:space="0" w:color="auto"/>
        <w:left w:val="none" w:sz="0" w:space="0" w:color="auto"/>
        <w:bottom w:val="none" w:sz="0" w:space="0" w:color="auto"/>
        <w:right w:val="none" w:sz="0" w:space="0" w:color="auto"/>
      </w:divBdr>
    </w:div>
    <w:div w:id="1526141478">
      <w:bodyDiv w:val="1"/>
      <w:marLeft w:val="0"/>
      <w:marRight w:val="0"/>
      <w:marTop w:val="0"/>
      <w:marBottom w:val="0"/>
      <w:divBdr>
        <w:top w:val="none" w:sz="0" w:space="0" w:color="auto"/>
        <w:left w:val="none" w:sz="0" w:space="0" w:color="auto"/>
        <w:bottom w:val="none" w:sz="0" w:space="0" w:color="auto"/>
        <w:right w:val="none" w:sz="0" w:space="0" w:color="auto"/>
      </w:divBdr>
    </w:div>
    <w:div w:id="1526792265">
      <w:bodyDiv w:val="1"/>
      <w:marLeft w:val="0"/>
      <w:marRight w:val="0"/>
      <w:marTop w:val="0"/>
      <w:marBottom w:val="0"/>
      <w:divBdr>
        <w:top w:val="none" w:sz="0" w:space="0" w:color="auto"/>
        <w:left w:val="none" w:sz="0" w:space="0" w:color="auto"/>
        <w:bottom w:val="none" w:sz="0" w:space="0" w:color="auto"/>
        <w:right w:val="none" w:sz="0" w:space="0" w:color="auto"/>
      </w:divBdr>
    </w:div>
    <w:div w:id="1531063576">
      <w:bodyDiv w:val="1"/>
      <w:marLeft w:val="0"/>
      <w:marRight w:val="0"/>
      <w:marTop w:val="0"/>
      <w:marBottom w:val="0"/>
      <w:divBdr>
        <w:top w:val="none" w:sz="0" w:space="0" w:color="auto"/>
        <w:left w:val="none" w:sz="0" w:space="0" w:color="auto"/>
        <w:bottom w:val="none" w:sz="0" w:space="0" w:color="auto"/>
        <w:right w:val="none" w:sz="0" w:space="0" w:color="auto"/>
      </w:divBdr>
    </w:div>
    <w:div w:id="1540582222">
      <w:bodyDiv w:val="1"/>
      <w:marLeft w:val="0"/>
      <w:marRight w:val="0"/>
      <w:marTop w:val="0"/>
      <w:marBottom w:val="0"/>
      <w:divBdr>
        <w:top w:val="none" w:sz="0" w:space="0" w:color="auto"/>
        <w:left w:val="none" w:sz="0" w:space="0" w:color="auto"/>
        <w:bottom w:val="none" w:sz="0" w:space="0" w:color="auto"/>
        <w:right w:val="none" w:sz="0" w:space="0" w:color="auto"/>
      </w:divBdr>
    </w:div>
    <w:div w:id="1540704076">
      <w:bodyDiv w:val="1"/>
      <w:marLeft w:val="0"/>
      <w:marRight w:val="0"/>
      <w:marTop w:val="0"/>
      <w:marBottom w:val="0"/>
      <w:divBdr>
        <w:top w:val="none" w:sz="0" w:space="0" w:color="auto"/>
        <w:left w:val="none" w:sz="0" w:space="0" w:color="auto"/>
        <w:bottom w:val="none" w:sz="0" w:space="0" w:color="auto"/>
        <w:right w:val="none" w:sz="0" w:space="0" w:color="auto"/>
      </w:divBdr>
    </w:div>
    <w:div w:id="1555703762">
      <w:bodyDiv w:val="1"/>
      <w:marLeft w:val="0"/>
      <w:marRight w:val="0"/>
      <w:marTop w:val="0"/>
      <w:marBottom w:val="0"/>
      <w:divBdr>
        <w:top w:val="none" w:sz="0" w:space="0" w:color="auto"/>
        <w:left w:val="none" w:sz="0" w:space="0" w:color="auto"/>
        <w:bottom w:val="none" w:sz="0" w:space="0" w:color="auto"/>
        <w:right w:val="none" w:sz="0" w:space="0" w:color="auto"/>
      </w:divBdr>
    </w:div>
    <w:div w:id="1556115859">
      <w:bodyDiv w:val="1"/>
      <w:marLeft w:val="0"/>
      <w:marRight w:val="0"/>
      <w:marTop w:val="0"/>
      <w:marBottom w:val="0"/>
      <w:divBdr>
        <w:top w:val="none" w:sz="0" w:space="0" w:color="auto"/>
        <w:left w:val="none" w:sz="0" w:space="0" w:color="auto"/>
        <w:bottom w:val="none" w:sz="0" w:space="0" w:color="auto"/>
        <w:right w:val="none" w:sz="0" w:space="0" w:color="auto"/>
      </w:divBdr>
    </w:div>
    <w:div w:id="1563253373">
      <w:bodyDiv w:val="1"/>
      <w:marLeft w:val="0"/>
      <w:marRight w:val="0"/>
      <w:marTop w:val="0"/>
      <w:marBottom w:val="0"/>
      <w:divBdr>
        <w:top w:val="none" w:sz="0" w:space="0" w:color="auto"/>
        <w:left w:val="none" w:sz="0" w:space="0" w:color="auto"/>
        <w:bottom w:val="none" w:sz="0" w:space="0" w:color="auto"/>
        <w:right w:val="none" w:sz="0" w:space="0" w:color="auto"/>
      </w:divBdr>
    </w:div>
    <w:div w:id="1573270257">
      <w:bodyDiv w:val="1"/>
      <w:marLeft w:val="0"/>
      <w:marRight w:val="0"/>
      <w:marTop w:val="0"/>
      <w:marBottom w:val="0"/>
      <w:divBdr>
        <w:top w:val="none" w:sz="0" w:space="0" w:color="auto"/>
        <w:left w:val="none" w:sz="0" w:space="0" w:color="auto"/>
        <w:bottom w:val="none" w:sz="0" w:space="0" w:color="auto"/>
        <w:right w:val="none" w:sz="0" w:space="0" w:color="auto"/>
      </w:divBdr>
    </w:div>
    <w:div w:id="1579830323">
      <w:bodyDiv w:val="1"/>
      <w:marLeft w:val="0"/>
      <w:marRight w:val="0"/>
      <w:marTop w:val="0"/>
      <w:marBottom w:val="0"/>
      <w:divBdr>
        <w:top w:val="none" w:sz="0" w:space="0" w:color="auto"/>
        <w:left w:val="none" w:sz="0" w:space="0" w:color="auto"/>
        <w:bottom w:val="none" w:sz="0" w:space="0" w:color="auto"/>
        <w:right w:val="none" w:sz="0" w:space="0" w:color="auto"/>
      </w:divBdr>
    </w:div>
    <w:div w:id="1580020483">
      <w:bodyDiv w:val="1"/>
      <w:marLeft w:val="0"/>
      <w:marRight w:val="0"/>
      <w:marTop w:val="0"/>
      <w:marBottom w:val="0"/>
      <w:divBdr>
        <w:top w:val="none" w:sz="0" w:space="0" w:color="auto"/>
        <w:left w:val="none" w:sz="0" w:space="0" w:color="auto"/>
        <w:bottom w:val="none" w:sz="0" w:space="0" w:color="auto"/>
        <w:right w:val="none" w:sz="0" w:space="0" w:color="auto"/>
      </w:divBdr>
    </w:div>
    <w:div w:id="1583417411">
      <w:bodyDiv w:val="1"/>
      <w:marLeft w:val="0"/>
      <w:marRight w:val="0"/>
      <w:marTop w:val="0"/>
      <w:marBottom w:val="0"/>
      <w:divBdr>
        <w:top w:val="none" w:sz="0" w:space="0" w:color="auto"/>
        <w:left w:val="none" w:sz="0" w:space="0" w:color="auto"/>
        <w:bottom w:val="none" w:sz="0" w:space="0" w:color="auto"/>
        <w:right w:val="none" w:sz="0" w:space="0" w:color="auto"/>
      </w:divBdr>
    </w:div>
    <w:div w:id="1589382454">
      <w:bodyDiv w:val="1"/>
      <w:marLeft w:val="0"/>
      <w:marRight w:val="0"/>
      <w:marTop w:val="0"/>
      <w:marBottom w:val="0"/>
      <w:divBdr>
        <w:top w:val="none" w:sz="0" w:space="0" w:color="auto"/>
        <w:left w:val="none" w:sz="0" w:space="0" w:color="auto"/>
        <w:bottom w:val="none" w:sz="0" w:space="0" w:color="auto"/>
        <w:right w:val="none" w:sz="0" w:space="0" w:color="auto"/>
      </w:divBdr>
    </w:div>
    <w:div w:id="1592199035">
      <w:bodyDiv w:val="1"/>
      <w:marLeft w:val="0"/>
      <w:marRight w:val="0"/>
      <w:marTop w:val="0"/>
      <w:marBottom w:val="0"/>
      <w:divBdr>
        <w:top w:val="none" w:sz="0" w:space="0" w:color="auto"/>
        <w:left w:val="none" w:sz="0" w:space="0" w:color="auto"/>
        <w:bottom w:val="none" w:sz="0" w:space="0" w:color="auto"/>
        <w:right w:val="none" w:sz="0" w:space="0" w:color="auto"/>
      </w:divBdr>
    </w:div>
    <w:div w:id="1597519132">
      <w:bodyDiv w:val="1"/>
      <w:marLeft w:val="0"/>
      <w:marRight w:val="0"/>
      <w:marTop w:val="0"/>
      <w:marBottom w:val="0"/>
      <w:divBdr>
        <w:top w:val="none" w:sz="0" w:space="0" w:color="auto"/>
        <w:left w:val="none" w:sz="0" w:space="0" w:color="auto"/>
        <w:bottom w:val="none" w:sz="0" w:space="0" w:color="auto"/>
        <w:right w:val="none" w:sz="0" w:space="0" w:color="auto"/>
      </w:divBdr>
    </w:div>
    <w:div w:id="1598902396">
      <w:bodyDiv w:val="1"/>
      <w:marLeft w:val="0"/>
      <w:marRight w:val="0"/>
      <w:marTop w:val="0"/>
      <w:marBottom w:val="0"/>
      <w:divBdr>
        <w:top w:val="none" w:sz="0" w:space="0" w:color="auto"/>
        <w:left w:val="none" w:sz="0" w:space="0" w:color="auto"/>
        <w:bottom w:val="none" w:sz="0" w:space="0" w:color="auto"/>
        <w:right w:val="none" w:sz="0" w:space="0" w:color="auto"/>
      </w:divBdr>
    </w:div>
    <w:div w:id="1603803316">
      <w:bodyDiv w:val="1"/>
      <w:marLeft w:val="0"/>
      <w:marRight w:val="0"/>
      <w:marTop w:val="0"/>
      <w:marBottom w:val="0"/>
      <w:divBdr>
        <w:top w:val="none" w:sz="0" w:space="0" w:color="auto"/>
        <w:left w:val="none" w:sz="0" w:space="0" w:color="auto"/>
        <w:bottom w:val="none" w:sz="0" w:space="0" w:color="auto"/>
        <w:right w:val="none" w:sz="0" w:space="0" w:color="auto"/>
      </w:divBdr>
    </w:div>
    <w:div w:id="1613004214">
      <w:bodyDiv w:val="1"/>
      <w:marLeft w:val="0"/>
      <w:marRight w:val="0"/>
      <w:marTop w:val="0"/>
      <w:marBottom w:val="0"/>
      <w:divBdr>
        <w:top w:val="none" w:sz="0" w:space="0" w:color="auto"/>
        <w:left w:val="none" w:sz="0" w:space="0" w:color="auto"/>
        <w:bottom w:val="none" w:sz="0" w:space="0" w:color="auto"/>
        <w:right w:val="none" w:sz="0" w:space="0" w:color="auto"/>
      </w:divBdr>
    </w:div>
    <w:div w:id="1614895833">
      <w:bodyDiv w:val="1"/>
      <w:marLeft w:val="0"/>
      <w:marRight w:val="0"/>
      <w:marTop w:val="0"/>
      <w:marBottom w:val="0"/>
      <w:divBdr>
        <w:top w:val="none" w:sz="0" w:space="0" w:color="auto"/>
        <w:left w:val="none" w:sz="0" w:space="0" w:color="auto"/>
        <w:bottom w:val="none" w:sz="0" w:space="0" w:color="auto"/>
        <w:right w:val="none" w:sz="0" w:space="0" w:color="auto"/>
      </w:divBdr>
    </w:div>
    <w:div w:id="1615015781">
      <w:bodyDiv w:val="1"/>
      <w:marLeft w:val="0"/>
      <w:marRight w:val="0"/>
      <w:marTop w:val="0"/>
      <w:marBottom w:val="0"/>
      <w:divBdr>
        <w:top w:val="none" w:sz="0" w:space="0" w:color="auto"/>
        <w:left w:val="none" w:sz="0" w:space="0" w:color="auto"/>
        <w:bottom w:val="none" w:sz="0" w:space="0" w:color="auto"/>
        <w:right w:val="none" w:sz="0" w:space="0" w:color="auto"/>
      </w:divBdr>
    </w:div>
    <w:div w:id="1617907137">
      <w:bodyDiv w:val="1"/>
      <w:marLeft w:val="0"/>
      <w:marRight w:val="0"/>
      <w:marTop w:val="0"/>
      <w:marBottom w:val="0"/>
      <w:divBdr>
        <w:top w:val="none" w:sz="0" w:space="0" w:color="auto"/>
        <w:left w:val="none" w:sz="0" w:space="0" w:color="auto"/>
        <w:bottom w:val="none" w:sz="0" w:space="0" w:color="auto"/>
        <w:right w:val="none" w:sz="0" w:space="0" w:color="auto"/>
      </w:divBdr>
    </w:div>
    <w:div w:id="1619263782">
      <w:bodyDiv w:val="1"/>
      <w:marLeft w:val="0"/>
      <w:marRight w:val="0"/>
      <w:marTop w:val="0"/>
      <w:marBottom w:val="0"/>
      <w:divBdr>
        <w:top w:val="none" w:sz="0" w:space="0" w:color="auto"/>
        <w:left w:val="none" w:sz="0" w:space="0" w:color="auto"/>
        <w:bottom w:val="none" w:sz="0" w:space="0" w:color="auto"/>
        <w:right w:val="none" w:sz="0" w:space="0" w:color="auto"/>
      </w:divBdr>
    </w:div>
    <w:div w:id="1624724865">
      <w:bodyDiv w:val="1"/>
      <w:marLeft w:val="0"/>
      <w:marRight w:val="0"/>
      <w:marTop w:val="0"/>
      <w:marBottom w:val="0"/>
      <w:divBdr>
        <w:top w:val="none" w:sz="0" w:space="0" w:color="auto"/>
        <w:left w:val="none" w:sz="0" w:space="0" w:color="auto"/>
        <w:bottom w:val="none" w:sz="0" w:space="0" w:color="auto"/>
        <w:right w:val="none" w:sz="0" w:space="0" w:color="auto"/>
      </w:divBdr>
    </w:div>
    <w:div w:id="1627736067">
      <w:bodyDiv w:val="1"/>
      <w:marLeft w:val="0"/>
      <w:marRight w:val="0"/>
      <w:marTop w:val="0"/>
      <w:marBottom w:val="0"/>
      <w:divBdr>
        <w:top w:val="none" w:sz="0" w:space="0" w:color="auto"/>
        <w:left w:val="none" w:sz="0" w:space="0" w:color="auto"/>
        <w:bottom w:val="none" w:sz="0" w:space="0" w:color="auto"/>
        <w:right w:val="none" w:sz="0" w:space="0" w:color="auto"/>
      </w:divBdr>
    </w:div>
    <w:div w:id="1627739799">
      <w:bodyDiv w:val="1"/>
      <w:marLeft w:val="0"/>
      <w:marRight w:val="0"/>
      <w:marTop w:val="0"/>
      <w:marBottom w:val="0"/>
      <w:divBdr>
        <w:top w:val="none" w:sz="0" w:space="0" w:color="auto"/>
        <w:left w:val="none" w:sz="0" w:space="0" w:color="auto"/>
        <w:bottom w:val="none" w:sz="0" w:space="0" w:color="auto"/>
        <w:right w:val="none" w:sz="0" w:space="0" w:color="auto"/>
      </w:divBdr>
    </w:div>
    <w:div w:id="1634100210">
      <w:bodyDiv w:val="1"/>
      <w:marLeft w:val="0"/>
      <w:marRight w:val="0"/>
      <w:marTop w:val="0"/>
      <w:marBottom w:val="0"/>
      <w:divBdr>
        <w:top w:val="none" w:sz="0" w:space="0" w:color="auto"/>
        <w:left w:val="none" w:sz="0" w:space="0" w:color="auto"/>
        <w:bottom w:val="none" w:sz="0" w:space="0" w:color="auto"/>
        <w:right w:val="none" w:sz="0" w:space="0" w:color="auto"/>
      </w:divBdr>
    </w:div>
    <w:div w:id="1635214376">
      <w:bodyDiv w:val="1"/>
      <w:marLeft w:val="0"/>
      <w:marRight w:val="0"/>
      <w:marTop w:val="0"/>
      <w:marBottom w:val="0"/>
      <w:divBdr>
        <w:top w:val="none" w:sz="0" w:space="0" w:color="auto"/>
        <w:left w:val="none" w:sz="0" w:space="0" w:color="auto"/>
        <w:bottom w:val="none" w:sz="0" w:space="0" w:color="auto"/>
        <w:right w:val="none" w:sz="0" w:space="0" w:color="auto"/>
      </w:divBdr>
    </w:div>
    <w:div w:id="1636444629">
      <w:bodyDiv w:val="1"/>
      <w:marLeft w:val="0"/>
      <w:marRight w:val="0"/>
      <w:marTop w:val="0"/>
      <w:marBottom w:val="0"/>
      <w:divBdr>
        <w:top w:val="none" w:sz="0" w:space="0" w:color="auto"/>
        <w:left w:val="none" w:sz="0" w:space="0" w:color="auto"/>
        <w:bottom w:val="none" w:sz="0" w:space="0" w:color="auto"/>
        <w:right w:val="none" w:sz="0" w:space="0" w:color="auto"/>
      </w:divBdr>
    </w:div>
    <w:div w:id="1643461549">
      <w:bodyDiv w:val="1"/>
      <w:marLeft w:val="0"/>
      <w:marRight w:val="0"/>
      <w:marTop w:val="0"/>
      <w:marBottom w:val="0"/>
      <w:divBdr>
        <w:top w:val="none" w:sz="0" w:space="0" w:color="auto"/>
        <w:left w:val="none" w:sz="0" w:space="0" w:color="auto"/>
        <w:bottom w:val="none" w:sz="0" w:space="0" w:color="auto"/>
        <w:right w:val="none" w:sz="0" w:space="0" w:color="auto"/>
      </w:divBdr>
    </w:div>
    <w:div w:id="1643582032">
      <w:bodyDiv w:val="1"/>
      <w:marLeft w:val="0"/>
      <w:marRight w:val="0"/>
      <w:marTop w:val="0"/>
      <w:marBottom w:val="0"/>
      <w:divBdr>
        <w:top w:val="none" w:sz="0" w:space="0" w:color="auto"/>
        <w:left w:val="none" w:sz="0" w:space="0" w:color="auto"/>
        <w:bottom w:val="none" w:sz="0" w:space="0" w:color="auto"/>
        <w:right w:val="none" w:sz="0" w:space="0" w:color="auto"/>
      </w:divBdr>
    </w:div>
    <w:div w:id="1645501217">
      <w:bodyDiv w:val="1"/>
      <w:marLeft w:val="0"/>
      <w:marRight w:val="0"/>
      <w:marTop w:val="0"/>
      <w:marBottom w:val="0"/>
      <w:divBdr>
        <w:top w:val="none" w:sz="0" w:space="0" w:color="auto"/>
        <w:left w:val="none" w:sz="0" w:space="0" w:color="auto"/>
        <w:bottom w:val="none" w:sz="0" w:space="0" w:color="auto"/>
        <w:right w:val="none" w:sz="0" w:space="0" w:color="auto"/>
      </w:divBdr>
    </w:div>
    <w:div w:id="1645549147">
      <w:bodyDiv w:val="1"/>
      <w:marLeft w:val="0"/>
      <w:marRight w:val="0"/>
      <w:marTop w:val="0"/>
      <w:marBottom w:val="0"/>
      <w:divBdr>
        <w:top w:val="none" w:sz="0" w:space="0" w:color="auto"/>
        <w:left w:val="none" w:sz="0" w:space="0" w:color="auto"/>
        <w:bottom w:val="none" w:sz="0" w:space="0" w:color="auto"/>
        <w:right w:val="none" w:sz="0" w:space="0" w:color="auto"/>
      </w:divBdr>
    </w:div>
    <w:div w:id="1647929887">
      <w:bodyDiv w:val="1"/>
      <w:marLeft w:val="0"/>
      <w:marRight w:val="0"/>
      <w:marTop w:val="0"/>
      <w:marBottom w:val="0"/>
      <w:divBdr>
        <w:top w:val="none" w:sz="0" w:space="0" w:color="auto"/>
        <w:left w:val="none" w:sz="0" w:space="0" w:color="auto"/>
        <w:bottom w:val="none" w:sz="0" w:space="0" w:color="auto"/>
        <w:right w:val="none" w:sz="0" w:space="0" w:color="auto"/>
      </w:divBdr>
    </w:div>
    <w:div w:id="1653833650">
      <w:bodyDiv w:val="1"/>
      <w:marLeft w:val="0"/>
      <w:marRight w:val="0"/>
      <w:marTop w:val="0"/>
      <w:marBottom w:val="0"/>
      <w:divBdr>
        <w:top w:val="none" w:sz="0" w:space="0" w:color="auto"/>
        <w:left w:val="none" w:sz="0" w:space="0" w:color="auto"/>
        <w:bottom w:val="none" w:sz="0" w:space="0" w:color="auto"/>
        <w:right w:val="none" w:sz="0" w:space="0" w:color="auto"/>
      </w:divBdr>
    </w:div>
    <w:div w:id="1656645609">
      <w:bodyDiv w:val="1"/>
      <w:marLeft w:val="0"/>
      <w:marRight w:val="0"/>
      <w:marTop w:val="0"/>
      <w:marBottom w:val="0"/>
      <w:divBdr>
        <w:top w:val="none" w:sz="0" w:space="0" w:color="auto"/>
        <w:left w:val="none" w:sz="0" w:space="0" w:color="auto"/>
        <w:bottom w:val="none" w:sz="0" w:space="0" w:color="auto"/>
        <w:right w:val="none" w:sz="0" w:space="0" w:color="auto"/>
      </w:divBdr>
    </w:div>
    <w:div w:id="1660890624">
      <w:bodyDiv w:val="1"/>
      <w:marLeft w:val="0"/>
      <w:marRight w:val="0"/>
      <w:marTop w:val="0"/>
      <w:marBottom w:val="0"/>
      <w:divBdr>
        <w:top w:val="none" w:sz="0" w:space="0" w:color="auto"/>
        <w:left w:val="none" w:sz="0" w:space="0" w:color="auto"/>
        <w:bottom w:val="none" w:sz="0" w:space="0" w:color="auto"/>
        <w:right w:val="none" w:sz="0" w:space="0" w:color="auto"/>
      </w:divBdr>
    </w:div>
    <w:div w:id="1668707359">
      <w:bodyDiv w:val="1"/>
      <w:marLeft w:val="0"/>
      <w:marRight w:val="0"/>
      <w:marTop w:val="0"/>
      <w:marBottom w:val="0"/>
      <w:divBdr>
        <w:top w:val="none" w:sz="0" w:space="0" w:color="auto"/>
        <w:left w:val="none" w:sz="0" w:space="0" w:color="auto"/>
        <w:bottom w:val="none" w:sz="0" w:space="0" w:color="auto"/>
        <w:right w:val="none" w:sz="0" w:space="0" w:color="auto"/>
      </w:divBdr>
    </w:div>
    <w:div w:id="1680039590">
      <w:bodyDiv w:val="1"/>
      <w:marLeft w:val="0"/>
      <w:marRight w:val="0"/>
      <w:marTop w:val="0"/>
      <w:marBottom w:val="0"/>
      <w:divBdr>
        <w:top w:val="none" w:sz="0" w:space="0" w:color="auto"/>
        <w:left w:val="none" w:sz="0" w:space="0" w:color="auto"/>
        <w:bottom w:val="none" w:sz="0" w:space="0" w:color="auto"/>
        <w:right w:val="none" w:sz="0" w:space="0" w:color="auto"/>
      </w:divBdr>
    </w:div>
    <w:div w:id="1680696574">
      <w:bodyDiv w:val="1"/>
      <w:marLeft w:val="0"/>
      <w:marRight w:val="0"/>
      <w:marTop w:val="0"/>
      <w:marBottom w:val="0"/>
      <w:divBdr>
        <w:top w:val="none" w:sz="0" w:space="0" w:color="auto"/>
        <w:left w:val="none" w:sz="0" w:space="0" w:color="auto"/>
        <w:bottom w:val="none" w:sz="0" w:space="0" w:color="auto"/>
        <w:right w:val="none" w:sz="0" w:space="0" w:color="auto"/>
      </w:divBdr>
    </w:div>
    <w:div w:id="1695228506">
      <w:bodyDiv w:val="1"/>
      <w:marLeft w:val="0"/>
      <w:marRight w:val="0"/>
      <w:marTop w:val="0"/>
      <w:marBottom w:val="0"/>
      <w:divBdr>
        <w:top w:val="none" w:sz="0" w:space="0" w:color="auto"/>
        <w:left w:val="none" w:sz="0" w:space="0" w:color="auto"/>
        <w:bottom w:val="none" w:sz="0" w:space="0" w:color="auto"/>
        <w:right w:val="none" w:sz="0" w:space="0" w:color="auto"/>
      </w:divBdr>
    </w:div>
    <w:div w:id="1702826631">
      <w:bodyDiv w:val="1"/>
      <w:marLeft w:val="0"/>
      <w:marRight w:val="0"/>
      <w:marTop w:val="0"/>
      <w:marBottom w:val="0"/>
      <w:divBdr>
        <w:top w:val="none" w:sz="0" w:space="0" w:color="auto"/>
        <w:left w:val="none" w:sz="0" w:space="0" w:color="auto"/>
        <w:bottom w:val="none" w:sz="0" w:space="0" w:color="auto"/>
        <w:right w:val="none" w:sz="0" w:space="0" w:color="auto"/>
      </w:divBdr>
    </w:div>
    <w:div w:id="1706370431">
      <w:bodyDiv w:val="1"/>
      <w:marLeft w:val="0"/>
      <w:marRight w:val="0"/>
      <w:marTop w:val="0"/>
      <w:marBottom w:val="0"/>
      <w:divBdr>
        <w:top w:val="none" w:sz="0" w:space="0" w:color="auto"/>
        <w:left w:val="none" w:sz="0" w:space="0" w:color="auto"/>
        <w:bottom w:val="none" w:sz="0" w:space="0" w:color="auto"/>
        <w:right w:val="none" w:sz="0" w:space="0" w:color="auto"/>
      </w:divBdr>
    </w:div>
    <w:div w:id="1716006872">
      <w:bodyDiv w:val="1"/>
      <w:marLeft w:val="0"/>
      <w:marRight w:val="0"/>
      <w:marTop w:val="0"/>
      <w:marBottom w:val="0"/>
      <w:divBdr>
        <w:top w:val="none" w:sz="0" w:space="0" w:color="auto"/>
        <w:left w:val="none" w:sz="0" w:space="0" w:color="auto"/>
        <w:bottom w:val="none" w:sz="0" w:space="0" w:color="auto"/>
        <w:right w:val="none" w:sz="0" w:space="0" w:color="auto"/>
      </w:divBdr>
    </w:div>
    <w:div w:id="1723868789">
      <w:bodyDiv w:val="1"/>
      <w:marLeft w:val="0"/>
      <w:marRight w:val="0"/>
      <w:marTop w:val="0"/>
      <w:marBottom w:val="0"/>
      <w:divBdr>
        <w:top w:val="none" w:sz="0" w:space="0" w:color="auto"/>
        <w:left w:val="none" w:sz="0" w:space="0" w:color="auto"/>
        <w:bottom w:val="none" w:sz="0" w:space="0" w:color="auto"/>
        <w:right w:val="none" w:sz="0" w:space="0" w:color="auto"/>
      </w:divBdr>
    </w:div>
    <w:div w:id="1725326312">
      <w:bodyDiv w:val="1"/>
      <w:marLeft w:val="0"/>
      <w:marRight w:val="0"/>
      <w:marTop w:val="0"/>
      <w:marBottom w:val="0"/>
      <w:divBdr>
        <w:top w:val="none" w:sz="0" w:space="0" w:color="auto"/>
        <w:left w:val="none" w:sz="0" w:space="0" w:color="auto"/>
        <w:bottom w:val="none" w:sz="0" w:space="0" w:color="auto"/>
        <w:right w:val="none" w:sz="0" w:space="0" w:color="auto"/>
      </w:divBdr>
    </w:div>
    <w:div w:id="1726567419">
      <w:bodyDiv w:val="1"/>
      <w:marLeft w:val="0"/>
      <w:marRight w:val="0"/>
      <w:marTop w:val="0"/>
      <w:marBottom w:val="0"/>
      <w:divBdr>
        <w:top w:val="none" w:sz="0" w:space="0" w:color="auto"/>
        <w:left w:val="none" w:sz="0" w:space="0" w:color="auto"/>
        <w:bottom w:val="none" w:sz="0" w:space="0" w:color="auto"/>
        <w:right w:val="none" w:sz="0" w:space="0" w:color="auto"/>
      </w:divBdr>
    </w:div>
    <w:div w:id="1727333697">
      <w:bodyDiv w:val="1"/>
      <w:marLeft w:val="0"/>
      <w:marRight w:val="0"/>
      <w:marTop w:val="0"/>
      <w:marBottom w:val="0"/>
      <w:divBdr>
        <w:top w:val="none" w:sz="0" w:space="0" w:color="auto"/>
        <w:left w:val="none" w:sz="0" w:space="0" w:color="auto"/>
        <w:bottom w:val="none" w:sz="0" w:space="0" w:color="auto"/>
        <w:right w:val="none" w:sz="0" w:space="0" w:color="auto"/>
      </w:divBdr>
      <w:divsChild>
        <w:div w:id="1317223824">
          <w:marLeft w:val="0"/>
          <w:marRight w:val="0"/>
          <w:marTop w:val="0"/>
          <w:marBottom w:val="0"/>
          <w:divBdr>
            <w:top w:val="none" w:sz="0" w:space="0" w:color="auto"/>
            <w:left w:val="none" w:sz="0" w:space="0" w:color="auto"/>
            <w:bottom w:val="none" w:sz="0" w:space="0" w:color="auto"/>
            <w:right w:val="none" w:sz="0" w:space="0" w:color="auto"/>
          </w:divBdr>
          <w:divsChild>
            <w:div w:id="655647276">
              <w:marLeft w:val="0"/>
              <w:marRight w:val="0"/>
              <w:marTop w:val="0"/>
              <w:marBottom w:val="0"/>
              <w:divBdr>
                <w:top w:val="none" w:sz="0" w:space="0" w:color="auto"/>
                <w:left w:val="none" w:sz="0" w:space="0" w:color="auto"/>
                <w:bottom w:val="none" w:sz="0" w:space="0" w:color="auto"/>
                <w:right w:val="none" w:sz="0" w:space="0" w:color="auto"/>
              </w:divBdr>
              <w:divsChild>
                <w:div w:id="914977724">
                  <w:marLeft w:val="0"/>
                  <w:marRight w:val="0"/>
                  <w:marTop w:val="0"/>
                  <w:marBottom w:val="0"/>
                  <w:divBdr>
                    <w:top w:val="none" w:sz="0" w:space="0" w:color="auto"/>
                    <w:left w:val="none" w:sz="0" w:space="0" w:color="auto"/>
                    <w:bottom w:val="none" w:sz="0" w:space="0" w:color="auto"/>
                    <w:right w:val="none" w:sz="0" w:space="0" w:color="auto"/>
                  </w:divBdr>
                  <w:divsChild>
                    <w:div w:id="987438180">
                      <w:marLeft w:val="4275"/>
                      <w:marRight w:val="0"/>
                      <w:marTop w:val="615"/>
                      <w:marBottom w:val="0"/>
                      <w:divBdr>
                        <w:top w:val="none" w:sz="0" w:space="0" w:color="auto"/>
                        <w:left w:val="none" w:sz="0" w:space="0" w:color="auto"/>
                        <w:bottom w:val="none" w:sz="0" w:space="0" w:color="auto"/>
                        <w:right w:val="none" w:sz="0" w:space="0" w:color="auto"/>
                      </w:divBdr>
                      <w:divsChild>
                        <w:div w:id="1962882123">
                          <w:marLeft w:val="0"/>
                          <w:marRight w:val="0"/>
                          <w:marTop w:val="0"/>
                          <w:marBottom w:val="0"/>
                          <w:divBdr>
                            <w:top w:val="none" w:sz="0" w:space="0" w:color="auto"/>
                            <w:left w:val="none" w:sz="0" w:space="0" w:color="auto"/>
                            <w:bottom w:val="none" w:sz="0" w:space="0" w:color="auto"/>
                            <w:right w:val="none" w:sz="0" w:space="0" w:color="auto"/>
                          </w:divBdr>
                          <w:divsChild>
                            <w:div w:id="1418792650">
                              <w:marLeft w:val="0"/>
                              <w:marRight w:val="0"/>
                              <w:marTop w:val="0"/>
                              <w:marBottom w:val="0"/>
                              <w:divBdr>
                                <w:top w:val="none" w:sz="0" w:space="0" w:color="auto"/>
                                <w:left w:val="none" w:sz="0" w:space="0" w:color="auto"/>
                                <w:bottom w:val="none" w:sz="0" w:space="0" w:color="auto"/>
                                <w:right w:val="none" w:sz="0" w:space="0" w:color="auto"/>
                              </w:divBdr>
                              <w:divsChild>
                                <w:div w:id="1099373332">
                                  <w:marLeft w:val="0"/>
                                  <w:marRight w:val="0"/>
                                  <w:marTop w:val="0"/>
                                  <w:marBottom w:val="0"/>
                                  <w:divBdr>
                                    <w:top w:val="none" w:sz="0" w:space="0" w:color="auto"/>
                                    <w:left w:val="none" w:sz="0" w:space="0" w:color="auto"/>
                                    <w:bottom w:val="none" w:sz="0" w:space="0" w:color="auto"/>
                                    <w:right w:val="none" w:sz="0" w:space="0" w:color="auto"/>
                                  </w:divBdr>
                                  <w:divsChild>
                                    <w:div w:id="603657199">
                                      <w:marLeft w:val="0"/>
                                      <w:marRight w:val="0"/>
                                      <w:marTop w:val="0"/>
                                      <w:marBottom w:val="0"/>
                                      <w:divBdr>
                                        <w:top w:val="none" w:sz="0" w:space="0" w:color="auto"/>
                                        <w:left w:val="none" w:sz="0" w:space="0" w:color="auto"/>
                                        <w:bottom w:val="none" w:sz="0" w:space="0" w:color="auto"/>
                                        <w:right w:val="none" w:sz="0" w:space="0" w:color="auto"/>
                                      </w:divBdr>
                                      <w:divsChild>
                                        <w:div w:id="4330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445988">
      <w:bodyDiv w:val="1"/>
      <w:marLeft w:val="0"/>
      <w:marRight w:val="0"/>
      <w:marTop w:val="0"/>
      <w:marBottom w:val="0"/>
      <w:divBdr>
        <w:top w:val="none" w:sz="0" w:space="0" w:color="auto"/>
        <w:left w:val="none" w:sz="0" w:space="0" w:color="auto"/>
        <w:bottom w:val="none" w:sz="0" w:space="0" w:color="auto"/>
        <w:right w:val="none" w:sz="0" w:space="0" w:color="auto"/>
      </w:divBdr>
    </w:div>
    <w:div w:id="1742411440">
      <w:bodyDiv w:val="1"/>
      <w:marLeft w:val="0"/>
      <w:marRight w:val="0"/>
      <w:marTop w:val="0"/>
      <w:marBottom w:val="0"/>
      <w:divBdr>
        <w:top w:val="none" w:sz="0" w:space="0" w:color="auto"/>
        <w:left w:val="none" w:sz="0" w:space="0" w:color="auto"/>
        <w:bottom w:val="none" w:sz="0" w:space="0" w:color="auto"/>
        <w:right w:val="none" w:sz="0" w:space="0" w:color="auto"/>
      </w:divBdr>
    </w:div>
    <w:div w:id="1749842717">
      <w:bodyDiv w:val="1"/>
      <w:marLeft w:val="0"/>
      <w:marRight w:val="0"/>
      <w:marTop w:val="0"/>
      <w:marBottom w:val="0"/>
      <w:divBdr>
        <w:top w:val="none" w:sz="0" w:space="0" w:color="auto"/>
        <w:left w:val="none" w:sz="0" w:space="0" w:color="auto"/>
        <w:bottom w:val="none" w:sz="0" w:space="0" w:color="auto"/>
        <w:right w:val="none" w:sz="0" w:space="0" w:color="auto"/>
      </w:divBdr>
    </w:div>
    <w:div w:id="1757286056">
      <w:bodyDiv w:val="1"/>
      <w:marLeft w:val="0"/>
      <w:marRight w:val="0"/>
      <w:marTop w:val="0"/>
      <w:marBottom w:val="0"/>
      <w:divBdr>
        <w:top w:val="none" w:sz="0" w:space="0" w:color="auto"/>
        <w:left w:val="none" w:sz="0" w:space="0" w:color="auto"/>
        <w:bottom w:val="none" w:sz="0" w:space="0" w:color="auto"/>
        <w:right w:val="none" w:sz="0" w:space="0" w:color="auto"/>
      </w:divBdr>
    </w:div>
    <w:div w:id="1758552742">
      <w:bodyDiv w:val="1"/>
      <w:marLeft w:val="0"/>
      <w:marRight w:val="0"/>
      <w:marTop w:val="0"/>
      <w:marBottom w:val="0"/>
      <w:divBdr>
        <w:top w:val="none" w:sz="0" w:space="0" w:color="auto"/>
        <w:left w:val="none" w:sz="0" w:space="0" w:color="auto"/>
        <w:bottom w:val="none" w:sz="0" w:space="0" w:color="auto"/>
        <w:right w:val="none" w:sz="0" w:space="0" w:color="auto"/>
      </w:divBdr>
    </w:div>
    <w:div w:id="1762796183">
      <w:bodyDiv w:val="1"/>
      <w:marLeft w:val="0"/>
      <w:marRight w:val="0"/>
      <w:marTop w:val="0"/>
      <w:marBottom w:val="0"/>
      <w:divBdr>
        <w:top w:val="none" w:sz="0" w:space="0" w:color="auto"/>
        <w:left w:val="none" w:sz="0" w:space="0" w:color="auto"/>
        <w:bottom w:val="none" w:sz="0" w:space="0" w:color="auto"/>
        <w:right w:val="none" w:sz="0" w:space="0" w:color="auto"/>
      </w:divBdr>
    </w:div>
    <w:div w:id="1763329994">
      <w:bodyDiv w:val="1"/>
      <w:marLeft w:val="0"/>
      <w:marRight w:val="0"/>
      <w:marTop w:val="0"/>
      <w:marBottom w:val="0"/>
      <w:divBdr>
        <w:top w:val="none" w:sz="0" w:space="0" w:color="auto"/>
        <w:left w:val="none" w:sz="0" w:space="0" w:color="auto"/>
        <w:bottom w:val="none" w:sz="0" w:space="0" w:color="auto"/>
        <w:right w:val="none" w:sz="0" w:space="0" w:color="auto"/>
      </w:divBdr>
    </w:div>
    <w:div w:id="1764300835">
      <w:bodyDiv w:val="1"/>
      <w:marLeft w:val="0"/>
      <w:marRight w:val="0"/>
      <w:marTop w:val="0"/>
      <w:marBottom w:val="0"/>
      <w:divBdr>
        <w:top w:val="none" w:sz="0" w:space="0" w:color="auto"/>
        <w:left w:val="none" w:sz="0" w:space="0" w:color="auto"/>
        <w:bottom w:val="none" w:sz="0" w:space="0" w:color="auto"/>
        <w:right w:val="none" w:sz="0" w:space="0" w:color="auto"/>
      </w:divBdr>
    </w:div>
    <w:div w:id="1764378946">
      <w:bodyDiv w:val="1"/>
      <w:marLeft w:val="0"/>
      <w:marRight w:val="0"/>
      <w:marTop w:val="0"/>
      <w:marBottom w:val="0"/>
      <w:divBdr>
        <w:top w:val="none" w:sz="0" w:space="0" w:color="auto"/>
        <w:left w:val="none" w:sz="0" w:space="0" w:color="auto"/>
        <w:bottom w:val="none" w:sz="0" w:space="0" w:color="auto"/>
        <w:right w:val="none" w:sz="0" w:space="0" w:color="auto"/>
      </w:divBdr>
    </w:div>
    <w:div w:id="1772626204">
      <w:bodyDiv w:val="1"/>
      <w:marLeft w:val="0"/>
      <w:marRight w:val="0"/>
      <w:marTop w:val="0"/>
      <w:marBottom w:val="0"/>
      <w:divBdr>
        <w:top w:val="none" w:sz="0" w:space="0" w:color="auto"/>
        <w:left w:val="none" w:sz="0" w:space="0" w:color="auto"/>
        <w:bottom w:val="none" w:sz="0" w:space="0" w:color="auto"/>
        <w:right w:val="none" w:sz="0" w:space="0" w:color="auto"/>
      </w:divBdr>
    </w:div>
    <w:div w:id="1772966499">
      <w:bodyDiv w:val="1"/>
      <w:marLeft w:val="0"/>
      <w:marRight w:val="0"/>
      <w:marTop w:val="0"/>
      <w:marBottom w:val="0"/>
      <w:divBdr>
        <w:top w:val="none" w:sz="0" w:space="0" w:color="auto"/>
        <w:left w:val="none" w:sz="0" w:space="0" w:color="auto"/>
        <w:bottom w:val="none" w:sz="0" w:space="0" w:color="auto"/>
        <w:right w:val="none" w:sz="0" w:space="0" w:color="auto"/>
      </w:divBdr>
    </w:div>
    <w:div w:id="1774475246">
      <w:bodyDiv w:val="1"/>
      <w:marLeft w:val="0"/>
      <w:marRight w:val="0"/>
      <w:marTop w:val="0"/>
      <w:marBottom w:val="0"/>
      <w:divBdr>
        <w:top w:val="none" w:sz="0" w:space="0" w:color="auto"/>
        <w:left w:val="none" w:sz="0" w:space="0" w:color="auto"/>
        <w:bottom w:val="none" w:sz="0" w:space="0" w:color="auto"/>
        <w:right w:val="none" w:sz="0" w:space="0" w:color="auto"/>
      </w:divBdr>
    </w:div>
    <w:div w:id="1774587075">
      <w:bodyDiv w:val="1"/>
      <w:marLeft w:val="0"/>
      <w:marRight w:val="0"/>
      <w:marTop w:val="0"/>
      <w:marBottom w:val="0"/>
      <w:divBdr>
        <w:top w:val="none" w:sz="0" w:space="0" w:color="auto"/>
        <w:left w:val="none" w:sz="0" w:space="0" w:color="auto"/>
        <w:bottom w:val="none" w:sz="0" w:space="0" w:color="auto"/>
        <w:right w:val="none" w:sz="0" w:space="0" w:color="auto"/>
      </w:divBdr>
    </w:div>
    <w:div w:id="1775009706">
      <w:bodyDiv w:val="1"/>
      <w:marLeft w:val="0"/>
      <w:marRight w:val="0"/>
      <w:marTop w:val="0"/>
      <w:marBottom w:val="0"/>
      <w:divBdr>
        <w:top w:val="none" w:sz="0" w:space="0" w:color="auto"/>
        <w:left w:val="none" w:sz="0" w:space="0" w:color="auto"/>
        <w:bottom w:val="none" w:sz="0" w:space="0" w:color="auto"/>
        <w:right w:val="none" w:sz="0" w:space="0" w:color="auto"/>
      </w:divBdr>
    </w:div>
    <w:div w:id="1778409023">
      <w:bodyDiv w:val="1"/>
      <w:marLeft w:val="0"/>
      <w:marRight w:val="0"/>
      <w:marTop w:val="0"/>
      <w:marBottom w:val="0"/>
      <w:divBdr>
        <w:top w:val="none" w:sz="0" w:space="0" w:color="auto"/>
        <w:left w:val="none" w:sz="0" w:space="0" w:color="auto"/>
        <w:bottom w:val="none" w:sz="0" w:space="0" w:color="auto"/>
        <w:right w:val="none" w:sz="0" w:space="0" w:color="auto"/>
      </w:divBdr>
    </w:div>
    <w:div w:id="1782338589">
      <w:bodyDiv w:val="1"/>
      <w:marLeft w:val="0"/>
      <w:marRight w:val="0"/>
      <w:marTop w:val="0"/>
      <w:marBottom w:val="0"/>
      <w:divBdr>
        <w:top w:val="none" w:sz="0" w:space="0" w:color="auto"/>
        <w:left w:val="none" w:sz="0" w:space="0" w:color="auto"/>
        <w:bottom w:val="none" w:sz="0" w:space="0" w:color="auto"/>
        <w:right w:val="none" w:sz="0" w:space="0" w:color="auto"/>
      </w:divBdr>
    </w:div>
    <w:div w:id="1782603508">
      <w:bodyDiv w:val="1"/>
      <w:marLeft w:val="0"/>
      <w:marRight w:val="0"/>
      <w:marTop w:val="0"/>
      <w:marBottom w:val="0"/>
      <w:divBdr>
        <w:top w:val="none" w:sz="0" w:space="0" w:color="auto"/>
        <w:left w:val="none" w:sz="0" w:space="0" w:color="auto"/>
        <w:bottom w:val="none" w:sz="0" w:space="0" w:color="auto"/>
        <w:right w:val="none" w:sz="0" w:space="0" w:color="auto"/>
      </w:divBdr>
    </w:div>
    <w:div w:id="1792166407">
      <w:bodyDiv w:val="1"/>
      <w:marLeft w:val="0"/>
      <w:marRight w:val="0"/>
      <w:marTop w:val="0"/>
      <w:marBottom w:val="0"/>
      <w:divBdr>
        <w:top w:val="none" w:sz="0" w:space="0" w:color="auto"/>
        <w:left w:val="none" w:sz="0" w:space="0" w:color="auto"/>
        <w:bottom w:val="none" w:sz="0" w:space="0" w:color="auto"/>
        <w:right w:val="none" w:sz="0" w:space="0" w:color="auto"/>
      </w:divBdr>
    </w:div>
    <w:div w:id="1806851345">
      <w:bodyDiv w:val="1"/>
      <w:marLeft w:val="0"/>
      <w:marRight w:val="0"/>
      <w:marTop w:val="0"/>
      <w:marBottom w:val="0"/>
      <w:divBdr>
        <w:top w:val="none" w:sz="0" w:space="0" w:color="auto"/>
        <w:left w:val="none" w:sz="0" w:space="0" w:color="auto"/>
        <w:bottom w:val="none" w:sz="0" w:space="0" w:color="auto"/>
        <w:right w:val="none" w:sz="0" w:space="0" w:color="auto"/>
      </w:divBdr>
    </w:div>
    <w:div w:id="1817409042">
      <w:bodyDiv w:val="1"/>
      <w:marLeft w:val="0"/>
      <w:marRight w:val="0"/>
      <w:marTop w:val="0"/>
      <w:marBottom w:val="0"/>
      <w:divBdr>
        <w:top w:val="none" w:sz="0" w:space="0" w:color="auto"/>
        <w:left w:val="none" w:sz="0" w:space="0" w:color="auto"/>
        <w:bottom w:val="none" w:sz="0" w:space="0" w:color="auto"/>
        <w:right w:val="none" w:sz="0" w:space="0" w:color="auto"/>
      </w:divBdr>
    </w:div>
    <w:div w:id="1819107222">
      <w:bodyDiv w:val="1"/>
      <w:marLeft w:val="0"/>
      <w:marRight w:val="0"/>
      <w:marTop w:val="0"/>
      <w:marBottom w:val="0"/>
      <w:divBdr>
        <w:top w:val="none" w:sz="0" w:space="0" w:color="auto"/>
        <w:left w:val="none" w:sz="0" w:space="0" w:color="auto"/>
        <w:bottom w:val="none" w:sz="0" w:space="0" w:color="auto"/>
        <w:right w:val="none" w:sz="0" w:space="0" w:color="auto"/>
      </w:divBdr>
    </w:div>
    <w:div w:id="1820920023">
      <w:bodyDiv w:val="1"/>
      <w:marLeft w:val="0"/>
      <w:marRight w:val="0"/>
      <w:marTop w:val="0"/>
      <w:marBottom w:val="0"/>
      <w:divBdr>
        <w:top w:val="none" w:sz="0" w:space="0" w:color="auto"/>
        <w:left w:val="none" w:sz="0" w:space="0" w:color="auto"/>
        <w:bottom w:val="none" w:sz="0" w:space="0" w:color="auto"/>
        <w:right w:val="none" w:sz="0" w:space="0" w:color="auto"/>
      </w:divBdr>
    </w:div>
    <w:div w:id="1824925520">
      <w:bodyDiv w:val="1"/>
      <w:marLeft w:val="0"/>
      <w:marRight w:val="0"/>
      <w:marTop w:val="0"/>
      <w:marBottom w:val="0"/>
      <w:divBdr>
        <w:top w:val="none" w:sz="0" w:space="0" w:color="auto"/>
        <w:left w:val="none" w:sz="0" w:space="0" w:color="auto"/>
        <w:bottom w:val="none" w:sz="0" w:space="0" w:color="auto"/>
        <w:right w:val="none" w:sz="0" w:space="0" w:color="auto"/>
      </w:divBdr>
    </w:div>
    <w:div w:id="1825851742">
      <w:bodyDiv w:val="1"/>
      <w:marLeft w:val="0"/>
      <w:marRight w:val="0"/>
      <w:marTop w:val="0"/>
      <w:marBottom w:val="0"/>
      <w:divBdr>
        <w:top w:val="none" w:sz="0" w:space="0" w:color="auto"/>
        <w:left w:val="none" w:sz="0" w:space="0" w:color="auto"/>
        <w:bottom w:val="none" w:sz="0" w:space="0" w:color="auto"/>
        <w:right w:val="none" w:sz="0" w:space="0" w:color="auto"/>
      </w:divBdr>
    </w:div>
    <w:div w:id="1828741400">
      <w:bodyDiv w:val="1"/>
      <w:marLeft w:val="0"/>
      <w:marRight w:val="0"/>
      <w:marTop w:val="0"/>
      <w:marBottom w:val="0"/>
      <w:divBdr>
        <w:top w:val="none" w:sz="0" w:space="0" w:color="auto"/>
        <w:left w:val="none" w:sz="0" w:space="0" w:color="auto"/>
        <w:bottom w:val="none" w:sz="0" w:space="0" w:color="auto"/>
        <w:right w:val="none" w:sz="0" w:space="0" w:color="auto"/>
      </w:divBdr>
    </w:div>
    <w:div w:id="1832787963">
      <w:bodyDiv w:val="1"/>
      <w:marLeft w:val="0"/>
      <w:marRight w:val="0"/>
      <w:marTop w:val="0"/>
      <w:marBottom w:val="0"/>
      <w:divBdr>
        <w:top w:val="none" w:sz="0" w:space="0" w:color="auto"/>
        <w:left w:val="none" w:sz="0" w:space="0" w:color="auto"/>
        <w:bottom w:val="none" w:sz="0" w:space="0" w:color="auto"/>
        <w:right w:val="none" w:sz="0" w:space="0" w:color="auto"/>
      </w:divBdr>
    </w:div>
    <w:div w:id="1839615761">
      <w:bodyDiv w:val="1"/>
      <w:marLeft w:val="0"/>
      <w:marRight w:val="0"/>
      <w:marTop w:val="0"/>
      <w:marBottom w:val="0"/>
      <w:divBdr>
        <w:top w:val="none" w:sz="0" w:space="0" w:color="auto"/>
        <w:left w:val="none" w:sz="0" w:space="0" w:color="auto"/>
        <w:bottom w:val="none" w:sz="0" w:space="0" w:color="auto"/>
        <w:right w:val="none" w:sz="0" w:space="0" w:color="auto"/>
      </w:divBdr>
    </w:div>
    <w:div w:id="1842238898">
      <w:bodyDiv w:val="1"/>
      <w:marLeft w:val="0"/>
      <w:marRight w:val="0"/>
      <w:marTop w:val="0"/>
      <w:marBottom w:val="0"/>
      <w:divBdr>
        <w:top w:val="none" w:sz="0" w:space="0" w:color="auto"/>
        <w:left w:val="none" w:sz="0" w:space="0" w:color="auto"/>
        <w:bottom w:val="none" w:sz="0" w:space="0" w:color="auto"/>
        <w:right w:val="none" w:sz="0" w:space="0" w:color="auto"/>
      </w:divBdr>
    </w:div>
    <w:div w:id="1845703528">
      <w:bodyDiv w:val="1"/>
      <w:marLeft w:val="0"/>
      <w:marRight w:val="0"/>
      <w:marTop w:val="0"/>
      <w:marBottom w:val="0"/>
      <w:divBdr>
        <w:top w:val="none" w:sz="0" w:space="0" w:color="auto"/>
        <w:left w:val="none" w:sz="0" w:space="0" w:color="auto"/>
        <w:bottom w:val="none" w:sz="0" w:space="0" w:color="auto"/>
        <w:right w:val="none" w:sz="0" w:space="0" w:color="auto"/>
      </w:divBdr>
    </w:div>
    <w:div w:id="1846434864">
      <w:bodyDiv w:val="1"/>
      <w:marLeft w:val="0"/>
      <w:marRight w:val="0"/>
      <w:marTop w:val="0"/>
      <w:marBottom w:val="0"/>
      <w:divBdr>
        <w:top w:val="none" w:sz="0" w:space="0" w:color="auto"/>
        <w:left w:val="none" w:sz="0" w:space="0" w:color="auto"/>
        <w:bottom w:val="none" w:sz="0" w:space="0" w:color="auto"/>
        <w:right w:val="none" w:sz="0" w:space="0" w:color="auto"/>
      </w:divBdr>
    </w:div>
    <w:div w:id="1847279824">
      <w:bodyDiv w:val="1"/>
      <w:marLeft w:val="0"/>
      <w:marRight w:val="0"/>
      <w:marTop w:val="0"/>
      <w:marBottom w:val="0"/>
      <w:divBdr>
        <w:top w:val="none" w:sz="0" w:space="0" w:color="auto"/>
        <w:left w:val="none" w:sz="0" w:space="0" w:color="auto"/>
        <w:bottom w:val="none" w:sz="0" w:space="0" w:color="auto"/>
        <w:right w:val="none" w:sz="0" w:space="0" w:color="auto"/>
      </w:divBdr>
    </w:div>
    <w:div w:id="1848786496">
      <w:bodyDiv w:val="1"/>
      <w:marLeft w:val="0"/>
      <w:marRight w:val="0"/>
      <w:marTop w:val="0"/>
      <w:marBottom w:val="0"/>
      <w:divBdr>
        <w:top w:val="none" w:sz="0" w:space="0" w:color="auto"/>
        <w:left w:val="none" w:sz="0" w:space="0" w:color="auto"/>
        <w:bottom w:val="none" w:sz="0" w:space="0" w:color="auto"/>
        <w:right w:val="none" w:sz="0" w:space="0" w:color="auto"/>
      </w:divBdr>
    </w:div>
    <w:div w:id="1850175785">
      <w:bodyDiv w:val="1"/>
      <w:marLeft w:val="0"/>
      <w:marRight w:val="0"/>
      <w:marTop w:val="0"/>
      <w:marBottom w:val="0"/>
      <w:divBdr>
        <w:top w:val="none" w:sz="0" w:space="0" w:color="auto"/>
        <w:left w:val="none" w:sz="0" w:space="0" w:color="auto"/>
        <w:bottom w:val="none" w:sz="0" w:space="0" w:color="auto"/>
        <w:right w:val="none" w:sz="0" w:space="0" w:color="auto"/>
      </w:divBdr>
    </w:div>
    <w:div w:id="1851524094">
      <w:bodyDiv w:val="1"/>
      <w:marLeft w:val="0"/>
      <w:marRight w:val="0"/>
      <w:marTop w:val="0"/>
      <w:marBottom w:val="0"/>
      <w:divBdr>
        <w:top w:val="none" w:sz="0" w:space="0" w:color="auto"/>
        <w:left w:val="none" w:sz="0" w:space="0" w:color="auto"/>
        <w:bottom w:val="none" w:sz="0" w:space="0" w:color="auto"/>
        <w:right w:val="none" w:sz="0" w:space="0" w:color="auto"/>
      </w:divBdr>
    </w:div>
    <w:div w:id="1859847860">
      <w:bodyDiv w:val="1"/>
      <w:marLeft w:val="0"/>
      <w:marRight w:val="0"/>
      <w:marTop w:val="0"/>
      <w:marBottom w:val="0"/>
      <w:divBdr>
        <w:top w:val="none" w:sz="0" w:space="0" w:color="auto"/>
        <w:left w:val="none" w:sz="0" w:space="0" w:color="auto"/>
        <w:bottom w:val="none" w:sz="0" w:space="0" w:color="auto"/>
        <w:right w:val="none" w:sz="0" w:space="0" w:color="auto"/>
      </w:divBdr>
    </w:div>
    <w:div w:id="1867601956">
      <w:bodyDiv w:val="1"/>
      <w:marLeft w:val="0"/>
      <w:marRight w:val="0"/>
      <w:marTop w:val="0"/>
      <w:marBottom w:val="0"/>
      <w:divBdr>
        <w:top w:val="none" w:sz="0" w:space="0" w:color="auto"/>
        <w:left w:val="none" w:sz="0" w:space="0" w:color="auto"/>
        <w:bottom w:val="none" w:sz="0" w:space="0" w:color="auto"/>
        <w:right w:val="none" w:sz="0" w:space="0" w:color="auto"/>
      </w:divBdr>
    </w:div>
    <w:div w:id="1868593101">
      <w:bodyDiv w:val="1"/>
      <w:marLeft w:val="0"/>
      <w:marRight w:val="0"/>
      <w:marTop w:val="0"/>
      <w:marBottom w:val="0"/>
      <w:divBdr>
        <w:top w:val="none" w:sz="0" w:space="0" w:color="auto"/>
        <w:left w:val="none" w:sz="0" w:space="0" w:color="auto"/>
        <w:bottom w:val="none" w:sz="0" w:space="0" w:color="auto"/>
        <w:right w:val="none" w:sz="0" w:space="0" w:color="auto"/>
      </w:divBdr>
    </w:div>
    <w:div w:id="1869560713">
      <w:bodyDiv w:val="1"/>
      <w:marLeft w:val="0"/>
      <w:marRight w:val="0"/>
      <w:marTop w:val="0"/>
      <w:marBottom w:val="0"/>
      <w:divBdr>
        <w:top w:val="none" w:sz="0" w:space="0" w:color="auto"/>
        <w:left w:val="none" w:sz="0" w:space="0" w:color="auto"/>
        <w:bottom w:val="none" w:sz="0" w:space="0" w:color="auto"/>
        <w:right w:val="none" w:sz="0" w:space="0" w:color="auto"/>
      </w:divBdr>
    </w:div>
    <w:div w:id="1871993947">
      <w:bodyDiv w:val="1"/>
      <w:marLeft w:val="0"/>
      <w:marRight w:val="0"/>
      <w:marTop w:val="0"/>
      <w:marBottom w:val="0"/>
      <w:divBdr>
        <w:top w:val="none" w:sz="0" w:space="0" w:color="auto"/>
        <w:left w:val="none" w:sz="0" w:space="0" w:color="auto"/>
        <w:bottom w:val="none" w:sz="0" w:space="0" w:color="auto"/>
        <w:right w:val="none" w:sz="0" w:space="0" w:color="auto"/>
      </w:divBdr>
    </w:div>
    <w:div w:id="1872840046">
      <w:bodyDiv w:val="1"/>
      <w:marLeft w:val="0"/>
      <w:marRight w:val="0"/>
      <w:marTop w:val="0"/>
      <w:marBottom w:val="0"/>
      <w:divBdr>
        <w:top w:val="none" w:sz="0" w:space="0" w:color="auto"/>
        <w:left w:val="none" w:sz="0" w:space="0" w:color="auto"/>
        <w:bottom w:val="none" w:sz="0" w:space="0" w:color="auto"/>
        <w:right w:val="none" w:sz="0" w:space="0" w:color="auto"/>
      </w:divBdr>
    </w:div>
    <w:div w:id="1875535551">
      <w:bodyDiv w:val="1"/>
      <w:marLeft w:val="0"/>
      <w:marRight w:val="0"/>
      <w:marTop w:val="0"/>
      <w:marBottom w:val="0"/>
      <w:divBdr>
        <w:top w:val="none" w:sz="0" w:space="0" w:color="auto"/>
        <w:left w:val="none" w:sz="0" w:space="0" w:color="auto"/>
        <w:bottom w:val="none" w:sz="0" w:space="0" w:color="auto"/>
        <w:right w:val="none" w:sz="0" w:space="0" w:color="auto"/>
      </w:divBdr>
    </w:div>
    <w:div w:id="1876382873">
      <w:bodyDiv w:val="1"/>
      <w:marLeft w:val="0"/>
      <w:marRight w:val="0"/>
      <w:marTop w:val="0"/>
      <w:marBottom w:val="0"/>
      <w:divBdr>
        <w:top w:val="none" w:sz="0" w:space="0" w:color="auto"/>
        <w:left w:val="none" w:sz="0" w:space="0" w:color="auto"/>
        <w:bottom w:val="none" w:sz="0" w:space="0" w:color="auto"/>
        <w:right w:val="none" w:sz="0" w:space="0" w:color="auto"/>
      </w:divBdr>
    </w:div>
    <w:div w:id="1885556101">
      <w:bodyDiv w:val="1"/>
      <w:marLeft w:val="0"/>
      <w:marRight w:val="0"/>
      <w:marTop w:val="0"/>
      <w:marBottom w:val="0"/>
      <w:divBdr>
        <w:top w:val="none" w:sz="0" w:space="0" w:color="auto"/>
        <w:left w:val="none" w:sz="0" w:space="0" w:color="auto"/>
        <w:bottom w:val="none" w:sz="0" w:space="0" w:color="auto"/>
        <w:right w:val="none" w:sz="0" w:space="0" w:color="auto"/>
      </w:divBdr>
    </w:div>
    <w:div w:id="1906867113">
      <w:bodyDiv w:val="1"/>
      <w:marLeft w:val="0"/>
      <w:marRight w:val="0"/>
      <w:marTop w:val="0"/>
      <w:marBottom w:val="0"/>
      <w:divBdr>
        <w:top w:val="none" w:sz="0" w:space="0" w:color="auto"/>
        <w:left w:val="none" w:sz="0" w:space="0" w:color="auto"/>
        <w:bottom w:val="none" w:sz="0" w:space="0" w:color="auto"/>
        <w:right w:val="none" w:sz="0" w:space="0" w:color="auto"/>
      </w:divBdr>
    </w:div>
    <w:div w:id="1914584085">
      <w:bodyDiv w:val="1"/>
      <w:marLeft w:val="0"/>
      <w:marRight w:val="0"/>
      <w:marTop w:val="0"/>
      <w:marBottom w:val="0"/>
      <w:divBdr>
        <w:top w:val="none" w:sz="0" w:space="0" w:color="auto"/>
        <w:left w:val="none" w:sz="0" w:space="0" w:color="auto"/>
        <w:bottom w:val="none" w:sz="0" w:space="0" w:color="auto"/>
        <w:right w:val="none" w:sz="0" w:space="0" w:color="auto"/>
      </w:divBdr>
    </w:div>
    <w:div w:id="1918202448">
      <w:bodyDiv w:val="1"/>
      <w:marLeft w:val="0"/>
      <w:marRight w:val="0"/>
      <w:marTop w:val="0"/>
      <w:marBottom w:val="0"/>
      <w:divBdr>
        <w:top w:val="none" w:sz="0" w:space="0" w:color="auto"/>
        <w:left w:val="none" w:sz="0" w:space="0" w:color="auto"/>
        <w:bottom w:val="none" w:sz="0" w:space="0" w:color="auto"/>
        <w:right w:val="none" w:sz="0" w:space="0" w:color="auto"/>
      </w:divBdr>
    </w:div>
    <w:div w:id="1931356099">
      <w:bodyDiv w:val="1"/>
      <w:marLeft w:val="0"/>
      <w:marRight w:val="0"/>
      <w:marTop w:val="0"/>
      <w:marBottom w:val="0"/>
      <w:divBdr>
        <w:top w:val="none" w:sz="0" w:space="0" w:color="auto"/>
        <w:left w:val="none" w:sz="0" w:space="0" w:color="auto"/>
        <w:bottom w:val="none" w:sz="0" w:space="0" w:color="auto"/>
        <w:right w:val="none" w:sz="0" w:space="0" w:color="auto"/>
      </w:divBdr>
    </w:div>
    <w:div w:id="1937396260">
      <w:bodyDiv w:val="1"/>
      <w:marLeft w:val="0"/>
      <w:marRight w:val="0"/>
      <w:marTop w:val="0"/>
      <w:marBottom w:val="0"/>
      <w:divBdr>
        <w:top w:val="none" w:sz="0" w:space="0" w:color="auto"/>
        <w:left w:val="none" w:sz="0" w:space="0" w:color="auto"/>
        <w:bottom w:val="none" w:sz="0" w:space="0" w:color="auto"/>
        <w:right w:val="none" w:sz="0" w:space="0" w:color="auto"/>
      </w:divBdr>
    </w:div>
    <w:div w:id="1942226538">
      <w:bodyDiv w:val="1"/>
      <w:marLeft w:val="0"/>
      <w:marRight w:val="0"/>
      <w:marTop w:val="0"/>
      <w:marBottom w:val="0"/>
      <w:divBdr>
        <w:top w:val="none" w:sz="0" w:space="0" w:color="auto"/>
        <w:left w:val="none" w:sz="0" w:space="0" w:color="auto"/>
        <w:bottom w:val="none" w:sz="0" w:space="0" w:color="auto"/>
        <w:right w:val="none" w:sz="0" w:space="0" w:color="auto"/>
      </w:divBdr>
    </w:div>
    <w:div w:id="1957518835">
      <w:bodyDiv w:val="1"/>
      <w:marLeft w:val="0"/>
      <w:marRight w:val="0"/>
      <w:marTop w:val="0"/>
      <w:marBottom w:val="0"/>
      <w:divBdr>
        <w:top w:val="none" w:sz="0" w:space="0" w:color="auto"/>
        <w:left w:val="none" w:sz="0" w:space="0" w:color="auto"/>
        <w:bottom w:val="none" w:sz="0" w:space="0" w:color="auto"/>
        <w:right w:val="none" w:sz="0" w:space="0" w:color="auto"/>
      </w:divBdr>
    </w:div>
    <w:div w:id="1959023826">
      <w:bodyDiv w:val="1"/>
      <w:marLeft w:val="0"/>
      <w:marRight w:val="0"/>
      <w:marTop w:val="0"/>
      <w:marBottom w:val="0"/>
      <w:divBdr>
        <w:top w:val="none" w:sz="0" w:space="0" w:color="auto"/>
        <w:left w:val="none" w:sz="0" w:space="0" w:color="auto"/>
        <w:bottom w:val="none" w:sz="0" w:space="0" w:color="auto"/>
        <w:right w:val="none" w:sz="0" w:space="0" w:color="auto"/>
      </w:divBdr>
    </w:div>
    <w:div w:id="1962224314">
      <w:bodyDiv w:val="1"/>
      <w:marLeft w:val="0"/>
      <w:marRight w:val="0"/>
      <w:marTop w:val="0"/>
      <w:marBottom w:val="0"/>
      <w:divBdr>
        <w:top w:val="none" w:sz="0" w:space="0" w:color="auto"/>
        <w:left w:val="none" w:sz="0" w:space="0" w:color="auto"/>
        <w:bottom w:val="none" w:sz="0" w:space="0" w:color="auto"/>
        <w:right w:val="none" w:sz="0" w:space="0" w:color="auto"/>
      </w:divBdr>
    </w:div>
    <w:div w:id="1962374387">
      <w:bodyDiv w:val="1"/>
      <w:marLeft w:val="0"/>
      <w:marRight w:val="0"/>
      <w:marTop w:val="0"/>
      <w:marBottom w:val="0"/>
      <w:divBdr>
        <w:top w:val="none" w:sz="0" w:space="0" w:color="auto"/>
        <w:left w:val="none" w:sz="0" w:space="0" w:color="auto"/>
        <w:bottom w:val="none" w:sz="0" w:space="0" w:color="auto"/>
        <w:right w:val="none" w:sz="0" w:space="0" w:color="auto"/>
      </w:divBdr>
    </w:div>
    <w:div w:id="1967080264">
      <w:bodyDiv w:val="1"/>
      <w:marLeft w:val="0"/>
      <w:marRight w:val="0"/>
      <w:marTop w:val="0"/>
      <w:marBottom w:val="0"/>
      <w:divBdr>
        <w:top w:val="none" w:sz="0" w:space="0" w:color="auto"/>
        <w:left w:val="none" w:sz="0" w:space="0" w:color="auto"/>
        <w:bottom w:val="none" w:sz="0" w:space="0" w:color="auto"/>
        <w:right w:val="none" w:sz="0" w:space="0" w:color="auto"/>
      </w:divBdr>
    </w:div>
    <w:div w:id="1970547774">
      <w:bodyDiv w:val="1"/>
      <w:marLeft w:val="0"/>
      <w:marRight w:val="0"/>
      <w:marTop w:val="0"/>
      <w:marBottom w:val="0"/>
      <w:divBdr>
        <w:top w:val="none" w:sz="0" w:space="0" w:color="auto"/>
        <w:left w:val="none" w:sz="0" w:space="0" w:color="auto"/>
        <w:bottom w:val="none" w:sz="0" w:space="0" w:color="auto"/>
        <w:right w:val="none" w:sz="0" w:space="0" w:color="auto"/>
      </w:divBdr>
    </w:div>
    <w:div w:id="1971132345">
      <w:bodyDiv w:val="1"/>
      <w:marLeft w:val="0"/>
      <w:marRight w:val="0"/>
      <w:marTop w:val="0"/>
      <w:marBottom w:val="0"/>
      <w:divBdr>
        <w:top w:val="none" w:sz="0" w:space="0" w:color="auto"/>
        <w:left w:val="none" w:sz="0" w:space="0" w:color="auto"/>
        <w:bottom w:val="none" w:sz="0" w:space="0" w:color="auto"/>
        <w:right w:val="none" w:sz="0" w:space="0" w:color="auto"/>
      </w:divBdr>
    </w:div>
    <w:div w:id="1973554946">
      <w:bodyDiv w:val="1"/>
      <w:marLeft w:val="0"/>
      <w:marRight w:val="0"/>
      <w:marTop w:val="0"/>
      <w:marBottom w:val="0"/>
      <w:divBdr>
        <w:top w:val="none" w:sz="0" w:space="0" w:color="auto"/>
        <w:left w:val="none" w:sz="0" w:space="0" w:color="auto"/>
        <w:bottom w:val="none" w:sz="0" w:space="0" w:color="auto"/>
        <w:right w:val="none" w:sz="0" w:space="0" w:color="auto"/>
      </w:divBdr>
    </w:div>
    <w:div w:id="1999113602">
      <w:bodyDiv w:val="1"/>
      <w:marLeft w:val="0"/>
      <w:marRight w:val="0"/>
      <w:marTop w:val="0"/>
      <w:marBottom w:val="0"/>
      <w:divBdr>
        <w:top w:val="none" w:sz="0" w:space="0" w:color="auto"/>
        <w:left w:val="none" w:sz="0" w:space="0" w:color="auto"/>
        <w:bottom w:val="none" w:sz="0" w:space="0" w:color="auto"/>
        <w:right w:val="none" w:sz="0" w:space="0" w:color="auto"/>
      </w:divBdr>
    </w:div>
    <w:div w:id="2002418562">
      <w:bodyDiv w:val="1"/>
      <w:marLeft w:val="0"/>
      <w:marRight w:val="0"/>
      <w:marTop w:val="0"/>
      <w:marBottom w:val="0"/>
      <w:divBdr>
        <w:top w:val="none" w:sz="0" w:space="0" w:color="auto"/>
        <w:left w:val="none" w:sz="0" w:space="0" w:color="auto"/>
        <w:bottom w:val="none" w:sz="0" w:space="0" w:color="auto"/>
        <w:right w:val="none" w:sz="0" w:space="0" w:color="auto"/>
      </w:divBdr>
    </w:div>
    <w:div w:id="2026130857">
      <w:bodyDiv w:val="1"/>
      <w:marLeft w:val="0"/>
      <w:marRight w:val="0"/>
      <w:marTop w:val="0"/>
      <w:marBottom w:val="0"/>
      <w:divBdr>
        <w:top w:val="none" w:sz="0" w:space="0" w:color="auto"/>
        <w:left w:val="none" w:sz="0" w:space="0" w:color="auto"/>
        <w:bottom w:val="none" w:sz="0" w:space="0" w:color="auto"/>
        <w:right w:val="none" w:sz="0" w:space="0" w:color="auto"/>
      </w:divBdr>
    </w:div>
    <w:div w:id="2029136207">
      <w:bodyDiv w:val="1"/>
      <w:marLeft w:val="0"/>
      <w:marRight w:val="0"/>
      <w:marTop w:val="0"/>
      <w:marBottom w:val="0"/>
      <w:divBdr>
        <w:top w:val="none" w:sz="0" w:space="0" w:color="auto"/>
        <w:left w:val="none" w:sz="0" w:space="0" w:color="auto"/>
        <w:bottom w:val="none" w:sz="0" w:space="0" w:color="auto"/>
        <w:right w:val="none" w:sz="0" w:space="0" w:color="auto"/>
      </w:divBdr>
    </w:div>
    <w:div w:id="2031565622">
      <w:bodyDiv w:val="1"/>
      <w:marLeft w:val="0"/>
      <w:marRight w:val="0"/>
      <w:marTop w:val="0"/>
      <w:marBottom w:val="0"/>
      <w:divBdr>
        <w:top w:val="none" w:sz="0" w:space="0" w:color="auto"/>
        <w:left w:val="none" w:sz="0" w:space="0" w:color="auto"/>
        <w:bottom w:val="none" w:sz="0" w:space="0" w:color="auto"/>
        <w:right w:val="none" w:sz="0" w:space="0" w:color="auto"/>
      </w:divBdr>
    </w:div>
    <w:div w:id="2040083698">
      <w:bodyDiv w:val="1"/>
      <w:marLeft w:val="0"/>
      <w:marRight w:val="0"/>
      <w:marTop w:val="0"/>
      <w:marBottom w:val="0"/>
      <w:divBdr>
        <w:top w:val="none" w:sz="0" w:space="0" w:color="auto"/>
        <w:left w:val="none" w:sz="0" w:space="0" w:color="auto"/>
        <w:bottom w:val="none" w:sz="0" w:space="0" w:color="auto"/>
        <w:right w:val="none" w:sz="0" w:space="0" w:color="auto"/>
      </w:divBdr>
    </w:div>
    <w:div w:id="2043480417">
      <w:bodyDiv w:val="1"/>
      <w:marLeft w:val="0"/>
      <w:marRight w:val="0"/>
      <w:marTop w:val="0"/>
      <w:marBottom w:val="0"/>
      <w:divBdr>
        <w:top w:val="none" w:sz="0" w:space="0" w:color="auto"/>
        <w:left w:val="none" w:sz="0" w:space="0" w:color="auto"/>
        <w:bottom w:val="none" w:sz="0" w:space="0" w:color="auto"/>
        <w:right w:val="none" w:sz="0" w:space="0" w:color="auto"/>
      </w:divBdr>
    </w:div>
    <w:div w:id="2053842914">
      <w:bodyDiv w:val="1"/>
      <w:marLeft w:val="0"/>
      <w:marRight w:val="0"/>
      <w:marTop w:val="0"/>
      <w:marBottom w:val="0"/>
      <w:divBdr>
        <w:top w:val="none" w:sz="0" w:space="0" w:color="auto"/>
        <w:left w:val="none" w:sz="0" w:space="0" w:color="auto"/>
        <w:bottom w:val="none" w:sz="0" w:space="0" w:color="auto"/>
        <w:right w:val="none" w:sz="0" w:space="0" w:color="auto"/>
      </w:divBdr>
    </w:div>
    <w:div w:id="2056197330">
      <w:bodyDiv w:val="1"/>
      <w:marLeft w:val="0"/>
      <w:marRight w:val="0"/>
      <w:marTop w:val="0"/>
      <w:marBottom w:val="0"/>
      <w:divBdr>
        <w:top w:val="none" w:sz="0" w:space="0" w:color="auto"/>
        <w:left w:val="none" w:sz="0" w:space="0" w:color="auto"/>
        <w:bottom w:val="none" w:sz="0" w:space="0" w:color="auto"/>
        <w:right w:val="none" w:sz="0" w:space="0" w:color="auto"/>
      </w:divBdr>
    </w:div>
    <w:div w:id="2058623992">
      <w:bodyDiv w:val="1"/>
      <w:marLeft w:val="0"/>
      <w:marRight w:val="0"/>
      <w:marTop w:val="0"/>
      <w:marBottom w:val="0"/>
      <w:divBdr>
        <w:top w:val="none" w:sz="0" w:space="0" w:color="auto"/>
        <w:left w:val="none" w:sz="0" w:space="0" w:color="auto"/>
        <w:bottom w:val="none" w:sz="0" w:space="0" w:color="auto"/>
        <w:right w:val="none" w:sz="0" w:space="0" w:color="auto"/>
      </w:divBdr>
    </w:div>
    <w:div w:id="2060665505">
      <w:bodyDiv w:val="1"/>
      <w:marLeft w:val="0"/>
      <w:marRight w:val="0"/>
      <w:marTop w:val="0"/>
      <w:marBottom w:val="0"/>
      <w:divBdr>
        <w:top w:val="none" w:sz="0" w:space="0" w:color="auto"/>
        <w:left w:val="none" w:sz="0" w:space="0" w:color="auto"/>
        <w:bottom w:val="none" w:sz="0" w:space="0" w:color="auto"/>
        <w:right w:val="none" w:sz="0" w:space="0" w:color="auto"/>
      </w:divBdr>
    </w:div>
    <w:div w:id="2060667539">
      <w:bodyDiv w:val="1"/>
      <w:marLeft w:val="0"/>
      <w:marRight w:val="0"/>
      <w:marTop w:val="0"/>
      <w:marBottom w:val="0"/>
      <w:divBdr>
        <w:top w:val="none" w:sz="0" w:space="0" w:color="auto"/>
        <w:left w:val="none" w:sz="0" w:space="0" w:color="auto"/>
        <w:bottom w:val="none" w:sz="0" w:space="0" w:color="auto"/>
        <w:right w:val="none" w:sz="0" w:space="0" w:color="auto"/>
      </w:divBdr>
    </w:div>
    <w:div w:id="2063094254">
      <w:bodyDiv w:val="1"/>
      <w:marLeft w:val="0"/>
      <w:marRight w:val="0"/>
      <w:marTop w:val="0"/>
      <w:marBottom w:val="0"/>
      <w:divBdr>
        <w:top w:val="none" w:sz="0" w:space="0" w:color="auto"/>
        <w:left w:val="none" w:sz="0" w:space="0" w:color="auto"/>
        <w:bottom w:val="none" w:sz="0" w:space="0" w:color="auto"/>
        <w:right w:val="none" w:sz="0" w:space="0" w:color="auto"/>
      </w:divBdr>
    </w:div>
    <w:div w:id="2063745787">
      <w:bodyDiv w:val="1"/>
      <w:marLeft w:val="0"/>
      <w:marRight w:val="0"/>
      <w:marTop w:val="0"/>
      <w:marBottom w:val="0"/>
      <w:divBdr>
        <w:top w:val="none" w:sz="0" w:space="0" w:color="auto"/>
        <w:left w:val="none" w:sz="0" w:space="0" w:color="auto"/>
        <w:bottom w:val="none" w:sz="0" w:space="0" w:color="auto"/>
        <w:right w:val="none" w:sz="0" w:space="0" w:color="auto"/>
      </w:divBdr>
    </w:div>
    <w:div w:id="2064478258">
      <w:bodyDiv w:val="1"/>
      <w:marLeft w:val="0"/>
      <w:marRight w:val="0"/>
      <w:marTop w:val="0"/>
      <w:marBottom w:val="0"/>
      <w:divBdr>
        <w:top w:val="none" w:sz="0" w:space="0" w:color="auto"/>
        <w:left w:val="none" w:sz="0" w:space="0" w:color="auto"/>
        <w:bottom w:val="none" w:sz="0" w:space="0" w:color="auto"/>
        <w:right w:val="none" w:sz="0" w:space="0" w:color="auto"/>
      </w:divBdr>
    </w:div>
    <w:div w:id="2092267140">
      <w:bodyDiv w:val="1"/>
      <w:marLeft w:val="0"/>
      <w:marRight w:val="0"/>
      <w:marTop w:val="0"/>
      <w:marBottom w:val="0"/>
      <w:divBdr>
        <w:top w:val="none" w:sz="0" w:space="0" w:color="auto"/>
        <w:left w:val="none" w:sz="0" w:space="0" w:color="auto"/>
        <w:bottom w:val="none" w:sz="0" w:space="0" w:color="auto"/>
        <w:right w:val="none" w:sz="0" w:space="0" w:color="auto"/>
      </w:divBdr>
    </w:div>
    <w:div w:id="2095205565">
      <w:bodyDiv w:val="1"/>
      <w:marLeft w:val="0"/>
      <w:marRight w:val="0"/>
      <w:marTop w:val="0"/>
      <w:marBottom w:val="0"/>
      <w:divBdr>
        <w:top w:val="none" w:sz="0" w:space="0" w:color="auto"/>
        <w:left w:val="none" w:sz="0" w:space="0" w:color="auto"/>
        <w:bottom w:val="none" w:sz="0" w:space="0" w:color="auto"/>
        <w:right w:val="none" w:sz="0" w:space="0" w:color="auto"/>
      </w:divBdr>
    </w:div>
    <w:div w:id="2107915737">
      <w:bodyDiv w:val="1"/>
      <w:marLeft w:val="0"/>
      <w:marRight w:val="0"/>
      <w:marTop w:val="0"/>
      <w:marBottom w:val="0"/>
      <w:divBdr>
        <w:top w:val="none" w:sz="0" w:space="0" w:color="auto"/>
        <w:left w:val="none" w:sz="0" w:space="0" w:color="auto"/>
        <w:bottom w:val="none" w:sz="0" w:space="0" w:color="auto"/>
        <w:right w:val="none" w:sz="0" w:space="0" w:color="auto"/>
      </w:divBdr>
    </w:div>
    <w:div w:id="2108234793">
      <w:bodyDiv w:val="1"/>
      <w:marLeft w:val="0"/>
      <w:marRight w:val="0"/>
      <w:marTop w:val="0"/>
      <w:marBottom w:val="0"/>
      <w:divBdr>
        <w:top w:val="none" w:sz="0" w:space="0" w:color="auto"/>
        <w:left w:val="none" w:sz="0" w:space="0" w:color="auto"/>
        <w:bottom w:val="none" w:sz="0" w:space="0" w:color="auto"/>
        <w:right w:val="none" w:sz="0" w:space="0" w:color="auto"/>
      </w:divBdr>
    </w:div>
    <w:div w:id="2111271129">
      <w:bodyDiv w:val="1"/>
      <w:marLeft w:val="0"/>
      <w:marRight w:val="0"/>
      <w:marTop w:val="0"/>
      <w:marBottom w:val="0"/>
      <w:divBdr>
        <w:top w:val="none" w:sz="0" w:space="0" w:color="auto"/>
        <w:left w:val="none" w:sz="0" w:space="0" w:color="auto"/>
        <w:bottom w:val="none" w:sz="0" w:space="0" w:color="auto"/>
        <w:right w:val="none" w:sz="0" w:space="0" w:color="auto"/>
      </w:divBdr>
    </w:div>
    <w:div w:id="2114545605">
      <w:bodyDiv w:val="1"/>
      <w:marLeft w:val="0"/>
      <w:marRight w:val="0"/>
      <w:marTop w:val="0"/>
      <w:marBottom w:val="0"/>
      <w:divBdr>
        <w:top w:val="none" w:sz="0" w:space="0" w:color="auto"/>
        <w:left w:val="none" w:sz="0" w:space="0" w:color="auto"/>
        <w:bottom w:val="none" w:sz="0" w:space="0" w:color="auto"/>
        <w:right w:val="none" w:sz="0" w:space="0" w:color="auto"/>
      </w:divBdr>
    </w:div>
    <w:div w:id="2118787090">
      <w:bodyDiv w:val="1"/>
      <w:marLeft w:val="0"/>
      <w:marRight w:val="0"/>
      <w:marTop w:val="0"/>
      <w:marBottom w:val="0"/>
      <w:divBdr>
        <w:top w:val="none" w:sz="0" w:space="0" w:color="auto"/>
        <w:left w:val="none" w:sz="0" w:space="0" w:color="auto"/>
        <w:bottom w:val="none" w:sz="0" w:space="0" w:color="auto"/>
        <w:right w:val="none" w:sz="0" w:space="0" w:color="auto"/>
      </w:divBdr>
    </w:div>
    <w:div w:id="2121558460">
      <w:bodyDiv w:val="1"/>
      <w:marLeft w:val="0"/>
      <w:marRight w:val="0"/>
      <w:marTop w:val="0"/>
      <w:marBottom w:val="0"/>
      <w:divBdr>
        <w:top w:val="none" w:sz="0" w:space="0" w:color="auto"/>
        <w:left w:val="none" w:sz="0" w:space="0" w:color="auto"/>
        <w:bottom w:val="none" w:sz="0" w:space="0" w:color="auto"/>
        <w:right w:val="none" w:sz="0" w:space="0" w:color="auto"/>
      </w:divBdr>
    </w:div>
    <w:div w:id="2127891344">
      <w:bodyDiv w:val="1"/>
      <w:marLeft w:val="0"/>
      <w:marRight w:val="0"/>
      <w:marTop w:val="0"/>
      <w:marBottom w:val="0"/>
      <w:divBdr>
        <w:top w:val="none" w:sz="0" w:space="0" w:color="auto"/>
        <w:left w:val="none" w:sz="0" w:space="0" w:color="auto"/>
        <w:bottom w:val="none" w:sz="0" w:space="0" w:color="auto"/>
        <w:right w:val="none" w:sz="0" w:space="0" w:color="auto"/>
      </w:divBdr>
    </w:div>
    <w:div w:id="2133280260">
      <w:bodyDiv w:val="1"/>
      <w:marLeft w:val="0"/>
      <w:marRight w:val="0"/>
      <w:marTop w:val="0"/>
      <w:marBottom w:val="0"/>
      <w:divBdr>
        <w:top w:val="none" w:sz="0" w:space="0" w:color="auto"/>
        <w:left w:val="none" w:sz="0" w:space="0" w:color="auto"/>
        <w:bottom w:val="none" w:sz="0" w:space="0" w:color="auto"/>
        <w:right w:val="none" w:sz="0" w:space="0" w:color="auto"/>
      </w:divBdr>
    </w:div>
    <w:div w:id="2133591469">
      <w:bodyDiv w:val="1"/>
      <w:marLeft w:val="0"/>
      <w:marRight w:val="0"/>
      <w:marTop w:val="0"/>
      <w:marBottom w:val="0"/>
      <w:divBdr>
        <w:top w:val="none" w:sz="0" w:space="0" w:color="auto"/>
        <w:left w:val="none" w:sz="0" w:space="0" w:color="auto"/>
        <w:bottom w:val="none" w:sz="0" w:space="0" w:color="auto"/>
        <w:right w:val="none" w:sz="0" w:space="0" w:color="auto"/>
      </w:divBdr>
    </w:div>
    <w:div w:id="2136832429">
      <w:bodyDiv w:val="1"/>
      <w:marLeft w:val="0"/>
      <w:marRight w:val="0"/>
      <w:marTop w:val="0"/>
      <w:marBottom w:val="0"/>
      <w:divBdr>
        <w:top w:val="none" w:sz="0" w:space="0" w:color="auto"/>
        <w:left w:val="none" w:sz="0" w:space="0" w:color="auto"/>
        <w:bottom w:val="none" w:sz="0" w:space="0" w:color="auto"/>
        <w:right w:val="none" w:sz="0" w:space="0" w:color="auto"/>
      </w:divBdr>
    </w:div>
    <w:div w:id="21454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yperlink" Target="https://www.tga.gov.au/sites/default/files/medical-devices-safety-update-volume-5-number-4-july-2017.pdf" TargetMode="External"/><Relationship Id="rId39" Type="http://schemas.openxmlformats.org/officeDocument/2006/relationships/hyperlink" Target="https://www.asahq.org/standards-and-guidelines/asa-physical-status-classification-system" TargetMode="External"/><Relationship Id="rId21" Type="http://schemas.openxmlformats.org/officeDocument/2006/relationships/footer" Target="footer4.xml"/><Relationship Id="rId34" Type="http://schemas.openxmlformats.org/officeDocument/2006/relationships/hyperlink" Target="http://www.anzca.edu.au/resources/professional-documents" TargetMode="External"/><Relationship Id="rId42" Type="http://schemas.openxmlformats.org/officeDocument/2006/relationships/hyperlink" Target="http://www.anzca.edu.au/documents/bp-anaphylaxis-2016.pdf" TargetMode="External"/><Relationship Id="rId47" Type="http://schemas.openxmlformats.org/officeDocument/2006/relationships/hyperlink" Target="https://meteor.aihw.gov.au/content/index.phtml/itemId/534125" TargetMode="External"/><Relationship Id="rId50" Type="http://schemas.openxmlformats.org/officeDocument/2006/relationships/hyperlink" Target="https://www.rcoa.ac.uk/sites/default/files/PSU-July-2016.pdf" TargetMode="External"/><Relationship Id="rId55" Type="http://schemas.openxmlformats.org/officeDocument/2006/relationships/hyperlink" Target="https://www2.health.vic.gov.au/hospitals-and-health-services/private-hospitals/legislation-update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fercare.vic.gov.au/" TargetMode="External"/><Relationship Id="rId20" Type="http://schemas.openxmlformats.org/officeDocument/2006/relationships/header" Target="header6.xml"/><Relationship Id="rId29" Type="http://schemas.openxmlformats.org/officeDocument/2006/relationships/hyperlink" Target="https://www.nationalauditprojects.org.uk/NAP6Report" TargetMode="External"/><Relationship Id="rId41" Type="http://schemas.openxmlformats.org/officeDocument/2006/relationships/hyperlink" Target="http://www.anzca.edu.au/documents/ps61-2017.pdf" TargetMode="External"/><Relationship Id="rId54" Type="http://schemas.openxmlformats.org/officeDocument/2006/relationships/hyperlink" Target="http://www5.austlii.edu.au/au/legis/vic/repealed_act/ha195869/"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contenttest.learningseat.com/safetyandquality/part1/shell.html" TargetMode="External"/><Relationship Id="rId32" Type="http://schemas.openxmlformats.org/officeDocument/2006/relationships/hyperlink" Target="http://www.anzca.edu.au/documents/the-beach-chair-position" TargetMode="External"/><Relationship Id="rId37" Type="http://schemas.openxmlformats.org/officeDocument/2006/relationships/hyperlink" Target="http://www.asahq.org/standards-and-guidelines/asa-physical-status-classification-system" TargetMode="External"/><Relationship Id="rId40" Type="http://schemas.openxmlformats.org/officeDocument/2006/relationships/hyperlink" Target="https://onlinelibrary.wiley.com/doi/full/10.1111/anae.13036" TargetMode="External"/><Relationship Id="rId45" Type="http://schemas.openxmlformats.org/officeDocument/2006/relationships/hyperlink" Target="http://dx.doi.org/10.1016/j.jacc.2017.02.012" TargetMode="External"/><Relationship Id="rId53" Type="http://schemas.openxmlformats.org/officeDocument/2006/relationships/hyperlink" Target="http://www.anzaag.com/Mgmt%20Resources.aspx" TargetMode="External"/><Relationship Id="rId58" Type="http://schemas.openxmlformats.org/officeDocument/2006/relationships/hyperlink" Target="https://www.rcoa.ac.uk/research/national-audit-projects" TargetMode="External"/><Relationship Id="rId5" Type="http://schemas.openxmlformats.org/officeDocument/2006/relationships/webSettings" Target="webSettings.xml"/><Relationship Id="rId15" Type="http://schemas.openxmlformats.org/officeDocument/2006/relationships/hyperlink" Target="mailto:safercarevictoria@dhhs.vic.gov.au" TargetMode="External"/><Relationship Id="rId23" Type="http://schemas.openxmlformats.org/officeDocument/2006/relationships/hyperlink" Target="mailto:https://www.asahq.org/standards-and-guidelines/asa-physical-status-classification-system" TargetMode="External"/><Relationship Id="rId28" Type="http://schemas.openxmlformats.org/officeDocument/2006/relationships/hyperlink" Target="http://malignanthyperthermia.org.au/" TargetMode="External"/><Relationship Id="rId36" Type="http://schemas.openxmlformats.org/officeDocument/2006/relationships/hyperlink" Target="https://www.rcoa.ac.uk/standards-of-clinical-practice/wrong-site-block" TargetMode="External"/><Relationship Id="rId49" Type="http://schemas.openxmlformats.org/officeDocument/2006/relationships/hyperlink" Target="https://doi.org/10.1093/bjaceaccp/mkt053" TargetMode="External"/><Relationship Id="rId57" Type="http://schemas.openxmlformats.org/officeDocument/2006/relationships/hyperlink" Target="http://classic.austlii.edu.au/au/legis/vic/consol_act/phawa2008222/" TargetMode="Externa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www.anzaag.com/" TargetMode="External"/><Relationship Id="rId44" Type="http://schemas.openxmlformats.org/officeDocument/2006/relationships/hyperlink" Target="https://www.ausstats.abs.gov.au/ausstats/subscriber.nsf/0/4B3976684C09F43FCA258399001CE630/%20%20$File/4364.0.55.001%20-%20national%20health%20%20%20survey,%20first%20results,%202017-18.pdf" TargetMode="External"/><Relationship Id="rId52" Type="http://schemas.openxmlformats.org/officeDocument/2006/relationships/hyperlink" Target="https://www.rcoa.ac.uk/sites/default/files/CSQ-PS-WSB-Brits-Simmons2011.pdf" TargetMode="External"/><Relationship Id="rId60" Type="http://schemas.openxmlformats.org/officeDocument/2006/relationships/hyperlink" Target="http://www.anzca.edu.au/resources/professional-document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bettersafercare.vic.gov.au/reports-and-publications/the-victorian-perioperative-consultative-council-report" TargetMode="External"/><Relationship Id="rId27" Type="http://schemas.openxmlformats.org/officeDocument/2006/relationships/hyperlink" Target="https://www.tga.gov.au/sites/default/files/medical-devices-safety-update-volume-5-number-4-july-2017.pdf" TargetMode="External"/><Relationship Id="rId30" Type="http://schemas.openxmlformats.org/officeDocument/2006/relationships/hyperlink" Target="http://www.anzca.edu.au/resources/endorsed-guidelines" TargetMode="External"/><Relationship Id="rId35" Type="http://schemas.openxmlformats.org/officeDocument/2006/relationships/hyperlink" Target="https://www.rcoa.ac.uk/system/files/CSQ-PS-10-wrong-site-block.pdf" TargetMode="External"/><Relationship Id="rId43" Type="http://schemas.openxmlformats.org/officeDocument/2006/relationships/hyperlink" Target="http://www.anzca.edu.au/resources/safe-procedural-sedation-competencies" TargetMode="External"/><Relationship Id="rId48" Type="http://schemas.openxmlformats.org/officeDocument/2006/relationships/hyperlink" Target="https://doi.org/10.1016/j.jacc.2016.03.602" TargetMode="External"/><Relationship Id="rId56" Type="http://schemas.openxmlformats.org/officeDocument/2006/relationships/hyperlink" Target="http://malignanthyperthermia.org.au/" TargetMode="External"/><Relationship Id="rId8" Type="http://schemas.openxmlformats.org/officeDocument/2006/relationships/image" Target="media/image1.png"/><Relationship Id="rId51" Type="http://schemas.openxmlformats.org/officeDocument/2006/relationships/hyperlink" Target="https://www.nationalauditprojects.org.uk/NAP6Report"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s://www.rcoa.ac.uk/research/national-audit-projects" TargetMode="External"/><Relationship Id="rId33" Type="http://schemas.openxmlformats.org/officeDocument/2006/relationships/hyperlink" Target="http://www.anzca.edu.au/documents/stop-blocking-flyer-a4-p1.pdf" TargetMode="External"/><Relationship Id="rId38" Type="http://schemas.openxmlformats.org/officeDocument/2006/relationships/hyperlink" Target="http://www.anzca.edu.au/documents/the-beach-chair-position" TargetMode="External"/><Relationship Id="rId46" Type="http://schemas.openxmlformats.org/officeDocument/2006/relationships/hyperlink" Target="https://www.sciencedirect.com/science/article/pii/S0735109716001571?via%3Dihub" TargetMode="External"/><Relationship Id="rId59" Type="http://schemas.openxmlformats.org/officeDocument/2006/relationships/hyperlink" Target="http://www.anzaag.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1E9496B5D44D218BA9326225AC42D1"/>
        <w:category>
          <w:name w:val="General"/>
          <w:gallery w:val="placeholder"/>
        </w:category>
        <w:types>
          <w:type w:val="bbPlcHdr"/>
        </w:types>
        <w:behaviors>
          <w:behavior w:val="content"/>
        </w:behaviors>
        <w:guid w:val="{33785DC8-C777-4022-9417-0B63608837FF}"/>
      </w:docPartPr>
      <w:docPartBody>
        <w:p w:rsidR="007E7C0B" w:rsidRDefault="00EC1BAF">
          <w:pPr>
            <w:pStyle w:val="0B1E9496B5D44D218BA9326225AC42D1"/>
          </w:pPr>
          <w:r w:rsidRPr="0033369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Minion Pro">
    <w:panose1 w:val="00000000000000000000"/>
    <w:charset w:val="00"/>
    <w:family w:val="roman"/>
    <w:notTrueType/>
    <w:pitch w:val="variable"/>
    <w:sig w:usb0="60000287" w:usb1="00000001" w:usb2="00000000" w:usb3="00000000" w:csb0="0000019F" w:csb1="00000000"/>
  </w:font>
  <w:font w:name="VIC">
    <w:panose1 w:val="000005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BAF"/>
    <w:rsid w:val="00014C41"/>
    <w:rsid w:val="00037726"/>
    <w:rsid w:val="00087BCB"/>
    <w:rsid w:val="000A4F0D"/>
    <w:rsid w:val="000E0A21"/>
    <w:rsid w:val="00116BC4"/>
    <w:rsid w:val="00131A08"/>
    <w:rsid w:val="001358FD"/>
    <w:rsid w:val="00140F57"/>
    <w:rsid w:val="00144B2B"/>
    <w:rsid w:val="00144DFC"/>
    <w:rsid w:val="001527CF"/>
    <w:rsid w:val="00181B9B"/>
    <w:rsid w:val="001B0BC7"/>
    <w:rsid w:val="001B2BE9"/>
    <w:rsid w:val="001B60A1"/>
    <w:rsid w:val="001E6781"/>
    <w:rsid w:val="001E765A"/>
    <w:rsid w:val="00221041"/>
    <w:rsid w:val="00240D4D"/>
    <w:rsid w:val="00297AFD"/>
    <w:rsid w:val="002C331C"/>
    <w:rsid w:val="002D47E0"/>
    <w:rsid w:val="002E478C"/>
    <w:rsid w:val="003058F4"/>
    <w:rsid w:val="00312E7B"/>
    <w:rsid w:val="003131ED"/>
    <w:rsid w:val="0033437E"/>
    <w:rsid w:val="003C58D3"/>
    <w:rsid w:val="00414A67"/>
    <w:rsid w:val="0043460D"/>
    <w:rsid w:val="00462B8B"/>
    <w:rsid w:val="00492036"/>
    <w:rsid w:val="004956D8"/>
    <w:rsid w:val="004C318A"/>
    <w:rsid w:val="004C51D9"/>
    <w:rsid w:val="00500CF8"/>
    <w:rsid w:val="005034FC"/>
    <w:rsid w:val="005408E9"/>
    <w:rsid w:val="00553D6A"/>
    <w:rsid w:val="00562E58"/>
    <w:rsid w:val="00586299"/>
    <w:rsid w:val="0059267A"/>
    <w:rsid w:val="005F21CA"/>
    <w:rsid w:val="00612E59"/>
    <w:rsid w:val="00657CDF"/>
    <w:rsid w:val="006B1E29"/>
    <w:rsid w:val="006B66F5"/>
    <w:rsid w:val="007041B8"/>
    <w:rsid w:val="0071015F"/>
    <w:rsid w:val="00746401"/>
    <w:rsid w:val="00774E4A"/>
    <w:rsid w:val="007928B4"/>
    <w:rsid w:val="00797D35"/>
    <w:rsid w:val="007E7C0B"/>
    <w:rsid w:val="00805978"/>
    <w:rsid w:val="00857722"/>
    <w:rsid w:val="00864B14"/>
    <w:rsid w:val="008845C0"/>
    <w:rsid w:val="008B353A"/>
    <w:rsid w:val="008C7CA5"/>
    <w:rsid w:val="008E1836"/>
    <w:rsid w:val="009216E5"/>
    <w:rsid w:val="0093068D"/>
    <w:rsid w:val="00936896"/>
    <w:rsid w:val="009569EB"/>
    <w:rsid w:val="00967CAD"/>
    <w:rsid w:val="0097147A"/>
    <w:rsid w:val="009C5542"/>
    <w:rsid w:val="00AE3B23"/>
    <w:rsid w:val="00AF32CB"/>
    <w:rsid w:val="00AF598E"/>
    <w:rsid w:val="00B058A8"/>
    <w:rsid w:val="00B43403"/>
    <w:rsid w:val="00B51812"/>
    <w:rsid w:val="00BA3399"/>
    <w:rsid w:val="00BC5DBA"/>
    <w:rsid w:val="00BC6893"/>
    <w:rsid w:val="00BE2756"/>
    <w:rsid w:val="00C24C2F"/>
    <w:rsid w:val="00CB1089"/>
    <w:rsid w:val="00CC1EF7"/>
    <w:rsid w:val="00CD4381"/>
    <w:rsid w:val="00CE5D91"/>
    <w:rsid w:val="00D528BC"/>
    <w:rsid w:val="00D53E4F"/>
    <w:rsid w:val="00D75E86"/>
    <w:rsid w:val="00D87053"/>
    <w:rsid w:val="00D911CD"/>
    <w:rsid w:val="00DA17BD"/>
    <w:rsid w:val="00DC24B2"/>
    <w:rsid w:val="00E10BFA"/>
    <w:rsid w:val="00E12099"/>
    <w:rsid w:val="00E5719D"/>
    <w:rsid w:val="00EC1BAF"/>
    <w:rsid w:val="00F411DA"/>
    <w:rsid w:val="00F52939"/>
    <w:rsid w:val="00F873CE"/>
    <w:rsid w:val="00FB0EE4"/>
    <w:rsid w:val="00FE0CA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sid w:val="00EC1BAF"/>
    <w:rPr>
      <w:color w:val="808080"/>
    </w:rPr>
  </w:style>
  <w:style w:type="paragraph" w:customStyle="1" w:styleId="0B1E9496B5D44D218BA9326225AC42D1">
    <w:name w:val="0B1E9496B5D44D218BA9326225AC42D1"/>
  </w:style>
  <w:style w:type="paragraph" w:customStyle="1" w:styleId="D0727C9488E84B9CAC422203EDFE6FE6">
    <w:name w:val="D0727C9488E84B9CAC422203EDFE6FE6"/>
  </w:style>
  <w:style w:type="paragraph" w:customStyle="1" w:styleId="742F18857CA84497AF79B37B129D3CA8">
    <w:name w:val="742F18857CA84497AF79B37B129D3CA8"/>
  </w:style>
  <w:style w:type="paragraph" w:customStyle="1" w:styleId="05041DEBC5B34B38AF39F7AF4C76BD86">
    <w:name w:val="05041DEBC5B34B38AF39F7AF4C76BD86"/>
  </w:style>
  <w:style w:type="paragraph" w:customStyle="1" w:styleId="94EA73B728BC47A09E474F85E14C45AE">
    <w:name w:val="94EA73B728BC47A09E474F85E14C45AE"/>
    <w:rsid w:val="00EC1BAF"/>
  </w:style>
  <w:style w:type="paragraph" w:customStyle="1" w:styleId="7CA7DAF9834D4886A6520D8EE41638D5">
    <w:name w:val="7CA7DAF9834D4886A6520D8EE41638D5"/>
    <w:rsid w:val="00EC1BAF"/>
  </w:style>
  <w:style w:type="paragraph" w:customStyle="1" w:styleId="32E85171092C4917A135244AC2621158">
    <w:name w:val="32E85171092C4917A135244AC2621158"/>
    <w:rsid w:val="00FE0CAD"/>
  </w:style>
  <w:style w:type="paragraph" w:customStyle="1" w:styleId="5271557EA07D40F9AA3436EEC5B3F413">
    <w:name w:val="5271557EA07D40F9AA3436EEC5B3F413"/>
    <w:rsid w:val="00FE0CAD"/>
  </w:style>
  <w:style w:type="paragraph" w:customStyle="1" w:styleId="A802D67627D44EC58A95D298FBFA6A9B">
    <w:name w:val="A802D67627D44EC58A95D298FBFA6A9B"/>
    <w:rsid w:val="00FE0CAD"/>
  </w:style>
  <w:style w:type="paragraph" w:customStyle="1" w:styleId="2AA1105F23D94041AF531F181BCF3399">
    <w:name w:val="2AA1105F23D94041AF531F181BCF3399"/>
    <w:rsid w:val="00FE0CAD"/>
  </w:style>
  <w:style w:type="paragraph" w:customStyle="1" w:styleId="4585FF28B579451B9B3D93C1DE1946C4">
    <w:name w:val="4585FF28B579451B9B3D93C1DE1946C4"/>
    <w:rsid w:val="00FE0CAD"/>
  </w:style>
  <w:style w:type="paragraph" w:customStyle="1" w:styleId="5D2B1E23BB8B4BB6A75EDBA99D8D994F">
    <w:name w:val="5D2B1E23BB8B4BB6A75EDBA99D8D994F"/>
    <w:rsid w:val="00FE0CAD"/>
  </w:style>
  <w:style w:type="paragraph" w:customStyle="1" w:styleId="12CBA1F701824002A3F7F0807F7DED55">
    <w:name w:val="12CBA1F701824002A3F7F0807F7DED55"/>
    <w:rsid w:val="00FB0EE4"/>
  </w:style>
  <w:style w:type="paragraph" w:customStyle="1" w:styleId="2A17F373F6174E86BAAD19703612D7D9">
    <w:name w:val="2A17F373F6174E86BAAD19703612D7D9"/>
    <w:rsid w:val="00FB0EE4"/>
  </w:style>
  <w:style w:type="paragraph" w:customStyle="1" w:styleId="4B0FB5DE3F614CF293929918668EFB1C">
    <w:name w:val="4B0FB5DE3F614CF293929918668EFB1C"/>
    <w:rsid w:val="00FB0EE4"/>
  </w:style>
  <w:style w:type="paragraph" w:customStyle="1" w:styleId="69D5C62C3BFA4A1E89AEFE5A18326F3B">
    <w:name w:val="69D5C62C3BFA4A1E89AEFE5A18326F3B"/>
    <w:rsid w:val="00FB0EE4"/>
  </w:style>
  <w:style w:type="paragraph" w:customStyle="1" w:styleId="A419C63F972C4003B062485EC97208CD">
    <w:name w:val="A419C63F972C4003B062485EC97208CD"/>
    <w:rsid w:val="00FB0EE4"/>
  </w:style>
  <w:style w:type="paragraph" w:customStyle="1" w:styleId="55B6C3A269BD43E18E3C173ADBFD83A2">
    <w:name w:val="55B6C3A269BD43E18E3C173ADBFD83A2"/>
    <w:rsid w:val="00FB0EE4"/>
  </w:style>
  <w:style w:type="paragraph" w:customStyle="1" w:styleId="1B40449CBBD84068840780FA9D535CBB">
    <w:name w:val="1B40449CBBD84068840780FA9D535CBB"/>
    <w:rsid w:val="00FB0EE4"/>
  </w:style>
  <w:style w:type="paragraph" w:customStyle="1" w:styleId="450AA5F21A414631AAA0A6969CF50EB8">
    <w:name w:val="450AA5F21A414631AAA0A6969CF50EB8"/>
    <w:rsid w:val="00414A67"/>
  </w:style>
  <w:style w:type="paragraph" w:customStyle="1" w:styleId="1E8386E87D1248EBB4627DDD1996CF9D">
    <w:name w:val="1E8386E87D1248EBB4627DDD1996CF9D"/>
    <w:rsid w:val="000E0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CV CC">
  <a:themeElements>
    <a:clrScheme name="SCV CC">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ASA14</b:Tag>
    <b:SourceType>ElectronicSource</b:SourceType>
    <b:Guid>{0683B9EE-8ECD-463C-B59B-389F595E01A0}</b:Guid>
    <b:Title>ASA physical status classification system</b:Title>
    <b:Year>2014</b:Year>
    <b:Author>
      <b:Author>
        <b:Corporate>ASA House of Delegates/Executive Committee</b:Corporate>
      </b:Author>
    </b:Author>
    <b:URL>https://www.asahq.org/standards-and-guidelines/asa-physical-status-classification-system</b:URL>
    <b:DayAccessed>28 May 2019</b:DayAccessed>
    <b:RefOrder>1</b:RefOrder>
  </b:Source>
  <b:Source>
    <b:Tag>Aus19</b:Tag>
    <b:SourceType>DocumentFromInternetSite</b:SourceType>
    <b:Guid>{86632B29-4FC7-428E-856D-C27902954286}</b:Guid>
    <b:Title>Safe procedural sedation competencies</b:Title>
    <b:Author>
      <b:Author>
        <b:Corporate>Australian and New Zealand College of Anaesthetsists</b:Corporate>
      </b:Author>
    </b:Author>
    <b:YearAccessed>2019</b:YearAccessed>
    <b:MonthAccessed>May</b:MonthAccessed>
    <b:DayAccessed>28</b:DayAccessed>
    <b:URL>http://www.anzca.edu.au/resources/safe-procedural-sedation-competencies</b:URL>
    <b:Version>Version 1.0 February 2019</b:Version>
    <b:Year>2019</b:Year>
    <b:RefOrder>43</b:RefOrder>
  </b:Source>
  <b:Source>
    <b:Tag>Rob14</b:Tag>
    <b:SourceType>JournalArticle</b:SourceType>
    <b:Guid>{D9D0A86F-F916-4F3E-8B01-586EE9EFAFC5}</b:Guid>
    <b:Title>Aspiration under anaesthesia: risk assessment and decision making</b:Title>
    <b:JournalName>Continuing Education in Anaesthesia Critical Care &amp; Pain</b:JournalName>
    <b:Year>2014</b:Year>
    <b:Pages>171-175</b:Pages>
    <b:Author>
      <b:Author>
        <b:NameList>
          <b:Person>
            <b:Last>Robinson</b:Last>
            <b:First>M</b:First>
          </b:Person>
          <b:Person>
            <b:Last>Davidson</b:Last>
            <b:First>A</b:First>
          </b:Person>
        </b:NameList>
      </b:Author>
    </b:Author>
    <b:Volume>14</b:Volume>
    <b:Issue>4</b:Issue>
    <b:URL>https://doi.org/10.1093/bjaceaccp/mkt053</b:URL>
    <b:RefOrder>44</b:RefOrder>
  </b:Source>
  <b:Source>
    <b:Tag>Aus191</b:Tag>
    <b:SourceType>ElectronicSource</b:SourceType>
    <b:Guid>{9312A0FC-410D-4FF8-9E54-73FAC53055E9}</b:Guid>
    <b:Author>
      <b:Author>
        <b:Corporate>Australian and New Zealand College of Anaesthetists</b:Corporate>
      </b:Author>
    </b:Author>
    <b:Title>PS61 - Guidelines for the management of evolving airway obstruction: Transition to the can't intubate can't oxygenate airway emergency</b:Title>
    <b:YearAccessed>2019</b:YearAccessed>
    <b:URL>http://www.anzca.edu.au/documents/ps61-2017.pdf</b:URL>
    <b:Year>2017</b:Year>
    <b:RefOrder>45</b:RefOrder>
  </b:Source>
  <b:Source>
    <b:Tag>Ath18</b:Tag>
    <b:SourceType>JournalArticle</b:SourceType>
    <b:Guid>{72FDE5DE-4EB1-4F22-A94D-8BAEC7477E85}</b:Guid>
    <b:Title>Systematic review of benefits or harms of routine anaesthetist-inserted throat packs in adults: practice recommendations for inserting and counting throat packs</b:Title>
    <b:JournalName>Anaesthesia</b:JournalName>
    <b:Year>2018</b:Year>
    <b:Pages>612-618</b:Pages>
    <b:Volume>73</b:Volume>
    <b:DOI>10.1111/anae.14197</b:DOI>
    <b:Author>
      <b:Author>
        <b:NameList>
          <b:Person>
            <b:Last>Athanassoglou</b:Last>
            <b:First>V</b:First>
          </b:Person>
          <b:Person>
            <b:Last>Patel</b:Last>
            <b:First>A</b:First>
          </b:Person>
          <b:Person>
            <b:Last>McGuire</b:Last>
            <b:First>B</b:First>
          </b:Person>
          <b:Person>
            <b:Last>Higgs</b:Last>
            <b:First>A</b:First>
          </b:Person>
          <b:Person>
            <b:Last>Dover</b:Last>
            <b:Middle>S</b:Middle>
            <b:First>M</b:First>
          </b:Person>
          <b:Person>
            <b:Last>Brennan</b:Last>
            <b:Middle>A</b:Middle>
            <b:First>P</b:First>
          </b:Person>
          <b:Person>
            <b:Last>Banerjee</b:Last>
            <b:First>A</b:First>
          </b:Person>
          <b:Person>
            <b:Last>Bingham</b:Last>
            <b:First>B</b:First>
          </b:Person>
          <b:Person>
            <b:Last>Pandit</b:Last>
            <b:Middle>J</b:Middle>
            <b:First>J</b:First>
          </b:Person>
        </b:NameList>
      </b:Author>
    </b:Author>
    <b:RefOrder>38</b:RefOrder>
  </b:Source>
  <b:Source>
    <b:Tag>Pin15</b:Tag>
    <b:SourceType>JournalArticle</b:SourceType>
    <b:Guid>{CAB8B253-FD5C-45E1-87D2-EFD2E96C2A2C}</b:Guid>
    <b:Title>The unexpected epidural: a case report</b:Title>
    <b:Year>2015</b:Year>
    <b:Volume>15:83</b:Volume>
    <b:DOI>10.1186/s12871-015-0062-4</b:DOI>
    <b:Author>
      <b:Author>
        <b:NameList>
          <b:Person>
            <b:Last>Pinciroli</b:Last>
            <b:First>R</b:First>
          </b:Person>
          <b:Person>
            <b:Last>Fumagalli</b:Last>
            <b:First>R</b:First>
          </b:Person>
        </b:NameList>
      </b:Author>
    </b:Author>
    <b:JournalName>Anesthesiology</b:JournalName>
    <b:RefOrder>36</b:RefOrder>
  </b:Source>
  <b:Source>
    <b:Tag>Aus18</b:Tag>
    <b:SourceType>ElectronicSource</b:SourceType>
    <b:Guid>{2FD509F5-3C04-41D9-908F-F9F17F284A9A}</b:Guid>
    <b:Author>
      <b:Author>
        <b:Corporate>Australian Bureau of Statistics</b:Corporate>
      </b:Author>
    </b:Author>
    <b:Title>National Health Survey first results: Australia 2017-18</b:Title>
    <b:City>Canberra</b:City>
    <b:StateProvince>ACT</b:StateProvince>
    <b:Year>2018</b:Year>
    <b:URL>https://www.ausstats.abs.gov.au/ausstats/subscriber.nsf/0/4B3976684C09F43FCA258399001CE630/$File/4364.0.55.001%20-%20national%20health%20survey,%20first%20results,%202017-18.pdf</b:URL>
    <b:RefOrder>14</b:RefOrder>
  </b:Source>
  <b:Source>
    <b:Tag>Aus17</b:Tag>
    <b:SourceType>ElectronicSource</b:SourceType>
    <b:Guid>{DAF3B863-9277-44AB-8624-780E1654372C}</b:Guid>
    <b:Author>
      <b:Author>
        <b:Corporate>Australian Institute of Health and Welfare</b:Corporate>
      </b:Author>
      <b:ProducerName>
        <b:NameList>
          <b:Person>
            <b:Last>AIHW</b:Last>
          </b:Person>
        </b:NameList>
      </b:ProducerName>
    </b:Author>
    <b:Title>A picture of overweight and obesity in Australia 2017. Cat. no.PHE 216</b:Title>
    <b:City>Canberra</b:City>
    <b:StateProvince>ACT</b:StateProvince>
    <b:Year>2017</b:Year>
    <b:RefOrder>39</b:RefOrder>
  </b:Source>
  <b:Source>
    <b:Tag>Aus182</b:Tag>
    <b:SourceType>ElectronicSource</b:SourceType>
    <b:Guid>{78FAE6A8-0E87-4580-A0A1-5EDA5D6CA60A}</b:Guid>
    <b:Author>
      <b:Author>
        <b:Corporate>Australian Institute of Health and Welfare</b:Corporate>
      </b:Author>
      <b:ProducerName>
        <b:NameList>
          <b:Person>
            <b:Last>AIHW</b:Last>
          </b:Person>
        </b:NameList>
      </b:ProducerName>
    </b:Author>
    <b:Title>2018. Australia’s health 2018: in brief. Cat. no. AUS 222</b:Title>
    <b:City>Canberra</b:City>
    <b:StateProvince>ACT</b:StateProvince>
    <b:Year>2018</b:Year>
    <b:RefOrder>46</b:RefOrder>
  </b:Source>
  <b:Source>
    <b:Tag>Aus16</b:Tag>
    <b:SourceType>ElectronicSource</b:SourceType>
    <b:Guid>{B33C77FF-E8D4-4220-BFD3-D1035999C95E}</b:Guid>
    <b:Title>Perioperative anaphylaxis management guidelines</b:Title>
    <b:Year>2016</b:Year>
    <b:Author>
      <b:Author>
        <b:Corporate>Australian and New Zealand College of Anaesthetists and Australian and New Zealand Anaesthetic Allergy Group</b:Corporate>
      </b:Author>
    </b:Author>
    <b:URL>http://www.anzca.edu.au/documents/bp-anaphylaxis-2016.pdf</b:URL>
    <b:RefOrder>31</b:RefOrder>
  </b:Source>
  <b:Source>
    <b:Tag>Roy18</b:Tag>
    <b:SourceType>ElectronicSource</b:SourceType>
    <b:Guid>{2F6883D9-1135-4490-A521-DE441C8D1F33}</b:Guid>
    <b:Title>Anaesthesia, surgery and life-threatening allergic reactions. Report and findings of the Royal College of Anaesthetists' 6th National Audit Project</b:Title>
    <b:Year>2018</b:Year>
    <b:Author>
      <b:Author>
        <b:Corporate>Royal College of Anaesthetists</b:Corporate>
      </b:Author>
      <b:Editor>
        <b:NameList>
          <b:Person>
            <b:Last>Cook</b:Last>
            <b:Middle>M</b:Middle>
            <b:First>T</b:First>
          </b:Person>
          <b:Person>
            <b:Last>Harper</b:Last>
            <b:First>N</b:First>
          </b:Person>
        </b:NameList>
      </b:Editor>
    </b:Author>
    <b:City>London</b:City>
    <b:URL>https://www.nationalauditprojects.org.uk/NAP6Report#pt</b:URL>
    <b:RefOrder>28</b:RefOrder>
  </b:Source>
  <b:Source>
    <b:Tag>Aus15</b:Tag>
    <b:SourceType>ElectronicSource</b:SourceType>
    <b:Guid>{AE2F751C-3F23-4573-A250-F6CA1680FCD3}</b:Guid>
    <b:Title>National Cnsensus Statement: Essential elements for safe and high-quality end-of-life care</b:Title>
    <b:Year>2015</b:Year>
    <b:Author>
      <b:Author>
        <b:Corporate>Australian Commission on Safety and Quality in Health Care</b:Corporate>
      </b:Author>
    </b:Author>
    <b:City>Sydney</b:City>
    <b:Publisher>ACSQHC</b:Publisher>
    <b:RefOrder>47</b:RefOrder>
  </b:Source>
  <b:Source>
    <b:Tag>Ame</b:Tag>
    <b:SourceType>JournalArticle</b:SourceType>
    <b:Guid>{BE9282B0-2BFD-4DD2-8F7A-B12EA4F3E982}</b:Guid>
    <b:Author>
      <b:Author>
        <b:Corporate>American Society of Anesthesiologists</b:Corporate>
      </b:Author>
    </b:Author>
    <b:Title>Practice guidelines for the perioperative management of patients with obstructive sleep apnea: an updated report by the American Society of Anesthesiologists Task Force on Perioperative Management of Patients with Obstructive Sleep Apnea</b:Title>
    <b:Year>2014</b:Year>
    <b:JournalName>Anesthesiology</b:JournalName>
    <b:Pages>268-286</b:Pages>
    <b:Volume>120</b:Volume>
    <b:Issue>2</b:Issue>
    <b:DOI>10.1097/ALN.0000000000000053</b:DOI>
    <b:RefOrder>42</b:RefOrder>
  </b:Source>
  <b:Source>
    <b:Tag>Ass15</b:Tag>
    <b:SourceType>JournalArticle</b:SourceType>
    <b:Guid>{C93F5F52-458C-4B1F-942A-44CD3C24E0D0}</b:Guid>
    <b:Title>Safety guideline: reducing the risk from cemented hemiarthroplasty for hip fracture</b:Title>
    <b:JournalName>Anaesthesia</b:JournalName>
    <b:Year>2015</b:Year>
    <b:Pages>623-626</b:Pages>
    <b:Volume>70</b:Volume>
    <b:URL>http://onlinelibrary.wiley.com/doi/10.1111/anae.13036/ful</b:URL>
    <b:Author>
      <b:Author>
        <b:Corporate>Association of Anaesthetists of Great Britain and Ireland</b:Corporate>
      </b:Author>
    </b:Author>
    <b:RefOrder>20</b:RefOrder>
  </b:Source>
  <b:Source>
    <b:Tag>Ans14</b:Tag>
    <b:SourceType>JournalArticle</b:SourceType>
    <b:Guid>{6E170DA3-2341-4E82-BB23-62237D2D9D8F}</b:Guid>
    <b:Title>Vascular access in resuscitation</b:Title>
    <b:JournalName>Anesthesiology</b:JournalName>
    <b:Year>2014</b:Year>
    <b:Pages>1015-1031</b:Pages>
    <b:Volume>120</b:Volume>
    <b:Issue>4</b:Issue>
    <b:Author>
      <b:Author>
        <b:NameList>
          <b:Person>
            <b:Last>Anson</b:Last>
            <b:First>JA</b:First>
          </b:Person>
        </b:NameList>
      </b:Author>
    </b:Author>
    <b:RefOrder>48</b:RefOrder>
  </b:Source>
  <b:Source>
    <b:Tag>Ban17</b:Tag>
    <b:SourceType>JournalArticle</b:SourceType>
    <b:Guid>{E4C06646-DB6B-49EC-AF0D-BD47E1CF4537}</b:Guid>
    <b:Title>Use of antiplatelet therapy/DAPT for post-PCI patients undergoing noncardiac surgery</b:Title>
    <b:JournalName>Journal of the American College of Cardiology</b:JournalName>
    <b:Year>2017</b:Year>
    <b:Pages>1861-1870</b:Pages>
    <b:Volume>69</b:Volume>
    <b:Issue>14</b:Issue>
    <b:URL>http://dx.doi.org/10.1016/j.jacc.2017.02.012</b:URL>
    <b:Author>
      <b:Author>
        <b:NameList>
          <b:Person>
            <b:Last>Banerjee</b:Last>
            <b:First>S</b:First>
          </b:Person>
          <b:Person>
            <b:Last>Angiolillo</b:Last>
            <b:First>DJ</b:First>
          </b:Person>
          <b:Person>
            <b:Last>Boden</b:Last>
            <b:First>WE</b:First>
          </b:Person>
          <b:Person>
            <b:Last>Murphy</b:Last>
            <b:First>JG</b:First>
          </b:Person>
          <b:Person>
            <b:Last>Khalili</b:Last>
            <b:First>H</b:First>
          </b:Person>
          <b:Person>
            <b:Last>Hasan</b:Last>
            <b:First>AA</b:First>
          </b:Person>
          <b:Person>
            <b:Last>Harrington</b:Last>
            <b:First>RA</b:First>
          </b:Person>
          <b:Person>
            <b:Last>Rao</b:Last>
            <b:First>SV</b:First>
          </b:Person>
        </b:NameList>
      </b:Author>
    </b:Author>
    <b:RefOrder>23</b:RefOrder>
  </b:Source>
  <b:Source>
    <b:Tag>Bar12</b:Tag>
    <b:SourceType>JournalArticle</b:SourceType>
    <b:Guid>{074752D8-FA0C-4065-BF32-13999BE2F52F}</b:Guid>
    <b:Title>Shared decision making - pinnacle of patient-centred care</b:Title>
    <b:Year>2012</b:Year>
    <b:Author>
      <b:Author>
        <b:NameList>
          <b:Person>
            <b:Last>Barry</b:Last>
            <b:First>MJ</b:First>
          </b:Person>
          <b:Person>
            <b:Last>Edgman-Levitan</b:Last>
            <b:First>S</b:First>
          </b:Person>
        </b:NameList>
      </b:Author>
    </b:Author>
    <b:Volume>366</b:Volume>
    <b:DOI>10.1056/NEJMp1109283</b:DOI>
    <b:JournalName>New England Journal of Medicine</b:JournalName>
    <b:Pages>780-781</b:Pages>
    <b:RefOrder>12</b:RefOrder>
  </b:Source>
  <b:Source>
    <b:Tag>Cha14</b:Tag>
    <b:SourceType>JournalArticle</b:SourceType>
    <b:Guid>{7147C57A-CA52-421B-822C-4F75A737DF98}</b:Guid>
    <b:Title>Human factors in anaesthetic crisis</b:Title>
    <b:JournalName>World Journal of Anesthesiology</b:JournalName>
    <b:Year>2014</b:Year>
    <b:Pages>203-212</b:Pages>
    <b:DOI>10.5313/wja.v3.i3.203</b:DOI>
    <b:Author>
      <b:Author>
        <b:NameList>
          <b:Person>
            <b:Last>Chandran</b:Last>
            <b:First>R</b:First>
          </b:Person>
          <b:Person>
            <b:Last>DeSousa</b:Last>
            <b:First>KA</b:First>
          </b:Person>
        </b:NameList>
      </b:Author>
    </b:Author>
    <b:RefOrder>9</b:RefOrder>
  </b:Source>
  <b:Source>
    <b:Tag>Coo12</b:Tag>
    <b:SourceType>JournalArticle</b:SourceType>
    <b:Guid>{08C63C63-EE2B-4A7F-A061-99AEE2CEA792}</b:Guid>
    <b:Title>Complications and failure of airway management</b:Title>
    <b:JournalName>British Journal of Anaesthesia</b:JournalName>
    <b:Year>2012</b:Year>
    <b:Pages>i68-i85</b:Pages>
    <b:Volume>109</b:Volume>
    <b:Issue>51</b:Issue>
    <b:DOI>10.1093/bja/aes393</b:DOI>
    <b:Author>
      <b:Author>
        <b:NameList>
          <b:Person>
            <b:Last>Cook</b:Last>
            <b:First>TM</b:First>
          </b:Person>
          <b:Person>
            <b:Last>MacDougall-Davis</b:Last>
            <b:First>SR</b:First>
          </b:Person>
        </b:NameList>
      </b:Author>
    </b:Author>
    <b:RefOrder>15</b:RefOrder>
  </b:Source>
  <b:Source>
    <b:Tag>Dek14</b:Tag>
    <b:SourceType>Book</b:SourceType>
    <b:Guid>{C1A7F151-B345-4B66-901D-A85652F109AD}</b:Guid>
    <b:Title>The field guide to understanding 'human error'</b:Title>
    <b:Year>2014</b:Year>
    <b:Author>
      <b:Author>
        <b:NameList>
          <b:Person>
            <b:Last>Dekker</b:Last>
            <b:First>S</b:First>
          </b:Person>
        </b:NameList>
      </b:Author>
    </b:Author>
    <b:City>Boca Raton</b:City>
    <b:Publisher>CRC Press/ebook</b:Publisher>
    <b:StateProvince>FL</b:StateProvince>
    <b:CountryRegion>United States </b:CountryRegion>
    <b:Edition>3rd </b:Edition>
    <b:RefOrder>49</b:RefOrder>
  </b:Source>
  <b:Source>
    <b:Tag>Dra07</b:Tag>
    <b:SourceType>JournalArticle</b:SourceType>
    <b:Guid>{6C015C8C-BBDF-478D-8E1A-1A5F77DE0A95}</b:Guid>
    <b:Title>Interpleural block - part 2</b:Title>
    <b:JournalName>Anaesthesia</b:JournalName>
    <b:Year>2007</b:Year>
    <b:Pages>1143-1153</b:Pages>
    <b:Volume>62</b:Volume>
    <b:DOI>10.1111/j.1365-2044.2007.05181.x</b:DOI>
    <b:Author>
      <b:Author>
        <b:NameList>
          <b:Person>
            <b:Last>Dravid</b:Last>
            <b:First>RM</b:First>
          </b:Person>
          <b:Person>
            <b:Last>Paul</b:Last>
            <b:First>RE</b:First>
          </b:Person>
        </b:NameList>
      </b:Author>
    </b:Author>
    <b:RefOrder>35</b:RefOrder>
  </b:Source>
  <b:Source>
    <b:Tag>Har181</b:Tag>
    <b:SourceType>JournalArticle</b:SourceType>
    <b:Guid>{F7F31045-FDA0-4707-8BAD-BEE370D3D956}</b:Guid>
    <b:Title>Anaesthesia, surgery and life threatening allergic reactions: Epidemiology and clinical features of perioperative anaphylaxis in the 6th National Audit Project (NAP6).</b:Title>
    <b:JournalName>British Journal of Anesthesia</b:JournalName>
    <b:Year>2018</b:Year>
    <b:Author>
      <b:Author>
        <b:NameList>
          <b:Person>
            <b:Last>Harper</b:Last>
            <b:First>NJ</b:First>
          </b:Person>
          <b:Person>
            <b:Last>Cook</b:Last>
            <b:First>TM</b:First>
          </b:Person>
          <b:Person>
            <b:Last>Garcez</b:Last>
            <b:First>T</b:First>
          </b:Person>
          <b:Person>
            <b:Last>Farmer</b:Last>
            <b:First>L</b:First>
          </b:Person>
          <b:Person>
            <b:Last>Floss</b:Last>
            <b:First>K</b:First>
          </b:Person>
          <b:Person>
            <b:Last>Marinho</b:Last>
            <b:First>S</b:First>
          </b:Person>
          <b:Person>
            <b:Last>Torevell</b:Last>
            <b:First>H</b:First>
          </b:Person>
          <b:Person>
            <b:Last>Ferguson</b:Last>
            <b:First>K</b:First>
          </b:Person>
          <b:Person>
            <b:Last>Hitchman</b:Last>
            <b:First>J</b:First>
          </b:Person>
          <b:Person>
            <b:Last>Egner</b:Last>
            <b:First>W</b:First>
          </b:Person>
          <b:Person>
            <b:Last>Kemp</b:Last>
            <b:First>H</b:First>
          </b:Person>
          <b:Person>
            <b:Last>Thomas</b:Last>
            <b:First>M</b:First>
          </b:Person>
          <b:Person>
            <b:Last>Lucas</b:Last>
            <b:First>DN</b:First>
          </b:Person>
          <b:Person>
            <b:Last>Nasser</b:Last>
            <b:First>S</b:First>
          </b:Person>
          <b:Person>
            <b:Last>Karanam</b:Last>
            <b:First>S</b:First>
          </b:Person>
          <b:Person>
            <b:Last>Kong</b:Last>
            <b:First>KL</b:First>
          </b:Person>
          <b:Person>
            <b:Last>Farooque</b:Last>
            <b:First>S</b:First>
          </b:Person>
          <b:Person>
            <b:Last>Bellamy</b:Last>
            <b:First>M</b:First>
          </b:Person>
          <b:Person>
            <b:Last>McGuire</b:Last>
            <b:First>N</b:First>
          </b:Person>
        </b:NameList>
      </b:Author>
    </b:Author>
    <b:DOI>10.1016/j.bja.2018.04.014</b:DOI>
    <b:Pages>159-171</b:Pages>
    <b:Volume>121</b:Volume>
    <b:Issue>1</b:Issue>
    <b:RefOrder>30</b:RefOrder>
  </b:Source>
  <b:Source>
    <b:Tag>Hur17</b:Tag>
    <b:SourceType>JournalArticle</b:SourceType>
    <b:Guid>{EDF67832-BEC1-49E7-90ED-C3DDEFC656CA}</b:Guid>
    <b:Title>Adding examples to the ASA-physical status classification improves correct assignment to patients.</b:Title>
    <b:JournalName>Anesthesiology</b:JournalName>
    <b:Year>2017</b:Year>
    <b:Pages>614-622</b:Pages>
    <b:Volume>126</b:Volume>
    <b:DOI>10.1097/ALN.0000000000001541</b:DOI>
    <b:Author>
      <b:Author>
        <b:NameList>
          <b:Person>
            <b:Last>Hurwitz</b:Last>
            <b:First>EE</b:First>
          </b:Person>
          <b:Person>
            <b:Last>Simon</b:Last>
            <b:First>M</b:First>
          </b:Person>
          <b:Person>
            <b:Last>Vinta</b:Last>
            <b:First>SR</b:First>
          </b:Person>
          <b:Person>
            <b:Last>Zehm</b:Last>
            <b:First>CF</b:First>
          </b:Person>
          <b:Person>
            <b:Last>Shabot</b:Last>
            <b:First>SM</b:First>
          </b:Person>
          <b:Person>
            <b:Last>Minhajuddin</b:Last>
            <b:First>A</b:First>
          </b:Person>
          <b:Person>
            <b:Last>Abouleish</b:Last>
            <b:First>AE</b:First>
          </b:Person>
        </b:NameList>
      </b:Author>
    </b:Author>
    <b:RefOrder>3</b:RefOrder>
  </b:Source>
  <b:Source>
    <b:Tag>Jon18</b:Tag>
    <b:SourceType>JournalArticle</b:SourceType>
    <b:Guid>{072771FF-4A35-4419-81AC-D8833C3302B3}</b:Guid>
    <b:Title>Human factors in preventing complications in anaesthesia: a systematic review</b:Title>
    <b:JournalName>Anaesthesia</b:JournalName>
    <b:Year>2018</b:Year>
    <b:Pages>12-24</b:Pages>
    <b:Volume>73</b:Volume>
    <b:Issue>Suppl. 1</b:Issue>
    <b:DOI>10.1111/anae.14136</b:DOI>
    <b:Author>
      <b:Author>
        <b:NameList>
          <b:Person>
            <b:Last>Jones</b:Last>
            <b:First>CP</b:First>
          </b:Person>
          <b:Person>
            <b:Last>Fawker-Corbett</b:Last>
            <b:First>J</b:First>
          </b:Person>
          <b:Person>
            <b:Last>Groom</b:Last>
            <b:First>P</b:First>
          </b:Person>
          <b:Person>
            <b:Last>Morton</b:Last>
            <b:First>B</b:First>
          </b:Person>
          <b:Person>
            <b:Last>Lister</b:Last>
            <b:First>C</b:First>
          </b:Person>
          <b:Person>
            <b:Last>Mercer</b:Last>
            <b:First>SJ</b:First>
          </b:Person>
        </b:NameList>
      </b:Author>
    </b:Author>
    <b:RefOrder>4</b:RefOrder>
  </b:Source>
  <b:Source>
    <b:Tag>Klu99</b:Tag>
    <b:SourceType>JournalArticle</b:SourceType>
    <b:Guid>{A04931DB-F1A1-4AC7-94DE-89C395D2426E}</b:Guid>
    <b:Title>Aspiration during anaesthesia: a review of 133 cases from the Australian Anaesthetic Incident Monitoring Study (AIMS)</b:Title>
    <b:JournalName>Anaesthesia</b:JournalName>
    <b:Year>1999</b:Year>
    <b:Pages>19-26</b:Pages>
    <b:Volume>15</b:Volume>
    <b:DOI>10.1046/j.1365-2044.1999.00642.x</b:DOI>
    <b:Author>
      <b:Author>
        <b:NameList>
          <b:Person>
            <b:Last>Kluger</b:Last>
            <b:First>MT</b:First>
          </b:Person>
          <b:Person>
            <b:Last>Short</b:Last>
            <b:First>TG</b:First>
          </b:Person>
        </b:NameList>
      </b:Author>
    </b:Author>
    <b:RefOrder>50</b:RefOrder>
  </b:Source>
  <b:Source>
    <b:Tag>Kol17</b:Tag>
    <b:SourceType>JournalArticle</b:SourceType>
    <b:Guid>{13D4EE27-D2E1-497B-A308-FA3916AE79E8}</b:Guid>
    <b:Title>Australian and New Zealand Anaesthetic Allergy Group/Australian and New Zealand College of Anaesthetists Perioperative Anaphylaxis Management Guidelines</b:Title>
    <b:JournalName>Anaesthesia and Intensive Care</b:JournalName>
    <b:Year>2017</b:Year>
    <b:Pages>151-158</b:Pages>
    <b:Volume>45</b:Volume>
    <b:Issue>2</b:Issue>
    <b:Author>
      <b:Author>
        <b:NameList>
          <b:Person>
            <b:Last>Kolawole</b:Last>
            <b:First>H</b:First>
          </b:Person>
          <b:Person>
            <b:Last>Marshall</b:Last>
            <b:First>SD</b:First>
          </b:Person>
          <b:Person>
            <b:Last>Crilly</b:Last>
            <b:First>H</b:First>
          </b:Person>
          <b:Person>
            <b:Last>Kerridges</b:Last>
            <b:First>R</b:First>
          </b:Person>
          <b:Person>
            <b:Last>Roessler</b:Last>
            <b:First>P</b:First>
          </b:Person>
        </b:NameList>
      </b:Author>
    </b:Author>
    <b:RefOrder>26</b:RefOrder>
  </b:Source>
  <b:Source>
    <b:Tag>Mah16</b:Tag>
    <b:SourceType>JournalArticle</b:SourceType>
    <b:Guid>{3FF3C045-EF45-42FD-BFFB-28D7C22CB377}</b:Guid>
    <b:Title>Perioperative cardiovascular risk of prior coronary stent implantation among patients undergoing noncardiac surgery</b:Title>
    <b:JournalName>Journal of the American College of Cardiology</b:JournalName>
    <b:Year>2016</b:Year>
    <b:Pages>1038-1049</b:Pages>
    <b:Author>
      <b:Author>
        <b:NameList>
          <b:Person>
            <b:Last>Mahmoud</b:Last>
            <b:First>KD</b:First>
          </b:Person>
          <b:Person>
            <b:Last>Sanon</b:Last>
            <b:First>S</b:First>
          </b:Person>
          <b:Person>
            <b:Last>Habermann</b:Last>
            <b:First>EB</b:First>
          </b:Person>
          <b:Person>
            <b:Last>Lennon</b:Last>
            <b:First>RJ</b:First>
          </b:Person>
          <b:Person>
            <b:Last>Thomsen</b:Last>
            <b:First>KM</b:First>
          </b:Person>
          <b:Person>
            <b:Last>Wood</b:Last>
            <b:First>DL</b:First>
          </b:Person>
          <b:Person>
            <b:Last>Zijlstra</b:Last>
            <b:First>F</b:First>
          </b:Person>
          <b:Person>
            <b:Last>Frye</b:Last>
            <b:First>RL</b:First>
          </b:Person>
          <b:Person>
            <b:Last>Holmes Jr</b:Last>
            <b:First>DR</b:First>
          </b:Person>
        </b:NameList>
      </b:Author>
    </b:Author>
    <b:Volume>67</b:Volume>
    <b:Issue>9</b:Issue>
    <b:URL>https//doi.org/10.1016/j.jacc.2015.11.063</b:URL>
    <b:RefOrder>22</b:RefOrder>
  </b:Source>
  <b:Source>
    <b:Tag>May19</b:Tag>
    <b:SourceType>JournalArticle</b:SourceType>
    <b:Guid>{0D01E594-B5E2-4F95-865A-7EBEED1510FC}</b:Guid>
    <b:Title>A review of ASA physical status - historical perspectives and modern developments</b:Title>
    <b:Year>2019</b:Year>
    <b:JournalName>Anaesthesia</b:JournalName>
    <b:Pages>373-379</b:Pages>
    <b:Volume>74</b:Volume>
    <b:DOI>10.1111/anae.14569</b:DOI>
    <b:Author>
      <b:Author>
        <b:NameList>
          <b:Person>
            <b:Last>Mayhew</b:Last>
            <b:First>D</b:First>
          </b:Person>
          <b:Person>
            <b:Last>Mendonca</b:Last>
            <b:First>V</b:First>
          </b:Person>
          <b:Person>
            <b:Last>Murthy</b:Last>
            <b:First>BV</b:First>
          </b:Person>
        </b:NameList>
      </b:Author>
    </b:Author>
    <b:RefOrder>2</b:RefOrder>
  </b:Source>
  <b:Source>
    <b:Tag>Mut14</b:Tag>
    <b:SourceType>JournalArticle</b:SourceType>
    <b:Guid>{6588B47B-2EF9-48C7-9ED9-56D3612B5B3D}</b:Guid>
    <b:Title>A matched cohort study of postoperative outcomes in obstructive sleep apnoea</b:Title>
    <b:JournalName>Anesthesiology</b:JournalName>
    <b:Year>2014</b:Year>
    <b:Pages>707-718</b:Pages>
    <b:Author>
      <b:Author>
        <b:NameList>
          <b:Person>
            <b:Last>Mutter</b:Last>
            <b:First>TC</b:First>
          </b:Person>
          <b:Person>
            <b:Last>Chateau</b:Last>
            <b:First>D</b:First>
          </b:Person>
          <b:Person>
            <b:Last>Moffatt</b:Last>
            <b:First>M</b:First>
          </b:Person>
          <b:Person>
            <b:Last>Ramsey</b:Last>
            <b:First>C</b:First>
          </b:Person>
          <b:Person>
            <b:Last>Roos</b:Last>
            <b:First>LL</b:First>
          </b:Person>
          <b:Person>
            <b:Last>Kryger</b:Last>
            <b:First>M</b:First>
          </b:Person>
        </b:NameList>
      </b:Author>
    </b:Author>
    <b:Volume>121</b:Volume>
    <b:URL>http://anesthesiology.pubs.asahq.org/article.aspx?articleid=1921548</b:URL>
    <b:DOI>10.1097/ALN.0000000000000407.</b:DOI>
    <b:RefOrder>41</b:RefOrder>
  </b:Source>
  <b:Source>
    <b:Tag>Nag17</b:Tag>
    <b:SourceType>JournalArticle</b:SourceType>
    <b:Guid>{89EE2328-566A-4ED3-A854-7650ECE67C21}</b:Guid>
    <b:Title>Growth of nonoperating room anesthesia care in the United States: a contemporary trends analysis</b:Title>
    <b:JournalName>Anesthesia &amp; Analgesia</b:JournalName>
    <b:Year>2017</b:Year>
    <b:Pages>1261-1267</b:Pages>
    <b:Volume>124</b:Volume>
    <b:Issue>4</b:Issue>
    <b:DOI>10.1213/ANE.0000000000001734</b:DOI>
    <b:Author>
      <b:Author>
        <b:NameList>
          <b:Person>
            <b:Last>Nagrebetsky</b:Last>
            <b:First>A</b:First>
          </b:Person>
          <b:Person>
            <b:Last>Gabriel</b:Last>
            <b:First>RA</b:First>
          </b:Person>
          <b:Person>
            <b:Last>Dutton</b:Last>
            <b:First>RP</b:First>
          </b:Person>
          <b:Person>
            <b:Last>Urman</b:Last>
            <b:First>RD</b:First>
          </b:Person>
        </b:NameList>
      </b:Author>
    </b:Author>
    <b:RefOrder>11</b:RefOrder>
  </b:Source>
  <b:Source>
    <b:Tag>Nig15</b:Tag>
    <b:SourceType>JournalArticle</b:SourceType>
    <b:Guid>{120A5FE7-2FD3-419C-B430-ADBEF7E9E3C7}</b:Guid>
    <b:Title>Peri-operative management of the obese surgical patient 2015</b:Title>
    <b:Year>2015</b:Year>
    <b:JournalName>Anaesthesia</b:JournalName>
    <b:Pages>859-876</b:Pages>
    <b:Author>
      <b:Author>
        <b:NameList>
          <b:Person>
            <b:Last>Nightingale</b:Last>
            <b:First>CE</b:First>
          </b:Person>
          <b:Person>
            <b:Last>Margarson</b:Last>
            <b:First>MP</b:First>
          </b:Person>
          <b:Person>
            <b:Last>Shearer</b:Last>
            <b:First>E</b:First>
          </b:Person>
          <b:Person>
            <b:Last>Redman</b:Last>
            <b:First>JW</b:First>
          </b:Person>
          <b:Person>
            <b:Last>Lucas</b:Last>
            <b:First>DN</b:First>
          </b:Person>
          <b:Person>
            <b:Last>Cousins</b:Last>
            <b:First>JM</b:First>
          </b:Person>
          <b:Person>
            <b:Last>Fox</b:Last>
            <b:First>WT</b:First>
          </b:Person>
          <b:Person>
            <b:Last>Kennedy</b:Last>
            <b:First>NJ</b:First>
          </b:Person>
          <b:Person>
            <b:Last>Venn</b:Last>
            <b:First>PJ</b:First>
          </b:Person>
          <b:Person>
            <b:Last>Skues</b:Last>
            <b:First>M</b:First>
          </b:Person>
          <b:Person>
            <b:Last>Gabbott</b:Last>
            <b:First>D</b:First>
          </b:Person>
          <b:Person>
            <b:Last>Misra</b:Last>
            <b:First>U</b:First>
          </b:Person>
          <b:Person>
            <b:Last>Pandit</b:Last>
            <b:First>JJ</b:First>
          </b:Person>
          <b:Person>
            <b:Last>Popat</b:Last>
            <b:First>MT</b:First>
          </b:Person>
          <b:Person>
            <b:Last>Griffiths</b:Last>
            <b:First>R</b:First>
          </b:Person>
        </b:NameList>
      </b:Author>
    </b:Author>
    <b:Volume>70</b:Volume>
    <b:DOI>10.1111/anae.13101</b:DOI>
    <b:RefOrder>40</b:RefOrder>
  </b:Source>
  <b:Source>
    <b:Tag>Nun15</b:Tag>
    <b:SourceType>JournalArticle</b:SourceType>
    <b:Guid>{B3F525B8-790C-45BF-83BC-BEA7CB69E1EB}</b:Guid>
    <b:Title>The incidence and risk factors for perioperative cardiac arrest observed in the National Anaesthesia Clinical Outcomes Registry</b:Title>
    <b:JournalName>Anesthesia &amp; Analgesia</b:JournalName>
    <b:Year>2015</b:Year>
    <b:Pages>364-370</b:Pages>
    <b:Author>
      <b:Author>
        <b:NameList>
          <b:Person>
            <b:Last>Nunally</b:Last>
            <b:First>ME</b:First>
          </b:Person>
          <b:Person>
            <b:Last>O'Connor</b:Last>
            <b:First>MF</b:First>
          </b:Person>
          <b:Person>
            <b:Last>Kordylewski</b:Last>
            <b:First>H</b:First>
          </b:Person>
          <b:Person>
            <b:Last>Westlake</b:Last>
            <b:First>B</b:First>
          </b:Person>
          <b:Person>
            <b:Last>Dutton</b:Last>
            <b:First>RP</b:First>
          </b:Person>
        </b:NameList>
      </b:Author>
    </b:Author>
    <b:Volume>120</b:Volume>
    <b:Issue>2</b:Issue>
    <b:DOI>10.1213/ANE.0000000000000527</b:DOI>
    <b:RefOrder>18</b:RefOrder>
  </b:Source>
  <b:Source>
    <b:Tag>Nut16</b:Tag>
    <b:SourceType>JournalArticle</b:SourceType>
    <b:Guid>{5B63009C-F16E-4942-8405-324EDC3C8E24}</b:Guid>
    <b:Title>Surgical and patient risk factors for severe arterial line complications in adults</b:Title>
    <b:JournalName>Aneshtesiology</b:JournalName>
    <b:Year>2016</b:Year>
    <b:Pages>590-597</b:Pages>
    <b:Volume>124</b:Volume>
    <b:Author>
      <b:Author>
        <b:NameList>
          <b:Person>
            <b:Last>Nuttall</b:Last>
            <b:First>G</b:First>
          </b:Person>
          <b:Person>
            <b:Last>Burckhardt</b:Last>
            <b:First>J</b:First>
          </b:Person>
          <b:Person>
            <b:Last>Hadley</b:Last>
            <b:First>A</b:First>
          </b:Person>
          <b:Person>
            <b:Last>Kane</b:Last>
            <b:First>S</b:First>
          </b:Person>
          <b:Person>
            <b:Last>Kor</b:Last>
            <b:First>D</b:First>
          </b:Person>
          <b:Person>
            <b:Last>Marienau</b:Last>
            <b:First>M</b:First>
            <b:Middle>S</b:Middle>
          </b:Person>
          <b:Person>
            <b:Last>Schroeder</b:Last>
            <b:First>DR</b:First>
          </b:Person>
          <b:Person>
            <b:Last>Handlogten</b:Last>
            <b:First>K</b:First>
          </b:Person>
          <b:Person>
            <b:Last>Wilson</b:Last>
            <b:First>G</b:First>
          </b:Person>
          <b:Person>
            <b:Last>Oliver</b:Last>
            <b:First>WC</b:First>
          </b:Person>
        </b:NameList>
      </b:Author>
    </b:Author>
    <b:RefOrder>34</b:RefOrder>
  </b:Source>
  <b:Source>
    <b:Tag>Pan14</b:Tag>
    <b:SourceType>JournalArticle</b:SourceType>
    <b:Guid>{696045DF-A21A-4E5E-A874-07CA10F23429}</b:Guid>
    <b:Title>5th National Audit Project (NAP5) on accidental awareness during general anaesthesia: summary of main findings and risk factors</b:Title>
    <b:JournalName>British Journal of Anaesthesia</b:JournalName>
    <b:Year>2014</b:Year>
    <b:Pages>549-559</b:Pages>
    <b:Volume>113</b:Volume>
    <b:URL>https://bjanaesthesia.org/article/S0007-0912(17)30746-8/fulltext</b:URL>
    <b:DOI>10.1093/bja/aeu313</b:DOI>
    <b:Author>
      <b:Author>
        <b:NameList>
          <b:Person>
            <b:Last>Pandit</b:Last>
            <b:First>JJ</b:First>
          </b:Person>
          <b:Person>
            <b:Last>Andrade</b:Last>
            <b:First>J</b:First>
          </b:Person>
          <b:Person>
            <b:Last>Bogod</b:Last>
            <b:First>D</b:First>
          </b:Person>
          <b:Person>
            <b:Last>Hitchman</b:Last>
            <b:First>JM</b:First>
          </b:Person>
          <b:Person>
            <b:Last>Jonker</b:Last>
            <b:First>WR</b:First>
          </b:Person>
          <b:Person>
            <b:Last>Lucas</b:Last>
            <b:First>N</b:First>
          </b:Person>
          <b:Person>
            <b:Last>Mackay</b:Last>
            <b:First>JH</b:First>
          </b:Person>
          <b:Person>
            <b:Last>Nimmo</b:Last>
            <b:First>AF</b:First>
          </b:Person>
          <b:Person>
            <b:Last>O'Connor</b:Last>
            <b:First>K</b:First>
          </b:Person>
          <b:Person>
            <b:Last>O'Sullivan</b:Last>
            <b:First>EP</b:First>
          </b:Person>
          <b:Person>
            <b:Last>Paul</b:Last>
            <b:First>RG</b:First>
          </b:Person>
          <b:Person>
            <b:Last>Palmer</b:Last>
            <b:First>JH</b:First>
          </b:Person>
          <b:Person>
            <b:Last>Plaat</b:Last>
            <b:First>F</b:First>
          </b:Person>
          <b:Person>
            <b:Last>Radcliffe</b:Last>
            <b:First>JJ</b:First>
          </b:Person>
          <b:Person>
            <b:Last>Sury</b:Last>
            <b:First>MR</b:First>
          </b:Person>
          <b:Person>
            <b:Last>Torevell</b:Last>
            <b:First>HE</b:First>
          </b:Person>
          <b:Person>
            <b:Last>Wang</b:Last>
            <b:First>M</b:First>
          </b:Person>
          <b:Person>
            <b:Last>Hainsworth</b:Last>
            <b:First>J</b:First>
          </b:Person>
          <b:Person>
            <b:Last>Cook</b:Last>
            <b:First>TM</b:First>
          </b:Person>
        </b:NameList>
      </b:Author>
    </b:Author>
    <b:Issue>4</b:Issue>
    <b:RefOrder>7</b:RefOrder>
  </b:Source>
  <b:Source>
    <b:Tag>Pat15</b:Tag>
    <b:SourceType>JournalArticle</b:SourceType>
    <b:Guid>{FD913EA1-F29E-473B-8716-0C8F1C205808}</b:Guid>
    <b:Title>Cardiac risk of noncardiac surgery</b:Title>
    <b:JournalName>Journal of the American College of Cardiology</b:JournalName>
    <b:Year>2015</b:Year>
    <b:Pages>2140-2148</b:Pages>
    <b:Volume>66</b:Volume>
    <b:Issue>19</b:Issue>
    <b:DOI>http://dx.doi.org/10.1016/j.jacc.2015.09.026</b:DOI>
    <b:Author>
      <b:Author>
        <b:NameList>
          <b:Person>
            <b:Last>Patel</b:Last>
            <b:First>KA</b:First>
          </b:Person>
          <b:Person>
            <b:Last>Eagle</b:Last>
            <b:First>PV</b:First>
          </b:Person>
        </b:NameList>
      </b:Author>
    </b:Author>
    <b:RefOrder>17</b:RefOrder>
  </b:Source>
  <b:Source>
    <b:Tag>Dif12</b:Tag>
    <b:SourceType>JournalArticle</b:SourceType>
    <b:Guid>{CA96EA29-C679-48C4-94B2-46E042383C37}</b:Guid>
    <b:Title>Difficult Airway Society guidelines for the management of tracheal extubation</b:Title>
    <b:JournalName>Anaesthesia</b:JournalName>
    <b:Year>2012</b:Year>
    <b:Pages>318-340</b:Pages>
    <b:Volume>67</b:Volume>
    <b:DOI>10.1111/j.1365-2044.2012.07075.x</b:DOI>
    <b:Author>
      <b:Author>
        <b:NameList>
          <b:Person>
            <b:Last>Popat</b:Last>
            <b:First>M</b:First>
          </b:Person>
          <b:Person>
            <b:Last>Mitchell</b:Last>
            <b:First>V</b:First>
          </b:Person>
          <b:Person>
            <b:Last>Dravid</b:Last>
            <b:First>R</b:First>
          </b:Person>
          <b:Person>
            <b:Last>Patel</b:Last>
            <b:First>A</b:First>
          </b:Person>
          <b:Person>
            <b:Last>Swampillai</b:Last>
            <b:First>C</b:First>
          </b:Person>
          <b:Person>
            <b:Last>Higgs</b:Last>
            <b:First>A</b:First>
          </b:Person>
        </b:NameList>
      </b:Author>
    </b:Author>
    <b:RefOrder>51</b:RefOrder>
  </b:Source>
  <b:Source>
    <b:Tag>Ros16</b:Tag>
    <b:SourceType>JournalArticle</b:SourceType>
    <b:Guid>{25724315-3BF7-4E60-8FBF-A07706D6B8EB}</b:Guid>
    <b:Title>Perioperative anaphylaxis grading system: 'making the grade'</b:Title>
    <b:JournalName>British Journal of Anaesthesia</b:JournalName>
    <b:Year>2016</b:Year>
    <b:Pages>551-553</b:Pages>
    <b:Author>
      <b:Author>
        <b:NameList>
          <b:Person>
            <b:Last>Rose</b:Last>
            <b:First>MA</b:First>
          </b:Person>
          <b:Person>
            <b:Last>Green</b:Last>
            <b:First>SL</b:First>
          </b:Person>
          <b:Person>
            <b:Last>Crilly</b:Last>
            <b:First>HM</b:First>
          </b:Person>
          <b:Person>
            <b:Last>Kolawole</b:Last>
            <b:First>H</b:First>
          </b:Person>
        </b:NameList>
      </b:Author>
    </b:Author>
    <b:Volume>117</b:Volume>
    <b:Issue>5</b:Issue>
    <b:DOI>10.1093/bja/aew251</b:DOI>
    <b:RefOrder>27</b:RefOrder>
  </b:Source>
  <b:Source>
    <b:Tag>Sad18</b:Tag>
    <b:SourceType>JournalArticle</b:SourceType>
    <b:Guid>{E7A5F9D8-4844-4A3F-8434-EB4E1968FBC6}</b:Guid>
    <b:Title>Consequences of proceeding with surgery after resuscitation from intra-operative anaphylaxis</b:Title>
    <b:JournalName>Anaesthesia</b:JournalName>
    <b:Year>2018</b:Year>
    <b:Pages>32-39</b:Pages>
    <b:Volume>73</b:Volume>
    <b:DOI>10.1111/anae.14106</b:DOI>
    <b:Author>
      <b:Author>
        <b:NameList>
          <b:Person>
            <b:Last>Sadleir</b:Last>
            <b:First>PH</b:First>
          </b:Person>
          <b:Person>
            <b:Last>Clarke</b:Last>
            <b:First>RC</b:First>
          </b:Person>
          <b:Person>
            <b:Last>Bozic</b:Last>
            <b:First>B</b:First>
          </b:Person>
          <b:Person>
            <b:Last>Platt</b:Last>
            <b:First>PR</b:First>
          </b:Person>
        </b:NameList>
      </b:Author>
    </b:Author>
    <b:RefOrder>32</b:RefOrder>
  </b:Source>
  <b:Source>
    <b:Tag>Sti14</b:Tag>
    <b:SourceType>JournalArticle</b:SourceType>
    <b:Guid>{FF86F282-8F7F-4A5B-AD48-9C064B2A854E}</b:Guid>
    <b:Title>Cognitive processes in anesthesiology decision making</b:Title>
    <b:Year>2014</b:Year>
    <b:Volume>120</b:Volume>
    <b:DOI>10.1097/ALN.0000000000000073</b:DOI>
    <b:Author>
      <b:Author>
        <b:NameList>
          <b:Person>
            <b:Last>Stiegler</b:Last>
            <b:First>MP</b:First>
          </b:Person>
          <b:Person>
            <b:Last>Tung</b:Last>
            <b:First>A</b:First>
          </b:Person>
        </b:NameList>
      </b:Author>
    </b:Author>
    <b:JournalName>Anesthesiology</b:JournalName>
    <b:Pages>204-217</b:Pages>
    <b:Issue>1</b:Issue>
    <b:RefOrder>10</b:RefOrder>
  </b:Source>
  <b:Source>
    <b:Tag>Tho14</b:Tag>
    <b:SourceType>JournalArticle</b:SourceType>
    <b:Guid>{067A1703-5EE3-4C79-8CA8-77C6F434A959}</b:Guid>
    <b:Title>Goals of care: a clinical framework for limitation of treatment</b:Title>
    <b:JournalName>Medical Journal of Australia</b:JournalName>
    <b:Year>2014</b:Year>
    <b:Pages>452-455</b:Pages>
    <b:Volume>201</b:Volume>
    <b:Issue>8</b:Issue>
    <b:DOI>10.5694/mja14.00623</b:DOI>
    <b:Author>
      <b:Author>
        <b:NameList>
          <b:Person>
            <b:Last>Thomas</b:Last>
            <b:First>RL</b:First>
          </b:Person>
          <b:Person>
            <b:Last>Zubair</b:Last>
            <b:First>MY</b:First>
          </b:Person>
          <b:Person>
            <b:Last>Hayes</b:Last>
            <b:First>B</b:First>
          </b:Person>
          <b:Person>
            <b:Last>Ashby</b:Last>
            <b:First>MA</b:First>
          </b:Person>
        </b:NameList>
      </b:Author>
    </b:Author>
    <b:RefOrder>52</b:RefOrder>
  </b:Source>
  <b:Source>
    <b:Tag>Wah17</b:Tag>
    <b:SourceType>JournalArticle</b:SourceType>
    <b:Guid>{B03084A6-3CEB-4C2F-BEB6-7955F24F646B}</b:Guid>
    <b:Title>Medication safety in the operating room: literature and expert-based recommendations</b:Title>
    <b:Year>2017</b:Year>
    <b:JournalName>British Journal of Anaesthesia</b:JournalName>
    <b:Pages>32-43</b:Pages>
    <b:Volume>118</b:Volume>
    <b:Issue>1</b:Issue>
    <b:YearAccessed>2019</b:YearAccessed>
    <b:MonthAccessed>June</b:MonthAccessed>
    <b:DayAccessed>14</b:DayAccessed>
    <b:URL>http://www.sciencedirect.com/science/article/pii/S0007091217301137</b:URL>
    <b:DOI>10.1093/bja/aew379</b:DOI>
    <b:Author>
      <b:Author>
        <b:NameList>
          <b:Person>
            <b:Last>Wahr</b:Last>
            <b:First>JA</b:First>
          </b:Person>
          <b:Person>
            <b:Last>Abernathy</b:Last>
            <b:First>EH</b:First>
          </b:Person>
          <b:Person>
            <b:Last>Lazarra</b:Last>
            <b:First>EH</b:First>
          </b:Person>
          <b:Person>
            <b:Last>Keebler</b:Last>
            <b:First>JR</b:First>
          </b:Person>
          <b:Person>
            <b:Last>Wall</b:Last>
            <b:First>MH</b:First>
          </b:Person>
          <b:Person>
            <b:Last>Lynch</b:Last>
            <b:First>I</b:First>
          </b:Person>
          <b:Person>
            <b:Last>Wolfe</b:Last>
            <b:First>R</b:First>
          </b:Person>
          <b:Person>
            <b:Last>Cooper</b:Last>
            <b:First>RL</b:First>
          </b:Person>
        </b:NameList>
      </b:Author>
    </b:Author>
    <b:RefOrder>25</b:RefOrder>
  </b:Source>
  <b:Source>
    <b:Tag>War93</b:Tag>
    <b:SourceType>JournalArticle</b:SourceType>
    <b:Guid>{EBAD01E7-FBCD-447D-BF6E-140740F4677A}</b:Guid>
    <b:Title>Clinical significance of pulmonary aspiration during the peri-operative period</b:Title>
    <b:JournalName>Anesthesiology</b:JournalName>
    <b:Year>1993</b:Year>
    <b:Pages>56-62</b:Pages>
    <b:Volume>78</b:Volume>
    <b:Author>
      <b:Author>
        <b:NameList>
          <b:Person>
            <b:Last>Warner</b:Last>
            <b:First>MA</b:First>
          </b:Person>
          <b:Person>
            <b:Last>Warner</b:Last>
            <b:First>ME</b:First>
          </b:Person>
          <b:Person>
            <b:Last>Weber</b:Last>
            <b:First>JG</b:First>
          </b:Person>
        </b:NameList>
      </b:Author>
    </b:Author>
    <b:RefOrder>53</b:RefOrder>
  </b:Source>
  <b:Source>
    <b:Tag>Won14</b:Tag>
    <b:SourceType>JournalArticle</b:SourceType>
    <b:Guid>{8C82904B-BF7A-4698-890D-F0A4CAD59FAA}</b:Guid>
    <b:Title>Patent Blue V dye anaphylaxis: experiemce of Australian and New Zealand surgeons</b:Title>
    <b:JournalName>ANZ Journal of Surgery</b:JournalName>
    <b:Year>2014</b:Year>
    <b:Pages>37-41</b:Pages>
    <b:Volume>84</b:Volume>
    <b:Issue>1-2</b:Issue>
    <b:DOI>10.1111/j.1445-2197.2012.06277.x</b:DOI>
    <b:Author>
      <b:Author>
        <b:NameList>
          <b:Person>
            <b:Last>Wong</b:Last>
            <b:First>A</b:First>
          </b:Person>
          <b:Person>
            <b:Last>Spillane</b:Last>
            <b:First>A</b:First>
          </b:Person>
        </b:NameList>
      </b:Author>
    </b:Author>
    <b:RefOrder>29</b:RefOrder>
  </b:Source>
  <b:Source>
    <b:Tag>Coo111</b:Tag>
    <b:SourceType>Report</b:SourceType>
    <b:Guid>{6BCCC492-8B3C-4D59-AA95-A27212891D97}</b:Guid>
    <b:Title>4th National Audit Project (NAP 4): Major Complications of Airway Management in the United Kingdom Report and Findings - Chapter 19. Aspiration of gastric contents and of blood.</b:Title>
    <b:Year>2011a</b:Year>
    <b:City>London</b:City>
    <b:Publisher>The Royal College of Anaesthetists and The Difficult Airway Society</b:Publisher>
    <b:YearAccessed>2019</b:YearAccessed>
    <b:MonthAccessed>March</b:MonthAccessed>
    <b:DayAccessed>26</b:DayAccessed>
    <b:URL>https://www.rcoa.ac.uk/nap4</b:URL>
    <b:Author>
      <b:Author>
        <b:NameList>
          <b:Person>
            <b:Last>Cook</b:Last>
            <b:First>T</b:First>
          </b:Person>
          <b:Person>
            <b:Last>Woodall</b:Last>
            <b:First>N</b:First>
          </b:Person>
          <b:Person>
            <b:Last>Frerk</b:Last>
            <b:First>C</b:First>
          </b:Person>
        </b:NameList>
      </b:Author>
    </b:Author>
    <b:RefOrder>16</b:RefOrder>
  </b:Source>
  <b:Source>
    <b:Tag>Coo11</b:Tag>
    <b:SourceType>JournalArticle</b:SourceType>
    <b:Guid>{058B7A07-9E06-45BD-8D0F-F25DD6E08B71}</b:Guid>
    <b:Title>Major complications of airway management in the UK: results of the 4th National Audit Project of the Royal College of Anaesthetists and the Difficult Airway Society. Part 1: Anaesthesia.</b:Title>
    <b:JournalName>Brritish Journal of Anaesthesia</b:JournalName>
    <b:Year>2011b</b:Year>
    <b:Pages>617-631</b:Pages>
    <b:Volume>106</b:Volume>
    <b:Author>
      <b:Author>
        <b:NameList>
          <b:Person>
            <b:Last>Cook</b:Last>
            <b:First>TM</b:First>
          </b:Person>
          <b:Person>
            <b:Last>Woodall</b:Last>
            <b:First>N</b:First>
          </b:Person>
          <b:Person>
            <b:Last>Frerk</b:Last>
            <b:First>C</b:First>
          </b:Person>
        </b:NameList>
      </b:Author>
    </b:Author>
    <b:URL>https://bjanaesthesia.org/article/S0007-0912(17)33209-9/pdf</b:URL>
    <b:DOI>https://doi.org/10.1093/bja/aer058</b:DOI>
    <b:RefOrder>6</b:RefOrder>
  </b:Source>
  <b:Source>
    <b:Tag>Aus151</b:Tag>
    <b:SourceType>JournalArticle</b:SourceType>
    <b:Guid>{025B4F0B-4C20-42DC-AA9F-F3B6E5F59C7A}</b:Guid>
    <b:Title>Tools to promote shared decision making in serious illnesses: a systematic review</b:Title>
    <b:Year>2015</b:Year>
    <b:Author>
      <b:Author>
        <b:NameList>
          <b:Person>
            <b:Last>Austin</b:Last>
            <b:First>CA</b:First>
          </b:Person>
          <b:Person>
            <b:Last>Mohotige</b:Last>
            <b:First>D</b:First>
          </b:Person>
          <b:Person>
            <b:Last>Sudore</b:Last>
            <b:First>RL</b:First>
          </b:Person>
          <b:Person>
            <b:Last>Smith</b:Last>
            <b:First>AK</b:First>
          </b:Person>
          <b:Person>
            <b:Last>Hanson</b:Last>
            <b:First>LC</b:First>
          </b:Person>
        </b:NameList>
      </b:Author>
    </b:Author>
    <b:Volume>175</b:Volume>
    <b:Pages>1213-1221</b:Pages>
    <b:URL>https://www.ncbi.nim.nih.gov/pmc/articles/PMC4794743/</b:URL>
    <b:DOI>10.1001/jamainternmed.2015.1679</b:DOI>
    <b:JournalName>JAMA Internal Medicine</b:JournalName>
    <b:Issue>7</b:Issue>
    <b:RefOrder>13</b:RefOrder>
  </b:Source>
  <b:Source>
    <b:Tag>Cor19</b:Tag>
    <b:SourceType>Misc</b:SourceType>
    <b:Guid>{4665E5AE-6C32-4873-8F25-0126307BCDC6}</b:Guid>
    <b:Author>
      <b:Author>
        <b:NameList>
          <b:Person>
            <b:Last>Cornelissen</b:Last>
            <b:First>M</b:First>
          </b:Person>
          <b:Person>
            <b:Last>Pitsopoulos</b:Last>
            <b:First>J</b:First>
          </b:Person>
        </b:NameList>
      </b:Author>
    </b:Author>
    <b:Title>Expert commentary: Using a human factors and systems lens to view why things sometimes go wrong</b:Title>
    <b:Year>2019</b:Year>
    <b:Pages>5-6</b:Pages>
    <b:PublicationTitle>Victorian Institute of Forensic Medicine Clinical Communique</b:PublicationTitle>
    <b:Volume>6</b:Volume>
    <b:RefOrder>54</b:RefOrder>
  </b:Source>
  <b:Source>
    <b:Tag>Hon17</b:Tag>
    <b:SourceType>JournalArticle</b:SourceType>
    <b:Guid>{4EEA5E21-7556-4410-8724-547AB5BEAC46}</b:Guid>
    <b:Title>Delayed detection of esophageal intubation in anaesthesia malpractice claims: brief report of a case series</b:Title>
    <b:Year>2017</b:Year>
    <b:JournalName>Anesthesia &amp; Analgesia</b:JournalName>
    <b:Pages>1948-1951</b:Pages>
    <b:Author>
      <b:Author>
        <b:NameList>
          <b:Person>
            <b:Last>Honardar</b:Last>
            <b:First>M</b:First>
          </b:Person>
          <b:Person>
            <b:Last>Posner</b:Last>
            <b:First>K</b:First>
          </b:Person>
          <b:Person>
            <b:Last>Domino</b:Last>
            <b:First>KB</b:First>
          </b:Person>
        </b:NameList>
      </b:Author>
    </b:Author>
    <b:Volume>125</b:Volume>
    <b:Issue>6</b:Issue>
    <b:DOI>10.1213/ANE.0000000000001795</b:DOI>
    <b:RefOrder>55</b:RefOrder>
  </b:Source>
  <b:Source>
    <b:Tag>Mar011</b:Tag>
    <b:SourceType>JournalArticle</b:SourceType>
    <b:Guid>{446B7A87-A276-495A-8CE8-C214AE9423C5}</b:Guid>
    <b:Title>Aspiration pneumonitis and aspiration pneumonia</b:Title>
    <b:JournalName>New England Journal of Medicine</b:JournalName>
    <b:Year>2001</b:Year>
    <b:Pages>665-671</b:Pages>
    <b:Volume>344</b:Volume>
    <b:Issue>9</b:Issue>
    <b:Author>
      <b:Author>
        <b:NameList>
          <b:Person>
            <b:Last>Marik</b:Last>
            <b:First>PE</b:First>
          </b:Person>
        </b:NameList>
      </b:Author>
    </b:Author>
    <b:RefOrder>56</b:RefOrder>
  </b:Source>
  <b:Source>
    <b:Tag>Per16</b:Tag>
    <b:SourceType>JournalArticle</b:SourceType>
    <b:Guid>{0FE8C7A7-174E-4B7E-A472-96E9BE766057}</b:Guid>
    <b:Title>Percutaneous intervention for myocardial infarction after noncardiac surgery: patient characteristics and outcomes</b:Title>
    <b:JournalName>Journal of the American College of Cardiology</b:JournalName>
    <b:Year>2016</b:Year>
    <b:Pages>329-338</b:Pages>
    <b:Volume>68</b:Volume>
    <b:Issue>4</b:Issue>
    <b:URL>https://doi.org/10.1016/j.jacc.2016.03.602</b:URL>
    <b:Author>
      <b:Author>
        <b:NameList>
          <b:Person>
            <b:Last>Parashar</b:Last>
            <b:First>A</b:First>
          </b:Person>
          <b:Person>
            <b:Last>Agarwal</b:Last>
            <b:First>A</b:First>
          </b:Person>
          <b:Person>
            <b:Last>Krishnaswamy</b:Last>
            <b:First>A</b:First>
          </b:Person>
          <b:Person>
            <b:Last>Sud</b:Last>
            <b:First>K</b:First>
          </b:Person>
          <b:Person>
            <b:Last>Poddar</b:Last>
            <b:First>KL</b:First>
          </b:Person>
          <b:Person>
            <b:Last>Bas</b:Last>
            <b:First>M</b:First>
          </b:Person>
        </b:NameList>
      </b:Author>
    </b:Author>
    <b:RefOrder>21</b:RefOrder>
  </b:Source>
  <b:Source>
    <b:Tag>Sev12</b:Tag>
    <b:SourceType>JournalArticle</b:SourceType>
    <b:Guid>{38020C19-A9A6-4FB5-9C04-047600492A73}</b:Guid>
    <b:Title>Improving patient safety in the operating theatre and perioperative care: obstacles, interventions, and priorities for accelerating progress</b:Title>
    <b:Year>2012</b:Year>
    <b:JournalName>British Journal of Anaesthesia</b:JournalName>
    <b:Pages>i3–i16</b:Pages>
    <b:Author>
      <b:Author>
        <b:NameList>
          <b:Person>
            <b:Last>Sevdalis</b:Last>
            <b:First>N</b:First>
          </b:Person>
          <b:Person>
            <b:Last>Hull</b:Last>
            <b:First>L</b:First>
          </b:Person>
          <b:Person>
            <b:Last>Birnbach</b:Last>
            <b:First>DJ</b:First>
          </b:Person>
        </b:NameList>
      </b:Author>
    </b:Author>
    <b:Volume>109</b:Volume>
    <b:Issue>suppl_1</b:Issue>
    <b:RefOrder>8</b:RefOrder>
  </b:Source>
  <b:Source>
    <b:Tag>Sim11</b:Tag>
    <b:SourceType>ElectronicSource</b:SourceType>
    <b:Guid>{95DC9B0C-A968-4A72-B875-B1A6B1AF6480}</b:Guid>
    <b:Title>Survey of wrong site regional anaesthetics</b:Title>
    <b:Year>2011</b:Year>
    <b:URL>https://www.rcoa.ac.uk/sites/default/files/CSQ-PS-WSB-Brits-Simmons2011.pdf</b:URL>
    <b:Author>
      <b:Author>
        <b:NameList>
          <b:Person>
            <b:Last>Simmons</b:Last>
            <b:First>H</b:First>
          </b:Person>
          <b:Person>
            <b:Last>Brits</b:Last>
            <b:First>R</b:First>
          </b:Person>
        </b:NameList>
      </b:Author>
    </b:Author>
    <b:RefOrder>37</b:RefOrder>
  </b:Source>
  <b:Source>
    <b:Tag>The17</b:Tag>
    <b:SourceType>JournalArticle</b:SourceType>
    <b:Guid>{9A5CCD58-9B27-44D8-9F0D-BDD1C9532524}</b:Guid>
    <b:Title>Medical devices safety update</b:Title>
    <b:Year>2017</b:Year>
    <b:Author>
      <b:Author>
        <b:Corporate>Therapeutic Goods Administration</b:Corporate>
      </b:Author>
    </b:Author>
    <b:Volume>5</b:Volume>
    <b:Issue>4</b:Issue>
    <b:RefOrder>19</b:RefOrder>
  </b:Source>
  <b:Source>
    <b:Tag>Vli16</b:Tag>
    <b:SourceType>JournalArticle</b:SourceType>
    <b:Guid>{9861D23E-D63E-4E72-8832-9F35C16FFCC0}</b:Guid>
    <b:Title>Perioperative stroke</b:Title>
    <b:JournalName>Canadian Journal of Anaesthesia</b:JournalName>
    <b:Year>2016</b:Year>
    <b:Pages>193-204</b:Pages>
    <b:Volume>63</b:Volume>
    <b:Issue>2</b:Issue>
    <b:DOI>10.1007/s12630-015-0494-9</b:DOI>
    <b:Author>
      <b:Author>
        <b:NameList>
          <b:Person>
            <b:Last>Vlisides</b:Last>
            <b:First>P</b:First>
          </b:Person>
          <b:Person>
            <b:Last>Mashour</b:Last>
            <b:First>GA</b:First>
          </b:Person>
        </b:NameList>
      </b:Author>
    </b:Author>
    <b:RefOrder>33</b:RefOrder>
  </b:Source>
  <b:Source>
    <b:Tag>Wel13</b:Tag>
    <b:SourceType>JournalArticle</b:SourceType>
    <b:Guid>{DE068258-F6BD-426A-A5FA-4BF804950268}</b:Guid>
    <b:Title>Best practice and patient safety in anaesthesia</b:Title>
    <b:JournalName>British Journal of Anaesthesia</b:JournalName>
    <b:Year>2013</b:Year>
    <b:Pages>671-673</b:Pages>
    <b:Volume>110</b:Volume>
    <b:Issue>5</b:Issue>
    <b:URL>https://academic.oup.com/bja/article/110/5/671/330480</b:URL>
    <b:DOI>10.1093/bja/aet011</b:DOI>
    <b:Author>
      <b:Author>
        <b:NameList>
          <b:Person>
            <b:Last>Weller</b:Last>
            <b:First>JM</b:First>
          </b:Person>
          <b:Person>
            <b:Last>Merry</b:Last>
            <b:First>AF</b:First>
          </b:Person>
        </b:NameList>
      </b:Author>
    </b:Author>
    <b:RefOrder>5</b:RefOrder>
  </b:Source>
  <b:Source>
    <b:Tag>Nan16</b:Tag>
    <b:SourceType>JournalArticle</b:SourceType>
    <b:Guid>{CA141B76-E620-4130-96FC-A068C5445B1D}</b:Guid>
    <b:Title>Evaluation of perioperative medication errors and adverse drug events</b:Title>
    <b:JournalName>Anesthesiology</b:JournalName>
    <b:Year>2016</b:Year>
    <b:Pages>25-34</b:Pages>
    <b:Volume>124</b:Volume>
    <b:YearAccessed>2019</b:YearAccessed>
    <b:MonthAccessed>June</b:MonthAccessed>
    <b:DayAccessed>14</b:DayAccessed>
    <b:URL>https://anesthesiology.pubs.asahq.org/article.aspx?articleid=2466532</b:URL>
    <b:DOI>10.1097/ALN.0000000000000904</b:DOI>
    <b:Author>
      <b:Author>
        <b:NameList>
          <b:Person>
            <b:Last>Nanji</b:Last>
            <b:First>KC</b:First>
          </b:Person>
          <b:Person>
            <b:Last>Patel</b:Last>
            <b:First>A</b:First>
          </b:Person>
          <b:Person>
            <b:Last>Shaikh</b:Last>
            <b:First>S</b:First>
          </b:Person>
          <b:Person>
            <b:Last>Seger</b:Last>
            <b:First>DL</b:First>
          </b:Person>
          <b:Person>
            <b:Last>Bates</b:Last>
            <b:First>DW</b:First>
          </b:Person>
        </b:NameList>
      </b:Author>
    </b:Author>
    <b:RefOrder>24</b:RefOrder>
  </b:Source>
  <b:Source>
    <b:Tag>Met19</b:Tag>
    <b:SourceType>InternetSite</b:SourceType>
    <b:Guid>{C402BA21-9AAF-47DE-8147-A3F11D69CBF0}</b:Guid>
    <b:Author>
      <b:Author>
        <b:NameList>
          <b:Person>
            <b:Last>METeOR</b:Last>
          </b:Person>
        </b:NameList>
      </b:Author>
    </b:Author>
    <b:Year>2019</b:Year>
    <b:InternetSiteTitle>Metadata Online Registry</b:InternetSiteTitle>
    <b:URL>https://meteor.aihw.gov.au/content/index.phtml/itemId/534125</b:URL>
    <b:RefOrder>57</b:RefOrder>
  </b:Source>
</b:Sources>
</file>

<file path=customXml/itemProps1.xml><?xml version="1.0" encoding="utf-8"?>
<ds:datastoreItem xmlns:ds="http://schemas.openxmlformats.org/officeDocument/2006/customXml" ds:itemID="{EC2E7A0F-938D-431F-ABC2-1B5C5251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24628</Words>
  <Characters>140382</Characters>
  <Application>Microsoft Office Word</Application>
  <DocSecurity>4</DocSecurity>
  <Lines>1169</Lines>
  <Paragraphs>329</Paragraphs>
  <ScaleCrop>false</ScaleCrop>
  <HeadingPairs>
    <vt:vector size="2" baseType="variant">
      <vt:variant>
        <vt:lpstr>Title</vt:lpstr>
      </vt:variant>
      <vt:variant>
        <vt:i4>1</vt:i4>
      </vt:variant>
    </vt:vector>
  </HeadingPairs>
  <TitlesOfParts>
    <vt:vector size="1" baseType="lpstr">
      <vt:lpstr>Victorian Consultative Council on Anaesthetic Mortality and Morbidity</vt:lpstr>
    </vt:vector>
  </TitlesOfParts>
  <Company>Department of Treasury and Finance</Company>
  <LinksUpToDate>false</LinksUpToDate>
  <CharactersWithSpaces>164681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Consultative Council on Anaesthetic Mortality and Morbidity</dc:title>
  <dc:creator>Fiona</dc:creator>
  <cp:lastModifiedBy>Jo Buxton (DHHS)</cp:lastModifiedBy>
  <cp:revision>2</cp:revision>
  <cp:lastPrinted>2019-06-14T01:36:00Z</cp:lastPrinted>
  <dcterms:created xsi:type="dcterms:W3CDTF">2019-09-26T03:20:00Z</dcterms:created>
  <dcterms:modified xsi:type="dcterms:W3CDTF">2019-09-26T03:20:00Z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http://www.zotero.org/styles/apa</vt:lpwstr>
  </property>
  <property fmtid="{D5CDD505-2E9C-101B-9397-08002B2CF9AE}" pid="26" name="Mendeley Unique User Id_1">
    <vt:lpwstr>0e89f5ff-9098-347e-9264-c054c714c3f9</vt:lpwstr>
  </property>
</Properties>
</file>