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Start w:id="1" w:name="_Hlk14877958" w:displacedByCustomXml="next"/>
    <w:sdt>
      <w:sdtPr>
        <w:rPr>
          <w:rFonts w:ascii="VIC SemiBold" w:eastAsiaTheme="minorHAnsi" w:hAnsi="VIC SemiBold"/>
          <w:b w:val="0"/>
          <w:szCs w:val="48"/>
          <w:lang w:eastAsia="en-US"/>
        </w:rPr>
        <w:alias w:val="Title"/>
        <w:tag w:val=""/>
        <w:id w:val="-1540807229"/>
        <w:placeholder>
          <w:docPart w:val="7AD242ED3279498A89FE92EE7AB685C3"/>
        </w:placeholder>
        <w:dataBinding w:prefixMappings="xmlns:ns0='http://purl.org/dc/elements/1.1/' xmlns:ns1='http://schemas.openxmlformats.org/package/2006/metadata/core-properties' " w:xpath="/ns1:coreProperties[1]/ns0:title[1]" w:storeItemID="{6C3C8BC8-F283-45AE-878A-BAB7291924A1}"/>
        <w:text/>
      </w:sdtPr>
      <w:sdtEndPr/>
      <w:sdtContent>
        <w:p w14:paraId="0FFF81ED" w14:textId="5692268B" w:rsidR="007A4444" w:rsidRPr="007C504B" w:rsidRDefault="008A2884" w:rsidP="004773EE">
          <w:pPr>
            <w:pStyle w:val="Title"/>
            <w:spacing w:after="1200"/>
            <w:rPr>
              <w:rFonts w:ascii="VIC" w:hAnsi="VIC"/>
              <w:b w:val="0"/>
              <w:szCs w:val="48"/>
            </w:rPr>
            <w:sectPr w:rsidR="007A4444" w:rsidRPr="007C504B" w:rsidSect="003E5D4F">
              <w:headerReference w:type="first" r:id="rId8"/>
              <w:pgSz w:w="11906" w:h="16838" w:code="9"/>
              <w:pgMar w:top="2438" w:right="737" w:bottom="680" w:left="737" w:header="539" w:footer="624" w:gutter="0"/>
              <w:cols w:space="284"/>
              <w:titlePg/>
              <w:docGrid w:linePitch="360"/>
            </w:sectPr>
          </w:pPr>
          <w:r w:rsidRPr="007C504B">
            <w:rPr>
              <w:rFonts w:ascii="VIC SemiBold" w:eastAsiaTheme="minorHAnsi" w:hAnsi="VIC SemiBold"/>
              <w:b w:val="0"/>
              <w:szCs w:val="48"/>
              <w:lang w:eastAsia="en-US"/>
            </w:rPr>
            <w:t>Standardised informed consent for maintenance dialysis</w:t>
          </w:r>
        </w:p>
      </w:sdtContent>
    </w:sdt>
    <w:bookmarkEnd w:id="0" w:displacedByCustomXml="prev"/>
    <w:bookmarkEnd w:id="1"/>
    <w:p w14:paraId="592C9C7F" w14:textId="16C97E67" w:rsidR="00345C20" w:rsidRPr="0099267A" w:rsidRDefault="008A2884" w:rsidP="004773EE">
      <w:pPr>
        <w:pStyle w:val="IntroductoryText"/>
        <w:spacing w:after="180"/>
        <w:rPr>
          <w:sz w:val="20"/>
        </w:rPr>
      </w:pPr>
      <w:r w:rsidRPr="0099267A">
        <w:rPr>
          <w:noProof/>
          <w:sz w:val="20"/>
        </w:rPr>
        <mc:AlternateContent>
          <mc:Choice Requires="wps">
            <w:drawing>
              <wp:anchor distT="0" distB="0" distL="114300" distR="114300" simplePos="0" relativeHeight="251660288" behindDoc="0" locked="0" layoutInCell="1" allowOverlap="1" wp14:anchorId="077BD87C" wp14:editId="352CCC10">
                <wp:simplePos x="0" y="0"/>
                <wp:positionH relativeFrom="column">
                  <wp:posOffset>4256405</wp:posOffset>
                </wp:positionH>
                <wp:positionV relativeFrom="paragraph">
                  <wp:posOffset>-2089150</wp:posOffset>
                </wp:positionV>
                <wp:extent cx="23812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81250" cy="342900"/>
                        </a:xfrm>
                        <a:prstGeom prst="rect">
                          <a:avLst/>
                        </a:prstGeom>
                        <a:solidFill>
                          <a:schemeClr val="lt1"/>
                        </a:solidFill>
                        <a:ln w="6350">
                          <a:noFill/>
                        </a:ln>
                      </wps:spPr>
                      <wps:txbx>
                        <w:txbxContent>
                          <w:p w14:paraId="72D31151" w14:textId="77777777" w:rsidR="00825D73" w:rsidRPr="004773EE" w:rsidRDefault="00825D73" w:rsidP="004773EE">
                            <w:pPr>
                              <w:pStyle w:val="Heading2"/>
                              <w:spacing w:before="0" w:after="0"/>
                              <w:jc w:val="right"/>
                              <w:rPr>
                                <w:color w:val="808080" w:themeColor="background1" w:themeShade="80"/>
                              </w:rPr>
                            </w:pPr>
                            <w:r w:rsidRPr="004773EE">
                              <w:rPr>
                                <w:color w:val="808080" w:themeColor="background1" w:themeShade="80"/>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7BD87C" id="_x0000_t202" coordsize="21600,21600" o:spt="202" path="m,l,21600r21600,l21600,xe">
                <v:stroke joinstyle="miter"/>
                <v:path gradientshapeok="t" o:connecttype="rect"/>
              </v:shapetype>
              <v:shape id="Text Box 4" o:spid="_x0000_s1026" type="#_x0000_t202" style="position:absolute;margin-left:335.15pt;margin-top:-164.5pt;width:18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" fillcolor="white [3201]" stroked="f" strokeweight=".5pt">
                <v:textbox>
                  <w:txbxContent>
                    <w:p w14:paraId="72D31151" w14:textId="77777777" w:rsidR="00825D73" w:rsidRPr="004773EE" w:rsidRDefault="00825D73" w:rsidP="004773EE">
                      <w:pPr>
                        <w:pStyle w:val="Heading2"/>
                        <w:spacing w:before="0" w:after="0"/>
                        <w:jc w:val="right"/>
                        <w:rPr>
                          <w:color w:val="808080" w:themeColor="background1" w:themeShade="80"/>
                        </w:rPr>
                      </w:pPr>
                      <w:r w:rsidRPr="004773EE">
                        <w:rPr>
                          <w:color w:val="808080" w:themeColor="background1" w:themeShade="80"/>
                        </w:rPr>
                        <w:t>Policy</w:t>
                      </w:r>
                    </w:p>
                  </w:txbxContent>
                </v:textbox>
              </v:shape>
            </w:pict>
          </mc:Fallback>
        </mc:AlternateContent>
      </w:r>
      <w:r w:rsidR="007C504B" w:rsidRPr="0099267A">
        <w:rPr>
          <w:sz w:val="20"/>
        </w:rPr>
        <w:t xml:space="preserve">This policy </w:t>
      </w:r>
      <w:r w:rsidR="00EC4E07" w:rsidRPr="0099267A">
        <w:rPr>
          <w:sz w:val="20"/>
        </w:rPr>
        <w:t>will help you</w:t>
      </w:r>
      <w:r w:rsidR="007C504B" w:rsidRPr="0099267A">
        <w:rPr>
          <w:sz w:val="20"/>
        </w:rPr>
        <w:t xml:space="preserve"> obtain written informed consent </w:t>
      </w:r>
      <w:r w:rsidR="00FF0AC6" w:rsidRPr="0099267A">
        <w:rPr>
          <w:sz w:val="20"/>
        </w:rPr>
        <w:t>with a patient starting</w:t>
      </w:r>
      <w:r w:rsidR="007C504B" w:rsidRPr="0099267A">
        <w:rPr>
          <w:sz w:val="20"/>
        </w:rPr>
        <w:t xml:space="preserve"> ongoing maintenance dialysis</w:t>
      </w:r>
      <w:r w:rsidR="0099267A" w:rsidRPr="0099267A">
        <w:rPr>
          <w:sz w:val="20"/>
        </w:rPr>
        <w:t xml:space="preserve"> – tha</w:t>
      </w:r>
      <w:r w:rsidR="00DA1418">
        <w:rPr>
          <w:sz w:val="20"/>
        </w:rPr>
        <w:t>t</w:t>
      </w:r>
      <w:r w:rsidR="0099267A" w:rsidRPr="0099267A">
        <w:rPr>
          <w:sz w:val="20"/>
        </w:rPr>
        <w:t xml:space="preserve"> is, </w:t>
      </w:r>
      <w:r w:rsidR="00CD4A54" w:rsidRPr="0099267A">
        <w:rPr>
          <w:sz w:val="20"/>
        </w:rPr>
        <w:t xml:space="preserve">ongoing regular use of long-term dialysis for permanent </w:t>
      </w:r>
      <w:r w:rsidR="0099267A" w:rsidRPr="0099267A">
        <w:rPr>
          <w:sz w:val="20"/>
        </w:rPr>
        <w:t>end stage chronic kidney disease (</w:t>
      </w:r>
      <w:r w:rsidR="00CD4A54" w:rsidRPr="0099267A">
        <w:rPr>
          <w:sz w:val="20"/>
        </w:rPr>
        <w:t>ESKD</w:t>
      </w:r>
      <w:r w:rsidR="0099267A" w:rsidRPr="0099267A">
        <w:rPr>
          <w:sz w:val="20"/>
        </w:rPr>
        <w:t>)</w:t>
      </w:r>
      <w:r w:rsidR="00CD4A54" w:rsidRPr="0099267A">
        <w:rPr>
          <w:sz w:val="20"/>
        </w:rPr>
        <w:t>.</w:t>
      </w:r>
      <w:r w:rsidR="001A21D6" w:rsidRPr="0099267A">
        <w:rPr>
          <w:sz w:val="20"/>
        </w:rPr>
        <w:t xml:space="preserve"> </w:t>
      </w:r>
      <w:r w:rsidR="007C504B" w:rsidRPr="0099267A">
        <w:rPr>
          <w:sz w:val="20"/>
        </w:rPr>
        <w:t xml:space="preserve">Victorian renal health services can adapt this policy </w:t>
      </w:r>
      <w:r w:rsidR="004918E4" w:rsidRPr="0099267A">
        <w:rPr>
          <w:sz w:val="20"/>
        </w:rPr>
        <w:t xml:space="preserve">and accompanying </w:t>
      </w:r>
      <w:r w:rsidR="00F96056" w:rsidRPr="0099267A">
        <w:rPr>
          <w:sz w:val="20"/>
        </w:rPr>
        <w:t xml:space="preserve">informed </w:t>
      </w:r>
      <w:r w:rsidR="00EF3ED8" w:rsidRPr="0099267A">
        <w:rPr>
          <w:sz w:val="20"/>
        </w:rPr>
        <w:t xml:space="preserve">consent </w:t>
      </w:r>
      <w:r w:rsidR="00F96056" w:rsidRPr="0099267A">
        <w:rPr>
          <w:sz w:val="20"/>
        </w:rPr>
        <w:t>documents</w:t>
      </w:r>
      <w:r w:rsidR="004918E4" w:rsidRPr="0099267A">
        <w:rPr>
          <w:sz w:val="20"/>
        </w:rPr>
        <w:t xml:space="preserve"> </w:t>
      </w:r>
      <w:r w:rsidR="000C693A" w:rsidRPr="0099267A">
        <w:rPr>
          <w:sz w:val="20"/>
        </w:rPr>
        <w:t xml:space="preserve">to </w:t>
      </w:r>
      <w:r w:rsidR="00DE298B" w:rsidRPr="0099267A">
        <w:rPr>
          <w:sz w:val="20"/>
        </w:rPr>
        <w:t>care for</w:t>
      </w:r>
      <w:r w:rsidR="004918E4" w:rsidRPr="0099267A">
        <w:rPr>
          <w:sz w:val="20"/>
        </w:rPr>
        <w:t xml:space="preserve"> patients with </w:t>
      </w:r>
      <w:r w:rsidR="00123025" w:rsidRPr="0099267A">
        <w:rPr>
          <w:sz w:val="20"/>
        </w:rPr>
        <w:t>ESKD</w:t>
      </w:r>
      <w:r w:rsidR="004773EE" w:rsidRPr="0099267A">
        <w:rPr>
          <w:sz w:val="20"/>
        </w:rPr>
        <w:t xml:space="preserve">. This policy outlines the minimum recommended standards </w:t>
      </w:r>
      <w:r w:rsidR="00BB6C1A" w:rsidRPr="0099267A">
        <w:rPr>
          <w:sz w:val="20"/>
        </w:rPr>
        <w:t>for</w:t>
      </w:r>
      <w:r w:rsidR="004773EE" w:rsidRPr="0099267A">
        <w:rPr>
          <w:sz w:val="20"/>
        </w:rPr>
        <w:t xml:space="preserve"> informed consent</w:t>
      </w:r>
      <w:r w:rsidR="00BB6C1A" w:rsidRPr="0099267A">
        <w:rPr>
          <w:sz w:val="20"/>
        </w:rPr>
        <w:t xml:space="preserve"> for maintenance dialysis</w:t>
      </w:r>
      <w:r w:rsidR="004773EE" w:rsidRPr="0099267A">
        <w:rPr>
          <w:sz w:val="20"/>
        </w:rPr>
        <w:t>, to</w:t>
      </w:r>
      <w:r w:rsidR="00DE298B" w:rsidRPr="0099267A">
        <w:rPr>
          <w:sz w:val="20"/>
        </w:rPr>
        <w:t xml:space="preserve"> make sure </w:t>
      </w:r>
      <w:r w:rsidR="004773EE" w:rsidRPr="0099267A">
        <w:rPr>
          <w:sz w:val="20"/>
        </w:rPr>
        <w:t>patients</w:t>
      </w:r>
      <w:r w:rsidR="000C693A" w:rsidRPr="0099267A">
        <w:rPr>
          <w:sz w:val="20"/>
        </w:rPr>
        <w:t xml:space="preserve"> </w:t>
      </w:r>
      <w:r w:rsidR="00EC4E07" w:rsidRPr="0099267A">
        <w:rPr>
          <w:sz w:val="20"/>
        </w:rPr>
        <w:t>understand</w:t>
      </w:r>
      <w:r w:rsidR="00345C20" w:rsidRPr="0099267A">
        <w:rPr>
          <w:sz w:val="20"/>
        </w:rPr>
        <w:t xml:space="preserve"> their condition, treatment options and </w:t>
      </w:r>
      <w:r w:rsidR="004918E4" w:rsidRPr="0099267A">
        <w:rPr>
          <w:sz w:val="20"/>
        </w:rPr>
        <w:t xml:space="preserve">associated </w:t>
      </w:r>
      <w:r w:rsidR="00345C20" w:rsidRPr="0099267A">
        <w:rPr>
          <w:sz w:val="20"/>
        </w:rPr>
        <w:t>risks</w:t>
      </w:r>
      <w:r w:rsidR="00BB6C1A" w:rsidRPr="0099267A">
        <w:rPr>
          <w:sz w:val="20"/>
        </w:rPr>
        <w:t xml:space="preserve">, and are involved in decisions about their </w:t>
      </w:r>
      <w:r w:rsidR="00CD4A54" w:rsidRPr="0099267A">
        <w:rPr>
          <w:sz w:val="20"/>
        </w:rPr>
        <w:t>care.</w:t>
      </w:r>
    </w:p>
    <w:p w14:paraId="7BA2FC24" w14:textId="77777777" w:rsidR="004918E4" w:rsidRDefault="004918E4">
      <w:pPr>
        <w:spacing w:after="0"/>
      </w:pPr>
      <w:r>
        <w:t xml:space="preserve">Specifically, this </w:t>
      </w:r>
      <w:r w:rsidR="00123025">
        <w:t xml:space="preserve">policy </w:t>
      </w:r>
      <w:r w:rsidR="00EC4E07">
        <w:t>covers</w:t>
      </w:r>
      <w:r>
        <w:t>:</w:t>
      </w:r>
    </w:p>
    <w:tbl>
      <w:tblPr>
        <w:tblStyle w:val="TableGrid"/>
        <w:tblW w:w="0" w:type="auto"/>
        <w:tblInd w:w="-112" w:type="dxa"/>
        <w:tblBorders>
          <w:top w:val="single" w:sz="2" w:space="0" w:color="EDF5F7" w:themeColor="background2"/>
          <w:bottom w:val="none" w:sz="0" w:space="0" w:color="auto"/>
          <w:insideH w:val="single" w:sz="24" w:space="0" w:color="CCCCD0" w:themeColor="accent6"/>
        </w:tblBorders>
        <w:tblLook w:val="04A0" w:firstRow="1" w:lastRow="0" w:firstColumn="1" w:lastColumn="0" w:noHBand="0" w:noVBand="1"/>
      </w:tblPr>
      <w:tblGrid>
        <w:gridCol w:w="4081"/>
        <w:gridCol w:w="6463"/>
      </w:tblGrid>
      <w:tr w:rsidR="008A5D39" w:rsidRPr="0099267A" w14:paraId="3CF9D340" w14:textId="77777777" w:rsidTr="00477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1" w:type="dxa"/>
            <w:tcBorders>
              <w:top w:val="nil"/>
              <w:left w:val="none" w:sz="0" w:space="0" w:color="auto"/>
              <w:bottom w:val="nil"/>
              <w:right w:val="none" w:sz="0" w:space="0" w:color="auto"/>
              <w:tl2br w:val="none" w:sz="0" w:space="0" w:color="auto"/>
              <w:tr2bl w:val="none" w:sz="0" w:space="0" w:color="auto"/>
            </w:tcBorders>
            <w:shd w:val="clear" w:color="auto" w:fill="auto"/>
          </w:tcPr>
          <w:p w14:paraId="1857B701" w14:textId="3FDCD37B" w:rsidR="008A5D39" w:rsidRPr="0099267A" w:rsidRDefault="008A5D39" w:rsidP="004773EE">
            <w:pPr>
              <w:pStyle w:val="Heading4"/>
              <w:spacing w:before="0" w:after="0"/>
              <w:outlineLvl w:val="3"/>
              <w:rPr>
                <w:b w:val="0"/>
                <w:color w:val="auto"/>
                <w:sz w:val="20"/>
              </w:rPr>
            </w:pPr>
            <w:r w:rsidRPr="0099267A">
              <w:rPr>
                <w:b w:val="0"/>
                <w:bCs w:val="0"/>
                <w:iCs w:val="0"/>
                <w:color w:val="auto"/>
                <w:sz w:val="20"/>
              </w:rPr>
              <w:t>Dialysis type</w:t>
            </w:r>
          </w:p>
        </w:tc>
        <w:tc>
          <w:tcPr>
            <w:tcW w:w="6463" w:type="dxa"/>
            <w:tcBorders>
              <w:top w:val="nil"/>
              <w:left w:val="none" w:sz="0" w:space="0" w:color="auto"/>
              <w:bottom w:val="nil"/>
              <w:right w:val="none" w:sz="0" w:space="0" w:color="auto"/>
              <w:tl2br w:val="none" w:sz="0" w:space="0" w:color="auto"/>
              <w:tr2bl w:val="none" w:sz="0" w:space="0" w:color="auto"/>
            </w:tcBorders>
            <w:shd w:val="clear" w:color="auto" w:fill="auto"/>
          </w:tcPr>
          <w:p w14:paraId="417191F9" w14:textId="15A9E9C2" w:rsidR="008A5D39" w:rsidRPr="0099267A" w:rsidRDefault="008A5D39" w:rsidP="004773EE">
            <w:pPr>
              <w:pStyle w:val="Heading4"/>
              <w:spacing w:before="0" w:after="0"/>
              <w:outlineLvl w:val="3"/>
              <w:cnfStyle w:val="100000000000" w:firstRow="1" w:lastRow="0" w:firstColumn="0" w:lastColumn="0" w:oddVBand="0" w:evenVBand="0" w:oddHBand="0" w:evenHBand="0" w:firstRowFirstColumn="0" w:firstRowLastColumn="0" w:lastRowFirstColumn="0" w:lastRowLastColumn="0"/>
              <w:rPr>
                <w:b w:val="0"/>
                <w:color w:val="auto"/>
                <w:sz w:val="20"/>
              </w:rPr>
            </w:pPr>
            <w:r w:rsidRPr="0099267A">
              <w:rPr>
                <w:b w:val="0"/>
                <w:bCs w:val="0"/>
                <w:iCs w:val="0"/>
                <w:color w:val="auto"/>
                <w:sz w:val="20"/>
              </w:rPr>
              <w:t>Treatment location</w:t>
            </w:r>
          </w:p>
        </w:tc>
      </w:tr>
      <w:tr w:rsidR="008A5D39" w:rsidRPr="0099267A" w14:paraId="7090D0CA" w14:textId="77777777" w:rsidTr="004773EE">
        <w:tc>
          <w:tcPr>
            <w:cnfStyle w:val="001000000000" w:firstRow="0" w:lastRow="0" w:firstColumn="1" w:lastColumn="0" w:oddVBand="0" w:evenVBand="0" w:oddHBand="0" w:evenHBand="0" w:firstRowFirstColumn="0" w:firstRowLastColumn="0" w:lastRowFirstColumn="0" w:lastRowLastColumn="0"/>
            <w:tcW w:w="4081" w:type="dxa"/>
            <w:tcBorders>
              <w:top w:val="nil"/>
            </w:tcBorders>
            <w:shd w:val="clear" w:color="auto" w:fill="auto"/>
          </w:tcPr>
          <w:p w14:paraId="572A1744" w14:textId="77777777" w:rsidR="008A5D39" w:rsidRPr="0099267A" w:rsidRDefault="008A5D39" w:rsidP="004773EE">
            <w:pPr>
              <w:pStyle w:val="Bullet1"/>
              <w:spacing w:before="0" w:after="0" w:line="240" w:lineRule="auto"/>
              <w:rPr>
                <w:b w:val="0"/>
                <w:color w:val="auto"/>
                <w:sz w:val="20"/>
              </w:rPr>
            </w:pPr>
            <w:r w:rsidRPr="0099267A">
              <w:rPr>
                <w:b w:val="0"/>
                <w:color w:val="auto"/>
                <w:sz w:val="20"/>
              </w:rPr>
              <w:t>Peritoneal dialysis (PD)</w:t>
            </w:r>
          </w:p>
          <w:p w14:paraId="08CCE524" w14:textId="32796350" w:rsidR="008A5D39" w:rsidRPr="0099267A" w:rsidRDefault="008A5D39" w:rsidP="004773EE">
            <w:pPr>
              <w:pStyle w:val="Bullet1"/>
              <w:spacing w:before="0" w:after="0" w:line="240" w:lineRule="auto"/>
              <w:rPr>
                <w:b w:val="0"/>
                <w:sz w:val="20"/>
              </w:rPr>
            </w:pPr>
            <w:r w:rsidRPr="0099267A">
              <w:rPr>
                <w:b w:val="0"/>
                <w:color w:val="auto"/>
                <w:sz w:val="20"/>
              </w:rPr>
              <w:t>Haemodialysis (HD)</w:t>
            </w:r>
          </w:p>
        </w:tc>
        <w:tc>
          <w:tcPr>
            <w:tcW w:w="6463" w:type="dxa"/>
            <w:tcBorders>
              <w:top w:val="nil"/>
            </w:tcBorders>
            <w:shd w:val="clear" w:color="auto" w:fill="auto"/>
          </w:tcPr>
          <w:p w14:paraId="377F39D2" w14:textId="77777777" w:rsidR="008A5D39" w:rsidRPr="0099267A" w:rsidRDefault="008A5D39" w:rsidP="004773EE">
            <w:pPr>
              <w:pStyle w:val="Bullet1"/>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sidRPr="0099267A">
              <w:rPr>
                <w:sz w:val="20"/>
              </w:rPr>
              <w:t xml:space="preserve">Home-based (PD or home HD) </w:t>
            </w:r>
          </w:p>
          <w:p w14:paraId="13424654" w14:textId="75E3B180" w:rsidR="008A5D39" w:rsidRPr="0099267A" w:rsidRDefault="008A5D39" w:rsidP="004773EE">
            <w:pPr>
              <w:pStyle w:val="Bullet1"/>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sidRPr="0099267A">
              <w:rPr>
                <w:sz w:val="20"/>
              </w:rPr>
              <w:t>Delivered in a healthcare facility (hospital HD or satellite HD)</w:t>
            </w:r>
          </w:p>
        </w:tc>
      </w:tr>
    </w:tbl>
    <w:p w14:paraId="3F248E11" w14:textId="77777777" w:rsidR="00B75C13" w:rsidRDefault="004918E4">
      <w:r>
        <w:rPr>
          <w:noProof/>
        </w:rPr>
        <mc:AlternateContent>
          <mc:Choice Requires="wps">
            <w:drawing>
              <wp:inline distT="0" distB="0" distL="0" distR="0" wp14:anchorId="129D5270" wp14:editId="2D0ACD6A">
                <wp:extent cx="6638925" cy="3243532"/>
                <wp:effectExtent l="0" t="0" r="28575" b="146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43532"/>
                        </a:xfrm>
                        <a:prstGeom prst="rect">
                          <a:avLst/>
                        </a:prstGeom>
                        <a:solidFill>
                          <a:schemeClr val="bg2"/>
                        </a:solidFill>
                        <a:ln w="6350">
                          <a:solidFill>
                            <a:schemeClr val="bg2"/>
                          </a:solidFill>
                          <a:miter lim="800000"/>
                          <a:headEnd/>
                          <a:tailEnd/>
                        </a:ln>
                      </wps:spPr>
                      <wps:txbx>
                        <w:txbxContent>
                          <w:p w14:paraId="576DB171" w14:textId="77777777" w:rsidR="00825D73" w:rsidRDefault="00825D73" w:rsidP="004773EE">
                            <w:pPr>
                              <w:pStyle w:val="PulloutHeading"/>
                            </w:pPr>
                            <w:r>
                              <w:t>This policy does not apply to:</w:t>
                            </w:r>
                          </w:p>
                          <w:p w14:paraId="1007C2CE" w14:textId="35C982CD" w:rsidR="00B75C13" w:rsidRDefault="00825D73" w:rsidP="0099267A">
                            <w:pPr>
                              <w:pStyle w:val="PulloutText"/>
                              <w:spacing w:after="60" w:line="260" w:lineRule="atLeast"/>
                            </w:pPr>
                            <w:r>
                              <w:rPr>
                                <w:b/>
                              </w:rPr>
                              <w:t>Temporary or emergency dialysis</w:t>
                            </w:r>
                            <w:r>
                              <w:rPr>
                                <w:b/>
                                <w:sz w:val="24"/>
                              </w:rPr>
                              <w:t xml:space="preserve"> </w:t>
                            </w:r>
                            <w:r>
                              <w:t xml:space="preserve">when you are </w:t>
                            </w:r>
                            <w:r w:rsidRPr="00D82BFB">
                              <w:t>treat</w:t>
                            </w:r>
                            <w:r>
                              <w:t>ing an</w:t>
                            </w:r>
                            <w:r w:rsidRPr="00D82BFB">
                              <w:t xml:space="preserve"> acute kidney injury</w:t>
                            </w:r>
                            <w:r w:rsidR="00B75C13">
                              <w:t xml:space="preserve"> and:</w:t>
                            </w:r>
                          </w:p>
                          <w:p w14:paraId="14C91B60" w14:textId="0EABD4B5" w:rsidR="00B75C13" w:rsidRDefault="00825D73" w:rsidP="0099267A">
                            <w:pPr>
                              <w:pStyle w:val="PulloutText"/>
                              <w:numPr>
                                <w:ilvl w:val="0"/>
                                <w:numId w:val="20"/>
                              </w:numPr>
                              <w:spacing w:before="60" w:after="60" w:line="260" w:lineRule="atLeast"/>
                            </w:pPr>
                            <w:r w:rsidRPr="00D82BFB">
                              <w:t>kidney function is expected to recove</w:t>
                            </w:r>
                            <w:r>
                              <w:t>r</w:t>
                            </w:r>
                          </w:p>
                          <w:p w14:paraId="6ABF6BB5" w14:textId="77777777" w:rsidR="00825D73" w:rsidRDefault="00825D73" w:rsidP="0099267A">
                            <w:pPr>
                              <w:pStyle w:val="PulloutText"/>
                              <w:numPr>
                                <w:ilvl w:val="0"/>
                                <w:numId w:val="20"/>
                              </w:numPr>
                              <w:spacing w:before="60" w:line="260" w:lineRule="atLeast"/>
                            </w:pPr>
                            <w:r>
                              <w:t xml:space="preserve">you are uncertain if </w:t>
                            </w:r>
                            <w:r w:rsidRPr="00D82BFB">
                              <w:t xml:space="preserve">kidney function will recover, or </w:t>
                            </w:r>
                            <w:r>
                              <w:t>if</w:t>
                            </w:r>
                            <w:r w:rsidRPr="00D82BFB">
                              <w:t xml:space="preserve"> the need for dialysis will remain ongoing.</w:t>
                            </w:r>
                          </w:p>
                          <w:p w14:paraId="4C93F1EC" w14:textId="77777777" w:rsidR="00825D73" w:rsidRDefault="00825D73" w:rsidP="0099267A">
                            <w:pPr>
                              <w:pStyle w:val="PulloutText"/>
                              <w:spacing w:before="180" w:after="60" w:line="260" w:lineRule="atLeast"/>
                            </w:pPr>
                            <w:r w:rsidRPr="00D435C3">
                              <w:rPr>
                                <w:rFonts w:eastAsiaTheme="minorHAnsi"/>
                                <w:b/>
                              </w:rPr>
                              <w:t xml:space="preserve">Dialysis access procedures </w:t>
                            </w:r>
                            <w:r w:rsidRPr="00D82BFB">
                              <w:t>used to allow dialysis to be performed</w:t>
                            </w:r>
                            <w:r>
                              <w:t>, including:</w:t>
                            </w:r>
                          </w:p>
                          <w:p w14:paraId="62B4BC2E" w14:textId="77777777" w:rsidR="00825D73" w:rsidRDefault="00825D73" w:rsidP="0099267A">
                            <w:pPr>
                              <w:pStyle w:val="PulloutText"/>
                              <w:numPr>
                                <w:ilvl w:val="0"/>
                                <w:numId w:val="15"/>
                              </w:numPr>
                              <w:spacing w:before="60" w:after="60" w:line="260" w:lineRule="atLeast"/>
                            </w:pPr>
                            <w:r w:rsidRPr="00D82BFB">
                              <w:t>inserting a peritoneal dialysis catheter</w:t>
                            </w:r>
                          </w:p>
                          <w:p w14:paraId="4AA41B8F" w14:textId="77777777" w:rsidR="00825D73" w:rsidRDefault="00825D73" w:rsidP="0099267A">
                            <w:pPr>
                              <w:pStyle w:val="PulloutText"/>
                              <w:numPr>
                                <w:ilvl w:val="0"/>
                                <w:numId w:val="15"/>
                              </w:numPr>
                              <w:spacing w:before="60" w:after="60" w:line="260" w:lineRule="atLeast"/>
                            </w:pPr>
                            <w:r w:rsidRPr="00D82BFB">
                              <w:t>creating an arteriovenous fistula</w:t>
                            </w:r>
                          </w:p>
                          <w:p w14:paraId="14C2178A" w14:textId="77777777" w:rsidR="00825D73" w:rsidRPr="00D82BFB" w:rsidRDefault="00825D73" w:rsidP="0099267A">
                            <w:pPr>
                              <w:pStyle w:val="PulloutText"/>
                              <w:numPr>
                                <w:ilvl w:val="0"/>
                                <w:numId w:val="15"/>
                              </w:numPr>
                              <w:spacing w:before="60" w:line="260" w:lineRule="atLeast"/>
                            </w:pPr>
                            <w:r w:rsidRPr="00D82BFB">
                              <w:t>inserting a central venous catheter.</w:t>
                            </w:r>
                          </w:p>
                          <w:p w14:paraId="750DD3C2" w14:textId="710BDC3F" w:rsidR="00825D73" w:rsidRDefault="00825D73" w:rsidP="0099267A">
                            <w:pPr>
                              <w:pStyle w:val="PulloutText"/>
                              <w:spacing w:before="180" w:line="260" w:lineRule="atLeast"/>
                            </w:pPr>
                            <w:r w:rsidRPr="00D435C3">
                              <w:rPr>
                                <w:b/>
                              </w:rPr>
                              <w:t>K</w:t>
                            </w:r>
                            <w:r w:rsidRPr="00D435C3">
                              <w:rPr>
                                <w:rFonts w:eastAsiaTheme="minorHAnsi"/>
                                <w:b/>
                              </w:rPr>
                              <w:t>idney transplantation</w:t>
                            </w:r>
                            <w:r>
                              <w:t>, which requires w</w:t>
                            </w:r>
                            <w:r w:rsidRPr="00D82BFB">
                              <w:t>ritten consent</w:t>
                            </w:r>
                            <w:r w:rsidR="00B75C13">
                              <w:t>:</w:t>
                            </w:r>
                          </w:p>
                          <w:p w14:paraId="2E81B662" w14:textId="65D96A6C" w:rsidR="00825D73" w:rsidRDefault="00825D73" w:rsidP="0099267A">
                            <w:pPr>
                              <w:pStyle w:val="PulloutText"/>
                              <w:numPr>
                                <w:ilvl w:val="0"/>
                                <w:numId w:val="15"/>
                              </w:numPr>
                              <w:spacing w:before="60" w:after="60" w:line="260" w:lineRule="atLeast"/>
                            </w:pPr>
                            <w:r w:rsidRPr="00D82BFB">
                              <w:t xml:space="preserve">after the pre-transplant evaluation </w:t>
                            </w:r>
                            <w:r w:rsidR="00B75C13">
                              <w:t>to get</w:t>
                            </w:r>
                            <w:r w:rsidRPr="00D82BFB">
                              <w:t xml:space="preserve"> on the deceased donor transplant waiting list</w:t>
                            </w:r>
                            <w:r w:rsidR="00B75C13">
                              <w:t>,</w:t>
                            </w:r>
                            <w:r w:rsidRPr="00D82BFB">
                              <w:t xml:space="preserve"> or to receive a kidney transplant from a live donor</w:t>
                            </w:r>
                          </w:p>
                          <w:p w14:paraId="413E9FA6" w14:textId="60D4A752" w:rsidR="00825D73" w:rsidRPr="00D82BFB" w:rsidRDefault="00825D73" w:rsidP="0099267A">
                            <w:pPr>
                              <w:pStyle w:val="PulloutText"/>
                              <w:numPr>
                                <w:ilvl w:val="0"/>
                                <w:numId w:val="16"/>
                              </w:numPr>
                              <w:spacing w:before="60" w:line="260" w:lineRule="atLeast"/>
                            </w:pPr>
                            <w:r w:rsidRPr="00D82BFB">
                              <w:t>immediately before the kidney transplant operation.</w:t>
                            </w:r>
                          </w:p>
                          <w:p w14:paraId="1A7F792D" w14:textId="77777777" w:rsidR="00825D73" w:rsidRDefault="00825D73" w:rsidP="004773EE">
                            <w:pPr>
                              <w:pStyle w:val="PulloutText"/>
                              <w:spacing w:before="180"/>
                            </w:pPr>
                            <w:r w:rsidRPr="00D435C3">
                              <w:rPr>
                                <w:b/>
                              </w:rPr>
                              <w:t>Please refer to your health service’s local policies and procedures for informed consent</w:t>
                            </w:r>
                            <w:r>
                              <w:rPr>
                                <w:b/>
                              </w:rPr>
                              <w:t xml:space="preserve"> on the above.</w:t>
                            </w:r>
                          </w:p>
                        </w:txbxContent>
                      </wps:txbx>
                      <wps:bodyPr rot="0" vert="horz" wrap="square" lIns="180000" tIns="180000" rIns="144000" bIns="36000" anchor="t" anchorCtr="0">
                        <a:noAutofit/>
                      </wps:bodyPr>
                    </wps:wsp>
                  </a:graphicData>
                </a:graphic>
              </wp:inline>
            </w:drawing>
          </mc:Choice>
          <mc:Fallback>
            <w:pict>
              <v:shape w14:anchorId="129D5270" id="Text Box 2" o:spid="_x0000_s1027" type="#_x0000_t202" style="width:522.75pt;height:2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" fillcolor="#edf5f7 [3214]" strokecolor="#edf5f7 [3214]" strokeweight=".5pt">
                <v:textbox inset="5mm,5mm,4mm,1mm">
                  <w:txbxContent>
                    <w:p w14:paraId="576DB171" w14:textId="77777777" w:rsidR="00825D73" w:rsidRDefault="00825D73" w:rsidP="004773EE">
                      <w:pPr>
                        <w:pStyle w:val="PulloutHeading"/>
                      </w:pPr>
                      <w:r>
                        <w:t>This policy does not apply to:</w:t>
                      </w:r>
                    </w:p>
                    <w:p w14:paraId="1007C2CE" w14:textId="35C982CD" w:rsidR="00B75C13" w:rsidRDefault="00825D73" w:rsidP="0099267A">
                      <w:pPr>
                        <w:pStyle w:val="PulloutText"/>
                        <w:spacing w:after="60" w:line="260" w:lineRule="atLeast"/>
                      </w:pPr>
                      <w:r>
                        <w:rPr>
                          <w:b/>
                        </w:rPr>
                        <w:t>Temporary or emergency dialysis</w:t>
                      </w:r>
                      <w:r>
                        <w:rPr>
                          <w:b/>
                          <w:sz w:val="24"/>
                        </w:rPr>
                        <w:t xml:space="preserve"> </w:t>
                      </w:r>
                      <w:r>
                        <w:t xml:space="preserve">when you are </w:t>
                      </w:r>
                      <w:r w:rsidRPr="00D82BFB">
                        <w:t>treat</w:t>
                      </w:r>
                      <w:r>
                        <w:t>ing an</w:t>
                      </w:r>
                      <w:r w:rsidRPr="00D82BFB">
                        <w:t xml:space="preserve"> acute kidney injury</w:t>
                      </w:r>
                      <w:r w:rsidR="00B75C13">
                        <w:t xml:space="preserve"> and:</w:t>
                      </w:r>
                    </w:p>
                    <w:p w14:paraId="14C91B60" w14:textId="0EABD4B5" w:rsidR="00B75C13" w:rsidRDefault="00825D73" w:rsidP="0099267A">
                      <w:pPr>
                        <w:pStyle w:val="PulloutText"/>
                        <w:numPr>
                          <w:ilvl w:val="0"/>
                          <w:numId w:val="20"/>
                        </w:numPr>
                        <w:spacing w:before="60" w:after="60" w:line="260" w:lineRule="atLeast"/>
                      </w:pPr>
                      <w:r w:rsidRPr="00D82BFB">
                        <w:t>kidney function is expected to recove</w:t>
                      </w:r>
                      <w:r>
                        <w:t>r</w:t>
                      </w:r>
                    </w:p>
                    <w:p w14:paraId="6ABF6BB5" w14:textId="77777777" w:rsidR="00825D73" w:rsidRDefault="00825D73" w:rsidP="0099267A">
                      <w:pPr>
                        <w:pStyle w:val="PulloutText"/>
                        <w:numPr>
                          <w:ilvl w:val="0"/>
                          <w:numId w:val="20"/>
                        </w:numPr>
                        <w:spacing w:before="60" w:line="260" w:lineRule="atLeast"/>
                      </w:pPr>
                      <w:r>
                        <w:t xml:space="preserve">you are uncertain if </w:t>
                      </w:r>
                      <w:r w:rsidRPr="00D82BFB">
                        <w:t xml:space="preserve">kidney function will recover, or </w:t>
                      </w:r>
                      <w:r>
                        <w:t>if</w:t>
                      </w:r>
                      <w:r w:rsidRPr="00D82BFB">
                        <w:t xml:space="preserve"> the need for dialysis will remain ongoing.</w:t>
                      </w:r>
                    </w:p>
                    <w:p w14:paraId="4C93F1EC" w14:textId="77777777" w:rsidR="00825D73" w:rsidRDefault="00825D73" w:rsidP="0099267A">
                      <w:pPr>
                        <w:pStyle w:val="PulloutText"/>
                        <w:spacing w:before="180" w:after="60" w:line="260" w:lineRule="atLeast"/>
                      </w:pPr>
                      <w:r w:rsidRPr="00D435C3">
                        <w:rPr>
                          <w:rFonts w:eastAsiaTheme="minorHAnsi"/>
                          <w:b/>
                        </w:rPr>
                        <w:t xml:space="preserve">Dialysis access procedures </w:t>
                      </w:r>
                      <w:r w:rsidRPr="00D82BFB">
                        <w:t>used to allow dialysis to be performed</w:t>
                      </w:r>
                      <w:r>
                        <w:t>, including:</w:t>
                      </w:r>
                    </w:p>
                    <w:p w14:paraId="62B4BC2E" w14:textId="77777777" w:rsidR="00825D73" w:rsidRDefault="00825D73" w:rsidP="0099267A">
                      <w:pPr>
                        <w:pStyle w:val="PulloutText"/>
                        <w:numPr>
                          <w:ilvl w:val="0"/>
                          <w:numId w:val="15"/>
                        </w:numPr>
                        <w:spacing w:before="60" w:after="60" w:line="260" w:lineRule="atLeast"/>
                      </w:pPr>
                      <w:r w:rsidRPr="00D82BFB">
                        <w:t>inserting a peritoneal dialysis catheter</w:t>
                      </w:r>
                    </w:p>
                    <w:p w14:paraId="4AA41B8F" w14:textId="77777777" w:rsidR="00825D73" w:rsidRDefault="00825D73" w:rsidP="0099267A">
                      <w:pPr>
                        <w:pStyle w:val="PulloutText"/>
                        <w:numPr>
                          <w:ilvl w:val="0"/>
                          <w:numId w:val="15"/>
                        </w:numPr>
                        <w:spacing w:before="60" w:after="60" w:line="260" w:lineRule="atLeast"/>
                      </w:pPr>
                      <w:r w:rsidRPr="00D82BFB">
                        <w:t>creating an arteriovenous fistula</w:t>
                      </w:r>
                    </w:p>
                    <w:p w14:paraId="14C2178A" w14:textId="77777777" w:rsidR="00825D73" w:rsidRPr="00D82BFB" w:rsidRDefault="00825D73" w:rsidP="0099267A">
                      <w:pPr>
                        <w:pStyle w:val="PulloutText"/>
                        <w:numPr>
                          <w:ilvl w:val="0"/>
                          <w:numId w:val="15"/>
                        </w:numPr>
                        <w:spacing w:before="60" w:line="260" w:lineRule="atLeast"/>
                      </w:pPr>
                      <w:r w:rsidRPr="00D82BFB">
                        <w:t>inserting a central venous catheter.</w:t>
                      </w:r>
                    </w:p>
                    <w:p w14:paraId="750DD3C2" w14:textId="710BDC3F" w:rsidR="00825D73" w:rsidRDefault="00825D73" w:rsidP="0099267A">
                      <w:pPr>
                        <w:pStyle w:val="PulloutText"/>
                        <w:spacing w:before="180" w:line="260" w:lineRule="atLeast"/>
                      </w:pPr>
                      <w:r w:rsidRPr="00D435C3">
                        <w:rPr>
                          <w:b/>
                        </w:rPr>
                        <w:t>K</w:t>
                      </w:r>
                      <w:r w:rsidRPr="00D435C3">
                        <w:rPr>
                          <w:rFonts w:eastAsiaTheme="minorHAnsi"/>
                          <w:b/>
                        </w:rPr>
                        <w:t>idney transplantation</w:t>
                      </w:r>
                      <w:r>
                        <w:t>, which requires w</w:t>
                      </w:r>
                      <w:r w:rsidRPr="00D82BFB">
                        <w:t>ritten consent</w:t>
                      </w:r>
                      <w:r w:rsidR="00B75C13">
                        <w:t>:</w:t>
                      </w:r>
                    </w:p>
                    <w:p w14:paraId="2E81B662" w14:textId="65D96A6C" w:rsidR="00825D73" w:rsidRDefault="00825D73" w:rsidP="0099267A">
                      <w:pPr>
                        <w:pStyle w:val="PulloutText"/>
                        <w:numPr>
                          <w:ilvl w:val="0"/>
                          <w:numId w:val="15"/>
                        </w:numPr>
                        <w:spacing w:before="60" w:after="60" w:line="260" w:lineRule="atLeast"/>
                      </w:pPr>
                      <w:r w:rsidRPr="00D82BFB">
                        <w:t xml:space="preserve">after the pre-transplant evaluation </w:t>
                      </w:r>
                      <w:r w:rsidR="00B75C13">
                        <w:t>to get</w:t>
                      </w:r>
                      <w:r w:rsidRPr="00D82BFB">
                        <w:t xml:space="preserve"> on the deceased donor transplant waiting list</w:t>
                      </w:r>
                      <w:r w:rsidR="00B75C13">
                        <w:t>,</w:t>
                      </w:r>
                      <w:r w:rsidRPr="00D82BFB">
                        <w:t xml:space="preserve"> or to receive a kidney transplant from a live donor</w:t>
                      </w:r>
                    </w:p>
                    <w:p w14:paraId="413E9FA6" w14:textId="60D4A752" w:rsidR="00825D73" w:rsidRPr="00D82BFB" w:rsidRDefault="00825D73" w:rsidP="0099267A">
                      <w:pPr>
                        <w:pStyle w:val="PulloutText"/>
                        <w:numPr>
                          <w:ilvl w:val="0"/>
                          <w:numId w:val="16"/>
                        </w:numPr>
                        <w:spacing w:before="60" w:line="260" w:lineRule="atLeast"/>
                      </w:pPr>
                      <w:r w:rsidRPr="00D82BFB">
                        <w:t>immediately before the kidney transplant operation.</w:t>
                      </w:r>
                    </w:p>
                    <w:p w14:paraId="1A7F792D" w14:textId="77777777" w:rsidR="00825D73" w:rsidRDefault="00825D73" w:rsidP="004773EE">
                      <w:pPr>
                        <w:pStyle w:val="PulloutText"/>
                        <w:spacing w:before="180"/>
                      </w:pPr>
                      <w:r w:rsidRPr="00D435C3">
                        <w:rPr>
                          <w:b/>
                        </w:rPr>
                        <w:t>Please refer to your health service’s local policies and procedures for informed consent</w:t>
                      </w:r>
                      <w:r>
                        <w:rPr>
                          <w:b/>
                        </w:rPr>
                        <w:t xml:space="preserve"> on the above.</w:t>
                      </w:r>
                    </w:p>
                  </w:txbxContent>
                </v:textbox>
                <w10:anchorlock/>
              </v:shape>
            </w:pict>
          </mc:Fallback>
        </mc:AlternateContent>
      </w:r>
    </w:p>
    <w:p w14:paraId="786AFA4A" w14:textId="77777777" w:rsidR="00B75C13" w:rsidRDefault="00B75C13" w:rsidP="0099267A">
      <w:pPr>
        <w:pStyle w:val="Heading3"/>
        <w:spacing w:before="180"/>
      </w:pPr>
      <w:r>
        <w:t xml:space="preserve">Why </w:t>
      </w:r>
      <w:proofErr w:type="gramStart"/>
      <w:r>
        <w:t>use</w:t>
      </w:r>
      <w:proofErr w:type="gramEnd"/>
      <w:r>
        <w:t xml:space="preserve"> this policy?</w:t>
      </w:r>
    </w:p>
    <w:p w14:paraId="3B10DA1A" w14:textId="4A85012A" w:rsidR="008D617C" w:rsidRDefault="00B75C13" w:rsidP="004773EE">
      <w:pPr>
        <w:pStyle w:val="Normalfollowingheading"/>
        <w:spacing w:after="120"/>
      </w:pPr>
      <w:r>
        <w:t xml:space="preserve">This policy </w:t>
      </w:r>
      <w:r w:rsidR="003D6B81">
        <w:t xml:space="preserve">will </w:t>
      </w:r>
      <w:r>
        <w:t xml:space="preserve">help renal patients access consistently high-quality </w:t>
      </w:r>
      <w:r w:rsidR="008D617C">
        <w:t xml:space="preserve">information and </w:t>
      </w:r>
      <w:r>
        <w:t>care, no matter where they live.</w:t>
      </w:r>
      <w:r w:rsidR="008D617C" w:rsidRPr="008D617C">
        <w:t xml:space="preserve"> </w:t>
      </w:r>
      <w:r w:rsidR="00DC241A">
        <w:t>Previously</w:t>
      </w:r>
      <w:r w:rsidR="008D617C">
        <w:t xml:space="preserve">, </w:t>
      </w:r>
      <w:r w:rsidR="000E5100">
        <w:t>w</w:t>
      </w:r>
      <w:r w:rsidR="00BB6C1A">
        <w:t>e have</w:t>
      </w:r>
      <w:r w:rsidR="008D617C">
        <w:t xml:space="preserve"> found the</w:t>
      </w:r>
      <w:r w:rsidR="008D617C" w:rsidRPr="00D82BFB">
        <w:t xml:space="preserve"> information </w:t>
      </w:r>
      <w:r w:rsidR="008D617C">
        <w:t xml:space="preserve">renal patients receive </w:t>
      </w:r>
      <w:r w:rsidR="00F109F5">
        <w:t xml:space="preserve">when they start dialysis sometimes </w:t>
      </w:r>
      <w:r w:rsidR="008D617C">
        <w:t>differ</w:t>
      </w:r>
      <w:r w:rsidR="00113A2A">
        <w:t>s</w:t>
      </w:r>
      <w:r w:rsidR="008D617C">
        <w:t xml:space="preserve"> from service to service. </w:t>
      </w:r>
      <w:r w:rsidR="008A5D39">
        <w:t>We also know through the Victorian Healthcare Experience Survey that renal patients feel less involved in decisions about their care tha</w:t>
      </w:r>
      <w:r w:rsidR="00DA1418">
        <w:t>n</w:t>
      </w:r>
      <w:r w:rsidR="008A5D39">
        <w:t xml:space="preserve"> non-renal patients.</w:t>
      </w:r>
    </w:p>
    <w:p w14:paraId="108BDC9B" w14:textId="620B62D2" w:rsidR="0077191B" w:rsidRDefault="008A5D39" w:rsidP="004773EE">
      <w:pPr>
        <w:pStyle w:val="Normalfollowingheading"/>
        <w:spacing w:before="120" w:after="120"/>
        <w:rPr>
          <w:rFonts w:ascii="VIC SemiBold" w:eastAsia="Arial" w:hAnsi="VIC SemiBold"/>
          <w:bCs/>
          <w:color w:val="007586" w:themeColor="text2"/>
          <w:szCs w:val="18"/>
        </w:rPr>
      </w:pPr>
      <w:r>
        <w:t xml:space="preserve">Using this policy will also help your health service comply with the National Safety and Quality Health Service Standards, particularly </w:t>
      </w:r>
      <w:r w:rsidR="0096183D">
        <w:t xml:space="preserve">standard </w:t>
      </w:r>
      <w:r w:rsidRPr="004773EE">
        <w:rPr>
          <w:b/>
        </w:rPr>
        <w:t>2. Partnering with consumers</w:t>
      </w:r>
      <w:r>
        <w:t xml:space="preserve">. You can find more information, resources and e-learning modules at </w:t>
      </w:r>
      <w:r w:rsidRPr="003F64A8">
        <w:t>www.safetyandquality.gov.au</w:t>
      </w:r>
      <w:r>
        <w:t>.</w:t>
      </w:r>
      <w:r w:rsidR="0077191B">
        <w:br w:type="page"/>
      </w:r>
    </w:p>
    <w:p w14:paraId="609AF2E2" w14:textId="77777777" w:rsidR="008A2884" w:rsidRPr="0099267A" w:rsidRDefault="008A2884" w:rsidP="0099267A">
      <w:pPr>
        <w:pStyle w:val="Tablechartdiagramheading"/>
        <w:spacing w:after="120"/>
        <w:rPr>
          <w:color w:val="auto"/>
        </w:rPr>
      </w:pPr>
      <w:r w:rsidRPr="0099267A">
        <w:rPr>
          <w:color w:val="auto"/>
        </w:rPr>
        <w:lastRenderedPageBreak/>
        <w:t>Minimum recommended standards for written informed consent for maintenance dialysis</w:t>
      </w:r>
    </w:p>
    <w:tbl>
      <w:tblPr>
        <w:tblStyle w:val="TableGrid"/>
        <w:tblW w:w="0" w:type="auto"/>
        <w:tblLook w:val="04A0" w:firstRow="1" w:lastRow="0" w:firstColumn="1" w:lastColumn="0" w:noHBand="0" w:noVBand="1"/>
      </w:tblPr>
      <w:tblGrid>
        <w:gridCol w:w="426"/>
        <w:gridCol w:w="2835"/>
        <w:gridCol w:w="7171"/>
      </w:tblGrid>
      <w:tr w:rsidR="008A2884" w:rsidRPr="00B75C13" w14:paraId="3A4E8210" w14:textId="77777777" w:rsidTr="00783B9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32" w:type="dxa"/>
            <w:gridSpan w:val="3"/>
          </w:tcPr>
          <w:p w14:paraId="3364BA5E" w14:textId="7C8D493D" w:rsidR="008A2884" w:rsidRPr="004773EE" w:rsidRDefault="008A2884" w:rsidP="004773EE">
            <w:pPr>
              <w:spacing w:before="60" w:after="80" w:line="240" w:lineRule="atLeast"/>
              <w:rPr>
                <w:rFonts w:ascii="VIC SemiBold" w:hAnsi="VIC SemiBold"/>
                <w:b w:val="0"/>
                <w:sz w:val="18"/>
                <w:szCs w:val="18"/>
              </w:rPr>
            </w:pPr>
            <w:r w:rsidRPr="004773EE">
              <w:rPr>
                <w:rFonts w:ascii="VIC SemiBold" w:hAnsi="VIC SemiBold"/>
                <w:sz w:val="18"/>
                <w:szCs w:val="18"/>
              </w:rPr>
              <w:t>Informed consent should include the following:</w:t>
            </w:r>
          </w:p>
        </w:tc>
      </w:tr>
      <w:tr w:rsidR="008A2884" w:rsidRPr="00B75C13" w14:paraId="3B6C0EC9"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70E07873" w14:textId="77777777" w:rsidR="008A2884" w:rsidRPr="004773EE" w:rsidRDefault="008A2884" w:rsidP="004773EE">
            <w:pPr>
              <w:spacing w:before="60" w:after="80" w:line="240" w:lineRule="atLeast"/>
              <w:rPr>
                <w:sz w:val="18"/>
                <w:szCs w:val="18"/>
              </w:rPr>
            </w:pPr>
            <w:r w:rsidRPr="004773EE">
              <w:rPr>
                <w:sz w:val="18"/>
                <w:szCs w:val="18"/>
              </w:rPr>
              <w:t>1</w:t>
            </w:r>
          </w:p>
        </w:tc>
        <w:tc>
          <w:tcPr>
            <w:tcW w:w="2835" w:type="dxa"/>
          </w:tcPr>
          <w:p w14:paraId="6E79CF68" w14:textId="77777777" w:rsidR="008A2884" w:rsidRPr="004773EE" w:rsidRDefault="008A2884"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color w:val="007586" w:themeColor="text2"/>
                <w:sz w:val="18"/>
                <w:szCs w:val="18"/>
              </w:rPr>
              <w:t>Information about condition</w:t>
            </w:r>
          </w:p>
        </w:tc>
        <w:tc>
          <w:tcPr>
            <w:tcW w:w="7171" w:type="dxa"/>
          </w:tcPr>
          <w:p w14:paraId="5216BDE5" w14:textId="533F9FFF" w:rsidR="00EC4E07" w:rsidRPr="00B75C13" w:rsidRDefault="0077191B"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B75C13">
              <w:rPr>
                <w:sz w:val="18"/>
                <w:szCs w:val="18"/>
              </w:rPr>
              <w:t xml:space="preserve">Tell your </w:t>
            </w:r>
            <w:r w:rsidR="008A2884" w:rsidRPr="004773EE">
              <w:rPr>
                <w:sz w:val="18"/>
                <w:szCs w:val="18"/>
              </w:rPr>
              <w:t xml:space="preserve">patient </w:t>
            </w:r>
            <w:r w:rsidRPr="00B75C13">
              <w:rPr>
                <w:sz w:val="18"/>
                <w:szCs w:val="18"/>
              </w:rPr>
              <w:t xml:space="preserve">they have </w:t>
            </w:r>
            <w:r w:rsidR="008A2884" w:rsidRPr="004773EE">
              <w:rPr>
                <w:sz w:val="18"/>
                <w:szCs w:val="18"/>
              </w:rPr>
              <w:t xml:space="preserve">permanent and severe kidney failure. </w:t>
            </w:r>
          </w:p>
          <w:p w14:paraId="4D7FD06F" w14:textId="77777777" w:rsidR="008A2884" w:rsidRPr="004773EE" w:rsidRDefault="0077191B"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B75C13">
              <w:rPr>
                <w:sz w:val="18"/>
                <w:szCs w:val="18"/>
              </w:rPr>
              <w:t>Tell them</w:t>
            </w:r>
            <w:r w:rsidR="008A2884" w:rsidRPr="004773EE">
              <w:rPr>
                <w:sz w:val="18"/>
                <w:szCs w:val="18"/>
              </w:rPr>
              <w:t xml:space="preserve"> about the likely outcome of their condition, with and without dialysis.</w:t>
            </w:r>
          </w:p>
        </w:tc>
      </w:tr>
      <w:tr w:rsidR="008A2884" w:rsidRPr="00B75C13" w14:paraId="3F7429D3"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3B801467" w14:textId="77777777" w:rsidR="008A2884" w:rsidRPr="004773EE" w:rsidRDefault="008A2884" w:rsidP="004773EE">
            <w:pPr>
              <w:spacing w:before="60" w:after="80" w:line="240" w:lineRule="atLeast"/>
              <w:rPr>
                <w:sz w:val="18"/>
                <w:szCs w:val="18"/>
              </w:rPr>
            </w:pPr>
            <w:r w:rsidRPr="004773EE">
              <w:rPr>
                <w:sz w:val="18"/>
                <w:szCs w:val="18"/>
              </w:rPr>
              <w:t>2</w:t>
            </w:r>
          </w:p>
        </w:tc>
        <w:tc>
          <w:tcPr>
            <w:tcW w:w="2835" w:type="dxa"/>
          </w:tcPr>
          <w:p w14:paraId="3B9B9606" w14:textId="77777777" w:rsidR="008A2884" w:rsidRPr="004773EE" w:rsidRDefault="008A2884"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color w:val="007586" w:themeColor="text2"/>
                <w:sz w:val="18"/>
                <w:szCs w:val="18"/>
              </w:rPr>
              <w:t>Education about all treatment options</w:t>
            </w:r>
          </w:p>
        </w:tc>
        <w:tc>
          <w:tcPr>
            <w:tcW w:w="7171" w:type="dxa"/>
          </w:tcPr>
          <w:p w14:paraId="5AD73F84" w14:textId="4AE9D6C6" w:rsidR="00EC4E07" w:rsidRPr="004773EE" w:rsidRDefault="0077191B"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B75C13">
              <w:rPr>
                <w:sz w:val="18"/>
                <w:szCs w:val="18"/>
              </w:rPr>
              <w:t>Give your patient</w:t>
            </w:r>
            <w:r w:rsidR="008A2884" w:rsidRPr="004773EE">
              <w:rPr>
                <w:sz w:val="18"/>
                <w:szCs w:val="18"/>
              </w:rPr>
              <w:t xml:space="preserve"> information on all relevant treatment options including</w:t>
            </w:r>
            <w:r w:rsidR="00EC4E07" w:rsidRPr="004773EE">
              <w:rPr>
                <w:sz w:val="18"/>
                <w:szCs w:val="18"/>
              </w:rPr>
              <w:t>:</w:t>
            </w:r>
          </w:p>
          <w:p w14:paraId="0EAC94E8" w14:textId="5CA34AAC" w:rsidR="00267600" w:rsidRDefault="008173BD">
            <w:pPr>
              <w:pStyle w:val="ListParagraph"/>
              <w:numPr>
                <w:ilvl w:val="0"/>
                <w:numId w:val="17"/>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hospital</w:t>
            </w:r>
            <w:r w:rsidR="00267600">
              <w:rPr>
                <w:sz w:val="18"/>
                <w:szCs w:val="18"/>
              </w:rPr>
              <w:t xml:space="preserve"> or satellite haemodialysis</w:t>
            </w:r>
          </w:p>
          <w:p w14:paraId="0DD9359E" w14:textId="7F749581" w:rsidR="00267600" w:rsidRDefault="004C31CB">
            <w:pPr>
              <w:pStyle w:val="ListParagraph"/>
              <w:numPr>
                <w:ilvl w:val="0"/>
                <w:numId w:val="17"/>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peritoneal</w:t>
            </w:r>
            <w:r w:rsidR="00267600">
              <w:rPr>
                <w:sz w:val="18"/>
                <w:szCs w:val="18"/>
              </w:rPr>
              <w:t xml:space="preserve"> </w:t>
            </w:r>
            <w:r w:rsidR="008173BD">
              <w:rPr>
                <w:sz w:val="18"/>
                <w:szCs w:val="18"/>
              </w:rPr>
              <w:t>d</w:t>
            </w:r>
            <w:r w:rsidR="00267600">
              <w:rPr>
                <w:sz w:val="18"/>
                <w:szCs w:val="18"/>
              </w:rPr>
              <w:t>ialysis</w:t>
            </w:r>
          </w:p>
          <w:p w14:paraId="60EA9DC0" w14:textId="77777777" w:rsidR="00EC4E07" w:rsidRPr="004773EE" w:rsidRDefault="008A2884" w:rsidP="004773EE">
            <w:pPr>
              <w:pStyle w:val="ListParagraph"/>
              <w:numPr>
                <w:ilvl w:val="0"/>
                <w:numId w:val="17"/>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home dialysis options</w:t>
            </w:r>
          </w:p>
          <w:p w14:paraId="23B2C729" w14:textId="77777777" w:rsidR="00EC4E07" w:rsidRPr="004773EE" w:rsidRDefault="008A2884" w:rsidP="004773EE">
            <w:pPr>
              <w:pStyle w:val="ListParagraph"/>
              <w:numPr>
                <w:ilvl w:val="0"/>
                <w:numId w:val="17"/>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non-dialysis options such as supportive care without dialysis</w:t>
            </w:r>
          </w:p>
          <w:p w14:paraId="1C8F45C4" w14:textId="77777777" w:rsidR="00EC4E07" w:rsidRPr="004773EE" w:rsidRDefault="008A2884" w:rsidP="004773EE">
            <w:pPr>
              <w:pStyle w:val="ListParagraph"/>
              <w:numPr>
                <w:ilvl w:val="0"/>
                <w:numId w:val="17"/>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kidney transplant.</w:t>
            </w:r>
          </w:p>
        </w:tc>
      </w:tr>
      <w:tr w:rsidR="008A2884" w:rsidRPr="00B75C13" w14:paraId="094CDC9E"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593650C6" w14:textId="633B6CD4" w:rsidR="008A2884" w:rsidRPr="004773EE" w:rsidRDefault="00783B92" w:rsidP="004773EE">
            <w:pPr>
              <w:spacing w:before="60" w:after="80" w:line="240" w:lineRule="atLeast"/>
              <w:rPr>
                <w:sz w:val="18"/>
                <w:szCs w:val="18"/>
              </w:rPr>
            </w:pPr>
            <w:r>
              <w:rPr>
                <w:sz w:val="18"/>
                <w:szCs w:val="18"/>
              </w:rPr>
              <w:t>3</w:t>
            </w:r>
          </w:p>
        </w:tc>
        <w:tc>
          <w:tcPr>
            <w:tcW w:w="2835" w:type="dxa"/>
          </w:tcPr>
          <w:p w14:paraId="13C59A44" w14:textId="77777777" w:rsidR="008A2884" w:rsidRPr="004773EE" w:rsidRDefault="008A2884"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color w:val="007586" w:themeColor="text2"/>
                <w:sz w:val="18"/>
                <w:szCs w:val="18"/>
              </w:rPr>
              <w:t>Risks and complications</w:t>
            </w:r>
          </w:p>
        </w:tc>
        <w:tc>
          <w:tcPr>
            <w:tcW w:w="7171" w:type="dxa"/>
          </w:tcPr>
          <w:p w14:paraId="2B0566FE" w14:textId="6EE8E107" w:rsidR="00253C18" w:rsidRPr="004773EE" w:rsidRDefault="008A2884"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 xml:space="preserve">Explain that </w:t>
            </w:r>
            <w:hyperlink r:id="rId9" w:history="1">
              <w:r w:rsidR="004C31CB" w:rsidRPr="004C31CB">
                <w:rPr>
                  <w:rStyle w:val="Hyperlink"/>
                  <w:sz w:val="18"/>
                  <w:szCs w:val="18"/>
                </w:rPr>
                <w:t>the</w:t>
              </w:r>
            </w:hyperlink>
            <w:r w:rsidRPr="004773EE">
              <w:rPr>
                <w:sz w:val="18"/>
                <w:szCs w:val="18"/>
              </w:rPr>
              <w:t xml:space="preserve"> different types of maintenance dialysis have various risks and complications, including examples of some of the common risks and complications that may occur.</w:t>
            </w:r>
          </w:p>
        </w:tc>
      </w:tr>
      <w:tr w:rsidR="008A2884" w:rsidRPr="00B75C13" w14:paraId="7989C8F3"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64B851AB" w14:textId="79CAEB43" w:rsidR="008A2884" w:rsidRPr="00E90359" w:rsidRDefault="00783B92" w:rsidP="004773EE">
            <w:pPr>
              <w:spacing w:before="60" w:after="80" w:line="240" w:lineRule="atLeast"/>
              <w:rPr>
                <w:sz w:val="18"/>
                <w:szCs w:val="18"/>
              </w:rPr>
            </w:pPr>
            <w:r>
              <w:rPr>
                <w:sz w:val="18"/>
                <w:szCs w:val="18"/>
              </w:rPr>
              <w:t>4</w:t>
            </w:r>
          </w:p>
        </w:tc>
        <w:tc>
          <w:tcPr>
            <w:tcW w:w="2835" w:type="dxa"/>
          </w:tcPr>
          <w:p w14:paraId="0E21F6C6" w14:textId="77777777" w:rsidR="008A2884" w:rsidRPr="00E90359" w:rsidRDefault="008A2884"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color w:val="007586" w:themeColor="text2"/>
                <w:sz w:val="18"/>
                <w:szCs w:val="18"/>
              </w:rPr>
              <w:t>Rights and responsibilities</w:t>
            </w:r>
          </w:p>
        </w:tc>
        <w:tc>
          <w:tcPr>
            <w:tcW w:w="7171" w:type="dxa"/>
          </w:tcPr>
          <w:p w14:paraId="4804C1C0" w14:textId="102494F9" w:rsidR="00253C18" w:rsidRPr="00E90359" w:rsidRDefault="008A2884" w:rsidP="004773EE">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Provide</w:t>
            </w:r>
            <w:r w:rsidR="00612ABE" w:rsidRPr="004773EE">
              <w:rPr>
                <w:sz w:val="18"/>
                <w:szCs w:val="18"/>
              </w:rPr>
              <w:t xml:space="preserve"> your patient</w:t>
            </w:r>
            <w:r w:rsidRPr="004773EE">
              <w:rPr>
                <w:sz w:val="18"/>
                <w:szCs w:val="18"/>
              </w:rPr>
              <w:t xml:space="preserve"> information about </w:t>
            </w:r>
            <w:r w:rsidR="00612ABE" w:rsidRPr="004773EE">
              <w:rPr>
                <w:sz w:val="18"/>
                <w:szCs w:val="18"/>
              </w:rPr>
              <w:t xml:space="preserve">their </w:t>
            </w:r>
            <w:r w:rsidRPr="004773EE">
              <w:rPr>
                <w:sz w:val="18"/>
                <w:szCs w:val="18"/>
              </w:rPr>
              <w:t>rights, responsibilities and expected conduct in relation to their healthcare.</w:t>
            </w:r>
          </w:p>
        </w:tc>
      </w:tr>
      <w:tr w:rsidR="00783B92" w:rsidRPr="00B75C13" w14:paraId="13FCE7FC"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0EB1426A" w14:textId="081C771D" w:rsidR="00783B92" w:rsidRPr="00E90359" w:rsidRDefault="00783B92" w:rsidP="00783B92">
            <w:pPr>
              <w:spacing w:before="60" w:after="80" w:line="240" w:lineRule="atLeast"/>
              <w:rPr>
                <w:sz w:val="18"/>
                <w:szCs w:val="18"/>
              </w:rPr>
            </w:pPr>
            <w:r>
              <w:rPr>
                <w:sz w:val="18"/>
                <w:szCs w:val="18"/>
              </w:rPr>
              <w:t>5</w:t>
            </w:r>
          </w:p>
        </w:tc>
        <w:tc>
          <w:tcPr>
            <w:tcW w:w="2835" w:type="dxa"/>
          </w:tcPr>
          <w:p w14:paraId="414DA87C" w14:textId="229479CD"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Planned treatment option</w:t>
            </w:r>
          </w:p>
        </w:tc>
        <w:tc>
          <w:tcPr>
            <w:tcW w:w="7171" w:type="dxa"/>
          </w:tcPr>
          <w:p w14:paraId="3AD72544" w14:textId="77777777" w:rsidR="0099267A" w:rsidRDefault="00783B92" w:rsidP="0099267A">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783B92">
              <w:rPr>
                <w:sz w:val="18"/>
                <w:szCs w:val="18"/>
              </w:rPr>
              <w:t>Allow the patient to share the decision with you.</w:t>
            </w:r>
          </w:p>
          <w:p w14:paraId="17E8ABAD" w14:textId="77777777" w:rsidR="0099267A" w:rsidRDefault="00783B92" w:rsidP="0099267A">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99267A">
              <w:rPr>
                <w:sz w:val="18"/>
                <w:szCs w:val="18"/>
              </w:rPr>
              <w:t>Support your patient in considering their values, goals and preferences to decide on the best treatment for them.</w:t>
            </w:r>
          </w:p>
          <w:p w14:paraId="5B457DEE" w14:textId="66099010" w:rsidR="00783B92" w:rsidRPr="0099267A" w:rsidRDefault="00783B92" w:rsidP="0099267A">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99267A">
              <w:rPr>
                <w:sz w:val="18"/>
                <w:szCs w:val="18"/>
              </w:rPr>
              <w:t>Be clear about what their planned treatment is and include this information on your informed consent document.</w:t>
            </w:r>
          </w:p>
        </w:tc>
      </w:tr>
      <w:tr w:rsidR="00783B92" w:rsidRPr="00B75C13" w14:paraId="7EF940BF"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35EF0931" w14:textId="77777777" w:rsidR="00783B92" w:rsidRPr="00E90359" w:rsidRDefault="00783B92" w:rsidP="00783B92">
            <w:pPr>
              <w:spacing w:before="60" w:after="80" w:line="240" w:lineRule="atLeast"/>
              <w:rPr>
                <w:sz w:val="18"/>
                <w:szCs w:val="18"/>
              </w:rPr>
            </w:pPr>
            <w:r w:rsidRPr="00E90359">
              <w:rPr>
                <w:sz w:val="18"/>
                <w:szCs w:val="18"/>
              </w:rPr>
              <w:t>6</w:t>
            </w:r>
          </w:p>
        </w:tc>
        <w:tc>
          <w:tcPr>
            <w:tcW w:w="2835" w:type="dxa"/>
          </w:tcPr>
          <w:p w14:paraId="2E405A78" w14:textId="77777777" w:rsidR="00783B92" w:rsidRPr="00E90359"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color w:val="007586" w:themeColor="text2"/>
                <w:sz w:val="18"/>
                <w:szCs w:val="18"/>
              </w:rPr>
              <w:t>Regular investigations and monitoring for infection</w:t>
            </w:r>
          </w:p>
        </w:tc>
        <w:tc>
          <w:tcPr>
            <w:tcW w:w="7171" w:type="dxa"/>
          </w:tcPr>
          <w:p w14:paraId="75DB73E0" w14:textId="6673CDC6" w:rsidR="00783B92" w:rsidRPr="00E90359"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Explain to your patient that they will need regular blood tests and routine investigations. Include the need for monitoring for transmissible infection, such as viral hepatitis control.</w:t>
            </w:r>
          </w:p>
        </w:tc>
      </w:tr>
      <w:tr w:rsidR="00783B92" w:rsidRPr="00B75C13" w14:paraId="0ED05E48"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3B35E0A3" w14:textId="77777777" w:rsidR="00783B92" w:rsidRPr="00E90359" w:rsidRDefault="00783B92" w:rsidP="00783B92">
            <w:pPr>
              <w:spacing w:before="60" w:after="80" w:line="240" w:lineRule="atLeast"/>
              <w:rPr>
                <w:sz w:val="18"/>
                <w:szCs w:val="18"/>
              </w:rPr>
            </w:pPr>
            <w:r w:rsidRPr="00E90359">
              <w:rPr>
                <w:sz w:val="18"/>
                <w:szCs w:val="18"/>
              </w:rPr>
              <w:t>7</w:t>
            </w:r>
          </w:p>
        </w:tc>
        <w:tc>
          <w:tcPr>
            <w:tcW w:w="2835" w:type="dxa"/>
          </w:tcPr>
          <w:p w14:paraId="1CF7B3CB" w14:textId="77777777" w:rsidR="00783B92" w:rsidRPr="00E90359"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color w:val="007586" w:themeColor="text2"/>
                <w:sz w:val="18"/>
                <w:szCs w:val="18"/>
              </w:rPr>
              <w:t>ANZDATA registry</w:t>
            </w:r>
          </w:p>
        </w:tc>
        <w:tc>
          <w:tcPr>
            <w:tcW w:w="7171" w:type="dxa"/>
          </w:tcPr>
          <w:p w14:paraId="2CECDB4C" w14:textId="278494DC" w:rsidR="00783B92" w:rsidRPr="00307035" w:rsidRDefault="00783B92" w:rsidP="00307035">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307035">
              <w:rPr>
                <w:sz w:val="18"/>
                <w:szCs w:val="18"/>
              </w:rPr>
              <w:t xml:space="preserve">Let your patient know that their information will be collected for the ANZDATA registry. </w:t>
            </w:r>
          </w:p>
          <w:p w14:paraId="77E8634A" w14:textId="54A98C16" w:rsidR="00783B92" w:rsidRDefault="0099267A" w:rsidP="00783B92">
            <w:pPr>
              <w:pStyle w:val="ListParagraph"/>
              <w:numPr>
                <w:ilvl w:val="0"/>
                <w:numId w:val="17"/>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Tell them</w:t>
            </w:r>
            <w:r w:rsidR="00783B92">
              <w:rPr>
                <w:sz w:val="18"/>
                <w:szCs w:val="18"/>
              </w:rPr>
              <w:t xml:space="preserve"> this information is used to </w:t>
            </w:r>
            <w:r w:rsidR="00783B92" w:rsidRPr="00BC6C03">
              <w:rPr>
                <w:sz w:val="18"/>
                <w:szCs w:val="18"/>
              </w:rPr>
              <w:t xml:space="preserve">improve the quality of care and outcomes for people with </w:t>
            </w:r>
            <w:r w:rsidR="00DA1418">
              <w:rPr>
                <w:sz w:val="18"/>
                <w:szCs w:val="18"/>
              </w:rPr>
              <w:t>ESKD</w:t>
            </w:r>
            <w:r w:rsidR="00783B92" w:rsidRPr="00BC6C03">
              <w:rPr>
                <w:sz w:val="18"/>
                <w:szCs w:val="18"/>
              </w:rPr>
              <w:t xml:space="preserve"> in Australia and New Zealand</w:t>
            </w:r>
            <w:r w:rsidR="00783B92">
              <w:rPr>
                <w:sz w:val="18"/>
                <w:szCs w:val="18"/>
              </w:rPr>
              <w:t>.</w:t>
            </w:r>
          </w:p>
          <w:p w14:paraId="28F8ED85" w14:textId="7480451D" w:rsidR="00783B92" w:rsidRDefault="00783B92" w:rsidP="00307035">
            <w:pPr>
              <w:pStyle w:val="ListParagraph"/>
              <w:numPr>
                <w:ilvl w:val="0"/>
                <w:numId w:val="17"/>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B75C13">
              <w:rPr>
                <w:sz w:val="18"/>
                <w:szCs w:val="18"/>
              </w:rPr>
              <w:t xml:space="preserve"> </w:t>
            </w:r>
            <w:r w:rsidRPr="004773EE">
              <w:rPr>
                <w:sz w:val="18"/>
                <w:szCs w:val="18"/>
              </w:rPr>
              <w:t>Instruct them on how to opt out altogether, if they wish to do so.</w:t>
            </w:r>
            <w:r>
              <w:rPr>
                <w:sz w:val="18"/>
                <w:szCs w:val="18"/>
              </w:rPr>
              <w:t xml:space="preserve"> </w:t>
            </w:r>
          </w:p>
          <w:p w14:paraId="65B93FC5" w14:textId="6D8EDAC2" w:rsidR="00783B92" w:rsidRPr="00E90359"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If your patient wishes to opt out ensure this is clearly documented in their notes and communicated to staff involved in data reporting, according to your hospital’s processes.</w:t>
            </w:r>
          </w:p>
        </w:tc>
      </w:tr>
      <w:tr w:rsidR="00783B92" w:rsidRPr="00B75C13" w14:paraId="65CB52DE"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6ABDB157" w14:textId="77777777" w:rsidR="00783B92" w:rsidRPr="00E90359" w:rsidRDefault="00783B92" w:rsidP="00783B92">
            <w:pPr>
              <w:spacing w:before="60" w:after="80" w:line="240" w:lineRule="atLeast"/>
              <w:rPr>
                <w:sz w:val="18"/>
                <w:szCs w:val="18"/>
              </w:rPr>
            </w:pPr>
            <w:r w:rsidRPr="00E90359">
              <w:rPr>
                <w:sz w:val="18"/>
                <w:szCs w:val="18"/>
              </w:rPr>
              <w:t>8</w:t>
            </w:r>
          </w:p>
        </w:tc>
        <w:tc>
          <w:tcPr>
            <w:tcW w:w="2835" w:type="dxa"/>
          </w:tcPr>
          <w:p w14:paraId="0A4957DC"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Communication of clinical information</w:t>
            </w:r>
          </w:p>
        </w:tc>
        <w:tc>
          <w:tcPr>
            <w:tcW w:w="7171" w:type="dxa"/>
          </w:tcPr>
          <w:p w14:paraId="3ABC5310" w14:textId="03AA236A"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B75C13">
              <w:rPr>
                <w:sz w:val="18"/>
                <w:szCs w:val="18"/>
              </w:rPr>
              <w:t>Tell your patient</w:t>
            </w:r>
            <w:r w:rsidRPr="004773EE">
              <w:rPr>
                <w:sz w:val="18"/>
                <w:szCs w:val="18"/>
              </w:rPr>
              <w:t xml:space="preserve"> that relevant information from their health record (both electronic and written) will be shared with staff directly involved in their care at the health service or other services they go to. This is to help coordinate their care, no matter who is helping them.</w:t>
            </w:r>
          </w:p>
        </w:tc>
      </w:tr>
      <w:tr w:rsidR="00783B92" w:rsidRPr="00B75C13" w14:paraId="0C3234A0"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4437087B" w14:textId="77777777" w:rsidR="00783B92" w:rsidRPr="00E90359" w:rsidRDefault="00783B92" w:rsidP="00783B92">
            <w:pPr>
              <w:spacing w:before="60" w:after="80" w:line="240" w:lineRule="atLeast"/>
              <w:rPr>
                <w:sz w:val="18"/>
                <w:szCs w:val="18"/>
              </w:rPr>
            </w:pPr>
            <w:r w:rsidRPr="00E90359">
              <w:rPr>
                <w:sz w:val="18"/>
                <w:szCs w:val="18"/>
              </w:rPr>
              <w:t>9</w:t>
            </w:r>
          </w:p>
        </w:tc>
        <w:tc>
          <w:tcPr>
            <w:tcW w:w="2835" w:type="dxa"/>
          </w:tcPr>
          <w:p w14:paraId="0E4D3DDD"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Modality change</w:t>
            </w:r>
          </w:p>
        </w:tc>
        <w:tc>
          <w:tcPr>
            <w:tcW w:w="7171" w:type="dxa"/>
          </w:tcPr>
          <w:p w14:paraId="444AFF55" w14:textId="09E8D178"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 xml:space="preserve">Inform </w:t>
            </w:r>
            <w:r>
              <w:rPr>
                <w:sz w:val="18"/>
                <w:szCs w:val="18"/>
              </w:rPr>
              <w:t xml:space="preserve">your patient </w:t>
            </w:r>
            <w:r w:rsidRPr="004773EE">
              <w:rPr>
                <w:sz w:val="18"/>
                <w:szCs w:val="18"/>
              </w:rPr>
              <w:t xml:space="preserve">about the possibility of future changes in the type of treatment they </w:t>
            </w:r>
            <w:r>
              <w:rPr>
                <w:sz w:val="18"/>
                <w:szCs w:val="18"/>
              </w:rPr>
              <w:t xml:space="preserve">may </w:t>
            </w:r>
            <w:r w:rsidRPr="004773EE">
              <w:rPr>
                <w:sz w:val="18"/>
                <w:szCs w:val="18"/>
              </w:rPr>
              <w:t>receive – for example, moving from PD to HD. They will be asked for their written informed consent to start new treatment.</w:t>
            </w:r>
          </w:p>
        </w:tc>
      </w:tr>
      <w:tr w:rsidR="00783B92" w:rsidRPr="00B75C13" w14:paraId="5AD820B2"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7D19A24E" w14:textId="77777777" w:rsidR="00783B92" w:rsidRPr="00E90359" w:rsidRDefault="00783B92" w:rsidP="00783B92">
            <w:pPr>
              <w:spacing w:before="60" w:after="80" w:line="240" w:lineRule="atLeast"/>
              <w:rPr>
                <w:sz w:val="18"/>
                <w:szCs w:val="18"/>
              </w:rPr>
            </w:pPr>
            <w:r w:rsidRPr="00E90359">
              <w:rPr>
                <w:sz w:val="18"/>
                <w:szCs w:val="18"/>
              </w:rPr>
              <w:t>10</w:t>
            </w:r>
          </w:p>
        </w:tc>
        <w:tc>
          <w:tcPr>
            <w:tcW w:w="2835" w:type="dxa"/>
          </w:tcPr>
          <w:p w14:paraId="5B7495C7" w14:textId="77777777" w:rsidR="00783B92" w:rsidRPr="00E90359"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color w:val="007586" w:themeColor="text2"/>
                <w:sz w:val="18"/>
                <w:szCs w:val="18"/>
              </w:rPr>
              <w:t>Stopping treatment</w:t>
            </w:r>
          </w:p>
        </w:tc>
        <w:tc>
          <w:tcPr>
            <w:tcW w:w="7171" w:type="dxa"/>
          </w:tcPr>
          <w:p w14:paraId="22A2CE7C" w14:textId="43B899AC" w:rsidR="00783B92" w:rsidRPr="00E90359"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B75C13">
              <w:rPr>
                <w:sz w:val="18"/>
                <w:szCs w:val="18"/>
              </w:rPr>
              <w:t xml:space="preserve">Let your patient know </w:t>
            </w:r>
            <w:r w:rsidRPr="004773EE">
              <w:rPr>
                <w:sz w:val="18"/>
                <w:szCs w:val="18"/>
              </w:rPr>
              <w:t>they have the option to s</w:t>
            </w:r>
            <w:r>
              <w:rPr>
                <w:sz w:val="18"/>
                <w:szCs w:val="18"/>
              </w:rPr>
              <w:t>t</w:t>
            </w:r>
            <w:r w:rsidRPr="004773EE">
              <w:rPr>
                <w:sz w:val="18"/>
                <w:szCs w:val="18"/>
              </w:rPr>
              <w:t>op dialysis and transition to supportive care without dialysis (conservative care)</w:t>
            </w:r>
            <w:r>
              <w:rPr>
                <w:sz w:val="18"/>
                <w:szCs w:val="18"/>
              </w:rPr>
              <w:t xml:space="preserve"> </w:t>
            </w:r>
            <w:r w:rsidRPr="004773EE">
              <w:rPr>
                <w:sz w:val="18"/>
                <w:szCs w:val="18"/>
              </w:rPr>
              <w:t>if they choose to do so.</w:t>
            </w:r>
          </w:p>
        </w:tc>
      </w:tr>
      <w:tr w:rsidR="00783B92" w:rsidRPr="00B75C13" w14:paraId="230589CD"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306B289A" w14:textId="77777777" w:rsidR="00783B92" w:rsidRPr="00E90359" w:rsidRDefault="00783B92" w:rsidP="00783B92">
            <w:pPr>
              <w:spacing w:before="60" w:after="80" w:line="240" w:lineRule="atLeast"/>
              <w:rPr>
                <w:sz w:val="18"/>
                <w:szCs w:val="18"/>
              </w:rPr>
            </w:pPr>
            <w:r w:rsidRPr="00E90359">
              <w:rPr>
                <w:sz w:val="18"/>
                <w:szCs w:val="18"/>
              </w:rPr>
              <w:t>11</w:t>
            </w:r>
          </w:p>
        </w:tc>
        <w:tc>
          <w:tcPr>
            <w:tcW w:w="2835" w:type="dxa"/>
          </w:tcPr>
          <w:p w14:paraId="1A0170EB"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Advanced care planning and goals of care</w:t>
            </w:r>
          </w:p>
        </w:tc>
        <w:tc>
          <w:tcPr>
            <w:tcW w:w="7171" w:type="dxa"/>
          </w:tcPr>
          <w:p w14:paraId="44559A19" w14:textId="094519DD"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B75C13">
              <w:rPr>
                <w:sz w:val="18"/>
                <w:szCs w:val="18"/>
              </w:rPr>
              <w:t>Talk through</w:t>
            </w:r>
            <w:r w:rsidRPr="004773EE">
              <w:rPr>
                <w:sz w:val="18"/>
                <w:szCs w:val="18"/>
              </w:rPr>
              <w:t xml:space="preserve"> </w:t>
            </w:r>
            <w:r>
              <w:rPr>
                <w:sz w:val="18"/>
                <w:szCs w:val="18"/>
              </w:rPr>
              <w:t>t</w:t>
            </w:r>
            <w:r w:rsidRPr="004773EE">
              <w:rPr>
                <w:sz w:val="18"/>
                <w:szCs w:val="18"/>
              </w:rPr>
              <w:t>he role of advance care planning for patients with ESKD and how important it is to communicate their goals of care to their treating team.</w:t>
            </w:r>
          </w:p>
        </w:tc>
      </w:tr>
      <w:tr w:rsidR="00783B92" w:rsidRPr="00B75C13" w14:paraId="75ECF5E4"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26843359" w14:textId="77777777" w:rsidR="00783B92" w:rsidRPr="00E90359" w:rsidRDefault="00783B92" w:rsidP="00783B92">
            <w:pPr>
              <w:spacing w:before="60" w:after="80" w:line="240" w:lineRule="atLeast"/>
              <w:rPr>
                <w:sz w:val="18"/>
                <w:szCs w:val="18"/>
              </w:rPr>
            </w:pPr>
            <w:r w:rsidRPr="00E90359">
              <w:rPr>
                <w:sz w:val="18"/>
                <w:szCs w:val="18"/>
              </w:rPr>
              <w:lastRenderedPageBreak/>
              <w:t>12</w:t>
            </w:r>
          </w:p>
        </w:tc>
        <w:tc>
          <w:tcPr>
            <w:tcW w:w="2835" w:type="dxa"/>
          </w:tcPr>
          <w:p w14:paraId="38B2A7D0"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Signed written informed consent</w:t>
            </w:r>
          </w:p>
        </w:tc>
        <w:tc>
          <w:tcPr>
            <w:tcW w:w="7171" w:type="dxa"/>
          </w:tcPr>
          <w:p w14:paraId="38DC9F2B" w14:textId="7FD2DA2D"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Make sure the patient, or their decision maker, voluntarily sign</w:t>
            </w:r>
            <w:r>
              <w:rPr>
                <w:sz w:val="18"/>
                <w:szCs w:val="18"/>
              </w:rPr>
              <w:t>s</w:t>
            </w:r>
            <w:r w:rsidRPr="004773EE">
              <w:rPr>
                <w:sz w:val="18"/>
                <w:szCs w:val="18"/>
              </w:rPr>
              <w:t xml:space="preserve"> the written informed consent document.</w:t>
            </w:r>
          </w:p>
          <w:p w14:paraId="02D30ED7" w14:textId="7D008620"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sz w:val="18"/>
                <w:szCs w:val="18"/>
              </w:rPr>
            </w:pPr>
            <w:r w:rsidRPr="004773EE">
              <w:rPr>
                <w:b/>
                <w:sz w:val="18"/>
                <w:szCs w:val="18"/>
              </w:rPr>
              <w:t xml:space="preserve">See more information </w:t>
            </w:r>
            <w:r w:rsidR="0099267A">
              <w:rPr>
                <w:b/>
                <w:sz w:val="18"/>
                <w:szCs w:val="18"/>
              </w:rPr>
              <w:t>below</w:t>
            </w:r>
            <w:r w:rsidRPr="004773EE">
              <w:rPr>
                <w:b/>
                <w:sz w:val="18"/>
                <w:szCs w:val="18"/>
              </w:rPr>
              <w:t xml:space="preserve"> on </w:t>
            </w:r>
            <w:r>
              <w:rPr>
                <w:b/>
                <w:sz w:val="18"/>
                <w:szCs w:val="18"/>
              </w:rPr>
              <w:t xml:space="preserve">when you should </w:t>
            </w:r>
            <w:proofErr w:type="gramStart"/>
            <w:r>
              <w:rPr>
                <w:b/>
                <w:sz w:val="18"/>
                <w:szCs w:val="18"/>
              </w:rPr>
              <w:t>obtain</w:t>
            </w:r>
            <w:proofErr w:type="gramEnd"/>
            <w:r>
              <w:rPr>
                <w:b/>
                <w:sz w:val="18"/>
                <w:szCs w:val="18"/>
              </w:rPr>
              <w:t xml:space="preserve"> and update </w:t>
            </w:r>
            <w:r w:rsidRPr="004773EE">
              <w:rPr>
                <w:b/>
                <w:sz w:val="18"/>
                <w:szCs w:val="18"/>
              </w:rPr>
              <w:t>written informed consent.</w:t>
            </w:r>
          </w:p>
        </w:tc>
      </w:tr>
      <w:tr w:rsidR="00783B92" w:rsidRPr="00B75C13" w14:paraId="4888455A"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1EA216FB" w14:textId="77777777" w:rsidR="00783B92" w:rsidRPr="00E90359" w:rsidRDefault="00783B92" w:rsidP="00783B92">
            <w:pPr>
              <w:spacing w:before="60" w:after="80" w:line="240" w:lineRule="atLeast"/>
              <w:rPr>
                <w:sz w:val="18"/>
                <w:szCs w:val="18"/>
              </w:rPr>
            </w:pPr>
            <w:r w:rsidRPr="00E90359">
              <w:rPr>
                <w:sz w:val="18"/>
                <w:szCs w:val="18"/>
              </w:rPr>
              <w:t>13</w:t>
            </w:r>
          </w:p>
        </w:tc>
        <w:tc>
          <w:tcPr>
            <w:tcW w:w="2835" w:type="dxa"/>
          </w:tcPr>
          <w:p w14:paraId="4B585BFF"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Confirmation of written informed consent</w:t>
            </w:r>
          </w:p>
        </w:tc>
        <w:tc>
          <w:tcPr>
            <w:tcW w:w="7171" w:type="dxa"/>
          </w:tcPr>
          <w:p w14:paraId="17CE240D"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 xml:space="preserve">The treating nephrologist must ensure that valid informed consent is obtained from the patient. </w:t>
            </w:r>
            <w:r w:rsidRPr="00B75C13">
              <w:rPr>
                <w:sz w:val="18"/>
                <w:szCs w:val="18"/>
              </w:rPr>
              <w:t xml:space="preserve">However, they may </w:t>
            </w:r>
            <w:r w:rsidRPr="004773EE">
              <w:rPr>
                <w:sz w:val="18"/>
                <w:szCs w:val="18"/>
              </w:rPr>
              <w:t>delegate certain tasks to suitably trained staff working under their supervision.</w:t>
            </w:r>
          </w:p>
          <w:p w14:paraId="5A49B51A" w14:textId="77777777" w:rsidR="00783B92" w:rsidRPr="004773EE" w:rsidRDefault="00783B92" w:rsidP="00783B92">
            <w:pPr>
              <w:pStyle w:val="ListParagraph"/>
              <w:numPr>
                <w:ilvl w:val="0"/>
                <w:numId w:val="18"/>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sz w:val="18"/>
                <w:szCs w:val="18"/>
              </w:rPr>
              <w:t>Tasks that may be delegated include:</w:t>
            </w:r>
            <w:r w:rsidRPr="004773EE">
              <w:rPr>
                <w:sz w:val="18"/>
                <w:szCs w:val="18"/>
              </w:rPr>
              <w:t xml:space="preserve"> education, communication of information, help with shared decision making, and signing of documents.</w:t>
            </w:r>
          </w:p>
          <w:p w14:paraId="58B590FE" w14:textId="77777777" w:rsidR="00783B92" w:rsidRPr="004773EE" w:rsidRDefault="00783B92" w:rsidP="00783B92">
            <w:pPr>
              <w:pStyle w:val="ListParagraph"/>
              <w:numPr>
                <w:ilvl w:val="0"/>
                <w:numId w:val="18"/>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sz w:val="18"/>
                <w:szCs w:val="18"/>
              </w:rPr>
              <w:t>Tasks may be delegated to:</w:t>
            </w:r>
            <w:r w:rsidRPr="004773EE">
              <w:rPr>
                <w:sz w:val="18"/>
                <w:szCs w:val="18"/>
              </w:rPr>
              <w:t xml:space="preserve"> renal registrars or senior nursing staff in accordance with local policies.</w:t>
            </w:r>
          </w:p>
        </w:tc>
      </w:tr>
      <w:tr w:rsidR="00783B92" w:rsidRPr="00B75C13" w14:paraId="5B91DC3F"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2ED968CF" w14:textId="77777777" w:rsidR="00783B92" w:rsidRPr="00E90359" w:rsidRDefault="00783B92" w:rsidP="00783B92">
            <w:pPr>
              <w:spacing w:before="60" w:after="80" w:line="240" w:lineRule="atLeast"/>
              <w:rPr>
                <w:sz w:val="18"/>
                <w:szCs w:val="18"/>
              </w:rPr>
            </w:pPr>
            <w:r w:rsidRPr="00E90359">
              <w:rPr>
                <w:sz w:val="18"/>
                <w:szCs w:val="18"/>
              </w:rPr>
              <w:t>14</w:t>
            </w:r>
          </w:p>
        </w:tc>
        <w:tc>
          <w:tcPr>
            <w:tcW w:w="2835" w:type="dxa"/>
          </w:tcPr>
          <w:p w14:paraId="6596A23E"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Capacity and understanding</w:t>
            </w:r>
          </w:p>
        </w:tc>
        <w:tc>
          <w:tcPr>
            <w:tcW w:w="7171" w:type="dxa"/>
          </w:tcPr>
          <w:p w14:paraId="5EDB0494" w14:textId="5D3A8FC7" w:rsidR="00783B92" w:rsidRPr="004773EE" w:rsidRDefault="00ED1E64"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 xml:space="preserve">The medical officer and person obtaining and confirming </w:t>
            </w:r>
            <w:r>
              <w:rPr>
                <w:sz w:val="18"/>
                <w:szCs w:val="18"/>
              </w:rPr>
              <w:t>consent must be satisfied the patient has understood and retained the information needed to make their decision</w:t>
            </w:r>
            <w:r w:rsidR="00783B92" w:rsidRPr="004773EE">
              <w:rPr>
                <w:sz w:val="18"/>
                <w:szCs w:val="18"/>
              </w:rPr>
              <w:t>.</w:t>
            </w:r>
          </w:p>
          <w:p w14:paraId="134B9CBA" w14:textId="77777777" w:rsidR="00783B92" w:rsidRPr="004773EE" w:rsidRDefault="00783B92" w:rsidP="00783B92">
            <w:pPr>
              <w:pStyle w:val="ListParagraph"/>
              <w:numPr>
                <w:ilvl w:val="0"/>
                <w:numId w:val="19"/>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sz w:val="18"/>
                <w:szCs w:val="18"/>
              </w:rPr>
              <w:t>If the patient lacks the capacity</w:t>
            </w:r>
            <w:r w:rsidRPr="004773EE">
              <w:rPr>
                <w:sz w:val="18"/>
                <w:szCs w:val="18"/>
              </w:rPr>
              <w:t xml:space="preserve"> to give written informed consent, or does not understand, seek consent from their legal medical treatment decision maker. </w:t>
            </w:r>
          </w:p>
          <w:p w14:paraId="56C841D1" w14:textId="77777777" w:rsidR="00783B92" w:rsidRPr="004773EE" w:rsidRDefault="00783B92" w:rsidP="00783B92">
            <w:pPr>
              <w:pStyle w:val="ListParagraph"/>
              <w:numPr>
                <w:ilvl w:val="0"/>
                <w:numId w:val="19"/>
              </w:num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b/>
                <w:sz w:val="18"/>
                <w:szCs w:val="18"/>
              </w:rPr>
              <w:t>If you are unsure</w:t>
            </w:r>
            <w:r w:rsidRPr="004773EE">
              <w:rPr>
                <w:sz w:val="18"/>
                <w:szCs w:val="18"/>
              </w:rPr>
              <w:t xml:space="preserve">, reassess the patient’s capacity through (for example) cognitive testing, neuropsychological evaluation or psychiatric assessment. </w:t>
            </w:r>
          </w:p>
        </w:tc>
      </w:tr>
      <w:tr w:rsidR="00783B92" w:rsidRPr="00B75C13" w14:paraId="73D6B621" w14:textId="77777777" w:rsidTr="0099267A">
        <w:trPr>
          <w:cantSplit/>
        </w:trPr>
        <w:tc>
          <w:tcPr>
            <w:cnfStyle w:val="001000000000" w:firstRow="0" w:lastRow="0" w:firstColumn="1" w:lastColumn="0" w:oddVBand="0" w:evenVBand="0" w:oddHBand="0" w:evenHBand="0" w:firstRowFirstColumn="0" w:firstRowLastColumn="0" w:lastRowFirstColumn="0" w:lastRowLastColumn="0"/>
            <w:tcW w:w="426" w:type="dxa"/>
          </w:tcPr>
          <w:p w14:paraId="05BB3741" w14:textId="77777777" w:rsidR="00783B92" w:rsidRPr="00E90359" w:rsidRDefault="00783B92" w:rsidP="00783B92">
            <w:pPr>
              <w:spacing w:before="60" w:after="80" w:line="240" w:lineRule="atLeast"/>
              <w:rPr>
                <w:sz w:val="18"/>
                <w:szCs w:val="18"/>
              </w:rPr>
            </w:pPr>
            <w:r w:rsidRPr="00E90359">
              <w:rPr>
                <w:sz w:val="18"/>
                <w:szCs w:val="18"/>
              </w:rPr>
              <w:t>15</w:t>
            </w:r>
          </w:p>
        </w:tc>
        <w:tc>
          <w:tcPr>
            <w:tcW w:w="2835" w:type="dxa"/>
          </w:tcPr>
          <w:p w14:paraId="7A436E55" w14:textId="77777777"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b/>
                <w:color w:val="007586" w:themeColor="text2"/>
                <w:sz w:val="18"/>
                <w:szCs w:val="18"/>
              </w:rPr>
            </w:pPr>
            <w:r w:rsidRPr="004773EE">
              <w:rPr>
                <w:b/>
                <w:color w:val="007586" w:themeColor="text2"/>
                <w:sz w:val="18"/>
                <w:szCs w:val="18"/>
              </w:rPr>
              <w:t>Interpreter use</w:t>
            </w:r>
          </w:p>
        </w:tc>
        <w:tc>
          <w:tcPr>
            <w:tcW w:w="7171" w:type="dxa"/>
          </w:tcPr>
          <w:p w14:paraId="07ECBC27" w14:textId="18267D6D" w:rsidR="00783B92" w:rsidRPr="004773EE" w:rsidRDefault="00783B92"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sidRPr="004773EE">
              <w:rPr>
                <w:sz w:val="18"/>
                <w:szCs w:val="18"/>
              </w:rPr>
              <w:t>Please offer to get a professional translator for your patient if they are from a non-English</w:t>
            </w:r>
            <w:r w:rsidRPr="00B75C13">
              <w:rPr>
                <w:sz w:val="18"/>
                <w:szCs w:val="18"/>
              </w:rPr>
              <w:t xml:space="preserve"> </w:t>
            </w:r>
            <w:r w:rsidRPr="004773EE">
              <w:rPr>
                <w:sz w:val="18"/>
                <w:szCs w:val="18"/>
              </w:rPr>
              <w:t>speaking background. This can be</w:t>
            </w:r>
            <w:r>
              <w:rPr>
                <w:sz w:val="18"/>
                <w:szCs w:val="18"/>
              </w:rPr>
              <w:t xml:space="preserve"> provided</w:t>
            </w:r>
            <w:r w:rsidRPr="004773EE">
              <w:rPr>
                <w:sz w:val="18"/>
                <w:szCs w:val="18"/>
              </w:rPr>
              <w:t xml:space="preserve"> either in person or over the phone</w:t>
            </w:r>
            <w:r w:rsidR="0099267A">
              <w:rPr>
                <w:sz w:val="18"/>
                <w:szCs w:val="18"/>
              </w:rPr>
              <w:t>.</w:t>
            </w:r>
          </w:p>
          <w:p w14:paraId="1FFACEA8" w14:textId="1ED98CA1" w:rsidR="00783B92" w:rsidRPr="004773EE" w:rsidRDefault="00DA1418" w:rsidP="00783B92">
            <w:pPr>
              <w:spacing w:after="80" w:line="240" w:lineRule="atLeas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Note</w:t>
            </w:r>
            <w:r w:rsidR="00783B92" w:rsidRPr="00B75C13">
              <w:rPr>
                <w:sz w:val="18"/>
                <w:szCs w:val="18"/>
              </w:rPr>
              <w:t xml:space="preserve"> t</w:t>
            </w:r>
            <w:r w:rsidR="00783B92" w:rsidRPr="004773EE">
              <w:rPr>
                <w:sz w:val="18"/>
                <w:szCs w:val="18"/>
              </w:rPr>
              <w:t xml:space="preserve">he use of the interpreter on the </w:t>
            </w:r>
            <w:r w:rsidR="00783B92">
              <w:rPr>
                <w:sz w:val="18"/>
                <w:szCs w:val="18"/>
              </w:rPr>
              <w:t>informed consent document.</w:t>
            </w:r>
          </w:p>
        </w:tc>
      </w:tr>
    </w:tbl>
    <w:p w14:paraId="17928EE8" w14:textId="52654356" w:rsidR="00EB0746" w:rsidRPr="00D00B91" w:rsidRDefault="00825D73" w:rsidP="0099267A">
      <w:pPr>
        <w:pStyle w:val="Heading3"/>
        <w:spacing w:before="120"/>
      </w:pPr>
      <w:r>
        <w:t>When to get written informed consent</w:t>
      </w:r>
    </w:p>
    <w:p w14:paraId="6C8124D5" w14:textId="4696A6DA" w:rsidR="00123025" w:rsidRDefault="00BC6C03" w:rsidP="008F1763">
      <w:pPr>
        <w:pStyle w:val="Normalfollowingheading"/>
        <w:spacing w:after="100" w:line="240" w:lineRule="atLeast"/>
      </w:pPr>
      <w:r w:rsidRPr="00D435C3">
        <w:rPr>
          <w:b/>
        </w:rPr>
        <w:t>You need</w:t>
      </w:r>
      <w:r w:rsidR="00123025" w:rsidRPr="00D435C3">
        <w:rPr>
          <w:b/>
        </w:rPr>
        <w:t xml:space="preserve"> </w:t>
      </w:r>
      <w:r w:rsidR="00304ABE">
        <w:rPr>
          <w:b/>
        </w:rPr>
        <w:t xml:space="preserve">to obtain </w:t>
      </w:r>
      <w:r w:rsidR="00123025" w:rsidRPr="00D435C3">
        <w:rPr>
          <w:b/>
        </w:rPr>
        <w:t xml:space="preserve">written </w:t>
      </w:r>
      <w:r w:rsidR="005B3599">
        <w:rPr>
          <w:b/>
        </w:rPr>
        <w:t xml:space="preserve">informed </w:t>
      </w:r>
      <w:r w:rsidR="00123025" w:rsidRPr="00D435C3">
        <w:rPr>
          <w:b/>
        </w:rPr>
        <w:t xml:space="preserve">consent </w:t>
      </w:r>
      <w:r w:rsidR="00002D87">
        <w:rPr>
          <w:b/>
        </w:rPr>
        <w:t xml:space="preserve">at the start of the </w:t>
      </w:r>
      <w:r w:rsidR="00F109F5">
        <w:rPr>
          <w:b/>
        </w:rPr>
        <w:t>ongoing dialysis process</w:t>
      </w:r>
      <w:r w:rsidR="00123025" w:rsidRPr="00D435C3">
        <w:rPr>
          <w:b/>
        </w:rPr>
        <w:t>.</w:t>
      </w:r>
      <w:r w:rsidR="00123025">
        <w:t xml:space="preserve"> You</w:t>
      </w:r>
      <w:r w:rsidR="00123025" w:rsidRPr="00D82BFB">
        <w:t xml:space="preserve"> </w:t>
      </w:r>
      <w:r w:rsidR="00123025">
        <w:t xml:space="preserve">do not need to obtain </w:t>
      </w:r>
      <w:r w:rsidR="00123025" w:rsidRPr="00D82BFB">
        <w:t xml:space="preserve">written consent for </w:t>
      </w:r>
      <w:r w:rsidR="00F109F5">
        <w:t xml:space="preserve">each </w:t>
      </w:r>
      <w:r w:rsidR="00123025" w:rsidRPr="00D82BFB">
        <w:t>individual</w:t>
      </w:r>
      <w:r w:rsidR="00123025">
        <w:t xml:space="preserve"> dialysis</w:t>
      </w:r>
      <w:r w:rsidR="00123025" w:rsidRPr="00D82BFB">
        <w:t xml:space="preserve"> session. </w:t>
      </w:r>
      <w:r w:rsidR="00123025">
        <w:t>Verbal or implied consent is appropriate</w:t>
      </w:r>
      <w:r w:rsidR="00F109F5">
        <w:t xml:space="preserve"> for this</w:t>
      </w:r>
      <w:r w:rsidR="00123025" w:rsidRPr="00D82BFB">
        <w:t>.</w:t>
      </w:r>
    </w:p>
    <w:p w14:paraId="316EF551" w14:textId="56E49B35" w:rsidR="00B75C13" w:rsidRDefault="00825D73" w:rsidP="008F1763">
      <w:pPr>
        <w:pStyle w:val="Normalfollowingheading"/>
        <w:spacing w:before="100" w:after="100" w:line="240" w:lineRule="atLeast"/>
      </w:pPr>
      <w:r w:rsidRPr="004773EE">
        <w:rPr>
          <w:b/>
        </w:rPr>
        <w:t>Please obtain prompt and timely w</w:t>
      </w:r>
      <w:r w:rsidR="00EB0746" w:rsidRPr="004773EE">
        <w:rPr>
          <w:b/>
        </w:rPr>
        <w:t xml:space="preserve">ritten informed </w:t>
      </w:r>
      <w:r w:rsidR="001A21D6" w:rsidRPr="004773EE">
        <w:rPr>
          <w:b/>
        </w:rPr>
        <w:t>consent</w:t>
      </w:r>
      <w:r w:rsidR="001A21D6" w:rsidRPr="00D82BFB">
        <w:t>,</w:t>
      </w:r>
      <w:r>
        <w:t xml:space="preserve"> </w:t>
      </w:r>
      <w:r w:rsidR="00EB0746" w:rsidRPr="00D82BFB">
        <w:t xml:space="preserve">while still allowing enough time for a patient </w:t>
      </w:r>
      <w:r>
        <w:t>(</w:t>
      </w:r>
      <w:r w:rsidR="00EB0746" w:rsidRPr="00D82BFB">
        <w:t>or their representative</w:t>
      </w:r>
      <w:r>
        <w:t>)</w:t>
      </w:r>
      <w:r w:rsidR="00EB0746" w:rsidRPr="00D82BFB">
        <w:t xml:space="preserve"> to receive and process the information</w:t>
      </w:r>
      <w:r w:rsidR="00442518">
        <w:t>.</w:t>
      </w:r>
      <w:r w:rsidR="00442518" w:rsidRPr="00442518">
        <w:t xml:space="preserve"> </w:t>
      </w:r>
    </w:p>
    <w:p w14:paraId="51360A92" w14:textId="73E4576B" w:rsidR="00BC6C03" w:rsidRPr="00BC6C03" w:rsidRDefault="00442518" w:rsidP="008F1763">
      <w:pPr>
        <w:pStyle w:val="Normalfollowingheading"/>
        <w:spacing w:before="100" w:after="100" w:line="240" w:lineRule="atLeast"/>
      </w:pPr>
      <w:r>
        <w:t>We</w:t>
      </w:r>
      <w:r w:rsidRPr="00D82BFB">
        <w:t xml:space="preserve"> recommend </w:t>
      </w:r>
      <w:r>
        <w:t>all patients</w:t>
      </w:r>
      <w:r w:rsidRPr="00D82BFB">
        <w:t xml:space="preserve"> complete informed written consent within three months of starting maintenance dialysis.</w:t>
      </w:r>
    </w:p>
    <w:tbl>
      <w:tblPr>
        <w:tblStyle w:val="TableGrid"/>
        <w:tblW w:w="0" w:type="auto"/>
        <w:tblLook w:val="04A0" w:firstRow="1" w:lastRow="0" w:firstColumn="1" w:lastColumn="0" w:noHBand="0" w:noVBand="1"/>
      </w:tblPr>
      <w:tblGrid>
        <w:gridCol w:w="5216"/>
        <w:gridCol w:w="5216"/>
      </w:tblGrid>
      <w:tr w:rsidR="00825D73" w:rsidRPr="00B75C13" w14:paraId="546D4932" w14:textId="77777777" w:rsidTr="00825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2E2E4E96" w14:textId="77777777" w:rsidR="00825D73" w:rsidRPr="004773EE" w:rsidRDefault="00825D73" w:rsidP="008F1763">
            <w:pPr>
              <w:spacing w:before="60" w:after="60" w:line="240" w:lineRule="atLeast"/>
              <w:rPr>
                <w:sz w:val="18"/>
                <w:szCs w:val="20"/>
              </w:rPr>
            </w:pPr>
            <w:r w:rsidRPr="004773EE">
              <w:rPr>
                <w:sz w:val="18"/>
              </w:rPr>
              <w:t>Context</w:t>
            </w:r>
          </w:p>
        </w:tc>
        <w:tc>
          <w:tcPr>
            <w:tcW w:w="5216" w:type="dxa"/>
          </w:tcPr>
          <w:p w14:paraId="41898983" w14:textId="77777777" w:rsidR="00825D73" w:rsidRPr="004773EE" w:rsidRDefault="00825D73" w:rsidP="008F1763">
            <w:pPr>
              <w:spacing w:before="60" w:after="60" w:line="240" w:lineRule="atLeast"/>
              <w:cnfStyle w:val="100000000000" w:firstRow="1" w:lastRow="0" w:firstColumn="0" w:lastColumn="0" w:oddVBand="0" w:evenVBand="0" w:oddHBand="0" w:evenHBand="0" w:firstRowFirstColumn="0" w:firstRowLastColumn="0" w:lastRowFirstColumn="0" w:lastRowLastColumn="0"/>
              <w:rPr>
                <w:sz w:val="18"/>
                <w:szCs w:val="20"/>
              </w:rPr>
            </w:pPr>
            <w:r w:rsidRPr="004773EE">
              <w:rPr>
                <w:sz w:val="18"/>
              </w:rPr>
              <w:t>When to obtain written informed consent</w:t>
            </w:r>
          </w:p>
        </w:tc>
      </w:tr>
      <w:tr w:rsidR="00825D73" w:rsidRPr="00B75C13" w14:paraId="1B3015A0" w14:textId="77777777" w:rsidTr="00825D73">
        <w:tc>
          <w:tcPr>
            <w:cnfStyle w:val="001000000000" w:firstRow="0" w:lastRow="0" w:firstColumn="1" w:lastColumn="0" w:oddVBand="0" w:evenVBand="0" w:oddHBand="0" w:evenHBand="0" w:firstRowFirstColumn="0" w:firstRowLastColumn="0" w:lastRowFirstColumn="0" w:lastRowLastColumn="0"/>
            <w:tcW w:w="5216" w:type="dxa"/>
          </w:tcPr>
          <w:p w14:paraId="7F9DDE80" w14:textId="77777777" w:rsidR="00825D73" w:rsidRPr="004773EE" w:rsidRDefault="00825D73" w:rsidP="008F1763">
            <w:pPr>
              <w:spacing w:before="60" w:line="240" w:lineRule="atLeast"/>
              <w:rPr>
                <w:b w:val="0"/>
                <w:color w:val="auto"/>
                <w:sz w:val="18"/>
                <w:szCs w:val="20"/>
              </w:rPr>
            </w:pPr>
            <w:r w:rsidRPr="004773EE">
              <w:rPr>
                <w:sz w:val="18"/>
              </w:rPr>
              <w:t>You are able to plan the start of treatment</w:t>
            </w:r>
          </w:p>
        </w:tc>
        <w:tc>
          <w:tcPr>
            <w:tcW w:w="5216" w:type="dxa"/>
          </w:tcPr>
          <w:p w14:paraId="666DBE72" w14:textId="77777777" w:rsidR="00825D73" w:rsidRPr="004773EE" w:rsidRDefault="00825D73" w:rsidP="008F1763">
            <w:pPr>
              <w:spacing w:line="240" w:lineRule="atLeast"/>
              <w:cnfStyle w:val="000000000000" w:firstRow="0" w:lastRow="0" w:firstColumn="0" w:lastColumn="0" w:oddVBand="0" w:evenVBand="0" w:oddHBand="0" w:evenHBand="0" w:firstRowFirstColumn="0" w:firstRowLastColumn="0" w:lastRowFirstColumn="0" w:lastRowLastColumn="0"/>
              <w:rPr>
                <w:sz w:val="18"/>
                <w:szCs w:val="20"/>
              </w:rPr>
            </w:pPr>
            <w:r w:rsidRPr="004773EE">
              <w:rPr>
                <w:sz w:val="18"/>
              </w:rPr>
              <w:t>Before or at the time of starting maintenance dialysis.</w:t>
            </w:r>
          </w:p>
        </w:tc>
      </w:tr>
      <w:tr w:rsidR="00825D73" w:rsidRPr="00B75C13" w14:paraId="17122578" w14:textId="77777777" w:rsidTr="00825D73">
        <w:tc>
          <w:tcPr>
            <w:cnfStyle w:val="001000000000" w:firstRow="0" w:lastRow="0" w:firstColumn="1" w:lastColumn="0" w:oddVBand="0" w:evenVBand="0" w:oddHBand="0" w:evenHBand="0" w:firstRowFirstColumn="0" w:firstRowLastColumn="0" w:lastRowFirstColumn="0" w:lastRowLastColumn="0"/>
            <w:tcW w:w="5216" w:type="dxa"/>
          </w:tcPr>
          <w:p w14:paraId="1EBA586B" w14:textId="77777777" w:rsidR="00825D73" w:rsidRPr="004773EE" w:rsidRDefault="00825D73" w:rsidP="008F1763">
            <w:pPr>
              <w:spacing w:before="60" w:line="240" w:lineRule="atLeast"/>
              <w:rPr>
                <w:b w:val="0"/>
                <w:color w:val="auto"/>
                <w:sz w:val="18"/>
                <w:szCs w:val="20"/>
              </w:rPr>
            </w:pPr>
            <w:r w:rsidRPr="004773EE">
              <w:rPr>
                <w:sz w:val="18"/>
              </w:rPr>
              <w:t>Treatment is unplanned</w:t>
            </w:r>
          </w:p>
        </w:tc>
        <w:tc>
          <w:tcPr>
            <w:tcW w:w="5216" w:type="dxa"/>
          </w:tcPr>
          <w:p w14:paraId="6DDECAAC" w14:textId="5232AF83" w:rsidR="00825D73" w:rsidRPr="004773EE" w:rsidRDefault="00825D73" w:rsidP="008F1763">
            <w:pPr>
              <w:spacing w:line="240" w:lineRule="atLeast"/>
              <w:cnfStyle w:val="000000000000" w:firstRow="0" w:lastRow="0" w:firstColumn="0" w:lastColumn="0" w:oddVBand="0" w:evenVBand="0" w:oddHBand="0" w:evenHBand="0" w:firstRowFirstColumn="0" w:firstRowLastColumn="0" w:lastRowFirstColumn="0" w:lastRowLastColumn="0"/>
              <w:rPr>
                <w:sz w:val="18"/>
                <w:szCs w:val="20"/>
              </w:rPr>
            </w:pPr>
            <w:r w:rsidRPr="004773EE">
              <w:rPr>
                <w:sz w:val="18"/>
              </w:rPr>
              <w:t>As quickly as possible</w:t>
            </w:r>
            <w:r w:rsidR="005A68FC">
              <w:rPr>
                <w:sz w:val="18"/>
              </w:rPr>
              <w:t xml:space="preserve"> after completion of the necessary education</w:t>
            </w:r>
            <w:r w:rsidRPr="004773EE">
              <w:rPr>
                <w:sz w:val="18"/>
              </w:rPr>
              <w:t>.</w:t>
            </w:r>
          </w:p>
        </w:tc>
      </w:tr>
      <w:tr w:rsidR="00825D73" w:rsidRPr="00B75C13" w14:paraId="34900E52" w14:textId="77777777" w:rsidTr="00825D73">
        <w:tc>
          <w:tcPr>
            <w:cnfStyle w:val="001000000000" w:firstRow="0" w:lastRow="0" w:firstColumn="1" w:lastColumn="0" w:oddVBand="0" w:evenVBand="0" w:oddHBand="0" w:evenHBand="0" w:firstRowFirstColumn="0" w:firstRowLastColumn="0" w:lastRowFirstColumn="0" w:lastRowLastColumn="0"/>
            <w:tcW w:w="5216" w:type="dxa"/>
          </w:tcPr>
          <w:p w14:paraId="2E341F2C" w14:textId="77777777" w:rsidR="00825D73" w:rsidRPr="004773EE" w:rsidRDefault="00825D73" w:rsidP="008F1763">
            <w:pPr>
              <w:spacing w:before="60" w:line="240" w:lineRule="atLeast"/>
              <w:rPr>
                <w:b w:val="0"/>
                <w:color w:val="auto"/>
                <w:sz w:val="18"/>
                <w:szCs w:val="20"/>
              </w:rPr>
            </w:pPr>
            <w:r w:rsidRPr="004773EE">
              <w:rPr>
                <w:sz w:val="18"/>
              </w:rPr>
              <w:t>Patient starts dialysis for an acute kidney injury and is then later determined to have permanent kidney failure</w:t>
            </w:r>
          </w:p>
        </w:tc>
        <w:tc>
          <w:tcPr>
            <w:tcW w:w="5216" w:type="dxa"/>
          </w:tcPr>
          <w:p w14:paraId="209CA5C4" w14:textId="2EF34703" w:rsidR="00825D73" w:rsidRPr="004773EE" w:rsidRDefault="00530E2D" w:rsidP="008F1763">
            <w:pPr>
              <w:spacing w:line="240" w:lineRule="atLeast"/>
              <w:cnfStyle w:val="000000000000" w:firstRow="0" w:lastRow="0" w:firstColumn="0" w:lastColumn="0" w:oddVBand="0" w:evenVBand="0" w:oddHBand="0" w:evenHBand="0" w:firstRowFirstColumn="0" w:firstRowLastColumn="0" w:lastRowFirstColumn="0" w:lastRowLastColumn="0"/>
              <w:rPr>
                <w:sz w:val="18"/>
                <w:szCs w:val="20"/>
              </w:rPr>
            </w:pPr>
            <w:r>
              <w:rPr>
                <w:sz w:val="18"/>
              </w:rPr>
              <w:t>As quickly as possible after</w:t>
            </w:r>
            <w:r w:rsidRPr="004773EE">
              <w:rPr>
                <w:sz w:val="18"/>
              </w:rPr>
              <w:t xml:space="preserve"> </w:t>
            </w:r>
            <w:r w:rsidR="00442518" w:rsidRPr="004773EE">
              <w:rPr>
                <w:sz w:val="18"/>
              </w:rPr>
              <w:t xml:space="preserve">you establish </w:t>
            </w:r>
            <w:r>
              <w:rPr>
                <w:sz w:val="18"/>
              </w:rPr>
              <w:t>the patient</w:t>
            </w:r>
            <w:r w:rsidRPr="004773EE">
              <w:rPr>
                <w:sz w:val="18"/>
              </w:rPr>
              <w:t xml:space="preserve"> </w:t>
            </w:r>
            <w:r w:rsidR="00442518" w:rsidRPr="004773EE">
              <w:rPr>
                <w:sz w:val="18"/>
              </w:rPr>
              <w:t>require</w:t>
            </w:r>
            <w:r>
              <w:rPr>
                <w:sz w:val="18"/>
              </w:rPr>
              <w:t>s</w:t>
            </w:r>
            <w:r w:rsidR="00442518" w:rsidRPr="004773EE">
              <w:rPr>
                <w:sz w:val="18"/>
              </w:rPr>
              <w:t xml:space="preserve"> ongoing maintenance dialysis.</w:t>
            </w:r>
          </w:p>
        </w:tc>
      </w:tr>
      <w:tr w:rsidR="00825D73" w:rsidRPr="00B75C13" w14:paraId="649BBACA" w14:textId="77777777" w:rsidTr="00825D73">
        <w:tc>
          <w:tcPr>
            <w:cnfStyle w:val="001000000000" w:firstRow="0" w:lastRow="0" w:firstColumn="1" w:lastColumn="0" w:oddVBand="0" w:evenVBand="0" w:oddHBand="0" w:evenHBand="0" w:firstRowFirstColumn="0" w:firstRowLastColumn="0" w:lastRowFirstColumn="0" w:lastRowLastColumn="0"/>
            <w:tcW w:w="5216" w:type="dxa"/>
          </w:tcPr>
          <w:p w14:paraId="15822985" w14:textId="77777777" w:rsidR="00825D73" w:rsidRPr="004773EE" w:rsidRDefault="00DE298B" w:rsidP="008F1763">
            <w:pPr>
              <w:spacing w:before="60" w:line="240" w:lineRule="atLeast"/>
              <w:rPr>
                <w:b w:val="0"/>
                <w:color w:val="auto"/>
                <w:sz w:val="18"/>
                <w:szCs w:val="20"/>
                <w:highlight w:val="yellow"/>
              </w:rPr>
            </w:pPr>
            <w:r w:rsidRPr="00BC6C03">
              <w:rPr>
                <w:sz w:val="18"/>
              </w:rPr>
              <w:t>Patient being treated in a satellite HD facility</w:t>
            </w:r>
          </w:p>
        </w:tc>
        <w:tc>
          <w:tcPr>
            <w:tcW w:w="5216" w:type="dxa"/>
          </w:tcPr>
          <w:p w14:paraId="3D7FA2F7" w14:textId="5178CCD8" w:rsidR="00825D73" w:rsidRPr="004773EE" w:rsidRDefault="004C31CB" w:rsidP="008F1763">
            <w:pPr>
              <w:spacing w:line="240" w:lineRule="atLeast"/>
              <w:cnfStyle w:val="000000000000" w:firstRow="0" w:lastRow="0" w:firstColumn="0" w:lastColumn="0" w:oddVBand="0" w:evenVBand="0" w:oddHBand="0" w:evenHBand="0" w:firstRowFirstColumn="0" w:firstRowLastColumn="0" w:lastRowFirstColumn="0" w:lastRowLastColumn="0"/>
              <w:rPr>
                <w:sz w:val="18"/>
                <w:szCs w:val="20"/>
                <w:highlight w:val="yellow"/>
              </w:rPr>
            </w:pPr>
            <w:r>
              <w:rPr>
                <w:sz w:val="18"/>
              </w:rPr>
              <w:t>Complete consent before commencing treatment in the satellite HD facility. If unable</w:t>
            </w:r>
            <w:r w:rsidR="00DA1418">
              <w:rPr>
                <w:sz w:val="18"/>
              </w:rPr>
              <w:t xml:space="preserve"> to,</w:t>
            </w:r>
            <w:r>
              <w:rPr>
                <w:sz w:val="18"/>
              </w:rPr>
              <w:t xml:space="preserve"> then as </w:t>
            </w:r>
            <w:r w:rsidR="000D6B22">
              <w:rPr>
                <w:sz w:val="18"/>
              </w:rPr>
              <w:t>quickly as possible after completion of the necessary education.</w:t>
            </w:r>
          </w:p>
        </w:tc>
      </w:tr>
      <w:tr w:rsidR="00825D73" w:rsidRPr="00B75C13" w14:paraId="27C95A2C" w14:textId="77777777" w:rsidTr="00825D73">
        <w:tc>
          <w:tcPr>
            <w:cnfStyle w:val="001000000000" w:firstRow="0" w:lastRow="0" w:firstColumn="1" w:lastColumn="0" w:oddVBand="0" w:evenVBand="0" w:oddHBand="0" w:evenHBand="0" w:firstRowFirstColumn="0" w:firstRowLastColumn="0" w:lastRowFirstColumn="0" w:lastRowLastColumn="0"/>
            <w:tcW w:w="5216" w:type="dxa"/>
          </w:tcPr>
          <w:p w14:paraId="4559C826" w14:textId="42318DE7" w:rsidR="00825D73" w:rsidRPr="004773EE" w:rsidRDefault="000D7558" w:rsidP="008F1763">
            <w:pPr>
              <w:spacing w:before="60" w:line="240" w:lineRule="atLeast"/>
              <w:rPr>
                <w:b w:val="0"/>
                <w:color w:val="auto"/>
                <w:sz w:val="18"/>
                <w:szCs w:val="20"/>
              </w:rPr>
            </w:pPr>
            <w:r>
              <w:rPr>
                <w:sz w:val="18"/>
              </w:rPr>
              <w:t xml:space="preserve">Patient being treated with </w:t>
            </w:r>
            <w:r w:rsidR="006F5159">
              <w:rPr>
                <w:sz w:val="18"/>
              </w:rPr>
              <w:t>home HD</w:t>
            </w:r>
          </w:p>
        </w:tc>
        <w:tc>
          <w:tcPr>
            <w:tcW w:w="5216" w:type="dxa"/>
          </w:tcPr>
          <w:p w14:paraId="206041CF" w14:textId="1AFCA3C6" w:rsidR="00825D73" w:rsidRPr="004773EE" w:rsidRDefault="00442518" w:rsidP="008F1763">
            <w:pPr>
              <w:spacing w:line="240" w:lineRule="atLeast"/>
              <w:cnfStyle w:val="000000000000" w:firstRow="0" w:lastRow="0" w:firstColumn="0" w:lastColumn="0" w:oddVBand="0" w:evenVBand="0" w:oddHBand="0" w:evenHBand="0" w:firstRowFirstColumn="0" w:firstRowLastColumn="0" w:lastRowFirstColumn="0" w:lastRowLastColumn="0"/>
              <w:rPr>
                <w:sz w:val="18"/>
                <w:szCs w:val="20"/>
              </w:rPr>
            </w:pPr>
            <w:r w:rsidRPr="004773EE">
              <w:rPr>
                <w:sz w:val="18"/>
              </w:rPr>
              <w:t>Before completing home HD training and starting dialysis at home</w:t>
            </w:r>
            <w:r w:rsidR="00740817">
              <w:rPr>
                <w:sz w:val="18"/>
              </w:rPr>
              <w:t>.</w:t>
            </w:r>
          </w:p>
        </w:tc>
      </w:tr>
      <w:tr w:rsidR="00442518" w:rsidRPr="00B75C13" w14:paraId="6784DC38" w14:textId="77777777" w:rsidTr="00825D73">
        <w:tc>
          <w:tcPr>
            <w:cnfStyle w:val="001000000000" w:firstRow="0" w:lastRow="0" w:firstColumn="1" w:lastColumn="0" w:oddVBand="0" w:evenVBand="0" w:oddHBand="0" w:evenHBand="0" w:firstRowFirstColumn="0" w:firstRowLastColumn="0" w:lastRowFirstColumn="0" w:lastRowLastColumn="0"/>
            <w:tcW w:w="5216" w:type="dxa"/>
          </w:tcPr>
          <w:p w14:paraId="729517C2" w14:textId="529E0F8A" w:rsidR="00442518" w:rsidRPr="004773EE" w:rsidRDefault="006F5159" w:rsidP="008F1763">
            <w:pPr>
              <w:spacing w:before="60" w:line="240" w:lineRule="atLeast"/>
              <w:rPr>
                <w:b w:val="0"/>
                <w:color w:val="auto"/>
                <w:sz w:val="18"/>
                <w:szCs w:val="20"/>
              </w:rPr>
            </w:pPr>
            <w:r>
              <w:rPr>
                <w:sz w:val="18"/>
              </w:rPr>
              <w:t xml:space="preserve"> </w:t>
            </w:r>
            <w:r w:rsidR="00324077">
              <w:rPr>
                <w:sz w:val="18"/>
              </w:rPr>
              <w:t xml:space="preserve">Patient </w:t>
            </w:r>
            <w:r w:rsidR="00324077" w:rsidRPr="004773EE">
              <w:rPr>
                <w:sz w:val="18"/>
              </w:rPr>
              <w:t>being</w:t>
            </w:r>
            <w:r w:rsidR="00442518" w:rsidRPr="004773EE">
              <w:rPr>
                <w:sz w:val="18"/>
              </w:rPr>
              <w:t xml:space="preserve"> treated with PD</w:t>
            </w:r>
          </w:p>
        </w:tc>
        <w:tc>
          <w:tcPr>
            <w:tcW w:w="5216" w:type="dxa"/>
          </w:tcPr>
          <w:p w14:paraId="5CBD5C25" w14:textId="2C95B2A9" w:rsidR="00442518" w:rsidRPr="004773EE" w:rsidRDefault="00442518" w:rsidP="008F1763">
            <w:pPr>
              <w:spacing w:line="240" w:lineRule="atLeast"/>
              <w:cnfStyle w:val="000000000000" w:firstRow="0" w:lastRow="0" w:firstColumn="0" w:lastColumn="0" w:oddVBand="0" w:evenVBand="0" w:oddHBand="0" w:evenHBand="0" w:firstRowFirstColumn="0" w:firstRowLastColumn="0" w:lastRowFirstColumn="0" w:lastRowLastColumn="0"/>
              <w:rPr>
                <w:sz w:val="18"/>
                <w:szCs w:val="20"/>
              </w:rPr>
            </w:pPr>
            <w:r w:rsidRPr="004773EE">
              <w:rPr>
                <w:sz w:val="18"/>
              </w:rPr>
              <w:t xml:space="preserve">Before completing </w:t>
            </w:r>
            <w:proofErr w:type="gramStart"/>
            <w:r w:rsidRPr="004773EE">
              <w:rPr>
                <w:sz w:val="18"/>
              </w:rPr>
              <w:t>PD</w:t>
            </w:r>
            <w:proofErr w:type="gramEnd"/>
            <w:r w:rsidRPr="004773EE">
              <w:rPr>
                <w:sz w:val="18"/>
              </w:rPr>
              <w:t xml:space="preserve"> training and starting dialysis at home</w:t>
            </w:r>
            <w:r w:rsidR="0099267A">
              <w:rPr>
                <w:sz w:val="18"/>
              </w:rPr>
              <w:t>.</w:t>
            </w:r>
          </w:p>
        </w:tc>
      </w:tr>
    </w:tbl>
    <w:p w14:paraId="2EFFFA26" w14:textId="23C5470F" w:rsidR="00EB0746" w:rsidRPr="00D00B91" w:rsidRDefault="00B75C13" w:rsidP="004773EE">
      <w:pPr>
        <w:pStyle w:val="Heading3"/>
      </w:pPr>
      <w:r>
        <w:lastRenderedPageBreak/>
        <w:t>When to u</w:t>
      </w:r>
      <w:r w:rsidR="00EB0746" w:rsidRPr="00D00B91">
        <w:t>pdat</w:t>
      </w:r>
      <w:r>
        <w:t>e</w:t>
      </w:r>
      <w:r w:rsidR="00EB0746" w:rsidRPr="00D00B91">
        <w:t xml:space="preserve"> written informed consent</w:t>
      </w:r>
    </w:p>
    <w:p w14:paraId="2D2C5EEB" w14:textId="36275C57" w:rsidR="00EB0746" w:rsidRPr="00D82BFB" w:rsidRDefault="00442518" w:rsidP="004773EE">
      <w:pPr>
        <w:pStyle w:val="Normalfollowingheading"/>
      </w:pPr>
      <w:r>
        <w:t xml:space="preserve">We recommend you update </w:t>
      </w:r>
      <w:r w:rsidR="00EB0746" w:rsidRPr="00D82BFB">
        <w:t xml:space="preserve">written informed consent </w:t>
      </w:r>
      <w:r>
        <w:t>when there</w:t>
      </w:r>
      <w:r w:rsidR="00EB0746" w:rsidRPr="00D82BFB">
        <w:t xml:space="preserve"> is a significant change in the patient’s situation</w:t>
      </w:r>
      <w:r>
        <w:t>, such as:</w:t>
      </w:r>
    </w:p>
    <w:p w14:paraId="1A42326B" w14:textId="6C1A267E" w:rsidR="00EB0746" w:rsidRPr="00D82BFB" w:rsidRDefault="00442518" w:rsidP="004773EE">
      <w:pPr>
        <w:pStyle w:val="Bullet1"/>
      </w:pPr>
      <w:r>
        <w:t xml:space="preserve">the patient transitions </w:t>
      </w:r>
      <w:r w:rsidR="00123025">
        <w:t xml:space="preserve">permanently </w:t>
      </w:r>
      <w:r>
        <w:t xml:space="preserve">from one type of </w:t>
      </w:r>
      <w:r w:rsidR="00EB0746" w:rsidRPr="00D82BFB">
        <w:t>dialysis to another – for example, from PD to HD</w:t>
      </w:r>
    </w:p>
    <w:p w14:paraId="04444B46" w14:textId="6DB0E66A" w:rsidR="00B66042" w:rsidRPr="00D82BFB" w:rsidRDefault="00123025" w:rsidP="004773EE">
      <w:pPr>
        <w:pStyle w:val="Bullet1"/>
      </w:pPr>
      <w:r>
        <w:t xml:space="preserve">the </w:t>
      </w:r>
      <w:r w:rsidR="00EB0746" w:rsidRPr="00D82BFB">
        <w:t>patient transition</w:t>
      </w:r>
      <w:r w:rsidR="00530E2D">
        <w:t>s</w:t>
      </w:r>
      <w:r w:rsidR="00EB0746" w:rsidRPr="00D82BFB">
        <w:t xml:space="preserve"> permanently from one service provider to another</w:t>
      </w:r>
    </w:p>
    <w:p w14:paraId="4B0872C1" w14:textId="0C27826B" w:rsidR="00EB0746" w:rsidRPr="00D82BFB" w:rsidRDefault="00DA1418" w:rsidP="004773EE">
      <w:pPr>
        <w:pStyle w:val="Bullet1"/>
      </w:pPr>
      <w:r>
        <w:t>t</w:t>
      </w:r>
      <w:r w:rsidR="00123025">
        <w:t xml:space="preserve">he patient’s condition or circumstances change that may affect their ongoing consent – </w:t>
      </w:r>
      <w:r w:rsidR="00EB0746" w:rsidRPr="00D82BFB">
        <w:t>for example</w:t>
      </w:r>
      <w:r w:rsidR="00123025">
        <w:t>,</w:t>
      </w:r>
      <w:r w:rsidR="00EB0746" w:rsidRPr="00D82BFB">
        <w:t xml:space="preserve"> where there is a new lack of capacity to provide informed consent.</w:t>
      </w:r>
    </w:p>
    <w:p w14:paraId="55AC6454" w14:textId="2BD72C99" w:rsidR="00CD3C79" w:rsidRPr="00D82BFB" w:rsidRDefault="00123025" w:rsidP="004773EE">
      <w:pPr>
        <w:spacing w:after="0" w:line="240" w:lineRule="atLeast"/>
      </w:pPr>
      <w:r>
        <w:t>You may also want to consider p</w:t>
      </w:r>
      <w:r w:rsidR="00EB0746" w:rsidRPr="00D82BFB">
        <w:t>eriodic</w:t>
      </w:r>
      <w:r>
        <w:t xml:space="preserve"> </w:t>
      </w:r>
      <w:r w:rsidRPr="00D82BFB">
        <w:t>(e.g. annually)</w:t>
      </w:r>
      <w:r w:rsidR="00EB0746" w:rsidRPr="00D82BFB">
        <w:t xml:space="preserve"> re-consenting of patients for dialysis</w:t>
      </w:r>
      <w:r>
        <w:t xml:space="preserve">, </w:t>
      </w:r>
      <w:r w:rsidR="00EB0746" w:rsidRPr="00D82BFB">
        <w:t>according to local policies.</w:t>
      </w:r>
    </w:p>
    <w:tbl>
      <w:tblPr>
        <w:tblStyle w:val="SCVInformationTable"/>
        <w:tblpPr w:leftFromText="181" w:rightFromText="181" w:vertAnchor="page" w:horzAnchor="page" w:tblpX="738" w:tblpY="14176"/>
        <w:tblOverlap w:val="never"/>
        <w:tblW w:w="10433" w:type="dxa"/>
        <w:shd w:val="clear" w:color="auto" w:fill="F2F2F3"/>
        <w:tblLook w:val="0600" w:firstRow="0" w:lastRow="0" w:firstColumn="0" w:lastColumn="0" w:noHBand="1" w:noVBand="1"/>
      </w:tblPr>
      <w:tblGrid>
        <w:gridCol w:w="4111"/>
        <w:gridCol w:w="3777"/>
        <w:gridCol w:w="2545"/>
      </w:tblGrid>
      <w:bookmarkStart w:id="2" w:name="_Hlk14419374" w:displacedByCustomXml="next"/>
      <w:sdt>
        <w:sdtPr>
          <w:rPr>
            <w:sz w:val="22"/>
          </w:rPr>
          <w:id w:val="-967040995"/>
          <w:lock w:val="sdtLocked"/>
          <w:placeholder>
            <w:docPart w:val="23903BBBA25F4B9D81CB3936620162CF"/>
          </w:placeholder>
        </w:sdtPr>
        <w:sdtEndPr>
          <w:rPr>
            <w:sz w:val="15"/>
          </w:rPr>
        </w:sdtEndPr>
        <w:sdtContent>
          <w:tr w:rsidR="00767035" w:rsidRPr="00D82BFB" w14:paraId="4CAD5FFA" w14:textId="77777777" w:rsidTr="004773EE">
            <w:trPr>
              <w:trHeight w:val="229"/>
            </w:trPr>
            <w:tc>
              <w:tcPr>
                <w:tcW w:w="4111" w:type="dxa"/>
                <w:tcMar>
                  <w:left w:w="113" w:type="dxa"/>
                </w:tcMar>
              </w:tcPr>
              <w:p w14:paraId="5191E0D4" w14:textId="279E1818" w:rsidR="00767035" w:rsidRPr="004773EE" w:rsidRDefault="003E5D4F" w:rsidP="00B75C13">
                <w:pPr>
                  <w:rPr>
                    <w:sz w:val="22"/>
                  </w:rPr>
                </w:pPr>
                <w:r w:rsidRPr="004773EE">
                  <w:rPr>
                    <w:sz w:val="22"/>
                  </w:rPr>
                  <w:t xml:space="preserve">This policy was developed by Safer Care Victoria for Victorian renal health services. This policy and accompanying consent forms can be found at </w:t>
                </w:r>
                <w:r w:rsidRPr="004773EE">
                  <w:rPr>
                    <w:b/>
                    <w:sz w:val="22"/>
                  </w:rPr>
                  <w:t>safercare.vic.gov.au.</w:t>
                </w:r>
              </w:p>
            </w:tc>
            <w:tc>
              <w:tcPr>
                <w:tcW w:w="3777" w:type="dxa"/>
              </w:tcPr>
              <w:p w14:paraId="646AF796" w14:textId="77777777" w:rsidR="00767035" w:rsidRPr="00D82BFB" w:rsidRDefault="00767035" w:rsidP="00B75C13">
                <w:r w:rsidRPr="00D82BFB">
                  <w:t xml:space="preserve">Authorised and published by the Victorian Government, 1 Treasury </w:t>
                </w:r>
                <w:r w:rsidRPr="00D82BFB">
                  <w:br/>
                  <w:t>Place, Melbourne.</w:t>
                </w:r>
              </w:p>
              <w:p w14:paraId="76A915C6" w14:textId="43931B07" w:rsidR="00767035" w:rsidRPr="00D82BFB" w:rsidRDefault="00767035" w:rsidP="00B75C13">
                <w:r w:rsidRPr="00D82BFB">
                  <w:t xml:space="preserve">© State of Victoria, Australia, Safer Care Victoria, </w:t>
                </w:r>
                <w:r w:rsidR="0099267A">
                  <w:t>September</w:t>
                </w:r>
                <w:r w:rsidR="003E5D4F">
                  <w:t xml:space="preserve"> 2019</w:t>
                </w:r>
              </w:p>
              <w:p w14:paraId="75F5EA35" w14:textId="252BEC02" w:rsidR="00767035" w:rsidRPr="00D82BFB" w:rsidRDefault="00536BED" w:rsidP="00B75C13">
                <w:r w:rsidRPr="00536BED">
                  <w:t>ISBN 978-1-76069-006-9 (pdf/online/MS word)</w:t>
                </w:r>
              </w:p>
            </w:tc>
            <w:tc>
              <w:tcPr>
                <w:tcW w:w="2545" w:type="dxa"/>
              </w:tcPr>
              <w:p w14:paraId="7626E1B2" w14:textId="77777777" w:rsidR="00767035" w:rsidRPr="00D82BFB" w:rsidRDefault="00767035" w:rsidP="00B75C13">
                <w:r w:rsidRPr="00D82BFB">
                  <w:rPr>
                    <w:noProof/>
                  </w:rPr>
                  <w:drawing>
                    <wp:inline distT="0" distB="0" distL="0" distR="0" wp14:anchorId="48CFED71" wp14:editId="6BD4F4EB">
                      <wp:extent cx="972000" cy="55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sdtContent>
      </w:sdt>
      <w:bookmarkEnd w:id="2"/>
    </w:tbl>
    <w:p w14:paraId="3247CC78" w14:textId="166D8D60" w:rsidR="00767035" w:rsidRPr="00D82BFB" w:rsidRDefault="00767035" w:rsidP="004773EE">
      <w:pPr>
        <w:spacing w:before="0" w:after="0" w:line="240" w:lineRule="auto"/>
      </w:pPr>
    </w:p>
    <w:sectPr w:rsidR="00767035" w:rsidRPr="00D82BFB" w:rsidSect="004773EE">
      <w:type w:val="continuous"/>
      <w:pgSz w:w="11906" w:h="16838" w:code="9"/>
      <w:pgMar w:top="2438" w:right="737" w:bottom="680" w:left="737" w:header="539"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5D2F" w14:textId="77777777" w:rsidR="00102055" w:rsidRDefault="00102055" w:rsidP="007C504B">
      <w:r>
        <w:separator/>
      </w:r>
    </w:p>
  </w:endnote>
  <w:endnote w:type="continuationSeparator" w:id="0">
    <w:p w14:paraId="1161C7FC" w14:textId="77777777" w:rsidR="00102055" w:rsidRDefault="00102055" w:rsidP="007C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VIC SemiBold">
    <w:altName w:val="Courier New"/>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altName w:val="Courier New"/>
    <w:panose1 w:val="000006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5548D" w14:textId="77777777" w:rsidR="00102055" w:rsidRDefault="00102055" w:rsidP="007C504B"/>
  </w:footnote>
  <w:footnote w:type="continuationSeparator" w:id="0">
    <w:p w14:paraId="3208E96E" w14:textId="77777777" w:rsidR="00102055" w:rsidRDefault="00102055" w:rsidP="007C5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4C97" w14:textId="77777777" w:rsidR="00825D73" w:rsidRDefault="00825D73" w:rsidP="007C504B">
    <w:pPr>
      <w:pStyle w:val="Header"/>
    </w:pPr>
    <w:r>
      <w:rPr>
        <w:noProof/>
      </w:rPr>
      <w:drawing>
        <wp:anchor distT="0" distB="0" distL="114300" distR="114300" simplePos="0" relativeHeight="251662336" behindDoc="1" locked="0" layoutInCell="1" allowOverlap="1" wp14:anchorId="06C0B170" wp14:editId="2963C040">
          <wp:simplePos x="0" y="0"/>
          <wp:positionH relativeFrom="page">
            <wp:posOffset>0</wp:posOffset>
          </wp:positionH>
          <wp:positionV relativeFrom="page">
            <wp:posOffset>0</wp:posOffset>
          </wp:positionV>
          <wp:extent cx="1522800" cy="12060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6B65"/>
    <w:multiLevelType w:val="hybridMultilevel"/>
    <w:tmpl w:val="8EBC4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ECA47B9"/>
    <w:multiLevelType w:val="hybridMultilevel"/>
    <w:tmpl w:val="948C6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540284"/>
    <w:multiLevelType w:val="hybridMultilevel"/>
    <w:tmpl w:val="437EA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D90"/>
    <w:multiLevelType w:val="hybridMultilevel"/>
    <w:tmpl w:val="87287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5C72F5F2"/>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53330D6B"/>
    <w:multiLevelType w:val="hybridMultilevel"/>
    <w:tmpl w:val="C6B0F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B11BF9"/>
    <w:multiLevelType w:val="hybridMultilevel"/>
    <w:tmpl w:val="95AEB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7460A7"/>
    <w:multiLevelType w:val="hybridMultilevel"/>
    <w:tmpl w:val="6D34E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457D95"/>
    <w:multiLevelType w:val="hybridMultilevel"/>
    <w:tmpl w:val="0900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5AC229C"/>
    <w:multiLevelType w:val="hybridMultilevel"/>
    <w:tmpl w:val="C966D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987F2F"/>
    <w:multiLevelType w:val="hybridMultilevel"/>
    <w:tmpl w:val="FA508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
  </w:num>
  <w:num w:numId="2">
    <w:abstractNumId w:val="8"/>
  </w:num>
  <w:num w:numId="3">
    <w:abstractNumId w:val="8"/>
  </w:num>
  <w:num w:numId="4">
    <w:abstractNumId w:val="16"/>
  </w:num>
  <w:num w:numId="5">
    <w:abstractNumId w:val="1"/>
  </w:num>
  <w:num w:numId="6">
    <w:abstractNumId w:val="7"/>
  </w:num>
  <w:num w:numId="7">
    <w:abstractNumId w:val="15"/>
  </w:num>
  <w:num w:numId="8">
    <w:abstractNumId w:val="6"/>
  </w:num>
  <w:num w:numId="9">
    <w:abstractNumId w:val="6"/>
  </w:num>
  <w:num w:numId="10">
    <w:abstractNumId w:val="5"/>
  </w:num>
  <w:num w:numId="11">
    <w:abstractNumId w:val="13"/>
  </w:num>
  <w:num w:numId="12">
    <w:abstractNumId w:val="3"/>
  </w:num>
  <w:num w:numId="13">
    <w:abstractNumId w:val="10"/>
  </w:num>
  <w:num w:numId="14">
    <w:abstractNumId w:val="9"/>
  </w:num>
  <w:num w:numId="15">
    <w:abstractNumId w:val="2"/>
  </w:num>
  <w:num w:numId="16">
    <w:abstractNumId w:val="0"/>
  </w:num>
  <w:num w:numId="17">
    <w:abstractNumId w:val="11"/>
  </w:num>
  <w:num w:numId="18">
    <w:abstractNumId w:val="14"/>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20"/>
    <w:rsid w:val="00002D87"/>
    <w:rsid w:val="00012F6F"/>
    <w:rsid w:val="00014213"/>
    <w:rsid w:val="00014B55"/>
    <w:rsid w:val="00017136"/>
    <w:rsid w:val="00020E3E"/>
    <w:rsid w:val="00023BF3"/>
    <w:rsid w:val="00026811"/>
    <w:rsid w:val="0004185E"/>
    <w:rsid w:val="00046C52"/>
    <w:rsid w:val="00053181"/>
    <w:rsid w:val="00056988"/>
    <w:rsid w:val="00072279"/>
    <w:rsid w:val="00073407"/>
    <w:rsid w:val="00075E6C"/>
    <w:rsid w:val="00081C12"/>
    <w:rsid w:val="00087D42"/>
    <w:rsid w:val="0009038A"/>
    <w:rsid w:val="000905F7"/>
    <w:rsid w:val="000B29AD"/>
    <w:rsid w:val="000B7D0A"/>
    <w:rsid w:val="000C6372"/>
    <w:rsid w:val="000C693A"/>
    <w:rsid w:val="000D6B22"/>
    <w:rsid w:val="000D7558"/>
    <w:rsid w:val="000D7841"/>
    <w:rsid w:val="000E12B5"/>
    <w:rsid w:val="000E392D"/>
    <w:rsid w:val="000E39B6"/>
    <w:rsid w:val="000E3BD6"/>
    <w:rsid w:val="000E3D05"/>
    <w:rsid w:val="000E5100"/>
    <w:rsid w:val="000F4288"/>
    <w:rsid w:val="000F7165"/>
    <w:rsid w:val="00101EF7"/>
    <w:rsid w:val="00102055"/>
    <w:rsid w:val="00102379"/>
    <w:rsid w:val="00103722"/>
    <w:rsid w:val="001065D6"/>
    <w:rsid w:val="001068D5"/>
    <w:rsid w:val="00113A2A"/>
    <w:rsid w:val="00121252"/>
    <w:rsid w:val="00123025"/>
    <w:rsid w:val="00124609"/>
    <w:rsid w:val="001254CE"/>
    <w:rsid w:val="0013637A"/>
    <w:rsid w:val="001422CC"/>
    <w:rsid w:val="00145346"/>
    <w:rsid w:val="00155FB0"/>
    <w:rsid w:val="001617B6"/>
    <w:rsid w:val="00165E66"/>
    <w:rsid w:val="00170BE4"/>
    <w:rsid w:val="00196143"/>
    <w:rsid w:val="001A21D6"/>
    <w:rsid w:val="001A24FC"/>
    <w:rsid w:val="001A731A"/>
    <w:rsid w:val="001C6993"/>
    <w:rsid w:val="001C7BAE"/>
    <w:rsid w:val="001E31FA"/>
    <w:rsid w:val="001E48F9"/>
    <w:rsid w:val="001E64F6"/>
    <w:rsid w:val="001E7AEB"/>
    <w:rsid w:val="00200388"/>
    <w:rsid w:val="00204B82"/>
    <w:rsid w:val="002075D5"/>
    <w:rsid w:val="00212987"/>
    <w:rsid w:val="00222BEB"/>
    <w:rsid w:val="00225E60"/>
    <w:rsid w:val="00230BBB"/>
    <w:rsid w:val="0023202C"/>
    <w:rsid w:val="00234619"/>
    <w:rsid w:val="00235BE2"/>
    <w:rsid w:val="00245043"/>
    <w:rsid w:val="00253C18"/>
    <w:rsid w:val="0026028E"/>
    <w:rsid w:val="00267600"/>
    <w:rsid w:val="00284FA2"/>
    <w:rsid w:val="00291FBA"/>
    <w:rsid w:val="00292D36"/>
    <w:rsid w:val="00294A5A"/>
    <w:rsid w:val="00297281"/>
    <w:rsid w:val="00297A47"/>
    <w:rsid w:val="002A5891"/>
    <w:rsid w:val="002B03F1"/>
    <w:rsid w:val="002B2EEE"/>
    <w:rsid w:val="002B5C34"/>
    <w:rsid w:val="002B5E2B"/>
    <w:rsid w:val="002B6DAA"/>
    <w:rsid w:val="002C0C5B"/>
    <w:rsid w:val="002C28C8"/>
    <w:rsid w:val="002D70F7"/>
    <w:rsid w:val="002D711A"/>
    <w:rsid w:val="002D7336"/>
    <w:rsid w:val="002E006F"/>
    <w:rsid w:val="002E3396"/>
    <w:rsid w:val="002E6454"/>
    <w:rsid w:val="002F2953"/>
    <w:rsid w:val="00300642"/>
    <w:rsid w:val="00304ABE"/>
    <w:rsid w:val="00307035"/>
    <w:rsid w:val="0031149C"/>
    <w:rsid w:val="00313C83"/>
    <w:rsid w:val="00324077"/>
    <w:rsid w:val="00345C20"/>
    <w:rsid w:val="0036778F"/>
    <w:rsid w:val="00367918"/>
    <w:rsid w:val="0038771C"/>
    <w:rsid w:val="003A430B"/>
    <w:rsid w:val="003A541A"/>
    <w:rsid w:val="003A6923"/>
    <w:rsid w:val="003C2C67"/>
    <w:rsid w:val="003C2D4C"/>
    <w:rsid w:val="003C3B3A"/>
    <w:rsid w:val="003C5BA4"/>
    <w:rsid w:val="003C5BD7"/>
    <w:rsid w:val="003D6B81"/>
    <w:rsid w:val="003E3E26"/>
    <w:rsid w:val="003E5D4F"/>
    <w:rsid w:val="003F1295"/>
    <w:rsid w:val="003F5102"/>
    <w:rsid w:val="003F64A8"/>
    <w:rsid w:val="003F76FC"/>
    <w:rsid w:val="004002EB"/>
    <w:rsid w:val="00407A79"/>
    <w:rsid w:val="00422DDC"/>
    <w:rsid w:val="004231B5"/>
    <w:rsid w:val="004236C8"/>
    <w:rsid w:val="00427681"/>
    <w:rsid w:val="00433DB7"/>
    <w:rsid w:val="00442518"/>
    <w:rsid w:val="0045347E"/>
    <w:rsid w:val="00453750"/>
    <w:rsid w:val="00456941"/>
    <w:rsid w:val="00460BD5"/>
    <w:rsid w:val="004611B6"/>
    <w:rsid w:val="004702EA"/>
    <w:rsid w:val="004773EE"/>
    <w:rsid w:val="0048259C"/>
    <w:rsid w:val="00482D02"/>
    <w:rsid w:val="00484326"/>
    <w:rsid w:val="00490369"/>
    <w:rsid w:val="004918E4"/>
    <w:rsid w:val="004A7519"/>
    <w:rsid w:val="004B30AC"/>
    <w:rsid w:val="004B64B1"/>
    <w:rsid w:val="004C31CB"/>
    <w:rsid w:val="004D01AC"/>
    <w:rsid w:val="004D3518"/>
    <w:rsid w:val="004D62D6"/>
    <w:rsid w:val="004D6898"/>
    <w:rsid w:val="004F3F4E"/>
    <w:rsid w:val="00510167"/>
    <w:rsid w:val="00513E86"/>
    <w:rsid w:val="00516376"/>
    <w:rsid w:val="005306A2"/>
    <w:rsid w:val="00530E2D"/>
    <w:rsid w:val="0053416C"/>
    <w:rsid w:val="00536BED"/>
    <w:rsid w:val="00541C2F"/>
    <w:rsid w:val="00552DE4"/>
    <w:rsid w:val="00563527"/>
    <w:rsid w:val="0057407A"/>
    <w:rsid w:val="0058124E"/>
    <w:rsid w:val="005875A3"/>
    <w:rsid w:val="005953EA"/>
    <w:rsid w:val="005A3416"/>
    <w:rsid w:val="005A5ADA"/>
    <w:rsid w:val="005A68FC"/>
    <w:rsid w:val="005B061F"/>
    <w:rsid w:val="005B27FE"/>
    <w:rsid w:val="005B3599"/>
    <w:rsid w:val="005B76DF"/>
    <w:rsid w:val="005B79CB"/>
    <w:rsid w:val="005E08D7"/>
    <w:rsid w:val="005E4C16"/>
    <w:rsid w:val="005E5947"/>
    <w:rsid w:val="005F61DF"/>
    <w:rsid w:val="0060163A"/>
    <w:rsid w:val="006023F9"/>
    <w:rsid w:val="00610559"/>
    <w:rsid w:val="00612ABE"/>
    <w:rsid w:val="00614076"/>
    <w:rsid w:val="00627741"/>
    <w:rsid w:val="00632F2E"/>
    <w:rsid w:val="006332F6"/>
    <w:rsid w:val="006413F2"/>
    <w:rsid w:val="006534B2"/>
    <w:rsid w:val="0065615D"/>
    <w:rsid w:val="00657011"/>
    <w:rsid w:val="006650B5"/>
    <w:rsid w:val="006651B1"/>
    <w:rsid w:val="00665778"/>
    <w:rsid w:val="00673897"/>
    <w:rsid w:val="00676E5F"/>
    <w:rsid w:val="00680577"/>
    <w:rsid w:val="006945CA"/>
    <w:rsid w:val="006A3309"/>
    <w:rsid w:val="006A3A5A"/>
    <w:rsid w:val="006A5B34"/>
    <w:rsid w:val="006C77A9"/>
    <w:rsid w:val="006D4720"/>
    <w:rsid w:val="006E3C33"/>
    <w:rsid w:val="006E6CDF"/>
    <w:rsid w:val="006F37F2"/>
    <w:rsid w:val="006F5159"/>
    <w:rsid w:val="006F6693"/>
    <w:rsid w:val="00707FE8"/>
    <w:rsid w:val="00714AAE"/>
    <w:rsid w:val="00724962"/>
    <w:rsid w:val="00724A0F"/>
    <w:rsid w:val="00726D2F"/>
    <w:rsid w:val="00736732"/>
    <w:rsid w:val="00740019"/>
    <w:rsid w:val="00740817"/>
    <w:rsid w:val="007441D5"/>
    <w:rsid w:val="00746426"/>
    <w:rsid w:val="00750BF9"/>
    <w:rsid w:val="00750CBE"/>
    <w:rsid w:val="00760F31"/>
    <w:rsid w:val="007650D2"/>
    <w:rsid w:val="00766B5A"/>
    <w:rsid w:val="00767035"/>
    <w:rsid w:val="0077191B"/>
    <w:rsid w:val="00772209"/>
    <w:rsid w:val="007770A5"/>
    <w:rsid w:val="007834F2"/>
    <w:rsid w:val="00783B92"/>
    <w:rsid w:val="00791020"/>
    <w:rsid w:val="007A04D2"/>
    <w:rsid w:val="007A4444"/>
    <w:rsid w:val="007A5F82"/>
    <w:rsid w:val="007B74CE"/>
    <w:rsid w:val="007C40A0"/>
    <w:rsid w:val="007C504B"/>
    <w:rsid w:val="007D5F9E"/>
    <w:rsid w:val="007E098F"/>
    <w:rsid w:val="007E3BA2"/>
    <w:rsid w:val="007E5C5C"/>
    <w:rsid w:val="007E6F9B"/>
    <w:rsid w:val="007F1A4C"/>
    <w:rsid w:val="007F723F"/>
    <w:rsid w:val="008022C3"/>
    <w:rsid w:val="008041E6"/>
    <w:rsid w:val="008065D2"/>
    <w:rsid w:val="00815A8A"/>
    <w:rsid w:val="008173BD"/>
    <w:rsid w:val="0082194C"/>
    <w:rsid w:val="008222FF"/>
    <w:rsid w:val="008241FF"/>
    <w:rsid w:val="00825D73"/>
    <w:rsid w:val="00836E33"/>
    <w:rsid w:val="008411E9"/>
    <w:rsid w:val="00841617"/>
    <w:rsid w:val="0084200F"/>
    <w:rsid w:val="00843B2C"/>
    <w:rsid w:val="00844F16"/>
    <w:rsid w:val="00855C25"/>
    <w:rsid w:val="00855FF9"/>
    <w:rsid w:val="0086277A"/>
    <w:rsid w:val="008668A8"/>
    <w:rsid w:val="008703D8"/>
    <w:rsid w:val="008768AD"/>
    <w:rsid w:val="00880AC4"/>
    <w:rsid w:val="008816EE"/>
    <w:rsid w:val="008913CB"/>
    <w:rsid w:val="00897157"/>
    <w:rsid w:val="00897447"/>
    <w:rsid w:val="008A2884"/>
    <w:rsid w:val="008A4900"/>
    <w:rsid w:val="008A55FE"/>
    <w:rsid w:val="008A58D2"/>
    <w:rsid w:val="008A5D39"/>
    <w:rsid w:val="008B146D"/>
    <w:rsid w:val="008B42AD"/>
    <w:rsid w:val="008B5666"/>
    <w:rsid w:val="008C2C15"/>
    <w:rsid w:val="008D0281"/>
    <w:rsid w:val="008D617C"/>
    <w:rsid w:val="008E2348"/>
    <w:rsid w:val="008F1763"/>
    <w:rsid w:val="008F2C87"/>
    <w:rsid w:val="008F6D45"/>
    <w:rsid w:val="00916AD5"/>
    <w:rsid w:val="00922944"/>
    <w:rsid w:val="00936479"/>
    <w:rsid w:val="00937A10"/>
    <w:rsid w:val="00953A2C"/>
    <w:rsid w:val="0096183D"/>
    <w:rsid w:val="00966115"/>
    <w:rsid w:val="00974948"/>
    <w:rsid w:val="009833E7"/>
    <w:rsid w:val="009834C0"/>
    <w:rsid w:val="00986AAC"/>
    <w:rsid w:val="00991BA6"/>
    <w:rsid w:val="0099267A"/>
    <w:rsid w:val="00995526"/>
    <w:rsid w:val="009A1DA2"/>
    <w:rsid w:val="009A3704"/>
    <w:rsid w:val="009A4739"/>
    <w:rsid w:val="009A674F"/>
    <w:rsid w:val="009A6D22"/>
    <w:rsid w:val="009B199C"/>
    <w:rsid w:val="009B61F1"/>
    <w:rsid w:val="009B62E0"/>
    <w:rsid w:val="009C3D88"/>
    <w:rsid w:val="009C7C9B"/>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47E16"/>
    <w:rsid w:val="00A612FE"/>
    <w:rsid w:val="00A6329C"/>
    <w:rsid w:val="00A70B49"/>
    <w:rsid w:val="00A92D94"/>
    <w:rsid w:val="00AA26B8"/>
    <w:rsid w:val="00AC0B87"/>
    <w:rsid w:val="00AC2624"/>
    <w:rsid w:val="00AC2815"/>
    <w:rsid w:val="00AC32A8"/>
    <w:rsid w:val="00AC624C"/>
    <w:rsid w:val="00AD7E4E"/>
    <w:rsid w:val="00AF13AE"/>
    <w:rsid w:val="00AF4D58"/>
    <w:rsid w:val="00AF6666"/>
    <w:rsid w:val="00AF7BC5"/>
    <w:rsid w:val="00B50F4F"/>
    <w:rsid w:val="00B66042"/>
    <w:rsid w:val="00B75C13"/>
    <w:rsid w:val="00B81B44"/>
    <w:rsid w:val="00B9053B"/>
    <w:rsid w:val="00B93E72"/>
    <w:rsid w:val="00BA0C37"/>
    <w:rsid w:val="00BA3782"/>
    <w:rsid w:val="00BA7661"/>
    <w:rsid w:val="00BB4D98"/>
    <w:rsid w:val="00BB4EBF"/>
    <w:rsid w:val="00BB59E0"/>
    <w:rsid w:val="00BB6C1A"/>
    <w:rsid w:val="00BC3422"/>
    <w:rsid w:val="00BC6C03"/>
    <w:rsid w:val="00BC6E19"/>
    <w:rsid w:val="00BD11C2"/>
    <w:rsid w:val="00BD247F"/>
    <w:rsid w:val="00BD5018"/>
    <w:rsid w:val="00BE5ADC"/>
    <w:rsid w:val="00BF4F96"/>
    <w:rsid w:val="00C015B9"/>
    <w:rsid w:val="00C022F9"/>
    <w:rsid w:val="00C032EA"/>
    <w:rsid w:val="00C06995"/>
    <w:rsid w:val="00C06EB5"/>
    <w:rsid w:val="00C1145F"/>
    <w:rsid w:val="00C11CD1"/>
    <w:rsid w:val="00C20CEA"/>
    <w:rsid w:val="00C32D49"/>
    <w:rsid w:val="00C33AD3"/>
    <w:rsid w:val="00C35D53"/>
    <w:rsid w:val="00C41B3C"/>
    <w:rsid w:val="00C4335D"/>
    <w:rsid w:val="00C43F06"/>
    <w:rsid w:val="00C51C01"/>
    <w:rsid w:val="00C637E1"/>
    <w:rsid w:val="00C67EAC"/>
    <w:rsid w:val="00C70D50"/>
    <w:rsid w:val="00C72252"/>
    <w:rsid w:val="00C84780"/>
    <w:rsid w:val="00C907D7"/>
    <w:rsid w:val="00C92338"/>
    <w:rsid w:val="00CA05DC"/>
    <w:rsid w:val="00CA7B47"/>
    <w:rsid w:val="00CB3976"/>
    <w:rsid w:val="00CC155E"/>
    <w:rsid w:val="00CD0307"/>
    <w:rsid w:val="00CD3C79"/>
    <w:rsid w:val="00CD3D1B"/>
    <w:rsid w:val="00CD4A54"/>
    <w:rsid w:val="00CF7691"/>
    <w:rsid w:val="00D00B91"/>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1D2A"/>
    <w:rsid w:val="00D6560D"/>
    <w:rsid w:val="00D65D77"/>
    <w:rsid w:val="00D718D7"/>
    <w:rsid w:val="00D73A96"/>
    <w:rsid w:val="00D814B7"/>
    <w:rsid w:val="00D82BFB"/>
    <w:rsid w:val="00D90688"/>
    <w:rsid w:val="00DA1418"/>
    <w:rsid w:val="00DA3612"/>
    <w:rsid w:val="00DA3AAD"/>
    <w:rsid w:val="00DA3F36"/>
    <w:rsid w:val="00DB312B"/>
    <w:rsid w:val="00DC241A"/>
    <w:rsid w:val="00DC5654"/>
    <w:rsid w:val="00DC658F"/>
    <w:rsid w:val="00DC674A"/>
    <w:rsid w:val="00DE298B"/>
    <w:rsid w:val="00DE60CC"/>
    <w:rsid w:val="00E03F35"/>
    <w:rsid w:val="00E26B32"/>
    <w:rsid w:val="00E31CD4"/>
    <w:rsid w:val="00E31E60"/>
    <w:rsid w:val="00E33E08"/>
    <w:rsid w:val="00E407B6"/>
    <w:rsid w:val="00E41EF1"/>
    <w:rsid w:val="00E42942"/>
    <w:rsid w:val="00E65A0A"/>
    <w:rsid w:val="00E65E12"/>
    <w:rsid w:val="00E71BDF"/>
    <w:rsid w:val="00E75CCB"/>
    <w:rsid w:val="00E8245B"/>
    <w:rsid w:val="00E82C21"/>
    <w:rsid w:val="00E82F59"/>
    <w:rsid w:val="00E83CA7"/>
    <w:rsid w:val="00E90359"/>
    <w:rsid w:val="00E92192"/>
    <w:rsid w:val="00E95A71"/>
    <w:rsid w:val="00EB0746"/>
    <w:rsid w:val="00EB7014"/>
    <w:rsid w:val="00EC4E07"/>
    <w:rsid w:val="00EC5CDE"/>
    <w:rsid w:val="00EC7F2A"/>
    <w:rsid w:val="00ED1E64"/>
    <w:rsid w:val="00ED3077"/>
    <w:rsid w:val="00ED487E"/>
    <w:rsid w:val="00ED64F1"/>
    <w:rsid w:val="00EE33A1"/>
    <w:rsid w:val="00EE7A0D"/>
    <w:rsid w:val="00EF3ED8"/>
    <w:rsid w:val="00F0222C"/>
    <w:rsid w:val="00F06647"/>
    <w:rsid w:val="00F109F5"/>
    <w:rsid w:val="00F12312"/>
    <w:rsid w:val="00F17CE1"/>
    <w:rsid w:val="00F203B8"/>
    <w:rsid w:val="00F2115C"/>
    <w:rsid w:val="00F22ABA"/>
    <w:rsid w:val="00F25919"/>
    <w:rsid w:val="00F25F4B"/>
    <w:rsid w:val="00F27C9D"/>
    <w:rsid w:val="00F3331B"/>
    <w:rsid w:val="00F36B12"/>
    <w:rsid w:val="00F51B55"/>
    <w:rsid w:val="00F60F9F"/>
    <w:rsid w:val="00F61246"/>
    <w:rsid w:val="00F64F08"/>
    <w:rsid w:val="00F65C9D"/>
    <w:rsid w:val="00F70055"/>
    <w:rsid w:val="00F734F5"/>
    <w:rsid w:val="00F73B5B"/>
    <w:rsid w:val="00F90EA5"/>
    <w:rsid w:val="00F91F5A"/>
    <w:rsid w:val="00F96056"/>
    <w:rsid w:val="00F966B1"/>
    <w:rsid w:val="00F97D48"/>
    <w:rsid w:val="00FA0311"/>
    <w:rsid w:val="00FA1489"/>
    <w:rsid w:val="00FA16AC"/>
    <w:rsid w:val="00FA185F"/>
    <w:rsid w:val="00FB1FC9"/>
    <w:rsid w:val="00FD50F0"/>
    <w:rsid w:val="00FD640F"/>
    <w:rsid w:val="00FD6B4C"/>
    <w:rsid w:val="00FE04C6"/>
    <w:rsid w:val="00FE0553"/>
    <w:rsid w:val="00FE25D0"/>
    <w:rsid w:val="00FE6CB3"/>
    <w:rsid w:val="00FF0AC6"/>
    <w:rsid w:val="00FF4E99"/>
    <w:rsid w:val="00FF7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68C51D6"/>
  <w15:docId w15:val="{3C6843CC-89D9-459A-B4F3-F5F3E7A7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C504B"/>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7C504B"/>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77191B"/>
    <w:pPr>
      <w:keepNext/>
      <w:keepLines/>
      <w:spacing w:before="240" w:after="50" w:line="240" w:lineRule="auto"/>
      <w:outlineLvl w:val="2"/>
    </w:pPr>
    <w:rPr>
      <w:rFonts w:ascii="VIC SemiBold" w:eastAsiaTheme="minorHAnsi" w:hAnsi="VIC SemiBold" w:cstheme="majorBidi"/>
      <w:bCs/>
      <w:color w:val="000000" w:themeColor="text1"/>
      <w:sz w:val="24"/>
      <w:szCs w:val="22"/>
      <w:lang w:eastAsia="en-US"/>
    </w:rPr>
  </w:style>
  <w:style w:type="paragraph" w:styleId="Heading4">
    <w:name w:val="heading 4"/>
    <w:basedOn w:val="Normal"/>
    <w:next w:val="Normalfollowingheading"/>
    <w:link w:val="Heading4Char"/>
    <w:qFormat/>
    <w:rsid w:val="00855C25"/>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7C504B"/>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7C504B"/>
    <w:pPr>
      <w:numPr>
        <w:numId w:val="9"/>
      </w:numPr>
      <w:spacing w:before="60" w:after="60"/>
    </w:pPr>
    <w:rPr>
      <w:rFonts w:ascii="VIC" w:eastAsia="Times New Roman" w:hAnsi="VIC"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77191B"/>
    <w:rPr>
      <w:rFonts w:ascii="VIC SemiBold" w:eastAsiaTheme="minorHAnsi" w:hAnsi="VIC SemiBold" w:cstheme="majorBidi"/>
      <w:bCs/>
      <w:color w:val="000000" w:themeColor="text1"/>
      <w:sz w:val="24"/>
      <w:szCs w:val="22"/>
      <w:lang w:eastAsia="en-US"/>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855C25"/>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A2884"/>
    <w:pPr>
      <w:tabs>
        <w:tab w:val="left" w:pos="1080"/>
      </w:tabs>
      <w:spacing w:before="280" w:after="210" w:line="260" w:lineRule="atLeast"/>
    </w:pPr>
    <w:rPr>
      <w:rFonts w:ascii="VIC SemiBold" w:eastAsia="Arial" w:hAnsi="VIC SemiBold"/>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7C504B"/>
    <w:pPr>
      <w:spacing w:before="280" w:after="6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table" w:customStyle="1" w:styleId="TableGrid1">
    <w:name w:val="Table Grid1"/>
    <w:basedOn w:val="TableNormal"/>
    <w:next w:val="TableGrid"/>
    <w:uiPriority w:val="39"/>
    <w:rsid w:val="00345C20"/>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customStyle="1" w:styleId="TableGrid2">
    <w:name w:val="Table Grid2"/>
    <w:basedOn w:val="TableNormal"/>
    <w:next w:val="TableGrid"/>
    <w:uiPriority w:val="59"/>
    <w:rsid w:val="00D00B9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character" w:styleId="CommentReference">
    <w:name w:val="annotation reference"/>
    <w:basedOn w:val="DefaultParagraphFont"/>
    <w:uiPriority w:val="1"/>
    <w:semiHidden/>
    <w:unhideWhenUsed/>
    <w:rsid w:val="00E90359"/>
    <w:rPr>
      <w:sz w:val="16"/>
      <w:szCs w:val="16"/>
    </w:rPr>
  </w:style>
  <w:style w:type="paragraph" w:styleId="CommentText">
    <w:name w:val="annotation text"/>
    <w:basedOn w:val="Normal"/>
    <w:link w:val="CommentTextChar"/>
    <w:uiPriority w:val="1"/>
    <w:semiHidden/>
    <w:unhideWhenUsed/>
    <w:rsid w:val="00E90359"/>
    <w:pPr>
      <w:spacing w:line="240" w:lineRule="auto"/>
    </w:pPr>
  </w:style>
  <w:style w:type="character" w:customStyle="1" w:styleId="CommentTextChar">
    <w:name w:val="Comment Text Char"/>
    <w:basedOn w:val="DefaultParagraphFont"/>
    <w:link w:val="CommentText"/>
    <w:uiPriority w:val="1"/>
    <w:semiHidden/>
    <w:rsid w:val="00E90359"/>
    <w:rPr>
      <w:rFonts w:ascii="VIC" w:hAnsi="VIC"/>
    </w:rPr>
  </w:style>
  <w:style w:type="paragraph" w:styleId="CommentSubject">
    <w:name w:val="annotation subject"/>
    <w:basedOn w:val="CommentText"/>
    <w:next w:val="CommentText"/>
    <w:link w:val="CommentSubjectChar"/>
    <w:uiPriority w:val="1"/>
    <w:semiHidden/>
    <w:unhideWhenUsed/>
    <w:rsid w:val="00E90359"/>
    <w:rPr>
      <w:b/>
      <w:bCs/>
    </w:rPr>
  </w:style>
  <w:style w:type="character" w:customStyle="1" w:styleId="CommentSubjectChar">
    <w:name w:val="Comment Subject Char"/>
    <w:basedOn w:val="CommentTextChar"/>
    <w:link w:val="CommentSubject"/>
    <w:uiPriority w:val="1"/>
    <w:semiHidden/>
    <w:rsid w:val="00E90359"/>
    <w:rPr>
      <w:rFonts w:ascii="VIC" w:hAnsi="VIC"/>
      <w:b/>
      <w:bCs/>
    </w:rPr>
  </w:style>
  <w:style w:type="character" w:styleId="UnresolvedMention">
    <w:name w:val="Unresolved Mention"/>
    <w:basedOn w:val="DefaultParagraphFont"/>
    <w:uiPriority w:val="99"/>
    <w:semiHidden/>
    <w:unhideWhenUsed/>
    <w:rsid w:val="004C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8688">
      <w:bodyDiv w:val="1"/>
      <w:marLeft w:val="0"/>
      <w:marRight w:val="0"/>
      <w:marTop w:val="0"/>
      <w:marBottom w:val="0"/>
      <w:divBdr>
        <w:top w:val="none" w:sz="0" w:space="0" w:color="auto"/>
        <w:left w:val="none" w:sz="0" w:space="0" w:color="auto"/>
        <w:bottom w:val="none" w:sz="0" w:space="0" w:color="auto"/>
        <w:right w:val="none" w:sz="0" w:space="0" w:color="auto"/>
      </w:divBdr>
    </w:div>
    <w:div w:id="1409427585">
      <w:bodyDiv w:val="1"/>
      <w:marLeft w:val="0"/>
      <w:marRight w:val="0"/>
      <w:marTop w:val="0"/>
      <w:marBottom w:val="0"/>
      <w:divBdr>
        <w:top w:val="none" w:sz="0" w:space="0" w:color="auto"/>
        <w:left w:val="none" w:sz="0" w:space="0" w:color="auto"/>
        <w:bottom w:val="none" w:sz="0" w:space="0" w:color="auto"/>
        <w:right w:val="none" w:sz="0" w:space="0" w:color="auto"/>
      </w:divBdr>
    </w:div>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 w:id="15205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ntranet.dhhs.vic.gov.au/sites/default/files/documents/201702/DHHS%20Threshold%20Privacy%20Assessment%202017%20February.docx?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242ED3279498A89FE92EE7AB685C3"/>
        <w:category>
          <w:name w:val="General"/>
          <w:gallery w:val="placeholder"/>
        </w:category>
        <w:types>
          <w:type w:val="bbPlcHdr"/>
        </w:types>
        <w:behaviors>
          <w:behavior w:val="content"/>
        </w:behaviors>
        <w:guid w:val="{C3BF8FE7-4B0F-469D-8ABF-2FDFA2015F75}"/>
      </w:docPartPr>
      <w:docPartBody>
        <w:p w:rsidR="004664B9" w:rsidRDefault="00301ACE">
          <w:pPr>
            <w:pStyle w:val="7AD242ED3279498A89FE92EE7AB685C3"/>
          </w:pPr>
          <w:r w:rsidRPr="00803789">
            <w:rPr>
              <w:rStyle w:val="PlaceholderText"/>
            </w:rPr>
            <w:t>[Title]</w:t>
          </w:r>
        </w:p>
      </w:docPartBody>
    </w:docPart>
    <w:docPart>
      <w:docPartPr>
        <w:name w:val="23903BBBA25F4B9D81CB3936620162CF"/>
        <w:category>
          <w:name w:val="General"/>
          <w:gallery w:val="placeholder"/>
        </w:category>
        <w:types>
          <w:type w:val="bbPlcHdr"/>
        </w:types>
        <w:behaviors>
          <w:behavior w:val="content"/>
        </w:behaviors>
        <w:guid w:val="{14EECD5C-098D-4D49-A895-D4057C84D57D}"/>
      </w:docPartPr>
      <w:docPartBody>
        <w:p w:rsidR="004664B9" w:rsidRDefault="00301ACE">
          <w:pPr>
            <w:pStyle w:val="23903BBBA25F4B9D81CB3936620162CF"/>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VIC SemiBold">
    <w:altName w:val="Courier New"/>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altName w:val="Courier New"/>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CE"/>
    <w:rsid w:val="00301ACE"/>
    <w:rsid w:val="004664B9"/>
    <w:rsid w:val="00B61A05"/>
    <w:rsid w:val="00E3010D"/>
    <w:rsid w:val="00E90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E9018C"/>
    <w:rPr>
      <w:color w:val="808080"/>
    </w:rPr>
  </w:style>
  <w:style w:type="paragraph" w:customStyle="1" w:styleId="7AD242ED3279498A89FE92EE7AB685C3">
    <w:name w:val="7AD242ED3279498A89FE92EE7AB685C3"/>
  </w:style>
  <w:style w:type="paragraph" w:customStyle="1" w:styleId="23903BBBA25F4B9D81CB3936620162CF">
    <w:name w:val="23903BBBA25F4B9D81CB3936620162CF"/>
  </w:style>
  <w:style w:type="paragraph" w:customStyle="1" w:styleId="9EA9A1C09D5841C38BE0069746A47C15">
    <w:name w:val="9EA9A1C09D5841C38BE0069746A47C15"/>
  </w:style>
  <w:style w:type="paragraph" w:customStyle="1" w:styleId="2F240F39C41C41BC97EE59537749B8BF">
    <w:name w:val="2F240F39C41C41BC97EE59537749B8BF"/>
  </w:style>
  <w:style w:type="paragraph" w:customStyle="1" w:styleId="DABD108B07734BB1BCC5286613DEA6E0">
    <w:name w:val="DABD108B07734BB1BCC5286613DEA6E0"/>
    <w:rsid w:val="00301ACE"/>
  </w:style>
  <w:style w:type="paragraph" w:customStyle="1" w:styleId="54C3C2EDC84A421F837DD8706C577954">
    <w:name w:val="54C3C2EDC84A421F837DD8706C577954"/>
    <w:rsid w:val="00301ACE"/>
  </w:style>
  <w:style w:type="paragraph" w:customStyle="1" w:styleId="E9E2D545FAE24961860391CBE8FB77C8">
    <w:name w:val="E9E2D545FAE24961860391CBE8FB77C8"/>
    <w:rsid w:val="00E9018C"/>
  </w:style>
  <w:style w:type="paragraph" w:customStyle="1" w:styleId="CAA2FA85FCFE4C91B712111EC4BF87C4">
    <w:name w:val="CAA2FA85FCFE4C91B712111EC4BF87C4"/>
    <w:rsid w:val="00E9018C"/>
  </w:style>
  <w:style w:type="paragraph" w:customStyle="1" w:styleId="110CD8248C9D4DACA17B99F5DF0C7C85">
    <w:name w:val="110CD8248C9D4DACA17B99F5DF0C7C85"/>
    <w:rsid w:val="00E90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D352-E62C-484A-9DF6-C1FA9AD6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Standardised informed consent for maintenance dialysis</vt:lpstr>
    </vt:vector>
  </TitlesOfParts>
  <Company>Department of Treasury and Finance</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informed consent for maintenance dialysis</dc:title>
  <dc:creator>Courtney Royston (DHHS)</dc:creator>
  <cp:lastModifiedBy>Emma Gumbleton (DHHS)</cp:lastModifiedBy>
  <cp:revision>2</cp:revision>
  <cp:lastPrinted>2018-05-20T09:23:00Z</cp:lastPrinted>
  <dcterms:created xsi:type="dcterms:W3CDTF">2019-09-02T03:02:00Z</dcterms:created>
  <dcterms:modified xsi:type="dcterms:W3CDTF">2019-09-02T03:02:00Z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