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9D2E" w14:textId="642B7678" w:rsidR="00E131C8" w:rsidRPr="00F610AA" w:rsidRDefault="00261CA8" w:rsidP="003E491B">
      <w:pPr>
        <w:pStyle w:val="Title"/>
        <w:pBdr>
          <w:top w:val="single" w:sz="24" w:space="0" w:color="CCCCD0" w:themeColor="accent6"/>
        </w:pBdr>
        <w:tabs>
          <w:tab w:val="left" w:pos="2866"/>
          <w:tab w:val="left" w:pos="3825"/>
        </w:tabs>
        <w:rPr>
          <w:rFonts w:ascii="VIC" w:hAnsi="VIC" w:cstheme="minorHAnsi"/>
          <w:color w:val="004EA8"/>
        </w:rPr>
      </w:pPr>
      <w:sdt>
        <w:sdtPr>
          <w:rPr>
            <w:rFonts w:ascii="VIC SemiBold" w:hAnsi="VIC SemiBold" w:cstheme="minorHAnsi"/>
            <w:b w:val="0"/>
            <w:color w:val="004EA8"/>
          </w:rPr>
          <w:alias w:val="Title"/>
          <w:tag w:val=""/>
          <w:id w:val="-1540807229"/>
          <w:placeholder>
            <w:docPart w:val="5FDD7DEA8EA0426AA5381784CFC975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266A6" w:rsidRPr="003E491B">
            <w:rPr>
              <w:rFonts w:ascii="VIC SemiBold" w:hAnsi="VIC SemiBold" w:cstheme="minorHAnsi"/>
              <w:b w:val="0"/>
              <w:color w:val="004EA8"/>
            </w:rPr>
            <w:t>Advice</w:t>
          </w:r>
        </w:sdtContent>
      </w:sdt>
    </w:p>
    <w:p w14:paraId="305FE5E6" w14:textId="6E703B01" w:rsidR="000D0F61" w:rsidRDefault="00116E69" w:rsidP="009B0656">
      <w:pPr>
        <w:pStyle w:val="Heading2"/>
        <w:rPr>
          <w:rFonts w:ascii="VIC SemiBold" w:hAnsi="VIC SemiBold" w:cstheme="minorHAnsi"/>
          <w:b w:val="0"/>
          <w:sz w:val="40"/>
          <w:szCs w:val="40"/>
        </w:rPr>
      </w:pPr>
      <w:r w:rsidRPr="00C32822">
        <w:rPr>
          <w:rFonts w:ascii="VIC" w:hAnsi="VIC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69CC69" wp14:editId="5386DDC9">
                <wp:simplePos x="0" y="0"/>
                <wp:positionH relativeFrom="column">
                  <wp:posOffset>3237644</wp:posOffset>
                </wp:positionH>
                <wp:positionV relativeFrom="paragraph">
                  <wp:posOffset>511147</wp:posOffset>
                </wp:positionV>
                <wp:extent cx="3044825" cy="1231900"/>
                <wp:effectExtent l="0" t="0" r="317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AEF7" w14:textId="01165D9D" w:rsidR="00C32822" w:rsidRPr="00C32822" w:rsidRDefault="00C32822" w:rsidP="00C32822">
                            <w:pPr>
                              <w:spacing w:line="240" w:lineRule="auto"/>
                              <w:rPr>
                                <w:rFonts w:ascii="VIC" w:hAnsi="VIC"/>
                                <w:color w:val="004EA8"/>
                              </w:rPr>
                            </w:pPr>
                            <w:r w:rsidRPr="00C32822">
                              <w:rPr>
                                <w:rFonts w:ascii="VIC SemiBold" w:hAnsi="VIC SemiBold"/>
                                <w:color w:val="004EA8"/>
                              </w:rPr>
                              <w:t>Intersectionality:</w:t>
                            </w:r>
                            <w:r w:rsidRPr="00C32822">
                              <w:rPr>
                                <w:rFonts w:ascii="VIC" w:hAnsi="VIC"/>
                                <w:color w:val="004EA8"/>
                              </w:rPr>
                              <w:t xml:space="preserve"> a theoretical approach that understands the interconnected nature of social categorisations which create overlapping and interdependent systems of discrimination or disadvantage for either an individual or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CC6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54.95pt;margin-top:40.25pt;width:239.75pt;height:9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" stroked="f">
                <v:textbox>
                  <w:txbxContent>
                    <w:p w14:paraId="03A4AEF7" w14:textId="01165D9D" w:rsidR="00C32822" w:rsidRPr="00C32822" w:rsidRDefault="00C32822" w:rsidP="00C32822">
                      <w:pPr>
                        <w:spacing w:line="240" w:lineRule="auto"/>
                        <w:rPr>
                          <w:rFonts w:ascii="VIC" w:hAnsi="VIC"/>
                          <w:color w:val="004EA8"/>
                        </w:rPr>
                      </w:pPr>
                      <w:r w:rsidRPr="00C32822">
                        <w:rPr>
                          <w:rFonts w:ascii="VIC SemiBold" w:hAnsi="VIC SemiBold"/>
                          <w:color w:val="004EA8"/>
                        </w:rPr>
                        <w:t>Intersectionality:</w:t>
                      </w:r>
                      <w:r w:rsidRPr="00C32822">
                        <w:rPr>
                          <w:rFonts w:ascii="VIC" w:hAnsi="VIC"/>
                          <w:color w:val="004EA8"/>
                        </w:rPr>
                        <w:t xml:space="preserve"> a theoretical approach that understands the interconnected nature of social categorisations which create overlapping and interdependent systems of discrimination or disadvantage for either an individual or group.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F61">
        <w:rPr>
          <w:rFonts w:ascii="VIC SemiBold" w:hAnsi="VIC SemiBold" w:cstheme="minorHAnsi"/>
          <w:b w:val="0"/>
          <w:sz w:val="40"/>
          <w:szCs w:val="40"/>
        </w:rPr>
        <w:t>Diversity and cultural safety</w:t>
      </w:r>
    </w:p>
    <w:p w14:paraId="59139B14" w14:textId="77777777" w:rsidR="0034109C" w:rsidRDefault="0034109C" w:rsidP="00BD0715">
      <w:pPr>
        <w:pStyle w:val="Heading3"/>
        <w:rPr>
          <w:rFonts w:ascii="VIC SemiBold" w:hAnsi="VIC SemiBold" w:cstheme="minorHAnsi"/>
          <w:b w:val="0"/>
          <w:caps/>
          <w:color w:val="004EA8"/>
          <w:szCs w:val="26"/>
        </w:rPr>
        <w:sectPr w:rsidR="0034109C" w:rsidSect="00295AA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127" w:right="1021" w:bottom="1021" w:left="1021" w:header="539" w:footer="624" w:gutter="0"/>
          <w:cols w:space="284"/>
          <w:titlePg/>
          <w:docGrid w:linePitch="360"/>
        </w:sectPr>
      </w:pPr>
    </w:p>
    <w:p w14:paraId="1FF3D94D" w14:textId="027CC686" w:rsidR="00B266A6" w:rsidRPr="00F777E1" w:rsidRDefault="00B266A6" w:rsidP="00BD0715">
      <w:pPr>
        <w:pStyle w:val="Heading3"/>
        <w:rPr>
          <w:rFonts w:ascii="VIC SemiBold" w:hAnsi="VIC SemiBold" w:cstheme="minorHAnsi"/>
          <w:b w:val="0"/>
          <w:caps/>
          <w:color w:val="004EA8"/>
          <w:szCs w:val="26"/>
        </w:rPr>
      </w:pPr>
      <w:r w:rsidRPr="00F777E1">
        <w:rPr>
          <w:rFonts w:ascii="VIC SemiBold" w:hAnsi="VIC SemiBold" w:cstheme="minorHAnsi"/>
          <w:b w:val="0"/>
          <w:caps/>
          <w:color w:val="004EA8"/>
          <w:szCs w:val="26"/>
        </w:rPr>
        <w:t>Introduction</w:t>
      </w:r>
      <w:r w:rsidR="00952698" w:rsidRPr="00F777E1">
        <w:rPr>
          <w:rFonts w:ascii="VIC SemiBold" w:hAnsi="VIC SemiBold" w:cstheme="minorHAnsi"/>
          <w:b w:val="0"/>
          <w:caps/>
          <w:color w:val="004EA8"/>
          <w:szCs w:val="26"/>
        </w:rPr>
        <w:t xml:space="preserve"> </w:t>
      </w:r>
    </w:p>
    <w:p w14:paraId="5F947287" w14:textId="282D8334" w:rsidR="00616A00" w:rsidRDefault="00116E69" w:rsidP="00616A00">
      <w:pPr>
        <w:spacing w:line="276" w:lineRule="auto"/>
        <w:rPr>
          <w:rFonts w:ascii="VIC" w:hAnsi="VIC" w:cstheme="minorHAnsi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3FD4A8" wp14:editId="4612A147">
            <wp:simplePos x="0" y="0"/>
            <wp:positionH relativeFrom="margin">
              <wp:posOffset>3561080</wp:posOffset>
            </wp:positionH>
            <wp:positionV relativeFrom="paragraph">
              <wp:posOffset>972185</wp:posOffset>
            </wp:positionV>
            <wp:extent cx="2148840" cy="2098675"/>
            <wp:effectExtent l="0" t="0" r="3810" b="0"/>
            <wp:wrapTopAndBottom/>
            <wp:docPr id="10" name="Picture 10" descr="Diagram showing diverse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45">
        <w:rPr>
          <w:rFonts w:ascii="VIC" w:hAnsi="VIC" w:cstheme="minorHAnsi"/>
          <w:szCs w:val="22"/>
        </w:rPr>
        <w:t>I</w:t>
      </w:r>
      <w:r w:rsidR="00FD3447">
        <w:rPr>
          <w:rFonts w:ascii="VIC" w:hAnsi="VIC" w:cstheme="minorHAnsi"/>
          <w:szCs w:val="22"/>
        </w:rPr>
        <w:t>n November</w:t>
      </w:r>
      <w:r w:rsidR="00EC3A88">
        <w:rPr>
          <w:rFonts w:ascii="VIC" w:hAnsi="VIC" w:cstheme="minorHAnsi"/>
          <w:szCs w:val="22"/>
        </w:rPr>
        <w:t xml:space="preserve"> 2018</w:t>
      </w:r>
      <w:r w:rsidR="00FD3447">
        <w:rPr>
          <w:rFonts w:ascii="VIC" w:hAnsi="VIC" w:cstheme="minorHAnsi"/>
          <w:szCs w:val="22"/>
        </w:rPr>
        <w:t xml:space="preserve"> the </w:t>
      </w:r>
      <w:r w:rsidR="00D65D40">
        <w:rPr>
          <w:rFonts w:ascii="VIC" w:hAnsi="VIC" w:cstheme="minorHAnsi"/>
          <w:szCs w:val="22"/>
        </w:rPr>
        <w:t>Victorian Clinical C</w:t>
      </w:r>
      <w:r w:rsidR="00FD3447">
        <w:rPr>
          <w:rFonts w:ascii="VIC" w:hAnsi="VIC" w:cstheme="minorHAnsi"/>
          <w:szCs w:val="22"/>
        </w:rPr>
        <w:t>ouncil</w:t>
      </w:r>
      <w:r w:rsidR="00D65D40">
        <w:rPr>
          <w:rFonts w:ascii="VIC" w:hAnsi="VIC" w:cstheme="minorHAnsi"/>
          <w:szCs w:val="22"/>
        </w:rPr>
        <w:t xml:space="preserve"> (the council)</w:t>
      </w:r>
      <w:r w:rsidR="00FD3447">
        <w:rPr>
          <w:rFonts w:ascii="VIC" w:hAnsi="VIC" w:cstheme="minorHAnsi"/>
          <w:szCs w:val="22"/>
        </w:rPr>
        <w:t xml:space="preserve"> met to discuss diversity and cultural safety to</w:t>
      </w:r>
      <w:r w:rsidR="00763AC3">
        <w:rPr>
          <w:rFonts w:ascii="VIC" w:hAnsi="VIC" w:cstheme="minorHAnsi"/>
          <w:szCs w:val="22"/>
        </w:rPr>
        <w:t xml:space="preserve"> provide</w:t>
      </w:r>
      <w:r w:rsidR="00176E74">
        <w:rPr>
          <w:rFonts w:ascii="VIC" w:hAnsi="VIC" w:cstheme="minorHAnsi"/>
          <w:szCs w:val="22"/>
        </w:rPr>
        <w:t xml:space="preserve"> advic</w:t>
      </w:r>
      <w:r w:rsidR="00FD3447">
        <w:rPr>
          <w:rFonts w:ascii="VIC" w:hAnsi="VIC" w:cstheme="minorHAnsi"/>
          <w:szCs w:val="22"/>
        </w:rPr>
        <w:t>e on</w:t>
      </w:r>
      <w:r w:rsidR="00763AC3">
        <w:rPr>
          <w:rFonts w:ascii="VIC" w:hAnsi="VIC" w:cstheme="minorHAnsi"/>
          <w:szCs w:val="22"/>
        </w:rPr>
        <w:t xml:space="preserve"> how to design</w:t>
      </w:r>
      <w:r w:rsidR="00FD3447">
        <w:rPr>
          <w:rFonts w:ascii="VIC" w:hAnsi="VIC" w:cstheme="minorHAnsi"/>
          <w:szCs w:val="22"/>
        </w:rPr>
        <w:t xml:space="preserve"> safe, responsive and inclusive services for everyone.</w:t>
      </w:r>
      <w:r w:rsidR="00616A00">
        <w:rPr>
          <w:rFonts w:ascii="VIC" w:hAnsi="VIC" w:cstheme="minorHAnsi"/>
          <w:szCs w:val="22"/>
        </w:rPr>
        <w:t xml:space="preserve"> </w:t>
      </w:r>
    </w:p>
    <w:p w14:paraId="6D4D7EBA" w14:textId="67EB7FF3" w:rsidR="00116E69" w:rsidRDefault="00C42A13" w:rsidP="00C42A13">
      <w:pPr>
        <w:spacing w:line="276" w:lineRule="auto"/>
        <w:rPr>
          <w:rFonts w:ascii="VIC" w:hAnsi="VIC" w:cstheme="minorHAnsi"/>
          <w:szCs w:val="22"/>
        </w:rPr>
      </w:pPr>
      <w:r w:rsidRPr="00C42A13">
        <w:rPr>
          <w:rFonts w:ascii="VIC" w:hAnsi="VIC" w:cstheme="minorHAnsi"/>
        </w:rPr>
        <w:t>Health system design can create barriers for diverse groups.</w:t>
      </w:r>
      <w:r w:rsidR="00D65D40">
        <w:rPr>
          <w:rFonts w:ascii="VIC" w:hAnsi="VIC" w:cstheme="minorHAnsi"/>
        </w:rPr>
        <w:t xml:space="preserve"> </w:t>
      </w:r>
      <w:r w:rsidR="00D65D40">
        <w:rPr>
          <w:rFonts w:ascii="VIC" w:hAnsi="VIC" w:cstheme="minorHAnsi"/>
          <w:szCs w:val="22"/>
        </w:rPr>
        <w:t>The council has</w:t>
      </w:r>
      <w:r w:rsidR="00D65D40" w:rsidRPr="002039DD">
        <w:rPr>
          <w:rFonts w:ascii="VIC" w:hAnsi="VIC" w:cstheme="minorHAnsi"/>
          <w:szCs w:val="22"/>
        </w:rPr>
        <w:t xml:space="preserve"> specifically considered people from</w:t>
      </w:r>
      <w:r w:rsidR="00116E69">
        <w:rPr>
          <w:rFonts w:ascii="VIC" w:hAnsi="VIC" w:cstheme="minorHAnsi"/>
          <w:szCs w:val="22"/>
        </w:rPr>
        <w:t>:</w:t>
      </w:r>
    </w:p>
    <w:p w14:paraId="6BD9D540" w14:textId="20285B67" w:rsidR="00116E69" w:rsidRPr="00116E69" w:rsidRDefault="00D65D40" w:rsidP="00116E69">
      <w:pPr>
        <w:pStyle w:val="Bullet1"/>
        <w:rPr>
          <w:rFonts w:ascii="VIC" w:hAnsi="VIC"/>
        </w:rPr>
      </w:pPr>
      <w:r w:rsidRPr="00116E69">
        <w:rPr>
          <w:rFonts w:ascii="VIC" w:hAnsi="VIC"/>
        </w:rPr>
        <w:t>lesbian, gay, bisexual, trans and gender diverse</w:t>
      </w:r>
      <w:r w:rsidR="0094588D" w:rsidRPr="00116E69">
        <w:rPr>
          <w:rFonts w:ascii="VIC" w:hAnsi="VIC"/>
        </w:rPr>
        <w:t>,</w:t>
      </w:r>
      <w:r w:rsidRPr="00116E69">
        <w:rPr>
          <w:rFonts w:ascii="VIC" w:hAnsi="VIC"/>
        </w:rPr>
        <w:t xml:space="preserve"> and intersex (LGBTI) com</w:t>
      </w:r>
      <w:r w:rsidR="00116E69" w:rsidRPr="00116E69">
        <w:rPr>
          <w:rFonts w:ascii="VIC" w:hAnsi="VIC"/>
        </w:rPr>
        <w:t>munities</w:t>
      </w:r>
    </w:p>
    <w:p w14:paraId="1B11C9D3" w14:textId="4AA36CC8" w:rsidR="00116E69" w:rsidRPr="00116E69" w:rsidRDefault="00116E69" w:rsidP="00116E69">
      <w:pPr>
        <w:pStyle w:val="Bullet1"/>
        <w:rPr>
          <w:rFonts w:ascii="VIC" w:hAnsi="VIC"/>
        </w:rPr>
      </w:pPr>
      <w:r w:rsidRPr="00116E69">
        <w:rPr>
          <w:rFonts w:ascii="VIC" w:hAnsi="VIC"/>
        </w:rPr>
        <w:t xml:space="preserve"> Aboriginal people</w:t>
      </w:r>
    </w:p>
    <w:p w14:paraId="2A4DA33C" w14:textId="57717ADF" w:rsidR="00116E69" w:rsidRPr="00116E69" w:rsidRDefault="00D65D40" w:rsidP="00116E69">
      <w:pPr>
        <w:pStyle w:val="Bullet1"/>
        <w:rPr>
          <w:rFonts w:ascii="VIC" w:hAnsi="VIC"/>
        </w:rPr>
      </w:pPr>
      <w:r w:rsidRPr="00116E69">
        <w:rPr>
          <w:rFonts w:ascii="VIC" w:hAnsi="VIC"/>
        </w:rPr>
        <w:t>people from culturally and linguistically diverse</w:t>
      </w:r>
      <w:r w:rsidR="009B3FAB">
        <w:rPr>
          <w:rFonts w:ascii="VIC" w:hAnsi="VIC"/>
        </w:rPr>
        <w:t xml:space="preserve"> backgrounds</w:t>
      </w:r>
      <w:r w:rsidR="008A0BF0">
        <w:rPr>
          <w:rFonts w:ascii="VIC" w:hAnsi="VIC"/>
        </w:rPr>
        <w:t xml:space="preserve"> and</w:t>
      </w:r>
      <w:r w:rsidRPr="00116E69">
        <w:rPr>
          <w:rFonts w:ascii="VIC" w:hAnsi="VIC"/>
        </w:rPr>
        <w:t xml:space="preserve"> faith communiti</w:t>
      </w:r>
      <w:r w:rsidR="00116E69" w:rsidRPr="00116E69">
        <w:rPr>
          <w:rFonts w:ascii="VIC" w:hAnsi="VIC"/>
        </w:rPr>
        <w:t>es</w:t>
      </w:r>
    </w:p>
    <w:p w14:paraId="64840DC0" w14:textId="38E439A4" w:rsidR="00116E69" w:rsidRPr="00116E69" w:rsidRDefault="00116E69" w:rsidP="00116E69">
      <w:pPr>
        <w:pStyle w:val="Bullet1"/>
        <w:rPr>
          <w:rFonts w:ascii="VIC" w:hAnsi="VIC"/>
        </w:rPr>
      </w:pPr>
      <w:r w:rsidRPr="00116E69">
        <w:rPr>
          <w:rFonts w:ascii="VIC" w:hAnsi="VIC"/>
        </w:rPr>
        <w:t>refugees and asylum seekers</w:t>
      </w:r>
    </w:p>
    <w:p w14:paraId="3BA4DE2A" w14:textId="58657668" w:rsidR="00D65D40" w:rsidRPr="00116E69" w:rsidRDefault="00D65D40" w:rsidP="00116E69">
      <w:pPr>
        <w:pStyle w:val="Bullet1"/>
        <w:rPr>
          <w:rFonts w:ascii="VIC" w:hAnsi="VIC"/>
        </w:rPr>
      </w:pPr>
      <w:r w:rsidRPr="00116E69">
        <w:rPr>
          <w:rFonts w:ascii="VIC" w:hAnsi="VIC"/>
        </w:rPr>
        <w:t>people with a disability.</w:t>
      </w:r>
    </w:p>
    <w:p w14:paraId="19D2A874" w14:textId="1D142A9F" w:rsidR="00C32822" w:rsidRPr="00C32822" w:rsidRDefault="00C42A13" w:rsidP="004863A9">
      <w:pPr>
        <w:spacing w:line="276" w:lineRule="auto"/>
        <w:rPr>
          <w:rFonts w:ascii="VIC" w:hAnsi="VIC" w:cstheme="minorHAnsi"/>
        </w:rPr>
      </w:pPr>
      <w:r w:rsidRPr="00C42A13">
        <w:rPr>
          <w:rFonts w:ascii="VIC" w:hAnsi="VIC" w:cstheme="minorHAnsi"/>
        </w:rPr>
        <w:t>Issues experienced by diverse populations include accessing services, increased risk of social isolation, exacerbated social and economic disadvantage and housing insecurity. These barriers contribute to poor he</w:t>
      </w:r>
      <w:r w:rsidR="00D65D40">
        <w:rPr>
          <w:rFonts w:ascii="VIC" w:hAnsi="VIC" w:cstheme="minorHAnsi"/>
        </w:rPr>
        <w:t>alth and wellbeing outcomes for</w:t>
      </w:r>
      <w:r w:rsidRPr="00C42A13">
        <w:rPr>
          <w:rFonts w:ascii="VIC" w:hAnsi="VIC" w:cstheme="minorHAnsi"/>
        </w:rPr>
        <w:t xml:space="preserve"> diverse populations.</w:t>
      </w:r>
    </w:p>
    <w:p w14:paraId="36E09502" w14:textId="6DC4989B" w:rsidR="00FC0F7A" w:rsidRDefault="00D65D40" w:rsidP="004863A9">
      <w:pPr>
        <w:spacing w:line="276" w:lineRule="auto"/>
      </w:pPr>
      <w:r w:rsidRPr="00D65D40">
        <w:rPr>
          <w:rFonts w:ascii="VIC" w:hAnsi="VIC"/>
        </w:rPr>
        <w:t>E</w:t>
      </w:r>
      <w:r w:rsidRPr="008B781D">
        <w:rPr>
          <w:rFonts w:ascii="VIC" w:hAnsi="VIC" w:cstheme="minorHAnsi"/>
          <w:szCs w:val="22"/>
        </w:rPr>
        <w:t>vidence</w:t>
      </w:r>
      <w:r>
        <w:rPr>
          <w:rFonts w:ascii="VIC" w:hAnsi="VIC" w:cstheme="minorHAnsi"/>
          <w:szCs w:val="22"/>
        </w:rPr>
        <w:t xml:space="preserve"> indicates</w:t>
      </w:r>
      <w:r w:rsidRPr="008B781D">
        <w:rPr>
          <w:rFonts w:ascii="VIC" w:hAnsi="VIC" w:cstheme="minorHAnsi"/>
          <w:szCs w:val="22"/>
        </w:rPr>
        <w:t xml:space="preserve"> that unconscious bias contributes to a lower </w:t>
      </w:r>
      <w:r>
        <w:rPr>
          <w:rFonts w:ascii="VIC" w:hAnsi="VIC" w:cstheme="minorHAnsi"/>
          <w:szCs w:val="22"/>
        </w:rPr>
        <w:t xml:space="preserve">standard of care for </w:t>
      </w:r>
      <w:r w:rsidRPr="008B781D">
        <w:rPr>
          <w:rFonts w:ascii="VIC" w:hAnsi="VIC" w:cstheme="minorHAnsi"/>
          <w:szCs w:val="22"/>
        </w:rPr>
        <w:t>individuals from diverse backgrounds.</w:t>
      </w:r>
      <w:r>
        <w:rPr>
          <w:rFonts w:ascii="VIC" w:hAnsi="VIC" w:cstheme="minorHAnsi"/>
          <w:szCs w:val="22"/>
        </w:rPr>
        <w:t xml:space="preserve"> It </w:t>
      </w:r>
      <w:r w:rsidR="005C6337">
        <w:rPr>
          <w:rFonts w:ascii="VIC" w:hAnsi="VIC" w:cstheme="minorHAnsi"/>
          <w:szCs w:val="22"/>
        </w:rPr>
        <w:t xml:space="preserve">potentially </w:t>
      </w:r>
      <w:r w:rsidR="00FC0F7A">
        <w:rPr>
          <w:rFonts w:ascii="VIC" w:hAnsi="VIC" w:cstheme="minorHAnsi"/>
          <w:szCs w:val="22"/>
        </w:rPr>
        <w:t>worsens</w:t>
      </w:r>
      <w:r w:rsidR="00BA40CB">
        <w:rPr>
          <w:rFonts w:ascii="VIC" w:hAnsi="VIC" w:cstheme="minorHAnsi"/>
          <w:szCs w:val="22"/>
        </w:rPr>
        <w:t xml:space="preserve"> known issues with a patient’s</w:t>
      </w:r>
      <w:r w:rsidR="005C6337" w:rsidRPr="000A4B24">
        <w:rPr>
          <w:rFonts w:ascii="VIC" w:hAnsi="VIC" w:cstheme="minorHAnsi"/>
          <w:szCs w:val="22"/>
        </w:rPr>
        <w:t xml:space="preserve"> </w:t>
      </w:r>
      <w:r>
        <w:rPr>
          <w:rFonts w:ascii="VIC" w:hAnsi="VIC" w:cstheme="minorHAnsi"/>
          <w:szCs w:val="22"/>
        </w:rPr>
        <w:t>anticipation</w:t>
      </w:r>
      <w:r w:rsidR="005C6337" w:rsidRPr="000A4B24">
        <w:rPr>
          <w:rFonts w:ascii="VIC" w:hAnsi="VIC" w:cstheme="minorHAnsi"/>
          <w:szCs w:val="22"/>
        </w:rPr>
        <w:t xml:space="preserve"> and </w:t>
      </w:r>
      <w:r>
        <w:rPr>
          <w:rFonts w:ascii="VIC" w:hAnsi="VIC" w:cstheme="minorHAnsi"/>
          <w:szCs w:val="22"/>
        </w:rPr>
        <w:t xml:space="preserve">experiences </w:t>
      </w:r>
      <w:r w:rsidR="005C6337" w:rsidRPr="000A4B24">
        <w:rPr>
          <w:rFonts w:ascii="VIC" w:hAnsi="VIC" w:cstheme="minorHAnsi"/>
          <w:szCs w:val="22"/>
        </w:rPr>
        <w:t>of discrimination</w:t>
      </w:r>
      <w:r w:rsidR="005C6337">
        <w:rPr>
          <w:rFonts w:ascii="VIC" w:hAnsi="VIC" w:cstheme="minorHAnsi"/>
          <w:szCs w:val="22"/>
        </w:rPr>
        <w:t xml:space="preserve">. </w:t>
      </w:r>
      <w:r w:rsidR="00940925">
        <w:rPr>
          <w:rFonts w:ascii="VIC" w:hAnsi="VIC" w:cstheme="minorHAnsi"/>
          <w:szCs w:val="22"/>
        </w:rPr>
        <w:t>These i</w:t>
      </w:r>
      <w:r w:rsidR="002A7FA0">
        <w:rPr>
          <w:rFonts w:ascii="VIC" w:hAnsi="VIC" w:cstheme="minorHAnsi"/>
          <w:szCs w:val="22"/>
        </w:rPr>
        <w:t>ssues</w:t>
      </w:r>
      <w:r w:rsidR="005C6337">
        <w:rPr>
          <w:rFonts w:ascii="VIC" w:hAnsi="VIC" w:cstheme="minorHAnsi"/>
          <w:szCs w:val="22"/>
        </w:rPr>
        <w:t xml:space="preserve"> </w:t>
      </w:r>
      <w:r>
        <w:rPr>
          <w:rFonts w:ascii="VIC" w:hAnsi="VIC" w:cstheme="minorHAnsi"/>
          <w:szCs w:val="22"/>
        </w:rPr>
        <w:t>are</w:t>
      </w:r>
      <w:r w:rsidR="005C6337" w:rsidRPr="000A4B24">
        <w:rPr>
          <w:rFonts w:ascii="VIC" w:hAnsi="VIC" w:cstheme="minorHAnsi"/>
          <w:szCs w:val="22"/>
        </w:rPr>
        <w:t xml:space="preserve"> associated with healthcare system distrust</w:t>
      </w:r>
      <w:r w:rsidR="00FC0F7A">
        <w:rPr>
          <w:rFonts w:ascii="VIC" w:hAnsi="VIC" w:cstheme="minorHAnsi"/>
          <w:szCs w:val="22"/>
        </w:rPr>
        <w:t xml:space="preserve"> and</w:t>
      </w:r>
      <w:r w:rsidR="00E6385E">
        <w:rPr>
          <w:rFonts w:ascii="VIC" w:hAnsi="VIC" w:cstheme="minorHAnsi"/>
          <w:szCs w:val="22"/>
        </w:rPr>
        <w:t xml:space="preserve"> can prevent </w:t>
      </w:r>
      <w:r w:rsidR="00EE59A0">
        <w:rPr>
          <w:rFonts w:ascii="VIC" w:hAnsi="VIC" w:cstheme="minorHAnsi"/>
          <w:szCs w:val="22"/>
        </w:rPr>
        <w:t>individuals</w:t>
      </w:r>
      <w:r w:rsidR="005C6337" w:rsidRPr="000A4B24">
        <w:rPr>
          <w:rFonts w:ascii="VIC" w:hAnsi="VIC" w:cstheme="minorHAnsi"/>
          <w:szCs w:val="22"/>
        </w:rPr>
        <w:t xml:space="preserve"> seeking medical advic</w:t>
      </w:r>
      <w:r w:rsidR="00E6385E">
        <w:rPr>
          <w:rFonts w:ascii="VIC" w:hAnsi="VIC" w:cstheme="minorHAnsi"/>
          <w:szCs w:val="22"/>
        </w:rPr>
        <w:t>e and</w:t>
      </w:r>
      <w:r w:rsidR="005C6337" w:rsidRPr="000A4B24">
        <w:rPr>
          <w:rFonts w:ascii="VIC" w:hAnsi="VIC" w:cstheme="minorHAnsi"/>
          <w:szCs w:val="22"/>
        </w:rPr>
        <w:t xml:space="preserve"> u</w:t>
      </w:r>
      <w:r w:rsidR="00FC0F7A">
        <w:rPr>
          <w:rFonts w:ascii="VIC" w:hAnsi="VIC" w:cstheme="minorHAnsi"/>
          <w:szCs w:val="22"/>
        </w:rPr>
        <w:t>sing</w:t>
      </w:r>
      <w:r w:rsidR="005C6337" w:rsidRPr="000A4B24">
        <w:rPr>
          <w:rFonts w:ascii="VIC" w:hAnsi="VIC" w:cstheme="minorHAnsi"/>
          <w:szCs w:val="22"/>
        </w:rPr>
        <w:t xml:space="preserve"> pr</w:t>
      </w:r>
      <w:bookmarkStart w:id="0" w:name="_GoBack"/>
      <w:bookmarkEnd w:id="0"/>
      <w:r w:rsidR="005C6337" w:rsidRPr="000A4B24">
        <w:rPr>
          <w:rFonts w:ascii="VIC" w:hAnsi="VIC" w:cstheme="minorHAnsi"/>
          <w:szCs w:val="22"/>
        </w:rPr>
        <w:t>eventative health services.</w:t>
      </w:r>
      <w:r w:rsidR="008B781D" w:rsidRPr="008B781D">
        <w:t xml:space="preserve"> </w:t>
      </w:r>
    </w:p>
    <w:p w14:paraId="654F48BD" w14:textId="01B39B42" w:rsidR="004863A9" w:rsidRDefault="009E1B26" w:rsidP="00FC0F7A">
      <w:pPr>
        <w:spacing w:line="276" w:lineRule="auto"/>
        <w:rPr>
          <w:rFonts w:ascii="VIC" w:hAnsi="VIC" w:cstheme="minorHAnsi"/>
          <w:szCs w:val="22"/>
        </w:rPr>
      </w:pPr>
      <w:r>
        <w:rPr>
          <w:rFonts w:ascii="VIC" w:hAnsi="VIC" w:cstheme="minorHAnsi"/>
          <w:szCs w:val="22"/>
        </w:rPr>
        <w:t>Creating a responsive health system requires services to be both universally accommodating as well as tailored to individual needs.</w:t>
      </w:r>
      <w:r w:rsidR="00FC0F7A">
        <w:rPr>
          <w:rFonts w:ascii="VIC" w:hAnsi="VIC" w:cstheme="minorHAnsi"/>
          <w:szCs w:val="22"/>
        </w:rPr>
        <w:t xml:space="preserve"> </w:t>
      </w:r>
      <w:r w:rsidR="00FC0F7A">
        <w:rPr>
          <w:rStyle w:val="eop"/>
          <w:rFonts w:ascii="VIC" w:eastAsia="Times New Roman" w:hAnsi="VIC" w:cs="Segoe UI"/>
        </w:rPr>
        <w:t>Health providers should design for diversity</w:t>
      </w:r>
      <w:r w:rsidR="00E6385E">
        <w:rPr>
          <w:rStyle w:val="eop"/>
          <w:rFonts w:ascii="VIC" w:eastAsia="Times New Roman" w:hAnsi="VIC" w:cs="Segoe UI"/>
        </w:rPr>
        <w:t>,</w:t>
      </w:r>
      <w:r w:rsidR="00FC0F7A" w:rsidRPr="00214BB4">
        <w:rPr>
          <w:rStyle w:val="eop"/>
          <w:rFonts w:ascii="VIC" w:eastAsia="Times New Roman" w:hAnsi="VIC" w:cs="Segoe UI"/>
        </w:rPr>
        <w:t xml:space="preserve"> recognise </w:t>
      </w:r>
      <w:r w:rsidR="00FC0F7A">
        <w:rPr>
          <w:rStyle w:val="eop"/>
          <w:rFonts w:ascii="VIC" w:eastAsia="Times New Roman" w:hAnsi="VIC" w:cs="Segoe UI"/>
        </w:rPr>
        <w:t xml:space="preserve">intersectionality and </w:t>
      </w:r>
      <w:r w:rsidR="00FC0F7A" w:rsidRPr="00214BB4">
        <w:rPr>
          <w:rStyle w:val="eop"/>
          <w:rFonts w:ascii="VIC" w:eastAsia="Times New Roman" w:hAnsi="VIC" w:cs="Segoe UI"/>
        </w:rPr>
        <w:t xml:space="preserve">address </w:t>
      </w:r>
      <w:r w:rsidR="00FC0F7A">
        <w:rPr>
          <w:rStyle w:val="eop"/>
          <w:rFonts w:ascii="VIC" w:eastAsia="Times New Roman" w:hAnsi="VIC" w:cs="Segoe UI"/>
        </w:rPr>
        <w:t>the unique experienc</w:t>
      </w:r>
      <w:r w:rsidR="00FC0F7A" w:rsidRPr="00214BB4">
        <w:rPr>
          <w:rStyle w:val="eop"/>
          <w:rFonts w:ascii="VIC" w:eastAsia="Times New Roman" w:hAnsi="VIC" w:cs="Segoe UI"/>
        </w:rPr>
        <w:t xml:space="preserve">es </w:t>
      </w:r>
      <w:r w:rsidR="00FC0F7A">
        <w:rPr>
          <w:rStyle w:val="eop"/>
          <w:rFonts w:ascii="VIC" w:eastAsia="Times New Roman" w:hAnsi="VIC" w:cs="Segoe UI"/>
        </w:rPr>
        <w:t xml:space="preserve">of individuals </w:t>
      </w:r>
      <w:r w:rsidR="00FC0F7A" w:rsidRPr="00214BB4">
        <w:rPr>
          <w:rStyle w:val="eop"/>
          <w:rFonts w:ascii="VIC" w:eastAsia="Times New Roman" w:hAnsi="VIC" w:cs="Segoe UI"/>
        </w:rPr>
        <w:t>in the health sector.</w:t>
      </w:r>
      <w:r w:rsidR="00E6385E" w:rsidRPr="00E6385E">
        <w:rPr>
          <w:rFonts w:ascii="VIC" w:hAnsi="VIC" w:cstheme="minorHAnsi"/>
          <w:szCs w:val="22"/>
        </w:rPr>
        <w:t xml:space="preserve"> </w:t>
      </w:r>
    </w:p>
    <w:p w14:paraId="1EDD7CCB" w14:textId="057147B8" w:rsidR="009F011A" w:rsidRDefault="00E6385E" w:rsidP="007208D2">
      <w:pPr>
        <w:spacing w:line="276" w:lineRule="auto"/>
        <w:rPr>
          <w:noProof/>
        </w:rPr>
      </w:pPr>
      <w:r>
        <w:rPr>
          <w:rFonts w:ascii="VIC" w:hAnsi="VIC" w:cstheme="minorHAnsi"/>
          <w:szCs w:val="22"/>
        </w:rPr>
        <w:t>Some</w:t>
      </w:r>
      <w:r w:rsidR="0008515B">
        <w:rPr>
          <w:rFonts w:ascii="VIC" w:hAnsi="VIC" w:cstheme="minorHAnsi"/>
          <w:szCs w:val="22"/>
        </w:rPr>
        <w:t xml:space="preserve"> </w:t>
      </w:r>
      <w:r w:rsidR="009E1B26">
        <w:rPr>
          <w:rFonts w:ascii="VIC" w:hAnsi="VIC" w:cstheme="minorHAnsi"/>
          <w:szCs w:val="22"/>
        </w:rPr>
        <w:t>services</w:t>
      </w:r>
      <w:r w:rsidR="0008515B">
        <w:rPr>
          <w:rFonts w:ascii="VIC" w:hAnsi="VIC" w:cstheme="minorHAnsi"/>
          <w:szCs w:val="22"/>
        </w:rPr>
        <w:t xml:space="preserve"> in the health sector have</w:t>
      </w:r>
      <w:r>
        <w:rPr>
          <w:rFonts w:ascii="VIC" w:hAnsi="VIC" w:cstheme="minorHAnsi"/>
          <w:szCs w:val="22"/>
        </w:rPr>
        <w:t xml:space="preserve"> successfully</w:t>
      </w:r>
      <w:r w:rsidR="0008515B">
        <w:rPr>
          <w:rFonts w:ascii="VIC" w:hAnsi="VIC" w:cstheme="minorHAnsi"/>
          <w:szCs w:val="22"/>
        </w:rPr>
        <w:t xml:space="preserve"> created</w:t>
      </w:r>
      <w:r w:rsidR="00A176BD">
        <w:rPr>
          <w:rFonts w:ascii="VIC" w:hAnsi="VIC" w:cstheme="minorHAnsi"/>
          <w:szCs w:val="22"/>
        </w:rPr>
        <w:t xml:space="preserve"> culturally safe </w:t>
      </w:r>
      <w:r w:rsidR="00763AC3">
        <w:rPr>
          <w:rFonts w:ascii="VIC" w:hAnsi="VIC" w:cstheme="minorHAnsi"/>
          <w:szCs w:val="22"/>
        </w:rPr>
        <w:t>environment</w:t>
      </w:r>
      <w:r w:rsidR="00256545">
        <w:rPr>
          <w:rFonts w:ascii="VIC" w:hAnsi="VIC" w:cstheme="minorHAnsi"/>
          <w:szCs w:val="22"/>
        </w:rPr>
        <w:t>s</w:t>
      </w:r>
      <w:r w:rsidR="000523AC">
        <w:rPr>
          <w:rFonts w:ascii="VIC" w:hAnsi="VIC" w:cstheme="minorHAnsi"/>
          <w:szCs w:val="22"/>
        </w:rPr>
        <w:t xml:space="preserve">. </w:t>
      </w:r>
      <w:r w:rsidR="00940925">
        <w:rPr>
          <w:rFonts w:ascii="VIC" w:hAnsi="VIC" w:cstheme="minorHAnsi"/>
          <w:szCs w:val="22"/>
        </w:rPr>
        <w:t xml:space="preserve">Involving consumers in service co-design has been vital in improving outcomes for diverse communities. </w:t>
      </w:r>
      <w:r w:rsidR="00973350">
        <w:rPr>
          <w:rFonts w:ascii="VIC" w:hAnsi="VIC" w:cstheme="minorHAnsi"/>
          <w:szCs w:val="22"/>
        </w:rPr>
        <w:t xml:space="preserve">The council </w:t>
      </w:r>
      <w:r w:rsidR="00FC0F7A">
        <w:rPr>
          <w:rFonts w:ascii="VIC" w:hAnsi="VIC" w:cstheme="minorHAnsi"/>
          <w:szCs w:val="22"/>
        </w:rPr>
        <w:t>has</w:t>
      </w:r>
      <w:r w:rsidR="0008515B">
        <w:rPr>
          <w:rFonts w:ascii="VIC" w:hAnsi="VIC" w:cstheme="minorHAnsi"/>
          <w:szCs w:val="22"/>
        </w:rPr>
        <w:t xml:space="preserve"> explore</w:t>
      </w:r>
      <w:r w:rsidR="00FC0F7A">
        <w:rPr>
          <w:rFonts w:ascii="VIC" w:hAnsi="VIC" w:cstheme="minorHAnsi"/>
          <w:szCs w:val="22"/>
        </w:rPr>
        <w:t>d</w:t>
      </w:r>
      <w:r w:rsidR="0008515B">
        <w:rPr>
          <w:rFonts w:ascii="VIC" w:hAnsi="VIC" w:cstheme="minorHAnsi"/>
          <w:szCs w:val="22"/>
        </w:rPr>
        <w:t xml:space="preserve"> what is working, what needs to be done a</w:t>
      </w:r>
      <w:r w:rsidR="009E1B26">
        <w:rPr>
          <w:rFonts w:ascii="VIC" w:hAnsi="VIC" w:cstheme="minorHAnsi"/>
          <w:szCs w:val="22"/>
        </w:rPr>
        <w:t xml:space="preserve">nd </w:t>
      </w:r>
      <w:r w:rsidR="00A176BD">
        <w:rPr>
          <w:rFonts w:ascii="VIC" w:hAnsi="VIC" w:cstheme="minorHAnsi"/>
          <w:szCs w:val="22"/>
        </w:rPr>
        <w:t>what</w:t>
      </w:r>
      <w:r w:rsidR="009E1B26">
        <w:rPr>
          <w:rFonts w:ascii="VIC" w:hAnsi="VIC" w:cstheme="minorHAnsi"/>
          <w:szCs w:val="22"/>
        </w:rPr>
        <w:t xml:space="preserve"> should be prioritised</w:t>
      </w:r>
      <w:r w:rsidR="0008515B">
        <w:rPr>
          <w:rFonts w:ascii="VIC" w:hAnsi="VIC" w:cstheme="minorHAnsi"/>
          <w:szCs w:val="22"/>
        </w:rPr>
        <w:t xml:space="preserve"> to improve </w:t>
      </w:r>
      <w:r w:rsidR="00176E74">
        <w:rPr>
          <w:rFonts w:ascii="VIC" w:hAnsi="VIC" w:cstheme="minorHAnsi"/>
          <w:szCs w:val="22"/>
        </w:rPr>
        <w:t xml:space="preserve">health </w:t>
      </w:r>
      <w:r w:rsidR="0008515B">
        <w:rPr>
          <w:rFonts w:ascii="VIC" w:hAnsi="VIC" w:cstheme="minorHAnsi"/>
          <w:szCs w:val="22"/>
        </w:rPr>
        <w:t>system design</w:t>
      </w:r>
      <w:r w:rsidR="005C6337">
        <w:rPr>
          <w:rFonts w:ascii="VIC" w:hAnsi="VIC" w:cstheme="minorHAnsi"/>
          <w:szCs w:val="22"/>
        </w:rPr>
        <w:t xml:space="preserve"> across Victoria</w:t>
      </w:r>
      <w:r w:rsidR="00176E74">
        <w:rPr>
          <w:rFonts w:ascii="VIC" w:hAnsi="VIC" w:cstheme="minorHAnsi"/>
          <w:szCs w:val="22"/>
        </w:rPr>
        <w:t xml:space="preserve"> </w:t>
      </w:r>
      <w:r w:rsidR="00214BB4">
        <w:rPr>
          <w:rFonts w:ascii="VIC" w:hAnsi="VIC" w:cstheme="minorHAnsi"/>
          <w:szCs w:val="22"/>
        </w:rPr>
        <w:t>for</w:t>
      </w:r>
      <w:r w:rsidR="00176E74">
        <w:rPr>
          <w:rFonts w:ascii="VIC" w:hAnsi="VIC" w:cstheme="minorHAnsi"/>
          <w:szCs w:val="22"/>
        </w:rPr>
        <w:t xml:space="preserve"> diverse populations.</w:t>
      </w:r>
      <w:r w:rsidR="000737C9" w:rsidRPr="000737C9">
        <w:rPr>
          <w:noProof/>
        </w:rPr>
        <w:t xml:space="preserve"> </w:t>
      </w:r>
    </w:p>
    <w:p w14:paraId="72763498" w14:textId="77777777" w:rsidR="00E6385E" w:rsidRPr="00F213CC" w:rsidRDefault="00E6385E" w:rsidP="007208D2">
      <w:pPr>
        <w:spacing w:line="276" w:lineRule="auto"/>
        <w:rPr>
          <w:noProof/>
        </w:rPr>
      </w:pPr>
    </w:p>
    <w:p w14:paraId="7BACA0FA" w14:textId="2DA663DC" w:rsidR="00B266A6" w:rsidRPr="00F777E1" w:rsidRDefault="00B266A6" w:rsidP="00B266A6">
      <w:pPr>
        <w:pStyle w:val="Heading3"/>
        <w:rPr>
          <w:rFonts w:ascii="VIC SemiBold" w:hAnsi="VIC SemiBold" w:cstheme="minorHAnsi"/>
          <w:b w:val="0"/>
          <w:caps/>
          <w:color w:val="004EA8"/>
          <w:szCs w:val="26"/>
        </w:rPr>
      </w:pPr>
      <w:r w:rsidRPr="00F777E1">
        <w:rPr>
          <w:rFonts w:ascii="VIC SemiBold" w:hAnsi="VIC SemiBold" w:cstheme="minorHAnsi"/>
          <w:b w:val="0"/>
          <w:caps/>
          <w:color w:val="004EA8"/>
          <w:szCs w:val="26"/>
        </w:rPr>
        <w:lastRenderedPageBreak/>
        <w:t>Meeting purpose</w:t>
      </w:r>
    </w:p>
    <w:p w14:paraId="28A8880A" w14:textId="77777777" w:rsidR="00345B3C" w:rsidRPr="00661B49" w:rsidRDefault="00345B3C" w:rsidP="00070105">
      <w:pPr>
        <w:spacing w:line="276" w:lineRule="auto"/>
        <w:rPr>
          <w:rFonts w:ascii="VIC" w:hAnsi="VIC" w:cstheme="minorHAnsi"/>
        </w:rPr>
      </w:pPr>
      <w:r w:rsidRPr="00661B49">
        <w:rPr>
          <w:rFonts w:ascii="VIC" w:hAnsi="VIC" w:cstheme="minorHAnsi"/>
        </w:rPr>
        <w:t>The purpose of this meeting was to:</w:t>
      </w:r>
    </w:p>
    <w:p w14:paraId="6477ACCA" w14:textId="5EE74A90" w:rsidR="000D0F61" w:rsidRPr="00FC0F7A" w:rsidRDefault="000D0F61" w:rsidP="00FC0F7A">
      <w:pPr>
        <w:pStyle w:val="Bullet1"/>
        <w:rPr>
          <w:rFonts w:ascii="VIC" w:hAnsi="VIC"/>
        </w:rPr>
      </w:pPr>
      <w:r w:rsidRPr="00FC0F7A">
        <w:rPr>
          <w:rFonts w:ascii="VIC" w:hAnsi="VIC"/>
        </w:rPr>
        <w:t>support the Victorian health system to understand the significance of unconscious bias and cultural safety on health and wellbeing outcomes</w:t>
      </w:r>
    </w:p>
    <w:p w14:paraId="5E2CB452" w14:textId="1B8B1965" w:rsidR="000D0F61" w:rsidRPr="00FC0F7A" w:rsidRDefault="00FC0F7A" w:rsidP="00FC0F7A">
      <w:pPr>
        <w:pStyle w:val="Bullet1"/>
        <w:rPr>
          <w:rFonts w:ascii="VIC" w:hAnsi="VIC"/>
        </w:rPr>
      </w:pPr>
      <w:r>
        <w:rPr>
          <w:rFonts w:ascii="VIC" w:hAnsi="VIC"/>
        </w:rPr>
        <w:t>advise a whole-</w:t>
      </w:r>
      <w:r w:rsidR="000D0F61" w:rsidRPr="00FC0F7A">
        <w:rPr>
          <w:rFonts w:ascii="VIC" w:hAnsi="VIC"/>
        </w:rPr>
        <w:t>system approach considering intersectionality across diverse groups.</w:t>
      </w:r>
    </w:p>
    <w:p w14:paraId="740EA00D" w14:textId="77777777" w:rsidR="00B266A6" w:rsidRPr="00F777E1" w:rsidRDefault="00B833BA" w:rsidP="000D0F61">
      <w:pPr>
        <w:pStyle w:val="Heading3"/>
        <w:rPr>
          <w:rFonts w:ascii="VIC SemiBold" w:hAnsi="VIC SemiBold" w:cstheme="minorHAnsi"/>
          <w:b w:val="0"/>
          <w:caps/>
          <w:color w:val="004EA8"/>
          <w:szCs w:val="26"/>
        </w:rPr>
      </w:pPr>
      <w:r w:rsidRPr="00F777E1">
        <w:rPr>
          <w:rFonts w:ascii="VIC SemiBold" w:hAnsi="VIC SemiBold" w:cstheme="minorHAnsi"/>
          <w:b w:val="0"/>
          <w:caps/>
          <w:color w:val="004EA8"/>
          <w:szCs w:val="26"/>
        </w:rPr>
        <w:t>Council discussion</w:t>
      </w:r>
      <w:r w:rsidR="00B266A6" w:rsidRPr="00F777E1">
        <w:rPr>
          <w:rFonts w:ascii="VIC SemiBold" w:hAnsi="VIC SemiBold" w:cstheme="minorHAnsi"/>
          <w:b w:val="0"/>
          <w:caps/>
          <w:color w:val="004EA8"/>
          <w:szCs w:val="26"/>
        </w:rPr>
        <w:t xml:space="preserve"> </w:t>
      </w:r>
    </w:p>
    <w:p w14:paraId="701F12FF" w14:textId="67F52E4E" w:rsidR="00B266A6" w:rsidRPr="00661B49" w:rsidRDefault="00A600BD" w:rsidP="00070105">
      <w:pPr>
        <w:spacing w:line="276" w:lineRule="auto"/>
        <w:rPr>
          <w:rFonts w:ascii="VIC" w:hAnsi="VIC" w:cstheme="minorHAnsi"/>
        </w:rPr>
      </w:pPr>
      <w:r w:rsidRPr="00661B49">
        <w:rPr>
          <w:rFonts w:ascii="VIC" w:hAnsi="VIC" w:cstheme="minorHAnsi"/>
        </w:rPr>
        <w:t>The following speaker</w:t>
      </w:r>
      <w:r w:rsidR="0015461C" w:rsidRPr="00661B49">
        <w:rPr>
          <w:rFonts w:ascii="VIC" w:hAnsi="VIC" w:cstheme="minorHAnsi"/>
        </w:rPr>
        <w:t>s</w:t>
      </w:r>
      <w:r w:rsidR="00FC0F7A">
        <w:rPr>
          <w:rFonts w:ascii="VIC" w:hAnsi="VIC" w:cstheme="minorHAnsi"/>
        </w:rPr>
        <w:t xml:space="preserve"> presented to the council:</w:t>
      </w:r>
    </w:p>
    <w:p w14:paraId="7328BFA3" w14:textId="29F99364" w:rsidR="0037268E" w:rsidRDefault="008B781D" w:rsidP="00661B49">
      <w:pPr>
        <w:pStyle w:val="Bullet1"/>
        <w:rPr>
          <w:rFonts w:ascii="VIC" w:hAnsi="VIC"/>
        </w:rPr>
      </w:pPr>
      <w:r>
        <w:rPr>
          <w:rFonts w:ascii="VIC" w:hAnsi="VIC"/>
        </w:rPr>
        <w:t xml:space="preserve">Ms </w:t>
      </w:r>
      <w:r w:rsidR="00D51265">
        <w:rPr>
          <w:rFonts w:ascii="VIC" w:hAnsi="VIC"/>
        </w:rPr>
        <w:t>Kym Peake</w:t>
      </w:r>
      <w:r w:rsidR="0037268E" w:rsidRPr="00661B49">
        <w:rPr>
          <w:rFonts w:ascii="VIC" w:hAnsi="VIC"/>
        </w:rPr>
        <w:t xml:space="preserve">, </w:t>
      </w:r>
      <w:r w:rsidR="00D51265">
        <w:rPr>
          <w:rFonts w:ascii="VIC" w:hAnsi="VIC"/>
        </w:rPr>
        <w:t xml:space="preserve">Secretary, </w:t>
      </w:r>
      <w:r w:rsidR="00D51265" w:rsidRPr="00D51265">
        <w:rPr>
          <w:rFonts w:ascii="VIC" w:hAnsi="VIC"/>
        </w:rPr>
        <w:t>Department of Health and Human Services</w:t>
      </w:r>
      <w:r w:rsidR="00D51265">
        <w:rPr>
          <w:rFonts w:ascii="VIC" w:hAnsi="VIC"/>
        </w:rPr>
        <w:t>.</w:t>
      </w:r>
    </w:p>
    <w:p w14:paraId="7D4CCBEB" w14:textId="77777777" w:rsidR="00D51265" w:rsidRDefault="00D51265" w:rsidP="00D51265">
      <w:pPr>
        <w:pStyle w:val="Bullet1"/>
        <w:rPr>
          <w:rFonts w:ascii="VIC" w:hAnsi="VIC"/>
        </w:rPr>
      </w:pPr>
      <w:r w:rsidRPr="00D51265">
        <w:rPr>
          <w:rFonts w:ascii="VIC" w:hAnsi="VIC"/>
        </w:rPr>
        <w:t>Professor Bernard Crump</w:t>
      </w:r>
      <w:r>
        <w:rPr>
          <w:rFonts w:ascii="VIC" w:hAnsi="VIC"/>
        </w:rPr>
        <w:t xml:space="preserve">, </w:t>
      </w:r>
      <w:r w:rsidRPr="00D51265">
        <w:rPr>
          <w:rFonts w:ascii="VIC" w:hAnsi="VIC"/>
        </w:rPr>
        <w:t xml:space="preserve">Professorial Teaching Fellow in Medical Leadership at Warwick Medical School.  </w:t>
      </w:r>
    </w:p>
    <w:p w14:paraId="0637F262" w14:textId="77777777" w:rsidR="00D51265" w:rsidRDefault="00D51265" w:rsidP="00D51265">
      <w:pPr>
        <w:pStyle w:val="Bullet1"/>
        <w:rPr>
          <w:rFonts w:ascii="VIC" w:hAnsi="VIC"/>
        </w:rPr>
      </w:pPr>
      <w:r w:rsidRPr="00D51265">
        <w:rPr>
          <w:rFonts w:ascii="VIC" w:hAnsi="VIC"/>
        </w:rPr>
        <w:t>Associate Professor Jane Yelland</w:t>
      </w:r>
      <w:r>
        <w:rPr>
          <w:rFonts w:ascii="VIC" w:hAnsi="VIC"/>
        </w:rPr>
        <w:t xml:space="preserve">, </w:t>
      </w:r>
      <w:r w:rsidRPr="00D51265">
        <w:rPr>
          <w:rFonts w:ascii="VIC" w:hAnsi="VIC"/>
        </w:rPr>
        <w:t>Healthy Mothers Healthy Families Research Group at the Murdoch Children’s Research Institute (MCRI)</w:t>
      </w:r>
    </w:p>
    <w:p w14:paraId="2B5A3E65" w14:textId="77777777" w:rsidR="00D51265" w:rsidRDefault="00D51265" w:rsidP="00D51265">
      <w:pPr>
        <w:pStyle w:val="Bullet1"/>
        <w:rPr>
          <w:rFonts w:ascii="VIC" w:hAnsi="VIC"/>
        </w:rPr>
      </w:pPr>
      <w:r w:rsidRPr="00D51265">
        <w:rPr>
          <w:rFonts w:ascii="VIC" w:hAnsi="VIC"/>
        </w:rPr>
        <w:t>Associate Professor Michelle Telfer</w:t>
      </w:r>
      <w:r>
        <w:rPr>
          <w:rFonts w:ascii="VIC" w:hAnsi="VIC"/>
        </w:rPr>
        <w:t xml:space="preserve">, </w:t>
      </w:r>
      <w:r w:rsidRPr="00D51265">
        <w:rPr>
          <w:rFonts w:ascii="VIC" w:hAnsi="VIC"/>
        </w:rPr>
        <w:t>Head of Department of Adolescent Medicine at The Royal Children’s Hospital (RCH) Melbourne.</w:t>
      </w:r>
    </w:p>
    <w:p w14:paraId="40186349" w14:textId="77777777" w:rsidR="00D51265" w:rsidRDefault="00D51265" w:rsidP="00D51265">
      <w:pPr>
        <w:pStyle w:val="Bullet1"/>
        <w:rPr>
          <w:rFonts w:ascii="VIC" w:hAnsi="VIC"/>
        </w:rPr>
      </w:pPr>
      <w:r w:rsidRPr="00D51265">
        <w:rPr>
          <w:rFonts w:ascii="VIC" w:hAnsi="VIC"/>
        </w:rPr>
        <w:t>Dr Ruth De Souza</w:t>
      </w:r>
      <w:r>
        <w:rPr>
          <w:rFonts w:ascii="VIC" w:hAnsi="VIC"/>
        </w:rPr>
        <w:t xml:space="preserve">, </w:t>
      </w:r>
      <w:r w:rsidRPr="00D51265">
        <w:rPr>
          <w:rFonts w:ascii="VIC" w:hAnsi="VIC"/>
        </w:rPr>
        <w:t>Academic Convenor of The Data, Systems and Society Research Network (DSSRN) and Honorary Senior Research Fellow in Clinical Informatics and Population Health Informatics at the University of Melbourne</w:t>
      </w:r>
      <w:r>
        <w:rPr>
          <w:rFonts w:ascii="VIC" w:hAnsi="VIC"/>
        </w:rPr>
        <w:t>.</w:t>
      </w:r>
    </w:p>
    <w:p w14:paraId="02A5C303" w14:textId="77777777" w:rsidR="00D51265" w:rsidRPr="00661B49" w:rsidRDefault="00D51265" w:rsidP="00D51265">
      <w:pPr>
        <w:pStyle w:val="Bullet1"/>
        <w:rPr>
          <w:rFonts w:ascii="VIC" w:hAnsi="VIC"/>
        </w:rPr>
      </w:pPr>
      <w:r w:rsidRPr="00D51265">
        <w:rPr>
          <w:rFonts w:ascii="VIC" w:hAnsi="VIC"/>
        </w:rPr>
        <w:t>Dr Phillip O’Meara</w:t>
      </w:r>
      <w:r>
        <w:rPr>
          <w:rFonts w:ascii="VIC" w:hAnsi="VIC"/>
        </w:rPr>
        <w:t xml:space="preserve">, </w:t>
      </w:r>
      <w:r w:rsidRPr="00D51265">
        <w:rPr>
          <w:rFonts w:ascii="VIC" w:hAnsi="VIC"/>
        </w:rPr>
        <w:t>Director, Diversity an</w:t>
      </w:r>
      <w:r>
        <w:rPr>
          <w:rFonts w:ascii="VIC" w:hAnsi="VIC"/>
        </w:rPr>
        <w:t>d Community Participation,</w:t>
      </w:r>
      <w:r w:rsidRPr="00D51265">
        <w:rPr>
          <w:rFonts w:ascii="VIC" w:hAnsi="VIC"/>
        </w:rPr>
        <w:t xml:space="preserve"> Department of Health and Human Services</w:t>
      </w:r>
      <w:r>
        <w:rPr>
          <w:rFonts w:ascii="VIC" w:hAnsi="VIC"/>
        </w:rPr>
        <w:t>.</w:t>
      </w:r>
    </w:p>
    <w:p w14:paraId="5F0B695F" w14:textId="0FB18DC8" w:rsidR="00EE59A0" w:rsidRDefault="003F0703" w:rsidP="003F0703">
      <w:pPr>
        <w:spacing w:line="276" w:lineRule="auto"/>
        <w:rPr>
          <w:rFonts w:ascii="VIC" w:hAnsi="VIC" w:cstheme="minorHAnsi"/>
          <w:szCs w:val="22"/>
        </w:rPr>
      </w:pPr>
      <w:r w:rsidRPr="00661B49">
        <w:rPr>
          <w:rFonts w:ascii="VIC" w:hAnsi="VIC" w:cstheme="minorHAnsi"/>
          <w:szCs w:val="22"/>
        </w:rPr>
        <w:t>Council members</w:t>
      </w:r>
      <w:r w:rsidR="00E6385E">
        <w:rPr>
          <w:rFonts w:ascii="VIC" w:hAnsi="VIC" w:cstheme="minorHAnsi"/>
          <w:szCs w:val="22"/>
        </w:rPr>
        <w:t xml:space="preserve"> took part</w:t>
      </w:r>
      <w:r w:rsidRPr="00661B49">
        <w:rPr>
          <w:rFonts w:ascii="VIC" w:hAnsi="VIC" w:cstheme="minorHAnsi"/>
          <w:szCs w:val="22"/>
        </w:rPr>
        <w:t xml:space="preserve"> in two workshops</w:t>
      </w:r>
      <w:r w:rsidR="00EE59A0">
        <w:rPr>
          <w:rFonts w:ascii="VIC" w:hAnsi="VIC" w:cstheme="minorHAnsi"/>
          <w:szCs w:val="22"/>
        </w:rPr>
        <w:t>, facilitated by consumer members</w:t>
      </w:r>
      <w:r w:rsidR="00A176BD">
        <w:rPr>
          <w:rFonts w:ascii="VIC" w:hAnsi="VIC" w:cstheme="minorHAnsi"/>
          <w:szCs w:val="22"/>
        </w:rPr>
        <w:t>.</w:t>
      </w:r>
      <w:r w:rsidR="000C2A12">
        <w:rPr>
          <w:rFonts w:ascii="VIC" w:hAnsi="VIC" w:cstheme="minorHAnsi"/>
          <w:szCs w:val="22"/>
        </w:rPr>
        <w:t xml:space="preserve"> </w:t>
      </w:r>
    </w:p>
    <w:p w14:paraId="2665EEB1" w14:textId="3AA21110" w:rsidR="000C2A12" w:rsidRDefault="00940925" w:rsidP="003F0703">
      <w:pPr>
        <w:spacing w:line="276" w:lineRule="auto"/>
        <w:rPr>
          <w:rFonts w:ascii="VIC" w:hAnsi="VIC" w:cstheme="minorHAnsi"/>
          <w:szCs w:val="22"/>
        </w:rPr>
      </w:pPr>
      <w:r>
        <w:rPr>
          <w:rFonts w:ascii="VIC" w:hAnsi="VIC" w:cstheme="minorHAnsi"/>
          <w:szCs w:val="22"/>
        </w:rPr>
        <w:t>T</w:t>
      </w:r>
      <w:r w:rsidR="000C2A12">
        <w:rPr>
          <w:rFonts w:ascii="VIC" w:hAnsi="VIC" w:cstheme="minorHAnsi"/>
          <w:szCs w:val="22"/>
        </w:rPr>
        <w:t>he</w:t>
      </w:r>
      <w:r w:rsidR="00EB1228">
        <w:rPr>
          <w:rFonts w:ascii="VIC" w:hAnsi="VIC" w:cstheme="minorHAnsi"/>
          <w:szCs w:val="22"/>
        </w:rPr>
        <w:t xml:space="preserve"> first workshop</w:t>
      </w:r>
      <w:r>
        <w:rPr>
          <w:rFonts w:ascii="VIC" w:hAnsi="VIC" w:cstheme="minorHAnsi"/>
          <w:szCs w:val="22"/>
        </w:rPr>
        <w:t xml:space="preserve"> reflected</w:t>
      </w:r>
      <w:r w:rsidR="00A176BD">
        <w:rPr>
          <w:rFonts w:ascii="VIC" w:hAnsi="VIC" w:cstheme="minorHAnsi"/>
          <w:szCs w:val="22"/>
        </w:rPr>
        <w:t xml:space="preserve"> on</w:t>
      </w:r>
      <w:r w:rsidR="00EB1228">
        <w:rPr>
          <w:rFonts w:ascii="VIC" w:hAnsi="VIC" w:cstheme="minorHAnsi"/>
          <w:szCs w:val="22"/>
        </w:rPr>
        <w:t xml:space="preserve"> unconscious bias</w:t>
      </w:r>
      <w:r w:rsidR="00A176BD">
        <w:rPr>
          <w:rFonts w:ascii="VIC" w:hAnsi="VIC" w:cstheme="minorHAnsi"/>
          <w:szCs w:val="22"/>
        </w:rPr>
        <w:t xml:space="preserve"> in healthcare and </w:t>
      </w:r>
      <w:r w:rsidR="000C2A12">
        <w:rPr>
          <w:rFonts w:ascii="VIC" w:hAnsi="VIC" w:cstheme="minorHAnsi"/>
          <w:szCs w:val="22"/>
        </w:rPr>
        <w:t>embed</w:t>
      </w:r>
      <w:r w:rsidR="00A176BD">
        <w:rPr>
          <w:rFonts w:ascii="VIC" w:hAnsi="VIC" w:cstheme="minorHAnsi"/>
          <w:szCs w:val="22"/>
        </w:rPr>
        <w:t>ding</w:t>
      </w:r>
      <w:r w:rsidR="000C2A12">
        <w:rPr>
          <w:rFonts w:ascii="VIC" w:hAnsi="VIC" w:cstheme="minorHAnsi"/>
          <w:szCs w:val="22"/>
        </w:rPr>
        <w:t xml:space="preserve"> diversity in</w:t>
      </w:r>
      <w:r w:rsidR="00EE59A0">
        <w:rPr>
          <w:rFonts w:ascii="VIC" w:hAnsi="VIC" w:cstheme="minorHAnsi"/>
          <w:szCs w:val="22"/>
        </w:rPr>
        <w:t xml:space="preserve"> healthcare</w:t>
      </w:r>
      <w:r w:rsidR="000C2A12">
        <w:rPr>
          <w:rFonts w:ascii="VIC" w:hAnsi="VIC" w:cstheme="minorHAnsi"/>
          <w:szCs w:val="22"/>
        </w:rPr>
        <w:t xml:space="preserve"> service design. </w:t>
      </w:r>
      <w:r>
        <w:rPr>
          <w:rFonts w:ascii="VIC" w:hAnsi="VIC" w:cstheme="minorHAnsi"/>
          <w:szCs w:val="22"/>
        </w:rPr>
        <w:t>Members were</w:t>
      </w:r>
      <w:r w:rsidRPr="00490FCB">
        <w:t xml:space="preserve"> </w:t>
      </w:r>
      <w:r w:rsidRPr="00490FCB">
        <w:rPr>
          <w:rFonts w:ascii="VIC" w:hAnsi="VIC" w:cstheme="minorHAnsi"/>
          <w:szCs w:val="22"/>
        </w:rPr>
        <w:t>challenge</w:t>
      </w:r>
      <w:r>
        <w:rPr>
          <w:rFonts w:ascii="VIC" w:hAnsi="VIC" w:cstheme="minorHAnsi"/>
          <w:szCs w:val="22"/>
        </w:rPr>
        <w:t>d to think about their</w:t>
      </w:r>
      <w:r w:rsidRPr="00490FCB">
        <w:rPr>
          <w:rFonts w:ascii="VIC" w:hAnsi="VIC" w:cstheme="minorHAnsi"/>
          <w:szCs w:val="22"/>
        </w:rPr>
        <w:t xml:space="preserve"> own experience</w:t>
      </w:r>
      <w:r>
        <w:rPr>
          <w:rFonts w:ascii="VIC" w:hAnsi="VIC" w:cstheme="minorHAnsi"/>
          <w:szCs w:val="22"/>
        </w:rPr>
        <w:t>s</w:t>
      </w:r>
      <w:r w:rsidRPr="00490FCB">
        <w:rPr>
          <w:rFonts w:ascii="VIC" w:hAnsi="VIC" w:cstheme="minorHAnsi"/>
          <w:szCs w:val="22"/>
        </w:rPr>
        <w:t xml:space="preserve"> </w:t>
      </w:r>
      <w:r>
        <w:rPr>
          <w:rFonts w:ascii="VIC" w:hAnsi="VIC" w:cstheme="minorHAnsi"/>
          <w:szCs w:val="22"/>
        </w:rPr>
        <w:t>and recognise how this influences</w:t>
      </w:r>
      <w:r w:rsidRPr="00490FCB">
        <w:rPr>
          <w:rFonts w:ascii="VIC" w:hAnsi="VIC" w:cstheme="minorHAnsi"/>
          <w:szCs w:val="22"/>
        </w:rPr>
        <w:t xml:space="preserve"> </w:t>
      </w:r>
      <w:r>
        <w:rPr>
          <w:rFonts w:ascii="VIC" w:hAnsi="VIC" w:cstheme="minorHAnsi"/>
          <w:szCs w:val="22"/>
        </w:rPr>
        <w:t>the</w:t>
      </w:r>
      <w:r w:rsidRPr="00490FCB">
        <w:rPr>
          <w:rFonts w:ascii="VIC" w:hAnsi="VIC" w:cstheme="minorHAnsi"/>
          <w:szCs w:val="22"/>
        </w:rPr>
        <w:t xml:space="preserve"> </w:t>
      </w:r>
      <w:r>
        <w:rPr>
          <w:rFonts w:ascii="VIC" w:hAnsi="VIC" w:cstheme="minorHAnsi"/>
          <w:szCs w:val="22"/>
        </w:rPr>
        <w:t xml:space="preserve">council’s </w:t>
      </w:r>
      <w:r w:rsidRPr="00490FCB">
        <w:rPr>
          <w:rFonts w:ascii="VIC" w:hAnsi="VIC" w:cstheme="minorHAnsi"/>
          <w:szCs w:val="22"/>
        </w:rPr>
        <w:t>discussion</w:t>
      </w:r>
      <w:r>
        <w:rPr>
          <w:rFonts w:ascii="VIC" w:hAnsi="VIC" w:cstheme="minorHAnsi"/>
          <w:szCs w:val="22"/>
        </w:rPr>
        <w:t xml:space="preserve"> and their own</w:t>
      </w:r>
      <w:r w:rsidRPr="00490FCB">
        <w:rPr>
          <w:rFonts w:ascii="VIC" w:hAnsi="VIC" w:cstheme="minorHAnsi"/>
          <w:szCs w:val="22"/>
        </w:rPr>
        <w:t xml:space="preserve"> day to day practice</w:t>
      </w:r>
      <w:r>
        <w:rPr>
          <w:rFonts w:ascii="VIC" w:hAnsi="VIC" w:cstheme="minorHAnsi"/>
          <w:szCs w:val="22"/>
        </w:rPr>
        <w:t>.</w:t>
      </w:r>
    </w:p>
    <w:p w14:paraId="2C36F540" w14:textId="6A246966" w:rsidR="004648E8" w:rsidRDefault="00EE59A0" w:rsidP="003F0703">
      <w:pPr>
        <w:spacing w:line="276" w:lineRule="auto"/>
        <w:rPr>
          <w:rFonts w:ascii="VIC" w:hAnsi="VIC" w:cstheme="minorHAnsi"/>
          <w:szCs w:val="22"/>
        </w:rPr>
      </w:pPr>
      <w:r>
        <w:rPr>
          <w:rFonts w:ascii="VIC" w:hAnsi="VIC" w:cstheme="minorHAnsi"/>
          <w:szCs w:val="22"/>
        </w:rPr>
        <w:t>T</w:t>
      </w:r>
      <w:r w:rsidR="000C2A12">
        <w:rPr>
          <w:rFonts w:ascii="VIC" w:hAnsi="VIC" w:cstheme="minorHAnsi"/>
          <w:szCs w:val="22"/>
        </w:rPr>
        <w:t>he second workshop</w:t>
      </w:r>
      <w:r>
        <w:rPr>
          <w:rFonts w:ascii="VIC" w:hAnsi="VIC" w:cstheme="minorHAnsi"/>
          <w:szCs w:val="22"/>
        </w:rPr>
        <w:t xml:space="preserve"> discuss</w:t>
      </w:r>
      <w:r w:rsidR="00A176BD">
        <w:rPr>
          <w:rFonts w:ascii="VIC" w:hAnsi="VIC" w:cstheme="minorHAnsi"/>
          <w:szCs w:val="22"/>
        </w:rPr>
        <w:t xml:space="preserve">ed </w:t>
      </w:r>
      <w:r w:rsidR="00EB1228">
        <w:rPr>
          <w:rFonts w:ascii="VIC" w:hAnsi="VIC" w:cstheme="minorHAnsi"/>
          <w:szCs w:val="22"/>
        </w:rPr>
        <w:t>intersectionality</w:t>
      </w:r>
      <w:r w:rsidR="005E67B4">
        <w:rPr>
          <w:rFonts w:ascii="VIC" w:hAnsi="VIC" w:cstheme="minorHAnsi"/>
          <w:szCs w:val="22"/>
        </w:rPr>
        <w:t>,</w:t>
      </w:r>
      <w:r>
        <w:rPr>
          <w:rFonts w:ascii="VIC" w:hAnsi="VIC" w:cstheme="minorHAnsi"/>
          <w:szCs w:val="22"/>
        </w:rPr>
        <w:t xml:space="preserve"> designing the health system to address </w:t>
      </w:r>
      <w:r w:rsidR="00117A68">
        <w:rPr>
          <w:rFonts w:ascii="VIC" w:hAnsi="VIC" w:cstheme="minorHAnsi"/>
          <w:szCs w:val="22"/>
        </w:rPr>
        <w:t>diversity within diversity</w:t>
      </w:r>
      <w:r w:rsidR="00256640">
        <w:rPr>
          <w:rFonts w:ascii="VIC" w:hAnsi="VIC" w:cstheme="minorHAnsi"/>
          <w:szCs w:val="22"/>
        </w:rPr>
        <w:t>,</w:t>
      </w:r>
      <w:r w:rsidR="00EB1228">
        <w:rPr>
          <w:rFonts w:ascii="VIC" w:hAnsi="VIC" w:cstheme="minorHAnsi"/>
          <w:szCs w:val="22"/>
        </w:rPr>
        <w:t xml:space="preserve"> and</w:t>
      </w:r>
      <w:r w:rsidR="00214BB4">
        <w:rPr>
          <w:rFonts w:ascii="VIC" w:hAnsi="VIC" w:cstheme="minorHAnsi"/>
          <w:szCs w:val="22"/>
        </w:rPr>
        <w:t xml:space="preserve"> </w:t>
      </w:r>
      <w:r w:rsidR="000C2A12">
        <w:rPr>
          <w:rFonts w:ascii="VIC" w:hAnsi="VIC" w:cstheme="minorHAnsi"/>
          <w:szCs w:val="22"/>
        </w:rPr>
        <w:t>recommendations</w:t>
      </w:r>
      <w:r w:rsidR="00EB1228">
        <w:rPr>
          <w:rFonts w:ascii="VIC" w:hAnsi="VIC" w:cstheme="minorHAnsi"/>
          <w:szCs w:val="22"/>
        </w:rPr>
        <w:t xml:space="preserve"> </w:t>
      </w:r>
      <w:r w:rsidR="00214BB4">
        <w:rPr>
          <w:rFonts w:ascii="VIC" w:hAnsi="VIC" w:cstheme="minorHAnsi"/>
          <w:szCs w:val="22"/>
        </w:rPr>
        <w:t xml:space="preserve">on </w:t>
      </w:r>
      <w:r w:rsidR="00EB1228">
        <w:rPr>
          <w:rFonts w:ascii="VIC" w:hAnsi="VIC" w:cstheme="minorHAnsi"/>
          <w:szCs w:val="22"/>
        </w:rPr>
        <w:t xml:space="preserve">how the healthcare </w:t>
      </w:r>
      <w:r w:rsidR="00215CD0">
        <w:rPr>
          <w:rFonts w:ascii="VIC" w:hAnsi="VIC" w:cstheme="minorHAnsi"/>
          <w:szCs w:val="22"/>
        </w:rPr>
        <w:t>sector c</w:t>
      </w:r>
      <w:r w:rsidR="00A176BD">
        <w:rPr>
          <w:rFonts w:ascii="VIC" w:hAnsi="VIC" w:cstheme="minorHAnsi"/>
          <w:szCs w:val="22"/>
        </w:rPr>
        <w:t xml:space="preserve">an </w:t>
      </w:r>
      <w:r w:rsidR="00215CD0">
        <w:rPr>
          <w:rFonts w:ascii="VIC" w:hAnsi="VIC" w:cstheme="minorHAnsi"/>
          <w:szCs w:val="22"/>
        </w:rPr>
        <w:t>provide safe, responsive and inclusive services for everyone</w:t>
      </w:r>
      <w:r w:rsidR="00214BB4">
        <w:rPr>
          <w:rFonts w:ascii="VIC" w:hAnsi="VIC" w:cstheme="minorHAnsi"/>
          <w:szCs w:val="22"/>
        </w:rPr>
        <w:t>.</w:t>
      </w:r>
      <w:r w:rsidR="003F0703" w:rsidRPr="00661B49">
        <w:rPr>
          <w:rFonts w:ascii="VIC" w:hAnsi="VIC" w:cstheme="minorHAnsi"/>
          <w:szCs w:val="22"/>
        </w:rPr>
        <w:t xml:space="preserve"> </w:t>
      </w:r>
    </w:p>
    <w:p w14:paraId="57FC2F91" w14:textId="77777777" w:rsidR="0034109C" w:rsidRDefault="0034109C" w:rsidP="004C5D0D">
      <w:pPr>
        <w:rPr>
          <w:rFonts w:ascii="VIC" w:hAnsi="VIC" w:cstheme="minorHAnsi"/>
          <w:szCs w:val="22"/>
        </w:rPr>
        <w:sectPr w:rsidR="0034109C" w:rsidSect="0034109C">
          <w:type w:val="continuous"/>
          <w:pgSz w:w="11906" w:h="16838" w:code="9"/>
          <w:pgMar w:top="2127" w:right="1021" w:bottom="1021" w:left="1021" w:header="539" w:footer="624" w:gutter="0"/>
          <w:cols w:num="2" w:space="284"/>
          <w:titlePg/>
          <w:docGrid w:linePitch="360"/>
        </w:sectPr>
      </w:pPr>
    </w:p>
    <w:p w14:paraId="536B63B4" w14:textId="7789F7CB" w:rsidR="00B833BA" w:rsidRPr="00F777E1" w:rsidRDefault="004648E8" w:rsidP="00D16E6E">
      <w:pPr>
        <w:rPr>
          <w:rFonts w:ascii="VIC SemiBold" w:hAnsi="VIC SemiBold" w:cstheme="minorHAnsi"/>
          <w:b/>
          <w:caps/>
          <w:color w:val="004EA8"/>
          <w:szCs w:val="26"/>
        </w:rPr>
      </w:pPr>
      <w:r>
        <w:rPr>
          <w:rFonts w:ascii="VIC" w:hAnsi="VIC" w:cstheme="minorHAnsi"/>
          <w:szCs w:val="22"/>
        </w:rPr>
        <w:br w:type="page"/>
      </w:r>
      <w:r w:rsidR="00B833BA" w:rsidRPr="00F777E1">
        <w:rPr>
          <w:rFonts w:ascii="VIC SemiBold" w:hAnsi="VIC SemiBold" w:cstheme="minorHAnsi"/>
          <w:caps/>
          <w:color w:val="004EA8"/>
          <w:szCs w:val="26"/>
        </w:rPr>
        <w:lastRenderedPageBreak/>
        <w:t xml:space="preserve">recommendations on </w:t>
      </w:r>
      <w:r w:rsidR="009265E2">
        <w:rPr>
          <w:rFonts w:ascii="VIC SemiBold" w:hAnsi="VIC SemiBold" w:cstheme="minorHAnsi"/>
          <w:caps/>
          <w:color w:val="004EA8"/>
          <w:szCs w:val="26"/>
        </w:rPr>
        <w:t>Diversity and cultual safety</w:t>
      </w:r>
    </w:p>
    <w:p w14:paraId="7AE6B849" w14:textId="3F6573CC" w:rsidR="004648E8" w:rsidRDefault="00F610AA">
      <w:pPr>
        <w:rPr>
          <w:rFonts w:ascii="VIC" w:eastAsiaTheme="majorEastAsia" w:hAnsi="VIC" w:cstheme="minorHAnsi"/>
          <w:b/>
          <w:bCs/>
          <w:color w:val="000000" w:themeColor="text1"/>
          <w:sz w:val="24"/>
          <w:szCs w:val="22"/>
        </w:rPr>
      </w:pPr>
      <w:r w:rsidRPr="00CA4E7D">
        <w:rPr>
          <w:rFonts w:ascii="VIC" w:hAnsi="VIC"/>
          <w:noProof/>
        </w:rPr>
        <mc:AlternateContent>
          <mc:Choice Requires="wps">
            <w:drawing>
              <wp:inline distT="0" distB="0" distL="0" distR="0" wp14:anchorId="0B188B5A" wp14:editId="47A6A368">
                <wp:extent cx="6263640" cy="4598670"/>
                <wp:effectExtent l="0" t="0" r="22860" b="1143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59867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373E" w14:textId="77777777" w:rsidR="00F610AA" w:rsidRPr="003E491B" w:rsidRDefault="00F610AA" w:rsidP="00F610AA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  <w:sz w:val="28"/>
                              </w:rPr>
                            </w:pPr>
                            <w:r w:rsidRPr="003E491B">
                              <w:rPr>
                                <w:rFonts w:ascii="VIC SemiBold" w:hAnsi="VIC SemiBold"/>
                                <w:b w:val="0"/>
                                <w:sz w:val="28"/>
                              </w:rPr>
                              <w:t>Council recommendations overview</w:t>
                            </w:r>
                          </w:p>
                          <w:p w14:paraId="54938F3B" w14:textId="0BEAEDEA" w:rsidR="003E491B" w:rsidRDefault="003E491B" w:rsidP="0047198C">
                            <w:pPr>
                              <w:pStyle w:val="Heading3"/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</w:pPr>
                            <w:r w:rsidRPr="0047198C"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  <w:t>Governance</w:t>
                            </w:r>
                          </w:p>
                          <w:p w14:paraId="4EB5D6E4" w14:textId="07553B39" w:rsidR="00435CDB" w:rsidRPr="00435CDB" w:rsidRDefault="00435CDB" w:rsidP="00435CDB">
                            <w:pPr>
                              <w:pStyle w:val="Normalfollowinghead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VIC" w:hAnsi="VIC"/>
                              </w:rPr>
                            </w:pPr>
                            <w:r w:rsidRPr="00435CDB">
                              <w:rPr>
                                <w:rFonts w:ascii="VIC" w:hAnsi="VIC"/>
                              </w:rPr>
                              <w:t>Governing bodies within the health sector provide leadership to ensure their organisation creates culturally safe environments for diverse communities.</w:t>
                            </w:r>
                          </w:p>
                          <w:p w14:paraId="749260D2" w14:textId="75BD8E5B" w:rsidR="003E491B" w:rsidRDefault="003E491B" w:rsidP="0047198C">
                            <w:pPr>
                              <w:pStyle w:val="Heading3"/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</w:pPr>
                            <w:r w:rsidRPr="0047198C"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  <w:t>Defining goals and outcomes</w:t>
                            </w:r>
                          </w:p>
                          <w:p w14:paraId="040B2DE0" w14:textId="137FF1D3" w:rsidR="00435CDB" w:rsidRPr="00435CDB" w:rsidRDefault="00435CDB" w:rsidP="00435CDB">
                            <w:pPr>
                              <w:pStyle w:val="Normalfollowingheading"/>
                              <w:numPr>
                                <w:ilvl w:val="0"/>
                                <w:numId w:val="35"/>
                              </w:numPr>
                            </w:pPr>
                            <w:r w:rsidRPr="009F577A">
                              <w:rPr>
                                <w:rFonts w:ascii="VIC" w:hAnsi="VIC"/>
                              </w:rPr>
                              <w:t>Health services</w:t>
                            </w:r>
                            <w:r>
                              <w:rPr>
                                <w:rFonts w:ascii="VIC" w:hAnsi="VIC"/>
                              </w:rPr>
                              <w:t xml:space="preserve"> better</w:t>
                            </w:r>
                            <w:r w:rsidRPr="009F577A">
                              <w:rPr>
                                <w:rFonts w:ascii="VIC" w:hAnsi="VIC"/>
                              </w:rPr>
                              <w:t xml:space="preserve"> understand the diversity of the people they serve </w:t>
                            </w:r>
                            <w:r>
                              <w:rPr>
                                <w:rFonts w:ascii="VIC" w:hAnsi="VIC"/>
                              </w:rPr>
                              <w:t>to support high quality service deliver</w:t>
                            </w:r>
                            <w:r w:rsidR="00FA4AB4">
                              <w:rPr>
                                <w:rFonts w:ascii="VIC" w:hAnsi="VIC"/>
                              </w:rPr>
                              <w:t>y</w:t>
                            </w:r>
                            <w:r w:rsidRPr="009F577A">
                              <w:rPr>
                                <w:rFonts w:ascii="VIC" w:hAnsi="VIC"/>
                              </w:rPr>
                              <w:t>.</w:t>
                            </w:r>
                          </w:p>
                          <w:p w14:paraId="58415804" w14:textId="72958FEC" w:rsidR="003E491B" w:rsidRDefault="003E491B" w:rsidP="0047198C">
                            <w:pPr>
                              <w:pStyle w:val="Heading3"/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</w:pPr>
                            <w:bookmarkStart w:id="1" w:name="_Hlk532805269"/>
                            <w:r w:rsidRPr="0047198C"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  <w:t>Workforce development</w:t>
                            </w:r>
                          </w:p>
                          <w:p w14:paraId="6EBF53DB" w14:textId="3D00F3F7" w:rsidR="00435CDB" w:rsidRPr="00435CDB" w:rsidRDefault="00435CDB" w:rsidP="00435CDB">
                            <w:pPr>
                              <w:pStyle w:val="Normalfollowingheading"/>
                              <w:numPr>
                                <w:ilvl w:val="0"/>
                                <w:numId w:val="35"/>
                              </w:numPr>
                            </w:pPr>
                            <w:r w:rsidRPr="000B6D64">
                              <w:rPr>
                                <w:rFonts w:ascii="VIC" w:hAnsi="VIC"/>
                              </w:rPr>
                              <w:t xml:space="preserve">All staff in the health sector </w:t>
                            </w:r>
                            <w:r>
                              <w:rPr>
                                <w:rFonts w:ascii="VIC" w:hAnsi="VIC"/>
                              </w:rPr>
                              <w:t>develop competency</w:t>
                            </w:r>
                            <w:r w:rsidRPr="000B6D64">
                              <w:rPr>
                                <w:rFonts w:ascii="VIC" w:hAnsi="VIC"/>
                              </w:rPr>
                              <w:t xml:space="preserve"> </w:t>
                            </w:r>
                            <w:r>
                              <w:rPr>
                                <w:rFonts w:ascii="VIC" w:hAnsi="VIC"/>
                              </w:rPr>
                              <w:t>regarding</w:t>
                            </w:r>
                            <w:r w:rsidRPr="000B6D64">
                              <w:rPr>
                                <w:rFonts w:ascii="VIC" w:hAnsi="VIC"/>
                              </w:rPr>
                              <w:t xml:space="preserve"> diversity</w:t>
                            </w:r>
                            <w:r>
                              <w:rPr>
                                <w:rFonts w:ascii="VIC" w:hAnsi="VIC"/>
                              </w:rPr>
                              <w:t>, intersectionality</w:t>
                            </w:r>
                            <w:r w:rsidRPr="000B6D64">
                              <w:rPr>
                                <w:rFonts w:ascii="VIC" w:hAnsi="VIC"/>
                              </w:rPr>
                              <w:t xml:space="preserve"> and cultural safety</w:t>
                            </w:r>
                            <w:r>
                              <w:rPr>
                                <w:rFonts w:ascii="VIC" w:hAnsi="VIC"/>
                              </w:rPr>
                              <w:t>,</w:t>
                            </w:r>
                            <w:r w:rsidRPr="000B6D64">
                              <w:rPr>
                                <w:rFonts w:ascii="VIC" w:hAnsi="VIC"/>
                              </w:rPr>
                              <w:t xml:space="preserve"> and have the skills to respond to the varying needs of diverse populations.</w:t>
                            </w:r>
                          </w:p>
                          <w:p w14:paraId="55D7D7E9" w14:textId="7A40E4A3" w:rsidR="003E491B" w:rsidRPr="0047198C" w:rsidRDefault="003E491B" w:rsidP="0047198C">
                            <w:pPr>
                              <w:pStyle w:val="Heading3"/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</w:pPr>
                            <w:bookmarkStart w:id="2" w:name="_Hlk532805314"/>
                            <w:bookmarkEnd w:id="1"/>
                            <w:r w:rsidRPr="0047198C">
                              <w:rPr>
                                <w:rFonts w:ascii="VIC SemiBold" w:hAnsi="VIC SemiBold"/>
                                <w:b w:val="0"/>
                                <w:color w:val="004EA8"/>
                              </w:rPr>
                              <w:t>Consumer participation and co-design</w:t>
                            </w:r>
                          </w:p>
                          <w:bookmarkEnd w:id="2"/>
                          <w:p w14:paraId="5D8D274E" w14:textId="22E8D1D0" w:rsidR="00F610AA" w:rsidRPr="00435CDB" w:rsidRDefault="00435CDB" w:rsidP="00435CDB">
                            <w:pPr>
                              <w:pStyle w:val="PulloutHeading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rPr>
                                <w:rFonts w:ascii="VIC" w:hAnsi="VIC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435CDB">
                              <w:rPr>
                                <w:rFonts w:ascii="VIC" w:hAnsi="VIC"/>
                                <w:b w:val="0"/>
                                <w:color w:val="auto"/>
                                <w:sz w:val="20"/>
                              </w:rPr>
                              <w:t>Consumer participation and co-design are used to create culturally safe environments within the health sector.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88B5A" id="Text Box 2" o:spid="_x0000_s1027" type="#_x0000_t202" style="width:493.2pt;height:3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" fillcolor="#edf5f7" strokecolor="#edf5f7" strokeweight=".5pt">
                <v:textbox style="mso-fit-shape-to-text:t" inset="5mm,5mm,4mm,1mm">
                  <w:txbxContent>
                    <w:p w14:paraId="6D8D373E" w14:textId="77777777" w:rsidR="00F610AA" w:rsidRPr="003E491B" w:rsidRDefault="00F610AA" w:rsidP="00F610AA">
                      <w:pPr>
                        <w:pStyle w:val="PulloutHeading"/>
                        <w:rPr>
                          <w:rFonts w:ascii="VIC SemiBold" w:hAnsi="VIC SemiBold"/>
                          <w:b w:val="0"/>
                          <w:sz w:val="28"/>
                        </w:rPr>
                      </w:pPr>
                      <w:r w:rsidRPr="003E491B">
                        <w:rPr>
                          <w:rFonts w:ascii="VIC SemiBold" w:hAnsi="VIC SemiBold"/>
                          <w:b w:val="0"/>
                          <w:sz w:val="28"/>
                        </w:rPr>
                        <w:t>Council recommendations overview</w:t>
                      </w:r>
                    </w:p>
                    <w:p w14:paraId="54938F3B" w14:textId="0BEAEDEA" w:rsidR="003E491B" w:rsidRDefault="003E491B" w:rsidP="0047198C">
                      <w:pPr>
                        <w:pStyle w:val="Heading3"/>
                        <w:rPr>
                          <w:rFonts w:ascii="VIC SemiBold" w:hAnsi="VIC SemiBold"/>
                          <w:b w:val="0"/>
                          <w:color w:val="004EA8"/>
                        </w:rPr>
                      </w:pPr>
                      <w:r w:rsidRPr="0047198C">
                        <w:rPr>
                          <w:rFonts w:ascii="VIC SemiBold" w:hAnsi="VIC SemiBold"/>
                          <w:b w:val="0"/>
                          <w:color w:val="004EA8"/>
                        </w:rPr>
                        <w:t>Governance</w:t>
                      </w:r>
                    </w:p>
                    <w:p w14:paraId="4EB5D6E4" w14:textId="07553B39" w:rsidR="00435CDB" w:rsidRPr="00435CDB" w:rsidRDefault="00435CDB" w:rsidP="00435CDB">
                      <w:pPr>
                        <w:pStyle w:val="Normalfollowingheading"/>
                        <w:numPr>
                          <w:ilvl w:val="0"/>
                          <w:numId w:val="35"/>
                        </w:numPr>
                        <w:rPr>
                          <w:rFonts w:ascii="VIC" w:hAnsi="VIC"/>
                        </w:rPr>
                      </w:pPr>
                      <w:r w:rsidRPr="00435CDB">
                        <w:rPr>
                          <w:rFonts w:ascii="VIC" w:hAnsi="VIC"/>
                        </w:rPr>
                        <w:t>Governing bodies within the health sector provide leadership to ensure their organisation creates culturally safe environments for diverse communities.</w:t>
                      </w:r>
                    </w:p>
                    <w:p w14:paraId="749260D2" w14:textId="75BD8E5B" w:rsidR="003E491B" w:rsidRDefault="003E491B" w:rsidP="0047198C">
                      <w:pPr>
                        <w:pStyle w:val="Heading3"/>
                        <w:rPr>
                          <w:rFonts w:ascii="VIC SemiBold" w:hAnsi="VIC SemiBold"/>
                          <w:b w:val="0"/>
                          <w:color w:val="004EA8"/>
                        </w:rPr>
                      </w:pPr>
                      <w:r w:rsidRPr="0047198C">
                        <w:rPr>
                          <w:rFonts w:ascii="VIC SemiBold" w:hAnsi="VIC SemiBold"/>
                          <w:b w:val="0"/>
                          <w:color w:val="004EA8"/>
                        </w:rPr>
                        <w:t>Defining goals and outcomes</w:t>
                      </w:r>
                    </w:p>
                    <w:p w14:paraId="040B2DE0" w14:textId="137FF1D3" w:rsidR="00435CDB" w:rsidRPr="00435CDB" w:rsidRDefault="00435CDB" w:rsidP="00435CDB">
                      <w:pPr>
                        <w:pStyle w:val="Normalfollowingheading"/>
                        <w:numPr>
                          <w:ilvl w:val="0"/>
                          <w:numId w:val="35"/>
                        </w:numPr>
                      </w:pPr>
                      <w:r w:rsidRPr="009F577A">
                        <w:rPr>
                          <w:rFonts w:ascii="VIC" w:hAnsi="VIC"/>
                        </w:rPr>
                        <w:t>Health services</w:t>
                      </w:r>
                      <w:r>
                        <w:rPr>
                          <w:rFonts w:ascii="VIC" w:hAnsi="VIC"/>
                        </w:rPr>
                        <w:t xml:space="preserve"> better</w:t>
                      </w:r>
                      <w:r w:rsidRPr="009F577A">
                        <w:rPr>
                          <w:rFonts w:ascii="VIC" w:hAnsi="VIC"/>
                        </w:rPr>
                        <w:t xml:space="preserve"> understand the diversity of the people they serve </w:t>
                      </w:r>
                      <w:r>
                        <w:rPr>
                          <w:rFonts w:ascii="VIC" w:hAnsi="VIC"/>
                        </w:rPr>
                        <w:t>to support high quality service deliver</w:t>
                      </w:r>
                      <w:r w:rsidR="00FA4AB4">
                        <w:rPr>
                          <w:rFonts w:ascii="VIC" w:hAnsi="VIC"/>
                        </w:rPr>
                        <w:t>y</w:t>
                      </w:r>
                      <w:r w:rsidRPr="009F577A">
                        <w:rPr>
                          <w:rFonts w:ascii="VIC" w:hAnsi="VIC"/>
                        </w:rPr>
                        <w:t>.</w:t>
                      </w:r>
                    </w:p>
                    <w:p w14:paraId="58415804" w14:textId="72958FEC" w:rsidR="003E491B" w:rsidRDefault="003E491B" w:rsidP="0047198C">
                      <w:pPr>
                        <w:pStyle w:val="Heading3"/>
                        <w:rPr>
                          <w:rFonts w:ascii="VIC SemiBold" w:hAnsi="VIC SemiBold"/>
                          <w:b w:val="0"/>
                          <w:color w:val="004EA8"/>
                        </w:rPr>
                      </w:pPr>
                      <w:bookmarkStart w:id="3" w:name="_Hlk532805269"/>
                      <w:r w:rsidRPr="0047198C">
                        <w:rPr>
                          <w:rFonts w:ascii="VIC SemiBold" w:hAnsi="VIC SemiBold"/>
                          <w:b w:val="0"/>
                          <w:color w:val="004EA8"/>
                        </w:rPr>
                        <w:t>Workforce development</w:t>
                      </w:r>
                    </w:p>
                    <w:p w14:paraId="6EBF53DB" w14:textId="3D00F3F7" w:rsidR="00435CDB" w:rsidRPr="00435CDB" w:rsidRDefault="00435CDB" w:rsidP="00435CDB">
                      <w:pPr>
                        <w:pStyle w:val="Normalfollowingheading"/>
                        <w:numPr>
                          <w:ilvl w:val="0"/>
                          <w:numId w:val="35"/>
                        </w:numPr>
                      </w:pPr>
                      <w:r w:rsidRPr="000B6D64">
                        <w:rPr>
                          <w:rFonts w:ascii="VIC" w:hAnsi="VIC"/>
                        </w:rPr>
                        <w:t xml:space="preserve">All staff in the health sector </w:t>
                      </w:r>
                      <w:r>
                        <w:rPr>
                          <w:rFonts w:ascii="VIC" w:hAnsi="VIC"/>
                        </w:rPr>
                        <w:t>develop competency</w:t>
                      </w:r>
                      <w:r w:rsidRPr="000B6D64">
                        <w:rPr>
                          <w:rFonts w:ascii="VIC" w:hAnsi="VIC"/>
                        </w:rPr>
                        <w:t xml:space="preserve"> </w:t>
                      </w:r>
                      <w:r>
                        <w:rPr>
                          <w:rFonts w:ascii="VIC" w:hAnsi="VIC"/>
                        </w:rPr>
                        <w:t>regarding</w:t>
                      </w:r>
                      <w:r w:rsidRPr="000B6D64">
                        <w:rPr>
                          <w:rFonts w:ascii="VIC" w:hAnsi="VIC"/>
                        </w:rPr>
                        <w:t xml:space="preserve"> diversity</w:t>
                      </w:r>
                      <w:r>
                        <w:rPr>
                          <w:rFonts w:ascii="VIC" w:hAnsi="VIC"/>
                        </w:rPr>
                        <w:t>, intersectionality</w:t>
                      </w:r>
                      <w:r w:rsidRPr="000B6D64">
                        <w:rPr>
                          <w:rFonts w:ascii="VIC" w:hAnsi="VIC"/>
                        </w:rPr>
                        <w:t xml:space="preserve"> and cultural safety</w:t>
                      </w:r>
                      <w:r>
                        <w:rPr>
                          <w:rFonts w:ascii="VIC" w:hAnsi="VIC"/>
                        </w:rPr>
                        <w:t>,</w:t>
                      </w:r>
                      <w:r w:rsidRPr="000B6D64">
                        <w:rPr>
                          <w:rFonts w:ascii="VIC" w:hAnsi="VIC"/>
                        </w:rPr>
                        <w:t xml:space="preserve"> and have the skills to respond to the varying needs of diverse populations.</w:t>
                      </w:r>
                    </w:p>
                    <w:p w14:paraId="55D7D7E9" w14:textId="7A40E4A3" w:rsidR="003E491B" w:rsidRPr="0047198C" w:rsidRDefault="003E491B" w:rsidP="0047198C">
                      <w:pPr>
                        <w:pStyle w:val="Heading3"/>
                        <w:rPr>
                          <w:rFonts w:ascii="VIC SemiBold" w:hAnsi="VIC SemiBold"/>
                          <w:b w:val="0"/>
                          <w:color w:val="004EA8"/>
                        </w:rPr>
                      </w:pPr>
                      <w:bookmarkStart w:id="4" w:name="_Hlk532805314"/>
                      <w:bookmarkEnd w:id="3"/>
                      <w:r w:rsidRPr="0047198C">
                        <w:rPr>
                          <w:rFonts w:ascii="VIC SemiBold" w:hAnsi="VIC SemiBold"/>
                          <w:b w:val="0"/>
                          <w:color w:val="004EA8"/>
                        </w:rPr>
                        <w:t>Consumer participation and co-design</w:t>
                      </w:r>
                    </w:p>
                    <w:bookmarkEnd w:id="4"/>
                    <w:p w14:paraId="5D8D274E" w14:textId="22E8D1D0" w:rsidR="00F610AA" w:rsidRPr="00435CDB" w:rsidRDefault="00435CDB" w:rsidP="00435CDB">
                      <w:pPr>
                        <w:pStyle w:val="PulloutHeading"/>
                        <w:numPr>
                          <w:ilvl w:val="0"/>
                          <w:numId w:val="35"/>
                        </w:numPr>
                        <w:spacing w:line="240" w:lineRule="auto"/>
                        <w:rPr>
                          <w:rFonts w:ascii="VIC" w:hAnsi="VIC"/>
                          <w:b w:val="0"/>
                          <w:color w:val="auto"/>
                          <w:sz w:val="20"/>
                        </w:rPr>
                      </w:pPr>
                      <w:r w:rsidRPr="00435CDB">
                        <w:rPr>
                          <w:rFonts w:ascii="VIC" w:hAnsi="VIC"/>
                          <w:b w:val="0"/>
                          <w:color w:val="auto"/>
                          <w:sz w:val="20"/>
                        </w:rPr>
                        <w:t>Consumer participation and co-design are used to create culturally safe environments within the health sector.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81C53" w14:textId="77777777" w:rsidR="00B1612B" w:rsidRDefault="00B1612B">
      <w:pPr>
        <w:rPr>
          <w:rFonts w:ascii="VIC" w:eastAsiaTheme="majorEastAsia" w:hAnsi="VIC" w:cstheme="minorHAnsi"/>
          <w:b/>
          <w:bCs/>
          <w:color w:val="000000" w:themeColor="text1"/>
          <w:sz w:val="24"/>
          <w:szCs w:val="22"/>
        </w:rPr>
      </w:pPr>
    </w:p>
    <w:p w14:paraId="1D39D67E" w14:textId="5915011C" w:rsidR="008226E1" w:rsidRPr="00021116" w:rsidRDefault="008226E1" w:rsidP="00021116">
      <w:pPr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</w:pPr>
      <w:r w:rsidRPr="00021116"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  <w:t>Governance</w:t>
      </w:r>
    </w:p>
    <w:p w14:paraId="5E4F9497" w14:textId="01052022" w:rsidR="00374176" w:rsidRPr="00434CC3" w:rsidRDefault="00374176" w:rsidP="00367A1F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 w:rsidRPr="00434CC3">
        <w:rPr>
          <w:rStyle w:val="eop"/>
          <w:rFonts w:ascii="VIC" w:hAnsi="VIC" w:cs="Segoe UI"/>
          <w:sz w:val="20"/>
          <w:szCs w:val="20"/>
        </w:rPr>
        <w:t xml:space="preserve">The council acknowledges the power imbalance and </w:t>
      </w:r>
      <w:r w:rsidR="00117A68" w:rsidRPr="00434CC3">
        <w:rPr>
          <w:rStyle w:val="eop"/>
          <w:rFonts w:ascii="VIC" w:hAnsi="VIC" w:cs="Segoe UI"/>
          <w:sz w:val="20"/>
          <w:szCs w:val="20"/>
        </w:rPr>
        <w:t xml:space="preserve">the </w:t>
      </w:r>
      <w:r w:rsidRPr="00434CC3">
        <w:rPr>
          <w:rStyle w:val="eop"/>
          <w:rFonts w:ascii="VIC" w:hAnsi="VIC" w:cs="Segoe UI"/>
          <w:sz w:val="20"/>
          <w:szCs w:val="20"/>
        </w:rPr>
        <w:t>privilege</w:t>
      </w:r>
      <w:r w:rsidR="00117A68" w:rsidRPr="00434CC3">
        <w:rPr>
          <w:rStyle w:val="eop"/>
          <w:rFonts w:ascii="VIC" w:hAnsi="VIC" w:cs="Segoe UI"/>
          <w:sz w:val="20"/>
          <w:szCs w:val="20"/>
        </w:rPr>
        <w:t>d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 position of those who govern in</w:t>
      </w:r>
      <w:r w:rsidR="00117A68" w:rsidRPr="00434CC3">
        <w:rPr>
          <w:rStyle w:val="eop"/>
          <w:rFonts w:ascii="VIC" w:hAnsi="VIC" w:cs="Segoe UI"/>
          <w:sz w:val="20"/>
          <w:szCs w:val="20"/>
        </w:rPr>
        <w:t xml:space="preserve"> the health</w:t>
      </w:r>
      <w:r w:rsidRPr="00434CC3">
        <w:rPr>
          <w:rStyle w:val="eop"/>
          <w:rFonts w:ascii="VIC" w:hAnsi="VIC" w:cs="Segoe UI"/>
          <w:sz w:val="20"/>
          <w:szCs w:val="20"/>
        </w:rPr>
        <w:t>care</w:t>
      </w:r>
      <w:r w:rsidR="00117A68" w:rsidRPr="00434CC3">
        <w:rPr>
          <w:rStyle w:val="eop"/>
          <w:rFonts w:ascii="VIC" w:hAnsi="VIC" w:cs="Segoe UI"/>
          <w:sz w:val="20"/>
          <w:szCs w:val="20"/>
        </w:rPr>
        <w:t xml:space="preserve"> sector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. </w:t>
      </w:r>
      <w:r w:rsidR="008226E1" w:rsidRPr="00434CC3">
        <w:rPr>
          <w:rStyle w:val="eop"/>
          <w:rFonts w:ascii="VIC" w:hAnsi="VIC" w:cs="Segoe UI"/>
          <w:sz w:val="20"/>
          <w:szCs w:val="20"/>
        </w:rPr>
        <w:t>Health service b</w:t>
      </w:r>
      <w:r w:rsidRPr="00434CC3">
        <w:rPr>
          <w:rStyle w:val="eop"/>
          <w:rFonts w:ascii="VIC" w:hAnsi="VIC" w:cs="Segoe UI"/>
          <w:sz w:val="20"/>
          <w:szCs w:val="20"/>
        </w:rPr>
        <w:t>oards should reflect on their own unconscious bias and how this may influence</w:t>
      </w:r>
      <w:r w:rsidR="00117A68" w:rsidRPr="00434CC3">
        <w:rPr>
          <w:rStyle w:val="eop"/>
          <w:rFonts w:ascii="VIC" w:hAnsi="VIC" w:cs="Segoe UI"/>
          <w:sz w:val="20"/>
          <w:szCs w:val="20"/>
        </w:rPr>
        <w:t xml:space="preserve"> their decision making and</w:t>
      </w:r>
      <w:r w:rsidR="0047198C">
        <w:rPr>
          <w:rStyle w:val="eop"/>
          <w:rFonts w:ascii="VIC" w:hAnsi="VIC" w:cs="Segoe UI"/>
          <w:sz w:val="20"/>
          <w:szCs w:val="20"/>
        </w:rPr>
        <w:t xml:space="preserve"> their</w:t>
      </w:r>
      <w:r w:rsidR="00CD409B">
        <w:rPr>
          <w:rStyle w:val="eop"/>
          <w:rFonts w:ascii="VIC" w:hAnsi="VIC" w:cs="Segoe UI"/>
          <w:sz w:val="20"/>
          <w:szCs w:val="20"/>
        </w:rPr>
        <w:t xml:space="preserve"> local</w:t>
      </w:r>
      <w:r w:rsidR="0047198C">
        <w:rPr>
          <w:rStyle w:val="eop"/>
          <w:rFonts w:ascii="VIC" w:hAnsi="VIC" w:cs="Segoe UI"/>
          <w:sz w:val="20"/>
          <w:szCs w:val="20"/>
        </w:rPr>
        <w:t xml:space="preserve"> communities</w:t>
      </w:r>
      <w:r w:rsidRPr="00434CC3">
        <w:rPr>
          <w:rStyle w:val="eop"/>
          <w:rFonts w:ascii="VIC" w:hAnsi="VIC" w:cs="Segoe UI"/>
          <w:sz w:val="20"/>
          <w:szCs w:val="20"/>
        </w:rPr>
        <w:t>.</w:t>
      </w:r>
    </w:p>
    <w:p w14:paraId="264778C1" w14:textId="6D94E4EF" w:rsidR="00145EF2" w:rsidRDefault="00367A1F" w:rsidP="00367A1F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>
        <w:rPr>
          <w:rStyle w:val="eop"/>
          <w:rFonts w:ascii="VIC" w:hAnsi="VIC" w:cs="Segoe UI"/>
          <w:sz w:val="20"/>
          <w:szCs w:val="20"/>
        </w:rPr>
        <w:t xml:space="preserve">The tone of organisational culture is set by those in leadership positions. </w:t>
      </w:r>
      <w:r w:rsidR="00B51E64" w:rsidRPr="00434CC3">
        <w:rPr>
          <w:rStyle w:val="eop"/>
          <w:rFonts w:ascii="VIC" w:hAnsi="VIC" w:cs="Segoe UI"/>
          <w:sz w:val="20"/>
          <w:szCs w:val="20"/>
        </w:rPr>
        <w:t>A top down approach is required within health services to lead positive organisational</w:t>
      </w:r>
      <w:r w:rsidR="00CC1450" w:rsidRPr="00434CC3">
        <w:rPr>
          <w:rStyle w:val="eop"/>
          <w:rFonts w:ascii="VIC" w:hAnsi="VIC" w:cs="Segoe UI"/>
          <w:sz w:val="20"/>
          <w:szCs w:val="20"/>
        </w:rPr>
        <w:t xml:space="preserve"> culture</w:t>
      </w:r>
      <w:r>
        <w:rPr>
          <w:rStyle w:val="eop"/>
          <w:rFonts w:ascii="VIC" w:hAnsi="VIC" w:cs="Segoe UI"/>
          <w:sz w:val="20"/>
          <w:szCs w:val="20"/>
        </w:rPr>
        <w:t xml:space="preserve"> change</w:t>
      </w:r>
      <w:r w:rsidR="00B51E64" w:rsidRPr="00434CC3">
        <w:rPr>
          <w:rStyle w:val="eop"/>
          <w:rFonts w:ascii="VIC" w:hAnsi="VIC" w:cs="Segoe UI"/>
          <w:sz w:val="20"/>
          <w:szCs w:val="20"/>
        </w:rPr>
        <w:t xml:space="preserve">. Leadership and </w:t>
      </w:r>
      <w:r w:rsidR="00CC1450" w:rsidRPr="00434CC3">
        <w:rPr>
          <w:rStyle w:val="eop"/>
          <w:rFonts w:ascii="VIC" w:hAnsi="VIC" w:cs="Segoe UI"/>
          <w:sz w:val="20"/>
          <w:szCs w:val="20"/>
        </w:rPr>
        <w:t>accountability</w:t>
      </w:r>
      <w:r w:rsidR="00117A68" w:rsidRPr="00434CC3">
        <w:rPr>
          <w:rStyle w:val="eop"/>
          <w:rFonts w:ascii="VIC" w:hAnsi="VIC" w:cs="Segoe UI"/>
          <w:sz w:val="20"/>
          <w:szCs w:val="20"/>
        </w:rPr>
        <w:t xml:space="preserve"> related to health outcomes f</w:t>
      </w:r>
      <w:r w:rsidR="00B51E64" w:rsidRPr="00434CC3">
        <w:rPr>
          <w:rStyle w:val="eop"/>
          <w:rFonts w:ascii="VIC" w:hAnsi="VIC" w:cs="Segoe UI"/>
          <w:sz w:val="20"/>
          <w:szCs w:val="20"/>
        </w:rPr>
        <w:t>o</w:t>
      </w:r>
      <w:r w:rsidR="00117A68" w:rsidRPr="00434CC3">
        <w:rPr>
          <w:rStyle w:val="eop"/>
          <w:rFonts w:ascii="VIC" w:hAnsi="VIC" w:cs="Segoe UI"/>
          <w:sz w:val="20"/>
          <w:szCs w:val="20"/>
        </w:rPr>
        <w:t>r</w:t>
      </w:r>
      <w:r w:rsidR="008B781D">
        <w:rPr>
          <w:rStyle w:val="eop"/>
          <w:rFonts w:ascii="VIC" w:hAnsi="VIC" w:cs="Segoe UI"/>
          <w:sz w:val="20"/>
          <w:szCs w:val="20"/>
        </w:rPr>
        <w:t xml:space="preserve"> diverse </w:t>
      </w:r>
      <w:r w:rsidR="00C70890">
        <w:rPr>
          <w:rStyle w:val="eop"/>
          <w:rFonts w:ascii="VIC" w:hAnsi="VIC" w:cs="Segoe UI"/>
          <w:sz w:val="20"/>
          <w:szCs w:val="20"/>
        </w:rPr>
        <w:t>communities</w:t>
      </w:r>
      <w:r w:rsidR="008B781D">
        <w:rPr>
          <w:rStyle w:val="eop"/>
          <w:rFonts w:ascii="VIC" w:hAnsi="VIC" w:cs="Segoe UI"/>
          <w:sz w:val="20"/>
          <w:szCs w:val="20"/>
        </w:rPr>
        <w:t xml:space="preserve"> are</w:t>
      </w:r>
      <w:r w:rsidR="00B51E64" w:rsidRPr="00434CC3">
        <w:rPr>
          <w:rStyle w:val="eop"/>
          <w:rFonts w:ascii="VIC" w:hAnsi="VIC" w:cs="Segoe UI"/>
          <w:sz w:val="20"/>
          <w:szCs w:val="20"/>
        </w:rPr>
        <w:t xml:space="preserve"> req</w:t>
      </w:r>
      <w:r w:rsidR="00214BB4" w:rsidRPr="00434CC3">
        <w:rPr>
          <w:rStyle w:val="eop"/>
          <w:rFonts w:ascii="VIC" w:hAnsi="VIC" w:cs="Segoe UI"/>
          <w:sz w:val="20"/>
          <w:szCs w:val="20"/>
        </w:rPr>
        <w:t>uired to stimulate</w:t>
      </w:r>
      <w:r w:rsidR="00B51E64" w:rsidRPr="00434CC3">
        <w:rPr>
          <w:rStyle w:val="eop"/>
          <w:rFonts w:ascii="VIC" w:hAnsi="VIC" w:cs="Segoe UI"/>
          <w:sz w:val="20"/>
          <w:szCs w:val="20"/>
        </w:rPr>
        <w:t xml:space="preserve"> change. </w:t>
      </w:r>
    </w:p>
    <w:p w14:paraId="187FCD8E" w14:textId="55E0D701" w:rsidR="00145EF2" w:rsidRDefault="00256640" w:rsidP="00367A1F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>
        <w:rPr>
          <w:rStyle w:val="eop"/>
          <w:rFonts w:ascii="VIC" w:hAnsi="VIC" w:cs="Segoe UI"/>
          <w:sz w:val="20"/>
          <w:szCs w:val="20"/>
        </w:rPr>
        <w:t>Access to data</w:t>
      </w:r>
      <w:r w:rsidR="00215CD0">
        <w:rPr>
          <w:rStyle w:val="eop"/>
          <w:rFonts w:ascii="VIC" w:hAnsi="VIC" w:cs="Segoe UI"/>
          <w:sz w:val="20"/>
          <w:szCs w:val="20"/>
        </w:rPr>
        <w:t xml:space="preserve"> will enable</w:t>
      </w:r>
      <w:r w:rsidR="00F705C3">
        <w:rPr>
          <w:rStyle w:val="eop"/>
          <w:rFonts w:ascii="VIC" w:hAnsi="VIC" w:cs="Segoe UI"/>
          <w:sz w:val="20"/>
          <w:szCs w:val="20"/>
        </w:rPr>
        <w:t xml:space="preserve"> </w:t>
      </w:r>
      <w:r w:rsidR="00215CD0">
        <w:rPr>
          <w:rStyle w:val="eop"/>
          <w:rFonts w:ascii="VIC" w:hAnsi="VIC" w:cs="Segoe UI"/>
          <w:sz w:val="20"/>
          <w:szCs w:val="20"/>
        </w:rPr>
        <w:t xml:space="preserve">health service boards to lead change </w:t>
      </w:r>
      <w:r w:rsidR="00D211D2">
        <w:rPr>
          <w:rStyle w:val="eop"/>
          <w:rFonts w:ascii="VIC" w:hAnsi="VIC" w:cs="Segoe UI"/>
          <w:sz w:val="20"/>
          <w:szCs w:val="20"/>
        </w:rPr>
        <w:t>by highlighting inequalities that exist in</w:t>
      </w:r>
      <w:r w:rsidR="00FC20B4" w:rsidRPr="00434CC3">
        <w:rPr>
          <w:rStyle w:val="eop"/>
          <w:rFonts w:ascii="VIC" w:hAnsi="VIC" w:cs="Segoe UI"/>
          <w:sz w:val="20"/>
          <w:szCs w:val="20"/>
        </w:rPr>
        <w:t xml:space="preserve"> the</w:t>
      </w:r>
      <w:r w:rsidR="009F011A">
        <w:rPr>
          <w:rStyle w:val="eop"/>
          <w:rFonts w:ascii="VIC" w:hAnsi="VIC" w:cs="Segoe UI"/>
          <w:sz w:val="20"/>
          <w:szCs w:val="20"/>
        </w:rPr>
        <w:t xml:space="preserve"> </w:t>
      </w:r>
      <w:r w:rsidR="00FC20B4" w:rsidRPr="00434CC3">
        <w:rPr>
          <w:rStyle w:val="eop"/>
          <w:rFonts w:ascii="VIC" w:hAnsi="VIC" w:cs="Segoe UI"/>
          <w:sz w:val="20"/>
          <w:szCs w:val="20"/>
        </w:rPr>
        <w:t xml:space="preserve">populations </w:t>
      </w:r>
      <w:r w:rsidR="00215CD0">
        <w:rPr>
          <w:rStyle w:val="eop"/>
          <w:rFonts w:ascii="VIC" w:hAnsi="VIC" w:cs="Segoe UI"/>
          <w:sz w:val="20"/>
          <w:szCs w:val="20"/>
        </w:rPr>
        <w:t>they serve</w:t>
      </w:r>
      <w:r w:rsidR="003074E1" w:rsidRPr="00434CC3">
        <w:rPr>
          <w:rStyle w:val="eop"/>
          <w:rFonts w:ascii="VIC" w:hAnsi="VIC" w:cs="Segoe UI"/>
          <w:sz w:val="20"/>
          <w:szCs w:val="20"/>
        </w:rPr>
        <w:t>.</w:t>
      </w:r>
      <w:r w:rsidR="00145EF2">
        <w:rPr>
          <w:rStyle w:val="eop"/>
          <w:rFonts w:ascii="VIC" w:hAnsi="VIC" w:cs="Segoe UI"/>
          <w:sz w:val="20"/>
          <w:szCs w:val="20"/>
        </w:rPr>
        <w:t xml:space="preserve"> A</w:t>
      </w:r>
      <w:r w:rsidR="00215CD0">
        <w:rPr>
          <w:rStyle w:val="eop"/>
          <w:rFonts w:ascii="VIC" w:hAnsi="VIC" w:cs="Segoe UI"/>
          <w:sz w:val="20"/>
          <w:szCs w:val="20"/>
        </w:rPr>
        <w:t xml:space="preserve">vailability of data will lead </w:t>
      </w:r>
      <w:r w:rsidR="00D211D2">
        <w:rPr>
          <w:rStyle w:val="eop"/>
          <w:rFonts w:ascii="VIC" w:hAnsi="VIC" w:cs="Segoe UI"/>
          <w:sz w:val="20"/>
          <w:szCs w:val="20"/>
        </w:rPr>
        <w:t xml:space="preserve">to </w:t>
      </w:r>
      <w:r w:rsidR="00145EF2">
        <w:rPr>
          <w:rStyle w:val="eop"/>
          <w:rFonts w:ascii="VIC" w:hAnsi="VIC" w:cs="Segoe UI"/>
          <w:sz w:val="20"/>
          <w:szCs w:val="20"/>
        </w:rPr>
        <w:t>the d</w:t>
      </w:r>
      <w:r w:rsidR="00145EF2" w:rsidRPr="00145EF2">
        <w:rPr>
          <w:rStyle w:val="eop"/>
          <w:rFonts w:ascii="VIC" w:hAnsi="VIC" w:cs="Segoe UI"/>
          <w:sz w:val="20"/>
          <w:szCs w:val="20"/>
        </w:rPr>
        <w:t>ev</w:t>
      </w:r>
      <w:r w:rsidR="00D211D2">
        <w:rPr>
          <w:rStyle w:val="eop"/>
          <w:rFonts w:ascii="VIC" w:hAnsi="VIC" w:cs="Segoe UI"/>
          <w:sz w:val="20"/>
          <w:szCs w:val="20"/>
        </w:rPr>
        <w:t>elopment of measures that target diverse populations to drive improvement in health outcomes</w:t>
      </w:r>
      <w:r w:rsidR="004C1E25">
        <w:rPr>
          <w:rStyle w:val="eop"/>
          <w:rFonts w:ascii="VIC" w:hAnsi="VIC" w:cs="Segoe UI"/>
          <w:sz w:val="20"/>
          <w:szCs w:val="20"/>
        </w:rPr>
        <w:t xml:space="preserve"> (refer to recommendation 2)</w:t>
      </w:r>
      <w:r w:rsidR="00145EF2">
        <w:rPr>
          <w:rStyle w:val="eop"/>
          <w:rFonts w:ascii="VIC" w:hAnsi="VIC" w:cs="Segoe UI"/>
          <w:sz w:val="20"/>
          <w:szCs w:val="20"/>
        </w:rPr>
        <w:t>.</w:t>
      </w:r>
    </w:p>
    <w:p w14:paraId="02C4F36C" w14:textId="77777777" w:rsidR="00435CDB" w:rsidRDefault="00435CDB" w:rsidP="00435CDB">
      <w:pPr>
        <w:pStyle w:val="Heading2"/>
        <w:rPr>
          <w:rStyle w:val="eop"/>
          <w:rFonts w:ascii="VIC" w:hAnsi="VIC" w:cs="Segoe UI"/>
          <w:sz w:val="20"/>
          <w:szCs w:val="20"/>
        </w:rPr>
      </w:pPr>
      <w:bookmarkStart w:id="5" w:name="_Hlk4577258"/>
      <w:r>
        <w:rPr>
          <w:rStyle w:val="eop"/>
          <w:rFonts w:ascii="VIC" w:hAnsi="VIC" w:cs="Segoe UI"/>
          <w:sz w:val="20"/>
          <w:szCs w:val="20"/>
        </w:rPr>
        <w:t>Recommendation</w:t>
      </w:r>
      <w:bookmarkEnd w:id="5"/>
    </w:p>
    <w:p w14:paraId="33BD5DD1" w14:textId="4D68DB26" w:rsidR="00435CDB" w:rsidRPr="00435CDB" w:rsidRDefault="00435CDB" w:rsidP="00435CDB">
      <w:pPr>
        <w:pStyle w:val="Normalfollowingheading"/>
        <w:numPr>
          <w:ilvl w:val="0"/>
          <w:numId w:val="35"/>
        </w:numPr>
        <w:rPr>
          <w:rStyle w:val="eop"/>
          <w:rFonts w:ascii="VIC" w:hAnsi="VIC"/>
        </w:rPr>
      </w:pPr>
      <w:r w:rsidRPr="00435CDB">
        <w:rPr>
          <w:rFonts w:ascii="VIC" w:hAnsi="VIC"/>
        </w:rPr>
        <w:t>Governing bodies within the health sector provide leadership to ensure their organisation creates culturally safe environments for diverse communities.</w:t>
      </w:r>
    </w:p>
    <w:p w14:paraId="0F615553" w14:textId="1B497611" w:rsidR="005E67B4" w:rsidRPr="00C15ADD" w:rsidRDefault="00F610AA" w:rsidP="00955C7E">
      <w:pPr>
        <w:rPr>
          <w:rFonts w:ascii="VIC" w:eastAsia="Times New Roman" w:hAnsi="VIC" w:cstheme="minorHAnsi"/>
          <w:sz w:val="22"/>
          <w:szCs w:val="22"/>
        </w:rPr>
      </w:pPr>
      <w:r w:rsidRPr="00CA4E7D">
        <w:rPr>
          <w:rFonts w:ascii="VIC" w:hAnsi="VIC"/>
          <w:noProof/>
        </w:rPr>
        <w:lastRenderedPageBreak/>
        <mc:AlternateContent>
          <mc:Choice Requires="wps">
            <w:drawing>
              <wp:inline distT="0" distB="0" distL="0" distR="0" wp14:anchorId="5ED7B0F5" wp14:editId="13ACA197">
                <wp:extent cx="6263640" cy="1309370"/>
                <wp:effectExtent l="0" t="0" r="22860" b="241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0937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78E2C" w14:textId="6A0038F0" w:rsidR="00F610AA" w:rsidRPr="00F777E1" w:rsidRDefault="00653D22" w:rsidP="00F610AA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t>Intended outcomes</w:t>
                            </w:r>
                          </w:p>
                          <w:p w14:paraId="10F302C7" w14:textId="448F1988" w:rsidR="00435CDB" w:rsidRPr="00435CDB" w:rsidRDefault="00435CDB" w:rsidP="00435CDB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spacing w:after="120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Increas</w:t>
                            </w:r>
                            <w:r w:rsidR="004C1E2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ed</w:t>
                            </w: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 divers</w:t>
                            </w:r>
                            <w:r w:rsidR="004C1E2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ity of</w:t>
                            </w: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 health service boards and executives that better reflect the communities they serve.</w:t>
                            </w:r>
                          </w:p>
                          <w:p w14:paraId="55BE58F2" w14:textId="77777777" w:rsidR="00435CDB" w:rsidRPr="00435CDB" w:rsidRDefault="00435CDB" w:rsidP="00435CDB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spacing w:after="120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Boards are held to account for reducing health inequality in the diverse populations they serve. </w:t>
                            </w:r>
                          </w:p>
                          <w:p w14:paraId="02670ECA" w14:textId="77777777" w:rsidR="00435CDB" w:rsidRPr="00435CDB" w:rsidRDefault="00435CDB" w:rsidP="00435CDB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spacing w:after="120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Recruitment practices across the sector include cultural competency as a selection criterion.</w:t>
                            </w:r>
                          </w:p>
                          <w:p w14:paraId="05B79918" w14:textId="0DDD9A4D" w:rsidR="002B34C0" w:rsidRPr="00435CDB" w:rsidRDefault="00435CDB" w:rsidP="00435CDB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spacing w:after="120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The Victorian Clinical Council</w:t>
                            </w:r>
                            <w:r w:rsidR="00256640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 membership</w:t>
                            </w:r>
                            <w:r w:rsidRPr="00435CDB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 has increased diversity.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7B0F5" id="_x0000_s1028" type="#_x0000_t202" style="width:493.2pt;height:10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" fillcolor="#edf5f7" strokecolor="#edf5f7" strokeweight=".5pt">
                <v:textbox style="mso-fit-shape-to-text:t" inset="5mm,5mm,4mm,1mm">
                  <w:txbxContent>
                    <w:p w14:paraId="5A578E2C" w14:textId="6A0038F0" w:rsidR="00F610AA" w:rsidRPr="00F777E1" w:rsidRDefault="00653D22" w:rsidP="00F610AA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>
                        <w:rPr>
                          <w:rFonts w:ascii="VIC SemiBold" w:hAnsi="VIC SemiBold"/>
                          <w:b w:val="0"/>
                        </w:rPr>
                        <w:t>Intended outcomes</w:t>
                      </w:r>
                    </w:p>
                    <w:p w14:paraId="10F302C7" w14:textId="448F1988" w:rsidR="00435CDB" w:rsidRPr="00435CDB" w:rsidRDefault="00435CDB" w:rsidP="00435CDB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spacing w:after="120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>Increas</w:t>
                      </w:r>
                      <w:r w:rsidR="004C1E25">
                        <w:rPr>
                          <w:rFonts w:ascii="VIC" w:hAnsi="VIC"/>
                          <w:color w:val="004EA8"/>
                          <w:szCs w:val="22"/>
                        </w:rPr>
                        <w:t>ed</w:t>
                      </w: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 divers</w:t>
                      </w:r>
                      <w:r w:rsidR="004C1E25">
                        <w:rPr>
                          <w:rFonts w:ascii="VIC" w:hAnsi="VIC"/>
                          <w:color w:val="004EA8"/>
                          <w:szCs w:val="22"/>
                        </w:rPr>
                        <w:t>ity of</w:t>
                      </w: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 health service boards and executives that better reflect the communities they serve.</w:t>
                      </w:r>
                    </w:p>
                    <w:p w14:paraId="55BE58F2" w14:textId="77777777" w:rsidR="00435CDB" w:rsidRPr="00435CDB" w:rsidRDefault="00435CDB" w:rsidP="00435CDB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spacing w:after="120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Boards are held to account for reducing health inequality in the diverse populations they serve. </w:t>
                      </w:r>
                    </w:p>
                    <w:p w14:paraId="02670ECA" w14:textId="77777777" w:rsidR="00435CDB" w:rsidRPr="00435CDB" w:rsidRDefault="00435CDB" w:rsidP="00435CDB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spacing w:after="120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>Recruitment practices across the sector include cultural competency as a selection criterion.</w:t>
                      </w:r>
                    </w:p>
                    <w:p w14:paraId="05B79918" w14:textId="0DDD9A4D" w:rsidR="002B34C0" w:rsidRPr="00435CDB" w:rsidRDefault="00435CDB" w:rsidP="00435CDB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spacing w:after="120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>The Victorian Clinical Council</w:t>
                      </w:r>
                      <w:r w:rsidR="00256640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 membership</w:t>
                      </w:r>
                      <w:r w:rsidRPr="00435CDB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 has increased diversity.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B7801" w14:textId="64A96D5B" w:rsidR="005627DE" w:rsidRPr="00021116" w:rsidRDefault="005627DE" w:rsidP="00021116">
      <w:pPr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</w:pPr>
      <w:r w:rsidRPr="00021116"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  <w:t>Defining goals and outcomes</w:t>
      </w:r>
    </w:p>
    <w:p w14:paraId="57D03F58" w14:textId="77777777" w:rsidR="003B5E64" w:rsidRDefault="00256640" w:rsidP="003B5E64">
      <w:pPr>
        <w:pStyle w:val="paragraph"/>
        <w:spacing w:after="0"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>
        <w:rPr>
          <w:rStyle w:val="eop"/>
          <w:rFonts w:ascii="VIC" w:hAnsi="VIC" w:cs="Segoe UI"/>
          <w:sz w:val="20"/>
          <w:szCs w:val="20"/>
        </w:rPr>
        <w:t>S</w:t>
      </w:r>
      <w:r w:rsidR="00CD4DBA" w:rsidRPr="00434CC3">
        <w:rPr>
          <w:rStyle w:val="eop"/>
          <w:rFonts w:ascii="VIC" w:hAnsi="VIC" w:cs="Segoe UI"/>
          <w:sz w:val="20"/>
          <w:szCs w:val="20"/>
        </w:rPr>
        <w:t>pecific outc</w:t>
      </w:r>
      <w:r w:rsidR="009F011A">
        <w:rPr>
          <w:rStyle w:val="eop"/>
          <w:rFonts w:ascii="VIC" w:hAnsi="VIC" w:cs="Segoe UI"/>
          <w:sz w:val="20"/>
          <w:szCs w:val="20"/>
        </w:rPr>
        <w:t xml:space="preserve">omes </w:t>
      </w:r>
      <w:r>
        <w:rPr>
          <w:rStyle w:val="eop"/>
          <w:rFonts w:ascii="VIC" w:hAnsi="VIC" w:cs="Segoe UI"/>
          <w:sz w:val="20"/>
          <w:szCs w:val="20"/>
        </w:rPr>
        <w:t>are</w:t>
      </w:r>
      <w:r w:rsidR="00CD4DBA" w:rsidRPr="00434CC3">
        <w:rPr>
          <w:rStyle w:val="eop"/>
          <w:rFonts w:ascii="VIC" w:hAnsi="VIC" w:cs="Segoe UI"/>
          <w:sz w:val="20"/>
          <w:szCs w:val="20"/>
        </w:rPr>
        <w:t xml:space="preserve"> required to</w:t>
      </w:r>
      <w:r>
        <w:rPr>
          <w:rStyle w:val="eop"/>
          <w:rFonts w:ascii="VIC" w:hAnsi="VIC" w:cs="Segoe UI"/>
          <w:sz w:val="20"/>
          <w:szCs w:val="20"/>
        </w:rPr>
        <w:t xml:space="preserve"> recognise </w:t>
      </w:r>
      <w:r w:rsidR="00676C22">
        <w:rPr>
          <w:rStyle w:val="eop"/>
          <w:rFonts w:ascii="VIC" w:hAnsi="VIC" w:cs="Segoe UI"/>
          <w:sz w:val="20"/>
          <w:szCs w:val="20"/>
        </w:rPr>
        <w:t>the</w:t>
      </w:r>
      <w:r w:rsidR="00CD4DBA" w:rsidRPr="00434CC3">
        <w:rPr>
          <w:rStyle w:val="eop"/>
          <w:rFonts w:ascii="VIC" w:hAnsi="VIC" w:cs="Segoe UI"/>
          <w:sz w:val="20"/>
          <w:szCs w:val="20"/>
        </w:rPr>
        <w:t xml:space="preserve"> needs </w:t>
      </w:r>
      <w:r w:rsidR="009F011A">
        <w:rPr>
          <w:rStyle w:val="eop"/>
          <w:rFonts w:ascii="VIC" w:hAnsi="VIC" w:cs="Segoe UI"/>
          <w:sz w:val="20"/>
          <w:szCs w:val="20"/>
        </w:rPr>
        <w:t xml:space="preserve">of </w:t>
      </w:r>
      <w:r w:rsidR="00676C22">
        <w:rPr>
          <w:rStyle w:val="eop"/>
          <w:rFonts w:ascii="VIC" w:hAnsi="VIC" w:cs="Segoe UI"/>
          <w:sz w:val="20"/>
          <w:szCs w:val="20"/>
        </w:rPr>
        <w:t xml:space="preserve">different </w:t>
      </w:r>
      <w:r w:rsidR="009F011A">
        <w:rPr>
          <w:rStyle w:val="eop"/>
          <w:rFonts w:ascii="VIC" w:hAnsi="VIC" w:cs="Segoe UI"/>
          <w:sz w:val="20"/>
          <w:szCs w:val="20"/>
        </w:rPr>
        <w:t xml:space="preserve">communities </w:t>
      </w:r>
      <w:r w:rsidR="00CD4DBA" w:rsidRPr="00434CC3">
        <w:rPr>
          <w:rStyle w:val="eop"/>
          <w:rFonts w:ascii="VIC" w:hAnsi="VIC" w:cs="Segoe UI"/>
          <w:sz w:val="20"/>
          <w:szCs w:val="20"/>
        </w:rPr>
        <w:t>when designing</w:t>
      </w:r>
      <w:r w:rsidR="00374176" w:rsidRPr="00434CC3">
        <w:rPr>
          <w:rStyle w:val="eop"/>
          <w:rFonts w:ascii="VIC" w:hAnsi="VIC" w:cs="Segoe UI"/>
          <w:sz w:val="20"/>
          <w:szCs w:val="20"/>
        </w:rPr>
        <w:t xml:space="preserve"> for</w:t>
      </w:r>
      <w:r w:rsidR="00CD4DBA" w:rsidRPr="00434CC3">
        <w:rPr>
          <w:rStyle w:val="eop"/>
          <w:rFonts w:ascii="VIC" w:hAnsi="VIC" w:cs="Segoe UI"/>
          <w:sz w:val="20"/>
          <w:szCs w:val="20"/>
        </w:rPr>
        <w:t xml:space="preserve"> change. </w:t>
      </w:r>
      <w:r w:rsidR="008226E1" w:rsidRPr="00434CC3">
        <w:rPr>
          <w:rStyle w:val="eop"/>
          <w:rFonts w:ascii="VIC" w:hAnsi="VIC" w:cs="Segoe UI"/>
          <w:sz w:val="20"/>
          <w:szCs w:val="20"/>
        </w:rPr>
        <w:t>Defini</w:t>
      </w:r>
      <w:r w:rsidR="004648E8" w:rsidRPr="00434CC3">
        <w:rPr>
          <w:rStyle w:val="eop"/>
          <w:rFonts w:ascii="VIC" w:hAnsi="VIC" w:cs="Segoe UI"/>
          <w:sz w:val="20"/>
          <w:szCs w:val="20"/>
        </w:rPr>
        <w:t xml:space="preserve">ng outcomes will </w:t>
      </w:r>
      <w:r w:rsidR="00676C22">
        <w:rPr>
          <w:rStyle w:val="eop"/>
          <w:rFonts w:ascii="VIC" w:hAnsi="VIC" w:cs="Segoe UI"/>
          <w:sz w:val="20"/>
          <w:szCs w:val="20"/>
        </w:rPr>
        <w:t>help to</w:t>
      </w:r>
      <w:r w:rsidR="004648E8" w:rsidRPr="00434CC3">
        <w:rPr>
          <w:rStyle w:val="eop"/>
          <w:rFonts w:ascii="VIC" w:hAnsi="VIC" w:cs="Segoe UI"/>
          <w:sz w:val="20"/>
          <w:szCs w:val="20"/>
        </w:rPr>
        <w:t xml:space="preserve"> </w:t>
      </w:r>
      <w:r w:rsidR="00E163D4">
        <w:rPr>
          <w:rStyle w:val="eop"/>
          <w:rFonts w:ascii="VIC" w:hAnsi="VIC" w:cs="Segoe UI"/>
          <w:sz w:val="20"/>
          <w:szCs w:val="20"/>
        </w:rPr>
        <w:t xml:space="preserve">measure how effective the </w:t>
      </w:r>
      <w:r w:rsidR="008226E1" w:rsidRPr="00434CC3">
        <w:rPr>
          <w:rStyle w:val="eop"/>
          <w:rFonts w:ascii="VIC" w:hAnsi="VIC" w:cs="Segoe UI"/>
          <w:sz w:val="20"/>
          <w:szCs w:val="20"/>
        </w:rPr>
        <w:t>changes</w:t>
      </w:r>
      <w:r w:rsidR="00E163D4">
        <w:rPr>
          <w:rStyle w:val="eop"/>
          <w:rFonts w:ascii="VIC" w:hAnsi="VIC" w:cs="Segoe UI"/>
          <w:sz w:val="20"/>
          <w:szCs w:val="20"/>
        </w:rPr>
        <w:t xml:space="preserve"> are in the long term</w:t>
      </w:r>
      <w:r w:rsidR="008226E1" w:rsidRPr="00434CC3">
        <w:rPr>
          <w:rStyle w:val="eop"/>
          <w:rFonts w:ascii="VIC" w:hAnsi="VIC" w:cs="Segoe UI"/>
          <w:sz w:val="20"/>
          <w:szCs w:val="20"/>
        </w:rPr>
        <w:t>.</w:t>
      </w:r>
      <w:r w:rsidR="003B5E64">
        <w:rPr>
          <w:rStyle w:val="eop"/>
          <w:rFonts w:ascii="VIC" w:hAnsi="VIC" w:cs="Segoe UI"/>
          <w:sz w:val="20"/>
          <w:szCs w:val="20"/>
        </w:rPr>
        <w:t xml:space="preserve"> </w:t>
      </w:r>
    </w:p>
    <w:p w14:paraId="45473728" w14:textId="4821E80E" w:rsidR="00CD67D5" w:rsidRPr="00434CC3" w:rsidRDefault="00CD4DBA" w:rsidP="003B5E64">
      <w:pPr>
        <w:pStyle w:val="paragraph"/>
        <w:spacing w:after="0"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 w:rsidRPr="00434CC3">
        <w:rPr>
          <w:rStyle w:val="eop"/>
          <w:rFonts w:ascii="VIC" w:hAnsi="VIC" w:cs="Segoe UI"/>
          <w:sz w:val="20"/>
          <w:szCs w:val="20"/>
        </w:rPr>
        <w:t>Th</w:t>
      </w:r>
      <w:r w:rsidR="00973350">
        <w:rPr>
          <w:rStyle w:val="eop"/>
          <w:rFonts w:ascii="VIC" w:hAnsi="VIC" w:cs="Segoe UI"/>
          <w:sz w:val="20"/>
          <w:szCs w:val="20"/>
        </w:rPr>
        <w:t>e council acknowledges the ne</w:t>
      </w:r>
      <w:r w:rsidR="00676C22">
        <w:rPr>
          <w:rStyle w:val="eop"/>
          <w:rFonts w:ascii="VIC" w:hAnsi="VIC" w:cs="Segoe UI"/>
          <w:sz w:val="20"/>
          <w:szCs w:val="20"/>
        </w:rPr>
        <w:t>ed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 for good da</w:t>
      </w:r>
      <w:r w:rsidR="00214BB4" w:rsidRPr="00434CC3">
        <w:rPr>
          <w:rStyle w:val="eop"/>
          <w:rFonts w:ascii="VIC" w:hAnsi="VIC" w:cs="Segoe UI"/>
          <w:sz w:val="20"/>
          <w:szCs w:val="20"/>
        </w:rPr>
        <w:t>ta to drive system level change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 that respond</w:t>
      </w:r>
      <w:r w:rsidR="00214BB4" w:rsidRPr="00434CC3">
        <w:rPr>
          <w:rStyle w:val="eop"/>
          <w:rFonts w:ascii="VIC" w:hAnsi="VIC" w:cs="Segoe UI"/>
          <w:sz w:val="20"/>
          <w:szCs w:val="20"/>
        </w:rPr>
        <w:t>s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 to</w:t>
      </w:r>
      <w:r w:rsidR="008226E1" w:rsidRPr="00434CC3">
        <w:rPr>
          <w:rStyle w:val="eop"/>
          <w:rFonts w:ascii="VIC" w:hAnsi="VIC" w:cs="Segoe UI"/>
          <w:sz w:val="20"/>
          <w:szCs w:val="20"/>
        </w:rPr>
        <w:t xml:space="preserve"> the</w:t>
      </w:r>
      <w:r w:rsidR="004648E8" w:rsidRPr="00434CC3">
        <w:rPr>
          <w:rStyle w:val="eop"/>
          <w:rFonts w:ascii="VIC" w:hAnsi="VIC" w:cs="Segoe UI"/>
          <w:sz w:val="20"/>
          <w:szCs w:val="20"/>
        </w:rPr>
        <w:t xml:space="preserve"> </w:t>
      </w:r>
      <w:r w:rsidR="008226E1" w:rsidRPr="00434CC3">
        <w:rPr>
          <w:rStyle w:val="eop"/>
          <w:rFonts w:ascii="VIC" w:hAnsi="VIC" w:cs="Segoe UI"/>
          <w:sz w:val="20"/>
          <w:szCs w:val="20"/>
        </w:rPr>
        <w:t>needs</w:t>
      </w:r>
      <w:r w:rsidR="004648E8" w:rsidRPr="00434CC3">
        <w:rPr>
          <w:rStyle w:val="eop"/>
          <w:rFonts w:ascii="VIC" w:hAnsi="VIC" w:cs="Segoe UI"/>
          <w:sz w:val="20"/>
          <w:szCs w:val="20"/>
        </w:rPr>
        <w:t xml:space="preserve"> of</w:t>
      </w:r>
      <w:r w:rsidRPr="00434CC3">
        <w:rPr>
          <w:rStyle w:val="eop"/>
          <w:rFonts w:ascii="VIC" w:hAnsi="VIC" w:cs="Segoe UI"/>
          <w:sz w:val="20"/>
          <w:szCs w:val="20"/>
        </w:rPr>
        <w:t xml:space="preserve"> </w:t>
      </w:r>
      <w:r w:rsidR="00367A1F">
        <w:rPr>
          <w:rStyle w:val="eop"/>
          <w:rFonts w:ascii="VIC" w:hAnsi="VIC" w:cs="Segoe UI"/>
          <w:sz w:val="20"/>
          <w:szCs w:val="20"/>
        </w:rPr>
        <w:t>individuals</w:t>
      </w:r>
      <w:r w:rsidRPr="00434CC3">
        <w:rPr>
          <w:rStyle w:val="eop"/>
          <w:rFonts w:ascii="VIC" w:hAnsi="VIC" w:cs="Segoe UI"/>
          <w:sz w:val="20"/>
          <w:szCs w:val="20"/>
        </w:rPr>
        <w:t>.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 Establishing</w:t>
      </w:r>
      <w:r w:rsidR="004648E8" w:rsidRPr="00434CC3">
        <w:rPr>
          <w:rStyle w:val="eop"/>
          <w:rFonts w:ascii="VIC" w:hAnsi="VIC" w:cs="Segoe UI"/>
          <w:sz w:val="20"/>
          <w:szCs w:val="20"/>
        </w:rPr>
        <w:t xml:space="preserve"> minimum data requirement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s </w:t>
      </w:r>
      <w:r w:rsidR="004648E8" w:rsidRPr="00434CC3">
        <w:rPr>
          <w:rStyle w:val="eop"/>
          <w:rFonts w:ascii="VIC" w:hAnsi="VIC" w:cs="Segoe UI"/>
          <w:sz w:val="20"/>
          <w:szCs w:val="20"/>
        </w:rPr>
        <w:t>relating to diverse populations is critical</w:t>
      </w:r>
      <w:r w:rsidR="008226E1" w:rsidRPr="00434CC3">
        <w:rPr>
          <w:rStyle w:val="eop"/>
          <w:rFonts w:ascii="VIC" w:hAnsi="VIC" w:cs="Segoe UI"/>
          <w:sz w:val="20"/>
          <w:szCs w:val="20"/>
        </w:rPr>
        <w:t xml:space="preserve"> to understand</w:t>
      </w:r>
      <w:r w:rsidR="00145EF2">
        <w:rPr>
          <w:rStyle w:val="eop"/>
          <w:rFonts w:ascii="VIC" w:hAnsi="VIC" w:cs="Segoe UI"/>
          <w:sz w:val="20"/>
          <w:szCs w:val="20"/>
        </w:rPr>
        <w:t xml:space="preserve"> and meet</w:t>
      </w:r>
      <w:r w:rsidR="00FC20B4" w:rsidRPr="00434CC3">
        <w:rPr>
          <w:rStyle w:val="eop"/>
          <w:rFonts w:ascii="VIC" w:hAnsi="VIC" w:cs="Segoe UI"/>
          <w:sz w:val="20"/>
          <w:szCs w:val="20"/>
        </w:rPr>
        <w:t xml:space="preserve"> healthcare needs</w:t>
      </w:r>
      <w:r w:rsidR="008226E1" w:rsidRPr="00434CC3">
        <w:rPr>
          <w:rStyle w:val="eop"/>
          <w:rFonts w:ascii="VIC" w:hAnsi="VIC" w:cs="Segoe UI"/>
          <w:sz w:val="20"/>
          <w:szCs w:val="20"/>
        </w:rPr>
        <w:t xml:space="preserve">. </w:t>
      </w:r>
      <w:r w:rsidR="00CD67D5" w:rsidRPr="00434CC3">
        <w:rPr>
          <w:rStyle w:val="eop"/>
          <w:rFonts w:ascii="VIC" w:hAnsi="VIC" w:cs="Segoe UI"/>
          <w:sz w:val="20"/>
          <w:szCs w:val="20"/>
        </w:rPr>
        <w:t>Good data includes the</w:t>
      </w:r>
      <w:r w:rsidR="00B9677B">
        <w:rPr>
          <w:rStyle w:val="eop"/>
          <w:rFonts w:ascii="VIC" w:hAnsi="VIC" w:cs="Segoe UI"/>
          <w:sz w:val="20"/>
          <w:szCs w:val="20"/>
        </w:rPr>
        <w:t xml:space="preserve"> systematic</w:t>
      </w:r>
      <w:r w:rsidR="00CD67D5" w:rsidRPr="00434CC3">
        <w:rPr>
          <w:rStyle w:val="eop"/>
          <w:rFonts w:ascii="VIC" w:hAnsi="VIC" w:cs="Segoe UI"/>
          <w:sz w:val="20"/>
          <w:szCs w:val="20"/>
        </w:rPr>
        <w:t xml:space="preserve"> collection of:</w:t>
      </w:r>
    </w:p>
    <w:p w14:paraId="5D0962DE" w14:textId="77777777" w:rsidR="00CD67D5" w:rsidRPr="00434CC3" w:rsidRDefault="00CD67D5" w:rsidP="00676C22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Aboriginal and Torres Strait Islander status</w:t>
      </w:r>
    </w:p>
    <w:p w14:paraId="4C22C839" w14:textId="007E4EAD" w:rsidR="00CD67D5" w:rsidRPr="00C15ADD" w:rsidRDefault="00CD67D5" w:rsidP="00676C22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country of birth</w:t>
      </w:r>
    </w:p>
    <w:p w14:paraId="089CF953" w14:textId="4119BB24" w:rsidR="00C15ADD" w:rsidRPr="00C15ADD" w:rsidRDefault="00C15ADD" w:rsidP="00676C22">
      <w:pPr>
        <w:pStyle w:val="Bullet1"/>
        <w:rPr>
          <w:rStyle w:val="eop"/>
          <w:rFonts w:ascii="VIC" w:hAnsi="VIC" w:cs="Segoe UI"/>
        </w:rPr>
      </w:pPr>
      <w:r w:rsidRPr="00C15ADD">
        <w:rPr>
          <w:rStyle w:val="eop"/>
          <w:rFonts w:ascii="VIC" w:hAnsi="VIC" w:cs="Segoe UI"/>
        </w:rPr>
        <w:t>preferred language</w:t>
      </w:r>
    </w:p>
    <w:p w14:paraId="132D3304" w14:textId="0D42BB11" w:rsidR="00C15ADD" w:rsidRPr="00C15ADD" w:rsidRDefault="00C15ADD" w:rsidP="00676C22">
      <w:pPr>
        <w:pStyle w:val="Bullet1"/>
        <w:rPr>
          <w:rStyle w:val="eop"/>
          <w:rFonts w:ascii="VIC" w:hAnsi="VIC" w:cs="Segoe UI"/>
        </w:rPr>
      </w:pPr>
      <w:r w:rsidRPr="00C15ADD">
        <w:rPr>
          <w:rStyle w:val="eop"/>
          <w:rFonts w:ascii="VIC" w:hAnsi="VIC" w:cs="Segoe UI"/>
        </w:rPr>
        <w:t>need for interpreter</w:t>
      </w:r>
    </w:p>
    <w:p w14:paraId="6D6809EC" w14:textId="77777777" w:rsidR="00CD67D5" w:rsidRPr="00434CC3" w:rsidRDefault="00CD67D5" w:rsidP="00676C22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education level</w:t>
      </w:r>
    </w:p>
    <w:p w14:paraId="60EF4B98" w14:textId="2A1FA6A9" w:rsidR="00C15ADD" w:rsidRPr="00C15ADD" w:rsidRDefault="00CD67D5" w:rsidP="00676C22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gender</w:t>
      </w:r>
      <w:r w:rsidR="00C15ADD">
        <w:rPr>
          <w:rStyle w:val="eop"/>
          <w:rFonts w:ascii="VIC" w:hAnsi="VIC" w:cs="Segoe UI"/>
        </w:rPr>
        <w:t xml:space="preserve"> expression </w:t>
      </w:r>
    </w:p>
    <w:p w14:paraId="4B518D0F" w14:textId="3B5C59D6" w:rsidR="00CD67D5" w:rsidRPr="00434CC3" w:rsidRDefault="00C15ADD" w:rsidP="00676C22">
      <w:pPr>
        <w:pStyle w:val="Bullet1"/>
        <w:rPr>
          <w:rStyle w:val="eop"/>
          <w:rFonts w:ascii="VIC" w:hAnsi="VIC" w:cs="Segoe UI"/>
          <w:b/>
        </w:rPr>
      </w:pPr>
      <w:r>
        <w:rPr>
          <w:rStyle w:val="eop"/>
          <w:rFonts w:ascii="VIC" w:hAnsi="VIC" w:cs="Segoe UI"/>
        </w:rPr>
        <w:t>sex</w:t>
      </w:r>
    </w:p>
    <w:p w14:paraId="129D48B3" w14:textId="04872973" w:rsidR="00CD67D5" w:rsidRPr="00434CC3" w:rsidRDefault="00960446" w:rsidP="00676C22">
      <w:pPr>
        <w:pStyle w:val="Bullet1"/>
        <w:rPr>
          <w:rStyle w:val="eop"/>
          <w:rFonts w:ascii="VIC" w:hAnsi="VIC" w:cs="Segoe UI"/>
          <w:b/>
        </w:rPr>
      </w:pPr>
      <w:r>
        <w:rPr>
          <w:rStyle w:val="eop"/>
          <w:rFonts w:ascii="VIC" w:hAnsi="VIC" w:cs="Segoe UI"/>
        </w:rPr>
        <w:t>health</w:t>
      </w:r>
      <w:r w:rsidR="00CD67D5" w:rsidRPr="00434CC3">
        <w:rPr>
          <w:rStyle w:val="eop"/>
          <w:rFonts w:ascii="VIC" w:hAnsi="VIC" w:cs="Segoe UI"/>
        </w:rPr>
        <w:t xml:space="preserve">care card or pensioner </w:t>
      </w:r>
      <w:r w:rsidR="008B781D">
        <w:rPr>
          <w:rStyle w:val="eop"/>
          <w:rFonts w:ascii="VIC" w:hAnsi="VIC" w:cs="Segoe UI"/>
        </w:rPr>
        <w:t xml:space="preserve">concession </w:t>
      </w:r>
      <w:r w:rsidR="00CD67D5" w:rsidRPr="00434CC3">
        <w:rPr>
          <w:rStyle w:val="eop"/>
          <w:rFonts w:ascii="VIC" w:hAnsi="VIC" w:cs="Segoe UI"/>
        </w:rPr>
        <w:t xml:space="preserve">card as an indicator of </w:t>
      </w:r>
      <w:r w:rsidR="003840B8" w:rsidRPr="00434CC3">
        <w:rPr>
          <w:rStyle w:val="eop"/>
          <w:rFonts w:ascii="VIC" w:hAnsi="VIC" w:cs="Segoe UI"/>
        </w:rPr>
        <w:t>socio</w:t>
      </w:r>
      <w:r w:rsidR="003840B8">
        <w:rPr>
          <w:rStyle w:val="eop"/>
          <w:rFonts w:ascii="VIC" w:hAnsi="VIC" w:cs="Segoe UI"/>
        </w:rPr>
        <w:t>-economic</w:t>
      </w:r>
      <w:r w:rsidR="00CD67D5" w:rsidRPr="00434CC3">
        <w:rPr>
          <w:rStyle w:val="eop"/>
          <w:rFonts w:ascii="VIC" w:hAnsi="VIC" w:cs="Segoe UI"/>
        </w:rPr>
        <w:t xml:space="preserve"> status</w:t>
      </w:r>
    </w:p>
    <w:p w14:paraId="36FAC31C" w14:textId="683DCEA7" w:rsidR="00CD67D5" w:rsidRPr="00C15ADD" w:rsidRDefault="00960446" w:rsidP="00676C22">
      <w:pPr>
        <w:pStyle w:val="Bullet1"/>
        <w:rPr>
          <w:rStyle w:val="eop"/>
          <w:rFonts w:ascii="VIC" w:hAnsi="VIC" w:cs="Segoe UI"/>
          <w:b/>
        </w:rPr>
      </w:pPr>
      <w:r>
        <w:rPr>
          <w:rStyle w:val="eop"/>
          <w:rFonts w:ascii="VIC" w:hAnsi="VIC" w:cs="Segoe UI"/>
        </w:rPr>
        <w:t>religion</w:t>
      </w:r>
    </w:p>
    <w:p w14:paraId="262DD036" w14:textId="381906A9" w:rsidR="00C15ADD" w:rsidRPr="00C15ADD" w:rsidRDefault="00C15ADD" w:rsidP="00676C22">
      <w:pPr>
        <w:pStyle w:val="Bullet1"/>
        <w:rPr>
          <w:rStyle w:val="eop"/>
          <w:rFonts w:ascii="VIC" w:hAnsi="VIC" w:cs="Segoe UI"/>
        </w:rPr>
      </w:pPr>
      <w:r w:rsidRPr="00C15ADD">
        <w:rPr>
          <w:rStyle w:val="eop"/>
          <w:rFonts w:ascii="VIC" w:hAnsi="VIC" w:cs="Segoe UI"/>
        </w:rPr>
        <w:t>visa status</w:t>
      </w:r>
    </w:p>
    <w:p w14:paraId="3F78B8B6" w14:textId="77777777" w:rsidR="00435CDB" w:rsidRDefault="00435CDB" w:rsidP="00435CDB">
      <w:pPr>
        <w:pStyle w:val="Heading2"/>
        <w:rPr>
          <w:rStyle w:val="eop"/>
          <w:rFonts w:ascii="VIC" w:hAnsi="VIC" w:cs="Segoe UI"/>
          <w:sz w:val="20"/>
          <w:szCs w:val="20"/>
        </w:rPr>
      </w:pPr>
      <w:r>
        <w:rPr>
          <w:rStyle w:val="eop"/>
          <w:rFonts w:ascii="VIC" w:hAnsi="VIC" w:cs="Segoe UI"/>
          <w:sz w:val="20"/>
          <w:szCs w:val="20"/>
        </w:rPr>
        <w:t>Recommendation</w:t>
      </w:r>
    </w:p>
    <w:p w14:paraId="1CB8366C" w14:textId="4E10C2C7" w:rsidR="00A53F3E" w:rsidRPr="00D16E6E" w:rsidRDefault="00435CDB" w:rsidP="00D16E6E">
      <w:pPr>
        <w:pStyle w:val="Normalfollowingheading"/>
        <w:numPr>
          <w:ilvl w:val="0"/>
          <w:numId w:val="35"/>
        </w:numPr>
        <w:rPr>
          <w:rFonts w:ascii="VIC" w:hAnsi="VIC" w:cs="Segoe UI"/>
          <w:sz w:val="22"/>
          <w:szCs w:val="22"/>
        </w:rPr>
      </w:pPr>
      <w:r w:rsidRPr="00D16E6E">
        <w:rPr>
          <w:rFonts w:ascii="VIC" w:hAnsi="VIC"/>
        </w:rPr>
        <w:t>Health services better understand the diversity of the people they serve to support high quality service delivery.</w:t>
      </w:r>
      <w:r w:rsidR="00D16E6E" w:rsidRPr="00D16E6E">
        <w:rPr>
          <w:rFonts w:ascii="VIC" w:hAnsi="VIC"/>
        </w:rPr>
        <w:br/>
      </w:r>
      <w:r w:rsidR="00F610AA" w:rsidRPr="00CA4E7D">
        <w:rPr>
          <w:rFonts w:ascii="VIC" w:hAnsi="VIC"/>
          <w:noProof/>
        </w:rPr>
        <mc:AlternateContent>
          <mc:Choice Requires="wps">
            <w:drawing>
              <wp:inline distT="0" distB="0" distL="0" distR="0" wp14:anchorId="60BFD7A0" wp14:editId="3ABFF0B0">
                <wp:extent cx="6263640" cy="904875"/>
                <wp:effectExtent l="0" t="0" r="2286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904875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D5B5" w14:textId="00EF9164" w:rsidR="00F610AA" w:rsidRDefault="00066DAC" w:rsidP="00F610AA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t>Intended outcomes</w:t>
                            </w:r>
                          </w:p>
                          <w:p w14:paraId="3C568CDD" w14:textId="5F76BBC1" w:rsidR="00F27A65" w:rsidRPr="008D1CD6" w:rsidRDefault="00F27A65" w:rsidP="008D1CD6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spacing w:after="120" w:line="276" w:lineRule="auto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8D1CD6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Data that relates to diversity is used for health service improvement.</w:t>
                            </w:r>
                          </w:p>
                          <w:p w14:paraId="5F66C091" w14:textId="379A6A8B" w:rsidR="00F27A65" w:rsidRPr="008D1CD6" w:rsidRDefault="00F27A65" w:rsidP="008D1CD6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spacing w:after="120" w:line="276" w:lineRule="auto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8D1CD6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Patient reported outcome and experience measures reflect diversity.</w:t>
                            </w:r>
                          </w:p>
                          <w:p w14:paraId="6EE31E56" w14:textId="4AA52566" w:rsidR="00710659" w:rsidRPr="00F27A65" w:rsidRDefault="00F27A65" w:rsidP="008D1CD6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spacing w:after="120" w:line="276" w:lineRule="auto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F27A6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Electronic medical records have the functionality to capture demographic information that enables appropriate and safe recognition of diversity. The council advocates for a ‘prefer not to say’ option to be included.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FD7A0" id="_x0000_s1029" type="#_x0000_t202" style="width:493.2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" fillcolor="#edf5f7" strokecolor="#edf5f7" strokeweight=".5pt">
                <v:textbox style="mso-fit-shape-to-text:t" inset="5mm,5mm,4mm,1mm">
                  <w:txbxContent>
                    <w:p w14:paraId="0B38D5B5" w14:textId="00EF9164" w:rsidR="00F610AA" w:rsidRDefault="00066DAC" w:rsidP="00F610AA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>
                        <w:rPr>
                          <w:rFonts w:ascii="VIC SemiBold" w:hAnsi="VIC SemiBold"/>
                          <w:b w:val="0"/>
                        </w:rPr>
                        <w:t>Intended outcomes</w:t>
                      </w:r>
                    </w:p>
                    <w:p w14:paraId="3C568CDD" w14:textId="5F76BBC1" w:rsidR="00F27A65" w:rsidRPr="008D1CD6" w:rsidRDefault="00F27A65" w:rsidP="008D1CD6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spacing w:after="120" w:line="276" w:lineRule="auto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8D1CD6">
                        <w:rPr>
                          <w:rFonts w:ascii="VIC" w:hAnsi="VIC"/>
                          <w:color w:val="004EA8"/>
                          <w:szCs w:val="22"/>
                        </w:rPr>
                        <w:t>Data that relates to diversity is used for health service improvement.</w:t>
                      </w:r>
                    </w:p>
                    <w:p w14:paraId="5F66C091" w14:textId="379A6A8B" w:rsidR="00F27A65" w:rsidRPr="008D1CD6" w:rsidRDefault="00F27A65" w:rsidP="008D1CD6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spacing w:after="120" w:line="276" w:lineRule="auto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8D1CD6">
                        <w:rPr>
                          <w:rFonts w:ascii="VIC" w:hAnsi="VIC"/>
                          <w:color w:val="004EA8"/>
                          <w:szCs w:val="22"/>
                        </w:rPr>
                        <w:t>Patient reported outcome and experience measures reflect diversity.</w:t>
                      </w:r>
                    </w:p>
                    <w:p w14:paraId="6EE31E56" w14:textId="4AA52566" w:rsidR="00710659" w:rsidRPr="00F27A65" w:rsidRDefault="00F27A65" w:rsidP="008D1CD6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spacing w:after="120" w:line="276" w:lineRule="auto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F27A65">
                        <w:rPr>
                          <w:rFonts w:ascii="VIC" w:hAnsi="VIC"/>
                          <w:color w:val="004EA8"/>
                          <w:szCs w:val="22"/>
                        </w:rPr>
                        <w:t>Electronic medical records have the functionality to capture demographic information that enables appropriate and safe recognition of diversity. The council advocates for a ‘prefer not to say’ option to be included.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C8581" w14:textId="4B7C3610" w:rsidR="005627DE" w:rsidRPr="00021116" w:rsidRDefault="007438C4" w:rsidP="00021116">
      <w:pPr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</w:pPr>
      <w:r w:rsidRPr="00021116"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  <w:lastRenderedPageBreak/>
        <w:t>Workforce development</w:t>
      </w:r>
    </w:p>
    <w:p w14:paraId="60D06712" w14:textId="2B350632" w:rsidR="00D054E7" w:rsidRPr="00434CC3" w:rsidRDefault="00973350" w:rsidP="00D054E7">
      <w:pPr>
        <w:pStyle w:val="paragraph"/>
        <w:spacing w:line="276" w:lineRule="auto"/>
        <w:textAlignment w:val="baseline"/>
        <w:rPr>
          <w:rStyle w:val="eop"/>
          <w:rFonts w:ascii="VIC" w:hAnsi="VIC" w:cs="Segoe UI"/>
          <w:sz w:val="20"/>
          <w:szCs w:val="20"/>
        </w:rPr>
      </w:pPr>
      <w:r>
        <w:rPr>
          <w:rStyle w:val="eop"/>
          <w:rFonts w:ascii="VIC" w:hAnsi="VIC" w:cs="Segoe UI"/>
          <w:sz w:val="20"/>
          <w:szCs w:val="20"/>
        </w:rPr>
        <w:t>The council recognises</w:t>
      </w:r>
      <w:r w:rsidR="00D05119" w:rsidRPr="00434CC3">
        <w:rPr>
          <w:rStyle w:val="eop"/>
          <w:rFonts w:ascii="VIC" w:hAnsi="VIC" w:cs="Segoe UI"/>
          <w:sz w:val="20"/>
          <w:szCs w:val="20"/>
        </w:rPr>
        <w:t xml:space="preserve"> that unconscious</w:t>
      </w:r>
      <w:r w:rsidR="008B781D">
        <w:rPr>
          <w:rStyle w:val="eop"/>
          <w:rFonts w:ascii="VIC" w:hAnsi="VIC" w:cs="Segoe UI"/>
          <w:sz w:val="20"/>
          <w:szCs w:val="20"/>
        </w:rPr>
        <w:t xml:space="preserve"> bias within the heath sector i</w:t>
      </w:r>
      <w:r w:rsidR="00D05119" w:rsidRPr="00434CC3">
        <w:rPr>
          <w:rStyle w:val="eop"/>
          <w:rFonts w:ascii="VIC" w:hAnsi="VIC" w:cs="Segoe UI"/>
          <w:sz w:val="20"/>
          <w:szCs w:val="20"/>
        </w:rPr>
        <w:t xml:space="preserve">s likely to influence decision making relating to both </w:t>
      </w:r>
      <w:r w:rsidR="008B781D" w:rsidRPr="00434CC3">
        <w:rPr>
          <w:rStyle w:val="eop"/>
          <w:rFonts w:ascii="VIC" w:hAnsi="VIC" w:cs="Segoe UI"/>
          <w:sz w:val="20"/>
          <w:szCs w:val="20"/>
        </w:rPr>
        <w:t xml:space="preserve">health system design </w:t>
      </w:r>
      <w:r w:rsidR="008B781D">
        <w:rPr>
          <w:rStyle w:val="eop"/>
          <w:rFonts w:ascii="VIC" w:hAnsi="VIC" w:cs="Segoe UI"/>
          <w:sz w:val="20"/>
          <w:szCs w:val="20"/>
        </w:rPr>
        <w:t>and healthcare provision</w:t>
      </w:r>
      <w:r w:rsidR="00D05119" w:rsidRPr="00434CC3">
        <w:rPr>
          <w:rStyle w:val="eop"/>
          <w:rFonts w:ascii="VIC" w:hAnsi="VIC" w:cs="Segoe UI"/>
          <w:sz w:val="20"/>
          <w:szCs w:val="20"/>
        </w:rPr>
        <w:t xml:space="preserve">. 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To </w:t>
      </w:r>
      <w:r w:rsidR="00942D01">
        <w:rPr>
          <w:rStyle w:val="eop"/>
          <w:rFonts w:ascii="VIC" w:hAnsi="VIC" w:cs="Segoe UI"/>
          <w:sz w:val="20"/>
          <w:szCs w:val="20"/>
        </w:rPr>
        <w:t>improve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 health outcomes for diverse </w:t>
      </w:r>
      <w:r w:rsidR="00367A1F">
        <w:rPr>
          <w:rStyle w:val="eop"/>
          <w:rFonts w:ascii="VIC" w:hAnsi="VIC" w:cs="Segoe UI"/>
          <w:sz w:val="20"/>
          <w:szCs w:val="20"/>
        </w:rPr>
        <w:t>communities</w:t>
      </w:r>
      <w:r w:rsidR="00942D01">
        <w:rPr>
          <w:rStyle w:val="eop"/>
          <w:rFonts w:ascii="VIC" w:hAnsi="VIC" w:cs="Segoe UI"/>
          <w:sz w:val="20"/>
          <w:szCs w:val="20"/>
        </w:rPr>
        <w:t>,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 the </w:t>
      </w:r>
      <w:r w:rsidR="00F71008">
        <w:rPr>
          <w:rStyle w:val="eop"/>
          <w:rFonts w:ascii="VIC" w:hAnsi="VIC" w:cs="Segoe UI"/>
          <w:sz w:val="20"/>
          <w:szCs w:val="20"/>
        </w:rPr>
        <w:t xml:space="preserve">health sector </w:t>
      </w:r>
      <w:r w:rsidR="00214BB4" w:rsidRPr="00434CC3">
        <w:rPr>
          <w:rStyle w:val="eop"/>
          <w:rFonts w:ascii="VIC" w:hAnsi="VIC" w:cs="Segoe UI"/>
          <w:sz w:val="20"/>
          <w:szCs w:val="20"/>
        </w:rPr>
        <w:t xml:space="preserve">workforce requires self-awareness and ongoing skill development. </w:t>
      </w:r>
      <w:r w:rsidR="003B5E64">
        <w:rPr>
          <w:rStyle w:val="eop"/>
          <w:rFonts w:ascii="VIC" w:hAnsi="VIC" w:cs="Segoe UI"/>
          <w:sz w:val="20"/>
          <w:szCs w:val="20"/>
        </w:rPr>
        <w:t xml:space="preserve"> </w:t>
      </w:r>
      <w:r w:rsidR="00256640">
        <w:rPr>
          <w:rStyle w:val="eop"/>
          <w:rFonts w:ascii="VIC" w:hAnsi="VIC" w:cs="Segoe UI"/>
          <w:sz w:val="20"/>
          <w:szCs w:val="20"/>
        </w:rPr>
        <w:t>Embedding</w:t>
      </w:r>
      <w:r w:rsidR="00D054E7" w:rsidRPr="00434CC3">
        <w:rPr>
          <w:rStyle w:val="eop"/>
          <w:rFonts w:ascii="VIC" w:hAnsi="VIC" w:cs="Segoe UI"/>
          <w:sz w:val="20"/>
          <w:szCs w:val="20"/>
        </w:rPr>
        <w:t xml:space="preserve"> culturally competent practices and culturally safe environments</w:t>
      </w:r>
      <w:r w:rsidR="00D054E7">
        <w:rPr>
          <w:rStyle w:val="eop"/>
          <w:rFonts w:ascii="VIC" w:hAnsi="VIC" w:cs="Segoe UI"/>
          <w:sz w:val="20"/>
          <w:szCs w:val="20"/>
        </w:rPr>
        <w:t xml:space="preserve"> will involve a</w:t>
      </w:r>
      <w:r w:rsidR="00D054E7" w:rsidRPr="00434CC3">
        <w:rPr>
          <w:rStyle w:val="eop"/>
          <w:rFonts w:ascii="VIC" w:hAnsi="VIC" w:cs="Segoe UI"/>
          <w:sz w:val="20"/>
          <w:szCs w:val="20"/>
        </w:rPr>
        <w:t>n incremental approach to the development of cultural intelligence over a health practitioner’s working life.</w:t>
      </w:r>
    </w:p>
    <w:p w14:paraId="360F192C" w14:textId="34ECDCA1" w:rsidR="00D054E7" w:rsidRPr="00434CC3" w:rsidRDefault="00D054E7" w:rsidP="00D054E7">
      <w:pPr>
        <w:pStyle w:val="Bullet1"/>
        <w:numPr>
          <w:ilvl w:val="0"/>
          <w:numId w:val="0"/>
        </w:numPr>
        <w:rPr>
          <w:rStyle w:val="eop"/>
          <w:rFonts w:ascii="VIC" w:hAnsi="VIC" w:cs="Segoe UI"/>
        </w:rPr>
      </w:pPr>
      <w:r w:rsidRPr="00434CC3">
        <w:rPr>
          <w:rStyle w:val="eop"/>
          <w:rFonts w:ascii="VIC" w:hAnsi="VIC" w:cs="Segoe UI"/>
        </w:rPr>
        <w:t xml:space="preserve">To augment </w:t>
      </w:r>
      <w:r w:rsidR="00F55AE6">
        <w:rPr>
          <w:rStyle w:val="eop"/>
          <w:rFonts w:ascii="VIC" w:hAnsi="VIC" w:cs="Segoe UI"/>
        </w:rPr>
        <w:t xml:space="preserve">the </w:t>
      </w:r>
      <w:r w:rsidRPr="00434CC3">
        <w:rPr>
          <w:rStyle w:val="eop"/>
          <w:rFonts w:ascii="VIC" w:hAnsi="VIC" w:cs="Segoe UI"/>
        </w:rPr>
        <w:t>develop</w:t>
      </w:r>
      <w:r w:rsidR="00F55AE6">
        <w:rPr>
          <w:rStyle w:val="eop"/>
          <w:rFonts w:ascii="VIC" w:hAnsi="VIC" w:cs="Segoe UI"/>
        </w:rPr>
        <w:t>ment of</w:t>
      </w:r>
      <w:r w:rsidRPr="00434CC3">
        <w:rPr>
          <w:rStyle w:val="eop"/>
          <w:rFonts w:ascii="VIC" w:hAnsi="VIC" w:cs="Segoe UI"/>
        </w:rPr>
        <w:t xml:space="preserve"> cultural intelligence, health practitioners require enhanced</w:t>
      </w:r>
      <w:r>
        <w:rPr>
          <w:rStyle w:val="eop"/>
          <w:rFonts w:ascii="VIC" w:hAnsi="VIC" w:cs="Segoe UI"/>
        </w:rPr>
        <w:t xml:space="preserve"> communication </w:t>
      </w:r>
      <w:r w:rsidRPr="00434CC3">
        <w:rPr>
          <w:rStyle w:val="eop"/>
          <w:rFonts w:ascii="VIC" w:hAnsi="VIC" w:cs="Segoe UI"/>
        </w:rPr>
        <w:t>skills to</w:t>
      </w:r>
      <w:r>
        <w:rPr>
          <w:rStyle w:val="eop"/>
          <w:rFonts w:ascii="VIC" w:hAnsi="VIC" w:cs="Segoe UI"/>
        </w:rPr>
        <w:t xml:space="preserve"> encourage</w:t>
      </w:r>
      <w:r w:rsidRPr="00434CC3">
        <w:rPr>
          <w:rStyle w:val="eop"/>
          <w:rFonts w:ascii="VIC" w:hAnsi="VIC" w:cs="Segoe UI"/>
        </w:rPr>
        <w:t xml:space="preserve"> i</w:t>
      </w:r>
      <w:r>
        <w:rPr>
          <w:rStyle w:val="eop"/>
          <w:rFonts w:ascii="VIC" w:hAnsi="VIC" w:cs="Segoe UI"/>
        </w:rPr>
        <w:t xml:space="preserve">nclusive practices and </w:t>
      </w:r>
      <w:r w:rsidRPr="00434CC3">
        <w:rPr>
          <w:rStyle w:val="eop"/>
          <w:rFonts w:ascii="VIC" w:hAnsi="VIC" w:cs="Segoe UI"/>
        </w:rPr>
        <w:t>positive experiences.  To enable this</w:t>
      </w:r>
      <w:r w:rsidR="00F55AE6">
        <w:rPr>
          <w:rStyle w:val="eop"/>
          <w:rFonts w:ascii="VIC" w:hAnsi="VIC" w:cs="Segoe UI"/>
        </w:rPr>
        <w:t>,</w:t>
      </w:r>
      <w:r w:rsidRPr="00434CC3">
        <w:rPr>
          <w:rStyle w:val="eop"/>
          <w:rFonts w:ascii="VIC" w:hAnsi="VIC" w:cs="Segoe UI"/>
        </w:rPr>
        <w:t xml:space="preserve"> health practitioners </w:t>
      </w:r>
      <w:r>
        <w:rPr>
          <w:rStyle w:val="eop"/>
          <w:rFonts w:ascii="VIC" w:hAnsi="VIC" w:cs="Segoe UI"/>
        </w:rPr>
        <w:t>must</w:t>
      </w:r>
      <w:r w:rsidRPr="00434CC3">
        <w:rPr>
          <w:rStyle w:val="eop"/>
          <w:rFonts w:ascii="VIC" w:hAnsi="VIC" w:cs="Segoe UI"/>
        </w:rPr>
        <w:t>:</w:t>
      </w:r>
    </w:p>
    <w:p w14:paraId="62493D59" w14:textId="2F631364" w:rsidR="00863112" w:rsidRPr="00434CC3" w:rsidRDefault="00863112" w:rsidP="00960446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understand ‘what do I bring to the encounter’</w:t>
      </w:r>
      <w:r w:rsidR="008B781D">
        <w:rPr>
          <w:rStyle w:val="eop"/>
          <w:rFonts w:ascii="VIC" w:hAnsi="VIC" w:cs="Segoe UI"/>
        </w:rPr>
        <w:t xml:space="preserve"> – every encounter is bicultural</w:t>
      </w:r>
    </w:p>
    <w:p w14:paraId="2EC37D5D" w14:textId="696E53D5" w:rsidR="00863112" w:rsidRDefault="00863112" w:rsidP="00960446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not make assumptions</w:t>
      </w:r>
    </w:p>
    <w:p w14:paraId="49711B83" w14:textId="11092CE7" w:rsidR="008B781D" w:rsidRPr="00434CC3" w:rsidRDefault="008B781D" w:rsidP="00960446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 xml:space="preserve">engage and build trust </w:t>
      </w:r>
    </w:p>
    <w:p w14:paraId="1CAD2032" w14:textId="3CEDFB85" w:rsidR="00863112" w:rsidRPr="00434CC3" w:rsidRDefault="00205566" w:rsidP="00960446">
      <w:pPr>
        <w:pStyle w:val="Bullet1"/>
        <w:rPr>
          <w:rStyle w:val="eop"/>
          <w:rFonts w:ascii="VIC" w:hAnsi="VIC" w:cs="Segoe UI"/>
          <w:b/>
        </w:rPr>
      </w:pPr>
      <w:r>
        <w:rPr>
          <w:rStyle w:val="eop"/>
          <w:rFonts w:ascii="VIC" w:hAnsi="VIC" w:cs="Segoe UI"/>
        </w:rPr>
        <w:t>identify individual needs</w:t>
      </w:r>
    </w:p>
    <w:p w14:paraId="25E7AB66" w14:textId="77777777" w:rsidR="00863112" w:rsidRPr="00434CC3" w:rsidRDefault="00863112" w:rsidP="00960446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listen with interest and respect</w:t>
      </w:r>
    </w:p>
    <w:p w14:paraId="43A726D8" w14:textId="159B4553" w:rsidR="00863112" w:rsidRDefault="00863112" w:rsidP="00960446">
      <w:pPr>
        <w:pStyle w:val="Bullet1"/>
        <w:rPr>
          <w:rStyle w:val="eop"/>
          <w:rFonts w:ascii="VIC" w:hAnsi="VIC" w:cs="Segoe UI"/>
          <w:b/>
        </w:rPr>
      </w:pPr>
      <w:r w:rsidRPr="00434CC3">
        <w:rPr>
          <w:rStyle w:val="eop"/>
          <w:rFonts w:ascii="VIC" w:hAnsi="VIC" w:cs="Segoe UI"/>
        </w:rPr>
        <w:t>explore patient preferences, values</w:t>
      </w:r>
      <w:r w:rsidR="00C15ADD">
        <w:rPr>
          <w:rStyle w:val="eop"/>
          <w:rFonts w:ascii="VIC" w:hAnsi="VIC" w:cs="Segoe UI"/>
        </w:rPr>
        <w:t>, health beliefs, health literacy and</w:t>
      </w:r>
      <w:r w:rsidRPr="00434CC3">
        <w:rPr>
          <w:rStyle w:val="eop"/>
          <w:rFonts w:ascii="VIC" w:hAnsi="VIC" w:cs="Segoe UI"/>
        </w:rPr>
        <w:t xml:space="preserve"> decisions</w:t>
      </w:r>
      <w:r w:rsidR="00F71008">
        <w:rPr>
          <w:rStyle w:val="eop"/>
          <w:rFonts w:ascii="VIC" w:hAnsi="VIC" w:cs="Segoe UI"/>
        </w:rPr>
        <w:t>.</w:t>
      </w:r>
    </w:p>
    <w:p w14:paraId="4E0232A3" w14:textId="77777777" w:rsidR="00066DAC" w:rsidRPr="00434CC3" w:rsidRDefault="00066DAC" w:rsidP="00066DAC">
      <w:pPr>
        <w:pStyle w:val="Heading2"/>
        <w:rPr>
          <w:rStyle w:val="eop"/>
          <w:rFonts w:ascii="VIC" w:hAnsi="VIC" w:cs="Segoe UI"/>
          <w:b w:val="0"/>
        </w:rPr>
      </w:pPr>
      <w:r>
        <w:rPr>
          <w:rStyle w:val="eop"/>
          <w:rFonts w:ascii="VIC" w:hAnsi="VIC" w:cs="Segoe UI"/>
          <w:sz w:val="20"/>
          <w:szCs w:val="20"/>
        </w:rPr>
        <w:t>Recommendation</w:t>
      </w:r>
    </w:p>
    <w:p w14:paraId="1AADCB92" w14:textId="3B9D1C66" w:rsidR="0030129C" w:rsidRDefault="00435CDB" w:rsidP="0030129C">
      <w:pPr>
        <w:pStyle w:val="Normalfollowingheading"/>
        <w:numPr>
          <w:ilvl w:val="0"/>
          <w:numId w:val="35"/>
        </w:numPr>
        <w:spacing w:before="240"/>
        <w:rPr>
          <w:rFonts w:ascii="VIC" w:hAnsi="VIC"/>
        </w:rPr>
      </w:pPr>
      <w:r w:rsidRPr="000B6D64">
        <w:rPr>
          <w:rFonts w:ascii="VIC" w:hAnsi="VIC"/>
        </w:rPr>
        <w:t xml:space="preserve">All staff in the health sector </w:t>
      </w:r>
      <w:r>
        <w:rPr>
          <w:rFonts w:ascii="VIC" w:hAnsi="VIC"/>
        </w:rPr>
        <w:t>develop competency</w:t>
      </w:r>
      <w:r w:rsidRPr="000B6D64">
        <w:rPr>
          <w:rFonts w:ascii="VIC" w:hAnsi="VIC"/>
        </w:rPr>
        <w:t xml:space="preserve"> </w:t>
      </w:r>
      <w:r>
        <w:rPr>
          <w:rFonts w:ascii="VIC" w:hAnsi="VIC"/>
        </w:rPr>
        <w:t>regarding</w:t>
      </w:r>
      <w:r w:rsidRPr="000B6D64">
        <w:rPr>
          <w:rFonts w:ascii="VIC" w:hAnsi="VIC"/>
        </w:rPr>
        <w:t xml:space="preserve"> diversity</w:t>
      </w:r>
      <w:r>
        <w:rPr>
          <w:rFonts w:ascii="VIC" w:hAnsi="VIC"/>
        </w:rPr>
        <w:t>, intersectionality</w:t>
      </w:r>
      <w:r w:rsidRPr="000B6D64">
        <w:rPr>
          <w:rFonts w:ascii="VIC" w:hAnsi="VIC"/>
        </w:rPr>
        <w:t xml:space="preserve"> and cultural safety</w:t>
      </w:r>
      <w:r>
        <w:rPr>
          <w:rFonts w:ascii="VIC" w:hAnsi="VIC"/>
        </w:rPr>
        <w:t>,</w:t>
      </w:r>
      <w:r w:rsidRPr="000B6D64">
        <w:rPr>
          <w:rFonts w:ascii="VIC" w:hAnsi="VIC"/>
        </w:rPr>
        <w:t xml:space="preserve"> and have the skills to respond to the varying needs of diverse populations.</w:t>
      </w:r>
    </w:p>
    <w:p w14:paraId="15575065" w14:textId="77777777" w:rsidR="003B5E64" w:rsidRPr="003B5E64" w:rsidRDefault="003B5E64" w:rsidP="003B5E64"/>
    <w:p w14:paraId="6F1E9C52" w14:textId="207828C3" w:rsidR="003B5E64" w:rsidRDefault="00F610AA">
      <w:pPr>
        <w:rPr>
          <w:rFonts w:ascii="VIC" w:eastAsiaTheme="majorEastAsia" w:hAnsi="VIC" w:cstheme="minorHAnsi"/>
          <w:b/>
          <w:bCs/>
          <w:color w:val="000000" w:themeColor="text1"/>
          <w:sz w:val="24"/>
          <w:szCs w:val="22"/>
        </w:rPr>
      </w:pPr>
      <w:r w:rsidRPr="00CA4E7D">
        <w:rPr>
          <w:rFonts w:ascii="VIC" w:hAnsi="VIC"/>
          <w:noProof/>
        </w:rPr>
        <mc:AlternateContent>
          <mc:Choice Requires="wps">
            <w:drawing>
              <wp:inline distT="0" distB="0" distL="0" distR="0" wp14:anchorId="7081686D" wp14:editId="2F900B4B">
                <wp:extent cx="6263640" cy="904875"/>
                <wp:effectExtent l="0" t="0" r="2286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904875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A0D3" w14:textId="4D961484" w:rsidR="00F610AA" w:rsidRPr="00F777E1" w:rsidRDefault="00066DAC" w:rsidP="00F610AA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t>Intended outcomes</w:t>
                            </w:r>
                          </w:p>
                          <w:p w14:paraId="577D201F" w14:textId="655BD688" w:rsidR="003C1347" w:rsidRDefault="003C1347" w:rsidP="00F27A65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before="0" w:after="100" w:line="240" w:lineRule="auto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3C1347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All employees in the health sector are educated in cultural competence, cultural safety, cultural intelligence, </w:t>
                            </w:r>
                            <w:r w:rsidR="00AF2A5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diversity</w:t>
                            </w:r>
                            <w:r w:rsidRPr="003C1347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 responsive</w:t>
                            </w:r>
                            <w:r w:rsidR="00AF2A5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ness </w:t>
                            </w:r>
                            <w:r w:rsidRPr="003C1347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and unconscious bias. </w:t>
                            </w:r>
                          </w:p>
                          <w:p w14:paraId="4CE89C10" w14:textId="2050D160" w:rsidR="00F465D8" w:rsidRPr="00F27A65" w:rsidRDefault="00F27A65" w:rsidP="00F27A65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before="0" w:after="100" w:line="240" w:lineRule="auto"/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F27A6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Incremental education programs that enhance communication skills with diverse populations are available for health professionals.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1686D" id="_x0000_s1030" type="#_x0000_t202" style="width:493.2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" fillcolor="#edf5f7" strokecolor="#edf5f7" strokeweight=".5pt">
                <v:textbox style="mso-fit-shape-to-text:t" inset="5mm,5mm,4mm,1mm">
                  <w:txbxContent>
                    <w:p w14:paraId="12D0A0D3" w14:textId="4D961484" w:rsidR="00F610AA" w:rsidRPr="00F777E1" w:rsidRDefault="00066DAC" w:rsidP="00F610AA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>
                        <w:rPr>
                          <w:rFonts w:ascii="VIC SemiBold" w:hAnsi="VIC SemiBold"/>
                          <w:b w:val="0"/>
                        </w:rPr>
                        <w:t>Intended outcomes</w:t>
                      </w:r>
                    </w:p>
                    <w:p w14:paraId="577D201F" w14:textId="655BD688" w:rsidR="003C1347" w:rsidRDefault="003C1347" w:rsidP="00F27A65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before="0" w:after="100" w:line="240" w:lineRule="auto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3C1347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All employees in the health sector are educated in cultural competence, cultural safety, cultural intelligence, </w:t>
                      </w:r>
                      <w:r w:rsidR="00AF2A55">
                        <w:rPr>
                          <w:rFonts w:ascii="VIC" w:hAnsi="VIC"/>
                          <w:color w:val="004EA8"/>
                          <w:szCs w:val="22"/>
                        </w:rPr>
                        <w:t>diversity</w:t>
                      </w:r>
                      <w:r w:rsidRPr="003C1347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 responsive</w:t>
                      </w:r>
                      <w:r w:rsidR="00AF2A55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ness </w:t>
                      </w:r>
                      <w:r w:rsidRPr="003C1347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and unconscious bias. </w:t>
                      </w:r>
                    </w:p>
                    <w:p w14:paraId="4CE89C10" w14:textId="2050D160" w:rsidR="00F465D8" w:rsidRPr="00F27A65" w:rsidRDefault="00F27A65" w:rsidP="00F27A65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before="0" w:after="100" w:line="240" w:lineRule="auto"/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F27A65">
                        <w:rPr>
                          <w:rFonts w:ascii="VIC" w:hAnsi="VIC"/>
                          <w:color w:val="004EA8"/>
                          <w:szCs w:val="22"/>
                        </w:rPr>
                        <w:t>Incremental education programs that enhance communication skills with diverse populations are available for health professionals.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12BC70" w14:textId="2B9CFBE1" w:rsidR="005627DE" w:rsidRPr="00021116" w:rsidRDefault="005627DE" w:rsidP="00021116">
      <w:pPr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</w:pPr>
      <w:r w:rsidRPr="00021116"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  <w:t>Consumer participation and co-design</w:t>
      </w:r>
    </w:p>
    <w:p w14:paraId="49F083DE" w14:textId="24CE0811" w:rsidR="007D5EEE" w:rsidRDefault="00F55AE6" w:rsidP="00434CC3">
      <w:pPr>
        <w:spacing w:before="0" w:after="0" w:line="276" w:lineRule="auto"/>
        <w:textAlignment w:val="center"/>
        <w:rPr>
          <w:rStyle w:val="eop"/>
          <w:rFonts w:ascii="VIC" w:eastAsia="Times New Roman" w:hAnsi="VIC" w:cs="Segoe UI"/>
        </w:rPr>
      </w:pPr>
      <w:r>
        <w:rPr>
          <w:rStyle w:val="eop"/>
          <w:rFonts w:ascii="VIC" w:eastAsia="Times New Roman" w:hAnsi="VIC" w:cs="Segoe UI"/>
        </w:rPr>
        <w:t>W</w:t>
      </w:r>
      <w:r w:rsidR="007D5EEE" w:rsidRPr="00434CC3">
        <w:rPr>
          <w:rStyle w:val="eop"/>
          <w:rFonts w:ascii="VIC" w:eastAsia="Times New Roman" w:hAnsi="VIC" w:cs="Segoe UI"/>
        </w:rPr>
        <w:t>orking with consumers</w:t>
      </w:r>
      <w:r w:rsidR="008E5A06" w:rsidRPr="00434CC3">
        <w:rPr>
          <w:rStyle w:val="eop"/>
          <w:rFonts w:ascii="VIC" w:eastAsia="Times New Roman" w:hAnsi="VIC" w:cs="Segoe UI"/>
        </w:rPr>
        <w:t xml:space="preserve"> </w:t>
      </w:r>
      <w:r w:rsidR="007D5EEE" w:rsidRPr="00434CC3">
        <w:rPr>
          <w:rStyle w:val="eop"/>
          <w:rFonts w:ascii="VIC" w:eastAsia="Times New Roman" w:hAnsi="VIC" w:cs="Segoe UI"/>
        </w:rPr>
        <w:t xml:space="preserve">to </w:t>
      </w:r>
      <w:r w:rsidR="00BD0171" w:rsidRPr="00434CC3">
        <w:rPr>
          <w:rStyle w:val="eop"/>
          <w:rFonts w:ascii="VIC" w:eastAsia="Times New Roman" w:hAnsi="VIC" w:cs="Segoe UI"/>
        </w:rPr>
        <w:t xml:space="preserve">create </w:t>
      </w:r>
      <w:r w:rsidR="005A2722">
        <w:rPr>
          <w:rStyle w:val="eop"/>
          <w:rFonts w:ascii="VIC" w:eastAsia="Times New Roman" w:hAnsi="VIC" w:cs="Segoe UI"/>
        </w:rPr>
        <w:t>culturally</w:t>
      </w:r>
      <w:r w:rsidR="00C15ADD">
        <w:rPr>
          <w:rStyle w:val="eop"/>
          <w:rFonts w:ascii="VIC" w:eastAsia="Times New Roman" w:hAnsi="VIC" w:cs="Segoe UI"/>
        </w:rPr>
        <w:t xml:space="preserve"> and diversity</w:t>
      </w:r>
      <w:r w:rsidR="005A2722">
        <w:rPr>
          <w:rStyle w:val="eop"/>
          <w:rFonts w:ascii="VIC" w:eastAsia="Times New Roman" w:hAnsi="VIC" w:cs="Segoe UI"/>
        </w:rPr>
        <w:t xml:space="preserve"> safe environments </w:t>
      </w:r>
      <w:r>
        <w:rPr>
          <w:rStyle w:val="eop"/>
          <w:rFonts w:ascii="VIC" w:eastAsia="Times New Roman" w:hAnsi="VIC" w:cs="Segoe UI"/>
        </w:rPr>
        <w:t>will</w:t>
      </w:r>
      <w:r w:rsidR="005A2722">
        <w:rPr>
          <w:rStyle w:val="eop"/>
          <w:rFonts w:ascii="VIC" w:eastAsia="Times New Roman" w:hAnsi="VIC" w:cs="Segoe UI"/>
        </w:rPr>
        <w:t xml:space="preserve"> </w:t>
      </w:r>
      <w:r w:rsidR="00BD0171" w:rsidRPr="00434CC3">
        <w:rPr>
          <w:rStyle w:val="eop"/>
          <w:rFonts w:ascii="VIC" w:eastAsia="Times New Roman" w:hAnsi="VIC" w:cs="Segoe UI"/>
        </w:rPr>
        <w:t xml:space="preserve">encourage </w:t>
      </w:r>
      <w:r w:rsidR="000D6C99">
        <w:rPr>
          <w:rStyle w:val="eop"/>
          <w:rFonts w:ascii="VIC" w:eastAsia="Times New Roman" w:hAnsi="VIC" w:cs="Segoe UI"/>
        </w:rPr>
        <w:t>individual</w:t>
      </w:r>
      <w:r w:rsidR="000A58FF">
        <w:rPr>
          <w:rStyle w:val="eop"/>
          <w:rFonts w:ascii="VIC" w:eastAsia="Times New Roman" w:hAnsi="VIC" w:cs="Segoe UI"/>
        </w:rPr>
        <w:t>s</w:t>
      </w:r>
      <w:r w:rsidR="000D6C99">
        <w:rPr>
          <w:rStyle w:val="eop"/>
          <w:rFonts w:ascii="VIC" w:eastAsia="Times New Roman" w:hAnsi="VIC" w:cs="Segoe UI"/>
        </w:rPr>
        <w:t xml:space="preserve"> with diverse backgrounds</w:t>
      </w:r>
      <w:r w:rsidR="00BD0171" w:rsidRPr="00434CC3">
        <w:rPr>
          <w:rStyle w:val="eop"/>
          <w:rFonts w:ascii="VIC" w:eastAsia="Times New Roman" w:hAnsi="VIC" w:cs="Segoe UI"/>
        </w:rPr>
        <w:t xml:space="preserve"> to engage with the health sector</w:t>
      </w:r>
      <w:r w:rsidR="00FE1E53">
        <w:rPr>
          <w:rStyle w:val="eop"/>
          <w:rFonts w:ascii="VIC" w:eastAsia="Times New Roman" w:hAnsi="VIC" w:cs="Segoe UI"/>
        </w:rPr>
        <w:t xml:space="preserve">. </w:t>
      </w:r>
      <w:r w:rsidR="00AD0356">
        <w:rPr>
          <w:rStyle w:val="eop"/>
          <w:rFonts w:ascii="VIC" w:eastAsia="Times New Roman" w:hAnsi="VIC" w:cs="Segoe UI"/>
        </w:rPr>
        <w:t>S</w:t>
      </w:r>
      <w:r w:rsidR="007D5EEE" w:rsidRPr="00434CC3">
        <w:rPr>
          <w:rStyle w:val="eop"/>
          <w:rFonts w:ascii="VIC" w:eastAsia="Times New Roman" w:hAnsi="VIC" w:cs="Segoe UI"/>
        </w:rPr>
        <w:t>ustainable model</w:t>
      </w:r>
      <w:r w:rsidR="008B781D">
        <w:rPr>
          <w:rStyle w:val="eop"/>
          <w:rFonts w:ascii="VIC" w:eastAsia="Times New Roman" w:hAnsi="VIC" w:cs="Segoe UI"/>
        </w:rPr>
        <w:t>s</w:t>
      </w:r>
      <w:r w:rsidR="007D5EEE" w:rsidRPr="00434CC3">
        <w:rPr>
          <w:rStyle w:val="eop"/>
          <w:rFonts w:ascii="VIC" w:eastAsia="Times New Roman" w:hAnsi="VIC" w:cs="Segoe UI"/>
        </w:rPr>
        <w:t xml:space="preserve"> of care</w:t>
      </w:r>
      <w:r w:rsidR="000A58FF">
        <w:rPr>
          <w:rStyle w:val="eop"/>
          <w:rFonts w:ascii="VIC" w:eastAsia="Times New Roman" w:hAnsi="VIC" w:cs="Segoe UI"/>
        </w:rPr>
        <w:t xml:space="preserve"> that </w:t>
      </w:r>
      <w:r>
        <w:rPr>
          <w:rStyle w:val="eop"/>
          <w:rFonts w:ascii="VIC" w:eastAsia="Times New Roman" w:hAnsi="VIC" w:cs="Segoe UI"/>
        </w:rPr>
        <w:t>are</w:t>
      </w:r>
      <w:r w:rsidR="006560E1" w:rsidRPr="00434CC3">
        <w:rPr>
          <w:rStyle w:val="eop"/>
          <w:rFonts w:ascii="VIC" w:eastAsia="Times New Roman" w:hAnsi="VIC" w:cs="Segoe UI"/>
        </w:rPr>
        <w:t xml:space="preserve"> co-design</w:t>
      </w:r>
      <w:r>
        <w:rPr>
          <w:rStyle w:val="eop"/>
          <w:rFonts w:ascii="VIC" w:eastAsia="Times New Roman" w:hAnsi="VIC" w:cs="Segoe UI"/>
        </w:rPr>
        <w:t>ed</w:t>
      </w:r>
      <w:r w:rsidR="006560E1" w:rsidRPr="00434CC3">
        <w:rPr>
          <w:rStyle w:val="eop"/>
          <w:rFonts w:ascii="VIC" w:eastAsia="Times New Roman" w:hAnsi="VIC" w:cs="Segoe UI"/>
        </w:rPr>
        <w:t xml:space="preserve"> </w:t>
      </w:r>
      <w:r>
        <w:rPr>
          <w:rStyle w:val="eop"/>
          <w:rFonts w:ascii="VIC" w:eastAsia="Times New Roman" w:hAnsi="VIC" w:cs="Segoe UI"/>
        </w:rPr>
        <w:t>with</w:t>
      </w:r>
      <w:r w:rsidR="006560E1" w:rsidRPr="00434CC3">
        <w:rPr>
          <w:rStyle w:val="eop"/>
          <w:rFonts w:ascii="VIC" w:eastAsia="Times New Roman" w:hAnsi="VIC" w:cs="Segoe UI"/>
        </w:rPr>
        <w:t xml:space="preserve"> consumer</w:t>
      </w:r>
      <w:r>
        <w:rPr>
          <w:rStyle w:val="eop"/>
          <w:rFonts w:ascii="VIC" w:eastAsia="Times New Roman" w:hAnsi="VIC" w:cs="Segoe UI"/>
        </w:rPr>
        <w:t xml:space="preserve">s </w:t>
      </w:r>
      <w:r w:rsidR="00AD0356">
        <w:rPr>
          <w:rStyle w:val="eop"/>
          <w:rFonts w:ascii="VIC" w:eastAsia="Times New Roman" w:hAnsi="VIC" w:cs="Segoe UI"/>
        </w:rPr>
        <w:t xml:space="preserve">are required. </w:t>
      </w:r>
      <w:r w:rsidR="00806C28">
        <w:rPr>
          <w:rStyle w:val="eop"/>
          <w:rFonts w:ascii="VIC" w:eastAsia="Times New Roman" w:hAnsi="VIC" w:cs="Segoe UI"/>
        </w:rPr>
        <w:t>Sharing successful stories of co-design will challenge existing norms and encourage the sector to listen and be open to change.</w:t>
      </w:r>
    </w:p>
    <w:p w14:paraId="38194B60" w14:textId="77777777" w:rsidR="004C1E25" w:rsidRPr="00434CC3" w:rsidRDefault="004C1E25" w:rsidP="00434CC3">
      <w:pPr>
        <w:spacing w:before="0" w:after="0" w:line="276" w:lineRule="auto"/>
        <w:textAlignment w:val="center"/>
        <w:rPr>
          <w:rStyle w:val="eop"/>
          <w:rFonts w:ascii="VIC" w:eastAsia="Times New Roman" w:hAnsi="VIC" w:cs="Segoe UI"/>
        </w:rPr>
      </w:pPr>
    </w:p>
    <w:p w14:paraId="7096D926" w14:textId="423AA7EB" w:rsidR="00066DAC" w:rsidRDefault="00F71008" w:rsidP="00434CC3">
      <w:pPr>
        <w:spacing w:before="0" w:after="0" w:line="276" w:lineRule="auto"/>
        <w:textAlignment w:val="center"/>
        <w:rPr>
          <w:rStyle w:val="eop"/>
          <w:rFonts w:ascii="VIC" w:hAnsi="VIC" w:cs="Segoe UI"/>
        </w:rPr>
      </w:pPr>
      <w:r>
        <w:rPr>
          <w:rStyle w:val="eop"/>
          <w:rFonts w:ascii="VIC" w:eastAsia="Times New Roman" w:hAnsi="VIC" w:cs="Segoe UI"/>
        </w:rPr>
        <w:t>The council emphasise</w:t>
      </w:r>
      <w:r w:rsidR="00F55AE6">
        <w:rPr>
          <w:rStyle w:val="eop"/>
          <w:rFonts w:ascii="VIC" w:eastAsia="Times New Roman" w:hAnsi="VIC" w:cs="Segoe UI"/>
        </w:rPr>
        <w:t>s</w:t>
      </w:r>
      <w:r w:rsidR="007D5EEE" w:rsidRPr="00434CC3">
        <w:rPr>
          <w:rStyle w:val="eop"/>
          <w:rFonts w:ascii="VIC" w:eastAsia="Times New Roman" w:hAnsi="VIC" w:cs="Segoe UI"/>
        </w:rPr>
        <w:t xml:space="preserve"> t</w:t>
      </w:r>
      <w:r w:rsidR="00C000A3" w:rsidRPr="00434CC3">
        <w:rPr>
          <w:rStyle w:val="eop"/>
          <w:rFonts w:ascii="VIC" w:eastAsia="Times New Roman" w:hAnsi="VIC" w:cs="Segoe UI"/>
        </w:rPr>
        <w:t>he importance of understanding risk factors</w:t>
      </w:r>
      <w:r w:rsidR="007D5EEE" w:rsidRPr="00434CC3">
        <w:rPr>
          <w:rStyle w:val="eop"/>
          <w:rFonts w:ascii="VIC" w:eastAsia="Times New Roman" w:hAnsi="VIC" w:cs="Segoe UI"/>
        </w:rPr>
        <w:t xml:space="preserve"> and health outcomes that a</w:t>
      </w:r>
      <w:r w:rsidR="008E5A06" w:rsidRPr="00434CC3">
        <w:rPr>
          <w:rStyle w:val="eop"/>
          <w:rFonts w:ascii="VIC" w:eastAsia="Times New Roman" w:hAnsi="VIC" w:cs="Segoe UI"/>
        </w:rPr>
        <w:t>re</w:t>
      </w:r>
      <w:r w:rsidR="007D5EEE" w:rsidRPr="00434CC3">
        <w:rPr>
          <w:rStyle w:val="eop"/>
          <w:rFonts w:ascii="VIC" w:eastAsia="Times New Roman" w:hAnsi="VIC" w:cs="Segoe UI"/>
        </w:rPr>
        <w:t xml:space="preserve"> specific to </w:t>
      </w:r>
      <w:r w:rsidR="00C000A3" w:rsidRPr="00434CC3">
        <w:rPr>
          <w:rStyle w:val="eop"/>
          <w:rFonts w:ascii="VIC" w:eastAsia="Times New Roman" w:hAnsi="VIC" w:cs="Segoe UI"/>
        </w:rPr>
        <w:t>diverse populations.</w:t>
      </w:r>
      <w:r w:rsidR="00DE6E91" w:rsidRPr="00434CC3">
        <w:rPr>
          <w:rStyle w:val="eop"/>
          <w:rFonts w:ascii="VIC" w:eastAsia="Times New Roman" w:hAnsi="VIC" w:cs="Segoe UI"/>
        </w:rPr>
        <w:t xml:space="preserve"> </w:t>
      </w:r>
      <w:r w:rsidR="008E5A06" w:rsidRPr="00434CC3">
        <w:rPr>
          <w:rStyle w:val="eop"/>
          <w:rFonts w:ascii="VIC" w:eastAsia="Times New Roman" w:hAnsi="VIC" w:cs="Segoe UI"/>
        </w:rPr>
        <w:t>P</w:t>
      </w:r>
      <w:r w:rsidR="007D5EEE" w:rsidRPr="00434CC3">
        <w:rPr>
          <w:rStyle w:val="eop"/>
          <w:rFonts w:ascii="VIC" w:eastAsia="Times New Roman" w:hAnsi="VIC" w:cs="Segoe UI"/>
        </w:rPr>
        <w:t>erson</w:t>
      </w:r>
      <w:r w:rsidR="00F55AE6">
        <w:rPr>
          <w:rStyle w:val="eop"/>
          <w:rFonts w:ascii="VIC" w:eastAsia="Times New Roman" w:hAnsi="VIC" w:cs="Segoe UI"/>
        </w:rPr>
        <w:t>-</w:t>
      </w:r>
      <w:r w:rsidR="007D5EEE" w:rsidRPr="00434CC3">
        <w:rPr>
          <w:rStyle w:val="eop"/>
          <w:rFonts w:ascii="VIC" w:eastAsia="Times New Roman" w:hAnsi="VIC" w:cs="Segoe UI"/>
        </w:rPr>
        <w:t>centred care</w:t>
      </w:r>
      <w:r w:rsidR="008E5A06" w:rsidRPr="00434CC3">
        <w:rPr>
          <w:rStyle w:val="eop"/>
          <w:rFonts w:ascii="VIC" w:eastAsia="Times New Roman" w:hAnsi="VIC" w:cs="Segoe UI"/>
        </w:rPr>
        <w:t xml:space="preserve"> should be prioritised</w:t>
      </w:r>
      <w:r w:rsidR="007D5EEE" w:rsidRPr="00434CC3">
        <w:rPr>
          <w:rStyle w:val="eop"/>
          <w:rFonts w:ascii="VIC" w:eastAsia="Times New Roman" w:hAnsi="VIC" w:cs="Segoe UI"/>
        </w:rPr>
        <w:t xml:space="preserve"> to manage </w:t>
      </w:r>
      <w:r w:rsidR="00383472">
        <w:rPr>
          <w:rStyle w:val="eop"/>
          <w:rFonts w:ascii="VIC" w:eastAsia="Times New Roman" w:hAnsi="VIC" w:cs="Segoe UI"/>
        </w:rPr>
        <w:t>individual needs</w:t>
      </w:r>
      <w:r w:rsidR="007D5EEE" w:rsidRPr="00434CC3">
        <w:rPr>
          <w:rStyle w:val="eop"/>
          <w:rFonts w:ascii="VIC" w:eastAsia="Times New Roman" w:hAnsi="VIC" w:cs="Segoe UI"/>
        </w:rPr>
        <w:t xml:space="preserve">.  </w:t>
      </w:r>
      <w:r w:rsidR="00F55AE6">
        <w:rPr>
          <w:rStyle w:val="eop"/>
          <w:rFonts w:ascii="VIC" w:eastAsia="Times New Roman" w:hAnsi="VIC" w:cs="Segoe UI"/>
        </w:rPr>
        <w:t>Individuals need to be h</w:t>
      </w:r>
      <w:r w:rsidR="00DE6E91" w:rsidRPr="00434CC3">
        <w:rPr>
          <w:rStyle w:val="eop"/>
          <w:rFonts w:ascii="VIC" w:eastAsia="Times New Roman" w:hAnsi="VIC" w:cs="Segoe UI"/>
        </w:rPr>
        <w:t>ealth liter</w:t>
      </w:r>
      <w:r w:rsidR="00F55AE6">
        <w:rPr>
          <w:rStyle w:val="eop"/>
          <w:rFonts w:ascii="VIC" w:eastAsia="Times New Roman" w:hAnsi="VIC" w:cs="Segoe UI"/>
        </w:rPr>
        <w:t>ate</w:t>
      </w:r>
      <w:r w:rsidR="00DE6E91" w:rsidRPr="00434CC3">
        <w:rPr>
          <w:rStyle w:val="eop"/>
          <w:rFonts w:ascii="VIC" w:eastAsia="Times New Roman" w:hAnsi="VIC" w:cs="Segoe UI"/>
        </w:rPr>
        <w:t xml:space="preserve"> to</w:t>
      </w:r>
      <w:r w:rsidR="008D42A0" w:rsidRPr="00434CC3">
        <w:rPr>
          <w:rStyle w:val="eop"/>
          <w:rFonts w:ascii="VIC" w:hAnsi="VIC" w:cs="Segoe UI"/>
        </w:rPr>
        <w:t xml:space="preserve"> ensure</w:t>
      </w:r>
      <w:r w:rsidR="00DE6E91" w:rsidRPr="00434CC3">
        <w:rPr>
          <w:rStyle w:val="eop"/>
          <w:rFonts w:ascii="VIC" w:hAnsi="VIC" w:cs="Segoe UI"/>
        </w:rPr>
        <w:t xml:space="preserve"> </w:t>
      </w:r>
      <w:r w:rsidR="00F55AE6">
        <w:rPr>
          <w:rStyle w:val="eop"/>
          <w:rFonts w:ascii="VIC" w:hAnsi="VIC" w:cs="Segoe UI"/>
        </w:rPr>
        <w:t>they</w:t>
      </w:r>
      <w:r w:rsidR="008D42A0" w:rsidRPr="00434CC3">
        <w:rPr>
          <w:rStyle w:val="eop"/>
          <w:rFonts w:ascii="VIC" w:hAnsi="VIC" w:cs="Segoe UI"/>
        </w:rPr>
        <w:t xml:space="preserve"> can </w:t>
      </w:r>
      <w:r w:rsidR="00DE6E91" w:rsidRPr="00434CC3">
        <w:rPr>
          <w:rStyle w:val="eop"/>
          <w:rFonts w:ascii="VIC" w:hAnsi="VIC" w:cs="Segoe UI"/>
        </w:rPr>
        <w:t>convey their values,</w:t>
      </w:r>
      <w:r w:rsidR="008D42A0" w:rsidRPr="00434CC3">
        <w:rPr>
          <w:rStyle w:val="eop"/>
          <w:rFonts w:ascii="VIC" w:hAnsi="VIC" w:cs="Segoe UI"/>
        </w:rPr>
        <w:t xml:space="preserve"> needs</w:t>
      </w:r>
      <w:r w:rsidR="00DE6E91" w:rsidRPr="00434CC3">
        <w:rPr>
          <w:rStyle w:val="eop"/>
          <w:rFonts w:ascii="VIC" w:hAnsi="VIC" w:cs="Segoe UI"/>
        </w:rPr>
        <w:t xml:space="preserve"> and unique circumstances</w:t>
      </w:r>
      <w:r w:rsidR="008D42A0" w:rsidRPr="00434CC3">
        <w:rPr>
          <w:rStyle w:val="eop"/>
          <w:rFonts w:ascii="VIC" w:hAnsi="VIC" w:cs="Segoe UI"/>
        </w:rPr>
        <w:t xml:space="preserve"> in relation to their care</w:t>
      </w:r>
      <w:r w:rsidR="00DE6E91" w:rsidRPr="00434CC3">
        <w:rPr>
          <w:rStyle w:val="eop"/>
          <w:rFonts w:ascii="VIC" w:hAnsi="VIC" w:cs="Segoe UI"/>
        </w:rPr>
        <w:t>.</w:t>
      </w:r>
      <w:r w:rsidR="008D42A0" w:rsidRPr="00434CC3">
        <w:rPr>
          <w:rStyle w:val="eop"/>
          <w:rFonts w:ascii="VIC" w:hAnsi="VIC" w:cs="Segoe UI"/>
        </w:rPr>
        <w:t xml:space="preserve"> </w:t>
      </w:r>
    </w:p>
    <w:p w14:paraId="0A71828C" w14:textId="77777777" w:rsidR="00066DAC" w:rsidRPr="00434CC3" w:rsidRDefault="00066DAC" w:rsidP="00066DAC">
      <w:pPr>
        <w:pStyle w:val="Heading2"/>
        <w:rPr>
          <w:rStyle w:val="eop"/>
          <w:rFonts w:ascii="VIC" w:hAnsi="VIC" w:cs="Segoe UI"/>
          <w:b w:val="0"/>
        </w:rPr>
      </w:pPr>
      <w:r>
        <w:rPr>
          <w:rStyle w:val="eop"/>
          <w:rFonts w:ascii="VIC" w:hAnsi="VIC" w:cs="Segoe UI"/>
          <w:sz w:val="20"/>
          <w:szCs w:val="20"/>
        </w:rPr>
        <w:lastRenderedPageBreak/>
        <w:t>Recommendation</w:t>
      </w:r>
    </w:p>
    <w:p w14:paraId="4BE97096" w14:textId="182B448E" w:rsidR="004C1E25" w:rsidRDefault="00435CDB" w:rsidP="004C1E25">
      <w:pPr>
        <w:pStyle w:val="PulloutHeading"/>
        <w:numPr>
          <w:ilvl w:val="0"/>
          <w:numId w:val="35"/>
        </w:numPr>
        <w:spacing w:before="240" w:line="240" w:lineRule="auto"/>
        <w:rPr>
          <w:rFonts w:ascii="VIC" w:hAnsi="VIC"/>
          <w:b w:val="0"/>
          <w:color w:val="auto"/>
          <w:sz w:val="20"/>
        </w:rPr>
      </w:pPr>
      <w:r w:rsidRPr="00435CDB">
        <w:rPr>
          <w:rFonts w:ascii="VIC" w:hAnsi="VIC"/>
          <w:b w:val="0"/>
          <w:color w:val="auto"/>
          <w:sz w:val="20"/>
        </w:rPr>
        <w:t>Consumer participation and co-design are used to create culturally safe environments within the health sector.</w:t>
      </w:r>
    </w:p>
    <w:p w14:paraId="4EF1BB59" w14:textId="77777777" w:rsidR="0030129C" w:rsidRPr="0030129C" w:rsidRDefault="0030129C" w:rsidP="0030129C">
      <w:pPr>
        <w:pStyle w:val="PulloutText"/>
      </w:pPr>
    </w:p>
    <w:p w14:paraId="1D867C50" w14:textId="77777777" w:rsidR="00F610AA" w:rsidRPr="00F610AA" w:rsidRDefault="00F610AA" w:rsidP="00102A98">
      <w:pPr>
        <w:spacing w:before="0" w:after="0" w:line="240" w:lineRule="auto"/>
        <w:textAlignment w:val="center"/>
        <w:rPr>
          <w:rFonts w:ascii="VIC" w:eastAsia="Times New Roman" w:hAnsi="VIC" w:cstheme="minorHAnsi"/>
          <w:b/>
          <w:sz w:val="22"/>
          <w:szCs w:val="22"/>
        </w:rPr>
      </w:pPr>
      <w:r w:rsidRPr="00CA4E7D">
        <w:rPr>
          <w:rFonts w:ascii="VIC" w:hAnsi="VIC"/>
          <w:noProof/>
        </w:rPr>
        <mc:AlternateContent>
          <mc:Choice Requires="wps">
            <w:drawing>
              <wp:inline distT="0" distB="0" distL="0" distR="0" wp14:anchorId="440E1317" wp14:editId="6AFF20D6">
                <wp:extent cx="6263640" cy="904875"/>
                <wp:effectExtent l="0" t="0" r="2286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904875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9BEC" w14:textId="6D67A441" w:rsidR="00F610AA" w:rsidRPr="00F777E1" w:rsidRDefault="00066DAC" w:rsidP="00F610AA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t>Intended outcomes</w:t>
                            </w:r>
                          </w:p>
                          <w:p w14:paraId="644A6CA1" w14:textId="0405DEC1" w:rsidR="003C1347" w:rsidRDefault="003C1347" w:rsidP="00F27A6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3C1347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Symbols and icons that welcome diverse groups are used to create culturally and diversity safe environments</w:t>
                            </w:r>
                            <w: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.</w:t>
                            </w:r>
                          </w:p>
                          <w:p w14:paraId="7AFE8B14" w14:textId="44411BD7" w:rsidR="00F27A65" w:rsidRPr="00F27A65" w:rsidRDefault="003C1347" w:rsidP="00F27A6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C</w:t>
                            </w:r>
                            <w:r w:rsidR="00F27A65" w:rsidRPr="00F27A6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 xml:space="preserve">are delivery models involve co-design with local communities and include the use of interpreter services at the appropriate time. </w:t>
                            </w:r>
                          </w:p>
                          <w:p w14:paraId="122A82F7" w14:textId="77777777" w:rsidR="00F27A65" w:rsidRPr="00F27A65" w:rsidRDefault="00F27A65" w:rsidP="00F27A6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F27A65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Partnerships exist between healthcare providers, consumers, community groups, researchers and policy makers.</w:t>
                            </w:r>
                          </w:p>
                          <w:p w14:paraId="1A0377BE" w14:textId="10066552" w:rsidR="00F610AA" w:rsidRPr="00F27A65" w:rsidRDefault="003C1347" w:rsidP="003C1347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</w:pPr>
                            <w:r w:rsidRPr="003C1347">
                              <w:rPr>
                                <w:rFonts w:ascii="VIC" w:hAnsi="VIC"/>
                                <w:color w:val="004EA8"/>
                                <w:szCs w:val="22"/>
                              </w:rPr>
                              <w:t>Consideration is given to the feasibility and role of peer workers, who are from similar backgrounds to consumers with lived experience, to assist with health literacy.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E1317" id="_x0000_s1031" type="#_x0000_t202" style="width:493.2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" fillcolor="#edf5f7" strokecolor="#edf5f7" strokeweight=".5pt">
                <v:textbox style="mso-fit-shape-to-text:t" inset="5mm,5mm,4mm,1mm">
                  <w:txbxContent>
                    <w:p w14:paraId="3A6D9BEC" w14:textId="6D67A441" w:rsidR="00F610AA" w:rsidRPr="00F777E1" w:rsidRDefault="00066DAC" w:rsidP="00F610AA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>
                        <w:rPr>
                          <w:rFonts w:ascii="VIC SemiBold" w:hAnsi="VIC SemiBold"/>
                          <w:b w:val="0"/>
                        </w:rPr>
                        <w:t>Intended outcomes</w:t>
                      </w:r>
                    </w:p>
                    <w:p w14:paraId="644A6CA1" w14:textId="0405DEC1" w:rsidR="003C1347" w:rsidRDefault="003C1347" w:rsidP="00F27A6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3C1347">
                        <w:rPr>
                          <w:rFonts w:ascii="VIC" w:hAnsi="VIC"/>
                          <w:color w:val="004EA8"/>
                          <w:szCs w:val="22"/>
                        </w:rPr>
                        <w:t>Symbols and icons that welcome diverse groups are used to create culturally and diversity safe environments</w:t>
                      </w:r>
                      <w:r>
                        <w:rPr>
                          <w:rFonts w:ascii="VIC" w:hAnsi="VIC"/>
                          <w:color w:val="004EA8"/>
                          <w:szCs w:val="22"/>
                        </w:rPr>
                        <w:t>.</w:t>
                      </w:r>
                    </w:p>
                    <w:p w14:paraId="7AFE8B14" w14:textId="44411BD7" w:rsidR="00F27A65" w:rsidRPr="00F27A65" w:rsidRDefault="003C1347" w:rsidP="00F27A6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>
                        <w:rPr>
                          <w:rFonts w:ascii="VIC" w:hAnsi="VIC"/>
                          <w:color w:val="004EA8"/>
                          <w:szCs w:val="22"/>
                        </w:rPr>
                        <w:t>C</w:t>
                      </w:r>
                      <w:r w:rsidR="00F27A65" w:rsidRPr="00F27A65">
                        <w:rPr>
                          <w:rFonts w:ascii="VIC" w:hAnsi="VIC"/>
                          <w:color w:val="004EA8"/>
                          <w:szCs w:val="22"/>
                        </w:rPr>
                        <w:t xml:space="preserve">are delivery models involve co-design with local communities and include the use of interpreter services at the appropriate time. </w:t>
                      </w:r>
                    </w:p>
                    <w:p w14:paraId="122A82F7" w14:textId="77777777" w:rsidR="00F27A65" w:rsidRPr="00F27A65" w:rsidRDefault="00F27A65" w:rsidP="00F27A6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F27A65">
                        <w:rPr>
                          <w:rFonts w:ascii="VIC" w:hAnsi="VIC"/>
                          <w:color w:val="004EA8"/>
                          <w:szCs w:val="22"/>
                        </w:rPr>
                        <w:t>Partnerships exist between healthcare providers, consumers, community groups, researchers and policy makers.</w:t>
                      </w:r>
                    </w:p>
                    <w:p w14:paraId="1A0377BE" w14:textId="10066552" w:rsidR="00F610AA" w:rsidRPr="00F27A65" w:rsidRDefault="003C1347" w:rsidP="003C1347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rPr>
                          <w:rFonts w:ascii="VIC" w:hAnsi="VIC"/>
                          <w:color w:val="004EA8"/>
                          <w:szCs w:val="22"/>
                        </w:rPr>
                      </w:pPr>
                      <w:r w:rsidRPr="003C1347">
                        <w:rPr>
                          <w:rFonts w:ascii="VIC" w:hAnsi="VIC"/>
                          <w:color w:val="004EA8"/>
                          <w:szCs w:val="22"/>
                        </w:rPr>
                        <w:t>Consideration is given to the feasibility and role of peer workers, who are from similar backgrounds to consumers with lived experience, to assist with health literacy.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CA8D" w14:textId="378148C1" w:rsidR="005627DE" w:rsidRDefault="005627DE" w:rsidP="00D81159">
      <w:pPr>
        <w:pStyle w:val="Heading3"/>
        <w:rPr>
          <w:rFonts w:ascii="VIC SemiBold" w:hAnsi="VIC SemiBold" w:cstheme="minorHAnsi"/>
          <w:b w:val="0"/>
          <w:caps/>
          <w:color w:val="004EA8"/>
          <w:szCs w:val="26"/>
        </w:rPr>
      </w:pPr>
      <w:r w:rsidRPr="005627DE">
        <w:rPr>
          <w:rFonts w:ascii="VIC SemiBold" w:hAnsi="VIC SemiBold" w:cstheme="minorHAnsi"/>
          <w:b w:val="0"/>
          <w:caps/>
          <w:color w:val="004EA8"/>
          <w:szCs w:val="26"/>
        </w:rPr>
        <w:t>Relevance to previous advice</w:t>
      </w:r>
    </w:p>
    <w:p w14:paraId="41E31014" w14:textId="52756718" w:rsidR="00A14048" w:rsidRPr="00DC633C" w:rsidRDefault="003A7E8A" w:rsidP="00A14048">
      <w:pPr>
        <w:pStyle w:val="paragraph"/>
        <w:spacing w:after="0"/>
        <w:textAlignment w:val="baseline"/>
        <w:rPr>
          <w:rStyle w:val="eop"/>
          <w:rFonts w:ascii="VIC" w:hAnsi="VIC" w:cs="Segoe UI"/>
          <w:sz w:val="20"/>
          <w:szCs w:val="22"/>
        </w:rPr>
      </w:pPr>
      <w:r>
        <w:rPr>
          <w:rStyle w:val="eop"/>
          <w:rFonts w:ascii="VIC" w:hAnsi="VIC" w:cs="Segoe UI"/>
          <w:sz w:val="20"/>
          <w:szCs w:val="22"/>
        </w:rPr>
        <w:t>At this meeting, t</w:t>
      </w:r>
      <w:r w:rsidR="00A14048" w:rsidRPr="00DC633C">
        <w:rPr>
          <w:rStyle w:val="eop"/>
          <w:rFonts w:ascii="VIC" w:hAnsi="VIC" w:cs="Segoe UI"/>
          <w:sz w:val="20"/>
          <w:szCs w:val="22"/>
        </w:rPr>
        <w:t>he council discussions highlighted the role of integrated care</w:t>
      </w:r>
      <w:r w:rsidR="00E73E7E" w:rsidRPr="00DC633C">
        <w:rPr>
          <w:rStyle w:val="eop"/>
          <w:rFonts w:ascii="VIC" w:hAnsi="VIC" w:cs="Segoe UI"/>
          <w:sz w:val="20"/>
          <w:szCs w:val="22"/>
        </w:rPr>
        <w:t xml:space="preserve"> and funding</w:t>
      </w:r>
      <w:r w:rsidR="00A14048" w:rsidRPr="00DC633C">
        <w:rPr>
          <w:rStyle w:val="eop"/>
          <w:rFonts w:ascii="VIC" w:hAnsi="VIC" w:cs="Segoe UI"/>
          <w:sz w:val="20"/>
          <w:szCs w:val="22"/>
        </w:rPr>
        <w:t xml:space="preserve"> models </w:t>
      </w:r>
      <w:r w:rsidR="00F55AE6">
        <w:rPr>
          <w:rStyle w:val="eop"/>
          <w:rFonts w:ascii="VIC" w:hAnsi="VIC" w:cs="Segoe UI"/>
          <w:sz w:val="20"/>
          <w:szCs w:val="22"/>
        </w:rPr>
        <w:t>contributing to</w:t>
      </w:r>
      <w:r w:rsidR="00A14048" w:rsidRPr="00DC633C">
        <w:rPr>
          <w:rStyle w:val="eop"/>
          <w:rFonts w:ascii="VIC" w:hAnsi="VIC" w:cs="Segoe UI"/>
          <w:sz w:val="20"/>
          <w:szCs w:val="22"/>
        </w:rPr>
        <w:t xml:space="preserve"> </w:t>
      </w:r>
      <w:r w:rsidR="00E73E7E" w:rsidRPr="00DC633C">
        <w:rPr>
          <w:rStyle w:val="eop"/>
          <w:rFonts w:ascii="VIC" w:hAnsi="VIC" w:cs="Segoe UI"/>
          <w:sz w:val="20"/>
          <w:szCs w:val="22"/>
        </w:rPr>
        <w:t xml:space="preserve">positive </w:t>
      </w:r>
      <w:r w:rsidR="00C42A13" w:rsidRPr="00DC633C">
        <w:rPr>
          <w:rStyle w:val="eop"/>
          <w:rFonts w:ascii="VIC" w:hAnsi="VIC" w:cs="Segoe UI"/>
          <w:sz w:val="20"/>
          <w:szCs w:val="22"/>
        </w:rPr>
        <w:t>c</w:t>
      </w:r>
      <w:r w:rsidR="00602341">
        <w:rPr>
          <w:rStyle w:val="eop"/>
          <w:rFonts w:ascii="VIC" w:hAnsi="VIC" w:cs="Segoe UI"/>
          <w:sz w:val="20"/>
          <w:szCs w:val="22"/>
        </w:rPr>
        <w:t xml:space="preserve">hange between social and health </w:t>
      </w:r>
      <w:r w:rsidR="00C42A13" w:rsidRPr="00DC633C">
        <w:rPr>
          <w:rStyle w:val="eop"/>
          <w:rFonts w:ascii="VIC" w:hAnsi="VIC" w:cs="Segoe UI"/>
          <w:sz w:val="20"/>
          <w:szCs w:val="22"/>
        </w:rPr>
        <w:t>care</w:t>
      </w:r>
      <w:r w:rsidR="00A14048" w:rsidRPr="00DC633C">
        <w:rPr>
          <w:rStyle w:val="eop"/>
          <w:rFonts w:ascii="VIC" w:hAnsi="VIC" w:cs="Segoe UI"/>
          <w:sz w:val="20"/>
          <w:szCs w:val="22"/>
        </w:rPr>
        <w:t>.</w:t>
      </w:r>
    </w:p>
    <w:p w14:paraId="4CF8ED39" w14:textId="67A5A5F0" w:rsidR="00A14048" w:rsidRPr="00DC633C" w:rsidRDefault="00A14048" w:rsidP="00A14048">
      <w:pPr>
        <w:pStyle w:val="paragraph"/>
        <w:spacing w:after="0"/>
        <w:textAlignment w:val="baseline"/>
        <w:rPr>
          <w:rStyle w:val="eop"/>
          <w:rFonts w:ascii="VIC" w:hAnsi="VIC" w:cs="Segoe UI"/>
          <w:sz w:val="20"/>
          <w:szCs w:val="22"/>
        </w:rPr>
      </w:pPr>
      <w:r w:rsidRPr="00DC633C">
        <w:rPr>
          <w:rStyle w:val="eop"/>
          <w:rFonts w:ascii="VIC" w:hAnsi="VIC" w:cs="Segoe UI"/>
          <w:sz w:val="20"/>
          <w:szCs w:val="22"/>
        </w:rPr>
        <w:t>The council has previous</w:t>
      </w:r>
      <w:r w:rsidR="00AA4712" w:rsidRPr="00DC633C">
        <w:rPr>
          <w:rStyle w:val="eop"/>
          <w:rFonts w:ascii="VIC" w:hAnsi="VIC" w:cs="Segoe UI"/>
          <w:sz w:val="20"/>
          <w:szCs w:val="22"/>
        </w:rPr>
        <w:t>ly</w:t>
      </w:r>
      <w:r w:rsidRPr="00DC633C">
        <w:rPr>
          <w:rStyle w:val="eop"/>
          <w:rFonts w:ascii="VIC" w:hAnsi="VIC" w:cs="Segoe UI"/>
          <w:sz w:val="20"/>
          <w:szCs w:val="22"/>
        </w:rPr>
        <w:t xml:space="preserve"> provided advice on: </w:t>
      </w:r>
    </w:p>
    <w:p w14:paraId="2572D0C8" w14:textId="414D1312" w:rsidR="005627DE" w:rsidRPr="00DC633C" w:rsidRDefault="005627DE" w:rsidP="005B19BF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rFonts w:ascii="VIC" w:hAnsi="VIC" w:cs="Segoe UI"/>
          <w:i/>
          <w:sz w:val="20"/>
          <w:szCs w:val="22"/>
        </w:rPr>
      </w:pPr>
      <w:r w:rsidRPr="00DC633C">
        <w:rPr>
          <w:rStyle w:val="eop"/>
          <w:rFonts w:ascii="VIC" w:hAnsi="VIC" w:cs="Segoe UI"/>
          <w:i/>
          <w:sz w:val="20"/>
          <w:szCs w:val="22"/>
        </w:rPr>
        <w:t xml:space="preserve">Integration of </w:t>
      </w:r>
      <w:r w:rsidR="00E73E7E" w:rsidRPr="00DC633C">
        <w:rPr>
          <w:rStyle w:val="eop"/>
          <w:rFonts w:ascii="VIC" w:hAnsi="VIC" w:cs="Segoe UI"/>
          <w:i/>
          <w:sz w:val="20"/>
          <w:szCs w:val="22"/>
        </w:rPr>
        <w:t>care: from fragmented to seamless</w:t>
      </w:r>
    </w:p>
    <w:p w14:paraId="40C05037" w14:textId="6435DE18" w:rsidR="005627DE" w:rsidRPr="00DC633C" w:rsidRDefault="009B4DA1" w:rsidP="005B19BF">
      <w:pPr>
        <w:pStyle w:val="paragraph"/>
        <w:numPr>
          <w:ilvl w:val="0"/>
          <w:numId w:val="8"/>
        </w:numPr>
        <w:spacing w:after="0"/>
        <w:textAlignment w:val="baseline"/>
        <w:rPr>
          <w:rStyle w:val="eop"/>
          <w:rFonts w:ascii="VIC" w:hAnsi="VIC" w:cs="Segoe UI"/>
          <w:i/>
          <w:sz w:val="20"/>
          <w:szCs w:val="22"/>
        </w:rPr>
      </w:pPr>
      <w:r w:rsidRPr="00DC633C">
        <w:rPr>
          <w:rStyle w:val="eop"/>
          <w:rFonts w:ascii="VIC" w:hAnsi="VIC" w:cs="Segoe UI"/>
          <w:i/>
          <w:sz w:val="20"/>
          <w:szCs w:val="22"/>
        </w:rPr>
        <w:t>Value-based healthcare: a</w:t>
      </w:r>
      <w:r w:rsidR="00E73E7E" w:rsidRPr="00DC633C">
        <w:rPr>
          <w:rStyle w:val="eop"/>
          <w:rFonts w:ascii="VIC" w:hAnsi="VIC" w:cs="Segoe UI"/>
          <w:i/>
          <w:sz w:val="20"/>
          <w:szCs w:val="22"/>
        </w:rPr>
        <w:t>n approach for Victoria</w:t>
      </w:r>
    </w:p>
    <w:p w14:paraId="12B321DF" w14:textId="6BC9B55C" w:rsidR="00C42A13" w:rsidRDefault="00A14048" w:rsidP="00AF18C7">
      <w:pPr>
        <w:pStyle w:val="paragraph"/>
        <w:spacing w:after="0"/>
        <w:textAlignment w:val="baseline"/>
        <w:rPr>
          <w:rStyle w:val="eop"/>
          <w:rFonts w:ascii="VIC" w:hAnsi="VIC" w:cs="Segoe UI"/>
          <w:sz w:val="20"/>
          <w:szCs w:val="22"/>
        </w:rPr>
      </w:pPr>
      <w:r w:rsidRPr="00DC633C">
        <w:rPr>
          <w:rStyle w:val="eop"/>
          <w:rFonts w:ascii="VIC" w:hAnsi="VIC" w:cs="Segoe UI"/>
          <w:sz w:val="20"/>
          <w:szCs w:val="22"/>
        </w:rPr>
        <w:t>Progress in both these areas should have a focus</w:t>
      </w:r>
      <w:r w:rsidR="00E73E7E" w:rsidRPr="00DC633C">
        <w:rPr>
          <w:rStyle w:val="eop"/>
          <w:rFonts w:ascii="VIC" w:hAnsi="VIC" w:cs="Segoe UI"/>
          <w:sz w:val="20"/>
          <w:szCs w:val="22"/>
        </w:rPr>
        <w:t xml:space="preserve"> on how </w:t>
      </w:r>
      <w:r w:rsidRPr="00DC633C">
        <w:rPr>
          <w:rStyle w:val="eop"/>
          <w:rFonts w:ascii="VIC" w:hAnsi="VIC" w:cs="Segoe UI"/>
          <w:sz w:val="20"/>
          <w:szCs w:val="22"/>
        </w:rPr>
        <w:t>new</w:t>
      </w:r>
      <w:r w:rsidR="00E73E7E" w:rsidRPr="00DC633C">
        <w:rPr>
          <w:rStyle w:val="eop"/>
          <w:rFonts w:ascii="VIC" w:hAnsi="VIC" w:cs="Segoe UI"/>
          <w:sz w:val="20"/>
          <w:szCs w:val="22"/>
        </w:rPr>
        <w:t xml:space="preserve"> integration and funding</w:t>
      </w:r>
      <w:r w:rsidRPr="00DC633C">
        <w:rPr>
          <w:rStyle w:val="eop"/>
          <w:rFonts w:ascii="VIC" w:hAnsi="VIC" w:cs="Segoe UI"/>
          <w:sz w:val="20"/>
          <w:szCs w:val="22"/>
        </w:rPr>
        <w:t xml:space="preserve"> models can improve h</w:t>
      </w:r>
      <w:r w:rsidR="00AD138E" w:rsidRPr="00DC633C">
        <w:rPr>
          <w:rStyle w:val="eop"/>
          <w:rFonts w:ascii="VIC" w:hAnsi="VIC" w:cs="Segoe UI"/>
          <w:sz w:val="20"/>
          <w:szCs w:val="22"/>
        </w:rPr>
        <w:t xml:space="preserve">ealth outcomes for diverse populations. </w:t>
      </w:r>
    </w:p>
    <w:p w14:paraId="7DEAADF4" w14:textId="77777777" w:rsidR="004C1E25" w:rsidRDefault="004C1E25" w:rsidP="00B1612B">
      <w:pPr>
        <w:rPr>
          <w:rFonts w:ascii="VIC SemiBold" w:hAnsi="VIC SemiBold" w:cstheme="minorHAnsi"/>
          <w:caps/>
          <w:color w:val="004EA8"/>
          <w:szCs w:val="26"/>
        </w:rPr>
      </w:pPr>
    </w:p>
    <w:p w14:paraId="123DB845" w14:textId="1B7DD395" w:rsidR="00D81159" w:rsidRPr="003B5E64" w:rsidRDefault="00D81159" w:rsidP="00B1612B">
      <w:pPr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</w:pPr>
      <w:r w:rsidRPr="003B5E64">
        <w:rPr>
          <w:rFonts w:ascii="VIC SemiBold" w:eastAsiaTheme="majorEastAsia" w:hAnsi="VIC SemiBold" w:cstheme="minorHAnsi"/>
          <w:bCs/>
          <w:caps/>
          <w:color w:val="004EA8"/>
          <w:sz w:val="24"/>
          <w:szCs w:val="26"/>
        </w:rPr>
        <w:t>NEXT STEPS</w:t>
      </w:r>
    </w:p>
    <w:p w14:paraId="1A185355" w14:textId="7D00E63F" w:rsidR="00967B1C" w:rsidRPr="00DC633C" w:rsidRDefault="002B34C0" w:rsidP="00D81159">
      <w:pPr>
        <w:rPr>
          <w:rFonts w:ascii="VIC" w:hAnsi="VIC" w:cstheme="minorHAnsi"/>
          <w:szCs w:val="22"/>
        </w:rPr>
      </w:pPr>
      <w:r w:rsidRPr="00DC633C">
        <w:rPr>
          <w:rFonts w:ascii="VIC" w:hAnsi="VIC" w:cstheme="minorHAnsi"/>
          <w:szCs w:val="22"/>
        </w:rPr>
        <w:t xml:space="preserve">The council </w:t>
      </w:r>
      <w:r w:rsidR="00E41A39" w:rsidRPr="00DC633C">
        <w:rPr>
          <w:rFonts w:ascii="VIC" w:hAnsi="VIC" w:cstheme="minorHAnsi"/>
          <w:szCs w:val="22"/>
        </w:rPr>
        <w:t>recognises that</w:t>
      </w:r>
      <w:r w:rsidR="00863112" w:rsidRPr="00DC633C">
        <w:rPr>
          <w:rFonts w:ascii="VIC" w:hAnsi="VIC" w:cstheme="minorHAnsi"/>
          <w:szCs w:val="22"/>
        </w:rPr>
        <w:t xml:space="preserve"> there is sha</w:t>
      </w:r>
      <w:r w:rsidR="00973350" w:rsidRPr="00DC633C">
        <w:rPr>
          <w:rFonts w:ascii="VIC" w:hAnsi="VIC" w:cstheme="minorHAnsi"/>
          <w:szCs w:val="22"/>
        </w:rPr>
        <w:t>red responsibility between the d</w:t>
      </w:r>
      <w:r w:rsidR="00863112" w:rsidRPr="00DC633C">
        <w:rPr>
          <w:rFonts w:ascii="VIC" w:hAnsi="VIC" w:cstheme="minorHAnsi"/>
          <w:szCs w:val="22"/>
        </w:rPr>
        <w:t>epartment, Safer Care Victoria, the Victorian Agency for Health Information</w:t>
      </w:r>
      <w:r w:rsidR="003A7E8A">
        <w:rPr>
          <w:rFonts w:ascii="VIC" w:hAnsi="VIC" w:cstheme="minorHAnsi"/>
          <w:szCs w:val="22"/>
        </w:rPr>
        <w:t>,</w:t>
      </w:r>
      <w:r w:rsidR="00863112" w:rsidRPr="00DC633C">
        <w:rPr>
          <w:rFonts w:ascii="VIC" w:hAnsi="VIC" w:cstheme="minorHAnsi"/>
          <w:szCs w:val="22"/>
        </w:rPr>
        <w:t xml:space="preserve"> and health services </w:t>
      </w:r>
      <w:r w:rsidR="00434CC3" w:rsidRPr="00DC633C">
        <w:rPr>
          <w:rFonts w:ascii="VIC" w:hAnsi="VIC" w:cstheme="minorHAnsi"/>
          <w:szCs w:val="22"/>
        </w:rPr>
        <w:t>to initiate change that improve</w:t>
      </w:r>
      <w:r w:rsidR="00E41A39" w:rsidRPr="00DC633C">
        <w:rPr>
          <w:rFonts w:ascii="VIC" w:hAnsi="VIC" w:cstheme="minorHAnsi"/>
          <w:szCs w:val="22"/>
        </w:rPr>
        <w:t>s</w:t>
      </w:r>
      <w:r w:rsidR="00863112" w:rsidRPr="00DC633C">
        <w:rPr>
          <w:rFonts w:ascii="VIC" w:hAnsi="VIC" w:cstheme="minorHAnsi"/>
          <w:szCs w:val="22"/>
        </w:rPr>
        <w:t xml:space="preserve"> </w:t>
      </w:r>
      <w:r w:rsidR="008B781D" w:rsidRPr="00DC633C">
        <w:rPr>
          <w:rFonts w:ascii="VIC" w:hAnsi="VIC" w:cstheme="minorHAnsi"/>
          <w:szCs w:val="22"/>
        </w:rPr>
        <w:t xml:space="preserve">health </w:t>
      </w:r>
      <w:r w:rsidR="00863112" w:rsidRPr="00DC633C">
        <w:rPr>
          <w:rFonts w:ascii="VIC" w:hAnsi="VIC" w:cstheme="minorHAnsi"/>
          <w:szCs w:val="22"/>
        </w:rPr>
        <w:t>outcomes.</w:t>
      </w:r>
    </w:p>
    <w:p w14:paraId="339901A4" w14:textId="1F5B5C62" w:rsidR="00EB230F" w:rsidRPr="00DC633C" w:rsidRDefault="00EB230F" w:rsidP="00D81159">
      <w:pPr>
        <w:rPr>
          <w:rFonts w:ascii="VIC" w:hAnsi="VIC" w:cstheme="minorHAnsi"/>
          <w:szCs w:val="22"/>
        </w:rPr>
      </w:pPr>
      <w:r w:rsidRPr="00DC633C">
        <w:rPr>
          <w:rFonts w:ascii="VIC" w:hAnsi="VIC" w:cstheme="minorHAnsi"/>
          <w:szCs w:val="22"/>
        </w:rPr>
        <w:t>The council’s advice will be shared</w:t>
      </w:r>
      <w:r w:rsidR="008B781D" w:rsidRPr="00DC633C">
        <w:rPr>
          <w:rFonts w:ascii="VIC" w:hAnsi="VIC" w:cstheme="minorHAnsi"/>
          <w:szCs w:val="22"/>
        </w:rPr>
        <w:t xml:space="preserve"> with</w:t>
      </w:r>
      <w:r w:rsidR="00973350" w:rsidRPr="00DC633C">
        <w:rPr>
          <w:rFonts w:ascii="VIC" w:hAnsi="VIC" w:cstheme="minorHAnsi"/>
          <w:szCs w:val="22"/>
        </w:rPr>
        <w:t xml:space="preserve"> the</w:t>
      </w:r>
      <w:r w:rsidRPr="00DC633C">
        <w:rPr>
          <w:rFonts w:ascii="VIC" w:hAnsi="VIC" w:cstheme="minorHAnsi"/>
          <w:szCs w:val="22"/>
        </w:rPr>
        <w:t xml:space="preserve"> relevant government agencies who </w:t>
      </w:r>
      <w:r w:rsidR="00DC633C">
        <w:rPr>
          <w:rFonts w:ascii="VIC" w:hAnsi="VIC" w:cstheme="minorHAnsi"/>
          <w:szCs w:val="22"/>
        </w:rPr>
        <w:t>are</w:t>
      </w:r>
      <w:r w:rsidR="00CD67D5" w:rsidRPr="00DC633C">
        <w:rPr>
          <w:rFonts w:ascii="VIC" w:hAnsi="VIC" w:cstheme="minorHAnsi"/>
          <w:szCs w:val="22"/>
        </w:rPr>
        <w:t xml:space="preserve"> responsible for system level</w:t>
      </w:r>
      <w:r w:rsidRPr="00DC633C">
        <w:rPr>
          <w:rFonts w:ascii="VIC" w:hAnsi="VIC" w:cstheme="minorHAnsi"/>
          <w:szCs w:val="22"/>
        </w:rPr>
        <w:t xml:space="preserve"> change. </w:t>
      </w:r>
    </w:p>
    <w:p w14:paraId="1BF761D0" w14:textId="0EF3E842" w:rsidR="00863112" w:rsidRPr="00DC633C" w:rsidRDefault="00EB230F" w:rsidP="00D81159">
      <w:pPr>
        <w:rPr>
          <w:rFonts w:ascii="VIC" w:hAnsi="VIC" w:cstheme="minorHAnsi"/>
          <w:szCs w:val="22"/>
        </w:rPr>
      </w:pPr>
      <w:r w:rsidRPr="00DC633C">
        <w:rPr>
          <w:rFonts w:ascii="VIC" w:hAnsi="VIC" w:cstheme="minorHAnsi"/>
          <w:szCs w:val="22"/>
        </w:rPr>
        <w:t>The advice will also be shared with health service CEOs</w:t>
      </w:r>
      <w:r w:rsidR="00CD67D5" w:rsidRPr="00DC633C">
        <w:rPr>
          <w:rFonts w:ascii="VIC" w:hAnsi="VIC" w:cstheme="minorHAnsi"/>
          <w:szCs w:val="22"/>
        </w:rPr>
        <w:t>,</w:t>
      </w:r>
      <w:r w:rsidR="00145EF2" w:rsidRPr="00DC633C">
        <w:rPr>
          <w:rFonts w:ascii="VIC" w:hAnsi="VIC" w:cstheme="minorHAnsi"/>
          <w:szCs w:val="22"/>
        </w:rPr>
        <w:t xml:space="preserve"> from</w:t>
      </w:r>
      <w:r w:rsidRPr="00DC633C">
        <w:rPr>
          <w:rFonts w:ascii="VIC" w:hAnsi="VIC" w:cstheme="minorHAnsi"/>
          <w:szCs w:val="22"/>
        </w:rPr>
        <w:t xml:space="preserve"> public and private sectors</w:t>
      </w:r>
      <w:r w:rsidR="00CD67D5" w:rsidRPr="00DC633C">
        <w:rPr>
          <w:rFonts w:ascii="VIC" w:hAnsi="VIC" w:cstheme="minorHAnsi"/>
          <w:szCs w:val="22"/>
        </w:rPr>
        <w:t>,</w:t>
      </w:r>
      <w:r w:rsidRPr="00DC633C">
        <w:rPr>
          <w:rFonts w:ascii="VIC" w:hAnsi="VIC" w:cstheme="minorHAnsi"/>
          <w:szCs w:val="22"/>
        </w:rPr>
        <w:t xml:space="preserve"> </w:t>
      </w:r>
      <w:r w:rsidR="00E41A39" w:rsidRPr="00DC633C">
        <w:rPr>
          <w:rFonts w:ascii="VIC" w:hAnsi="VIC" w:cstheme="minorHAnsi"/>
          <w:szCs w:val="22"/>
        </w:rPr>
        <w:t>to enable</w:t>
      </w:r>
      <w:r w:rsidR="00CD67D5" w:rsidRPr="00DC633C">
        <w:rPr>
          <w:rFonts w:ascii="VIC" w:hAnsi="VIC" w:cstheme="minorHAnsi"/>
          <w:szCs w:val="22"/>
        </w:rPr>
        <w:t xml:space="preserve"> relevant </w:t>
      </w:r>
      <w:r w:rsidRPr="00DC633C">
        <w:rPr>
          <w:rFonts w:ascii="VIC" w:hAnsi="VIC" w:cstheme="minorHAnsi"/>
          <w:szCs w:val="22"/>
        </w:rPr>
        <w:t>advice to be implemented at a local level.</w:t>
      </w:r>
    </w:p>
    <w:p w14:paraId="79D8FE8F" w14:textId="77777777" w:rsidR="00967B1C" w:rsidRPr="00661B49" w:rsidRDefault="00967B1C" w:rsidP="00D81159">
      <w:pPr>
        <w:rPr>
          <w:rFonts w:ascii="VIC" w:hAnsi="VIC" w:cstheme="minorHAnsi"/>
          <w:szCs w:val="22"/>
        </w:rPr>
      </w:pPr>
    </w:p>
    <w:sectPr w:rsidR="00967B1C" w:rsidRPr="00661B49" w:rsidSect="00295AA7">
      <w:type w:val="continuous"/>
      <w:pgSz w:w="11906" w:h="16838" w:code="9"/>
      <w:pgMar w:top="2127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D567" w14:textId="77777777" w:rsidR="00703354" w:rsidRDefault="00703354" w:rsidP="002D711A">
      <w:pPr>
        <w:spacing w:after="0" w:line="240" w:lineRule="auto"/>
      </w:pPr>
      <w:r>
        <w:separator/>
      </w:r>
    </w:p>
  </w:endnote>
  <w:endnote w:type="continuationSeparator" w:id="0">
    <w:p w14:paraId="62E6BCFE" w14:textId="77777777" w:rsidR="00703354" w:rsidRDefault="0070335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5387022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E7D66E" w14:textId="77777777" w:rsidR="00D16E6E" w:rsidRDefault="00D16E6E" w:rsidP="00D16E6E">
        <w:pPr>
          <w:pStyle w:val="Footer"/>
          <w:rPr>
            <w:noProof w:val="0"/>
          </w:rPr>
        </w:pPr>
      </w:p>
      <w:p w14:paraId="1D320ADB" w14:textId="7C13DBE5" w:rsidR="00D16E6E" w:rsidRPr="00261CA8" w:rsidRDefault="00D16E6E" w:rsidP="00D16E6E">
        <w:pPr>
          <w:pStyle w:val="Footer"/>
          <w:rPr>
            <w:rFonts w:ascii="VIC" w:hAnsi="VIC"/>
            <w:sz w:val="16"/>
            <w:szCs w:val="16"/>
          </w:rPr>
        </w:pPr>
        <w:r w:rsidRPr="00261CA8">
          <w:rPr>
            <w:rFonts w:ascii="VIC" w:hAnsi="VIC"/>
            <w:sz w:val="16"/>
            <w:szCs w:val="16"/>
          </w:rPr>
          <w:t>Victorian Clinical Council – December 2019</w:t>
        </w:r>
      </w:p>
      <w:p w14:paraId="4FE91519" w14:textId="27CC50AF" w:rsidR="00663D4D" w:rsidRPr="00663D4D" w:rsidRDefault="00261CA8" w:rsidP="00C76302">
        <w:pPr>
          <w:pStyle w:val="Footer"/>
          <w:spacing w:before="120" w:after="120" w:line="280" w:lineRule="exact"/>
          <w:jc w:val="right"/>
          <w:rPr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378D" w14:textId="7E4CA3FE" w:rsidR="00D16E6E" w:rsidRDefault="00D16E6E">
    <w:pPr>
      <w:pStyle w:val="Footer"/>
    </w:pPr>
  </w:p>
  <w:p w14:paraId="3A3BC966" w14:textId="77777777" w:rsidR="00D16E6E" w:rsidRPr="00261CA8" w:rsidRDefault="00D16E6E" w:rsidP="00D16E6E">
    <w:pPr>
      <w:pStyle w:val="Footer"/>
      <w:rPr>
        <w:rFonts w:ascii="VIC" w:hAnsi="VIC"/>
        <w:sz w:val="16"/>
        <w:szCs w:val="16"/>
      </w:rPr>
    </w:pPr>
    <w:r w:rsidRPr="00261CA8">
      <w:rPr>
        <w:rFonts w:ascii="VIC" w:hAnsi="VIC"/>
        <w:sz w:val="16"/>
        <w:szCs w:val="16"/>
      </w:rPr>
      <w:t>Victorian Clinical Council – December 2019</w:t>
    </w:r>
  </w:p>
  <w:p w14:paraId="04255764" w14:textId="77777777" w:rsidR="00D16E6E" w:rsidRDefault="00D16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C489" w14:textId="77777777" w:rsidR="00703354" w:rsidRDefault="00703354" w:rsidP="00E33E08">
      <w:pPr>
        <w:spacing w:before="0" w:after="0" w:line="240" w:lineRule="auto"/>
      </w:pPr>
    </w:p>
  </w:footnote>
  <w:footnote w:type="continuationSeparator" w:id="0">
    <w:p w14:paraId="01899EFD" w14:textId="77777777" w:rsidR="00703354" w:rsidRDefault="00703354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3E96" w14:textId="1AB71326" w:rsidR="000905F7" w:rsidRDefault="003E491B" w:rsidP="00AE7C26">
    <w:pPr>
      <w:pStyle w:val="Header"/>
      <w:jc w:val="right"/>
      <w:rPr>
        <w:rFonts w:ascii="VIC" w:hAnsi="VIC" w:cstheme="minorHAnsi"/>
        <w:color w:val="FF000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06267FA" wp14:editId="194DA641">
          <wp:simplePos x="0" y="0"/>
          <wp:positionH relativeFrom="column">
            <wp:posOffset>-124460</wp:posOffset>
          </wp:positionH>
          <wp:positionV relativeFrom="paragraph">
            <wp:posOffset>-132715</wp:posOffset>
          </wp:positionV>
          <wp:extent cx="2669165" cy="13049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_Col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0" t="19377" r="9376" b="15038"/>
                  <a:stretch/>
                </pic:blipFill>
                <pic:spPr bwMode="auto">
                  <a:xfrm>
                    <a:off x="0" y="0"/>
                    <a:ext cx="2669165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26" w:rsidRPr="00AE7C26">
      <w:rPr>
        <w:rFonts w:ascii="VIC" w:hAnsi="VIC" w:cstheme="minorHAnsi"/>
        <w:color w:val="004EA8"/>
      </w:rPr>
      <w:t xml:space="preserve"> </w:t>
    </w:r>
  </w:p>
  <w:p w14:paraId="658CF0FB" w14:textId="6B05B3E8" w:rsidR="003E491B" w:rsidRDefault="003E491B" w:rsidP="00AE7C26">
    <w:pPr>
      <w:pStyle w:val="Header"/>
      <w:jc w:val="right"/>
      <w:rPr>
        <w:rFonts w:ascii="VIC" w:hAnsi="VIC" w:cstheme="minorHAnsi"/>
        <w:color w:val="FF0000"/>
      </w:rPr>
    </w:pPr>
  </w:p>
  <w:p w14:paraId="54D3CC9B" w14:textId="5C5D43ED" w:rsidR="003E491B" w:rsidRDefault="003E491B" w:rsidP="00AE7C26">
    <w:pPr>
      <w:pStyle w:val="Header"/>
      <w:jc w:val="right"/>
      <w:rPr>
        <w:rFonts w:ascii="VIC" w:hAnsi="VIC" w:cstheme="minorHAnsi"/>
        <w:color w:val="FF0000"/>
      </w:rPr>
    </w:pPr>
  </w:p>
  <w:p w14:paraId="0103D157" w14:textId="0A829BD9" w:rsidR="003E491B" w:rsidRDefault="003E491B" w:rsidP="00AE7C26">
    <w:pPr>
      <w:pStyle w:val="Header"/>
      <w:jc w:val="right"/>
      <w:rPr>
        <w:rFonts w:ascii="VIC" w:hAnsi="VIC" w:cstheme="minorHAnsi"/>
        <w:color w:val="FF0000"/>
      </w:rPr>
    </w:pPr>
  </w:p>
  <w:p w14:paraId="4FA191E0" w14:textId="04660CA4" w:rsidR="003E491B" w:rsidRDefault="003E491B" w:rsidP="00AE7C26">
    <w:pPr>
      <w:pStyle w:val="Header"/>
      <w:jc w:val="right"/>
      <w:rPr>
        <w:rFonts w:ascii="VIC" w:hAnsi="VIC" w:cstheme="minorHAnsi"/>
        <w:color w:val="FF0000"/>
      </w:rPr>
    </w:pPr>
  </w:p>
  <w:p w14:paraId="59FFABAB" w14:textId="77777777" w:rsidR="003E491B" w:rsidRDefault="003E491B" w:rsidP="00AE7C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9A4"/>
    <w:multiLevelType w:val="multilevel"/>
    <w:tmpl w:val="ED104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3E55"/>
    <w:multiLevelType w:val="hybridMultilevel"/>
    <w:tmpl w:val="E34A0A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E1E7492">
      <w:numFmt w:val="bullet"/>
      <w:lvlText w:val="•"/>
      <w:lvlJc w:val="left"/>
      <w:pPr>
        <w:ind w:left="1080" w:hanging="360"/>
      </w:pPr>
      <w:rPr>
        <w:rFonts w:ascii="VIC" w:eastAsiaTheme="minorEastAsia" w:hAnsi="V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F7E7D"/>
    <w:multiLevelType w:val="hybridMultilevel"/>
    <w:tmpl w:val="BF883658"/>
    <w:lvl w:ilvl="0" w:tplc="48CC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36100"/>
    <w:multiLevelType w:val="multilevel"/>
    <w:tmpl w:val="2F567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C0F68"/>
    <w:multiLevelType w:val="multilevel"/>
    <w:tmpl w:val="0E201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D10D0E"/>
    <w:multiLevelType w:val="multilevel"/>
    <w:tmpl w:val="E7788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85A68"/>
    <w:multiLevelType w:val="hybridMultilevel"/>
    <w:tmpl w:val="0B783F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E1E7492">
      <w:numFmt w:val="bullet"/>
      <w:lvlText w:val="•"/>
      <w:lvlJc w:val="left"/>
      <w:pPr>
        <w:ind w:left="1080" w:hanging="360"/>
      </w:pPr>
      <w:rPr>
        <w:rFonts w:ascii="VIC" w:eastAsiaTheme="minorEastAsia" w:hAnsi="V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C7AED"/>
    <w:multiLevelType w:val="hybridMultilevel"/>
    <w:tmpl w:val="D9D20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6496E72"/>
    <w:multiLevelType w:val="hybridMultilevel"/>
    <w:tmpl w:val="C98A6C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E1E7492">
      <w:numFmt w:val="bullet"/>
      <w:lvlText w:val="•"/>
      <w:lvlJc w:val="left"/>
      <w:pPr>
        <w:ind w:left="1080" w:hanging="360"/>
      </w:pPr>
      <w:rPr>
        <w:rFonts w:ascii="VIC" w:eastAsiaTheme="minorEastAsia" w:hAnsi="V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433F0"/>
    <w:multiLevelType w:val="hybridMultilevel"/>
    <w:tmpl w:val="9C8E6D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B10CE"/>
    <w:multiLevelType w:val="hybridMultilevel"/>
    <w:tmpl w:val="C30A00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95DA2"/>
    <w:multiLevelType w:val="hybridMultilevel"/>
    <w:tmpl w:val="2C0C0DB2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3DBB6EF9"/>
    <w:multiLevelType w:val="hybridMultilevel"/>
    <w:tmpl w:val="1118249E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26D8B"/>
    <w:multiLevelType w:val="multilevel"/>
    <w:tmpl w:val="4D0C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55C6D"/>
    <w:multiLevelType w:val="multilevel"/>
    <w:tmpl w:val="F9D89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6D2367"/>
    <w:multiLevelType w:val="hybridMultilevel"/>
    <w:tmpl w:val="D974E7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50E06"/>
    <w:multiLevelType w:val="hybridMultilevel"/>
    <w:tmpl w:val="13A85A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C5C97"/>
    <w:multiLevelType w:val="hybridMultilevel"/>
    <w:tmpl w:val="477CB5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04571"/>
    <w:multiLevelType w:val="multilevel"/>
    <w:tmpl w:val="F38CE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E62611"/>
    <w:multiLevelType w:val="hybridMultilevel"/>
    <w:tmpl w:val="A90A64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C6E"/>
    <w:multiLevelType w:val="multilevel"/>
    <w:tmpl w:val="35820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97E27"/>
    <w:multiLevelType w:val="hybridMultilevel"/>
    <w:tmpl w:val="CB86796E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06486"/>
    <w:multiLevelType w:val="multilevel"/>
    <w:tmpl w:val="5CA49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AB2148"/>
    <w:multiLevelType w:val="hybridMultilevel"/>
    <w:tmpl w:val="50AC5474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84C13"/>
    <w:multiLevelType w:val="multilevel"/>
    <w:tmpl w:val="F38CE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37366C"/>
    <w:multiLevelType w:val="multilevel"/>
    <w:tmpl w:val="0C903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91427"/>
    <w:multiLevelType w:val="multilevel"/>
    <w:tmpl w:val="A5C2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771463"/>
    <w:multiLevelType w:val="hybridMultilevel"/>
    <w:tmpl w:val="E3F23F36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794C50"/>
    <w:multiLevelType w:val="multilevel"/>
    <w:tmpl w:val="BD063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692C07"/>
    <w:multiLevelType w:val="hybridMultilevel"/>
    <w:tmpl w:val="947A8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1760AD"/>
    <w:multiLevelType w:val="multilevel"/>
    <w:tmpl w:val="F38CE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D81DCA"/>
    <w:multiLevelType w:val="multilevel"/>
    <w:tmpl w:val="27A40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36"/>
  </w:num>
  <w:num w:numId="4">
    <w:abstractNumId w:val="14"/>
  </w:num>
  <w:num w:numId="5">
    <w:abstractNumId w:val="13"/>
  </w:num>
  <w:num w:numId="6">
    <w:abstractNumId w:val="16"/>
  </w:num>
  <w:num w:numId="7">
    <w:abstractNumId w:val="22"/>
  </w:num>
  <w:num w:numId="8">
    <w:abstractNumId w:val="33"/>
  </w:num>
  <w:num w:numId="9">
    <w:abstractNumId w:val="20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27"/>
  </w:num>
  <w:num w:numId="20">
    <w:abstractNumId w:val="25"/>
  </w:num>
  <w:num w:numId="21">
    <w:abstractNumId w:val="31"/>
  </w:num>
  <w:num w:numId="22">
    <w:abstractNumId w:val="15"/>
  </w:num>
  <w:num w:numId="23">
    <w:abstractNumId w:val="0"/>
  </w:num>
  <w:num w:numId="24">
    <w:abstractNumId w:val="23"/>
  </w:num>
  <w:num w:numId="25">
    <w:abstractNumId w:val="32"/>
  </w:num>
  <w:num w:numId="26">
    <w:abstractNumId w:val="4"/>
  </w:num>
  <w:num w:numId="27">
    <w:abstractNumId w:val="5"/>
  </w:num>
  <w:num w:numId="28">
    <w:abstractNumId w:val="28"/>
  </w:num>
  <w:num w:numId="29">
    <w:abstractNumId w:val="21"/>
  </w:num>
  <w:num w:numId="30">
    <w:abstractNumId w:val="26"/>
  </w:num>
  <w:num w:numId="31">
    <w:abstractNumId w:val="3"/>
  </w:num>
  <w:num w:numId="32">
    <w:abstractNumId w:val="34"/>
  </w:num>
  <w:num w:numId="33">
    <w:abstractNumId w:val="29"/>
  </w:num>
  <w:num w:numId="34">
    <w:abstractNumId w:val="17"/>
  </w:num>
  <w:num w:numId="35">
    <w:abstractNumId w:val="7"/>
  </w:num>
  <w:num w:numId="36">
    <w:abstractNumId w:val="24"/>
  </w:num>
  <w:num w:numId="37">
    <w:abstractNumId w:val="30"/>
  </w:num>
  <w:num w:numId="3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15"/>
    <w:rsid w:val="00000A6A"/>
    <w:rsid w:val="00005C01"/>
    <w:rsid w:val="00012B46"/>
    <w:rsid w:val="00012F6F"/>
    <w:rsid w:val="00014213"/>
    <w:rsid w:val="00014B55"/>
    <w:rsid w:val="00020E3E"/>
    <w:rsid w:val="00021116"/>
    <w:rsid w:val="00023BF3"/>
    <w:rsid w:val="00026811"/>
    <w:rsid w:val="00032699"/>
    <w:rsid w:val="0004185E"/>
    <w:rsid w:val="000523AC"/>
    <w:rsid w:val="00052AD0"/>
    <w:rsid w:val="00053181"/>
    <w:rsid w:val="00056988"/>
    <w:rsid w:val="00064744"/>
    <w:rsid w:val="00066DAC"/>
    <w:rsid w:val="00070105"/>
    <w:rsid w:val="000714E1"/>
    <w:rsid w:val="00072279"/>
    <w:rsid w:val="00073407"/>
    <w:rsid w:val="000737C9"/>
    <w:rsid w:val="00075E6C"/>
    <w:rsid w:val="0008167F"/>
    <w:rsid w:val="00081C12"/>
    <w:rsid w:val="0008515B"/>
    <w:rsid w:val="000878B9"/>
    <w:rsid w:val="00087D42"/>
    <w:rsid w:val="000905F7"/>
    <w:rsid w:val="000947B2"/>
    <w:rsid w:val="00095DDF"/>
    <w:rsid w:val="000A4B24"/>
    <w:rsid w:val="000A5195"/>
    <w:rsid w:val="000A58FF"/>
    <w:rsid w:val="000B29AD"/>
    <w:rsid w:val="000B7407"/>
    <w:rsid w:val="000C1046"/>
    <w:rsid w:val="000C2A12"/>
    <w:rsid w:val="000C6372"/>
    <w:rsid w:val="000D0F61"/>
    <w:rsid w:val="000D29D5"/>
    <w:rsid w:val="000D6C99"/>
    <w:rsid w:val="000D7841"/>
    <w:rsid w:val="000E21C9"/>
    <w:rsid w:val="000E286F"/>
    <w:rsid w:val="000E392D"/>
    <w:rsid w:val="000E39B6"/>
    <w:rsid w:val="000E3D05"/>
    <w:rsid w:val="000F1D58"/>
    <w:rsid w:val="000F4288"/>
    <w:rsid w:val="000F7165"/>
    <w:rsid w:val="00102379"/>
    <w:rsid w:val="00102A98"/>
    <w:rsid w:val="00103722"/>
    <w:rsid w:val="001065D6"/>
    <w:rsid w:val="001068D5"/>
    <w:rsid w:val="001132F9"/>
    <w:rsid w:val="00114FC4"/>
    <w:rsid w:val="00116E69"/>
    <w:rsid w:val="00117755"/>
    <w:rsid w:val="00117A68"/>
    <w:rsid w:val="00121252"/>
    <w:rsid w:val="00124609"/>
    <w:rsid w:val="001254CE"/>
    <w:rsid w:val="001307D4"/>
    <w:rsid w:val="0013637A"/>
    <w:rsid w:val="001422CC"/>
    <w:rsid w:val="00145346"/>
    <w:rsid w:val="00145EF2"/>
    <w:rsid w:val="0015048D"/>
    <w:rsid w:val="0015461C"/>
    <w:rsid w:val="00155FB0"/>
    <w:rsid w:val="001617B6"/>
    <w:rsid w:val="00165E66"/>
    <w:rsid w:val="00176E74"/>
    <w:rsid w:val="00181D43"/>
    <w:rsid w:val="00196143"/>
    <w:rsid w:val="001A245F"/>
    <w:rsid w:val="001A24FC"/>
    <w:rsid w:val="001B5538"/>
    <w:rsid w:val="001C6993"/>
    <w:rsid w:val="001C7A4C"/>
    <w:rsid w:val="001C7BAE"/>
    <w:rsid w:val="001E31FA"/>
    <w:rsid w:val="001E48F9"/>
    <w:rsid w:val="001E600B"/>
    <w:rsid w:val="001E64F6"/>
    <w:rsid w:val="001E7AEB"/>
    <w:rsid w:val="001F3F3C"/>
    <w:rsid w:val="002039DD"/>
    <w:rsid w:val="00204B82"/>
    <w:rsid w:val="00205566"/>
    <w:rsid w:val="00210364"/>
    <w:rsid w:val="00212987"/>
    <w:rsid w:val="00214BB4"/>
    <w:rsid w:val="00215CD0"/>
    <w:rsid w:val="00222BEB"/>
    <w:rsid w:val="00225E60"/>
    <w:rsid w:val="00227A6B"/>
    <w:rsid w:val="00230BBB"/>
    <w:rsid w:val="0023202C"/>
    <w:rsid w:val="00234619"/>
    <w:rsid w:val="00234BAE"/>
    <w:rsid w:val="00235BE2"/>
    <w:rsid w:val="00245043"/>
    <w:rsid w:val="00245247"/>
    <w:rsid w:val="00250341"/>
    <w:rsid w:val="00256545"/>
    <w:rsid w:val="00256640"/>
    <w:rsid w:val="0026028E"/>
    <w:rsid w:val="00261CA8"/>
    <w:rsid w:val="002735C6"/>
    <w:rsid w:val="00275394"/>
    <w:rsid w:val="002808EA"/>
    <w:rsid w:val="00281D2B"/>
    <w:rsid w:val="00284FA2"/>
    <w:rsid w:val="00292D36"/>
    <w:rsid w:val="002941D2"/>
    <w:rsid w:val="00294A5A"/>
    <w:rsid w:val="00295AA7"/>
    <w:rsid w:val="00297281"/>
    <w:rsid w:val="00297A47"/>
    <w:rsid w:val="002A1B0D"/>
    <w:rsid w:val="002A3501"/>
    <w:rsid w:val="002A5891"/>
    <w:rsid w:val="002A7FA0"/>
    <w:rsid w:val="002B03F1"/>
    <w:rsid w:val="002B34C0"/>
    <w:rsid w:val="002B4B53"/>
    <w:rsid w:val="002B5C34"/>
    <w:rsid w:val="002B5E2B"/>
    <w:rsid w:val="002B6C29"/>
    <w:rsid w:val="002B6DAA"/>
    <w:rsid w:val="002C04F1"/>
    <w:rsid w:val="002C0C5B"/>
    <w:rsid w:val="002D70F7"/>
    <w:rsid w:val="002D711A"/>
    <w:rsid w:val="002D7336"/>
    <w:rsid w:val="002E1498"/>
    <w:rsid w:val="002E3396"/>
    <w:rsid w:val="002E6454"/>
    <w:rsid w:val="002E78E5"/>
    <w:rsid w:val="002F2953"/>
    <w:rsid w:val="0030129C"/>
    <w:rsid w:val="003074E1"/>
    <w:rsid w:val="003101A9"/>
    <w:rsid w:val="003105D5"/>
    <w:rsid w:val="0031149C"/>
    <w:rsid w:val="00316D88"/>
    <w:rsid w:val="00317AE4"/>
    <w:rsid w:val="00322E88"/>
    <w:rsid w:val="00326F37"/>
    <w:rsid w:val="0034109C"/>
    <w:rsid w:val="00345B3C"/>
    <w:rsid w:val="0036778F"/>
    <w:rsid w:val="00367A1F"/>
    <w:rsid w:val="0037268E"/>
    <w:rsid w:val="00374176"/>
    <w:rsid w:val="00383472"/>
    <w:rsid w:val="003840B8"/>
    <w:rsid w:val="0038771C"/>
    <w:rsid w:val="00391BFC"/>
    <w:rsid w:val="00395DB8"/>
    <w:rsid w:val="003A430B"/>
    <w:rsid w:val="003A541A"/>
    <w:rsid w:val="003A63F3"/>
    <w:rsid w:val="003A6923"/>
    <w:rsid w:val="003A77DC"/>
    <w:rsid w:val="003A7E8A"/>
    <w:rsid w:val="003B1005"/>
    <w:rsid w:val="003B4DD0"/>
    <w:rsid w:val="003B5E64"/>
    <w:rsid w:val="003C1347"/>
    <w:rsid w:val="003C2C67"/>
    <w:rsid w:val="003C2D4C"/>
    <w:rsid w:val="003C3B3A"/>
    <w:rsid w:val="003C5BA4"/>
    <w:rsid w:val="003E3E26"/>
    <w:rsid w:val="003E491B"/>
    <w:rsid w:val="003E5237"/>
    <w:rsid w:val="003F0703"/>
    <w:rsid w:val="003F1295"/>
    <w:rsid w:val="003F258D"/>
    <w:rsid w:val="003F3910"/>
    <w:rsid w:val="003F5102"/>
    <w:rsid w:val="003F76FC"/>
    <w:rsid w:val="003F77D3"/>
    <w:rsid w:val="004002EB"/>
    <w:rsid w:val="00407A79"/>
    <w:rsid w:val="0041751D"/>
    <w:rsid w:val="00422DDC"/>
    <w:rsid w:val="004231B5"/>
    <w:rsid w:val="004236C8"/>
    <w:rsid w:val="00427681"/>
    <w:rsid w:val="00433DB7"/>
    <w:rsid w:val="00434CC3"/>
    <w:rsid w:val="00435354"/>
    <w:rsid w:val="00435CDB"/>
    <w:rsid w:val="00436103"/>
    <w:rsid w:val="00446F82"/>
    <w:rsid w:val="00447D0E"/>
    <w:rsid w:val="00451B48"/>
    <w:rsid w:val="0045347E"/>
    <w:rsid w:val="00453750"/>
    <w:rsid w:val="00455424"/>
    <w:rsid w:val="00456941"/>
    <w:rsid w:val="00460BD5"/>
    <w:rsid w:val="00461CEB"/>
    <w:rsid w:val="004648E8"/>
    <w:rsid w:val="004702EA"/>
    <w:rsid w:val="0047198C"/>
    <w:rsid w:val="0048259C"/>
    <w:rsid w:val="00482D02"/>
    <w:rsid w:val="004841CB"/>
    <w:rsid w:val="00484326"/>
    <w:rsid w:val="004863A9"/>
    <w:rsid w:val="00490369"/>
    <w:rsid w:val="00490FCB"/>
    <w:rsid w:val="00496370"/>
    <w:rsid w:val="004A66A4"/>
    <w:rsid w:val="004A7519"/>
    <w:rsid w:val="004B64B1"/>
    <w:rsid w:val="004C1E25"/>
    <w:rsid w:val="004C21F6"/>
    <w:rsid w:val="004C5D0D"/>
    <w:rsid w:val="004D01AC"/>
    <w:rsid w:val="004D3518"/>
    <w:rsid w:val="004D62D6"/>
    <w:rsid w:val="004D6898"/>
    <w:rsid w:val="004D6D95"/>
    <w:rsid w:val="004E0338"/>
    <w:rsid w:val="004E629C"/>
    <w:rsid w:val="004F3F4E"/>
    <w:rsid w:val="00510167"/>
    <w:rsid w:val="00513E86"/>
    <w:rsid w:val="005209EB"/>
    <w:rsid w:val="005306A2"/>
    <w:rsid w:val="00531395"/>
    <w:rsid w:val="00532EAA"/>
    <w:rsid w:val="0053416C"/>
    <w:rsid w:val="00541C2F"/>
    <w:rsid w:val="005429C4"/>
    <w:rsid w:val="00552DE4"/>
    <w:rsid w:val="005627DE"/>
    <w:rsid w:val="00563527"/>
    <w:rsid w:val="00570BC3"/>
    <w:rsid w:val="0057407A"/>
    <w:rsid w:val="0058124E"/>
    <w:rsid w:val="005875A3"/>
    <w:rsid w:val="00590540"/>
    <w:rsid w:val="0059103D"/>
    <w:rsid w:val="005953EA"/>
    <w:rsid w:val="005A2722"/>
    <w:rsid w:val="005A3416"/>
    <w:rsid w:val="005B061F"/>
    <w:rsid w:val="005B19BF"/>
    <w:rsid w:val="005B27FE"/>
    <w:rsid w:val="005B76DF"/>
    <w:rsid w:val="005B79CB"/>
    <w:rsid w:val="005C6337"/>
    <w:rsid w:val="005D3696"/>
    <w:rsid w:val="005D4529"/>
    <w:rsid w:val="005E08D7"/>
    <w:rsid w:val="005E4C16"/>
    <w:rsid w:val="005E5947"/>
    <w:rsid w:val="005E67B4"/>
    <w:rsid w:val="005F319F"/>
    <w:rsid w:val="005F385B"/>
    <w:rsid w:val="005F61DF"/>
    <w:rsid w:val="00600DB8"/>
    <w:rsid w:val="0060163A"/>
    <w:rsid w:val="00602341"/>
    <w:rsid w:val="006023F9"/>
    <w:rsid w:val="00602D07"/>
    <w:rsid w:val="00610559"/>
    <w:rsid w:val="00614076"/>
    <w:rsid w:val="00616A00"/>
    <w:rsid w:val="006212D4"/>
    <w:rsid w:val="00632F2E"/>
    <w:rsid w:val="006332F6"/>
    <w:rsid w:val="00635600"/>
    <w:rsid w:val="006413F2"/>
    <w:rsid w:val="006534B2"/>
    <w:rsid w:val="00653D22"/>
    <w:rsid w:val="006560E1"/>
    <w:rsid w:val="0065615D"/>
    <w:rsid w:val="00657011"/>
    <w:rsid w:val="00661B49"/>
    <w:rsid w:val="00663AA1"/>
    <w:rsid w:val="00663D4D"/>
    <w:rsid w:val="006650B5"/>
    <w:rsid w:val="006651B1"/>
    <w:rsid w:val="00665778"/>
    <w:rsid w:val="00672693"/>
    <w:rsid w:val="00673605"/>
    <w:rsid w:val="00676C22"/>
    <w:rsid w:val="00676E5F"/>
    <w:rsid w:val="00680577"/>
    <w:rsid w:val="0068337D"/>
    <w:rsid w:val="006945CA"/>
    <w:rsid w:val="006974E8"/>
    <w:rsid w:val="006A1142"/>
    <w:rsid w:val="006A3309"/>
    <w:rsid w:val="006A3A5A"/>
    <w:rsid w:val="006A5B34"/>
    <w:rsid w:val="006C38E2"/>
    <w:rsid w:val="006C62A2"/>
    <w:rsid w:val="006C77A9"/>
    <w:rsid w:val="006C7D16"/>
    <w:rsid w:val="006D4685"/>
    <w:rsid w:val="006D4720"/>
    <w:rsid w:val="006D6829"/>
    <w:rsid w:val="006D6A98"/>
    <w:rsid w:val="006E6CDF"/>
    <w:rsid w:val="006F37F2"/>
    <w:rsid w:val="006F6693"/>
    <w:rsid w:val="00703354"/>
    <w:rsid w:val="00707627"/>
    <w:rsid w:val="00707FE8"/>
    <w:rsid w:val="00710659"/>
    <w:rsid w:val="00714AAE"/>
    <w:rsid w:val="007208D2"/>
    <w:rsid w:val="00724962"/>
    <w:rsid w:val="00724A0F"/>
    <w:rsid w:val="00726D2F"/>
    <w:rsid w:val="007318D1"/>
    <w:rsid w:val="00736732"/>
    <w:rsid w:val="00740019"/>
    <w:rsid w:val="007438C4"/>
    <w:rsid w:val="00744783"/>
    <w:rsid w:val="00746426"/>
    <w:rsid w:val="00750BF9"/>
    <w:rsid w:val="00750CBE"/>
    <w:rsid w:val="00755847"/>
    <w:rsid w:val="00762170"/>
    <w:rsid w:val="00763AC3"/>
    <w:rsid w:val="00764364"/>
    <w:rsid w:val="007650D2"/>
    <w:rsid w:val="00766B5A"/>
    <w:rsid w:val="00772209"/>
    <w:rsid w:val="007770A5"/>
    <w:rsid w:val="007834F2"/>
    <w:rsid w:val="00791020"/>
    <w:rsid w:val="00794A01"/>
    <w:rsid w:val="007A04D2"/>
    <w:rsid w:val="007A0553"/>
    <w:rsid w:val="007A4444"/>
    <w:rsid w:val="007A5F82"/>
    <w:rsid w:val="007B3B9A"/>
    <w:rsid w:val="007D0DFC"/>
    <w:rsid w:val="007D5EEE"/>
    <w:rsid w:val="007D5F9E"/>
    <w:rsid w:val="007E098F"/>
    <w:rsid w:val="007E22D2"/>
    <w:rsid w:val="007E3BA2"/>
    <w:rsid w:val="007E6EF5"/>
    <w:rsid w:val="007E6F9B"/>
    <w:rsid w:val="007F1A4C"/>
    <w:rsid w:val="007F66E6"/>
    <w:rsid w:val="007F723F"/>
    <w:rsid w:val="008001F1"/>
    <w:rsid w:val="008022C3"/>
    <w:rsid w:val="008041E6"/>
    <w:rsid w:val="008065D2"/>
    <w:rsid w:val="00806C28"/>
    <w:rsid w:val="008120DC"/>
    <w:rsid w:val="0081439E"/>
    <w:rsid w:val="00815A8A"/>
    <w:rsid w:val="0081764C"/>
    <w:rsid w:val="0082194C"/>
    <w:rsid w:val="008222FF"/>
    <w:rsid w:val="008226E1"/>
    <w:rsid w:val="008241FF"/>
    <w:rsid w:val="008302D5"/>
    <w:rsid w:val="008411E9"/>
    <w:rsid w:val="00841617"/>
    <w:rsid w:val="0084200F"/>
    <w:rsid w:val="00843B2C"/>
    <w:rsid w:val="00844F16"/>
    <w:rsid w:val="008524D4"/>
    <w:rsid w:val="00855FF9"/>
    <w:rsid w:val="0086277A"/>
    <w:rsid w:val="00863112"/>
    <w:rsid w:val="008668A8"/>
    <w:rsid w:val="008703D8"/>
    <w:rsid w:val="008728A6"/>
    <w:rsid w:val="008768AD"/>
    <w:rsid w:val="00880AC4"/>
    <w:rsid w:val="008816EE"/>
    <w:rsid w:val="00883EFD"/>
    <w:rsid w:val="00890BE4"/>
    <w:rsid w:val="00897157"/>
    <w:rsid w:val="00897447"/>
    <w:rsid w:val="008A0BF0"/>
    <w:rsid w:val="008A3424"/>
    <w:rsid w:val="008A4900"/>
    <w:rsid w:val="008A55FE"/>
    <w:rsid w:val="008A58D2"/>
    <w:rsid w:val="008B146D"/>
    <w:rsid w:val="008B42AD"/>
    <w:rsid w:val="008B5666"/>
    <w:rsid w:val="008B781D"/>
    <w:rsid w:val="008C0026"/>
    <w:rsid w:val="008C11C0"/>
    <w:rsid w:val="008C154D"/>
    <w:rsid w:val="008C2C15"/>
    <w:rsid w:val="008D0281"/>
    <w:rsid w:val="008D197D"/>
    <w:rsid w:val="008D1CD6"/>
    <w:rsid w:val="008D42A0"/>
    <w:rsid w:val="008D61B6"/>
    <w:rsid w:val="008D7CCD"/>
    <w:rsid w:val="008E2348"/>
    <w:rsid w:val="008E5A06"/>
    <w:rsid w:val="008F2B1C"/>
    <w:rsid w:val="008F6D45"/>
    <w:rsid w:val="00902020"/>
    <w:rsid w:val="00916AD5"/>
    <w:rsid w:val="0092062B"/>
    <w:rsid w:val="00921244"/>
    <w:rsid w:val="00922944"/>
    <w:rsid w:val="009265E2"/>
    <w:rsid w:val="00935086"/>
    <w:rsid w:val="00936479"/>
    <w:rsid w:val="00937A10"/>
    <w:rsid w:val="00940925"/>
    <w:rsid w:val="00942D01"/>
    <w:rsid w:val="0094588D"/>
    <w:rsid w:val="00952698"/>
    <w:rsid w:val="00953A2C"/>
    <w:rsid w:val="00953BC3"/>
    <w:rsid w:val="00955C7E"/>
    <w:rsid w:val="00960446"/>
    <w:rsid w:val="00966115"/>
    <w:rsid w:val="00967B1C"/>
    <w:rsid w:val="00973350"/>
    <w:rsid w:val="00980B77"/>
    <w:rsid w:val="009834C0"/>
    <w:rsid w:val="00986AAC"/>
    <w:rsid w:val="00993581"/>
    <w:rsid w:val="009939AD"/>
    <w:rsid w:val="00995526"/>
    <w:rsid w:val="00997E70"/>
    <w:rsid w:val="009A1DA2"/>
    <w:rsid w:val="009A3704"/>
    <w:rsid w:val="009A4739"/>
    <w:rsid w:val="009A674F"/>
    <w:rsid w:val="009A6D22"/>
    <w:rsid w:val="009B0656"/>
    <w:rsid w:val="009B199C"/>
    <w:rsid w:val="009B3FAB"/>
    <w:rsid w:val="009B4DA1"/>
    <w:rsid w:val="009B61F1"/>
    <w:rsid w:val="009B62E0"/>
    <w:rsid w:val="009C3D88"/>
    <w:rsid w:val="009E1651"/>
    <w:rsid w:val="009E1B26"/>
    <w:rsid w:val="009E3858"/>
    <w:rsid w:val="009E467D"/>
    <w:rsid w:val="009E70DD"/>
    <w:rsid w:val="009F011A"/>
    <w:rsid w:val="009F1E7A"/>
    <w:rsid w:val="009F2ED9"/>
    <w:rsid w:val="009F3231"/>
    <w:rsid w:val="009F4014"/>
    <w:rsid w:val="009F5C58"/>
    <w:rsid w:val="00A023A0"/>
    <w:rsid w:val="00A03B69"/>
    <w:rsid w:val="00A05EBC"/>
    <w:rsid w:val="00A06062"/>
    <w:rsid w:val="00A07309"/>
    <w:rsid w:val="00A14048"/>
    <w:rsid w:val="00A1562B"/>
    <w:rsid w:val="00A170F4"/>
    <w:rsid w:val="00A176BD"/>
    <w:rsid w:val="00A203BA"/>
    <w:rsid w:val="00A21408"/>
    <w:rsid w:val="00A21640"/>
    <w:rsid w:val="00A21CFD"/>
    <w:rsid w:val="00A25B78"/>
    <w:rsid w:val="00A275C4"/>
    <w:rsid w:val="00A42C30"/>
    <w:rsid w:val="00A43D4F"/>
    <w:rsid w:val="00A46288"/>
    <w:rsid w:val="00A46BA8"/>
    <w:rsid w:val="00A47634"/>
    <w:rsid w:val="00A53F3E"/>
    <w:rsid w:val="00A600BD"/>
    <w:rsid w:val="00A61153"/>
    <w:rsid w:val="00A611F0"/>
    <w:rsid w:val="00A612FE"/>
    <w:rsid w:val="00A70B49"/>
    <w:rsid w:val="00A84884"/>
    <w:rsid w:val="00A879DA"/>
    <w:rsid w:val="00A90125"/>
    <w:rsid w:val="00A92D94"/>
    <w:rsid w:val="00AA26B8"/>
    <w:rsid w:val="00AA4712"/>
    <w:rsid w:val="00AB03EA"/>
    <w:rsid w:val="00AB518F"/>
    <w:rsid w:val="00AC0B87"/>
    <w:rsid w:val="00AC2624"/>
    <w:rsid w:val="00AC32A8"/>
    <w:rsid w:val="00AC3392"/>
    <w:rsid w:val="00AC6419"/>
    <w:rsid w:val="00AD0356"/>
    <w:rsid w:val="00AD138E"/>
    <w:rsid w:val="00AD487B"/>
    <w:rsid w:val="00AD7E4E"/>
    <w:rsid w:val="00AE7C26"/>
    <w:rsid w:val="00AF18C7"/>
    <w:rsid w:val="00AF2A55"/>
    <w:rsid w:val="00AF4260"/>
    <w:rsid w:val="00AF4D58"/>
    <w:rsid w:val="00AF6666"/>
    <w:rsid w:val="00AF7BC5"/>
    <w:rsid w:val="00B00D96"/>
    <w:rsid w:val="00B134D0"/>
    <w:rsid w:val="00B15550"/>
    <w:rsid w:val="00B1612B"/>
    <w:rsid w:val="00B266A6"/>
    <w:rsid w:val="00B4218E"/>
    <w:rsid w:val="00B51E64"/>
    <w:rsid w:val="00B544B4"/>
    <w:rsid w:val="00B62B9C"/>
    <w:rsid w:val="00B73ED4"/>
    <w:rsid w:val="00B81B44"/>
    <w:rsid w:val="00B833BA"/>
    <w:rsid w:val="00B86D70"/>
    <w:rsid w:val="00B9053B"/>
    <w:rsid w:val="00B91BD8"/>
    <w:rsid w:val="00B947F6"/>
    <w:rsid w:val="00B9677B"/>
    <w:rsid w:val="00BA0C37"/>
    <w:rsid w:val="00BA2B99"/>
    <w:rsid w:val="00BA3782"/>
    <w:rsid w:val="00BA40CB"/>
    <w:rsid w:val="00BA54ED"/>
    <w:rsid w:val="00BB3B26"/>
    <w:rsid w:val="00BB4D98"/>
    <w:rsid w:val="00BB4EBF"/>
    <w:rsid w:val="00BB59E0"/>
    <w:rsid w:val="00BC0722"/>
    <w:rsid w:val="00BC3422"/>
    <w:rsid w:val="00BC6E19"/>
    <w:rsid w:val="00BD0171"/>
    <w:rsid w:val="00BD0715"/>
    <w:rsid w:val="00BD11C2"/>
    <w:rsid w:val="00BD5018"/>
    <w:rsid w:val="00BD63E2"/>
    <w:rsid w:val="00BE048C"/>
    <w:rsid w:val="00BE5ADC"/>
    <w:rsid w:val="00BF4F96"/>
    <w:rsid w:val="00BF5DE8"/>
    <w:rsid w:val="00C000A3"/>
    <w:rsid w:val="00C015B9"/>
    <w:rsid w:val="00C022F9"/>
    <w:rsid w:val="00C032EA"/>
    <w:rsid w:val="00C06EB5"/>
    <w:rsid w:val="00C1145F"/>
    <w:rsid w:val="00C11CD1"/>
    <w:rsid w:val="00C15A8A"/>
    <w:rsid w:val="00C15ADD"/>
    <w:rsid w:val="00C32822"/>
    <w:rsid w:val="00C32D49"/>
    <w:rsid w:val="00C33AD3"/>
    <w:rsid w:val="00C35D53"/>
    <w:rsid w:val="00C41B3C"/>
    <w:rsid w:val="00C42A13"/>
    <w:rsid w:val="00C43F06"/>
    <w:rsid w:val="00C51C01"/>
    <w:rsid w:val="00C51C41"/>
    <w:rsid w:val="00C52783"/>
    <w:rsid w:val="00C546EA"/>
    <w:rsid w:val="00C62D44"/>
    <w:rsid w:val="00C637E1"/>
    <w:rsid w:val="00C67EAC"/>
    <w:rsid w:val="00C70890"/>
    <w:rsid w:val="00C70D50"/>
    <w:rsid w:val="00C72252"/>
    <w:rsid w:val="00C73748"/>
    <w:rsid w:val="00C743ED"/>
    <w:rsid w:val="00C74FEC"/>
    <w:rsid w:val="00C76302"/>
    <w:rsid w:val="00C81014"/>
    <w:rsid w:val="00C833C6"/>
    <w:rsid w:val="00C907D7"/>
    <w:rsid w:val="00C92338"/>
    <w:rsid w:val="00CA05DC"/>
    <w:rsid w:val="00CA7B47"/>
    <w:rsid w:val="00CB3976"/>
    <w:rsid w:val="00CC1450"/>
    <w:rsid w:val="00CC6B4E"/>
    <w:rsid w:val="00CD0307"/>
    <w:rsid w:val="00CD3C79"/>
    <w:rsid w:val="00CD3D1B"/>
    <w:rsid w:val="00CD409B"/>
    <w:rsid w:val="00CD4DBA"/>
    <w:rsid w:val="00CD67D5"/>
    <w:rsid w:val="00CF4587"/>
    <w:rsid w:val="00D015B1"/>
    <w:rsid w:val="00D02663"/>
    <w:rsid w:val="00D03DAB"/>
    <w:rsid w:val="00D05119"/>
    <w:rsid w:val="00D054E7"/>
    <w:rsid w:val="00D0633E"/>
    <w:rsid w:val="00D12E74"/>
    <w:rsid w:val="00D134C2"/>
    <w:rsid w:val="00D15546"/>
    <w:rsid w:val="00D16E6E"/>
    <w:rsid w:val="00D211D2"/>
    <w:rsid w:val="00D2312F"/>
    <w:rsid w:val="00D2337D"/>
    <w:rsid w:val="00D23B04"/>
    <w:rsid w:val="00D26150"/>
    <w:rsid w:val="00D269C1"/>
    <w:rsid w:val="00D40682"/>
    <w:rsid w:val="00D41230"/>
    <w:rsid w:val="00D41B2F"/>
    <w:rsid w:val="00D436FD"/>
    <w:rsid w:val="00D44564"/>
    <w:rsid w:val="00D44953"/>
    <w:rsid w:val="00D463C5"/>
    <w:rsid w:val="00D50CDA"/>
    <w:rsid w:val="00D51265"/>
    <w:rsid w:val="00D542F3"/>
    <w:rsid w:val="00D54513"/>
    <w:rsid w:val="00D54AAE"/>
    <w:rsid w:val="00D5644B"/>
    <w:rsid w:val="00D56E25"/>
    <w:rsid w:val="00D57E89"/>
    <w:rsid w:val="00D647A9"/>
    <w:rsid w:val="00D6560D"/>
    <w:rsid w:val="00D65D40"/>
    <w:rsid w:val="00D65D77"/>
    <w:rsid w:val="00D718D7"/>
    <w:rsid w:val="00D73F6C"/>
    <w:rsid w:val="00D77556"/>
    <w:rsid w:val="00D8111D"/>
    <w:rsid w:val="00D81159"/>
    <w:rsid w:val="00D814B7"/>
    <w:rsid w:val="00D81D5E"/>
    <w:rsid w:val="00D90688"/>
    <w:rsid w:val="00D90F59"/>
    <w:rsid w:val="00D95FA4"/>
    <w:rsid w:val="00DA393B"/>
    <w:rsid w:val="00DA3AAD"/>
    <w:rsid w:val="00DA3F36"/>
    <w:rsid w:val="00DB1C44"/>
    <w:rsid w:val="00DB312B"/>
    <w:rsid w:val="00DB4A82"/>
    <w:rsid w:val="00DB6439"/>
    <w:rsid w:val="00DC42FB"/>
    <w:rsid w:val="00DC5654"/>
    <w:rsid w:val="00DC633C"/>
    <w:rsid w:val="00DC658F"/>
    <w:rsid w:val="00DC674A"/>
    <w:rsid w:val="00DC7B0C"/>
    <w:rsid w:val="00DD6DA8"/>
    <w:rsid w:val="00DE60CC"/>
    <w:rsid w:val="00DE6987"/>
    <w:rsid w:val="00DE6E91"/>
    <w:rsid w:val="00DF7D00"/>
    <w:rsid w:val="00E03F35"/>
    <w:rsid w:val="00E06928"/>
    <w:rsid w:val="00E131C8"/>
    <w:rsid w:val="00E137A6"/>
    <w:rsid w:val="00E163D4"/>
    <w:rsid w:val="00E26B32"/>
    <w:rsid w:val="00E31CD4"/>
    <w:rsid w:val="00E31E60"/>
    <w:rsid w:val="00E33E08"/>
    <w:rsid w:val="00E33F28"/>
    <w:rsid w:val="00E407B6"/>
    <w:rsid w:val="00E41A39"/>
    <w:rsid w:val="00E41EF1"/>
    <w:rsid w:val="00E423EF"/>
    <w:rsid w:val="00E42942"/>
    <w:rsid w:val="00E52025"/>
    <w:rsid w:val="00E5763A"/>
    <w:rsid w:val="00E61EBC"/>
    <w:rsid w:val="00E6385E"/>
    <w:rsid w:val="00E64600"/>
    <w:rsid w:val="00E65A0A"/>
    <w:rsid w:val="00E71BDF"/>
    <w:rsid w:val="00E73E7E"/>
    <w:rsid w:val="00E75CCB"/>
    <w:rsid w:val="00E7774B"/>
    <w:rsid w:val="00E808BF"/>
    <w:rsid w:val="00E8245B"/>
    <w:rsid w:val="00E82C21"/>
    <w:rsid w:val="00E82F59"/>
    <w:rsid w:val="00E83CA7"/>
    <w:rsid w:val="00E92192"/>
    <w:rsid w:val="00E95A71"/>
    <w:rsid w:val="00EA391F"/>
    <w:rsid w:val="00EA3C9F"/>
    <w:rsid w:val="00EB1228"/>
    <w:rsid w:val="00EB230F"/>
    <w:rsid w:val="00EB5281"/>
    <w:rsid w:val="00EB7014"/>
    <w:rsid w:val="00EC3A88"/>
    <w:rsid w:val="00EC5CDE"/>
    <w:rsid w:val="00EC7F2A"/>
    <w:rsid w:val="00ED176B"/>
    <w:rsid w:val="00ED3077"/>
    <w:rsid w:val="00ED487E"/>
    <w:rsid w:val="00ED64F1"/>
    <w:rsid w:val="00EE1A0B"/>
    <w:rsid w:val="00EE33A1"/>
    <w:rsid w:val="00EE59A0"/>
    <w:rsid w:val="00EE7A0D"/>
    <w:rsid w:val="00EF6512"/>
    <w:rsid w:val="00F0222C"/>
    <w:rsid w:val="00F06647"/>
    <w:rsid w:val="00F12312"/>
    <w:rsid w:val="00F13415"/>
    <w:rsid w:val="00F17790"/>
    <w:rsid w:val="00F17CE1"/>
    <w:rsid w:val="00F2115C"/>
    <w:rsid w:val="00F213CC"/>
    <w:rsid w:val="00F22ABA"/>
    <w:rsid w:val="00F23389"/>
    <w:rsid w:val="00F25919"/>
    <w:rsid w:val="00F25F4B"/>
    <w:rsid w:val="00F27A65"/>
    <w:rsid w:val="00F27C9D"/>
    <w:rsid w:val="00F30C2D"/>
    <w:rsid w:val="00F35062"/>
    <w:rsid w:val="00F36B12"/>
    <w:rsid w:val="00F3748F"/>
    <w:rsid w:val="00F465D8"/>
    <w:rsid w:val="00F46AB8"/>
    <w:rsid w:val="00F55AE6"/>
    <w:rsid w:val="00F60F9F"/>
    <w:rsid w:val="00F610AA"/>
    <w:rsid w:val="00F61246"/>
    <w:rsid w:val="00F6125C"/>
    <w:rsid w:val="00F62120"/>
    <w:rsid w:val="00F6250C"/>
    <w:rsid w:val="00F64F08"/>
    <w:rsid w:val="00F67A3E"/>
    <w:rsid w:val="00F70055"/>
    <w:rsid w:val="00F705C3"/>
    <w:rsid w:val="00F71008"/>
    <w:rsid w:val="00F734F5"/>
    <w:rsid w:val="00F73B5B"/>
    <w:rsid w:val="00F777E1"/>
    <w:rsid w:val="00F90EA5"/>
    <w:rsid w:val="00F91F5A"/>
    <w:rsid w:val="00F966B1"/>
    <w:rsid w:val="00F97D48"/>
    <w:rsid w:val="00FA0311"/>
    <w:rsid w:val="00FA1489"/>
    <w:rsid w:val="00FA16AC"/>
    <w:rsid w:val="00FA27FF"/>
    <w:rsid w:val="00FA3694"/>
    <w:rsid w:val="00FA4AB4"/>
    <w:rsid w:val="00FB20F2"/>
    <w:rsid w:val="00FB5BE8"/>
    <w:rsid w:val="00FC0F7A"/>
    <w:rsid w:val="00FC20B4"/>
    <w:rsid w:val="00FC36D8"/>
    <w:rsid w:val="00FD3447"/>
    <w:rsid w:val="00FD50F0"/>
    <w:rsid w:val="00FD640F"/>
    <w:rsid w:val="00FD6B4C"/>
    <w:rsid w:val="00FE04C6"/>
    <w:rsid w:val="00FE0553"/>
    <w:rsid w:val="00FE1713"/>
    <w:rsid w:val="00FE1E53"/>
    <w:rsid w:val="00FE25D0"/>
    <w:rsid w:val="00FE5BF4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015230"/>
  <w15:docId w15:val="{2BB35BFA-D081-4C68-876F-066FA98B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Book Title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7B3B9A"/>
  </w:style>
  <w:style w:type="paragraph" w:styleId="Heading1">
    <w:name w:val="heading 1"/>
    <w:basedOn w:val="Normal"/>
    <w:next w:val="Normalfollowingheading"/>
    <w:link w:val="Heading1Char"/>
    <w:qFormat/>
    <w:rsid w:val="009B0656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9B0656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9B0656"/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9B0656"/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4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9B0656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B0656"/>
    <w:pPr>
      <w:keepNext/>
      <w:keepLines/>
      <w:spacing w:before="0" w:after="0" w:line="260" w:lineRule="atLeast"/>
    </w:pPr>
    <w:rPr>
      <w:rFonts w:eastAsiaTheme="minorHAnsi"/>
      <w:b/>
      <w:color w:val="004EA8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9B0656"/>
    <w:pPr>
      <w:tabs>
        <w:tab w:val="left" w:pos="1080"/>
      </w:tabs>
      <w:spacing w:before="280" w:after="210" w:line="260" w:lineRule="atLeast"/>
    </w:pPr>
    <w:rPr>
      <w:b/>
      <w:bCs/>
      <w:color w:val="004EA8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9B0656"/>
    <w:pPr>
      <w:spacing w:before="280" w:after="60"/>
    </w:pPr>
    <w:rPr>
      <w:b/>
      <w:color w:val="004EA8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9B0656"/>
    <w:pPr>
      <w:spacing w:before="100" w:after="100"/>
    </w:pPr>
    <w:rPr>
      <w:color w:val="004EA8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B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F2B1C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8F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8F2B1C"/>
    <w:rPr>
      <w:b/>
      <w:bCs/>
    </w:rPr>
  </w:style>
  <w:style w:type="paragraph" w:styleId="Revision">
    <w:name w:val="Revision"/>
    <w:hidden/>
    <w:uiPriority w:val="99"/>
    <w:semiHidden/>
    <w:rsid w:val="00D26150"/>
    <w:pPr>
      <w:spacing w:before="0" w:after="0" w:line="240" w:lineRule="auto"/>
    </w:pPr>
  </w:style>
  <w:style w:type="paragraph" w:customStyle="1" w:styleId="DHHSbullet1">
    <w:name w:val="DHHS bullet 1"/>
    <w:basedOn w:val="Normal"/>
    <w:qFormat/>
    <w:rsid w:val="000D0F61"/>
    <w:pPr>
      <w:numPr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2">
    <w:name w:val="DHHS bullet 2"/>
    <w:basedOn w:val="Normal"/>
    <w:uiPriority w:val="2"/>
    <w:qFormat/>
    <w:rsid w:val="000D0F61"/>
    <w:pPr>
      <w:numPr>
        <w:ilvl w:val="2"/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tablebullet">
    <w:name w:val="DHHS table bullet"/>
    <w:basedOn w:val="Normal"/>
    <w:uiPriority w:val="3"/>
    <w:qFormat/>
    <w:rsid w:val="000D0F61"/>
    <w:pPr>
      <w:numPr>
        <w:ilvl w:val="6"/>
        <w:numId w:val="7"/>
      </w:numPr>
      <w:spacing w:before="80" w:after="6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HHSbulletindent">
    <w:name w:val="DHHS bullet indent"/>
    <w:basedOn w:val="Normal"/>
    <w:uiPriority w:val="4"/>
    <w:rsid w:val="000D0F61"/>
    <w:pPr>
      <w:numPr>
        <w:ilvl w:val="4"/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1lastline">
    <w:name w:val="DHHS bullet 1 last line"/>
    <w:basedOn w:val="DHHSbullet1"/>
    <w:qFormat/>
    <w:rsid w:val="000D0F61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D0F61"/>
    <w:pPr>
      <w:numPr>
        <w:ilvl w:val="3"/>
      </w:numPr>
      <w:spacing w:after="120"/>
    </w:pPr>
  </w:style>
  <w:style w:type="numbering" w:customStyle="1" w:styleId="ZZBullets">
    <w:name w:val="ZZ Bullets"/>
    <w:rsid w:val="000D0F61"/>
    <w:pPr>
      <w:numPr>
        <w:numId w:val="7"/>
      </w:numPr>
    </w:pPr>
  </w:style>
  <w:style w:type="paragraph" w:customStyle="1" w:styleId="DHHSbulletindentlastline">
    <w:name w:val="DHHS bullet indent last line"/>
    <w:basedOn w:val="Normal"/>
    <w:uiPriority w:val="4"/>
    <w:rsid w:val="000D0F61"/>
    <w:pPr>
      <w:numPr>
        <w:ilvl w:val="5"/>
        <w:numId w:val="7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paragraph">
    <w:name w:val="paragraph"/>
    <w:basedOn w:val="Normal"/>
    <w:rsid w:val="005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6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710">
          <w:marLeft w:val="33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DD7DEA8EA0426AA5381784CFC9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3777-4AE3-4ADF-9F1D-A5D24E3866EB}"/>
      </w:docPartPr>
      <w:docPartBody>
        <w:p w:rsidR="00703806" w:rsidRDefault="00703806">
          <w:pPr>
            <w:pStyle w:val="5FDD7DEA8EA0426AA5381784CFC9753A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06"/>
    <w:rsid w:val="001155D7"/>
    <w:rsid w:val="00395ED0"/>
    <w:rsid w:val="00502D00"/>
    <w:rsid w:val="005478DE"/>
    <w:rsid w:val="005E68E0"/>
    <w:rsid w:val="00703806"/>
    <w:rsid w:val="009400EF"/>
    <w:rsid w:val="00B4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5FDD7DEA8EA0426AA5381784CFC9753A">
    <w:name w:val="5FDD7DEA8EA0426AA5381784CFC9753A"/>
  </w:style>
  <w:style w:type="paragraph" w:customStyle="1" w:styleId="E2AE46B6605C42349957D773D2E581E0">
    <w:name w:val="E2AE46B6605C42349957D773D2E581E0"/>
    <w:rsid w:val="001155D7"/>
    <w:pPr>
      <w:spacing w:after="160" w:line="259" w:lineRule="auto"/>
    </w:pPr>
  </w:style>
  <w:style w:type="paragraph" w:customStyle="1" w:styleId="290BAA9CCCE544C9A8258D08297A1766">
    <w:name w:val="290BAA9CCCE544C9A8258D08297A1766"/>
    <w:rsid w:val="001155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8117-8680-40C7-A8FE-817FC30D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4CE6AF04.dotm</Template>
  <TotalTime>107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</vt:lpstr>
    </vt:vector>
  </TitlesOfParts>
  <Company>Department of Treasury and Finance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</dc:title>
  <dc:creator>Lauren Robb (DHHS)</dc:creator>
  <cp:lastModifiedBy>Jo Buxton (DHHS)</cp:lastModifiedBy>
  <cp:revision>21</cp:revision>
  <cp:lastPrinted>2019-04-11T03:05:00Z</cp:lastPrinted>
  <dcterms:created xsi:type="dcterms:W3CDTF">2019-03-27T00:05:00Z</dcterms:created>
  <dcterms:modified xsi:type="dcterms:W3CDTF">2019-12-09T01:13:00Z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