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31C8" w:rsidRPr="00F610AA" w:rsidRDefault="007E7B92" w:rsidP="00FE5BF4">
      <w:pPr>
        <w:pStyle w:val="Title"/>
        <w:tabs>
          <w:tab w:val="left" w:pos="2866"/>
        </w:tabs>
        <w:rPr>
          <w:rFonts w:ascii="VIC" w:hAnsi="VIC" w:cstheme="minorHAnsi"/>
          <w:color w:val="004EA8"/>
        </w:rPr>
      </w:pPr>
      <w:sdt>
        <w:sdtPr>
          <w:rPr>
            <w:rFonts w:ascii="VIC" w:hAnsi="VIC" w:cstheme="minorHAnsi"/>
            <w:color w:val="004EA8"/>
          </w:rPr>
          <w:alias w:val="Title"/>
          <w:tag w:val=""/>
          <w:id w:val="-1540807229"/>
          <w:placeholder>
            <w:docPart w:val="5FDD7DEA8EA0426AA5381784CFC9753A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B266A6" w:rsidRPr="00F610AA">
            <w:rPr>
              <w:rFonts w:ascii="VIC" w:hAnsi="VIC" w:cstheme="minorHAnsi"/>
              <w:color w:val="004EA8"/>
            </w:rPr>
            <w:t>Advice</w:t>
          </w:r>
        </w:sdtContent>
      </w:sdt>
      <w:r w:rsidR="00FE5BF4">
        <w:rPr>
          <w:rFonts w:ascii="VIC" w:hAnsi="VIC" w:cstheme="minorHAnsi"/>
          <w:color w:val="004EA8"/>
        </w:rPr>
        <w:tab/>
      </w:r>
    </w:p>
    <w:p w:rsidR="002B5C34" w:rsidRPr="00F777E1" w:rsidRDefault="00012B46" w:rsidP="009B0656">
      <w:pPr>
        <w:pStyle w:val="Heading2"/>
        <w:rPr>
          <w:rFonts w:ascii="VIC SemiBold" w:hAnsi="VIC SemiBold" w:cstheme="minorHAnsi"/>
          <w:b w:val="0"/>
          <w:sz w:val="40"/>
          <w:szCs w:val="40"/>
        </w:rPr>
      </w:pPr>
      <w:r w:rsidRPr="00F777E1">
        <w:rPr>
          <w:rFonts w:ascii="VIC SemiBold" w:hAnsi="VIC SemiBold" w:cstheme="minorHAnsi"/>
          <w:b w:val="0"/>
          <w:sz w:val="40"/>
          <w:szCs w:val="40"/>
        </w:rPr>
        <w:t>Value</w:t>
      </w:r>
      <w:r w:rsidR="00250341" w:rsidRPr="00F777E1">
        <w:rPr>
          <w:rFonts w:ascii="VIC SemiBold" w:hAnsi="VIC SemiBold" w:cstheme="minorHAnsi"/>
          <w:b w:val="0"/>
          <w:sz w:val="40"/>
          <w:szCs w:val="40"/>
        </w:rPr>
        <w:t>-</w:t>
      </w:r>
      <w:r w:rsidRPr="00F777E1">
        <w:rPr>
          <w:rFonts w:ascii="VIC SemiBold" w:hAnsi="VIC SemiBold" w:cstheme="minorHAnsi"/>
          <w:b w:val="0"/>
          <w:sz w:val="40"/>
          <w:szCs w:val="40"/>
        </w:rPr>
        <w:t xml:space="preserve">Based Healthcare – an approach for Victoria </w:t>
      </w:r>
    </w:p>
    <w:p w:rsidR="00B266A6" w:rsidRPr="00F777E1" w:rsidRDefault="00B266A6" w:rsidP="00BD0715">
      <w:pPr>
        <w:pStyle w:val="Heading3"/>
        <w:rPr>
          <w:rFonts w:ascii="VIC SemiBold" w:hAnsi="VIC SemiBold" w:cstheme="minorHAnsi"/>
          <w:b w:val="0"/>
          <w:caps/>
          <w:color w:val="004EA8"/>
          <w:szCs w:val="26"/>
        </w:rPr>
      </w:pP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>Introduction</w:t>
      </w:r>
      <w:r w:rsidR="00952698"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 </w:t>
      </w:r>
    </w:p>
    <w:p w:rsidR="004C21F6" w:rsidRPr="00661B49" w:rsidRDefault="004C21F6" w:rsidP="004C21F6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 xml:space="preserve">The Victorian Clinical </w:t>
      </w:r>
      <w:r w:rsidR="00EF6512" w:rsidRPr="00661B49">
        <w:rPr>
          <w:rFonts w:ascii="VIC" w:hAnsi="VIC" w:cstheme="minorHAnsi"/>
          <w:szCs w:val="22"/>
        </w:rPr>
        <w:t>C</w:t>
      </w:r>
      <w:r w:rsidRPr="00661B49">
        <w:rPr>
          <w:rFonts w:ascii="VIC" w:hAnsi="VIC" w:cstheme="minorHAnsi"/>
          <w:szCs w:val="22"/>
        </w:rPr>
        <w:t>ouncil (the council) and the Department of Health and Human Services (the department) identified value</w:t>
      </w:r>
      <w:r w:rsidR="00250341" w:rsidRPr="00661B49">
        <w:rPr>
          <w:rFonts w:ascii="VIC" w:hAnsi="VIC" w:cstheme="minorHAnsi"/>
          <w:szCs w:val="22"/>
        </w:rPr>
        <w:t>-</w:t>
      </w:r>
      <w:r w:rsidRPr="00661B49">
        <w:rPr>
          <w:rFonts w:ascii="VIC" w:hAnsi="VIC" w:cstheme="minorHAnsi"/>
          <w:szCs w:val="22"/>
        </w:rPr>
        <w:t xml:space="preserve">based healthcare as a priority area for consideration. </w:t>
      </w:r>
      <w:r w:rsidR="00F777E1" w:rsidRPr="00661B49">
        <w:rPr>
          <w:rFonts w:ascii="VIC" w:hAnsi="VIC" w:cstheme="minorHAnsi"/>
          <w:szCs w:val="22"/>
        </w:rPr>
        <w:t>During the</w:t>
      </w:r>
      <w:r w:rsidRPr="00661B49">
        <w:rPr>
          <w:rFonts w:ascii="VIC" w:hAnsi="VIC" w:cstheme="minorHAnsi"/>
          <w:szCs w:val="22"/>
        </w:rPr>
        <w:t xml:space="preserve"> September council meeting members discussed </w:t>
      </w:r>
      <w:r w:rsidR="00F777E1" w:rsidRPr="00661B49">
        <w:rPr>
          <w:rFonts w:ascii="VIC" w:hAnsi="VIC" w:cstheme="minorHAnsi"/>
          <w:szCs w:val="22"/>
        </w:rPr>
        <w:t xml:space="preserve">a </w:t>
      </w:r>
      <w:r w:rsidRPr="00661B49">
        <w:rPr>
          <w:rFonts w:ascii="VIC" w:hAnsi="VIC" w:cstheme="minorHAnsi"/>
          <w:szCs w:val="22"/>
        </w:rPr>
        <w:t xml:space="preserve">potential </w:t>
      </w:r>
      <w:r w:rsidR="00F777E1" w:rsidRPr="00661B49">
        <w:rPr>
          <w:rFonts w:ascii="VIC" w:hAnsi="VIC" w:cstheme="minorHAnsi"/>
          <w:szCs w:val="22"/>
        </w:rPr>
        <w:t xml:space="preserve">value-based healthcare </w:t>
      </w:r>
      <w:r w:rsidRPr="00661B49">
        <w:rPr>
          <w:rFonts w:ascii="VIC" w:hAnsi="VIC" w:cstheme="minorHAnsi"/>
          <w:szCs w:val="22"/>
        </w:rPr>
        <w:t>approach for Victoria</w:t>
      </w:r>
      <w:r w:rsidR="00F777E1" w:rsidRPr="00661B49">
        <w:rPr>
          <w:rFonts w:ascii="VIC" w:hAnsi="VIC" w:cstheme="minorHAnsi"/>
          <w:szCs w:val="22"/>
        </w:rPr>
        <w:t>.</w:t>
      </w:r>
      <w:r w:rsidRPr="00661B49">
        <w:rPr>
          <w:rFonts w:ascii="VIC" w:hAnsi="VIC" w:cstheme="minorHAnsi"/>
          <w:szCs w:val="22"/>
        </w:rPr>
        <w:t xml:space="preserve"> </w:t>
      </w:r>
    </w:p>
    <w:p w:rsidR="004C21F6" w:rsidRPr="00661B49" w:rsidRDefault="004C21F6" w:rsidP="004C21F6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 xml:space="preserve">Healthcare services in Victoria and </w:t>
      </w:r>
      <w:r w:rsidR="00F777E1" w:rsidRPr="00661B49">
        <w:rPr>
          <w:rFonts w:ascii="VIC" w:hAnsi="VIC" w:cstheme="minorHAnsi"/>
          <w:szCs w:val="22"/>
        </w:rPr>
        <w:t xml:space="preserve">internationally </w:t>
      </w:r>
      <w:r w:rsidRPr="00661B49">
        <w:rPr>
          <w:rFonts w:ascii="VIC" w:hAnsi="VIC" w:cstheme="minorHAnsi"/>
          <w:szCs w:val="22"/>
        </w:rPr>
        <w:t>are working to ensure the healthcare system</w:t>
      </w:r>
      <w:r w:rsidR="00F777E1" w:rsidRPr="00661B49">
        <w:rPr>
          <w:rFonts w:ascii="VIC" w:hAnsi="VIC" w:cstheme="minorHAnsi"/>
          <w:szCs w:val="22"/>
        </w:rPr>
        <w:t xml:space="preserve"> delivers </w:t>
      </w:r>
      <w:r w:rsidR="00D26150" w:rsidRPr="00661B49">
        <w:rPr>
          <w:rFonts w:ascii="VIC" w:hAnsi="VIC" w:cstheme="minorHAnsi"/>
          <w:szCs w:val="22"/>
        </w:rPr>
        <w:t>the outcomes that matter most to patients</w:t>
      </w:r>
      <w:r w:rsidRPr="00661B49">
        <w:rPr>
          <w:rFonts w:ascii="VIC" w:hAnsi="VIC" w:cstheme="minorHAnsi"/>
          <w:szCs w:val="22"/>
        </w:rPr>
        <w:t>. They are faced with the challenge of increasing levels of chronic disease, an ageing population, rising cos</w:t>
      </w:r>
      <w:r w:rsidR="00250341" w:rsidRPr="00661B49">
        <w:rPr>
          <w:rFonts w:ascii="VIC" w:hAnsi="VIC" w:cstheme="minorHAnsi"/>
          <w:szCs w:val="22"/>
        </w:rPr>
        <w:t>ts and limited resources. Value-</w:t>
      </w:r>
      <w:r w:rsidRPr="00661B49">
        <w:rPr>
          <w:rFonts w:ascii="VIC" w:hAnsi="VIC" w:cstheme="minorHAnsi"/>
          <w:szCs w:val="22"/>
        </w:rPr>
        <w:t xml:space="preserve">based healthcare is a principle that is being used internationally to address these challenges. </w:t>
      </w:r>
    </w:p>
    <w:p w:rsidR="00AC6419" w:rsidRPr="00661B49" w:rsidRDefault="004C21F6" w:rsidP="00D26150">
      <w:pPr>
        <w:spacing w:line="276" w:lineRule="auto"/>
        <w:rPr>
          <w:rFonts w:ascii="VIC" w:hAnsi="VIC"/>
          <w:szCs w:val="22"/>
        </w:rPr>
      </w:pPr>
      <w:r w:rsidRPr="00661B49">
        <w:rPr>
          <w:rFonts w:ascii="VIC" w:hAnsi="VIC"/>
          <w:szCs w:val="22"/>
        </w:rPr>
        <w:t>At its core, value</w:t>
      </w:r>
      <w:r w:rsidR="00250341" w:rsidRPr="00661B49">
        <w:rPr>
          <w:rFonts w:ascii="VIC" w:hAnsi="VIC"/>
          <w:szCs w:val="22"/>
        </w:rPr>
        <w:t>-</w:t>
      </w:r>
      <w:r w:rsidRPr="00661B49">
        <w:rPr>
          <w:rFonts w:ascii="VIC" w:hAnsi="VIC"/>
          <w:szCs w:val="22"/>
        </w:rPr>
        <w:t xml:space="preserve">based healthcare is about maximising value for </w:t>
      </w:r>
      <w:r w:rsidR="00250341" w:rsidRPr="00661B49">
        <w:rPr>
          <w:rFonts w:ascii="VIC" w:hAnsi="VIC"/>
          <w:szCs w:val="22"/>
        </w:rPr>
        <w:t>patients</w:t>
      </w:r>
      <w:r w:rsidRPr="00661B49">
        <w:rPr>
          <w:rFonts w:ascii="VIC" w:hAnsi="VIC"/>
          <w:szCs w:val="22"/>
        </w:rPr>
        <w:t>: that is, achieving the best outcomes</w:t>
      </w:r>
      <w:r w:rsidR="00D26150" w:rsidRPr="00661B49">
        <w:rPr>
          <w:rFonts w:ascii="VIC" w:hAnsi="VIC"/>
          <w:szCs w:val="22"/>
        </w:rPr>
        <w:t xml:space="preserve"> that matter to </w:t>
      </w:r>
      <w:r w:rsidR="00250341" w:rsidRPr="00661B49">
        <w:rPr>
          <w:rFonts w:ascii="VIC" w:hAnsi="VIC"/>
          <w:szCs w:val="22"/>
        </w:rPr>
        <w:t>patients</w:t>
      </w:r>
      <w:r w:rsidRPr="00661B49">
        <w:rPr>
          <w:rFonts w:ascii="VIC" w:hAnsi="VIC"/>
          <w:szCs w:val="22"/>
        </w:rPr>
        <w:t xml:space="preserve"> relative to the </w:t>
      </w:r>
      <w:r w:rsidR="00D26150" w:rsidRPr="00661B49">
        <w:rPr>
          <w:rFonts w:ascii="VIC" w:hAnsi="VIC"/>
          <w:szCs w:val="22"/>
        </w:rPr>
        <w:t xml:space="preserve">end-to-end </w:t>
      </w:r>
      <w:r w:rsidRPr="00661B49">
        <w:rPr>
          <w:rFonts w:ascii="VIC" w:hAnsi="VIC"/>
          <w:szCs w:val="22"/>
        </w:rPr>
        <w:t xml:space="preserve">cost </w:t>
      </w:r>
      <w:r w:rsidR="00D26150" w:rsidRPr="00661B49">
        <w:rPr>
          <w:rFonts w:ascii="VIC" w:hAnsi="VIC"/>
          <w:szCs w:val="22"/>
        </w:rPr>
        <w:t xml:space="preserve">of delivering those outcomes. </w:t>
      </w:r>
    </w:p>
    <w:p w:rsidR="00D26150" w:rsidRPr="00661B49" w:rsidRDefault="00F777E1" w:rsidP="00D26150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>C</w:t>
      </w:r>
      <w:r w:rsidR="004C21F6" w:rsidRPr="00661B49">
        <w:rPr>
          <w:rFonts w:ascii="VIC" w:hAnsi="VIC" w:cstheme="minorHAnsi"/>
          <w:szCs w:val="22"/>
        </w:rPr>
        <w:t xml:space="preserve">ouncil discussions </w:t>
      </w:r>
      <w:r w:rsidR="00250341" w:rsidRPr="00661B49">
        <w:rPr>
          <w:rFonts w:ascii="VIC" w:hAnsi="VIC" w:cstheme="minorHAnsi"/>
          <w:szCs w:val="22"/>
        </w:rPr>
        <w:t>supported an approach to value-</w:t>
      </w:r>
      <w:r w:rsidR="004C21F6" w:rsidRPr="00661B49">
        <w:rPr>
          <w:rFonts w:ascii="VIC" w:hAnsi="VIC" w:cstheme="minorHAnsi"/>
          <w:szCs w:val="22"/>
        </w:rPr>
        <w:t xml:space="preserve">based healthcare that focuses on creating value across the whole Victorian health system and places </w:t>
      </w:r>
      <w:r w:rsidR="00250341" w:rsidRPr="00661B49">
        <w:rPr>
          <w:rFonts w:ascii="VIC" w:hAnsi="VIC" w:cstheme="minorHAnsi"/>
          <w:szCs w:val="22"/>
        </w:rPr>
        <w:t>patients</w:t>
      </w:r>
      <w:r w:rsidR="004C21F6" w:rsidRPr="00661B49">
        <w:rPr>
          <w:rFonts w:ascii="VIC" w:hAnsi="VIC" w:cstheme="minorHAnsi"/>
          <w:szCs w:val="22"/>
        </w:rPr>
        <w:t xml:space="preserve"> at the centre. </w:t>
      </w:r>
    </w:p>
    <w:p w:rsidR="004C21F6" w:rsidRPr="00661B49" w:rsidRDefault="004C21F6" w:rsidP="00D26150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>The council support</w:t>
      </w:r>
      <w:r w:rsidR="00D26150" w:rsidRPr="00661B49">
        <w:rPr>
          <w:rFonts w:ascii="VIC" w:hAnsi="VIC" w:cstheme="minorHAnsi"/>
          <w:szCs w:val="22"/>
        </w:rPr>
        <w:t>s</w:t>
      </w:r>
      <w:r w:rsidRPr="00661B49">
        <w:rPr>
          <w:rFonts w:ascii="VIC" w:hAnsi="VIC" w:cstheme="minorHAnsi"/>
          <w:szCs w:val="22"/>
        </w:rPr>
        <w:t xml:space="preserve"> the use and development of </w:t>
      </w:r>
      <w:r w:rsidR="00250341" w:rsidRPr="00661B49">
        <w:rPr>
          <w:rFonts w:ascii="VIC" w:hAnsi="VIC" w:cstheme="minorHAnsi"/>
          <w:szCs w:val="22"/>
        </w:rPr>
        <w:t xml:space="preserve">data </w:t>
      </w:r>
      <w:r w:rsidRPr="00661B49">
        <w:rPr>
          <w:rFonts w:ascii="VIC" w:hAnsi="VIC" w:cstheme="minorHAnsi"/>
          <w:szCs w:val="22"/>
        </w:rPr>
        <w:t xml:space="preserve">that </w:t>
      </w:r>
      <w:r w:rsidR="00250341" w:rsidRPr="00661B49">
        <w:rPr>
          <w:rFonts w:ascii="VIC" w:hAnsi="VIC" w:cstheme="minorHAnsi"/>
          <w:szCs w:val="22"/>
        </w:rPr>
        <w:t xml:space="preserve">captures outcomes </w:t>
      </w:r>
      <w:r w:rsidR="00F777E1" w:rsidRPr="00661B49">
        <w:rPr>
          <w:rFonts w:ascii="VIC" w:hAnsi="VIC" w:cstheme="minorHAnsi"/>
          <w:szCs w:val="22"/>
        </w:rPr>
        <w:t xml:space="preserve">that </w:t>
      </w:r>
      <w:r w:rsidRPr="00661B49">
        <w:rPr>
          <w:rFonts w:ascii="VIC" w:hAnsi="VIC" w:cstheme="minorHAnsi"/>
          <w:szCs w:val="22"/>
        </w:rPr>
        <w:t xml:space="preserve">matter to </w:t>
      </w:r>
      <w:r w:rsidR="00250341" w:rsidRPr="00661B49">
        <w:rPr>
          <w:rFonts w:ascii="VIC" w:hAnsi="VIC" w:cstheme="minorHAnsi"/>
          <w:szCs w:val="22"/>
        </w:rPr>
        <w:t>patients</w:t>
      </w:r>
      <w:r w:rsidR="00F777E1" w:rsidRPr="00661B49">
        <w:rPr>
          <w:rFonts w:ascii="VIC" w:hAnsi="VIC" w:cstheme="minorHAnsi"/>
          <w:szCs w:val="22"/>
        </w:rPr>
        <w:t>,</w:t>
      </w:r>
      <w:r w:rsidRPr="00661B49">
        <w:rPr>
          <w:rFonts w:ascii="VIC" w:hAnsi="VIC" w:cstheme="minorHAnsi"/>
          <w:szCs w:val="22"/>
        </w:rPr>
        <w:t xml:space="preserve"> as well as a process that involves clinicians and health services learning from outcomes. </w:t>
      </w:r>
    </w:p>
    <w:p w:rsidR="00B266A6" w:rsidRPr="00F777E1" w:rsidRDefault="00B266A6" w:rsidP="00B266A6">
      <w:pPr>
        <w:pStyle w:val="Heading3"/>
        <w:rPr>
          <w:rFonts w:ascii="VIC SemiBold" w:hAnsi="VIC SemiBold" w:cstheme="minorHAnsi"/>
          <w:b w:val="0"/>
          <w:caps/>
          <w:color w:val="004EA8"/>
          <w:szCs w:val="26"/>
        </w:rPr>
      </w:pP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>Meeting purpose</w:t>
      </w:r>
    </w:p>
    <w:p w:rsidR="00345B3C" w:rsidRPr="00661B49" w:rsidRDefault="00345B3C" w:rsidP="00070105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>The purpose of this meeting was to:</w:t>
      </w:r>
    </w:p>
    <w:p w:rsidR="00B266A6" w:rsidRPr="00661B49" w:rsidRDefault="00F777E1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inform </w:t>
      </w:r>
      <w:r w:rsidR="00250341" w:rsidRPr="00661B49">
        <w:rPr>
          <w:rFonts w:ascii="VIC" w:hAnsi="VIC"/>
        </w:rPr>
        <w:t>the Victorian approach to value-</w:t>
      </w:r>
      <w:r w:rsidR="00345B3C" w:rsidRPr="00661B49">
        <w:rPr>
          <w:rFonts w:ascii="VIC" w:hAnsi="VIC"/>
        </w:rPr>
        <w:t>based healthcare</w:t>
      </w:r>
    </w:p>
    <w:p w:rsidR="001A245F" w:rsidRPr="00661B49" w:rsidRDefault="00F777E1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understand </w:t>
      </w:r>
      <w:r w:rsidR="00250341" w:rsidRPr="00661B49">
        <w:rPr>
          <w:rFonts w:ascii="VIC" w:hAnsi="VIC"/>
        </w:rPr>
        <w:t>clinician views regarding value-</w:t>
      </w:r>
      <w:r w:rsidR="001A245F" w:rsidRPr="00661B49">
        <w:rPr>
          <w:rFonts w:ascii="VIC" w:hAnsi="VIC"/>
        </w:rPr>
        <w:t>based healthcare</w:t>
      </w:r>
    </w:p>
    <w:p w:rsidR="001A245F" w:rsidRPr="00661B49" w:rsidRDefault="00F777E1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identify </w:t>
      </w:r>
      <w:r w:rsidR="001A245F" w:rsidRPr="00661B49">
        <w:rPr>
          <w:rFonts w:ascii="VIC" w:hAnsi="VIC"/>
        </w:rPr>
        <w:t>potential priority cohorts to inform an ap</w:t>
      </w:r>
      <w:r w:rsidR="00250341" w:rsidRPr="00661B49">
        <w:rPr>
          <w:rFonts w:ascii="VIC" w:hAnsi="VIC"/>
        </w:rPr>
        <w:t>propriate start point for value-</w:t>
      </w:r>
      <w:r w:rsidR="001A245F" w:rsidRPr="00661B49">
        <w:rPr>
          <w:rFonts w:ascii="VIC" w:hAnsi="VIC"/>
        </w:rPr>
        <w:t xml:space="preserve">based health care </w:t>
      </w:r>
      <w:r w:rsidR="00DB1C44" w:rsidRPr="00661B49">
        <w:rPr>
          <w:rFonts w:ascii="VIC" w:hAnsi="VIC"/>
        </w:rPr>
        <w:t>in Victoria</w:t>
      </w:r>
      <w:r w:rsidR="00F62120" w:rsidRPr="00661B49">
        <w:rPr>
          <w:rFonts w:ascii="VIC" w:hAnsi="VIC"/>
        </w:rPr>
        <w:t>.</w:t>
      </w:r>
    </w:p>
    <w:p w:rsidR="00B266A6" w:rsidRPr="00F777E1" w:rsidRDefault="00B833BA" w:rsidP="00B266A6">
      <w:pPr>
        <w:pStyle w:val="Heading3"/>
        <w:rPr>
          <w:rFonts w:ascii="VIC SemiBold" w:hAnsi="VIC SemiBold" w:cstheme="minorHAnsi"/>
          <w:b w:val="0"/>
          <w:caps/>
          <w:color w:val="004EA8"/>
          <w:szCs w:val="26"/>
        </w:rPr>
      </w:pP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>Council discussion</w:t>
      </w:r>
      <w:r w:rsidR="00B266A6"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 </w:t>
      </w:r>
    </w:p>
    <w:p w:rsidR="00B266A6" w:rsidRPr="00661B49" w:rsidRDefault="00A600BD" w:rsidP="00070105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>The following speaker</w:t>
      </w:r>
      <w:r w:rsidR="0015461C" w:rsidRPr="00661B49">
        <w:rPr>
          <w:rFonts w:ascii="VIC" w:hAnsi="VIC" w:cstheme="minorHAnsi"/>
        </w:rPr>
        <w:t>s</w:t>
      </w:r>
      <w:r w:rsidRPr="00661B49">
        <w:rPr>
          <w:rFonts w:ascii="VIC" w:hAnsi="VIC" w:cstheme="minorHAnsi"/>
        </w:rPr>
        <w:t xml:space="preserve"> presented to the council:</w:t>
      </w:r>
    </w:p>
    <w:p w:rsidR="0037268E" w:rsidRPr="00661B49" w:rsidRDefault="0037268E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Dr Don Berwick, </w:t>
      </w:r>
      <w:r w:rsidR="007318D1" w:rsidRPr="00661B49">
        <w:rPr>
          <w:rFonts w:ascii="VIC" w:hAnsi="VIC"/>
        </w:rPr>
        <w:t xml:space="preserve">President Emeritus and </w:t>
      </w:r>
      <w:r w:rsidRPr="00661B49">
        <w:rPr>
          <w:rFonts w:ascii="VIC" w:hAnsi="VIC"/>
        </w:rPr>
        <w:t xml:space="preserve">Senior Fellow of the Institute </w:t>
      </w:r>
      <w:r w:rsidR="00F777E1" w:rsidRPr="00661B49">
        <w:rPr>
          <w:rFonts w:ascii="VIC" w:hAnsi="VIC"/>
        </w:rPr>
        <w:t xml:space="preserve">for </w:t>
      </w:r>
      <w:r w:rsidRPr="00661B49">
        <w:rPr>
          <w:rFonts w:ascii="VIC" w:hAnsi="VIC"/>
        </w:rPr>
        <w:t>Healthcare Improvement</w:t>
      </w:r>
    </w:p>
    <w:p w:rsidR="00A600BD" w:rsidRPr="00661B49" w:rsidRDefault="00A600BD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Mr Benedict Keneally, Associate Director, The Boston Consulting Group</w:t>
      </w:r>
    </w:p>
    <w:p w:rsidR="00A600BD" w:rsidRPr="00661B49" w:rsidRDefault="00A600BD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lastRenderedPageBreak/>
        <w:t>Dr Yolima Cossio-Gil, Clinical Data and Innovation Lead,</w:t>
      </w:r>
      <w:r w:rsidR="006974E8" w:rsidRPr="00661B49">
        <w:rPr>
          <w:rFonts w:ascii="VIC" w:hAnsi="VIC"/>
        </w:rPr>
        <w:t xml:space="preserve"> Hos</w:t>
      </w:r>
      <w:r w:rsidR="00BE048C">
        <w:rPr>
          <w:rFonts w:ascii="VIC" w:hAnsi="VIC"/>
        </w:rPr>
        <w:t>p</w:t>
      </w:r>
      <w:r w:rsidR="006974E8" w:rsidRPr="00661B49">
        <w:rPr>
          <w:rFonts w:ascii="VIC" w:hAnsi="VIC"/>
        </w:rPr>
        <w:t xml:space="preserve">ital </w:t>
      </w:r>
      <w:proofErr w:type="spellStart"/>
      <w:r w:rsidR="006974E8" w:rsidRPr="00661B49">
        <w:rPr>
          <w:rFonts w:ascii="VIC" w:hAnsi="VIC"/>
        </w:rPr>
        <w:t>Universitari</w:t>
      </w:r>
      <w:proofErr w:type="spellEnd"/>
      <w:r w:rsidR="006974E8" w:rsidRPr="00661B49">
        <w:rPr>
          <w:rFonts w:ascii="VIC" w:hAnsi="VIC"/>
        </w:rPr>
        <w:t xml:space="preserve"> </w:t>
      </w:r>
      <w:proofErr w:type="spellStart"/>
      <w:r w:rsidR="006974E8" w:rsidRPr="00661B49">
        <w:rPr>
          <w:rFonts w:ascii="VIC" w:hAnsi="VIC"/>
        </w:rPr>
        <w:t>Vall</w:t>
      </w:r>
      <w:proofErr w:type="spellEnd"/>
      <w:r w:rsidR="006974E8" w:rsidRPr="00661B49">
        <w:rPr>
          <w:rFonts w:ascii="VIC" w:hAnsi="VIC"/>
        </w:rPr>
        <w:t xml:space="preserve"> </w:t>
      </w:r>
      <w:proofErr w:type="spellStart"/>
      <w:r w:rsidR="006974E8" w:rsidRPr="00661B49">
        <w:rPr>
          <w:rFonts w:ascii="VIC" w:hAnsi="VIC"/>
        </w:rPr>
        <w:t>d’He</w:t>
      </w:r>
      <w:r w:rsidRPr="00661B49">
        <w:rPr>
          <w:rFonts w:ascii="VIC" w:hAnsi="VIC"/>
        </w:rPr>
        <w:t>bron</w:t>
      </w:r>
      <w:proofErr w:type="spellEnd"/>
      <w:r w:rsidRPr="00661B49">
        <w:rPr>
          <w:rFonts w:ascii="VIC" w:hAnsi="VIC"/>
        </w:rPr>
        <w:t>, Spain</w:t>
      </w:r>
    </w:p>
    <w:p w:rsidR="00A600BD" w:rsidRPr="00661B49" w:rsidRDefault="00A600BD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Dr Deborah Cole, Chief Executive Officer, Dental Health Services Victoria</w:t>
      </w:r>
    </w:p>
    <w:p w:rsidR="00A600BD" w:rsidRPr="00661B49" w:rsidRDefault="0015461C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Mr</w:t>
      </w:r>
      <w:r w:rsidR="00A600BD" w:rsidRPr="00661B49">
        <w:rPr>
          <w:rFonts w:ascii="VIC" w:hAnsi="VIC"/>
        </w:rPr>
        <w:t xml:space="preserve"> Terry Symonds, Deputy Secretary, Health and Welling Division, Department of Health and Human Services</w:t>
      </w:r>
    </w:p>
    <w:p w:rsidR="008C11C0" w:rsidRPr="00661B49" w:rsidRDefault="00A600BD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Dr Simon Judkins, Clinical Director Emergency Department, Austin Health</w:t>
      </w:r>
    </w:p>
    <w:p w:rsidR="00AB03EA" w:rsidRPr="00661B49" w:rsidRDefault="00AB03EA" w:rsidP="003F0703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>Dr Don Berwick</w:t>
      </w:r>
      <w:r w:rsidR="00B833BA" w:rsidRPr="00661B49">
        <w:rPr>
          <w:rFonts w:ascii="VIC" w:hAnsi="VIC" w:cstheme="minorHAnsi"/>
        </w:rPr>
        <w:t xml:space="preserve"> </w:t>
      </w:r>
      <w:r w:rsidR="00F777E1" w:rsidRPr="00661B49">
        <w:rPr>
          <w:rFonts w:ascii="VIC" w:hAnsi="VIC" w:cstheme="minorHAnsi"/>
        </w:rPr>
        <w:t xml:space="preserve">kicked off the discussion about </w:t>
      </w:r>
      <w:r w:rsidRPr="00661B49">
        <w:rPr>
          <w:rFonts w:ascii="VIC" w:hAnsi="VIC" w:cstheme="minorHAnsi"/>
        </w:rPr>
        <w:t>change improvement theory to</w:t>
      </w:r>
      <w:r w:rsidR="0037268E" w:rsidRPr="00661B49">
        <w:rPr>
          <w:rFonts w:ascii="VIC" w:hAnsi="VIC" w:cstheme="minorHAnsi"/>
        </w:rPr>
        <w:t xml:space="preserve"> lead quality improvement in Victoria. Dr Berwick highlighted the importance of</w:t>
      </w:r>
      <w:r w:rsidR="003F0703" w:rsidRPr="00661B49">
        <w:rPr>
          <w:rFonts w:ascii="VIC" w:hAnsi="VIC" w:cstheme="minorHAnsi"/>
        </w:rPr>
        <w:t xml:space="preserve"> systems,</w:t>
      </w:r>
      <w:r w:rsidR="0037268E" w:rsidRPr="00661B49">
        <w:rPr>
          <w:rFonts w:ascii="VIC" w:hAnsi="VIC" w:cstheme="minorHAnsi"/>
        </w:rPr>
        <w:t xml:space="preserve"> measuring outcomes </w:t>
      </w:r>
      <w:r w:rsidRPr="00661B49">
        <w:rPr>
          <w:rFonts w:ascii="VIC" w:hAnsi="VIC" w:cstheme="minorHAnsi"/>
        </w:rPr>
        <w:t>and enhancing learning to</w:t>
      </w:r>
      <w:r w:rsidR="0037268E" w:rsidRPr="00661B49">
        <w:rPr>
          <w:rFonts w:ascii="VIC" w:hAnsi="VIC" w:cstheme="minorHAnsi"/>
        </w:rPr>
        <w:t xml:space="preserve"> improve safety and </w:t>
      </w:r>
      <w:r w:rsidR="00250341" w:rsidRPr="00661B49">
        <w:rPr>
          <w:rFonts w:ascii="VIC" w:hAnsi="VIC" w:cstheme="minorHAnsi"/>
        </w:rPr>
        <w:t xml:space="preserve">sustainability </w:t>
      </w:r>
      <w:r w:rsidR="0037268E" w:rsidRPr="00661B49">
        <w:rPr>
          <w:rFonts w:ascii="VIC" w:hAnsi="VIC" w:cstheme="minorHAnsi"/>
        </w:rPr>
        <w:t>in healthcare</w:t>
      </w:r>
      <w:r w:rsidRPr="00661B49">
        <w:rPr>
          <w:rFonts w:ascii="VIC" w:hAnsi="VIC" w:cstheme="minorHAnsi"/>
        </w:rPr>
        <w:t>.</w:t>
      </w:r>
    </w:p>
    <w:p w:rsidR="00117755" w:rsidRPr="00661B49" w:rsidRDefault="00AB03EA" w:rsidP="003F0703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>Mr Benedict Keneally in</w:t>
      </w:r>
      <w:r w:rsidR="003F0703" w:rsidRPr="00661B49">
        <w:rPr>
          <w:rFonts w:ascii="VIC" w:hAnsi="VIC" w:cstheme="minorHAnsi"/>
        </w:rPr>
        <w:t>tro</w:t>
      </w:r>
      <w:r w:rsidR="00250341" w:rsidRPr="00661B49">
        <w:rPr>
          <w:rFonts w:ascii="VIC" w:hAnsi="VIC" w:cstheme="minorHAnsi"/>
        </w:rPr>
        <w:t>duced value-</w:t>
      </w:r>
      <w:r w:rsidRPr="00661B49">
        <w:rPr>
          <w:rFonts w:ascii="VIC" w:hAnsi="VIC" w:cstheme="minorHAnsi"/>
        </w:rPr>
        <w:t xml:space="preserve">based healthcare as a new core principle for healthcare management. He emphasised the need to define a set of outcomes that matter to the </w:t>
      </w:r>
      <w:r w:rsidR="00250341" w:rsidRPr="00661B49">
        <w:rPr>
          <w:rFonts w:ascii="VIC" w:hAnsi="VIC" w:cstheme="minorHAnsi"/>
        </w:rPr>
        <w:t>patient</w:t>
      </w:r>
      <w:r w:rsidRPr="00661B49">
        <w:rPr>
          <w:rFonts w:ascii="VIC" w:hAnsi="VIC" w:cstheme="minorHAnsi"/>
        </w:rPr>
        <w:t xml:space="preserve"> and then s</w:t>
      </w:r>
      <w:r w:rsidR="008728A6" w:rsidRPr="00661B49">
        <w:rPr>
          <w:rFonts w:ascii="VIC" w:hAnsi="VIC" w:cstheme="minorHAnsi"/>
        </w:rPr>
        <w:t>ystematically measure them to create value.</w:t>
      </w:r>
      <w:r w:rsidR="0037268E" w:rsidRPr="00661B49">
        <w:rPr>
          <w:rFonts w:ascii="VIC" w:hAnsi="VIC" w:cstheme="minorHAnsi"/>
        </w:rPr>
        <w:t xml:space="preserve"> </w:t>
      </w:r>
    </w:p>
    <w:p w:rsidR="003F0703" w:rsidRPr="00661B49" w:rsidRDefault="00AB03EA" w:rsidP="003F0703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 xml:space="preserve">The </w:t>
      </w:r>
      <w:r w:rsidR="00D26150" w:rsidRPr="00661B49">
        <w:rPr>
          <w:rFonts w:ascii="VIC" w:hAnsi="VIC" w:cstheme="minorHAnsi"/>
        </w:rPr>
        <w:t xml:space="preserve">department’s </w:t>
      </w:r>
      <w:r w:rsidR="00F777E1" w:rsidRPr="00661B49">
        <w:rPr>
          <w:rFonts w:ascii="VIC" w:hAnsi="VIC" w:cstheme="minorHAnsi"/>
        </w:rPr>
        <w:t xml:space="preserve">initial </w:t>
      </w:r>
      <w:r w:rsidR="00D26150" w:rsidRPr="00661B49">
        <w:rPr>
          <w:rFonts w:ascii="VIC" w:hAnsi="VIC" w:cstheme="minorHAnsi"/>
        </w:rPr>
        <w:t xml:space="preserve">ideas about </w:t>
      </w:r>
      <w:r w:rsidRPr="00661B49">
        <w:rPr>
          <w:rFonts w:ascii="VIC" w:hAnsi="VIC" w:cstheme="minorHAnsi"/>
        </w:rPr>
        <w:t>approach</w:t>
      </w:r>
      <w:r w:rsidR="00D26150" w:rsidRPr="00661B49">
        <w:rPr>
          <w:rFonts w:ascii="VIC" w:hAnsi="VIC" w:cstheme="minorHAnsi"/>
        </w:rPr>
        <w:t>ing</w:t>
      </w:r>
      <w:r w:rsidR="00AC6419" w:rsidRPr="00661B49">
        <w:rPr>
          <w:rFonts w:ascii="VIC" w:hAnsi="VIC" w:cstheme="minorHAnsi"/>
        </w:rPr>
        <w:t xml:space="preserve"> </w:t>
      </w:r>
      <w:r w:rsidRPr="00661B49">
        <w:rPr>
          <w:rFonts w:ascii="VIC" w:hAnsi="VIC" w:cstheme="minorHAnsi"/>
        </w:rPr>
        <w:t>value</w:t>
      </w:r>
      <w:r w:rsidR="00250341" w:rsidRPr="00661B49">
        <w:rPr>
          <w:rFonts w:ascii="VIC" w:hAnsi="VIC" w:cstheme="minorHAnsi"/>
        </w:rPr>
        <w:t>-</w:t>
      </w:r>
      <w:r w:rsidRPr="00661B49">
        <w:rPr>
          <w:rFonts w:ascii="VIC" w:hAnsi="VIC" w:cstheme="minorHAnsi"/>
        </w:rPr>
        <w:t>based healthcare</w:t>
      </w:r>
      <w:r w:rsidR="00B833BA" w:rsidRPr="00661B49">
        <w:rPr>
          <w:rFonts w:ascii="VIC" w:hAnsi="VIC" w:cstheme="minorHAnsi"/>
        </w:rPr>
        <w:t xml:space="preserve"> in Victoria</w:t>
      </w:r>
      <w:r w:rsidRPr="00661B49">
        <w:rPr>
          <w:rFonts w:ascii="VIC" w:hAnsi="VIC" w:cstheme="minorHAnsi"/>
        </w:rPr>
        <w:t xml:space="preserve"> </w:t>
      </w:r>
      <w:r w:rsidR="00F777E1" w:rsidRPr="00661B49">
        <w:rPr>
          <w:rFonts w:ascii="VIC" w:hAnsi="VIC" w:cstheme="minorHAnsi"/>
        </w:rPr>
        <w:t xml:space="preserve">were </w:t>
      </w:r>
      <w:r w:rsidRPr="00661B49">
        <w:rPr>
          <w:rFonts w:ascii="VIC" w:hAnsi="VIC" w:cstheme="minorHAnsi"/>
        </w:rPr>
        <w:t xml:space="preserve">introduced by </w:t>
      </w:r>
      <w:r w:rsidR="006D4685" w:rsidRPr="00661B49">
        <w:rPr>
          <w:rFonts w:ascii="VIC" w:hAnsi="VIC" w:cstheme="minorHAnsi"/>
        </w:rPr>
        <w:t xml:space="preserve">Mr </w:t>
      </w:r>
      <w:r w:rsidRPr="00661B49">
        <w:rPr>
          <w:rFonts w:ascii="VIC" w:hAnsi="VIC" w:cstheme="minorHAnsi"/>
        </w:rPr>
        <w:t>Terry Symonds</w:t>
      </w:r>
      <w:r w:rsidR="003F0703" w:rsidRPr="00661B49">
        <w:rPr>
          <w:rFonts w:ascii="VIC" w:hAnsi="VIC" w:cstheme="minorHAnsi"/>
        </w:rPr>
        <w:t>. Opportunities and challenges in Victoria</w:t>
      </w:r>
      <w:r w:rsidR="008728A6" w:rsidRPr="00661B49">
        <w:rPr>
          <w:rFonts w:ascii="VIC" w:hAnsi="VIC" w:cstheme="minorHAnsi"/>
        </w:rPr>
        <w:t xml:space="preserve"> were</w:t>
      </w:r>
      <w:r w:rsidR="003F0703" w:rsidRPr="00661B49">
        <w:rPr>
          <w:rFonts w:ascii="VIC" w:hAnsi="VIC" w:cstheme="minorHAnsi"/>
        </w:rPr>
        <w:t xml:space="preserve"> discussed in the context of exploring the potential for a </w:t>
      </w:r>
      <w:r w:rsidR="00250341" w:rsidRPr="00661B49">
        <w:rPr>
          <w:rFonts w:ascii="VIC" w:hAnsi="VIC" w:cstheme="minorHAnsi"/>
        </w:rPr>
        <w:t>value-</w:t>
      </w:r>
      <w:r w:rsidR="003F0703" w:rsidRPr="00661B49">
        <w:rPr>
          <w:rFonts w:ascii="VIC" w:hAnsi="VIC" w:cstheme="minorHAnsi"/>
        </w:rPr>
        <w:t>based healthcare strategy</w:t>
      </w:r>
      <w:r w:rsidR="008728A6" w:rsidRPr="00661B49">
        <w:rPr>
          <w:rFonts w:ascii="VIC" w:hAnsi="VIC" w:cstheme="minorHAnsi"/>
        </w:rPr>
        <w:t xml:space="preserve"> in Victoria</w:t>
      </w:r>
      <w:r w:rsidR="003F0703" w:rsidRPr="00661B49">
        <w:rPr>
          <w:rFonts w:ascii="VIC" w:hAnsi="VIC" w:cstheme="minorHAnsi"/>
        </w:rPr>
        <w:t xml:space="preserve">.  </w:t>
      </w:r>
    </w:p>
    <w:p w:rsidR="0037268E" w:rsidRPr="00661B49" w:rsidRDefault="00F777E1" w:rsidP="003F0703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</w:rPr>
        <w:t xml:space="preserve">Other </w:t>
      </w:r>
      <w:r w:rsidR="0015048D" w:rsidRPr="00661B49">
        <w:rPr>
          <w:rFonts w:ascii="VIC" w:hAnsi="VIC" w:cstheme="minorHAnsi"/>
        </w:rPr>
        <w:t>presenters</w:t>
      </w:r>
      <w:r w:rsidR="00AB03EA" w:rsidRPr="00661B49">
        <w:rPr>
          <w:rFonts w:ascii="VIC" w:hAnsi="VIC" w:cstheme="minorHAnsi"/>
        </w:rPr>
        <w:t xml:space="preserve"> shared their experiences implementing projects that changed</w:t>
      </w:r>
      <w:r w:rsidR="00B833BA" w:rsidRPr="00661B49">
        <w:rPr>
          <w:rFonts w:ascii="VIC" w:hAnsi="VIC" w:cstheme="minorHAnsi"/>
        </w:rPr>
        <w:t xml:space="preserve"> </w:t>
      </w:r>
      <w:r w:rsidR="006D4685" w:rsidRPr="00661B49">
        <w:rPr>
          <w:rFonts w:ascii="VIC" w:hAnsi="VIC" w:cstheme="minorHAnsi"/>
        </w:rPr>
        <w:t xml:space="preserve">the </w:t>
      </w:r>
      <w:r w:rsidR="00B544B4" w:rsidRPr="00661B49">
        <w:rPr>
          <w:rFonts w:ascii="VIC" w:hAnsi="VIC" w:cstheme="minorHAnsi"/>
        </w:rPr>
        <w:t xml:space="preserve">approach in the </w:t>
      </w:r>
      <w:r w:rsidR="00AB03EA" w:rsidRPr="00661B49">
        <w:rPr>
          <w:rFonts w:ascii="VIC" w:hAnsi="VIC" w:cstheme="minorHAnsi"/>
        </w:rPr>
        <w:t>health</w:t>
      </w:r>
      <w:r w:rsidR="006D4685" w:rsidRPr="00661B49">
        <w:rPr>
          <w:rFonts w:ascii="VIC" w:hAnsi="VIC" w:cstheme="minorHAnsi"/>
        </w:rPr>
        <w:t>care</w:t>
      </w:r>
      <w:r w:rsidR="00AB03EA" w:rsidRPr="00661B49">
        <w:rPr>
          <w:rFonts w:ascii="VIC" w:hAnsi="VIC" w:cstheme="minorHAnsi"/>
        </w:rPr>
        <w:t xml:space="preserve"> services </w:t>
      </w:r>
      <w:r w:rsidR="00227A6B" w:rsidRPr="00661B49">
        <w:rPr>
          <w:rFonts w:ascii="VIC" w:hAnsi="VIC" w:cstheme="minorHAnsi"/>
        </w:rPr>
        <w:t xml:space="preserve">where </w:t>
      </w:r>
      <w:r w:rsidR="006D4685" w:rsidRPr="00661B49">
        <w:rPr>
          <w:rFonts w:ascii="VIC" w:hAnsi="VIC" w:cstheme="minorHAnsi"/>
        </w:rPr>
        <w:t>they work</w:t>
      </w:r>
      <w:r w:rsidR="00AB03EA" w:rsidRPr="00661B49">
        <w:rPr>
          <w:rFonts w:ascii="VIC" w:hAnsi="VIC" w:cstheme="minorHAnsi"/>
        </w:rPr>
        <w:t xml:space="preserve">.  Dr Yolima Cossio-Gil focused on the journey of </w:t>
      </w:r>
      <w:r w:rsidR="00BE048C">
        <w:rPr>
          <w:rFonts w:ascii="VIC" w:hAnsi="VIC" w:cstheme="minorHAnsi"/>
        </w:rPr>
        <w:t>Ho</w:t>
      </w:r>
      <w:r w:rsidR="006974E8" w:rsidRPr="00661B49">
        <w:rPr>
          <w:rFonts w:ascii="VIC" w:hAnsi="VIC" w:cstheme="minorHAnsi"/>
        </w:rPr>
        <w:t>s</w:t>
      </w:r>
      <w:r w:rsidR="00BE048C">
        <w:rPr>
          <w:rFonts w:ascii="VIC" w:hAnsi="VIC" w:cstheme="minorHAnsi"/>
        </w:rPr>
        <w:t>p</w:t>
      </w:r>
      <w:r w:rsidR="006974E8" w:rsidRPr="00661B49">
        <w:rPr>
          <w:rFonts w:ascii="VIC" w:hAnsi="VIC" w:cstheme="minorHAnsi"/>
        </w:rPr>
        <w:t xml:space="preserve">ital </w:t>
      </w:r>
      <w:proofErr w:type="spellStart"/>
      <w:r w:rsidR="006974E8" w:rsidRPr="00661B49">
        <w:rPr>
          <w:rFonts w:ascii="VIC" w:hAnsi="VIC" w:cstheme="minorHAnsi"/>
        </w:rPr>
        <w:t>Universitari</w:t>
      </w:r>
      <w:proofErr w:type="spellEnd"/>
      <w:r w:rsidR="006974E8" w:rsidRPr="00661B49">
        <w:rPr>
          <w:rFonts w:ascii="VIC" w:hAnsi="VIC" w:cstheme="minorHAnsi"/>
        </w:rPr>
        <w:t xml:space="preserve"> </w:t>
      </w:r>
      <w:proofErr w:type="spellStart"/>
      <w:r w:rsidR="006974E8" w:rsidRPr="00661B49">
        <w:rPr>
          <w:rFonts w:ascii="VIC" w:hAnsi="VIC" w:cstheme="minorHAnsi"/>
        </w:rPr>
        <w:t>Vall</w:t>
      </w:r>
      <w:proofErr w:type="spellEnd"/>
      <w:r w:rsidR="006974E8" w:rsidRPr="00661B49">
        <w:rPr>
          <w:rFonts w:ascii="VIC" w:hAnsi="VIC" w:cstheme="minorHAnsi"/>
        </w:rPr>
        <w:t xml:space="preserve"> </w:t>
      </w:r>
      <w:proofErr w:type="spellStart"/>
      <w:r w:rsidR="006974E8" w:rsidRPr="00661B49">
        <w:rPr>
          <w:rFonts w:ascii="VIC" w:hAnsi="VIC" w:cstheme="minorHAnsi"/>
        </w:rPr>
        <w:t>d’He</w:t>
      </w:r>
      <w:r w:rsidR="00AB03EA" w:rsidRPr="00661B49">
        <w:rPr>
          <w:rFonts w:ascii="VIC" w:hAnsi="VIC" w:cstheme="minorHAnsi"/>
        </w:rPr>
        <w:t>bron</w:t>
      </w:r>
      <w:proofErr w:type="spellEnd"/>
      <w:r w:rsidR="00250341" w:rsidRPr="00661B49">
        <w:rPr>
          <w:rFonts w:ascii="VIC" w:hAnsi="VIC" w:cstheme="minorHAnsi"/>
        </w:rPr>
        <w:t xml:space="preserve"> piloting value-</w:t>
      </w:r>
      <w:r w:rsidR="00AB03EA" w:rsidRPr="00661B49">
        <w:rPr>
          <w:rFonts w:ascii="VIC" w:hAnsi="VIC" w:cstheme="minorHAnsi"/>
        </w:rPr>
        <w:t>based healthcare. A local perspective</w:t>
      </w:r>
      <w:r w:rsidR="00B833BA" w:rsidRPr="00661B49">
        <w:rPr>
          <w:rFonts w:ascii="VIC" w:hAnsi="VIC" w:cstheme="minorHAnsi"/>
        </w:rPr>
        <w:t xml:space="preserve"> </w:t>
      </w:r>
      <w:r w:rsidR="00B833BA" w:rsidRPr="00661B49">
        <w:rPr>
          <w:rFonts w:ascii="VIC" w:hAnsi="VIC" w:cstheme="minorHAnsi"/>
          <w:szCs w:val="22"/>
        </w:rPr>
        <w:t>and the lessons learnt</w:t>
      </w:r>
      <w:r w:rsidR="00AB03EA" w:rsidRPr="00661B49">
        <w:rPr>
          <w:rFonts w:ascii="VIC" w:hAnsi="VIC" w:cstheme="minorHAnsi"/>
          <w:szCs w:val="22"/>
        </w:rPr>
        <w:t xml:space="preserve"> </w:t>
      </w:r>
      <w:r w:rsidR="00B833BA" w:rsidRPr="00661B49">
        <w:rPr>
          <w:rFonts w:ascii="VIC" w:hAnsi="VIC" w:cstheme="minorHAnsi"/>
          <w:szCs w:val="22"/>
        </w:rPr>
        <w:t>during a pilot of</w:t>
      </w:r>
      <w:r w:rsidR="00250341" w:rsidRPr="00661B49">
        <w:rPr>
          <w:rFonts w:ascii="VIC" w:hAnsi="VIC" w:cstheme="minorHAnsi"/>
          <w:szCs w:val="22"/>
        </w:rPr>
        <w:t xml:space="preserve"> value-</w:t>
      </w:r>
      <w:r w:rsidR="00AB03EA" w:rsidRPr="00661B49">
        <w:rPr>
          <w:rFonts w:ascii="VIC" w:hAnsi="VIC" w:cstheme="minorHAnsi"/>
          <w:szCs w:val="22"/>
        </w:rPr>
        <w:t xml:space="preserve">based healthcare in Dental Health Services Victoria was provided by Dr Deborah Cole. </w:t>
      </w:r>
      <w:r w:rsidR="003F0703" w:rsidRPr="00661B49">
        <w:rPr>
          <w:rFonts w:ascii="VIC" w:hAnsi="VIC" w:cstheme="minorHAnsi"/>
          <w:szCs w:val="22"/>
        </w:rPr>
        <w:t xml:space="preserve"> Dr Simon Judkins spoke about the ‘Choosing Wisely’ program at Austin Health as an example </w:t>
      </w:r>
      <w:r w:rsidR="00227A6B" w:rsidRPr="00661B49">
        <w:rPr>
          <w:rFonts w:ascii="VIC" w:hAnsi="VIC" w:cstheme="minorHAnsi"/>
          <w:szCs w:val="22"/>
        </w:rPr>
        <w:t xml:space="preserve">of </w:t>
      </w:r>
      <w:r w:rsidR="003F0703" w:rsidRPr="00661B49">
        <w:rPr>
          <w:rFonts w:ascii="VIC" w:hAnsi="VIC" w:cstheme="minorHAnsi"/>
          <w:szCs w:val="22"/>
        </w:rPr>
        <w:t>changing attitudes to practice.</w:t>
      </w:r>
    </w:p>
    <w:p w:rsidR="003F0703" w:rsidRPr="00661B49" w:rsidRDefault="003F0703" w:rsidP="003F0703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 xml:space="preserve">Council members participated in two workshops to inform and develop advice and recommendations </w:t>
      </w:r>
      <w:r w:rsidR="00F777E1" w:rsidRPr="00661B49">
        <w:rPr>
          <w:rFonts w:ascii="VIC" w:hAnsi="VIC" w:cstheme="minorHAnsi"/>
          <w:szCs w:val="22"/>
        </w:rPr>
        <w:t xml:space="preserve">for </w:t>
      </w:r>
      <w:r w:rsidR="00250341" w:rsidRPr="00661B49">
        <w:rPr>
          <w:rFonts w:ascii="VIC" w:hAnsi="VIC" w:cstheme="minorHAnsi"/>
          <w:szCs w:val="22"/>
        </w:rPr>
        <w:t>an approach for value-</w:t>
      </w:r>
      <w:r w:rsidRPr="00661B49">
        <w:rPr>
          <w:rFonts w:ascii="VIC" w:hAnsi="VIC" w:cstheme="minorHAnsi"/>
          <w:szCs w:val="22"/>
        </w:rPr>
        <w:t>based care in Victoria.</w:t>
      </w:r>
    </w:p>
    <w:p w:rsidR="00B833BA" w:rsidRPr="00F777E1" w:rsidRDefault="00B833BA" w:rsidP="00B833BA">
      <w:pPr>
        <w:pStyle w:val="Heading3"/>
        <w:rPr>
          <w:rFonts w:ascii="VIC SemiBold" w:hAnsi="VIC SemiBold" w:cstheme="minorHAnsi"/>
          <w:b w:val="0"/>
          <w:caps/>
          <w:color w:val="004EA8"/>
          <w:szCs w:val="26"/>
        </w:rPr>
      </w:pP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>recommendations on value</w:t>
      </w:r>
      <w:r w:rsidR="00250341" w:rsidRPr="00F777E1">
        <w:rPr>
          <w:rFonts w:ascii="VIC SemiBold" w:hAnsi="VIC SemiBold" w:cstheme="minorHAnsi"/>
          <w:b w:val="0"/>
          <w:caps/>
          <w:color w:val="004EA8"/>
          <w:szCs w:val="26"/>
        </w:rPr>
        <w:t>-</w:t>
      </w: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>based healthcare in Victoria</w:t>
      </w:r>
    </w:p>
    <w:p w:rsidR="00F610AA" w:rsidRPr="00F610AA" w:rsidRDefault="00F610AA" w:rsidP="00B266A6">
      <w:pPr>
        <w:rPr>
          <w:rFonts w:ascii="VIC" w:eastAsiaTheme="majorEastAsia" w:hAnsi="VIC" w:cstheme="minorHAnsi"/>
          <w:b/>
          <w:bCs/>
          <w:color w:val="000000" w:themeColor="text1"/>
          <w:sz w:val="24"/>
          <w:szCs w:val="22"/>
        </w:rPr>
      </w:pPr>
      <w:r w:rsidRPr="00CA4E7D">
        <w:rPr>
          <w:rFonts w:ascii="VIC" w:hAnsi="VIC"/>
          <w:noProof/>
        </w:rPr>
        <mc:AlternateContent>
          <mc:Choice Requires="wps">
            <w:drawing>
              <wp:inline distT="0" distB="0" distL="0" distR="0" wp14:anchorId="5D403778" wp14:editId="039CCC77">
                <wp:extent cx="6263640" cy="4598670"/>
                <wp:effectExtent l="0" t="0" r="22860" b="11430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3640" cy="4598670"/>
                        </a:xfrm>
                        <a:prstGeom prst="rect">
                          <a:avLst/>
                        </a:prstGeom>
                        <a:solidFill>
                          <a:srgbClr val="EDF5F7"/>
                        </a:solidFill>
                        <a:ln w="6350">
                          <a:solidFill>
                            <a:srgbClr val="EDF5F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10AA" w:rsidRPr="00F777E1" w:rsidRDefault="00F610AA" w:rsidP="00F610AA">
                            <w:pPr>
                              <w:pStyle w:val="PulloutHeading"/>
                              <w:rPr>
                                <w:rFonts w:ascii="VIC SemiBold" w:hAnsi="VIC SemiBold"/>
                                <w:b w:val="0"/>
                              </w:rPr>
                            </w:pPr>
                            <w:r w:rsidRPr="00F777E1">
                              <w:rPr>
                                <w:rFonts w:ascii="VIC SemiBold" w:hAnsi="VIC SemiBold"/>
                                <w:b w:val="0"/>
                              </w:rPr>
                              <w:t>Council recommendations overview</w:t>
                            </w:r>
                          </w:p>
                          <w:p w:rsidR="004C21F6" w:rsidRPr="001B5538" w:rsidRDefault="004C21F6" w:rsidP="004C21F6">
                            <w:pPr>
                              <w:pStyle w:val="PulloutText"/>
                              <w:numPr>
                                <w:ilvl w:val="0"/>
                                <w:numId w:val="30"/>
                              </w:numPr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</w:pPr>
                            <w:r w:rsidRPr="004C21F6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The council su</w:t>
                            </w:r>
                            <w:r w:rsidR="00250341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pports the exploration of value-</w:t>
                            </w:r>
                            <w:r w:rsidRPr="004C21F6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based healthcare to create value </w:t>
                            </w:r>
                            <w:r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across the whole Victorian health system. </w:t>
                            </w:r>
                          </w:p>
                          <w:p w:rsidR="001B5538" w:rsidRPr="001B5538" w:rsidRDefault="001B5538" w:rsidP="001B5538">
                            <w:pPr>
                              <w:pStyle w:val="PulloutText"/>
                              <w:numPr>
                                <w:ilvl w:val="0"/>
                                <w:numId w:val="30"/>
                              </w:numPr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</w:pPr>
                            <w:r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The council recommends prioritising embedding </w:t>
                            </w:r>
                            <w:r w:rsidR="00250341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patients</w:t>
                            </w:r>
                            <w:r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and clinicians during value</w:t>
                            </w:r>
                            <w:r w:rsidR="00250341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-</w:t>
                            </w:r>
                            <w:r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based healthcare policy development and implementation.</w:t>
                            </w:r>
                          </w:p>
                          <w:p w:rsidR="001B5538" w:rsidRPr="001B5538" w:rsidRDefault="001B5538" w:rsidP="001B5538">
                            <w:pPr>
                              <w:pStyle w:val="PulloutText"/>
                              <w:numPr>
                                <w:ilvl w:val="0"/>
                                <w:numId w:val="30"/>
                              </w:numPr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</w:pPr>
                            <w:r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The council recommends developing a strategy that covers the full range of </w:t>
                            </w:r>
                            <w:r w:rsidR="007A0553"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Victoria</w:t>
                            </w:r>
                            <w:r w:rsidR="007A0553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’s</w:t>
                            </w:r>
                            <w:r w:rsidR="007A0553"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health </w:t>
                            </w:r>
                            <w:r w:rsidR="00250341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system and includes social care as a tool to improve health. </w:t>
                            </w:r>
                          </w:p>
                          <w:p w:rsidR="00F610AA" w:rsidRPr="001B5538" w:rsidRDefault="001B5538" w:rsidP="001B5538">
                            <w:pPr>
                              <w:pStyle w:val="PulloutText"/>
                              <w:numPr>
                                <w:ilvl w:val="0"/>
                                <w:numId w:val="30"/>
                              </w:numPr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</w:pPr>
                            <w:r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The council recommends </w:t>
                            </w:r>
                            <w:r w:rsidR="007A0553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a</w:t>
                            </w:r>
                            <w:r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focus on the accurate and systematic measurement of outcomes that matter to </w:t>
                            </w:r>
                            <w:r w:rsidR="00250341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patients</w:t>
                            </w:r>
                            <w:r w:rsidRP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and that are clinically relevant.</w:t>
                            </w:r>
                          </w:p>
                        </w:txbxContent>
                      </wps:txbx>
                      <wps:bodyPr rot="0" vert="horz" wrap="square" lIns="180000" tIns="180000" rIns="144000" bIns="3600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D40377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93.2pt;height:362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" fillcolor="#edf5f7" strokecolor="#edf5f7" strokeweight=".5pt">
                <v:textbox style="mso-fit-shape-to-text:t" inset="5mm,5mm,4mm,1mm">
                  <w:txbxContent>
                    <w:p w:rsidR="00F610AA" w:rsidRPr="00F777E1" w:rsidRDefault="00F610AA" w:rsidP="00F610AA">
                      <w:pPr>
                        <w:pStyle w:val="PulloutHeading"/>
                        <w:rPr>
                          <w:rFonts w:ascii="VIC SemiBold" w:hAnsi="VIC SemiBold"/>
                          <w:b w:val="0"/>
                        </w:rPr>
                      </w:pPr>
                      <w:r w:rsidRPr="00F777E1">
                        <w:rPr>
                          <w:rFonts w:ascii="VIC SemiBold" w:hAnsi="VIC SemiBold"/>
                          <w:b w:val="0"/>
                        </w:rPr>
                        <w:t>Council recommendations overview</w:t>
                      </w:r>
                    </w:p>
                    <w:p w:rsidR="004C21F6" w:rsidRPr="001B5538" w:rsidRDefault="004C21F6" w:rsidP="004C21F6">
                      <w:pPr>
                        <w:pStyle w:val="PulloutText"/>
                        <w:numPr>
                          <w:ilvl w:val="0"/>
                          <w:numId w:val="30"/>
                        </w:numPr>
                        <w:rPr>
                          <w:rFonts w:ascii="VIC" w:hAnsi="VIC"/>
                          <w:sz w:val="22"/>
                          <w:szCs w:val="22"/>
                        </w:rPr>
                      </w:pPr>
                      <w:r w:rsidRPr="004C21F6">
                        <w:rPr>
                          <w:rFonts w:ascii="VIC" w:hAnsi="VIC"/>
                          <w:sz w:val="22"/>
                          <w:szCs w:val="22"/>
                        </w:rPr>
                        <w:t>The council su</w:t>
                      </w:r>
                      <w:r w:rsidR="00250341">
                        <w:rPr>
                          <w:rFonts w:ascii="VIC" w:hAnsi="VIC"/>
                          <w:sz w:val="22"/>
                          <w:szCs w:val="22"/>
                        </w:rPr>
                        <w:t>pports the exploration of value-</w:t>
                      </w:r>
                      <w:r w:rsidRPr="004C21F6">
                        <w:rPr>
                          <w:rFonts w:ascii="VIC" w:hAnsi="VIC"/>
                          <w:sz w:val="22"/>
                          <w:szCs w:val="22"/>
                        </w:rPr>
                        <w:t xml:space="preserve">based healthcare to create value </w:t>
                      </w:r>
                      <w:r w:rsidRPr="001B5538">
                        <w:rPr>
                          <w:rFonts w:ascii="VIC" w:hAnsi="VIC"/>
                          <w:sz w:val="22"/>
                          <w:szCs w:val="22"/>
                        </w:rPr>
                        <w:t xml:space="preserve">across the whole Victorian health system. </w:t>
                      </w:r>
                    </w:p>
                    <w:p w:rsidR="001B5538" w:rsidRPr="001B5538" w:rsidRDefault="001B5538" w:rsidP="001B5538">
                      <w:pPr>
                        <w:pStyle w:val="PulloutText"/>
                        <w:numPr>
                          <w:ilvl w:val="0"/>
                          <w:numId w:val="30"/>
                        </w:numPr>
                        <w:rPr>
                          <w:rFonts w:ascii="VIC" w:hAnsi="VIC"/>
                          <w:sz w:val="22"/>
                          <w:szCs w:val="22"/>
                        </w:rPr>
                      </w:pPr>
                      <w:r w:rsidRPr="001B5538">
                        <w:rPr>
                          <w:rFonts w:ascii="VIC" w:hAnsi="VIC"/>
                          <w:sz w:val="22"/>
                          <w:szCs w:val="22"/>
                        </w:rPr>
                        <w:t xml:space="preserve">The council recommends prioritising embedding </w:t>
                      </w:r>
                      <w:r w:rsidR="00250341">
                        <w:rPr>
                          <w:rFonts w:ascii="VIC" w:hAnsi="VIC"/>
                          <w:sz w:val="22"/>
                          <w:szCs w:val="22"/>
                        </w:rPr>
                        <w:t>patients</w:t>
                      </w:r>
                      <w:r w:rsidRPr="001B5538">
                        <w:rPr>
                          <w:rFonts w:ascii="VIC" w:hAnsi="VIC"/>
                          <w:sz w:val="22"/>
                          <w:szCs w:val="22"/>
                        </w:rPr>
                        <w:t xml:space="preserve"> and clinicians during value</w:t>
                      </w:r>
                      <w:r w:rsidR="00250341">
                        <w:rPr>
                          <w:rFonts w:ascii="VIC" w:hAnsi="VIC"/>
                          <w:sz w:val="22"/>
                          <w:szCs w:val="22"/>
                        </w:rPr>
                        <w:t>-</w:t>
                      </w:r>
                      <w:r w:rsidRPr="001B5538">
                        <w:rPr>
                          <w:rFonts w:ascii="VIC" w:hAnsi="VIC"/>
                          <w:sz w:val="22"/>
                          <w:szCs w:val="22"/>
                        </w:rPr>
                        <w:t>based healthcare policy development and implementation.</w:t>
                      </w:r>
                    </w:p>
                    <w:p w:rsidR="001B5538" w:rsidRPr="001B5538" w:rsidRDefault="001B5538" w:rsidP="001B5538">
                      <w:pPr>
                        <w:pStyle w:val="PulloutText"/>
                        <w:numPr>
                          <w:ilvl w:val="0"/>
                          <w:numId w:val="30"/>
                        </w:numPr>
                        <w:rPr>
                          <w:rFonts w:ascii="VIC" w:hAnsi="VIC"/>
                          <w:sz w:val="22"/>
                          <w:szCs w:val="22"/>
                        </w:rPr>
                      </w:pPr>
                      <w:r w:rsidRPr="001B5538">
                        <w:rPr>
                          <w:rFonts w:ascii="VIC" w:hAnsi="VIC"/>
                          <w:sz w:val="22"/>
                          <w:szCs w:val="22"/>
                        </w:rPr>
                        <w:t xml:space="preserve">The council recommends developing a strategy that covers the full range of </w:t>
                      </w:r>
                      <w:r w:rsidR="007A0553" w:rsidRPr="001B5538">
                        <w:rPr>
                          <w:rFonts w:ascii="VIC" w:hAnsi="VIC"/>
                          <w:sz w:val="22"/>
                          <w:szCs w:val="22"/>
                        </w:rPr>
                        <w:t>Victoria</w:t>
                      </w:r>
                      <w:r w:rsidR="007A0553">
                        <w:rPr>
                          <w:rFonts w:ascii="VIC" w:hAnsi="VIC"/>
                          <w:sz w:val="22"/>
                          <w:szCs w:val="22"/>
                        </w:rPr>
                        <w:t>’s</w:t>
                      </w:r>
                      <w:r w:rsidR="007A0553" w:rsidRPr="001B5538">
                        <w:rPr>
                          <w:rFonts w:ascii="VIC" w:hAnsi="VIC"/>
                          <w:sz w:val="22"/>
                          <w:szCs w:val="22"/>
                        </w:rPr>
                        <w:t xml:space="preserve"> </w:t>
                      </w:r>
                      <w:r w:rsidRPr="001B5538">
                        <w:rPr>
                          <w:rFonts w:ascii="VIC" w:hAnsi="VIC"/>
                          <w:sz w:val="22"/>
                          <w:szCs w:val="22"/>
                        </w:rPr>
                        <w:t xml:space="preserve">health </w:t>
                      </w:r>
                      <w:r w:rsidR="00250341">
                        <w:rPr>
                          <w:rFonts w:ascii="VIC" w:hAnsi="VIC"/>
                          <w:sz w:val="22"/>
                          <w:szCs w:val="22"/>
                        </w:rPr>
                        <w:t xml:space="preserve">system and includes social care as a tool to improve health. </w:t>
                      </w:r>
                    </w:p>
                    <w:p w:rsidR="00F610AA" w:rsidRPr="001B5538" w:rsidRDefault="001B5538" w:rsidP="001B5538">
                      <w:pPr>
                        <w:pStyle w:val="PulloutText"/>
                        <w:numPr>
                          <w:ilvl w:val="0"/>
                          <w:numId w:val="30"/>
                        </w:numPr>
                        <w:rPr>
                          <w:rFonts w:ascii="VIC" w:hAnsi="VIC"/>
                          <w:sz w:val="22"/>
                          <w:szCs w:val="22"/>
                        </w:rPr>
                      </w:pPr>
                      <w:r w:rsidRPr="001B5538">
                        <w:rPr>
                          <w:rFonts w:ascii="VIC" w:hAnsi="VIC"/>
                          <w:sz w:val="22"/>
                          <w:szCs w:val="22"/>
                        </w:rPr>
                        <w:t xml:space="preserve">The council recommends </w:t>
                      </w:r>
                      <w:r w:rsidR="007A0553">
                        <w:rPr>
                          <w:rFonts w:ascii="VIC" w:hAnsi="VIC"/>
                          <w:sz w:val="22"/>
                          <w:szCs w:val="22"/>
                        </w:rPr>
                        <w:t>a</w:t>
                      </w:r>
                      <w:r w:rsidRPr="001B5538">
                        <w:rPr>
                          <w:rFonts w:ascii="VIC" w:hAnsi="VIC"/>
                          <w:sz w:val="22"/>
                          <w:szCs w:val="22"/>
                        </w:rPr>
                        <w:t xml:space="preserve"> focus on the accurate and systematic measurement of outcomes that matter to </w:t>
                      </w:r>
                      <w:r w:rsidR="00250341">
                        <w:rPr>
                          <w:rFonts w:ascii="VIC" w:hAnsi="VIC"/>
                          <w:sz w:val="22"/>
                          <w:szCs w:val="22"/>
                        </w:rPr>
                        <w:t>patients</w:t>
                      </w:r>
                      <w:r w:rsidRPr="001B5538">
                        <w:rPr>
                          <w:rFonts w:ascii="VIC" w:hAnsi="VIC"/>
                          <w:sz w:val="22"/>
                          <w:szCs w:val="22"/>
                        </w:rPr>
                        <w:t xml:space="preserve"> and that are clinically relevant.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B5538" w:rsidRDefault="001B5538" w:rsidP="00F610AA">
      <w:pPr>
        <w:pStyle w:val="Heading3"/>
        <w:rPr>
          <w:rFonts w:ascii="VIC" w:hAnsi="VIC" w:cstheme="minorHAnsi"/>
          <w:caps/>
          <w:color w:val="004EA8"/>
          <w:szCs w:val="26"/>
        </w:rPr>
      </w:pPr>
    </w:p>
    <w:p w:rsidR="00A07309" w:rsidRPr="00F777E1" w:rsidRDefault="00EA391F" w:rsidP="00F610AA">
      <w:pPr>
        <w:pStyle w:val="Heading3"/>
        <w:rPr>
          <w:rFonts w:ascii="VIC SemiBold" w:hAnsi="VIC SemiBold" w:cstheme="minorHAnsi"/>
          <w:b w:val="0"/>
          <w:caps/>
          <w:color w:val="004EA8"/>
          <w:szCs w:val="26"/>
        </w:rPr>
      </w:pP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>Creat</w:t>
      </w:r>
      <w:r w:rsidR="00102A98" w:rsidRPr="00F777E1">
        <w:rPr>
          <w:rFonts w:ascii="VIC SemiBold" w:hAnsi="VIC SemiBold" w:cstheme="minorHAnsi"/>
          <w:b w:val="0"/>
          <w:caps/>
          <w:color w:val="004EA8"/>
          <w:szCs w:val="26"/>
        </w:rPr>
        <w:t>e</w:t>
      </w:r>
      <w:r w:rsidR="00A07309"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 value </w:t>
      </w:r>
    </w:p>
    <w:p w:rsidR="00F67A3E" w:rsidRPr="00661B49" w:rsidRDefault="002941D2" w:rsidP="00D015B1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>The council endorse</w:t>
      </w:r>
      <w:r w:rsidR="006974E8" w:rsidRPr="00661B49">
        <w:rPr>
          <w:rFonts w:ascii="VIC" w:hAnsi="VIC" w:cstheme="minorHAnsi"/>
        </w:rPr>
        <w:t>s</w:t>
      </w:r>
      <w:r w:rsidRPr="00661B49">
        <w:rPr>
          <w:rFonts w:ascii="VIC" w:hAnsi="VIC" w:cstheme="minorHAnsi"/>
        </w:rPr>
        <w:t xml:space="preserve"> the d</w:t>
      </w:r>
      <w:r w:rsidR="00250341" w:rsidRPr="00661B49">
        <w:rPr>
          <w:rFonts w:ascii="VIC" w:hAnsi="VIC" w:cstheme="minorHAnsi"/>
        </w:rPr>
        <w:t>efinition of value-</w:t>
      </w:r>
      <w:r w:rsidR="006974E8" w:rsidRPr="00661B49">
        <w:rPr>
          <w:rFonts w:ascii="VIC" w:hAnsi="VIC" w:cstheme="minorHAnsi"/>
        </w:rPr>
        <w:t>based health</w:t>
      </w:r>
      <w:r w:rsidRPr="00661B49">
        <w:rPr>
          <w:rFonts w:ascii="VIC" w:hAnsi="VIC" w:cstheme="minorHAnsi"/>
        </w:rPr>
        <w:t>c</w:t>
      </w:r>
      <w:r w:rsidR="003A63F3" w:rsidRPr="00661B49">
        <w:rPr>
          <w:rFonts w:ascii="VIC" w:hAnsi="VIC" w:cstheme="minorHAnsi"/>
        </w:rPr>
        <w:t xml:space="preserve">are as maximising the outcomes that matter to patients relative to the end-to-end costs of delivering those outcomes.  </w:t>
      </w:r>
    </w:p>
    <w:p w:rsidR="00663AA1" w:rsidRPr="00661B49" w:rsidRDefault="00532EAA" w:rsidP="00D015B1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>The council acknowledges that there is a</w:t>
      </w:r>
      <w:r w:rsidR="006D4685" w:rsidRPr="00661B49">
        <w:rPr>
          <w:rFonts w:ascii="VIC" w:hAnsi="VIC" w:cstheme="minorHAnsi"/>
        </w:rPr>
        <w:t xml:space="preserve">n international </w:t>
      </w:r>
      <w:r w:rsidRPr="00661B49">
        <w:rPr>
          <w:rFonts w:ascii="VIC" w:hAnsi="VIC" w:cstheme="minorHAnsi"/>
        </w:rPr>
        <w:t xml:space="preserve">momentum towards </w:t>
      </w:r>
      <w:r w:rsidR="00250341" w:rsidRPr="00661B49">
        <w:rPr>
          <w:rFonts w:ascii="VIC" w:hAnsi="VIC" w:cstheme="minorHAnsi"/>
        </w:rPr>
        <w:t>value-</w:t>
      </w:r>
      <w:r w:rsidR="00395DB8" w:rsidRPr="00661B49">
        <w:rPr>
          <w:rFonts w:ascii="VIC" w:hAnsi="VIC" w:cstheme="minorHAnsi"/>
        </w:rPr>
        <w:t>based healthcare</w:t>
      </w:r>
      <w:r w:rsidR="00661B49" w:rsidRPr="00661B49">
        <w:rPr>
          <w:rFonts w:ascii="VIC" w:hAnsi="VIC" w:cstheme="minorHAnsi"/>
        </w:rPr>
        <w:t>.</w:t>
      </w:r>
      <w:r w:rsidRPr="00661B49">
        <w:rPr>
          <w:rFonts w:ascii="VIC" w:hAnsi="VIC" w:cstheme="minorHAnsi"/>
        </w:rPr>
        <w:t xml:space="preserve"> </w:t>
      </w:r>
      <w:r w:rsidR="00661B49" w:rsidRPr="00661B49">
        <w:rPr>
          <w:rFonts w:ascii="VIC" w:hAnsi="VIC" w:cstheme="minorHAnsi"/>
        </w:rPr>
        <w:t xml:space="preserve">This </w:t>
      </w:r>
      <w:r w:rsidRPr="00661B49">
        <w:rPr>
          <w:rFonts w:ascii="VIC" w:hAnsi="VIC" w:cstheme="minorHAnsi"/>
        </w:rPr>
        <w:t xml:space="preserve">provides an opportunity </w:t>
      </w:r>
      <w:r w:rsidR="00345B3C" w:rsidRPr="00661B49">
        <w:rPr>
          <w:rFonts w:ascii="VIC" w:hAnsi="VIC" w:cstheme="minorHAnsi"/>
        </w:rPr>
        <w:t xml:space="preserve">to shift the focus of the delivery of healthcare from </w:t>
      </w:r>
      <w:r w:rsidR="00117755" w:rsidRPr="00661B49">
        <w:rPr>
          <w:rFonts w:ascii="VIC" w:hAnsi="VIC" w:cstheme="minorHAnsi"/>
        </w:rPr>
        <w:t>‘</w:t>
      </w:r>
      <w:r w:rsidR="00345B3C" w:rsidRPr="00661B49">
        <w:rPr>
          <w:rFonts w:ascii="VIC" w:hAnsi="VIC" w:cstheme="minorHAnsi"/>
        </w:rPr>
        <w:t>volume</w:t>
      </w:r>
      <w:r w:rsidR="00117755" w:rsidRPr="00661B49">
        <w:rPr>
          <w:rFonts w:ascii="VIC" w:hAnsi="VIC" w:cstheme="minorHAnsi"/>
        </w:rPr>
        <w:t>’</w:t>
      </w:r>
      <w:r w:rsidR="00345B3C" w:rsidRPr="00661B49">
        <w:rPr>
          <w:rFonts w:ascii="VIC" w:hAnsi="VIC" w:cstheme="minorHAnsi"/>
        </w:rPr>
        <w:t xml:space="preserve"> to </w:t>
      </w:r>
      <w:r w:rsidR="00117755" w:rsidRPr="00661B49">
        <w:rPr>
          <w:rFonts w:ascii="VIC" w:hAnsi="VIC" w:cstheme="minorHAnsi"/>
        </w:rPr>
        <w:t>‘</w:t>
      </w:r>
      <w:r w:rsidR="00345B3C" w:rsidRPr="00661B49">
        <w:rPr>
          <w:rFonts w:ascii="VIC" w:hAnsi="VIC" w:cstheme="minorHAnsi"/>
        </w:rPr>
        <w:t>value</w:t>
      </w:r>
      <w:r w:rsidR="00117755" w:rsidRPr="00661B49">
        <w:rPr>
          <w:rFonts w:ascii="VIC" w:hAnsi="VIC" w:cstheme="minorHAnsi"/>
        </w:rPr>
        <w:t>’</w:t>
      </w:r>
      <w:r w:rsidR="0059103D" w:rsidRPr="00661B49">
        <w:rPr>
          <w:rFonts w:ascii="VIC" w:hAnsi="VIC" w:cstheme="minorHAnsi"/>
        </w:rPr>
        <w:t xml:space="preserve"> across the health system</w:t>
      </w:r>
      <w:r w:rsidR="00345B3C" w:rsidRPr="00661B49">
        <w:rPr>
          <w:rFonts w:ascii="VIC" w:hAnsi="VIC" w:cstheme="minorHAnsi"/>
        </w:rPr>
        <w:t xml:space="preserve">. The council highlighted that more Victorians </w:t>
      </w:r>
      <w:r w:rsidR="00661B49" w:rsidRPr="00661B49">
        <w:rPr>
          <w:rFonts w:ascii="VIC" w:hAnsi="VIC" w:cstheme="minorHAnsi"/>
        </w:rPr>
        <w:t xml:space="preserve">are </w:t>
      </w:r>
      <w:r w:rsidR="00345B3C" w:rsidRPr="00661B49">
        <w:rPr>
          <w:rFonts w:ascii="VIC" w:hAnsi="VIC" w:cstheme="minorHAnsi"/>
        </w:rPr>
        <w:t>requiring complex and integrated care</w:t>
      </w:r>
      <w:r w:rsidR="00661B49" w:rsidRPr="00661B49">
        <w:rPr>
          <w:rFonts w:ascii="VIC" w:hAnsi="VIC" w:cstheme="minorHAnsi"/>
        </w:rPr>
        <w:t xml:space="preserve"> </w:t>
      </w:r>
      <w:r w:rsidR="00117755" w:rsidRPr="00661B49">
        <w:rPr>
          <w:rFonts w:ascii="VIC" w:hAnsi="VIC" w:cstheme="minorHAnsi"/>
        </w:rPr>
        <w:t>result</w:t>
      </w:r>
      <w:r w:rsidR="00661B49" w:rsidRPr="00661B49">
        <w:rPr>
          <w:rFonts w:ascii="VIC" w:hAnsi="VIC" w:cstheme="minorHAnsi"/>
        </w:rPr>
        <w:t>ing</w:t>
      </w:r>
      <w:r w:rsidR="00070105" w:rsidRPr="00661B49">
        <w:rPr>
          <w:rFonts w:ascii="VIC" w:hAnsi="VIC" w:cstheme="minorHAnsi"/>
        </w:rPr>
        <w:t xml:space="preserve"> in</w:t>
      </w:r>
      <w:r w:rsidR="00345B3C" w:rsidRPr="00661B49">
        <w:rPr>
          <w:rFonts w:ascii="VIC" w:hAnsi="VIC" w:cstheme="minorHAnsi"/>
        </w:rPr>
        <w:t xml:space="preserve"> </w:t>
      </w:r>
      <w:r w:rsidR="00661B49" w:rsidRPr="00661B49">
        <w:rPr>
          <w:rFonts w:ascii="VIC" w:hAnsi="VIC" w:cstheme="minorHAnsi"/>
        </w:rPr>
        <w:t xml:space="preserve">unsustainable and growing </w:t>
      </w:r>
      <w:proofErr w:type="gramStart"/>
      <w:r w:rsidR="00345B3C" w:rsidRPr="00661B49">
        <w:rPr>
          <w:rFonts w:ascii="VIC" w:hAnsi="VIC" w:cstheme="minorHAnsi"/>
        </w:rPr>
        <w:t>cost</w:t>
      </w:r>
      <w:r w:rsidR="00117755" w:rsidRPr="00661B49">
        <w:rPr>
          <w:rFonts w:ascii="VIC" w:hAnsi="VIC" w:cstheme="minorHAnsi"/>
        </w:rPr>
        <w:t>s</w:t>
      </w:r>
      <w:r w:rsidR="00661B49" w:rsidRPr="00661B49">
        <w:rPr>
          <w:rFonts w:ascii="VIC" w:hAnsi="VIC" w:cstheme="minorHAnsi"/>
        </w:rPr>
        <w:t>.</w:t>
      </w:r>
      <w:r w:rsidR="00345B3C" w:rsidRPr="00661B49">
        <w:rPr>
          <w:rFonts w:ascii="VIC" w:hAnsi="VIC" w:cstheme="minorHAnsi"/>
        </w:rPr>
        <w:t>.</w:t>
      </w:r>
      <w:proofErr w:type="gramEnd"/>
      <w:r w:rsidR="00663AA1" w:rsidRPr="00661B49">
        <w:rPr>
          <w:rFonts w:ascii="VIC" w:hAnsi="VIC" w:cstheme="minorHAnsi"/>
        </w:rPr>
        <w:t xml:space="preserve"> </w:t>
      </w:r>
    </w:p>
    <w:p w:rsidR="00345B3C" w:rsidRPr="00661B49" w:rsidRDefault="00663AA1" w:rsidP="00D015B1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>T</w:t>
      </w:r>
      <w:r w:rsidR="00345B3C" w:rsidRPr="00661B49">
        <w:rPr>
          <w:rFonts w:ascii="VIC" w:hAnsi="VIC" w:cstheme="minorHAnsi"/>
        </w:rPr>
        <w:t xml:space="preserve">he council </w:t>
      </w:r>
      <w:r w:rsidR="006D4685" w:rsidRPr="00661B49">
        <w:rPr>
          <w:rFonts w:ascii="VIC" w:hAnsi="VIC" w:cstheme="minorHAnsi"/>
        </w:rPr>
        <w:t>recognise</w:t>
      </w:r>
      <w:r w:rsidR="00600DB8" w:rsidRPr="00661B49">
        <w:rPr>
          <w:rFonts w:ascii="VIC" w:hAnsi="VIC" w:cstheme="minorHAnsi"/>
        </w:rPr>
        <w:t>s</w:t>
      </w:r>
      <w:r w:rsidR="006D4685" w:rsidRPr="00661B49">
        <w:rPr>
          <w:rFonts w:ascii="VIC" w:hAnsi="VIC" w:cstheme="minorHAnsi"/>
        </w:rPr>
        <w:t xml:space="preserve"> the </w:t>
      </w:r>
      <w:r w:rsidR="003A63F3" w:rsidRPr="00661B49">
        <w:rPr>
          <w:rFonts w:ascii="VIC" w:hAnsi="VIC" w:cstheme="minorHAnsi"/>
        </w:rPr>
        <w:t>growing</w:t>
      </w:r>
      <w:r w:rsidR="00181D43" w:rsidRPr="00661B49">
        <w:rPr>
          <w:rFonts w:ascii="VIC" w:hAnsi="VIC" w:cstheme="minorHAnsi"/>
        </w:rPr>
        <w:t xml:space="preserve"> momentum towards </w:t>
      </w:r>
      <w:r w:rsidR="00395DB8" w:rsidRPr="00661B49">
        <w:rPr>
          <w:rFonts w:ascii="VIC" w:hAnsi="VIC" w:cstheme="minorHAnsi"/>
        </w:rPr>
        <w:t>value</w:t>
      </w:r>
      <w:r w:rsidR="00250341" w:rsidRPr="00661B49">
        <w:rPr>
          <w:rFonts w:ascii="VIC" w:hAnsi="VIC" w:cstheme="minorHAnsi"/>
        </w:rPr>
        <w:t>-</w:t>
      </w:r>
      <w:r w:rsidR="00395DB8" w:rsidRPr="00661B49">
        <w:rPr>
          <w:rFonts w:ascii="VIC" w:hAnsi="VIC" w:cstheme="minorHAnsi"/>
        </w:rPr>
        <w:t>based health</w:t>
      </w:r>
      <w:r w:rsidR="00345B3C" w:rsidRPr="00661B49">
        <w:rPr>
          <w:rFonts w:ascii="VIC" w:hAnsi="VIC" w:cstheme="minorHAnsi"/>
        </w:rPr>
        <w:t>care</w:t>
      </w:r>
      <w:r w:rsidR="0059103D" w:rsidRPr="00661B49">
        <w:rPr>
          <w:rFonts w:ascii="VIC" w:hAnsi="VIC" w:cstheme="minorHAnsi"/>
        </w:rPr>
        <w:t xml:space="preserve"> and </w:t>
      </w:r>
      <w:r w:rsidR="003A63F3" w:rsidRPr="00661B49">
        <w:rPr>
          <w:rFonts w:ascii="VIC" w:hAnsi="VIC" w:cstheme="minorHAnsi"/>
        </w:rPr>
        <w:t>identified enablers that support</w:t>
      </w:r>
      <w:r w:rsidR="00600DB8" w:rsidRPr="00661B49">
        <w:rPr>
          <w:rFonts w:ascii="VIC" w:hAnsi="VIC" w:cstheme="minorHAnsi"/>
        </w:rPr>
        <w:t xml:space="preserve"> the increase of </w:t>
      </w:r>
      <w:r w:rsidR="003A63F3" w:rsidRPr="00661B49">
        <w:rPr>
          <w:rFonts w:ascii="VIC" w:hAnsi="VIC" w:cstheme="minorHAnsi"/>
        </w:rPr>
        <w:t>value including</w:t>
      </w:r>
      <w:r w:rsidR="00345B3C" w:rsidRPr="00661B49">
        <w:rPr>
          <w:rFonts w:ascii="VIC" w:hAnsi="VIC" w:cstheme="minorHAnsi"/>
        </w:rPr>
        <w:t>:</w:t>
      </w:r>
    </w:p>
    <w:p w:rsidR="00663AA1" w:rsidRPr="00661B49" w:rsidRDefault="00532EAA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placing</w:t>
      </w:r>
      <w:r w:rsidR="00663AA1" w:rsidRPr="00661B49">
        <w:rPr>
          <w:rFonts w:ascii="VIC" w:hAnsi="VIC"/>
        </w:rPr>
        <w:t xml:space="preserve"> </w:t>
      </w:r>
      <w:r w:rsidR="00250341" w:rsidRPr="00661B49">
        <w:rPr>
          <w:rFonts w:ascii="VIC" w:hAnsi="VIC"/>
        </w:rPr>
        <w:t>patients</w:t>
      </w:r>
      <w:r w:rsidR="00663AA1" w:rsidRPr="00661B49">
        <w:rPr>
          <w:rFonts w:ascii="VIC" w:hAnsi="VIC"/>
        </w:rPr>
        <w:t xml:space="preserve"> at the centre of care</w:t>
      </w:r>
    </w:p>
    <w:p w:rsidR="00345B3C" w:rsidRPr="00661B49" w:rsidRDefault="00600DB8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encourag</w:t>
      </w:r>
      <w:r w:rsidR="00532EAA" w:rsidRPr="00661B49">
        <w:rPr>
          <w:rFonts w:ascii="VIC" w:hAnsi="VIC"/>
        </w:rPr>
        <w:t>ing</w:t>
      </w:r>
      <w:r w:rsidR="00345B3C" w:rsidRPr="00661B49">
        <w:rPr>
          <w:rFonts w:ascii="VIC" w:hAnsi="VIC"/>
        </w:rPr>
        <w:t xml:space="preserve"> cl</w:t>
      </w:r>
      <w:r w:rsidR="00663AA1" w:rsidRPr="00661B49">
        <w:rPr>
          <w:rFonts w:ascii="VIC" w:hAnsi="VIC"/>
        </w:rPr>
        <w:t>inical improvement by facilitating</w:t>
      </w:r>
      <w:r w:rsidR="00345B3C" w:rsidRPr="00661B49">
        <w:rPr>
          <w:rFonts w:ascii="VIC" w:hAnsi="VIC"/>
        </w:rPr>
        <w:t xml:space="preserve"> continuous learning cycle</w:t>
      </w:r>
      <w:r w:rsidR="00EF6512" w:rsidRPr="00661B49">
        <w:rPr>
          <w:rFonts w:ascii="VIC" w:hAnsi="VIC"/>
        </w:rPr>
        <w:t>s</w:t>
      </w:r>
    </w:p>
    <w:p w:rsidR="00070105" w:rsidRPr="00661B49" w:rsidRDefault="00A06062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i</w:t>
      </w:r>
      <w:r w:rsidR="00600DB8" w:rsidRPr="00661B49">
        <w:rPr>
          <w:rFonts w:ascii="VIC" w:hAnsi="VIC"/>
        </w:rPr>
        <w:t>mproving</w:t>
      </w:r>
      <w:r w:rsidR="00C15A8A" w:rsidRPr="00661B49">
        <w:rPr>
          <w:rFonts w:ascii="VIC" w:hAnsi="VIC"/>
        </w:rPr>
        <w:t xml:space="preserve"> </w:t>
      </w:r>
      <w:r w:rsidR="00250341" w:rsidRPr="00661B49">
        <w:rPr>
          <w:rFonts w:ascii="VIC" w:hAnsi="VIC"/>
        </w:rPr>
        <w:t xml:space="preserve">sustainability </w:t>
      </w:r>
      <w:r w:rsidR="00C15A8A" w:rsidRPr="00661B49">
        <w:rPr>
          <w:rFonts w:ascii="VIC" w:hAnsi="VIC"/>
        </w:rPr>
        <w:t>in the system</w:t>
      </w:r>
      <w:r w:rsidR="00117755" w:rsidRPr="00661B49">
        <w:rPr>
          <w:rFonts w:ascii="VIC" w:hAnsi="VIC"/>
        </w:rPr>
        <w:t xml:space="preserve"> </w:t>
      </w:r>
      <w:r w:rsidR="00EF6512" w:rsidRPr="00661B49">
        <w:rPr>
          <w:rFonts w:ascii="VIC" w:hAnsi="VIC"/>
        </w:rPr>
        <w:t xml:space="preserve">noting </w:t>
      </w:r>
      <w:r w:rsidR="00117755" w:rsidRPr="00661B49">
        <w:rPr>
          <w:rFonts w:ascii="VIC" w:hAnsi="VIC"/>
        </w:rPr>
        <w:t xml:space="preserve">that </w:t>
      </w:r>
      <w:r w:rsidR="00250341" w:rsidRPr="00661B49">
        <w:rPr>
          <w:rFonts w:ascii="VIC" w:hAnsi="VIC"/>
        </w:rPr>
        <w:t>the primary goal is improving</w:t>
      </w:r>
      <w:r w:rsidR="00436103" w:rsidRPr="00661B49">
        <w:rPr>
          <w:rFonts w:ascii="VIC" w:hAnsi="VIC"/>
        </w:rPr>
        <w:t xml:space="preserve"> patient</w:t>
      </w:r>
      <w:r w:rsidR="00250341" w:rsidRPr="00661B49">
        <w:rPr>
          <w:rFonts w:ascii="VIC" w:hAnsi="VIC"/>
        </w:rPr>
        <w:t xml:space="preserve"> outcomes, and that cost</w:t>
      </w:r>
      <w:r w:rsidR="00436103" w:rsidRPr="00661B49">
        <w:rPr>
          <w:rFonts w:ascii="VIC" w:hAnsi="VIC"/>
        </w:rPr>
        <w:t xml:space="preserve"> considerations should follow </w:t>
      </w:r>
    </w:p>
    <w:p w:rsidR="00663AA1" w:rsidRPr="00661B49" w:rsidRDefault="00663AA1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learn</w:t>
      </w:r>
      <w:r w:rsidR="00600DB8" w:rsidRPr="00661B49">
        <w:rPr>
          <w:rFonts w:ascii="VIC" w:hAnsi="VIC"/>
        </w:rPr>
        <w:t>ing</w:t>
      </w:r>
      <w:r w:rsidRPr="00661B49">
        <w:rPr>
          <w:rFonts w:ascii="VIC" w:hAnsi="VIC"/>
        </w:rPr>
        <w:t xml:space="preserve"> from international and local exa</w:t>
      </w:r>
      <w:r w:rsidR="00395DB8" w:rsidRPr="00661B49">
        <w:rPr>
          <w:rFonts w:ascii="VIC" w:hAnsi="VIC"/>
        </w:rPr>
        <w:t xml:space="preserve">mples </w:t>
      </w:r>
      <w:r w:rsidR="00600DB8" w:rsidRPr="00661B49">
        <w:rPr>
          <w:rFonts w:ascii="VIC" w:hAnsi="VIC"/>
        </w:rPr>
        <w:t>where va</w:t>
      </w:r>
      <w:r w:rsidR="00395DB8" w:rsidRPr="00661B49">
        <w:rPr>
          <w:rFonts w:ascii="VIC" w:hAnsi="VIC"/>
        </w:rPr>
        <w:t>lue</w:t>
      </w:r>
      <w:r w:rsidR="00250341" w:rsidRPr="00661B49">
        <w:rPr>
          <w:rFonts w:ascii="VIC" w:hAnsi="VIC"/>
        </w:rPr>
        <w:t>-</w:t>
      </w:r>
      <w:r w:rsidR="00395DB8" w:rsidRPr="00661B49">
        <w:rPr>
          <w:rFonts w:ascii="VIC" w:hAnsi="VIC"/>
        </w:rPr>
        <w:t>based healthcare</w:t>
      </w:r>
      <w:r w:rsidR="00600DB8" w:rsidRPr="00661B49">
        <w:rPr>
          <w:rFonts w:ascii="VIC" w:hAnsi="VIC"/>
        </w:rPr>
        <w:t xml:space="preserve"> has been implemented</w:t>
      </w:r>
    </w:p>
    <w:p w:rsidR="00C62D44" w:rsidRPr="00661B49" w:rsidRDefault="00C62D44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listening to the lessons learnt from existing programs that have started changing attitudes</w:t>
      </w:r>
      <w:r w:rsidR="00672693" w:rsidRPr="00661B49">
        <w:rPr>
          <w:rFonts w:ascii="VIC" w:hAnsi="VIC"/>
        </w:rPr>
        <w:t xml:space="preserve"> </w:t>
      </w:r>
      <w:r w:rsidRPr="00661B49">
        <w:rPr>
          <w:rFonts w:ascii="VIC" w:hAnsi="VIC"/>
        </w:rPr>
        <w:t>to practice</w:t>
      </w:r>
      <w:r w:rsidR="00672693" w:rsidRPr="00661B49">
        <w:rPr>
          <w:rFonts w:ascii="VIC" w:hAnsi="VIC"/>
        </w:rPr>
        <w:t>, such as disinvesting in low value care,</w:t>
      </w:r>
      <w:r w:rsidRPr="00661B49">
        <w:rPr>
          <w:rFonts w:ascii="VIC" w:hAnsi="VIC"/>
        </w:rPr>
        <w:t xml:space="preserve"> and improving the quality of healthcare</w:t>
      </w:r>
      <w:r w:rsidR="00672693" w:rsidRPr="00661B49">
        <w:rPr>
          <w:rFonts w:ascii="VIC" w:hAnsi="VIC"/>
        </w:rPr>
        <w:t>.</w:t>
      </w:r>
    </w:p>
    <w:p w:rsidR="00532EAA" w:rsidRPr="00F610AA" w:rsidRDefault="00F610AA">
      <w:pPr>
        <w:rPr>
          <w:rFonts w:ascii="VIC" w:eastAsia="Times New Roman" w:hAnsi="VIC" w:cstheme="minorHAnsi"/>
          <w:sz w:val="22"/>
          <w:szCs w:val="22"/>
        </w:rPr>
      </w:pPr>
      <w:r w:rsidRPr="00CA4E7D">
        <w:rPr>
          <w:rFonts w:ascii="VIC" w:hAnsi="VIC"/>
          <w:noProof/>
        </w:rPr>
        <mc:AlternateContent>
          <mc:Choice Requires="wps">
            <w:drawing>
              <wp:inline distT="0" distB="0" distL="0" distR="0" wp14:anchorId="7DDDE638" wp14:editId="44D5FBFD">
                <wp:extent cx="6263640" cy="1309370"/>
                <wp:effectExtent l="0" t="0" r="22860" b="24130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3640" cy="1309370"/>
                        </a:xfrm>
                        <a:prstGeom prst="rect">
                          <a:avLst/>
                        </a:prstGeom>
                        <a:solidFill>
                          <a:srgbClr val="EDF5F7"/>
                        </a:solidFill>
                        <a:ln w="6350">
                          <a:solidFill>
                            <a:srgbClr val="EDF5F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10AA" w:rsidRPr="00F777E1" w:rsidRDefault="00F610AA" w:rsidP="00F610AA">
                            <w:pPr>
                              <w:pStyle w:val="PulloutHeading"/>
                              <w:rPr>
                                <w:rFonts w:ascii="VIC SemiBold" w:hAnsi="VIC SemiBold"/>
                                <w:b w:val="0"/>
                              </w:rPr>
                            </w:pPr>
                            <w:r w:rsidRPr="00F777E1">
                              <w:rPr>
                                <w:rFonts w:ascii="VIC SemiBold" w:hAnsi="VIC SemiBold"/>
                                <w:b w:val="0"/>
                              </w:rPr>
                              <w:t xml:space="preserve">Council recommendation 1 </w:t>
                            </w:r>
                          </w:p>
                          <w:p w:rsidR="00F610AA" w:rsidRPr="00F610AA" w:rsidRDefault="00F610AA" w:rsidP="00F610AA">
                            <w:pPr>
                              <w:pStyle w:val="PulloutHeading"/>
                              <w:rPr>
                                <w:rFonts w:ascii="VIC" w:hAnsi="VIC"/>
                                <w:b w:val="0"/>
                              </w:rPr>
                            </w:pP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>The council su</w:t>
                            </w:r>
                            <w:r w:rsidR="00250341">
                              <w:rPr>
                                <w:rFonts w:ascii="VIC" w:hAnsi="VIC"/>
                                <w:b w:val="0"/>
                              </w:rPr>
                              <w:t>pports the exploration of value-</w:t>
                            </w: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 xml:space="preserve">based healthcare to create value across the whole Victorian health system. </w:t>
                            </w:r>
                          </w:p>
                        </w:txbxContent>
                      </wps:txbx>
                      <wps:bodyPr rot="0" vert="horz" wrap="square" lIns="180000" tIns="180000" rIns="144000" bIns="3600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DDDE638" id="_x0000_s1027" type="#_x0000_t202" style="width:493.2pt;height:103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" fillcolor="#edf5f7" strokecolor="#edf5f7" strokeweight=".5pt">
                <v:textbox style="mso-fit-shape-to-text:t" inset="5mm,5mm,4mm,1mm">
                  <w:txbxContent>
                    <w:p w:rsidR="00F610AA" w:rsidRPr="00F777E1" w:rsidRDefault="00F610AA" w:rsidP="00F610AA">
                      <w:pPr>
                        <w:pStyle w:val="PulloutHeading"/>
                        <w:rPr>
                          <w:rFonts w:ascii="VIC SemiBold" w:hAnsi="VIC SemiBold"/>
                          <w:b w:val="0"/>
                        </w:rPr>
                      </w:pPr>
                      <w:r w:rsidRPr="00F777E1">
                        <w:rPr>
                          <w:rFonts w:ascii="VIC SemiBold" w:hAnsi="VIC SemiBold"/>
                          <w:b w:val="0"/>
                        </w:rPr>
                        <w:t xml:space="preserve">Council recommendation 1 </w:t>
                      </w:r>
                    </w:p>
                    <w:p w:rsidR="00F610AA" w:rsidRPr="00F610AA" w:rsidRDefault="00F610AA" w:rsidP="00F610AA">
                      <w:pPr>
                        <w:pStyle w:val="PulloutHeading"/>
                        <w:rPr>
                          <w:rFonts w:ascii="VIC" w:hAnsi="VIC"/>
                          <w:b w:val="0"/>
                        </w:rPr>
                      </w:pPr>
                      <w:r w:rsidRPr="00F610AA">
                        <w:rPr>
                          <w:rFonts w:ascii="VIC" w:hAnsi="VIC"/>
                          <w:b w:val="0"/>
                        </w:rPr>
                        <w:t>The council su</w:t>
                      </w:r>
                      <w:r w:rsidR="00250341">
                        <w:rPr>
                          <w:rFonts w:ascii="VIC" w:hAnsi="VIC"/>
                          <w:b w:val="0"/>
                        </w:rPr>
                        <w:t>pports the exploration of value-</w:t>
                      </w:r>
                      <w:r w:rsidRPr="00F610AA">
                        <w:rPr>
                          <w:rFonts w:ascii="VIC" w:hAnsi="VIC"/>
                          <w:b w:val="0"/>
                        </w:rPr>
                        <w:t xml:space="preserve">based healthcare to create value across the whole Victorian health system.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B5538" w:rsidRDefault="001B5538" w:rsidP="00F610AA">
      <w:pPr>
        <w:pStyle w:val="Heading3"/>
        <w:rPr>
          <w:rFonts w:ascii="VIC" w:hAnsi="VIC" w:cstheme="minorHAnsi"/>
          <w:caps/>
          <w:color w:val="004EA8"/>
          <w:szCs w:val="26"/>
        </w:rPr>
      </w:pPr>
    </w:p>
    <w:p w:rsidR="00A07309" w:rsidRPr="00F777E1" w:rsidRDefault="0059103D" w:rsidP="00F610AA">
      <w:pPr>
        <w:pStyle w:val="Heading3"/>
        <w:rPr>
          <w:rFonts w:ascii="VIC SemiBold" w:hAnsi="VIC SemiBold" w:cstheme="minorHAnsi"/>
          <w:b w:val="0"/>
          <w:caps/>
          <w:color w:val="004EA8"/>
          <w:szCs w:val="26"/>
        </w:rPr>
      </w:pP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>E</w:t>
      </w:r>
      <w:r w:rsidR="00D647A9" w:rsidRPr="00F777E1">
        <w:rPr>
          <w:rFonts w:ascii="VIC SemiBold" w:hAnsi="VIC SemiBold" w:cstheme="minorHAnsi"/>
          <w:b w:val="0"/>
          <w:caps/>
          <w:color w:val="004EA8"/>
          <w:szCs w:val="26"/>
        </w:rPr>
        <w:t>mbedding</w:t>
      </w: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 </w:t>
      </w:r>
      <w:r w:rsidR="00250341" w:rsidRPr="00F777E1">
        <w:rPr>
          <w:rFonts w:ascii="VIC SemiBold" w:hAnsi="VIC SemiBold" w:cstheme="minorHAnsi"/>
          <w:b w:val="0"/>
          <w:caps/>
          <w:color w:val="004EA8"/>
          <w:szCs w:val="26"/>
        </w:rPr>
        <w:t>Patients</w:t>
      </w:r>
      <w:r w:rsidR="00A07309"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 and clinicians</w:t>
      </w:r>
    </w:p>
    <w:p w:rsidR="00532EAA" w:rsidRPr="00661B49" w:rsidRDefault="00600DB8" w:rsidP="00D015B1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 xml:space="preserve">The council believes </w:t>
      </w:r>
      <w:r w:rsidR="00032699" w:rsidRPr="00661B49">
        <w:rPr>
          <w:rFonts w:ascii="VIC" w:hAnsi="VIC" w:cstheme="minorHAnsi"/>
        </w:rPr>
        <w:t>that</w:t>
      </w:r>
      <w:r w:rsidR="00EA391F" w:rsidRPr="00661B49">
        <w:rPr>
          <w:rFonts w:ascii="VIC" w:hAnsi="VIC" w:cstheme="minorHAnsi"/>
        </w:rPr>
        <w:t xml:space="preserve"> a</w:t>
      </w:r>
      <w:r w:rsidR="000B7407" w:rsidRPr="00661B49">
        <w:rPr>
          <w:rFonts w:ascii="VIC" w:hAnsi="VIC" w:cstheme="minorHAnsi"/>
        </w:rPr>
        <w:t xml:space="preserve">chieving </w:t>
      </w:r>
      <w:r w:rsidR="00EA391F" w:rsidRPr="00661B49">
        <w:rPr>
          <w:rFonts w:ascii="VIC" w:hAnsi="VIC" w:cstheme="minorHAnsi"/>
        </w:rPr>
        <w:t>true co-design</w:t>
      </w:r>
      <w:r w:rsidR="00032699" w:rsidRPr="00661B49">
        <w:rPr>
          <w:rFonts w:ascii="VIC" w:hAnsi="VIC" w:cstheme="minorHAnsi"/>
        </w:rPr>
        <w:t xml:space="preserve"> and</w:t>
      </w:r>
      <w:r w:rsidR="00D40682" w:rsidRPr="00661B49">
        <w:rPr>
          <w:rFonts w:ascii="VIC" w:hAnsi="VIC" w:cstheme="minorHAnsi"/>
        </w:rPr>
        <w:t xml:space="preserve"> prioriti</w:t>
      </w:r>
      <w:r w:rsidR="00EA391F" w:rsidRPr="00661B49">
        <w:rPr>
          <w:rFonts w:ascii="VIC" w:hAnsi="VIC" w:cstheme="minorHAnsi"/>
        </w:rPr>
        <w:t>sing</w:t>
      </w:r>
      <w:r w:rsidR="000B7407" w:rsidRPr="00661B49">
        <w:rPr>
          <w:rFonts w:ascii="VIC" w:hAnsi="VIC" w:cstheme="minorHAnsi"/>
        </w:rPr>
        <w:t xml:space="preserve"> a c</w:t>
      </w:r>
      <w:r w:rsidR="00316D88" w:rsidRPr="00661B49">
        <w:rPr>
          <w:rFonts w:ascii="VIC" w:hAnsi="VIC" w:cstheme="minorHAnsi"/>
        </w:rPr>
        <w:t xml:space="preserve">ollaborative partnership that includes </w:t>
      </w:r>
      <w:r w:rsidR="00250341" w:rsidRPr="00661B49">
        <w:rPr>
          <w:rFonts w:ascii="VIC" w:hAnsi="VIC" w:cstheme="minorHAnsi"/>
        </w:rPr>
        <w:t>patients, families</w:t>
      </w:r>
      <w:r w:rsidR="00952698" w:rsidRPr="00661B49">
        <w:rPr>
          <w:rFonts w:ascii="VIC" w:hAnsi="VIC" w:cstheme="minorHAnsi"/>
        </w:rPr>
        <w:t xml:space="preserve"> </w:t>
      </w:r>
      <w:r w:rsidR="000B7407" w:rsidRPr="00661B49">
        <w:rPr>
          <w:rFonts w:ascii="VIC" w:hAnsi="VIC" w:cstheme="minorHAnsi"/>
        </w:rPr>
        <w:t>and clinicians</w:t>
      </w:r>
      <w:r w:rsidR="00032699" w:rsidRPr="00661B49">
        <w:rPr>
          <w:rFonts w:ascii="VIC" w:hAnsi="VIC" w:cstheme="minorHAnsi"/>
        </w:rPr>
        <w:t xml:space="preserve"> will </w:t>
      </w:r>
      <w:r w:rsidR="00281D2B">
        <w:rPr>
          <w:rFonts w:ascii="VIC" w:hAnsi="VIC" w:cstheme="minorHAnsi"/>
        </w:rPr>
        <w:t>help</w:t>
      </w:r>
      <w:r w:rsidR="00032699" w:rsidRPr="00661B49">
        <w:rPr>
          <w:rFonts w:ascii="VIC" w:hAnsi="VIC" w:cstheme="minorHAnsi"/>
        </w:rPr>
        <w:t xml:space="preserve"> </w:t>
      </w:r>
      <w:r w:rsidR="00281D2B" w:rsidRPr="00661B49">
        <w:rPr>
          <w:rFonts w:ascii="VIC" w:hAnsi="VIC" w:cstheme="minorHAnsi"/>
        </w:rPr>
        <w:t>creat</w:t>
      </w:r>
      <w:r w:rsidR="00281D2B">
        <w:rPr>
          <w:rFonts w:ascii="VIC" w:hAnsi="VIC" w:cstheme="minorHAnsi"/>
        </w:rPr>
        <w:t xml:space="preserve">e </w:t>
      </w:r>
      <w:r w:rsidR="00032699" w:rsidRPr="00661B49">
        <w:rPr>
          <w:rFonts w:ascii="VIC" w:hAnsi="VIC" w:cstheme="minorHAnsi"/>
        </w:rPr>
        <w:t xml:space="preserve">a </w:t>
      </w:r>
      <w:r w:rsidR="00E423EF" w:rsidRPr="00661B49">
        <w:rPr>
          <w:rFonts w:ascii="VIC" w:hAnsi="VIC" w:cstheme="minorHAnsi"/>
        </w:rPr>
        <w:t xml:space="preserve">health system that </w:t>
      </w:r>
      <w:r w:rsidR="00250341" w:rsidRPr="00661B49">
        <w:rPr>
          <w:rFonts w:ascii="VIC" w:hAnsi="VIC" w:cstheme="minorHAnsi"/>
        </w:rPr>
        <w:t xml:space="preserve">delivers better </w:t>
      </w:r>
      <w:r w:rsidR="00E423EF" w:rsidRPr="00661B49">
        <w:rPr>
          <w:rFonts w:ascii="VIC" w:hAnsi="VIC" w:cstheme="minorHAnsi"/>
        </w:rPr>
        <w:t>patient</w:t>
      </w:r>
      <w:r w:rsidR="00250341" w:rsidRPr="00661B49">
        <w:rPr>
          <w:rFonts w:ascii="VIC" w:hAnsi="VIC" w:cstheme="minorHAnsi"/>
        </w:rPr>
        <w:t xml:space="preserve"> outcomes</w:t>
      </w:r>
      <w:r w:rsidR="00032699" w:rsidRPr="00661B49">
        <w:rPr>
          <w:rFonts w:ascii="VIC" w:hAnsi="VIC" w:cstheme="minorHAnsi"/>
        </w:rPr>
        <w:t>.</w:t>
      </w:r>
      <w:r w:rsidR="004C21F6" w:rsidRPr="00661B49">
        <w:rPr>
          <w:rFonts w:ascii="VIC" w:hAnsi="VIC" w:cstheme="minorHAnsi"/>
        </w:rPr>
        <w:t xml:space="preserve"> The council advocates focusing primarily on what matters to </w:t>
      </w:r>
      <w:r w:rsidR="00250341" w:rsidRPr="00661B49">
        <w:rPr>
          <w:rFonts w:ascii="VIC" w:hAnsi="VIC" w:cstheme="minorHAnsi"/>
        </w:rPr>
        <w:t>patients</w:t>
      </w:r>
      <w:r w:rsidR="004C21F6" w:rsidRPr="00661B49">
        <w:rPr>
          <w:rFonts w:ascii="VIC" w:hAnsi="VIC" w:cstheme="minorHAnsi"/>
        </w:rPr>
        <w:t xml:space="preserve"> followed by what is relevant to clinicians. </w:t>
      </w:r>
      <w:r w:rsidR="00BB3B26" w:rsidRPr="00661B49">
        <w:rPr>
          <w:rFonts w:ascii="VIC" w:hAnsi="VIC" w:cstheme="minorHAnsi"/>
        </w:rPr>
        <w:t xml:space="preserve">Embedding </w:t>
      </w:r>
      <w:r w:rsidR="00250341" w:rsidRPr="00661B49">
        <w:rPr>
          <w:rFonts w:ascii="VIC" w:hAnsi="VIC" w:cstheme="minorHAnsi"/>
        </w:rPr>
        <w:t>patients</w:t>
      </w:r>
      <w:r w:rsidR="00BB3B26" w:rsidRPr="00661B49">
        <w:rPr>
          <w:rFonts w:ascii="VIC" w:hAnsi="VIC" w:cstheme="minorHAnsi"/>
        </w:rPr>
        <w:t xml:space="preserve"> and clinicians </w:t>
      </w:r>
      <w:r w:rsidR="00E423EF" w:rsidRPr="00661B49">
        <w:rPr>
          <w:rFonts w:ascii="VIC" w:hAnsi="VIC" w:cstheme="minorHAnsi"/>
        </w:rPr>
        <w:t xml:space="preserve">into </w:t>
      </w:r>
      <w:r w:rsidR="00BB3B26" w:rsidRPr="00661B49">
        <w:rPr>
          <w:rFonts w:ascii="VIC" w:hAnsi="VIC" w:cstheme="minorHAnsi"/>
        </w:rPr>
        <w:t>policy development and implementation</w:t>
      </w:r>
      <w:r w:rsidR="004C21F6" w:rsidRPr="00661B49">
        <w:rPr>
          <w:rFonts w:ascii="VIC" w:hAnsi="VIC" w:cstheme="minorHAnsi"/>
        </w:rPr>
        <w:t xml:space="preserve"> </w:t>
      </w:r>
      <w:r w:rsidR="00E423EF" w:rsidRPr="00661B49">
        <w:rPr>
          <w:rFonts w:ascii="VIC" w:hAnsi="VIC" w:cstheme="minorHAnsi"/>
        </w:rPr>
        <w:t xml:space="preserve">processes </w:t>
      </w:r>
      <w:r w:rsidR="00BB3B26" w:rsidRPr="00661B49">
        <w:rPr>
          <w:rFonts w:ascii="VIC" w:hAnsi="VIC" w:cstheme="minorHAnsi"/>
        </w:rPr>
        <w:t>should be prioritised over administrative and financial requirements.</w:t>
      </w:r>
      <w:r w:rsidR="00032699" w:rsidRPr="00661B49">
        <w:rPr>
          <w:rFonts w:ascii="VIC" w:hAnsi="VIC" w:cstheme="minorHAnsi"/>
        </w:rPr>
        <w:t xml:space="preserve"> </w:t>
      </w:r>
    </w:p>
    <w:p w:rsidR="00D463C5" w:rsidRPr="00661B49" w:rsidRDefault="004C21F6" w:rsidP="00D015B1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t>Embedding</w:t>
      </w:r>
      <w:r w:rsidR="003B4DD0" w:rsidRPr="00661B49">
        <w:rPr>
          <w:rFonts w:ascii="VIC" w:hAnsi="VIC" w:cstheme="minorHAnsi"/>
        </w:rPr>
        <w:t xml:space="preserve"> </w:t>
      </w:r>
      <w:r w:rsidR="00250341" w:rsidRPr="00661B49">
        <w:rPr>
          <w:rFonts w:ascii="VIC" w:hAnsi="VIC" w:cstheme="minorHAnsi"/>
        </w:rPr>
        <w:t>patients</w:t>
      </w:r>
      <w:r w:rsidR="003B4DD0" w:rsidRPr="00661B49">
        <w:rPr>
          <w:rFonts w:ascii="VIC" w:hAnsi="VIC" w:cstheme="minorHAnsi"/>
        </w:rPr>
        <w:t xml:space="preserve"> will</w:t>
      </w:r>
      <w:r w:rsidR="000F1D58" w:rsidRPr="00661B49">
        <w:rPr>
          <w:rFonts w:ascii="VIC" w:hAnsi="VIC" w:cstheme="minorHAnsi"/>
        </w:rPr>
        <w:t xml:space="preserve"> </w:t>
      </w:r>
      <w:r w:rsidR="003E5237" w:rsidRPr="00661B49">
        <w:rPr>
          <w:rFonts w:ascii="VIC" w:hAnsi="VIC" w:cstheme="minorHAnsi"/>
        </w:rPr>
        <w:t>focus on</w:t>
      </w:r>
      <w:r w:rsidR="00D463C5" w:rsidRPr="00661B49">
        <w:rPr>
          <w:rFonts w:ascii="VIC" w:hAnsi="VIC" w:cstheme="minorHAnsi"/>
        </w:rPr>
        <w:t>:</w:t>
      </w:r>
    </w:p>
    <w:p w:rsidR="00D463C5" w:rsidRPr="00661B49" w:rsidRDefault="00250341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patients</w:t>
      </w:r>
      <w:r w:rsidR="003E5237" w:rsidRPr="00661B49">
        <w:rPr>
          <w:rFonts w:ascii="VIC" w:hAnsi="VIC"/>
        </w:rPr>
        <w:t xml:space="preserve"> being</w:t>
      </w:r>
      <w:r w:rsidR="00A275C4" w:rsidRPr="00661B49">
        <w:rPr>
          <w:rFonts w:ascii="VIC" w:hAnsi="VIC"/>
        </w:rPr>
        <w:t xml:space="preserve"> p</w:t>
      </w:r>
      <w:r w:rsidR="008F2B1C" w:rsidRPr="00661B49">
        <w:rPr>
          <w:rFonts w:ascii="VIC" w:hAnsi="VIC"/>
        </w:rPr>
        <w:t>artners in their own care</w:t>
      </w:r>
      <w:r w:rsidR="003E5237" w:rsidRPr="00661B49">
        <w:rPr>
          <w:rFonts w:ascii="VIC" w:hAnsi="VIC"/>
        </w:rPr>
        <w:t xml:space="preserve"> </w:t>
      </w:r>
    </w:p>
    <w:p w:rsidR="008F2B1C" w:rsidRPr="00661B49" w:rsidRDefault="003E5237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c</w:t>
      </w:r>
      <w:r w:rsidR="00A275C4" w:rsidRPr="00661B49">
        <w:rPr>
          <w:rFonts w:ascii="VIC" w:hAnsi="VIC"/>
        </w:rPr>
        <w:t>hang</w:t>
      </w:r>
      <w:r w:rsidR="00227A6B" w:rsidRPr="00661B49">
        <w:rPr>
          <w:rFonts w:ascii="VIC" w:hAnsi="VIC"/>
        </w:rPr>
        <w:t>ing</w:t>
      </w:r>
      <w:r w:rsidR="00A275C4" w:rsidRPr="00661B49">
        <w:rPr>
          <w:rFonts w:ascii="VIC" w:hAnsi="VIC"/>
        </w:rPr>
        <w:t xml:space="preserve"> the</w:t>
      </w:r>
      <w:r w:rsidR="008F2B1C" w:rsidRPr="00661B49">
        <w:rPr>
          <w:rFonts w:ascii="VIC" w:hAnsi="VIC"/>
        </w:rPr>
        <w:t xml:space="preserve"> </w:t>
      </w:r>
      <w:r w:rsidR="000B7407" w:rsidRPr="00661B49">
        <w:rPr>
          <w:rFonts w:ascii="VIC" w:hAnsi="VIC"/>
        </w:rPr>
        <w:t>narrative</w:t>
      </w:r>
      <w:r w:rsidR="008F2B1C" w:rsidRPr="00661B49">
        <w:rPr>
          <w:rFonts w:ascii="VIC" w:hAnsi="VIC"/>
        </w:rPr>
        <w:t xml:space="preserve"> to </w:t>
      </w:r>
      <w:r w:rsidR="00496370" w:rsidRPr="00661B49">
        <w:rPr>
          <w:rFonts w:ascii="VIC" w:hAnsi="VIC"/>
        </w:rPr>
        <w:t xml:space="preserve">emphasise </w:t>
      </w:r>
      <w:r w:rsidR="008F2B1C" w:rsidRPr="00661B49">
        <w:rPr>
          <w:rFonts w:ascii="VIC" w:hAnsi="VIC"/>
        </w:rPr>
        <w:t xml:space="preserve">what’s important to </w:t>
      </w:r>
      <w:r w:rsidR="00250341" w:rsidRPr="00661B49">
        <w:rPr>
          <w:rFonts w:ascii="VIC" w:hAnsi="VIC"/>
        </w:rPr>
        <w:t>patients</w:t>
      </w:r>
      <w:r w:rsidRPr="00661B49">
        <w:rPr>
          <w:rFonts w:ascii="VIC" w:hAnsi="VIC"/>
        </w:rPr>
        <w:t xml:space="preserve"> </w:t>
      </w:r>
    </w:p>
    <w:p w:rsidR="00C62D44" w:rsidRPr="00661B49" w:rsidRDefault="00C62D44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using </w:t>
      </w:r>
      <w:r w:rsidR="00250341" w:rsidRPr="00661B49">
        <w:rPr>
          <w:rFonts w:ascii="VIC" w:hAnsi="VIC"/>
        </w:rPr>
        <w:t>patient</w:t>
      </w:r>
      <w:r w:rsidRPr="00661B49">
        <w:rPr>
          <w:rFonts w:ascii="VIC" w:hAnsi="VIC"/>
        </w:rPr>
        <w:t xml:space="preserve"> stories to build engagement and support across the sector</w:t>
      </w:r>
    </w:p>
    <w:p w:rsidR="00BB3B26" w:rsidRPr="00661B49" w:rsidRDefault="00BB3B26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shared decision making between </w:t>
      </w:r>
      <w:r w:rsidR="00250341" w:rsidRPr="00661B49">
        <w:rPr>
          <w:rFonts w:ascii="VIC" w:hAnsi="VIC"/>
        </w:rPr>
        <w:t>patients</w:t>
      </w:r>
      <w:r w:rsidRPr="00661B49">
        <w:rPr>
          <w:rFonts w:ascii="VIC" w:hAnsi="VIC"/>
        </w:rPr>
        <w:t xml:space="preserve"> and clinicians.</w:t>
      </w:r>
    </w:p>
    <w:p w:rsidR="008F2B1C" w:rsidRPr="00661B49" w:rsidRDefault="004C21F6" w:rsidP="00D015B1">
      <w:pPr>
        <w:spacing w:line="276" w:lineRule="auto"/>
        <w:rPr>
          <w:rFonts w:ascii="VIC" w:hAnsi="VIC" w:cstheme="minorHAnsi"/>
        </w:rPr>
      </w:pPr>
      <w:r w:rsidRPr="00661B49">
        <w:rPr>
          <w:rFonts w:ascii="VIC" w:hAnsi="VIC" w:cstheme="minorHAnsi"/>
        </w:rPr>
        <w:lastRenderedPageBreak/>
        <w:t>Embedding</w:t>
      </w:r>
      <w:r w:rsidR="003B4DD0" w:rsidRPr="00661B49">
        <w:rPr>
          <w:rFonts w:ascii="VIC" w:hAnsi="VIC" w:cstheme="minorHAnsi"/>
        </w:rPr>
        <w:t xml:space="preserve"> clinicians will focus on</w:t>
      </w:r>
      <w:r w:rsidR="00D463C5" w:rsidRPr="00661B49">
        <w:rPr>
          <w:rFonts w:ascii="VIC" w:hAnsi="VIC" w:cstheme="minorHAnsi"/>
        </w:rPr>
        <w:t>:</w:t>
      </w:r>
      <w:r w:rsidR="003E5237" w:rsidRPr="00661B49">
        <w:rPr>
          <w:rFonts w:ascii="VIC" w:hAnsi="VIC" w:cstheme="minorHAnsi"/>
        </w:rPr>
        <w:t xml:space="preserve"> </w:t>
      </w:r>
    </w:p>
    <w:p w:rsidR="00496370" w:rsidRPr="00661B49" w:rsidRDefault="00496370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encouraging</w:t>
      </w:r>
      <w:r w:rsidR="001A245F" w:rsidRPr="00661B49">
        <w:rPr>
          <w:rFonts w:ascii="VIC" w:hAnsi="VIC"/>
        </w:rPr>
        <w:t xml:space="preserve"> a change from</w:t>
      </w:r>
      <w:r w:rsidRPr="00661B49">
        <w:rPr>
          <w:rFonts w:ascii="VIC" w:hAnsi="VIC"/>
        </w:rPr>
        <w:t xml:space="preserve"> individual clinician</w:t>
      </w:r>
      <w:r w:rsidR="001A245F" w:rsidRPr="00661B49">
        <w:rPr>
          <w:rFonts w:ascii="VIC" w:hAnsi="VIC"/>
        </w:rPr>
        <w:t xml:space="preserve"> responsibility</w:t>
      </w:r>
      <w:r w:rsidRPr="00661B49">
        <w:rPr>
          <w:rFonts w:ascii="VIC" w:hAnsi="VIC"/>
        </w:rPr>
        <w:t xml:space="preserve"> towards an interdisciplinary team focus</w:t>
      </w:r>
    </w:p>
    <w:p w:rsidR="00E423EF" w:rsidRPr="00661B49" w:rsidRDefault="00496370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the use of outcome measurements to facilitate</w:t>
      </w:r>
      <w:r w:rsidR="00663AA1" w:rsidRPr="00661B49">
        <w:rPr>
          <w:rFonts w:ascii="VIC" w:hAnsi="VIC"/>
        </w:rPr>
        <w:t xml:space="preserve"> </w:t>
      </w:r>
      <w:r w:rsidR="00E423EF" w:rsidRPr="00661B49">
        <w:rPr>
          <w:rFonts w:ascii="VIC" w:hAnsi="VIC"/>
        </w:rPr>
        <w:t>collaboration</w:t>
      </w:r>
      <w:r w:rsidR="00436103" w:rsidRPr="00661B49">
        <w:rPr>
          <w:rFonts w:ascii="VIC" w:hAnsi="VIC"/>
        </w:rPr>
        <w:t xml:space="preserve"> and</w:t>
      </w:r>
      <w:r w:rsidR="00E423EF" w:rsidRPr="00661B49">
        <w:rPr>
          <w:rFonts w:ascii="VIC" w:hAnsi="VIC"/>
        </w:rPr>
        <w:t xml:space="preserve"> </w:t>
      </w:r>
      <w:r w:rsidR="008302D5" w:rsidRPr="00661B49">
        <w:rPr>
          <w:rFonts w:ascii="VIC" w:hAnsi="VIC"/>
        </w:rPr>
        <w:t xml:space="preserve">healthy </w:t>
      </w:r>
      <w:r w:rsidR="00663AA1" w:rsidRPr="00661B49">
        <w:rPr>
          <w:rFonts w:ascii="VIC" w:hAnsi="VIC"/>
        </w:rPr>
        <w:t>c</w:t>
      </w:r>
      <w:r w:rsidR="00316D88" w:rsidRPr="00661B49">
        <w:rPr>
          <w:rFonts w:ascii="VIC" w:hAnsi="VIC"/>
        </w:rPr>
        <w:t>ompetition</w:t>
      </w:r>
      <w:r w:rsidRPr="00661B49">
        <w:rPr>
          <w:rFonts w:ascii="VIC" w:hAnsi="VIC"/>
        </w:rPr>
        <w:t xml:space="preserve"> </w:t>
      </w:r>
      <w:r w:rsidR="00316D88" w:rsidRPr="00661B49">
        <w:rPr>
          <w:rFonts w:ascii="VIC" w:hAnsi="VIC"/>
        </w:rPr>
        <w:t>between</w:t>
      </w:r>
      <w:r w:rsidR="00D40682" w:rsidRPr="00661B49">
        <w:rPr>
          <w:rFonts w:ascii="VIC" w:hAnsi="VIC"/>
        </w:rPr>
        <w:t xml:space="preserve"> teams </w:t>
      </w:r>
      <w:r w:rsidRPr="00661B49">
        <w:rPr>
          <w:rFonts w:ascii="VIC" w:hAnsi="VIC"/>
        </w:rPr>
        <w:t>to improve performance</w:t>
      </w:r>
    </w:p>
    <w:p w:rsidR="00102A98" w:rsidRPr="00661B49" w:rsidRDefault="000947B2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education and </w:t>
      </w:r>
      <w:r w:rsidR="00663AA1" w:rsidRPr="00661B49">
        <w:rPr>
          <w:rFonts w:ascii="VIC" w:hAnsi="VIC"/>
        </w:rPr>
        <w:t>skills</w:t>
      </w:r>
      <w:r w:rsidR="005D3696" w:rsidRPr="00661B49">
        <w:rPr>
          <w:rFonts w:ascii="VIC" w:hAnsi="VIC"/>
        </w:rPr>
        <w:t xml:space="preserve"> training to</w:t>
      </w:r>
      <w:r w:rsidR="00663AA1" w:rsidRPr="00661B49">
        <w:rPr>
          <w:rFonts w:ascii="VIC" w:hAnsi="VIC"/>
        </w:rPr>
        <w:t xml:space="preserve"> </w:t>
      </w:r>
      <w:r w:rsidR="00316D88" w:rsidRPr="00661B49">
        <w:rPr>
          <w:rFonts w:ascii="VIC" w:hAnsi="VIC"/>
        </w:rPr>
        <w:t>establish effective ways of working</w:t>
      </w:r>
      <w:r w:rsidR="00B00D96" w:rsidRPr="00661B49">
        <w:rPr>
          <w:rFonts w:ascii="VIC" w:hAnsi="VIC"/>
        </w:rPr>
        <w:t xml:space="preserve"> within teams</w:t>
      </w:r>
      <w:r w:rsidR="00663AA1" w:rsidRPr="00661B49">
        <w:rPr>
          <w:rFonts w:ascii="VIC" w:hAnsi="VIC"/>
        </w:rPr>
        <w:t>.</w:t>
      </w:r>
      <w:r w:rsidR="00316D88" w:rsidRPr="00661B49">
        <w:rPr>
          <w:rFonts w:ascii="VIC" w:hAnsi="VIC"/>
        </w:rPr>
        <w:t xml:space="preserve"> </w:t>
      </w:r>
    </w:p>
    <w:p w:rsidR="00F610AA" w:rsidRDefault="00F610AA" w:rsidP="00955C7E">
      <w:pPr>
        <w:rPr>
          <w:rFonts w:ascii="VIC" w:eastAsiaTheme="majorEastAsia" w:hAnsi="VIC" w:cstheme="minorHAnsi"/>
          <w:b/>
          <w:bCs/>
          <w:color w:val="000000" w:themeColor="text1"/>
          <w:sz w:val="24"/>
          <w:szCs w:val="22"/>
        </w:rPr>
      </w:pPr>
      <w:r w:rsidRPr="00CA4E7D">
        <w:rPr>
          <w:rFonts w:ascii="VIC" w:hAnsi="VIC"/>
          <w:noProof/>
        </w:rPr>
        <mc:AlternateContent>
          <mc:Choice Requires="wps">
            <w:drawing>
              <wp:inline distT="0" distB="0" distL="0" distR="0" wp14:anchorId="29599998" wp14:editId="6D662C9D">
                <wp:extent cx="6263640" cy="904875"/>
                <wp:effectExtent l="0" t="0" r="22860" b="28575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3640" cy="904875"/>
                        </a:xfrm>
                        <a:prstGeom prst="rect">
                          <a:avLst/>
                        </a:prstGeom>
                        <a:solidFill>
                          <a:srgbClr val="EDF5F7"/>
                        </a:solidFill>
                        <a:ln w="6350">
                          <a:solidFill>
                            <a:srgbClr val="EDF5F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10AA" w:rsidRPr="00F777E1" w:rsidRDefault="00F610AA" w:rsidP="00F610AA">
                            <w:pPr>
                              <w:pStyle w:val="PulloutHeading"/>
                              <w:rPr>
                                <w:rFonts w:ascii="VIC SemiBold" w:hAnsi="VIC SemiBold"/>
                                <w:b w:val="0"/>
                              </w:rPr>
                            </w:pPr>
                            <w:r w:rsidRPr="00F777E1">
                              <w:rPr>
                                <w:rFonts w:ascii="VIC SemiBold" w:hAnsi="VIC SemiBold"/>
                                <w:b w:val="0"/>
                              </w:rPr>
                              <w:t xml:space="preserve">Council recommendation 2 </w:t>
                            </w:r>
                          </w:p>
                          <w:p w:rsidR="00F610AA" w:rsidRPr="00FA3694" w:rsidRDefault="00FA3694" w:rsidP="00FA3694">
                            <w:pPr>
                              <w:pStyle w:val="PulloutText"/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</w:pPr>
                            <w:r w:rsidRPr="00FA3694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The council recommends prioritising </w:t>
                            </w:r>
                            <w:r w:rsid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embedding</w:t>
                            </w:r>
                            <w:r w:rsidRPr="00FA3694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50341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patients</w:t>
                            </w:r>
                            <w:r w:rsidRPr="00FA3694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and clinicians</w:t>
                            </w:r>
                            <w:r w:rsidR="001A245F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1B5538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during</w:t>
                            </w:r>
                            <w:r w:rsidR="001A245F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gramStart"/>
                            <w:r w:rsidR="00D647A9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value based</w:t>
                            </w:r>
                            <w:proofErr w:type="gramEnd"/>
                            <w:r w:rsidR="00D647A9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healthcare </w:t>
                            </w:r>
                            <w:r w:rsidR="001A245F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policy development</w:t>
                            </w:r>
                            <w:r w:rsidR="00D647A9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 xml:space="preserve"> and implementation</w:t>
                            </w:r>
                            <w:r w:rsidRPr="00FA3694">
                              <w:rPr>
                                <w:rFonts w:ascii="VIC" w:hAnsi="VIC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180000" tIns="180000" rIns="144000" bIns="3600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9599998" id="_x0000_s1028" type="#_x0000_t202" style="width:493.2pt;height:7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" fillcolor="#edf5f7" strokecolor="#edf5f7" strokeweight=".5pt">
                <v:textbox style="mso-fit-shape-to-text:t" inset="5mm,5mm,4mm,1mm">
                  <w:txbxContent>
                    <w:p w:rsidR="00F610AA" w:rsidRPr="00F777E1" w:rsidRDefault="00F610AA" w:rsidP="00F610AA">
                      <w:pPr>
                        <w:pStyle w:val="PulloutHeading"/>
                        <w:rPr>
                          <w:rFonts w:ascii="VIC SemiBold" w:hAnsi="VIC SemiBold"/>
                          <w:b w:val="0"/>
                        </w:rPr>
                      </w:pPr>
                      <w:r w:rsidRPr="00F777E1">
                        <w:rPr>
                          <w:rFonts w:ascii="VIC SemiBold" w:hAnsi="VIC SemiBold"/>
                          <w:b w:val="0"/>
                        </w:rPr>
                        <w:t xml:space="preserve">Council recommendation 2 </w:t>
                      </w:r>
                    </w:p>
                    <w:p w:rsidR="00F610AA" w:rsidRPr="00FA3694" w:rsidRDefault="00FA3694" w:rsidP="00FA3694">
                      <w:pPr>
                        <w:pStyle w:val="PulloutText"/>
                        <w:rPr>
                          <w:rFonts w:ascii="VIC" w:hAnsi="VIC"/>
                          <w:sz w:val="22"/>
                          <w:szCs w:val="22"/>
                        </w:rPr>
                      </w:pPr>
                      <w:r w:rsidRPr="00FA3694">
                        <w:rPr>
                          <w:rFonts w:ascii="VIC" w:hAnsi="VIC"/>
                          <w:sz w:val="22"/>
                          <w:szCs w:val="22"/>
                        </w:rPr>
                        <w:t xml:space="preserve">The council recommends prioritising </w:t>
                      </w:r>
                      <w:r w:rsidR="001B5538">
                        <w:rPr>
                          <w:rFonts w:ascii="VIC" w:hAnsi="VIC"/>
                          <w:sz w:val="22"/>
                          <w:szCs w:val="22"/>
                        </w:rPr>
                        <w:t>embedding</w:t>
                      </w:r>
                      <w:r w:rsidRPr="00FA3694">
                        <w:rPr>
                          <w:rFonts w:ascii="VIC" w:hAnsi="VIC"/>
                          <w:sz w:val="22"/>
                          <w:szCs w:val="22"/>
                        </w:rPr>
                        <w:t xml:space="preserve"> </w:t>
                      </w:r>
                      <w:r w:rsidR="00250341">
                        <w:rPr>
                          <w:rFonts w:ascii="VIC" w:hAnsi="VIC"/>
                          <w:sz w:val="22"/>
                          <w:szCs w:val="22"/>
                        </w:rPr>
                        <w:t>patients</w:t>
                      </w:r>
                      <w:r w:rsidRPr="00FA3694">
                        <w:rPr>
                          <w:rFonts w:ascii="VIC" w:hAnsi="VIC"/>
                          <w:sz w:val="22"/>
                          <w:szCs w:val="22"/>
                        </w:rPr>
                        <w:t xml:space="preserve"> and clinicians</w:t>
                      </w:r>
                      <w:r w:rsidR="001A245F">
                        <w:rPr>
                          <w:rFonts w:ascii="VIC" w:hAnsi="VIC"/>
                          <w:sz w:val="22"/>
                          <w:szCs w:val="22"/>
                        </w:rPr>
                        <w:t xml:space="preserve"> </w:t>
                      </w:r>
                      <w:r w:rsidR="001B5538">
                        <w:rPr>
                          <w:rFonts w:ascii="VIC" w:hAnsi="VIC"/>
                          <w:sz w:val="22"/>
                          <w:szCs w:val="22"/>
                        </w:rPr>
                        <w:t>during</w:t>
                      </w:r>
                      <w:r w:rsidR="001A245F">
                        <w:rPr>
                          <w:rFonts w:ascii="VIC" w:hAnsi="VIC"/>
                          <w:sz w:val="22"/>
                          <w:szCs w:val="22"/>
                        </w:rPr>
                        <w:t xml:space="preserve"> </w:t>
                      </w:r>
                      <w:proofErr w:type="gramStart"/>
                      <w:r w:rsidR="00D647A9">
                        <w:rPr>
                          <w:rFonts w:ascii="VIC" w:hAnsi="VIC"/>
                          <w:sz w:val="22"/>
                          <w:szCs w:val="22"/>
                        </w:rPr>
                        <w:t>value based</w:t>
                      </w:r>
                      <w:proofErr w:type="gramEnd"/>
                      <w:r w:rsidR="00D647A9">
                        <w:rPr>
                          <w:rFonts w:ascii="VIC" w:hAnsi="VIC"/>
                          <w:sz w:val="22"/>
                          <w:szCs w:val="22"/>
                        </w:rPr>
                        <w:t xml:space="preserve"> healthcare </w:t>
                      </w:r>
                      <w:r w:rsidR="001A245F">
                        <w:rPr>
                          <w:rFonts w:ascii="VIC" w:hAnsi="VIC"/>
                          <w:sz w:val="22"/>
                          <w:szCs w:val="22"/>
                        </w:rPr>
                        <w:t>policy development</w:t>
                      </w:r>
                      <w:r w:rsidR="00D647A9">
                        <w:rPr>
                          <w:rFonts w:ascii="VIC" w:hAnsi="VIC"/>
                          <w:sz w:val="22"/>
                          <w:szCs w:val="22"/>
                        </w:rPr>
                        <w:t xml:space="preserve"> and implementation</w:t>
                      </w:r>
                      <w:r w:rsidRPr="00FA3694">
                        <w:rPr>
                          <w:rFonts w:ascii="VIC" w:hAnsi="VIC"/>
                          <w:sz w:val="22"/>
                          <w:szCs w:val="22"/>
                        </w:rPr>
                        <w:t>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A53F3E" w:rsidRDefault="00A53F3E" w:rsidP="00FA3694">
      <w:pPr>
        <w:pStyle w:val="Heading3"/>
        <w:rPr>
          <w:rFonts w:ascii="VIC" w:hAnsi="VIC" w:cstheme="minorHAnsi"/>
          <w:caps/>
          <w:color w:val="004EA8"/>
          <w:szCs w:val="26"/>
        </w:rPr>
      </w:pPr>
    </w:p>
    <w:p w:rsidR="00955C7E" w:rsidRPr="00F777E1" w:rsidRDefault="00102A98" w:rsidP="00FA3694">
      <w:pPr>
        <w:pStyle w:val="Heading3"/>
        <w:rPr>
          <w:rFonts w:ascii="VIC SemiBold" w:hAnsi="VIC SemiBold" w:cstheme="minorHAnsi"/>
          <w:b w:val="0"/>
          <w:caps/>
          <w:color w:val="004EA8"/>
          <w:szCs w:val="26"/>
        </w:rPr>
      </w:pP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>Cover</w:t>
      </w:r>
      <w:r w:rsidR="00EB5281"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 the </w:t>
      </w:r>
      <w:r w:rsidR="00B62B9C" w:rsidRPr="00F777E1">
        <w:rPr>
          <w:rFonts w:ascii="VIC SemiBold" w:hAnsi="VIC SemiBold" w:cstheme="minorHAnsi"/>
          <w:b w:val="0"/>
          <w:caps/>
          <w:color w:val="004EA8"/>
          <w:szCs w:val="26"/>
        </w:rPr>
        <w:t>full range</w:t>
      </w:r>
      <w:r w:rsidR="00D015B1"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 </w:t>
      </w:r>
      <w:proofErr w:type="gramStart"/>
      <w:r w:rsidR="00EB5281"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of </w:t>
      </w:r>
      <w:r w:rsidR="00281D2B">
        <w:rPr>
          <w:rFonts w:ascii="VIC SemiBold" w:hAnsi="VIC SemiBold" w:cstheme="minorHAnsi"/>
          <w:b w:val="0"/>
          <w:caps/>
          <w:color w:val="004EA8"/>
          <w:szCs w:val="26"/>
        </w:rPr>
        <w:t xml:space="preserve"> </w:t>
      </w:r>
      <w:r w:rsidR="00281D2B" w:rsidRPr="00F777E1">
        <w:rPr>
          <w:rFonts w:ascii="VIC SemiBold" w:hAnsi="VIC SemiBold" w:cstheme="minorHAnsi"/>
          <w:b w:val="0"/>
          <w:caps/>
          <w:color w:val="004EA8"/>
          <w:szCs w:val="26"/>
        </w:rPr>
        <w:t>Victoria</w:t>
      </w:r>
      <w:r w:rsidR="00281D2B">
        <w:rPr>
          <w:rFonts w:ascii="VIC SemiBold" w:hAnsi="VIC SemiBold" w:cstheme="minorHAnsi"/>
          <w:b w:val="0"/>
          <w:caps/>
          <w:color w:val="004EA8"/>
          <w:szCs w:val="26"/>
        </w:rPr>
        <w:t>’s</w:t>
      </w:r>
      <w:proofErr w:type="gramEnd"/>
      <w:r w:rsidR="00281D2B"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 </w:t>
      </w:r>
      <w:r w:rsidR="00EB5281" w:rsidRPr="00F777E1">
        <w:rPr>
          <w:rFonts w:ascii="VIC SemiBold" w:hAnsi="VIC SemiBold" w:cstheme="minorHAnsi"/>
          <w:b w:val="0"/>
          <w:caps/>
          <w:color w:val="004EA8"/>
          <w:szCs w:val="26"/>
        </w:rPr>
        <w:t>health system</w:t>
      </w:r>
    </w:p>
    <w:p w:rsidR="00210364" w:rsidRPr="00661B49" w:rsidRDefault="00FA3694" w:rsidP="00D015B1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eastAsia="Times New Roman" w:hAnsi="VIC" w:cstheme="minorHAnsi"/>
          <w:szCs w:val="22"/>
        </w:rPr>
        <w:t xml:space="preserve">A </w:t>
      </w:r>
      <w:r w:rsidRPr="00661B49">
        <w:rPr>
          <w:rFonts w:ascii="VIC" w:hAnsi="VIC" w:cstheme="minorHAnsi"/>
          <w:szCs w:val="22"/>
        </w:rPr>
        <w:t xml:space="preserve">strategy that covers the </w:t>
      </w:r>
      <w:r w:rsidR="001B5538" w:rsidRPr="00661B49">
        <w:rPr>
          <w:rFonts w:ascii="VIC" w:hAnsi="VIC" w:cstheme="minorHAnsi"/>
          <w:szCs w:val="22"/>
        </w:rPr>
        <w:t>full range</w:t>
      </w:r>
      <w:r w:rsidR="00210364" w:rsidRPr="00661B49">
        <w:rPr>
          <w:rFonts w:ascii="VIC" w:hAnsi="VIC" w:cstheme="minorHAnsi"/>
          <w:szCs w:val="22"/>
        </w:rPr>
        <w:t xml:space="preserve"> of the </w:t>
      </w:r>
      <w:r w:rsidR="00281D2B">
        <w:rPr>
          <w:rFonts w:ascii="VIC" w:hAnsi="VIC" w:cstheme="minorHAnsi"/>
          <w:szCs w:val="22"/>
        </w:rPr>
        <w:t>state’s</w:t>
      </w:r>
      <w:r w:rsidR="00281D2B" w:rsidRPr="00661B49">
        <w:rPr>
          <w:rFonts w:ascii="VIC" w:hAnsi="VIC" w:cstheme="minorHAnsi"/>
          <w:szCs w:val="22"/>
        </w:rPr>
        <w:t xml:space="preserve"> </w:t>
      </w:r>
      <w:r w:rsidR="00210364" w:rsidRPr="00661B49">
        <w:rPr>
          <w:rFonts w:ascii="VIC" w:hAnsi="VIC" w:cstheme="minorHAnsi"/>
          <w:szCs w:val="22"/>
        </w:rPr>
        <w:t>health system</w:t>
      </w:r>
      <w:r w:rsidR="00117755" w:rsidRPr="00661B49">
        <w:rPr>
          <w:rFonts w:ascii="VIC" w:hAnsi="VIC" w:cstheme="minorHAnsi"/>
          <w:szCs w:val="22"/>
        </w:rPr>
        <w:t xml:space="preserve"> </w:t>
      </w:r>
      <w:r w:rsidR="00E423EF" w:rsidRPr="00661B49">
        <w:rPr>
          <w:rFonts w:ascii="VIC" w:hAnsi="VIC" w:cstheme="minorHAnsi"/>
          <w:szCs w:val="22"/>
        </w:rPr>
        <w:t xml:space="preserve">will play an important role in creating high-impact </w:t>
      </w:r>
      <w:r w:rsidR="00250341" w:rsidRPr="00661B49">
        <w:rPr>
          <w:rFonts w:ascii="VIC" w:hAnsi="VIC" w:cstheme="minorHAnsi"/>
          <w:szCs w:val="22"/>
        </w:rPr>
        <w:t>value-</w:t>
      </w:r>
      <w:r w:rsidR="00391BFC" w:rsidRPr="00661B49">
        <w:rPr>
          <w:rFonts w:ascii="VIC" w:hAnsi="VIC" w:cstheme="minorHAnsi"/>
          <w:szCs w:val="22"/>
        </w:rPr>
        <w:t>based healthcare</w:t>
      </w:r>
      <w:r w:rsidR="00210364" w:rsidRPr="00661B49">
        <w:rPr>
          <w:rFonts w:ascii="VIC" w:hAnsi="VIC" w:cstheme="minorHAnsi"/>
          <w:szCs w:val="22"/>
        </w:rPr>
        <w:t xml:space="preserve">. The approach for </w:t>
      </w:r>
      <w:r w:rsidR="00391BFC" w:rsidRPr="00661B49">
        <w:rPr>
          <w:rFonts w:ascii="VIC" w:hAnsi="VIC" w:cstheme="minorHAnsi"/>
          <w:szCs w:val="22"/>
        </w:rPr>
        <w:t>value</w:t>
      </w:r>
      <w:r w:rsidR="00250341" w:rsidRPr="00661B49">
        <w:rPr>
          <w:rFonts w:ascii="VIC" w:hAnsi="VIC" w:cstheme="minorHAnsi"/>
          <w:szCs w:val="22"/>
        </w:rPr>
        <w:t>-</w:t>
      </w:r>
      <w:r w:rsidR="00391BFC" w:rsidRPr="00661B49">
        <w:rPr>
          <w:rFonts w:ascii="VIC" w:hAnsi="VIC" w:cstheme="minorHAnsi"/>
          <w:szCs w:val="22"/>
        </w:rPr>
        <w:t xml:space="preserve">based healthcare </w:t>
      </w:r>
      <w:r w:rsidR="00210364" w:rsidRPr="00661B49">
        <w:rPr>
          <w:rFonts w:ascii="VIC" w:hAnsi="VIC" w:cstheme="minorHAnsi"/>
          <w:szCs w:val="22"/>
        </w:rPr>
        <w:t xml:space="preserve">should encompass both the public and private sectors across </w:t>
      </w:r>
      <w:r w:rsidR="00012B46" w:rsidRPr="00661B49">
        <w:rPr>
          <w:rFonts w:ascii="VIC" w:hAnsi="VIC" w:cstheme="minorHAnsi"/>
          <w:szCs w:val="22"/>
        </w:rPr>
        <w:t>acute, primary and community care</w:t>
      </w:r>
      <w:r w:rsidR="00117755" w:rsidRPr="00661B49">
        <w:rPr>
          <w:rFonts w:ascii="VIC" w:hAnsi="VIC" w:cstheme="minorHAnsi"/>
          <w:szCs w:val="22"/>
        </w:rPr>
        <w:t xml:space="preserve"> </w:t>
      </w:r>
      <w:r w:rsidR="00281D2B">
        <w:rPr>
          <w:rFonts w:ascii="VIC" w:hAnsi="VIC" w:cstheme="minorHAnsi"/>
          <w:szCs w:val="22"/>
        </w:rPr>
        <w:t>statewide</w:t>
      </w:r>
      <w:r w:rsidR="00210364" w:rsidRPr="00661B49">
        <w:rPr>
          <w:rFonts w:ascii="VIC" w:hAnsi="VIC" w:cstheme="minorHAnsi"/>
          <w:szCs w:val="22"/>
        </w:rPr>
        <w:t xml:space="preserve">. </w:t>
      </w:r>
      <w:r w:rsidR="00250341" w:rsidRPr="00661B49">
        <w:rPr>
          <w:rFonts w:ascii="VIC" w:hAnsi="VIC" w:cstheme="minorHAnsi"/>
          <w:szCs w:val="22"/>
        </w:rPr>
        <w:t>It should also include</w:t>
      </w:r>
      <w:r w:rsidR="0068337D" w:rsidRPr="00661B49">
        <w:rPr>
          <w:rFonts w:ascii="VIC" w:hAnsi="VIC" w:cstheme="minorHAnsi"/>
          <w:szCs w:val="22"/>
        </w:rPr>
        <w:t xml:space="preserve"> </w:t>
      </w:r>
      <w:r w:rsidR="00250341" w:rsidRPr="00661B49">
        <w:rPr>
          <w:rFonts w:ascii="VIC" w:hAnsi="VIC" w:cstheme="minorHAnsi"/>
          <w:szCs w:val="22"/>
        </w:rPr>
        <w:t xml:space="preserve">routinely </w:t>
      </w:r>
      <w:proofErr w:type="gramStart"/>
      <w:r w:rsidR="0068337D" w:rsidRPr="00661B49">
        <w:rPr>
          <w:rFonts w:ascii="VIC" w:hAnsi="VIC" w:cstheme="minorHAnsi"/>
          <w:szCs w:val="22"/>
        </w:rPr>
        <w:t xml:space="preserve">integrating </w:t>
      </w:r>
      <w:r w:rsidR="00E423EF" w:rsidRPr="00661B49">
        <w:rPr>
          <w:rFonts w:ascii="VIC" w:hAnsi="VIC" w:cstheme="minorHAnsi"/>
          <w:szCs w:val="22"/>
        </w:rPr>
        <w:t xml:space="preserve"> social</w:t>
      </w:r>
      <w:proofErr w:type="gramEnd"/>
      <w:r w:rsidR="00E423EF" w:rsidRPr="00661B49">
        <w:rPr>
          <w:rFonts w:ascii="VIC" w:hAnsi="VIC" w:cstheme="minorHAnsi"/>
          <w:szCs w:val="22"/>
        </w:rPr>
        <w:t xml:space="preserve"> care </w:t>
      </w:r>
      <w:r w:rsidR="00250341" w:rsidRPr="00661B49">
        <w:rPr>
          <w:rFonts w:ascii="VIC" w:hAnsi="VIC" w:cstheme="minorHAnsi"/>
          <w:szCs w:val="22"/>
        </w:rPr>
        <w:t>as a tool and intervention to improve health outcomes</w:t>
      </w:r>
      <w:r w:rsidR="0068337D" w:rsidRPr="00661B49">
        <w:rPr>
          <w:rFonts w:ascii="VIC" w:hAnsi="VIC" w:cstheme="minorHAnsi"/>
          <w:szCs w:val="22"/>
        </w:rPr>
        <w:t>. Initial d</w:t>
      </w:r>
      <w:r w:rsidR="000947B2" w:rsidRPr="00661B49">
        <w:rPr>
          <w:rFonts w:ascii="VIC" w:hAnsi="VIC" w:cstheme="minorHAnsi"/>
          <w:szCs w:val="22"/>
        </w:rPr>
        <w:t xml:space="preserve">emonstration projects for </w:t>
      </w:r>
      <w:r w:rsidR="00250341" w:rsidRPr="00661B49">
        <w:rPr>
          <w:rFonts w:ascii="VIC" w:hAnsi="VIC" w:cstheme="minorHAnsi"/>
          <w:szCs w:val="22"/>
        </w:rPr>
        <w:t>value-</w:t>
      </w:r>
      <w:r w:rsidR="00391BFC" w:rsidRPr="00661B49">
        <w:rPr>
          <w:rFonts w:ascii="VIC" w:hAnsi="VIC" w:cstheme="minorHAnsi"/>
          <w:szCs w:val="22"/>
        </w:rPr>
        <w:t xml:space="preserve">based healthcare </w:t>
      </w:r>
      <w:r w:rsidR="008302D5" w:rsidRPr="00661B49">
        <w:rPr>
          <w:rFonts w:ascii="VIC" w:hAnsi="VIC" w:cstheme="minorHAnsi"/>
          <w:szCs w:val="22"/>
        </w:rPr>
        <w:t xml:space="preserve">in </w:t>
      </w:r>
      <w:r w:rsidR="000947B2" w:rsidRPr="00661B49">
        <w:rPr>
          <w:rFonts w:ascii="VIC" w:hAnsi="VIC" w:cstheme="minorHAnsi"/>
          <w:szCs w:val="22"/>
        </w:rPr>
        <w:t xml:space="preserve">Victoria should aim to cover the </w:t>
      </w:r>
      <w:r w:rsidR="001B5538" w:rsidRPr="00661B49">
        <w:rPr>
          <w:rFonts w:ascii="VIC" w:hAnsi="VIC" w:cstheme="minorHAnsi"/>
          <w:szCs w:val="22"/>
        </w:rPr>
        <w:t>full range</w:t>
      </w:r>
      <w:r w:rsidR="00391BFC" w:rsidRPr="00661B49">
        <w:rPr>
          <w:rFonts w:ascii="VIC" w:hAnsi="VIC" w:cstheme="minorHAnsi"/>
          <w:szCs w:val="22"/>
        </w:rPr>
        <w:t xml:space="preserve"> of the </w:t>
      </w:r>
      <w:r w:rsidR="00281D2B">
        <w:rPr>
          <w:rFonts w:ascii="VIC" w:hAnsi="VIC" w:cstheme="minorHAnsi"/>
          <w:szCs w:val="22"/>
        </w:rPr>
        <w:t>state’s</w:t>
      </w:r>
      <w:r w:rsidR="00281D2B" w:rsidRPr="00661B49">
        <w:rPr>
          <w:rFonts w:ascii="VIC" w:hAnsi="VIC" w:cstheme="minorHAnsi"/>
          <w:szCs w:val="22"/>
        </w:rPr>
        <w:t xml:space="preserve"> </w:t>
      </w:r>
      <w:r w:rsidR="00391BFC" w:rsidRPr="00661B49">
        <w:rPr>
          <w:rFonts w:ascii="VIC" w:hAnsi="VIC" w:cstheme="minorHAnsi"/>
          <w:szCs w:val="22"/>
        </w:rPr>
        <w:t>health</w:t>
      </w:r>
      <w:r w:rsidR="000947B2" w:rsidRPr="00661B49">
        <w:rPr>
          <w:rFonts w:ascii="VIC" w:hAnsi="VIC" w:cstheme="minorHAnsi"/>
          <w:szCs w:val="22"/>
        </w:rPr>
        <w:t>care system. To achieve this t</w:t>
      </w:r>
      <w:r w:rsidR="00F67A3E" w:rsidRPr="00661B49">
        <w:rPr>
          <w:rFonts w:ascii="VIC" w:hAnsi="VIC" w:cstheme="minorHAnsi"/>
          <w:szCs w:val="22"/>
        </w:rPr>
        <w:t>he council recommends</w:t>
      </w:r>
      <w:r w:rsidR="000947B2" w:rsidRPr="00661B49">
        <w:rPr>
          <w:rFonts w:ascii="VIC" w:hAnsi="VIC" w:cstheme="minorHAnsi"/>
          <w:szCs w:val="22"/>
        </w:rPr>
        <w:t xml:space="preserve"> a</w:t>
      </w:r>
      <w:r w:rsidR="00210364" w:rsidRPr="00661B49">
        <w:rPr>
          <w:rFonts w:ascii="VIC" w:hAnsi="VIC" w:cstheme="minorHAnsi"/>
          <w:szCs w:val="22"/>
        </w:rPr>
        <w:t xml:space="preserve"> strategy that:</w:t>
      </w:r>
    </w:p>
    <w:p w:rsidR="002941D2" w:rsidRPr="00661B49" w:rsidRDefault="002941D2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begins with small demonstration projects across the state</w:t>
      </w:r>
    </w:p>
    <w:p w:rsidR="00012B46" w:rsidRPr="00661B49" w:rsidRDefault="000947B2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t</w:t>
      </w:r>
      <w:r w:rsidR="00955C7E" w:rsidRPr="00661B49">
        <w:rPr>
          <w:rFonts w:ascii="VIC" w:hAnsi="VIC"/>
        </w:rPr>
        <w:t>arget</w:t>
      </w:r>
      <w:r w:rsidR="00210364" w:rsidRPr="00661B49">
        <w:rPr>
          <w:rFonts w:ascii="VIC" w:hAnsi="VIC"/>
        </w:rPr>
        <w:t>s clinical</w:t>
      </w:r>
      <w:r w:rsidR="00955C7E" w:rsidRPr="00661B49">
        <w:rPr>
          <w:rFonts w:ascii="VIC" w:hAnsi="VIC"/>
        </w:rPr>
        <w:t xml:space="preserve"> areas that have existing data, evidence</w:t>
      </w:r>
      <w:r w:rsidR="00210364" w:rsidRPr="00661B49">
        <w:rPr>
          <w:rFonts w:ascii="VIC" w:hAnsi="VIC"/>
        </w:rPr>
        <w:t xml:space="preserve"> and</w:t>
      </w:r>
      <w:r w:rsidR="00955C7E" w:rsidRPr="00661B49">
        <w:rPr>
          <w:rFonts w:ascii="VIC" w:hAnsi="VIC"/>
        </w:rPr>
        <w:t xml:space="preserve"> known variation in outcomes</w:t>
      </w:r>
      <w:r w:rsidR="00210364" w:rsidRPr="00661B49">
        <w:rPr>
          <w:rFonts w:ascii="VIC" w:hAnsi="VIC"/>
        </w:rPr>
        <w:t xml:space="preserve"> </w:t>
      </w:r>
    </w:p>
    <w:p w:rsidR="00C62D44" w:rsidRPr="00661B49" w:rsidRDefault="00C62D44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targets clinical areas that cross into primary, community and acute care</w:t>
      </w:r>
    </w:p>
    <w:p w:rsidR="00C62D44" w:rsidRPr="00661B49" w:rsidRDefault="00C62D44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targets clinical areas that are provided by public and private sectors</w:t>
      </w:r>
    </w:p>
    <w:p w:rsidR="00EB5281" w:rsidRPr="00661B49" w:rsidRDefault="000947B2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e</w:t>
      </w:r>
      <w:r w:rsidR="00952698" w:rsidRPr="00661B49">
        <w:rPr>
          <w:rFonts w:ascii="VIC" w:hAnsi="VIC"/>
        </w:rPr>
        <w:t>ngag</w:t>
      </w:r>
      <w:r w:rsidRPr="00661B49">
        <w:rPr>
          <w:rFonts w:ascii="VIC" w:hAnsi="VIC"/>
        </w:rPr>
        <w:t>es</w:t>
      </w:r>
      <w:r w:rsidR="00012B46" w:rsidRPr="00661B49">
        <w:rPr>
          <w:rFonts w:ascii="VIC" w:hAnsi="VIC"/>
        </w:rPr>
        <w:t xml:space="preserve"> with</w:t>
      </w:r>
      <w:r w:rsidR="00952698" w:rsidRPr="00661B49">
        <w:rPr>
          <w:rFonts w:ascii="VIC" w:hAnsi="VIC"/>
        </w:rPr>
        <w:t xml:space="preserve"> existing clinical networks</w:t>
      </w:r>
    </w:p>
    <w:p w:rsidR="003A63F3" w:rsidRPr="00661B49" w:rsidRDefault="003A63F3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integrates social care and behavioural interventions</w:t>
      </w:r>
    </w:p>
    <w:p w:rsidR="00B73ED4" w:rsidRPr="00661B49" w:rsidRDefault="002941D2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reframes the narrative</w:t>
      </w:r>
      <w:r w:rsidR="00C62D44" w:rsidRPr="00661B49">
        <w:rPr>
          <w:rFonts w:ascii="VIC" w:hAnsi="VIC"/>
        </w:rPr>
        <w:t xml:space="preserve"> </w:t>
      </w:r>
      <w:r w:rsidRPr="00661B49">
        <w:rPr>
          <w:rFonts w:ascii="VIC" w:hAnsi="VIC"/>
        </w:rPr>
        <w:t>from ‘volume’ to ‘value’ with a focus</w:t>
      </w:r>
      <w:r w:rsidR="00C62D44" w:rsidRPr="00661B49">
        <w:rPr>
          <w:rFonts w:ascii="VIC" w:hAnsi="VIC"/>
        </w:rPr>
        <w:t xml:space="preserve"> on</w:t>
      </w:r>
      <w:r w:rsidR="00B73ED4" w:rsidRPr="00661B49">
        <w:rPr>
          <w:rFonts w:ascii="VIC" w:hAnsi="VIC"/>
        </w:rPr>
        <w:t xml:space="preserve"> improve</w:t>
      </w:r>
      <w:r w:rsidR="00C62D44" w:rsidRPr="00661B49">
        <w:rPr>
          <w:rFonts w:ascii="VIC" w:hAnsi="VIC"/>
        </w:rPr>
        <w:t>d</w:t>
      </w:r>
      <w:r w:rsidRPr="00661B49">
        <w:rPr>
          <w:rFonts w:ascii="VIC" w:hAnsi="VIC"/>
        </w:rPr>
        <w:t xml:space="preserve"> outcomes for </w:t>
      </w:r>
      <w:r w:rsidR="00250341" w:rsidRPr="00661B49">
        <w:rPr>
          <w:rFonts w:ascii="VIC" w:hAnsi="VIC"/>
        </w:rPr>
        <w:t>patients</w:t>
      </w:r>
      <w:r w:rsidRPr="00661B49">
        <w:rPr>
          <w:rFonts w:ascii="VIC" w:hAnsi="VIC"/>
        </w:rPr>
        <w:t xml:space="preserve"> primarily rather than</w:t>
      </w:r>
      <w:r w:rsidR="001B5538" w:rsidRPr="00661B49">
        <w:rPr>
          <w:rFonts w:ascii="VIC" w:hAnsi="VIC"/>
        </w:rPr>
        <w:t xml:space="preserve"> decreasing</w:t>
      </w:r>
      <w:r w:rsidRPr="00661B49">
        <w:rPr>
          <w:rFonts w:ascii="VIC" w:hAnsi="VIC"/>
        </w:rPr>
        <w:t xml:space="preserve"> cost.</w:t>
      </w:r>
    </w:p>
    <w:p w:rsidR="00955C7E" w:rsidRPr="00661B49" w:rsidRDefault="00D015B1" w:rsidP="00D015B1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>T</w:t>
      </w:r>
      <w:r w:rsidR="000947B2" w:rsidRPr="00661B49">
        <w:rPr>
          <w:rFonts w:ascii="VIC" w:hAnsi="VIC" w:cstheme="minorHAnsi"/>
          <w:szCs w:val="22"/>
        </w:rPr>
        <w:t>he council s</w:t>
      </w:r>
      <w:r w:rsidR="00955C7E" w:rsidRPr="00661B49">
        <w:rPr>
          <w:rFonts w:ascii="VIC" w:hAnsi="VIC" w:cstheme="minorHAnsi"/>
          <w:szCs w:val="22"/>
        </w:rPr>
        <w:t>uggest</w:t>
      </w:r>
      <w:r w:rsidR="00281D2B">
        <w:rPr>
          <w:rFonts w:ascii="VIC" w:hAnsi="VIC" w:cstheme="minorHAnsi"/>
          <w:szCs w:val="22"/>
        </w:rPr>
        <w:t>s</w:t>
      </w:r>
      <w:r w:rsidR="00B544B4" w:rsidRPr="00661B49">
        <w:rPr>
          <w:rFonts w:ascii="VIC" w:hAnsi="VIC" w:cstheme="minorHAnsi"/>
          <w:szCs w:val="22"/>
        </w:rPr>
        <w:t xml:space="preserve"> </w:t>
      </w:r>
      <w:r w:rsidR="00E5763A" w:rsidRPr="00661B49">
        <w:rPr>
          <w:rFonts w:ascii="VIC" w:hAnsi="VIC" w:cstheme="minorHAnsi"/>
          <w:szCs w:val="22"/>
        </w:rPr>
        <w:t>stroke</w:t>
      </w:r>
      <w:r w:rsidR="00281D2B">
        <w:rPr>
          <w:rFonts w:ascii="VIC" w:hAnsi="VIC" w:cstheme="minorHAnsi"/>
          <w:szCs w:val="22"/>
        </w:rPr>
        <w:t>,</w:t>
      </w:r>
      <w:r w:rsidR="00E5763A" w:rsidRPr="00661B49">
        <w:rPr>
          <w:rFonts w:ascii="VIC" w:hAnsi="VIC" w:cstheme="minorHAnsi"/>
          <w:szCs w:val="22"/>
        </w:rPr>
        <w:t xml:space="preserve"> </w:t>
      </w:r>
      <w:r w:rsidR="003B4DD0" w:rsidRPr="00661B49">
        <w:rPr>
          <w:rFonts w:ascii="VIC" w:hAnsi="VIC" w:cstheme="minorHAnsi"/>
          <w:szCs w:val="22"/>
        </w:rPr>
        <w:t xml:space="preserve">cancer </w:t>
      </w:r>
      <w:r w:rsidR="00B544B4" w:rsidRPr="00661B49">
        <w:rPr>
          <w:rFonts w:ascii="VIC" w:hAnsi="VIC" w:cstheme="minorHAnsi"/>
          <w:szCs w:val="22"/>
        </w:rPr>
        <w:t>(prostate</w:t>
      </w:r>
      <w:r w:rsidR="001A245F" w:rsidRPr="00661B49">
        <w:rPr>
          <w:rFonts w:ascii="VIC" w:hAnsi="VIC" w:cstheme="minorHAnsi"/>
          <w:szCs w:val="22"/>
        </w:rPr>
        <w:t xml:space="preserve"> and/</w:t>
      </w:r>
      <w:r w:rsidR="00B544B4" w:rsidRPr="00661B49">
        <w:rPr>
          <w:rFonts w:ascii="VIC" w:hAnsi="VIC" w:cstheme="minorHAnsi"/>
          <w:szCs w:val="22"/>
        </w:rPr>
        <w:t xml:space="preserve">or bowel) </w:t>
      </w:r>
      <w:r w:rsidR="003B4DD0" w:rsidRPr="00661B49">
        <w:rPr>
          <w:rFonts w:ascii="VIC" w:hAnsi="VIC" w:cstheme="minorHAnsi"/>
          <w:szCs w:val="22"/>
        </w:rPr>
        <w:t xml:space="preserve">and </w:t>
      </w:r>
      <w:r w:rsidR="00E5763A" w:rsidRPr="00661B49">
        <w:rPr>
          <w:rFonts w:ascii="VIC" w:hAnsi="VIC" w:cstheme="minorHAnsi"/>
          <w:szCs w:val="22"/>
        </w:rPr>
        <w:t xml:space="preserve">heart failure </w:t>
      </w:r>
      <w:r w:rsidR="00281D2B">
        <w:rPr>
          <w:rFonts w:ascii="VIC" w:hAnsi="VIC" w:cstheme="minorHAnsi"/>
          <w:szCs w:val="22"/>
        </w:rPr>
        <w:t>as</w:t>
      </w:r>
      <w:r w:rsidR="00281D2B" w:rsidRPr="00661B49">
        <w:rPr>
          <w:rFonts w:ascii="VIC" w:hAnsi="VIC" w:cstheme="minorHAnsi"/>
          <w:szCs w:val="22"/>
        </w:rPr>
        <w:t xml:space="preserve"> </w:t>
      </w:r>
      <w:r w:rsidR="003B4DD0" w:rsidRPr="00661B49">
        <w:rPr>
          <w:rFonts w:ascii="VIC" w:hAnsi="VIC" w:cstheme="minorHAnsi"/>
          <w:szCs w:val="22"/>
        </w:rPr>
        <w:t>the</w:t>
      </w:r>
      <w:r w:rsidR="000947B2" w:rsidRPr="00661B49">
        <w:rPr>
          <w:rFonts w:ascii="VIC" w:hAnsi="VIC" w:cstheme="minorHAnsi"/>
          <w:szCs w:val="22"/>
        </w:rPr>
        <w:t xml:space="preserve"> </w:t>
      </w:r>
      <w:r w:rsidR="00281D2B">
        <w:rPr>
          <w:rFonts w:ascii="VIC" w:hAnsi="VIC" w:cstheme="minorHAnsi"/>
          <w:szCs w:val="22"/>
        </w:rPr>
        <w:t>initial</w:t>
      </w:r>
      <w:r w:rsidR="00E5763A" w:rsidRPr="00661B49">
        <w:rPr>
          <w:rFonts w:ascii="VIC" w:hAnsi="VIC" w:cstheme="minorHAnsi"/>
          <w:szCs w:val="22"/>
        </w:rPr>
        <w:t xml:space="preserve"> </w:t>
      </w:r>
      <w:r w:rsidR="000947B2" w:rsidRPr="00661B49">
        <w:rPr>
          <w:rFonts w:ascii="VIC" w:hAnsi="VIC" w:cstheme="minorHAnsi"/>
          <w:szCs w:val="22"/>
        </w:rPr>
        <w:t xml:space="preserve">clinical areas </w:t>
      </w:r>
      <w:r w:rsidR="003B4DD0" w:rsidRPr="00661B49">
        <w:rPr>
          <w:rFonts w:ascii="VIC" w:hAnsi="VIC" w:cstheme="minorHAnsi"/>
          <w:szCs w:val="22"/>
        </w:rPr>
        <w:t xml:space="preserve">for </w:t>
      </w:r>
      <w:r w:rsidR="00250341" w:rsidRPr="00661B49">
        <w:rPr>
          <w:rFonts w:ascii="VIC" w:hAnsi="VIC" w:cstheme="minorHAnsi"/>
          <w:szCs w:val="22"/>
        </w:rPr>
        <w:t>value-</w:t>
      </w:r>
      <w:r w:rsidR="00391BFC" w:rsidRPr="00661B49">
        <w:rPr>
          <w:rFonts w:ascii="VIC" w:hAnsi="VIC" w:cstheme="minorHAnsi"/>
          <w:szCs w:val="22"/>
        </w:rPr>
        <w:t xml:space="preserve">based healthcare </w:t>
      </w:r>
      <w:r w:rsidR="008A3424" w:rsidRPr="00661B49">
        <w:rPr>
          <w:rFonts w:ascii="VIC" w:hAnsi="VIC" w:cstheme="minorHAnsi"/>
          <w:szCs w:val="22"/>
        </w:rPr>
        <w:t>demonstration projects</w:t>
      </w:r>
      <w:r w:rsidR="000947B2" w:rsidRPr="00661B49">
        <w:rPr>
          <w:rFonts w:ascii="VIC" w:hAnsi="VIC" w:cstheme="minorHAnsi"/>
          <w:szCs w:val="22"/>
        </w:rPr>
        <w:t xml:space="preserve"> </w:t>
      </w:r>
      <w:r w:rsidR="003B4DD0" w:rsidRPr="00661B49">
        <w:rPr>
          <w:rFonts w:ascii="VIC" w:hAnsi="VIC" w:cstheme="minorHAnsi"/>
          <w:szCs w:val="22"/>
        </w:rPr>
        <w:t>across Victoria</w:t>
      </w:r>
      <w:r w:rsidR="00E5763A" w:rsidRPr="00661B49">
        <w:rPr>
          <w:rFonts w:ascii="VIC" w:hAnsi="VIC" w:cstheme="minorHAnsi"/>
          <w:szCs w:val="22"/>
        </w:rPr>
        <w:t>, subject to broader feasibility studies</w:t>
      </w:r>
      <w:r w:rsidR="00955C7E" w:rsidRPr="00661B49">
        <w:rPr>
          <w:rFonts w:ascii="VIC" w:hAnsi="VIC" w:cstheme="minorHAnsi"/>
          <w:szCs w:val="22"/>
        </w:rPr>
        <w:t>.</w:t>
      </w:r>
    </w:p>
    <w:p w:rsidR="00B62B9C" w:rsidRPr="00661B49" w:rsidRDefault="00B62B9C" w:rsidP="00D015B1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>Moving beyond demonstration projects, it is essential for a clear direction for a value</w:t>
      </w:r>
      <w:r w:rsidR="00250341" w:rsidRPr="00661B49">
        <w:rPr>
          <w:rFonts w:ascii="VIC" w:hAnsi="VIC" w:cstheme="minorHAnsi"/>
          <w:szCs w:val="22"/>
        </w:rPr>
        <w:t>-</w:t>
      </w:r>
      <w:r w:rsidRPr="00661B49">
        <w:rPr>
          <w:rFonts w:ascii="VIC" w:hAnsi="VIC" w:cstheme="minorHAnsi"/>
          <w:szCs w:val="22"/>
        </w:rPr>
        <w:t xml:space="preserve">based healthcare strategy in Victoria. In particular, the </w:t>
      </w:r>
      <w:r w:rsidR="001B5538" w:rsidRPr="00661B49">
        <w:rPr>
          <w:rFonts w:ascii="VIC" w:hAnsi="VIC" w:cstheme="minorHAnsi"/>
          <w:szCs w:val="22"/>
        </w:rPr>
        <w:t>council advocates ensuring</w:t>
      </w:r>
      <w:r w:rsidRPr="00661B49">
        <w:rPr>
          <w:rFonts w:ascii="VIC" w:hAnsi="VIC" w:cstheme="minorHAnsi"/>
          <w:szCs w:val="22"/>
        </w:rPr>
        <w:t xml:space="preserve"> the system </w:t>
      </w:r>
      <w:proofErr w:type="gramStart"/>
      <w:r w:rsidRPr="00661B49">
        <w:rPr>
          <w:rFonts w:ascii="VIC" w:hAnsi="VIC" w:cstheme="minorHAnsi"/>
          <w:szCs w:val="22"/>
        </w:rPr>
        <w:t>is able to</w:t>
      </w:r>
      <w:proofErr w:type="gramEnd"/>
      <w:r w:rsidRPr="00661B49">
        <w:rPr>
          <w:rFonts w:ascii="VIC" w:hAnsi="VIC" w:cstheme="minorHAnsi"/>
          <w:szCs w:val="22"/>
        </w:rPr>
        <w:t xml:space="preserve"> respond to the individual</w:t>
      </w:r>
      <w:r w:rsidR="001B5538" w:rsidRPr="00661B49">
        <w:rPr>
          <w:rFonts w:ascii="VIC" w:hAnsi="VIC" w:cstheme="minorHAnsi"/>
          <w:szCs w:val="22"/>
        </w:rPr>
        <w:t>,</w:t>
      </w:r>
      <w:r w:rsidRPr="00661B49">
        <w:rPr>
          <w:rFonts w:ascii="VIC" w:hAnsi="VIC" w:cstheme="minorHAnsi"/>
          <w:szCs w:val="22"/>
        </w:rPr>
        <w:t xml:space="preserve"> especially</w:t>
      </w:r>
      <w:r w:rsidR="001B5538" w:rsidRPr="00661B49">
        <w:rPr>
          <w:rFonts w:ascii="VIC" w:hAnsi="VIC" w:cstheme="minorHAnsi"/>
          <w:szCs w:val="22"/>
        </w:rPr>
        <w:t xml:space="preserve"> for</w:t>
      </w:r>
      <w:r w:rsidRPr="00661B49">
        <w:rPr>
          <w:rFonts w:ascii="VIC" w:hAnsi="VIC" w:cstheme="minorHAnsi"/>
          <w:szCs w:val="22"/>
        </w:rPr>
        <w:t xml:space="preserve"> those with a rare disease or who have not been formally diagnosed. </w:t>
      </w:r>
    </w:p>
    <w:p w:rsidR="008A3424" w:rsidRPr="00F610AA" w:rsidRDefault="00F610AA">
      <w:pPr>
        <w:rPr>
          <w:rFonts w:ascii="VIC" w:eastAsiaTheme="majorEastAsia" w:hAnsi="VIC" w:cstheme="minorHAnsi"/>
          <w:b/>
          <w:bCs/>
          <w:color w:val="000000" w:themeColor="text1"/>
          <w:sz w:val="24"/>
          <w:szCs w:val="22"/>
        </w:rPr>
      </w:pPr>
      <w:r w:rsidRPr="00CA4E7D">
        <w:rPr>
          <w:rFonts w:ascii="VIC" w:hAnsi="VIC"/>
          <w:noProof/>
        </w:rPr>
        <w:lastRenderedPageBreak/>
        <mc:AlternateContent>
          <mc:Choice Requires="wps">
            <w:drawing>
              <wp:inline distT="0" distB="0" distL="0" distR="0" wp14:anchorId="5214D583" wp14:editId="044FD76A">
                <wp:extent cx="6263640" cy="904875"/>
                <wp:effectExtent l="0" t="0" r="22860" b="28575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3640" cy="904875"/>
                        </a:xfrm>
                        <a:prstGeom prst="rect">
                          <a:avLst/>
                        </a:prstGeom>
                        <a:solidFill>
                          <a:srgbClr val="EDF5F7"/>
                        </a:solidFill>
                        <a:ln w="6350">
                          <a:solidFill>
                            <a:srgbClr val="EDF5F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10AA" w:rsidRPr="00F777E1" w:rsidRDefault="00F610AA" w:rsidP="00F610AA">
                            <w:pPr>
                              <w:pStyle w:val="PulloutHeading"/>
                              <w:rPr>
                                <w:rFonts w:ascii="VIC SemiBold" w:hAnsi="VIC SemiBold"/>
                                <w:b w:val="0"/>
                              </w:rPr>
                            </w:pPr>
                            <w:r w:rsidRPr="00F777E1">
                              <w:rPr>
                                <w:rFonts w:ascii="VIC SemiBold" w:hAnsi="VIC SemiBold"/>
                                <w:b w:val="0"/>
                              </w:rPr>
                              <w:t>Council recommendation 3</w:t>
                            </w:r>
                          </w:p>
                          <w:p w:rsidR="00F610AA" w:rsidRPr="00F610AA" w:rsidRDefault="00F610AA" w:rsidP="00F610AA">
                            <w:pPr>
                              <w:pStyle w:val="PulloutHeading"/>
                              <w:rPr>
                                <w:rFonts w:ascii="VIC" w:hAnsi="VIC"/>
                                <w:b w:val="0"/>
                              </w:rPr>
                            </w:pP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>The council recommends developing</w:t>
                            </w:r>
                            <w:r w:rsidR="00B62B9C">
                              <w:rPr>
                                <w:rFonts w:ascii="VIC" w:hAnsi="VIC"/>
                                <w:b w:val="0"/>
                              </w:rPr>
                              <w:t xml:space="preserve"> a strategy that covers the full range</w:t>
                            </w: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 xml:space="preserve"> of </w:t>
                            </w:r>
                            <w:r w:rsidR="00281D2B" w:rsidRPr="00F610AA">
                              <w:rPr>
                                <w:rFonts w:ascii="VIC" w:hAnsi="VIC"/>
                                <w:b w:val="0"/>
                              </w:rPr>
                              <w:t>Victoria</w:t>
                            </w:r>
                            <w:r w:rsidR="00281D2B">
                              <w:rPr>
                                <w:rFonts w:ascii="VIC" w:hAnsi="VIC"/>
                                <w:b w:val="0"/>
                              </w:rPr>
                              <w:t>’s</w:t>
                            </w:r>
                            <w:r w:rsidR="00281D2B" w:rsidRPr="00F610AA">
                              <w:rPr>
                                <w:rFonts w:ascii="VIC" w:hAnsi="VIC"/>
                                <w:b w:val="0"/>
                              </w:rPr>
                              <w:t xml:space="preserve"> </w:t>
                            </w: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>health system</w:t>
                            </w:r>
                            <w:r w:rsidR="00250341">
                              <w:rPr>
                                <w:rFonts w:ascii="VIC" w:hAnsi="VIC"/>
                                <w:b w:val="0"/>
                              </w:rPr>
                              <w:t xml:space="preserve"> and integrates social care as a tool to improve health.</w:t>
                            </w:r>
                          </w:p>
                        </w:txbxContent>
                      </wps:txbx>
                      <wps:bodyPr rot="0" vert="horz" wrap="square" lIns="180000" tIns="180000" rIns="144000" bIns="3600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214D583" id="_x0000_s1029" type="#_x0000_t202" style="width:493.2pt;height:7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" fillcolor="#edf5f7" strokecolor="#edf5f7" strokeweight=".5pt">
                <v:textbox style="mso-fit-shape-to-text:t" inset="5mm,5mm,4mm,1mm">
                  <w:txbxContent>
                    <w:p w:rsidR="00F610AA" w:rsidRPr="00F777E1" w:rsidRDefault="00F610AA" w:rsidP="00F610AA">
                      <w:pPr>
                        <w:pStyle w:val="PulloutHeading"/>
                        <w:rPr>
                          <w:rFonts w:ascii="VIC SemiBold" w:hAnsi="VIC SemiBold"/>
                          <w:b w:val="0"/>
                        </w:rPr>
                      </w:pPr>
                      <w:r w:rsidRPr="00F777E1">
                        <w:rPr>
                          <w:rFonts w:ascii="VIC SemiBold" w:hAnsi="VIC SemiBold"/>
                          <w:b w:val="0"/>
                        </w:rPr>
                        <w:t>Council recommendation 3</w:t>
                      </w:r>
                    </w:p>
                    <w:p w:rsidR="00F610AA" w:rsidRPr="00F610AA" w:rsidRDefault="00F610AA" w:rsidP="00F610AA">
                      <w:pPr>
                        <w:pStyle w:val="PulloutHeading"/>
                        <w:rPr>
                          <w:rFonts w:ascii="VIC" w:hAnsi="VIC"/>
                          <w:b w:val="0"/>
                        </w:rPr>
                      </w:pPr>
                      <w:r w:rsidRPr="00F610AA">
                        <w:rPr>
                          <w:rFonts w:ascii="VIC" w:hAnsi="VIC"/>
                          <w:b w:val="0"/>
                        </w:rPr>
                        <w:t>The council recommends developing</w:t>
                      </w:r>
                      <w:r w:rsidR="00B62B9C">
                        <w:rPr>
                          <w:rFonts w:ascii="VIC" w:hAnsi="VIC"/>
                          <w:b w:val="0"/>
                        </w:rPr>
                        <w:t xml:space="preserve"> a strategy that covers the full range</w:t>
                      </w:r>
                      <w:r w:rsidRPr="00F610AA">
                        <w:rPr>
                          <w:rFonts w:ascii="VIC" w:hAnsi="VIC"/>
                          <w:b w:val="0"/>
                        </w:rPr>
                        <w:t xml:space="preserve"> of </w:t>
                      </w:r>
                      <w:r w:rsidR="00281D2B" w:rsidRPr="00F610AA">
                        <w:rPr>
                          <w:rFonts w:ascii="VIC" w:hAnsi="VIC"/>
                          <w:b w:val="0"/>
                        </w:rPr>
                        <w:t>Victoria</w:t>
                      </w:r>
                      <w:r w:rsidR="00281D2B">
                        <w:rPr>
                          <w:rFonts w:ascii="VIC" w:hAnsi="VIC"/>
                          <w:b w:val="0"/>
                        </w:rPr>
                        <w:t>’s</w:t>
                      </w:r>
                      <w:r w:rsidR="00281D2B" w:rsidRPr="00F610AA">
                        <w:rPr>
                          <w:rFonts w:ascii="VIC" w:hAnsi="VIC"/>
                          <w:b w:val="0"/>
                        </w:rPr>
                        <w:t xml:space="preserve"> </w:t>
                      </w:r>
                      <w:r w:rsidRPr="00F610AA">
                        <w:rPr>
                          <w:rFonts w:ascii="VIC" w:hAnsi="VIC"/>
                          <w:b w:val="0"/>
                        </w:rPr>
                        <w:t>health system</w:t>
                      </w:r>
                      <w:r w:rsidR="00250341">
                        <w:rPr>
                          <w:rFonts w:ascii="VIC" w:hAnsi="VIC"/>
                          <w:b w:val="0"/>
                        </w:rPr>
                        <w:t xml:space="preserve"> and integrates social care as a tool to improve health.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A07309" w:rsidRPr="00F777E1" w:rsidRDefault="00B62B9C" w:rsidP="00F610AA">
      <w:pPr>
        <w:pStyle w:val="Heading3"/>
        <w:rPr>
          <w:rFonts w:ascii="VIC SemiBold" w:hAnsi="VIC SemiBold" w:cstheme="minorHAnsi"/>
          <w:b w:val="0"/>
          <w:caps/>
          <w:color w:val="004EA8"/>
          <w:szCs w:val="26"/>
        </w:rPr>
      </w:pPr>
      <w:bookmarkStart w:id="0" w:name="_GoBack"/>
      <w:bookmarkEnd w:id="0"/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 xml:space="preserve">Accurate and </w:t>
      </w:r>
      <w:r w:rsidR="00EA391F" w:rsidRPr="00F777E1">
        <w:rPr>
          <w:rFonts w:ascii="VIC SemiBold" w:hAnsi="VIC SemiBold" w:cstheme="minorHAnsi"/>
          <w:b w:val="0"/>
          <w:caps/>
          <w:color w:val="004EA8"/>
          <w:szCs w:val="26"/>
        </w:rPr>
        <w:t>S</w:t>
      </w:r>
      <w:r w:rsidR="00CC6B4E" w:rsidRPr="00F777E1">
        <w:rPr>
          <w:rFonts w:ascii="VIC SemiBold" w:hAnsi="VIC SemiBold" w:cstheme="minorHAnsi"/>
          <w:b w:val="0"/>
          <w:caps/>
          <w:color w:val="004EA8"/>
          <w:szCs w:val="26"/>
        </w:rPr>
        <w:t>ystematic measurement of outcomes</w:t>
      </w:r>
    </w:p>
    <w:p w:rsidR="00095DDF" w:rsidRPr="00661B49" w:rsidRDefault="00D81159" w:rsidP="00D015B1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>Value</w:t>
      </w:r>
      <w:r w:rsidR="00281D2B">
        <w:rPr>
          <w:rFonts w:ascii="VIC" w:hAnsi="VIC" w:cstheme="minorHAnsi"/>
          <w:szCs w:val="22"/>
        </w:rPr>
        <w:t>-</w:t>
      </w:r>
      <w:r w:rsidRPr="00661B49">
        <w:rPr>
          <w:rFonts w:ascii="VIC" w:hAnsi="VIC" w:cstheme="minorHAnsi"/>
          <w:szCs w:val="22"/>
        </w:rPr>
        <w:t>based healthcare involves a</w:t>
      </w:r>
      <w:r w:rsidR="00B62B9C" w:rsidRPr="00661B49">
        <w:rPr>
          <w:rFonts w:ascii="VIC" w:hAnsi="VIC" w:cstheme="minorHAnsi"/>
          <w:szCs w:val="22"/>
        </w:rPr>
        <w:t>n</w:t>
      </w:r>
      <w:r w:rsidRPr="00661B49">
        <w:rPr>
          <w:rFonts w:ascii="VIC" w:hAnsi="VIC" w:cstheme="minorHAnsi"/>
          <w:szCs w:val="22"/>
        </w:rPr>
        <w:t xml:space="preserve"> </w:t>
      </w:r>
      <w:r w:rsidR="00B62B9C" w:rsidRPr="00661B49">
        <w:rPr>
          <w:rFonts w:ascii="VIC" w:hAnsi="VIC" w:cstheme="minorHAnsi"/>
          <w:szCs w:val="22"/>
        </w:rPr>
        <w:t>accurate and systematic</w:t>
      </w:r>
      <w:r w:rsidRPr="00661B49">
        <w:rPr>
          <w:rFonts w:ascii="VIC" w:hAnsi="VIC" w:cstheme="minorHAnsi"/>
          <w:szCs w:val="22"/>
        </w:rPr>
        <w:t xml:space="preserve"> data-driven focus on delivering better health outcomes </w:t>
      </w:r>
      <w:r w:rsidR="00DB4A82" w:rsidRPr="00661B49">
        <w:rPr>
          <w:rFonts w:ascii="VIC" w:hAnsi="VIC" w:cstheme="minorHAnsi"/>
          <w:szCs w:val="22"/>
        </w:rPr>
        <w:t>relative</w:t>
      </w:r>
      <w:r w:rsidRPr="00661B49">
        <w:rPr>
          <w:rFonts w:ascii="VIC" w:hAnsi="VIC" w:cstheme="minorHAnsi"/>
          <w:szCs w:val="22"/>
        </w:rPr>
        <w:t xml:space="preserve"> to the available resources. </w:t>
      </w:r>
      <w:r w:rsidR="00095DDF" w:rsidRPr="00661B49">
        <w:rPr>
          <w:rFonts w:ascii="VIC" w:hAnsi="VIC" w:cstheme="minorHAnsi"/>
          <w:szCs w:val="22"/>
        </w:rPr>
        <w:t>C</w:t>
      </w:r>
      <w:r w:rsidR="00275394" w:rsidRPr="00661B49">
        <w:rPr>
          <w:rFonts w:ascii="VIC" w:hAnsi="VIC" w:cstheme="minorHAnsi"/>
          <w:szCs w:val="22"/>
        </w:rPr>
        <w:t>ouncil</w:t>
      </w:r>
      <w:r w:rsidR="00B62B9C" w:rsidRPr="00661B49">
        <w:rPr>
          <w:rFonts w:ascii="VIC" w:hAnsi="VIC" w:cstheme="minorHAnsi"/>
          <w:szCs w:val="22"/>
        </w:rPr>
        <w:t xml:space="preserve"> members recognise</w:t>
      </w:r>
      <w:r w:rsidR="00275394" w:rsidRPr="00661B49">
        <w:rPr>
          <w:rFonts w:ascii="VIC" w:hAnsi="VIC" w:cstheme="minorHAnsi"/>
          <w:szCs w:val="22"/>
        </w:rPr>
        <w:t xml:space="preserve"> the importance of the</w:t>
      </w:r>
      <w:r w:rsidR="001B5538" w:rsidRPr="00661B49">
        <w:rPr>
          <w:rFonts w:ascii="VIC" w:hAnsi="VIC" w:cstheme="minorHAnsi"/>
          <w:szCs w:val="22"/>
        </w:rPr>
        <w:t xml:space="preserve"> accurate and</w:t>
      </w:r>
      <w:r w:rsidR="00275394" w:rsidRPr="00661B49">
        <w:rPr>
          <w:rFonts w:ascii="VIC" w:hAnsi="VIC" w:cstheme="minorHAnsi"/>
          <w:szCs w:val="22"/>
        </w:rPr>
        <w:t xml:space="preserve"> systematic measurement of outcomes that </w:t>
      </w:r>
      <w:r w:rsidR="00BC0722" w:rsidRPr="00661B49">
        <w:rPr>
          <w:rFonts w:ascii="VIC" w:hAnsi="VIC" w:cstheme="minorHAnsi"/>
          <w:szCs w:val="22"/>
        </w:rPr>
        <w:t xml:space="preserve">matter </w:t>
      </w:r>
      <w:r w:rsidR="00275394" w:rsidRPr="00661B49">
        <w:rPr>
          <w:rFonts w:ascii="VIC" w:hAnsi="VIC" w:cstheme="minorHAnsi"/>
          <w:szCs w:val="22"/>
        </w:rPr>
        <w:t xml:space="preserve">to </w:t>
      </w:r>
      <w:r w:rsidR="00250341" w:rsidRPr="00661B49">
        <w:rPr>
          <w:rFonts w:ascii="VIC" w:hAnsi="VIC" w:cstheme="minorHAnsi"/>
          <w:szCs w:val="22"/>
        </w:rPr>
        <w:t>patients</w:t>
      </w:r>
      <w:r w:rsidR="00275394" w:rsidRPr="00661B49">
        <w:rPr>
          <w:rFonts w:ascii="VIC" w:hAnsi="VIC" w:cstheme="minorHAnsi"/>
          <w:szCs w:val="22"/>
        </w:rPr>
        <w:t xml:space="preserve"> and </w:t>
      </w:r>
      <w:r w:rsidR="001B5538" w:rsidRPr="00661B49">
        <w:rPr>
          <w:rFonts w:ascii="VIC" w:hAnsi="VIC" w:cstheme="minorHAnsi"/>
          <w:szCs w:val="22"/>
        </w:rPr>
        <w:t xml:space="preserve">that </w:t>
      </w:r>
      <w:r w:rsidR="00BC0722" w:rsidRPr="00661B49">
        <w:rPr>
          <w:rFonts w:ascii="VIC" w:hAnsi="VIC" w:cstheme="minorHAnsi"/>
          <w:szCs w:val="22"/>
        </w:rPr>
        <w:t xml:space="preserve">are </w:t>
      </w:r>
      <w:r w:rsidR="00275394" w:rsidRPr="00661B49">
        <w:rPr>
          <w:rFonts w:ascii="VIC" w:hAnsi="VIC" w:cstheme="minorHAnsi"/>
          <w:szCs w:val="22"/>
        </w:rPr>
        <w:t>clinically relevant.</w:t>
      </w:r>
      <w:r w:rsidR="003B4DD0" w:rsidRPr="00661B49">
        <w:rPr>
          <w:rFonts w:ascii="VIC" w:hAnsi="VIC" w:cstheme="minorHAnsi"/>
          <w:szCs w:val="22"/>
        </w:rPr>
        <w:t xml:space="preserve"> The </w:t>
      </w:r>
      <w:r w:rsidR="00391BFC" w:rsidRPr="00661B49">
        <w:rPr>
          <w:rFonts w:ascii="VIC" w:hAnsi="VIC" w:cstheme="minorHAnsi"/>
          <w:szCs w:val="22"/>
        </w:rPr>
        <w:t>department, Safer Care Victoria</w:t>
      </w:r>
      <w:r w:rsidR="003B4DD0" w:rsidRPr="00661B49">
        <w:rPr>
          <w:rFonts w:ascii="VIC" w:hAnsi="VIC" w:cstheme="minorHAnsi"/>
          <w:szCs w:val="22"/>
        </w:rPr>
        <w:t xml:space="preserve"> and the Victorian Agency for Health Information </w:t>
      </w:r>
      <w:r w:rsidR="00BC0722" w:rsidRPr="00661B49">
        <w:rPr>
          <w:rFonts w:ascii="VIC" w:hAnsi="VIC" w:cstheme="minorHAnsi"/>
          <w:szCs w:val="22"/>
        </w:rPr>
        <w:t>(VAHI)</w:t>
      </w:r>
      <w:r w:rsidRPr="00661B49">
        <w:rPr>
          <w:rFonts w:ascii="VIC" w:hAnsi="VIC" w:cstheme="minorHAnsi"/>
          <w:szCs w:val="22"/>
        </w:rPr>
        <w:t xml:space="preserve"> will need to</w:t>
      </w:r>
      <w:r w:rsidR="00BC0722" w:rsidRPr="00661B49">
        <w:rPr>
          <w:rFonts w:ascii="VIC" w:hAnsi="VIC" w:cstheme="minorHAnsi"/>
          <w:szCs w:val="22"/>
        </w:rPr>
        <w:t xml:space="preserve"> </w:t>
      </w:r>
      <w:r w:rsidR="003B4DD0" w:rsidRPr="00661B49">
        <w:rPr>
          <w:rFonts w:ascii="VIC" w:hAnsi="VIC" w:cstheme="minorHAnsi"/>
          <w:szCs w:val="22"/>
        </w:rPr>
        <w:t xml:space="preserve">work collaboratively to ensure outcomes are </w:t>
      </w:r>
      <w:r w:rsidR="00250341" w:rsidRPr="00661B49">
        <w:rPr>
          <w:rFonts w:ascii="VIC" w:hAnsi="VIC" w:cstheme="minorHAnsi"/>
          <w:szCs w:val="22"/>
        </w:rPr>
        <w:t>patient</w:t>
      </w:r>
      <w:r w:rsidR="003B4DD0" w:rsidRPr="00661B49">
        <w:rPr>
          <w:rFonts w:ascii="VIC" w:hAnsi="VIC" w:cstheme="minorHAnsi"/>
          <w:szCs w:val="22"/>
        </w:rPr>
        <w:t xml:space="preserve"> focused, clinica</w:t>
      </w:r>
      <w:r w:rsidR="00B62B9C" w:rsidRPr="00661B49">
        <w:rPr>
          <w:rFonts w:ascii="VIC" w:hAnsi="VIC" w:cstheme="minorHAnsi"/>
          <w:szCs w:val="22"/>
        </w:rPr>
        <w:t>lly relevant, and cover the range</w:t>
      </w:r>
      <w:r w:rsidR="003B4DD0" w:rsidRPr="00661B49">
        <w:rPr>
          <w:rFonts w:ascii="VIC" w:hAnsi="VIC" w:cstheme="minorHAnsi"/>
          <w:szCs w:val="22"/>
        </w:rPr>
        <w:t xml:space="preserve"> of the health</w:t>
      </w:r>
      <w:r w:rsidR="001B5538" w:rsidRPr="00661B49">
        <w:rPr>
          <w:rFonts w:ascii="VIC" w:hAnsi="VIC" w:cstheme="minorHAnsi"/>
          <w:szCs w:val="22"/>
        </w:rPr>
        <w:t>care</w:t>
      </w:r>
      <w:r w:rsidR="003B4DD0" w:rsidRPr="00661B49">
        <w:rPr>
          <w:rFonts w:ascii="VIC" w:hAnsi="VIC" w:cstheme="minorHAnsi"/>
          <w:szCs w:val="22"/>
        </w:rPr>
        <w:t xml:space="preserve"> sector.</w:t>
      </w:r>
      <w:r w:rsidR="00095DDF" w:rsidRPr="00661B49">
        <w:rPr>
          <w:rFonts w:ascii="VIC" w:hAnsi="VIC" w:cstheme="minorHAnsi"/>
          <w:szCs w:val="22"/>
        </w:rPr>
        <w:t xml:space="preserve"> </w:t>
      </w:r>
      <w:r w:rsidR="003B4DD0" w:rsidRPr="00661B49">
        <w:rPr>
          <w:rFonts w:ascii="VIC" w:hAnsi="VIC" w:cstheme="minorHAnsi"/>
          <w:szCs w:val="22"/>
        </w:rPr>
        <w:t>To achieve this t</w:t>
      </w:r>
      <w:r w:rsidR="00095DDF" w:rsidRPr="00661B49">
        <w:rPr>
          <w:rFonts w:ascii="VIC" w:hAnsi="VIC" w:cstheme="minorHAnsi"/>
          <w:szCs w:val="22"/>
        </w:rPr>
        <w:t xml:space="preserve">he council </w:t>
      </w:r>
      <w:r w:rsidR="003B4DD0" w:rsidRPr="00661B49">
        <w:rPr>
          <w:rFonts w:ascii="VIC" w:hAnsi="VIC" w:cstheme="minorHAnsi"/>
          <w:szCs w:val="22"/>
        </w:rPr>
        <w:t>supports</w:t>
      </w:r>
      <w:r w:rsidR="00095DDF" w:rsidRPr="00661B49">
        <w:rPr>
          <w:rFonts w:ascii="VIC" w:hAnsi="VIC" w:cstheme="minorHAnsi"/>
          <w:szCs w:val="22"/>
        </w:rPr>
        <w:t>:</w:t>
      </w:r>
    </w:p>
    <w:p w:rsidR="00095DDF" w:rsidRPr="00661B49" w:rsidRDefault="00181D43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leveraging</w:t>
      </w:r>
      <w:r w:rsidR="00095DDF" w:rsidRPr="00661B49">
        <w:rPr>
          <w:rFonts w:ascii="VIC" w:hAnsi="VIC"/>
        </w:rPr>
        <w:t xml:space="preserve"> </w:t>
      </w:r>
      <w:r w:rsidR="00275394" w:rsidRPr="00661B49">
        <w:rPr>
          <w:rFonts w:ascii="VIC" w:hAnsi="VIC"/>
        </w:rPr>
        <w:t>existing clinical registries</w:t>
      </w:r>
      <w:r w:rsidR="00B73ED4" w:rsidRPr="00661B49">
        <w:rPr>
          <w:rFonts w:ascii="VIC" w:hAnsi="VIC"/>
        </w:rPr>
        <w:t xml:space="preserve"> (specifically</w:t>
      </w:r>
      <w:r w:rsidR="00E5763A" w:rsidRPr="00661B49">
        <w:rPr>
          <w:rFonts w:ascii="VIC" w:hAnsi="VIC"/>
        </w:rPr>
        <w:t xml:space="preserve"> stroke,</w:t>
      </w:r>
      <w:r w:rsidR="00B73ED4" w:rsidRPr="00661B49">
        <w:rPr>
          <w:rFonts w:ascii="VIC" w:hAnsi="VIC"/>
        </w:rPr>
        <w:t xml:space="preserve"> </w:t>
      </w:r>
      <w:r w:rsidR="002941D2" w:rsidRPr="00661B49">
        <w:rPr>
          <w:rFonts w:ascii="VIC" w:hAnsi="VIC"/>
        </w:rPr>
        <w:t>cancer and</w:t>
      </w:r>
      <w:r w:rsidR="001B5538" w:rsidRPr="00661B49">
        <w:rPr>
          <w:rFonts w:ascii="VIC" w:hAnsi="VIC"/>
        </w:rPr>
        <w:t xml:space="preserve"> </w:t>
      </w:r>
      <w:r w:rsidR="00E5763A" w:rsidRPr="00661B49">
        <w:rPr>
          <w:rFonts w:ascii="VIC" w:hAnsi="VIC"/>
        </w:rPr>
        <w:t>heart failure</w:t>
      </w:r>
      <w:r w:rsidR="00B73ED4" w:rsidRPr="00661B49">
        <w:rPr>
          <w:rFonts w:ascii="VIC" w:hAnsi="VIC"/>
        </w:rPr>
        <w:t>)</w:t>
      </w:r>
      <w:r w:rsidR="00275394" w:rsidRPr="00661B49">
        <w:rPr>
          <w:rFonts w:ascii="VIC" w:hAnsi="VIC"/>
        </w:rPr>
        <w:t xml:space="preserve"> and patient reported outcome and experience measures</w:t>
      </w:r>
      <w:r w:rsidRPr="00661B49">
        <w:rPr>
          <w:rFonts w:ascii="VIC" w:hAnsi="VIC"/>
        </w:rPr>
        <w:t xml:space="preserve"> that</w:t>
      </w:r>
      <w:r w:rsidR="00275394" w:rsidRPr="00661B49">
        <w:rPr>
          <w:rFonts w:ascii="VIC" w:hAnsi="VIC"/>
        </w:rPr>
        <w:t xml:space="preserve"> are useful and clearly defined</w:t>
      </w:r>
    </w:p>
    <w:p w:rsidR="00095DDF" w:rsidRPr="00661B49" w:rsidRDefault="00095DDF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further development of outcome measures that broaden the focus area across the health </w:t>
      </w:r>
      <w:r w:rsidR="00EF6512" w:rsidRPr="00661B49">
        <w:rPr>
          <w:rFonts w:ascii="VIC" w:hAnsi="VIC"/>
        </w:rPr>
        <w:t>and social</w:t>
      </w:r>
      <w:r w:rsidR="00E06928" w:rsidRPr="00661B49">
        <w:rPr>
          <w:rFonts w:ascii="VIC" w:hAnsi="VIC"/>
        </w:rPr>
        <w:t xml:space="preserve"> </w:t>
      </w:r>
      <w:r w:rsidRPr="00661B49">
        <w:rPr>
          <w:rFonts w:ascii="VIC" w:hAnsi="VIC"/>
        </w:rPr>
        <w:t>sector</w:t>
      </w:r>
    </w:p>
    <w:p w:rsidR="00012B46" w:rsidRPr="00661B49" w:rsidRDefault="00095DDF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availability of real time data </w:t>
      </w:r>
      <w:r w:rsidR="00181D43" w:rsidRPr="00661B49">
        <w:rPr>
          <w:rFonts w:ascii="VIC" w:hAnsi="VIC"/>
        </w:rPr>
        <w:t>to</w:t>
      </w:r>
      <w:r w:rsidR="00275394" w:rsidRPr="00661B49">
        <w:rPr>
          <w:rFonts w:ascii="VIC" w:hAnsi="VIC"/>
        </w:rPr>
        <w:t xml:space="preserve"> </w:t>
      </w:r>
      <w:r w:rsidR="00012B46" w:rsidRPr="00661B49">
        <w:rPr>
          <w:rFonts w:ascii="VIC" w:hAnsi="VIC"/>
        </w:rPr>
        <w:t>facilitate innovation</w:t>
      </w:r>
      <w:r w:rsidR="00275394" w:rsidRPr="00661B49">
        <w:rPr>
          <w:rFonts w:ascii="VIC" w:hAnsi="VIC"/>
        </w:rPr>
        <w:t xml:space="preserve"> within the sector by supporting </w:t>
      </w:r>
      <w:r w:rsidR="00012B46" w:rsidRPr="00661B49">
        <w:rPr>
          <w:rFonts w:ascii="VIC" w:hAnsi="VIC"/>
        </w:rPr>
        <w:t xml:space="preserve">rapid </w:t>
      </w:r>
      <w:r w:rsidR="008302D5" w:rsidRPr="00661B49">
        <w:rPr>
          <w:rFonts w:ascii="VIC" w:hAnsi="VIC"/>
        </w:rPr>
        <w:t>cycle testing and learning</w:t>
      </w:r>
    </w:p>
    <w:p w:rsidR="00DF7D00" w:rsidRPr="00661B49" w:rsidRDefault="003B4DD0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>u</w:t>
      </w:r>
      <w:r w:rsidR="00DF7D00" w:rsidRPr="00661B49">
        <w:rPr>
          <w:rFonts w:ascii="VIC" w:hAnsi="VIC"/>
        </w:rPr>
        <w:t>se of outcomes to address unwarranted healthcare variation</w:t>
      </w:r>
      <w:r w:rsidRPr="00661B49">
        <w:rPr>
          <w:rFonts w:ascii="VIC" w:hAnsi="VIC"/>
        </w:rPr>
        <w:t>.</w:t>
      </w:r>
    </w:p>
    <w:p w:rsidR="00F610AA" w:rsidRPr="00F610AA" w:rsidRDefault="00F610AA" w:rsidP="00102A98">
      <w:pPr>
        <w:spacing w:before="0" w:after="0" w:line="240" w:lineRule="auto"/>
        <w:textAlignment w:val="center"/>
        <w:rPr>
          <w:rFonts w:ascii="VIC" w:eastAsia="Times New Roman" w:hAnsi="VIC" w:cstheme="minorHAnsi"/>
          <w:b/>
          <w:sz w:val="22"/>
          <w:szCs w:val="22"/>
        </w:rPr>
      </w:pPr>
      <w:r w:rsidRPr="00CA4E7D">
        <w:rPr>
          <w:rFonts w:ascii="VIC" w:hAnsi="VIC"/>
          <w:noProof/>
        </w:rPr>
        <mc:AlternateContent>
          <mc:Choice Requires="wps">
            <w:drawing>
              <wp:inline distT="0" distB="0" distL="0" distR="0" wp14:anchorId="7890EA69" wp14:editId="6A7DC610">
                <wp:extent cx="6263640" cy="904875"/>
                <wp:effectExtent l="0" t="0" r="22860" b="28575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3640" cy="904875"/>
                        </a:xfrm>
                        <a:prstGeom prst="rect">
                          <a:avLst/>
                        </a:prstGeom>
                        <a:solidFill>
                          <a:srgbClr val="EDF5F7"/>
                        </a:solidFill>
                        <a:ln w="6350">
                          <a:solidFill>
                            <a:srgbClr val="EDF5F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610AA" w:rsidRPr="00F777E1" w:rsidRDefault="00F610AA" w:rsidP="00F610AA">
                            <w:pPr>
                              <w:pStyle w:val="PulloutHeading"/>
                              <w:rPr>
                                <w:rFonts w:ascii="VIC SemiBold" w:hAnsi="VIC SemiBold"/>
                                <w:b w:val="0"/>
                              </w:rPr>
                            </w:pPr>
                            <w:r w:rsidRPr="00F777E1">
                              <w:rPr>
                                <w:rFonts w:ascii="VIC SemiBold" w:hAnsi="VIC SemiBold"/>
                                <w:b w:val="0"/>
                              </w:rPr>
                              <w:t>Council recommendation 4</w:t>
                            </w:r>
                          </w:p>
                          <w:p w:rsidR="00F610AA" w:rsidRPr="00F610AA" w:rsidRDefault="00F610AA" w:rsidP="00F610AA">
                            <w:pPr>
                              <w:pStyle w:val="PulloutHeading"/>
                              <w:rPr>
                                <w:rFonts w:ascii="VIC" w:hAnsi="VIC"/>
                                <w:b w:val="0"/>
                              </w:rPr>
                            </w:pP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 xml:space="preserve">The council recommends </w:t>
                            </w:r>
                            <w:r w:rsidR="00317AE4">
                              <w:rPr>
                                <w:rFonts w:ascii="VIC" w:hAnsi="VIC"/>
                                <w:b w:val="0"/>
                              </w:rPr>
                              <w:t>a</w:t>
                            </w: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 xml:space="preserve"> focus on the</w:t>
                            </w:r>
                            <w:r w:rsidR="001B5538">
                              <w:rPr>
                                <w:rFonts w:ascii="VIC" w:hAnsi="VIC"/>
                                <w:b w:val="0"/>
                              </w:rPr>
                              <w:t xml:space="preserve"> accurate and</w:t>
                            </w: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 xml:space="preserve"> systematic</w:t>
                            </w:r>
                            <w:r w:rsidR="002941D2">
                              <w:rPr>
                                <w:rFonts w:ascii="VIC" w:hAnsi="VIC"/>
                                <w:b w:val="0"/>
                              </w:rPr>
                              <w:t xml:space="preserve"> </w:t>
                            </w: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>measurement of outcomes</w:t>
                            </w:r>
                            <w:r w:rsidR="001A245F">
                              <w:rPr>
                                <w:rFonts w:ascii="VIC" w:hAnsi="VIC"/>
                                <w:b w:val="0"/>
                              </w:rPr>
                              <w:t xml:space="preserve"> that matter to </w:t>
                            </w:r>
                            <w:r w:rsidR="00250341">
                              <w:rPr>
                                <w:rFonts w:ascii="VIC" w:hAnsi="VIC"/>
                                <w:b w:val="0"/>
                              </w:rPr>
                              <w:t>patients</w:t>
                            </w:r>
                            <w:r w:rsidR="00B62B9C">
                              <w:rPr>
                                <w:rFonts w:ascii="VIC" w:hAnsi="VIC"/>
                                <w:b w:val="0"/>
                              </w:rPr>
                              <w:t xml:space="preserve"> and </w:t>
                            </w:r>
                            <w:r w:rsidR="001B5538">
                              <w:rPr>
                                <w:rFonts w:ascii="VIC" w:hAnsi="VIC"/>
                                <w:b w:val="0"/>
                              </w:rPr>
                              <w:t xml:space="preserve">that </w:t>
                            </w:r>
                            <w:r w:rsidR="00B62B9C">
                              <w:rPr>
                                <w:rFonts w:ascii="VIC" w:hAnsi="VIC"/>
                                <w:b w:val="0"/>
                              </w:rPr>
                              <w:t>are clinically relevant</w:t>
                            </w:r>
                            <w:r w:rsidRPr="00F610AA">
                              <w:rPr>
                                <w:rFonts w:ascii="VIC" w:hAnsi="VIC"/>
                                <w:b w:val="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180000" tIns="180000" rIns="144000" bIns="3600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890EA69" id="_x0000_s1030" type="#_x0000_t202" style="width:493.2pt;height:7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" fillcolor="#edf5f7" strokecolor="#edf5f7" strokeweight=".5pt">
                <v:textbox style="mso-fit-shape-to-text:t" inset="5mm,5mm,4mm,1mm">
                  <w:txbxContent>
                    <w:p w:rsidR="00F610AA" w:rsidRPr="00F777E1" w:rsidRDefault="00F610AA" w:rsidP="00F610AA">
                      <w:pPr>
                        <w:pStyle w:val="PulloutHeading"/>
                        <w:rPr>
                          <w:rFonts w:ascii="VIC SemiBold" w:hAnsi="VIC SemiBold"/>
                          <w:b w:val="0"/>
                        </w:rPr>
                      </w:pPr>
                      <w:r w:rsidRPr="00F777E1">
                        <w:rPr>
                          <w:rFonts w:ascii="VIC SemiBold" w:hAnsi="VIC SemiBold"/>
                          <w:b w:val="0"/>
                        </w:rPr>
                        <w:t>Council recommendation 4</w:t>
                      </w:r>
                    </w:p>
                    <w:p w:rsidR="00F610AA" w:rsidRPr="00F610AA" w:rsidRDefault="00F610AA" w:rsidP="00F610AA">
                      <w:pPr>
                        <w:pStyle w:val="PulloutHeading"/>
                        <w:rPr>
                          <w:rFonts w:ascii="VIC" w:hAnsi="VIC"/>
                          <w:b w:val="0"/>
                        </w:rPr>
                      </w:pPr>
                      <w:r w:rsidRPr="00F610AA">
                        <w:rPr>
                          <w:rFonts w:ascii="VIC" w:hAnsi="VIC"/>
                          <w:b w:val="0"/>
                        </w:rPr>
                        <w:t xml:space="preserve">The council recommends </w:t>
                      </w:r>
                      <w:r w:rsidR="00317AE4">
                        <w:rPr>
                          <w:rFonts w:ascii="VIC" w:hAnsi="VIC"/>
                          <w:b w:val="0"/>
                        </w:rPr>
                        <w:t>a</w:t>
                      </w:r>
                      <w:r w:rsidRPr="00F610AA">
                        <w:rPr>
                          <w:rFonts w:ascii="VIC" w:hAnsi="VIC"/>
                          <w:b w:val="0"/>
                        </w:rPr>
                        <w:t xml:space="preserve"> focus on the</w:t>
                      </w:r>
                      <w:r w:rsidR="001B5538">
                        <w:rPr>
                          <w:rFonts w:ascii="VIC" w:hAnsi="VIC"/>
                          <w:b w:val="0"/>
                        </w:rPr>
                        <w:t xml:space="preserve"> accurate and</w:t>
                      </w:r>
                      <w:r w:rsidRPr="00F610AA">
                        <w:rPr>
                          <w:rFonts w:ascii="VIC" w:hAnsi="VIC"/>
                          <w:b w:val="0"/>
                        </w:rPr>
                        <w:t xml:space="preserve"> systematic</w:t>
                      </w:r>
                      <w:r w:rsidR="002941D2">
                        <w:rPr>
                          <w:rFonts w:ascii="VIC" w:hAnsi="VIC"/>
                          <w:b w:val="0"/>
                        </w:rPr>
                        <w:t xml:space="preserve"> </w:t>
                      </w:r>
                      <w:r w:rsidRPr="00F610AA">
                        <w:rPr>
                          <w:rFonts w:ascii="VIC" w:hAnsi="VIC"/>
                          <w:b w:val="0"/>
                        </w:rPr>
                        <w:t>measurement of outcomes</w:t>
                      </w:r>
                      <w:r w:rsidR="001A245F">
                        <w:rPr>
                          <w:rFonts w:ascii="VIC" w:hAnsi="VIC"/>
                          <w:b w:val="0"/>
                        </w:rPr>
                        <w:t xml:space="preserve"> that matter to </w:t>
                      </w:r>
                      <w:r w:rsidR="00250341">
                        <w:rPr>
                          <w:rFonts w:ascii="VIC" w:hAnsi="VIC"/>
                          <w:b w:val="0"/>
                        </w:rPr>
                        <w:t>patients</w:t>
                      </w:r>
                      <w:r w:rsidR="00B62B9C">
                        <w:rPr>
                          <w:rFonts w:ascii="VIC" w:hAnsi="VIC"/>
                          <w:b w:val="0"/>
                        </w:rPr>
                        <w:t xml:space="preserve"> and </w:t>
                      </w:r>
                      <w:r w:rsidR="001B5538">
                        <w:rPr>
                          <w:rFonts w:ascii="VIC" w:hAnsi="VIC"/>
                          <w:b w:val="0"/>
                        </w:rPr>
                        <w:t xml:space="preserve">that </w:t>
                      </w:r>
                      <w:r w:rsidR="00B62B9C">
                        <w:rPr>
                          <w:rFonts w:ascii="VIC" w:hAnsi="VIC"/>
                          <w:b w:val="0"/>
                        </w:rPr>
                        <w:t>are clinically relevant</w:t>
                      </w:r>
                      <w:r w:rsidRPr="00F610AA">
                        <w:rPr>
                          <w:rFonts w:ascii="VIC" w:hAnsi="VIC"/>
                          <w:b w:val="0"/>
                        </w:rPr>
                        <w:t>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D81159" w:rsidRPr="00F777E1" w:rsidRDefault="00D81159" w:rsidP="00D81159">
      <w:pPr>
        <w:pStyle w:val="Heading3"/>
        <w:rPr>
          <w:rFonts w:ascii="VIC SemiBold" w:hAnsi="VIC SemiBold" w:cstheme="minorHAnsi"/>
          <w:b w:val="0"/>
          <w:caps/>
          <w:color w:val="004EA8"/>
          <w:szCs w:val="26"/>
        </w:rPr>
      </w:pPr>
      <w:r w:rsidRPr="00F777E1">
        <w:rPr>
          <w:rFonts w:ascii="VIC SemiBold" w:hAnsi="VIC SemiBold" w:cstheme="minorHAnsi"/>
          <w:b w:val="0"/>
          <w:caps/>
          <w:color w:val="004EA8"/>
          <w:szCs w:val="26"/>
        </w:rPr>
        <w:t>NEXT STEPS</w:t>
      </w:r>
    </w:p>
    <w:p w:rsidR="00D03DAB" w:rsidRPr="00661B49" w:rsidRDefault="00250341" w:rsidP="00D03DAB">
      <w:pPr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>Patients</w:t>
      </w:r>
      <w:r w:rsidR="00D03DAB" w:rsidRPr="00661B49">
        <w:rPr>
          <w:rFonts w:ascii="VIC" w:hAnsi="VIC" w:cstheme="minorHAnsi"/>
          <w:szCs w:val="22"/>
        </w:rPr>
        <w:t xml:space="preserve"> and clinicians with subject matter expertise in the clinical areas chosen for demonstration projects</w:t>
      </w:r>
      <w:r w:rsidR="002B4B53" w:rsidRPr="00661B49">
        <w:rPr>
          <w:rFonts w:ascii="VIC" w:hAnsi="VIC" w:cstheme="minorHAnsi"/>
          <w:szCs w:val="22"/>
        </w:rPr>
        <w:t xml:space="preserve"> should be engaged</w:t>
      </w:r>
      <w:r w:rsidR="00D03DAB" w:rsidRPr="00661B49">
        <w:rPr>
          <w:rFonts w:ascii="VIC" w:hAnsi="VIC" w:cstheme="minorHAnsi"/>
          <w:szCs w:val="22"/>
        </w:rPr>
        <w:t>. Working groups should be established to inform policy and implementation</w:t>
      </w:r>
      <w:r w:rsidR="002B4B53" w:rsidRPr="00661B49">
        <w:rPr>
          <w:rFonts w:ascii="VIC" w:hAnsi="VIC" w:cstheme="minorHAnsi"/>
          <w:szCs w:val="22"/>
        </w:rPr>
        <w:t xml:space="preserve"> </w:t>
      </w:r>
      <w:r w:rsidR="00D03DAB" w:rsidRPr="00661B49">
        <w:rPr>
          <w:rFonts w:ascii="VIC" w:hAnsi="VIC" w:cstheme="minorHAnsi"/>
          <w:szCs w:val="22"/>
        </w:rPr>
        <w:t xml:space="preserve">strategies. </w:t>
      </w:r>
    </w:p>
    <w:p w:rsidR="00DB4A82" w:rsidRPr="00661B49" w:rsidRDefault="00D03DAB" w:rsidP="00D03DAB">
      <w:pPr>
        <w:spacing w:line="276" w:lineRule="auto"/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>The council’s advice and recommendations will be shared with:</w:t>
      </w:r>
    </w:p>
    <w:p w:rsidR="00D03DAB" w:rsidRPr="00661B49" w:rsidRDefault="00317AE4" w:rsidP="00661B49">
      <w:pPr>
        <w:pStyle w:val="Bullet1"/>
        <w:rPr>
          <w:rFonts w:ascii="VIC" w:hAnsi="VIC"/>
        </w:rPr>
      </w:pPr>
      <w:r>
        <w:rPr>
          <w:rFonts w:ascii="VIC" w:hAnsi="VIC"/>
        </w:rPr>
        <w:t>t</w:t>
      </w:r>
      <w:r w:rsidRPr="00661B49">
        <w:rPr>
          <w:rFonts w:ascii="VIC" w:hAnsi="VIC"/>
        </w:rPr>
        <w:t xml:space="preserve">he </w:t>
      </w:r>
      <w:r>
        <w:rPr>
          <w:rFonts w:ascii="VIC" w:hAnsi="VIC"/>
        </w:rPr>
        <w:t>d</w:t>
      </w:r>
      <w:r w:rsidRPr="00661B49">
        <w:rPr>
          <w:rFonts w:ascii="VIC" w:hAnsi="VIC"/>
        </w:rPr>
        <w:t>epartment</w:t>
      </w:r>
    </w:p>
    <w:p w:rsidR="00D03DAB" w:rsidRPr="00661B49" w:rsidRDefault="00D03DAB" w:rsidP="00661B49">
      <w:pPr>
        <w:pStyle w:val="Bullet1"/>
        <w:rPr>
          <w:rFonts w:ascii="VIC" w:hAnsi="VIC"/>
        </w:rPr>
      </w:pPr>
      <w:r w:rsidRPr="00661B49">
        <w:rPr>
          <w:rFonts w:ascii="VIC" w:hAnsi="VIC"/>
        </w:rPr>
        <w:t xml:space="preserve">Safer Care Victoria </w:t>
      </w:r>
    </w:p>
    <w:p w:rsidR="00D03DAB" w:rsidRPr="00661B49" w:rsidRDefault="00317AE4" w:rsidP="00661B49">
      <w:pPr>
        <w:pStyle w:val="Bullet1"/>
        <w:rPr>
          <w:rFonts w:ascii="VIC" w:hAnsi="VIC"/>
        </w:rPr>
      </w:pPr>
      <w:r>
        <w:rPr>
          <w:rFonts w:ascii="VIC" w:hAnsi="VIC"/>
        </w:rPr>
        <w:t>t</w:t>
      </w:r>
      <w:r w:rsidRPr="00661B49">
        <w:rPr>
          <w:rFonts w:ascii="VIC" w:hAnsi="VIC"/>
        </w:rPr>
        <w:t xml:space="preserve">he </w:t>
      </w:r>
      <w:r w:rsidR="00D03DAB" w:rsidRPr="00661B49">
        <w:rPr>
          <w:rFonts w:ascii="VIC" w:hAnsi="VIC"/>
        </w:rPr>
        <w:t>Victorian Agency for Health Information</w:t>
      </w:r>
      <w:r>
        <w:rPr>
          <w:rFonts w:ascii="VIC" w:hAnsi="VIC"/>
        </w:rPr>
        <w:t>.</w:t>
      </w:r>
    </w:p>
    <w:p w:rsidR="00D81159" w:rsidRPr="00661B49" w:rsidRDefault="00D03DAB" w:rsidP="00D81159">
      <w:pPr>
        <w:rPr>
          <w:rFonts w:ascii="VIC" w:hAnsi="VIC" w:cstheme="minorHAnsi"/>
          <w:szCs w:val="22"/>
        </w:rPr>
      </w:pPr>
      <w:r w:rsidRPr="00661B49">
        <w:rPr>
          <w:rFonts w:ascii="VIC" w:hAnsi="VIC" w:cstheme="minorHAnsi"/>
          <w:szCs w:val="22"/>
        </w:rPr>
        <w:t xml:space="preserve">The agencies will need to collaborate and link with public and private health services as well as primary health networks and community services during value </w:t>
      </w:r>
      <w:r w:rsidR="001B6881">
        <w:rPr>
          <w:rFonts w:ascii="VIC" w:hAnsi="VIC" w:cstheme="minorHAnsi"/>
          <w:szCs w:val="22"/>
        </w:rPr>
        <w:t>-</w:t>
      </w:r>
      <w:r w:rsidRPr="00661B49">
        <w:rPr>
          <w:rFonts w:ascii="VIC" w:hAnsi="VIC" w:cstheme="minorHAnsi"/>
          <w:szCs w:val="22"/>
        </w:rPr>
        <w:t>based healthcare demonstration projects.</w:t>
      </w:r>
      <w:r w:rsidR="002B4B53" w:rsidRPr="00661B49">
        <w:rPr>
          <w:rFonts w:ascii="VIC" w:hAnsi="VIC" w:cstheme="minorHAnsi"/>
          <w:szCs w:val="22"/>
        </w:rPr>
        <w:t xml:space="preserve"> </w:t>
      </w:r>
      <w:r w:rsidR="00A61153" w:rsidRPr="00661B49">
        <w:rPr>
          <w:rFonts w:ascii="VIC" w:hAnsi="VIC" w:cstheme="minorHAnsi"/>
          <w:szCs w:val="22"/>
        </w:rPr>
        <w:t xml:space="preserve">Clinical networks and </w:t>
      </w:r>
      <w:r w:rsidR="00317AE4">
        <w:rPr>
          <w:rFonts w:ascii="VIC" w:hAnsi="VIC" w:cstheme="minorHAnsi"/>
          <w:szCs w:val="22"/>
        </w:rPr>
        <w:t>i</w:t>
      </w:r>
      <w:r w:rsidR="00317AE4" w:rsidRPr="00661B49">
        <w:rPr>
          <w:rFonts w:ascii="VIC" w:hAnsi="VIC" w:cstheme="minorHAnsi"/>
          <w:szCs w:val="22"/>
        </w:rPr>
        <w:t xml:space="preserve">ntegrated </w:t>
      </w:r>
      <w:r w:rsidR="00317AE4">
        <w:rPr>
          <w:rFonts w:ascii="VIC" w:hAnsi="VIC" w:cstheme="minorHAnsi"/>
          <w:szCs w:val="22"/>
        </w:rPr>
        <w:t>c</w:t>
      </w:r>
      <w:r w:rsidR="00317AE4" w:rsidRPr="00661B49">
        <w:rPr>
          <w:rFonts w:ascii="VIC" w:hAnsi="VIC" w:cstheme="minorHAnsi"/>
          <w:szCs w:val="22"/>
        </w:rPr>
        <w:t xml:space="preserve">ancer </w:t>
      </w:r>
      <w:r w:rsidR="00317AE4">
        <w:rPr>
          <w:rFonts w:ascii="VIC" w:hAnsi="VIC" w:cstheme="minorHAnsi"/>
          <w:szCs w:val="22"/>
        </w:rPr>
        <w:t>s</w:t>
      </w:r>
      <w:r w:rsidR="00317AE4" w:rsidRPr="00661B49">
        <w:rPr>
          <w:rFonts w:ascii="VIC" w:hAnsi="VIC" w:cstheme="minorHAnsi"/>
          <w:szCs w:val="22"/>
        </w:rPr>
        <w:t xml:space="preserve">ervices </w:t>
      </w:r>
      <w:r w:rsidR="002B4B53" w:rsidRPr="00661B49">
        <w:rPr>
          <w:rFonts w:ascii="VIC" w:hAnsi="VIC" w:cstheme="minorHAnsi"/>
          <w:szCs w:val="22"/>
        </w:rPr>
        <w:t>should be engaged for demonstration projects. Consideration should also be given to the involvement of private health insurers.</w:t>
      </w:r>
    </w:p>
    <w:sectPr w:rsidR="00D81159" w:rsidRPr="00661B49" w:rsidSect="00663D4D">
      <w:footerReference w:type="default" r:id="rId8"/>
      <w:headerReference w:type="first" r:id="rId9"/>
      <w:footerReference w:type="first" r:id="rId10"/>
      <w:type w:val="continuous"/>
      <w:pgSz w:w="11906" w:h="16838" w:code="9"/>
      <w:pgMar w:top="2438" w:right="1021" w:bottom="1021" w:left="1021" w:header="539" w:footer="624" w:gutter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3354" w:rsidRDefault="00703354" w:rsidP="002D711A">
      <w:pPr>
        <w:spacing w:after="0" w:line="240" w:lineRule="auto"/>
      </w:pPr>
      <w:r>
        <w:separator/>
      </w:r>
    </w:p>
  </w:endnote>
  <w:endnote w:type="continuationSeparator" w:id="0">
    <w:p w:rsidR="00703354" w:rsidRDefault="00703354" w:rsidP="002D7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charset w:val="00"/>
    <w:family w:val="swiss"/>
    <w:pitch w:val="variable"/>
    <w:sig w:usb0="00000001" w:usb1="5000205B" w:usb2="00000000" w:usb3="00000000" w:csb0="00000097" w:csb1="00000000"/>
  </w:font>
  <w:font w:name="VIC">
    <w:panose1 w:val="00000500000000000000"/>
    <w:charset w:val="00"/>
    <w:family w:val="auto"/>
    <w:pitch w:val="variable"/>
    <w:sig w:usb0="00000007" w:usb1="00000000" w:usb2="00000000" w:usb3="00000000" w:csb0="00000093" w:csb1="00000000"/>
  </w:font>
  <w:font w:name="VIC SemiBold">
    <w:panose1 w:val="00000700000000000000"/>
    <w:charset w:val="00"/>
    <w:family w:val="auto"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B92" w:rsidRPr="007E7B92" w:rsidRDefault="007E7B92" w:rsidP="007E7B92">
    <w:pPr>
      <w:pStyle w:val="Footer"/>
      <w:rPr>
        <w:rFonts w:ascii="VIC" w:hAnsi="VIC"/>
        <w:sz w:val="16"/>
        <w:szCs w:val="16"/>
      </w:rPr>
    </w:pPr>
    <w:r w:rsidRPr="007E7B92">
      <w:rPr>
        <w:rFonts w:ascii="VIC" w:hAnsi="VIC"/>
        <w:sz w:val="16"/>
        <w:szCs w:val="16"/>
      </w:rPr>
      <w:t>Victorian Clinical Council – December 2019</w:t>
    </w:r>
  </w:p>
  <w:p w:rsidR="00663D4D" w:rsidRPr="00663D4D" w:rsidRDefault="00663D4D" w:rsidP="007E7B92">
    <w:pPr>
      <w:pStyle w:val="Footer"/>
      <w:spacing w:before="120" w:after="120" w:line="280" w:lineRule="exact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7B92" w:rsidRPr="007E7B92" w:rsidRDefault="007E7B92">
    <w:pPr>
      <w:pStyle w:val="Footer"/>
      <w:rPr>
        <w:rFonts w:ascii="VIC" w:hAnsi="VIC"/>
        <w:sz w:val="16"/>
        <w:szCs w:val="16"/>
      </w:rPr>
    </w:pPr>
    <w:r w:rsidRPr="007E7B92">
      <w:rPr>
        <w:rFonts w:ascii="VIC" w:hAnsi="VIC"/>
        <w:sz w:val="16"/>
        <w:szCs w:val="16"/>
      </w:rPr>
      <w:t>Victorian Clinical Council – December 2019</w:t>
    </w:r>
  </w:p>
  <w:p w:rsidR="007E7B92" w:rsidRDefault="007E7B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3354" w:rsidRDefault="00703354" w:rsidP="00E33E08">
      <w:pPr>
        <w:spacing w:before="0" w:after="0" w:line="240" w:lineRule="auto"/>
      </w:pPr>
    </w:p>
  </w:footnote>
  <w:footnote w:type="continuationSeparator" w:id="0">
    <w:p w:rsidR="00703354" w:rsidRDefault="00703354" w:rsidP="00E33E08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05F7" w:rsidRDefault="006D6A98">
    <w:pPr>
      <w:pStyle w:val="Header"/>
    </w:pPr>
    <w:r>
      <w:rPr>
        <w:noProof/>
      </w:rPr>
      <w:drawing>
        <wp:anchor distT="0" distB="0" distL="114300" distR="114300" simplePos="0" relativeHeight="251657216" behindDoc="1" locked="0" layoutInCell="1" allowOverlap="1" wp14:anchorId="392E642C" wp14:editId="43C5C7B2">
          <wp:simplePos x="0" y="0"/>
          <wp:positionH relativeFrom="column">
            <wp:posOffset>-447675</wp:posOffset>
          </wp:positionH>
          <wp:positionV relativeFrom="paragraph">
            <wp:posOffset>-342265</wp:posOffset>
          </wp:positionV>
          <wp:extent cx="3143250" cy="1917369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CC_Colou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3250" cy="19173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855FAC"/>
    <w:multiLevelType w:val="hybridMultilevel"/>
    <w:tmpl w:val="384AED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F72EBF"/>
    <w:multiLevelType w:val="hybridMultilevel"/>
    <w:tmpl w:val="222072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3A23EC"/>
    <w:multiLevelType w:val="multilevel"/>
    <w:tmpl w:val="B9EAB5D8"/>
    <w:lvl w:ilvl="0">
      <w:start w:val="1"/>
      <w:numFmt w:val="decimal"/>
      <w:suff w:val="space"/>
      <w:lvlText w:val="Section %1.0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3" w15:restartNumberingAfterBreak="0">
    <w:nsid w:val="1B7C2D5E"/>
    <w:multiLevelType w:val="hybridMultilevel"/>
    <w:tmpl w:val="4D38E7EC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EDE73A9"/>
    <w:multiLevelType w:val="hybridMultilevel"/>
    <w:tmpl w:val="B18837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B47D0D"/>
    <w:multiLevelType w:val="hybridMultilevel"/>
    <w:tmpl w:val="E49CBA6E"/>
    <w:lvl w:ilvl="0" w:tplc="B0C27362">
      <w:numFmt w:val="bullet"/>
      <w:lvlText w:val="-"/>
      <w:lvlJc w:val="left"/>
      <w:pPr>
        <w:ind w:left="720" w:hanging="360"/>
      </w:pPr>
      <w:rPr>
        <w:rFonts w:ascii="Arial" w:eastAsiaTheme="majorEastAsia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456FFD"/>
    <w:multiLevelType w:val="multilevel"/>
    <w:tmpl w:val="47D41E60"/>
    <w:lvl w:ilvl="0">
      <w:start w:val="1"/>
      <w:numFmt w:val="bullet"/>
      <w:pStyle w:val="Tablebullet"/>
      <w:lvlText w:val=""/>
      <w:lvlJc w:val="left"/>
      <w:pPr>
        <w:ind w:left="284" w:hanging="284"/>
      </w:pPr>
      <w:rPr>
        <w:rFonts w:ascii="Symbol" w:hAnsi="Symbol" w:hint="default"/>
        <w:color w:val="4D92C0"/>
      </w:rPr>
    </w:lvl>
    <w:lvl w:ilvl="1">
      <w:start w:val="1"/>
      <w:numFmt w:val="bullet"/>
      <w:pStyle w:val="Tabledash"/>
      <w:lvlText w:val="–"/>
      <w:lvlJc w:val="left"/>
      <w:pPr>
        <w:ind w:left="568" w:hanging="284"/>
      </w:pPr>
      <w:rPr>
        <w:rFonts w:ascii="Calibri" w:hAnsi="Calibri" w:hint="default"/>
        <w:color w:val="auto"/>
      </w:rPr>
    </w:lvl>
    <w:lvl w:ilvl="2">
      <w:start w:val="1"/>
      <w:numFmt w:val="decimal"/>
      <w:pStyle w:val="Tablenum1"/>
      <w:lvlText w:val="%3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3">
      <w:start w:val="1"/>
      <w:numFmt w:val="lowerLetter"/>
      <w:pStyle w:val="Tablenum2"/>
      <w:lvlText w:val="(%4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7" w15:restartNumberingAfterBreak="0">
    <w:nsid w:val="2A857700"/>
    <w:multiLevelType w:val="hybridMultilevel"/>
    <w:tmpl w:val="30FEE6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B63174"/>
    <w:multiLevelType w:val="hybridMultilevel"/>
    <w:tmpl w:val="E1E0D9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774D52"/>
    <w:multiLevelType w:val="hybridMultilevel"/>
    <w:tmpl w:val="03AADB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B711CC"/>
    <w:multiLevelType w:val="hybridMultilevel"/>
    <w:tmpl w:val="6A42F96E"/>
    <w:lvl w:ilvl="0" w:tplc="61CA223A">
      <w:numFmt w:val="bullet"/>
      <w:lvlText w:val="-"/>
      <w:lvlJc w:val="left"/>
      <w:pPr>
        <w:ind w:left="420" w:hanging="360"/>
      </w:pPr>
      <w:rPr>
        <w:rFonts w:ascii="Arial" w:eastAsiaTheme="majorEastAsia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362E2F39"/>
    <w:multiLevelType w:val="multilevel"/>
    <w:tmpl w:val="B72CA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93615B0"/>
    <w:multiLevelType w:val="multilevel"/>
    <w:tmpl w:val="F27293EC"/>
    <w:name w:val="List num2"/>
    <w:lvl w:ilvl="0">
      <w:start w:val="1"/>
      <w:numFmt w:val="decimal"/>
      <w:pStyle w:val="Heading1numbered"/>
      <w:suff w:val="space"/>
      <w:lvlText w:val="Section %1.0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numbered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numbered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Heading4numbered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13" w15:restartNumberingAfterBreak="0">
    <w:nsid w:val="393A12AA"/>
    <w:multiLevelType w:val="multilevel"/>
    <w:tmpl w:val="AF1C315A"/>
    <w:lvl w:ilvl="0">
      <w:start w:val="1"/>
      <w:numFmt w:val="bullet"/>
      <w:pStyle w:val="Bullet1"/>
      <w:lvlText w:val=""/>
      <w:lvlJc w:val="left"/>
      <w:pPr>
        <w:ind w:left="284" w:hanging="284"/>
      </w:pPr>
      <w:rPr>
        <w:rFonts w:ascii="Wingdings 2" w:hAnsi="Wingdings 2" w:hint="default"/>
        <w:color w:val="4D92C0"/>
        <w:position w:val="2"/>
        <w:sz w:val="16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Arial Black" w:hAnsi="Arial Black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4" w15:restartNumberingAfterBreak="0">
    <w:nsid w:val="3ACB3756"/>
    <w:multiLevelType w:val="hybridMultilevel"/>
    <w:tmpl w:val="4BBCF9B0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5" w15:restartNumberingAfterBreak="0">
    <w:nsid w:val="3FD51F78"/>
    <w:multiLevelType w:val="multilevel"/>
    <w:tmpl w:val="0B3C7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0E26D8B"/>
    <w:multiLevelType w:val="hybridMultilevel"/>
    <w:tmpl w:val="3E549DAE"/>
    <w:lvl w:ilvl="0" w:tplc="E924CD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2463F66"/>
    <w:multiLevelType w:val="multilevel"/>
    <w:tmpl w:val="B72CA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3BF2BD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446D3A6A"/>
    <w:multiLevelType w:val="multilevel"/>
    <w:tmpl w:val="F58A40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i w:val="0"/>
        <w:vanish w:val="0"/>
        <w:color w:val="auto"/>
        <w:sz w:val="22"/>
      </w:rPr>
    </w:lvl>
    <w:lvl w:ilvl="2">
      <w:start w:val="1"/>
      <w:numFmt w:val="bullet"/>
      <w:lvlText w:val=""/>
      <w:lvlJc w:val="left"/>
      <w:pPr>
        <w:tabs>
          <w:tab w:val="num" w:pos="1152"/>
        </w:tabs>
        <w:ind w:left="1152" w:hanging="360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3">
      <w:start w:val="1"/>
      <w:numFmt w:val="bullet"/>
      <w:lvlText w:val="–"/>
      <w:lvlJc w:val="left"/>
      <w:pPr>
        <w:tabs>
          <w:tab w:val="num" w:pos="1512"/>
        </w:tabs>
        <w:ind w:left="1512" w:hanging="360"/>
      </w:pPr>
      <w:rPr>
        <w:rFonts w:ascii="Calibri" w:hAnsi="Calibri" w:hint="default"/>
        <w:b w:val="0"/>
        <w:i w:val="0"/>
        <w:vanish w:val="0"/>
        <w:color w:val="auto"/>
        <w:sz w:val="22"/>
      </w:rPr>
    </w:lvl>
    <w:lvl w:ilvl="4">
      <w:start w:val="1"/>
      <w:numFmt w:val="bullet"/>
      <w:lvlText w:val=""/>
      <w:lvlJc w:val="left"/>
      <w:pPr>
        <w:tabs>
          <w:tab w:val="num" w:pos="2211"/>
        </w:tabs>
        <w:ind w:left="2211" w:hanging="283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5">
      <w:start w:val="1"/>
      <w:numFmt w:val="bullet"/>
      <w:lvlText w:val=""/>
      <w:lvlJc w:val="left"/>
      <w:pPr>
        <w:tabs>
          <w:tab w:val="num" w:pos="2495"/>
        </w:tabs>
        <w:ind w:left="2495" w:hanging="284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6">
      <w:start w:val="1"/>
      <w:numFmt w:val="bullet"/>
      <w:lvlText w:val=""/>
      <w:lvlJc w:val="left"/>
      <w:pPr>
        <w:tabs>
          <w:tab w:val="num" w:pos="2778"/>
        </w:tabs>
        <w:ind w:left="2778" w:hanging="283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7">
      <w:start w:val="1"/>
      <w:numFmt w:val="bullet"/>
      <w:lvlText w:val=""/>
      <w:lvlJc w:val="left"/>
      <w:pPr>
        <w:tabs>
          <w:tab w:val="num" w:pos="3062"/>
        </w:tabs>
        <w:ind w:left="3062" w:hanging="284"/>
      </w:pPr>
      <w:rPr>
        <w:rFonts w:ascii="Symbol" w:hAnsi="Symbol" w:hint="default"/>
        <w:b w:val="0"/>
        <w:i w:val="0"/>
        <w:vanish w:val="0"/>
        <w:color w:val="auto"/>
        <w:sz w:val="22"/>
      </w:rPr>
    </w:lvl>
    <w:lvl w:ilvl="8">
      <w:start w:val="1"/>
      <w:numFmt w:val="bullet"/>
      <w:lvlText w:val=""/>
      <w:lvlJc w:val="left"/>
      <w:pPr>
        <w:tabs>
          <w:tab w:val="num" w:pos="3345"/>
        </w:tabs>
        <w:ind w:left="3345" w:hanging="283"/>
      </w:pPr>
      <w:rPr>
        <w:rFonts w:ascii="Symbol" w:hAnsi="Symbol" w:hint="default"/>
        <w:b w:val="0"/>
        <w:i w:val="0"/>
        <w:vanish w:val="0"/>
        <w:color w:val="auto"/>
        <w:sz w:val="22"/>
      </w:rPr>
    </w:lvl>
  </w:abstractNum>
  <w:abstractNum w:abstractNumId="20" w15:restartNumberingAfterBreak="0">
    <w:nsid w:val="46324280"/>
    <w:multiLevelType w:val="hybridMultilevel"/>
    <w:tmpl w:val="B82ABF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617DC9"/>
    <w:multiLevelType w:val="multilevel"/>
    <w:tmpl w:val="B72CA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3D4C73"/>
    <w:multiLevelType w:val="hybridMultilevel"/>
    <w:tmpl w:val="17847ED6"/>
    <w:lvl w:ilvl="0" w:tplc="CFDE0834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6C7034"/>
    <w:multiLevelType w:val="hybridMultilevel"/>
    <w:tmpl w:val="A4A26292"/>
    <w:lvl w:ilvl="0" w:tplc="61CA223A">
      <w:numFmt w:val="bullet"/>
      <w:lvlText w:val="-"/>
      <w:lvlJc w:val="left"/>
      <w:pPr>
        <w:ind w:left="420" w:hanging="360"/>
      </w:pPr>
      <w:rPr>
        <w:rFonts w:ascii="Arial" w:eastAsiaTheme="majorEastAsia" w:hAnsi="Aria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E87562"/>
    <w:multiLevelType w:val="hybridMultilevel"/>
    <w:tmpl w:val="07686A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6F0FB4"/>
    <w:multiLevelType w:val="hybridMultilevel"/>
    <w:tmpl w:val="5C382EF8"/>
    <w:lvl w:ilvl="0" w:tplc="61CA223A">
      <w:numFmt w:val="bullet"/>
      <w:lvlText w:val="-"/>
      <w:lvlJc w:val="left"/>
      <w:pPr>
        <w:ind w:left="360" w:hanging="360"/>
      </w:pPr>
      <w:rPr>
        <w:rFonts w:ascii="Arial" w:eastAsiaTheme="majorEastAsia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6" w15:restartNumberingAfterBreak="0">
    <w:nsid w:val="67AA3706"/>
    <w:multiLevelType w:val="hybridMultilevel"/>
    <w:tmpl w:val="33163724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8C04F16"/>
    <w:multiLevelType w:val="hybridMultilevel"/>
    <w:tmpl w:val="80803A60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8" w15:restartNumberingAfterBreak="0">
    <w:nsid w:val="6BB542C4"/>
    <w:multiLevelType w:val="multilevel"/>
    <w:tmpl w:val="B72CA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723512"/>
    <w:multiLevelType w:val="hybridMultilevel"/>
    <w:tmpl w:val="48A8D4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442B4D"/>
    <w:multiLevelType w:val="hybridMultilevel"/>
    <w:tmpl w:val="D8BE7A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7E12E5"/>
    <w:multiLevelType w:val="multilevel"/>
    <w:tmpl w:val="F74E2CE0"/>
    <w:lvl w:ilvl="0">
      <w:start w:val="1"/>
      <w:numFmt w:val="decimal"/>
      <w:pStyle w:val="Numpara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32" w15:restartNumberingAfterBreak="0">
    <w:nsid w:val="7CF22731"/>
    <w:multiLevelType w:val="hybridMultilevel"/>
    <w:tmpl w:val="5EF8A6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D44514"/>
    <w:multiLevelType w:val="multilevel"/>
    <w:tmpl w:val="457635A8"/>
    <w:name w:val="List num"/>
    <w:lvl w:ilvl="0">
      <w:start w:val="1"/>
      <w:numFmt w:val="lowerLetter"/>
      <w:pStyle w:val="Listnum"/>
      <w:lvlText w:val="(%1)"/>
      <w:lvlJc w:val="left"/>
      <w:pPr>
        <w:ind w:left="397" w:hanging="397"/>
      </w:pPr>
      <w:rPr>
        <w:rFonts w:hint="default"/>
      </w:rPr>
    </w:lvl>
    <w:lvl w:ilvl="1">
      <w:start w:val="1"/>
      <w:numFmt w:val="lowerRoman"/>
      <w:pStyle w:val="Listnum2"/>
      <w:lvlText w:val="(%2)"/>
      <w:lvlJc w:val="left"/>
      <w:pPr>
        <w:ind w:left="794" w:hanging="397"/>
      </w:pPr>
      <w:rPr>
        <w:rFonts w:hint="default"/>
      </w:rPr>
    </w:lvl>
    <w:lvl w:ilvl="2">
      <w:start w:val="1"/>
      <w:numFmt w:val="decimal"/>
      <w:lvlText w:val="(%3)"/>
      <w:lvlJc w:val="left"/>
      <w:pPr>
        <w:ind w:left="1191" w:hanging="397"/>
      </w:pPr>
      <w:rPr>
        <w:rFonts w:hint="default"/>
      </w:rPr>
    </w:lvl>
    <w:lvl w:ilvl="3">
      <w:start w:val="1"/>
      <w:numFmt w:val="upperLetter"/>
      <w:lvlText w:val="(%4)"/>
      <w:lvlJc w:val="left"/>
      <w:pPr>
        <w:ind w:left="1588" w:hanging="397"/>
      </w:pPr>
      <w:rPr>
        <w:rFonts w:hint="default"/>
      </w:rPr>
    </w:lvl>
    <w:lvl w:ilvl="4">
      <w:start w:val="1"/>
      <w:numFmt w:val="upperRoman"/>
      <w:lvlRestart w:val="1"/>
      <w:lvlText w:val="(%5)"/>
      <w:lvlJc w:val="left"/>
      <w:pPr>
        <w:ind w:left="1985" w:hanging="397"/>
      </w:pPr>
      <w:rPr>
        <w:rFonts w:hint="default"/>
      </w:rPr>
    </w:lvl>
    <w:lvl w:ilvl="5">
      <w:start w:val="1"/>
      <w:numFmt w:val="decimal"/>
      <w:lvlText w:val="%3.%4.%5.%6"/>
      <w:lvlJc w:val="left"/>
      <w:pPr>
        <w:tabs>
          <w:tab w:val="num" w:pos="2345"/>
        </w:tabs>
        <w:ind w:left="2382" w:hanging="397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2742"/>
        </w:tabs>
        <w:ind w:left="2779" w:hanging="397"/>
      </w:pPr>
      <w:rPr>
        <w:rFonts w:hint="default"/>
      </w:rPr>
    </w:lvl>
    <w:lvl w:ilvl="7">
      <w:start w:val="1"/>
      <w:numFmt w:val="lowerRoman"/>
      <w:lvlText w:val="(%8)"/>
      <w:lvlJc w:val="left"/>
      <w:pPr>
        <w:tabs>
          <w:tab w:val="num" w:pos="3139"/>
        </w:tabs>
        <w:ind w:left="3176" w:hanging="397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536"/>
        </w:tabs>
        <w:ind w:left="3573" w:hanging="397"/>
      </w:pPr>
      <w:rPr>
        <w:rFonts w:hint="default"/>
      </w:rPr>
    </w:lvl>
  </w:abstractNum>
  <w:num w:numId="1">
    <w:abstractNumId w:val="19"/>
  </w:num>
  <w:num w:numId="2">
    <w:abstractNumId w:val="19"/>
  </w:num>
  <w:num w:numId="3">
    <w:abstractNumId w:val="19"/>
  </w:num>
  <w:num w:numId="4">
    <w:abstractNumId w:val="33"/>
  </w:num>
  <w:num w:numId="5">
    <w:abstractNumId w:val="6"/>
  </w:num>
  <w:num w:numId="6">
    <w:abstractNumId w:val="18"/>
  </w:num>
  <w:num w:numId="7">
    <w:abstractNumId w:val="31"/>
  </w:num>
  <w:num w:numId="8">
    <w:abstractNumId w:val="13"/>
  </w:num>
  <w:num w:numId="9">
    <w:abstractNumId w:val="13"/>
  </w:num>
  <w:num w:numId="10">
    <w:abstractNumId w:val="12"/>
  </w:num>
  <w:num w:numId="11">
    <w:abstractNumId w:val="2"/>
  </w:num>
  <w:num w:numId="12">
    <w:abstractNumId w:val="21"/>
    <w:lvlOverride w:ilvl="0">
      <w:startOverride w:val="1"/>
    </w:lvlOverride>
  </w:num>
  <w:num w:numId="13">
    <w:abstractNumId w:val="15"/>
  </w:num>
  <w:num w:numId="14">
    <w:abstractNumId w:val="4"/>
  </w:num>
  <w:num w:numId="15">
    <w:abstractNumId w:val="5"/>
  </w:num>
  <w:num w:numId="16">
    <w:abstractNumId w:val="10"/>
  </w:num>
  <w:num w:numId="17">
    <w:abstractNumId w:val="23"/>
  </w:num>
  <w:num w:numId="18">
    <w:abstractNumId w:val="22"/>
  </w:num>
  <w:num w:numId="19">
    <w:abstractNumId w:val="25"/>
  </w:num>
  <w:num w:numId="20">
    <w:abstractNumId w:val="29"/>
  </w:num>
  <w:num w:numId="21">
    <w:abstractNumId w:val="1"/>
  </w:num>
  <w:num w:numId="22">
    <w:abstractNumId w:val="7"/>
  </w:num>
  <w:num w:numId="23">
    <w:abstractNumId w:val="9"/>
  </w:num>
  <w:num w:numId="24">
    <w:abstractNumId w:val="3"/>
  </w:num>
  <w:num w:numId="25">
    <w:abstractNumId w:val="27"/>
  </w:num>
  <w:num w:numId="26">
    <w:abstractNumId w:val="14"/>
  </w:num>
  <w:num w:numId="27">
    <w:abstractNumId w:val="11"/>
  </w:num>
  <w:num w:numId="28">
    <w:abstractNumId w:val="28"/>
  </w:num>
  <w:num w:numId="29">
    <w:abstractNumId w:val="17"/>
  </w:num>
  <w:num w:numId="30">
    <w:abstractNumId w:val="16"/>
  </w:num>
  <w:num w:numId="31">
    <w:abstractNumId w:val="26"/>
  </w:num>
  <w:num w:numId="32">
    <w:abstractNumId w:val="20"/>
  </w:num>
  <w:num w:numId="33">
    <w:abstractNumId w:val="24"/>
  </w:num>
  <w:num w:numId="34">
    <w:abstractNumId w:val="8"/>
  </w:num>
  <w:num w:numId="35">
    <w:abstractNumId w:val="0"/>
  </w:num>
  <w:num w:numId="36">
    <w:abstractNumId w:val="30"/>
  </w:num>
  <w:num w:numId="3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isplayBackgroundShape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0715"/>
    <w:rsid w:val="00005C01"/>
    <w:rsid w:val="00012B46"/>
    <w:rsid w:val="00012F6F"/>
    <w:rsid w:val="00014213"/>
    <w:rsid w:val="00014B55"/>
    <w:rsid w:val="00020E3E"/>
    <w:rsid w:val="00023BF3"/>
    <w:rsid w:val="00026811"/>
    <w:rsid w:val="00032699"/>
    <w:rsid w:val="0004185E"/>
    <w:rsid w:val="00053181"/>
    <w:rsid w:val="00056988"/>
    <w:rsid w:val="00070105"/>
    <w:rsid w:val="000714E1"/>
    <w:rsid w:val="00072279"/>
    <w:rsid w:val="00073407"/>
    <w:rsid w:val="00075E6C"/>
    <w:rsid w:val="0008167F"/>
    <w:rsid w:val="00081C12"/>
    <w:rsid w:val="00087D42"/>
    <w:rsid w:val="000905F7"/>
    <w:rsid w:val="000947B2"/>
    <w:rsid w:val="00095DDF"/>
    <w:rsid w:val="000B29AD"/>
    <w:rsid w:val="000B7407"/>
    <w:rsid w:val="000C1046"/>
    <w:rsid w:val="000C6372"/>
    <w:rsid w:val="000D7841"/>
    <w:rsid w:val="000E21C9"/>
    <w:rsid w:val="000E286F"/>
    <w:rsid w:val="000E392D"/>
    <w:rsid w:val="000E39B6"/>
    <w:rsid w:val="000E3D05"/>
    <w:rsid w:val="000F1D58"/>
    <w:rsid w:val="000F4288"/>
    <w:rsid w:val="000F7165"/>
    <w:rsid w:val="00102379"/>
    <w:rsid w:val="00102A98"/>
    <w:rsid w:val="00103722"/>
    <w:rsid w:val="001065D6"/>
    <w:rsid w:val="001068D5"/>
    <w:rsid w:val="001132F9"/>
    <w:rsid w:val="00114FC4"/>
    <w:rsid w:val="00117755"/>
    <w:rsid w:val="00121252"/>
    <w:rsid w:val="00124609"/>
    <w:rsid w:val="001254CE"/>
    <w:rsid w:val="001307D4"/>
    <w:rsid w:val="0013637A"/>
    <w:rsid w:val="001422CC"/>
    <w:rsid w:val="00145346"/>
    <w:rsid w:val="0015048D"/>
    <w:rsid w:val="0015461C"/>
    <w:rsid w:val="00155FB0"/>
    <w:rsid w:val="001617B6"/>
    <w:rsid w:val="00165E66"/>
    <w:rsid w:val="00181D43"/>
    <w:rsid w:val="00196143"/>
    <w:rsid w:val="001A245F"/>
    <w:rsid w:val="001A24FC"/>
    <w:rsid w:val="001B5538"/>
    <w:rsid w:val="001B6881"/>
    <w:rsid w:val="001C6993"/>
    <w:rsid w:val="001C7A4C"/>
    <w:rsid w:val="001C7BAE"/>
    <w:rsid w:val="001E31FA"/>
    <w:rsid w:val="001E48F9"/>
    <w:rsid w:val="001E600B"/>
    <w:rsid w:val="001E64F6"/>
    <w:rsid w:val="001E7AEB"/>
    <w:rsid w:val="001F3F3C"/>
    <w:rsid w:val="00204B82"/>
    <w:rsid w:val="00210364"/>
    <w:rsid w:val="00212987"/>
    <w:rsid w:val="00222BEB"/>
    <w:rsid w:val="00225E60"/>
    <w:rsid w:val="00227A6B"/>
    <w:rsid w:val="00230BBB"/>
    <w:rsid w:val="0023202C"/>
    <w:rsid w:val="00234619"/>
    <w:rsid w:val="00234BAE"/>
    <w:rsid w:val="00235BE2"/>
    <w:rsid w:val="00245043"/>
    <w:rsid w:val="00245247"/>
    <w:rsid w:val="00250341"/>
    <w:rsid w:val="0026028E"/>
    <w:rsid w:val="00275394"/>
    <w:rsid w:val="00281D2B"/>
    <w:rsid w:val="00284FA2"/>
    <w:rsid w:val="00292D36"/>
    <w:rsid w:val="002941D2"/>
    <w:rsid w:val="00294A5A"/>
    <w:rsid w:val="00297281"/>
    <w:rsid w:val="00297A47"/>
    <w:rsid w:val="002A1B0D"/>
    <w:rsid w:val="002A5891"/>
    <w:rsid w:val="002B03F1"/>
    <w:rsid w:val="002B4B53"/>
    <w:rsid w:val="002B5C34"/>
    <w:rsid w:val="002B5E2B"/>
    <w:rsid w:val="002B6C29"/>
    <w:rsid w:val="002B6DAA"/>
    <w:rsid w:val="002C04F1"/>
    <w:rsid w:val="002C0C5B"/>
    <w:rsid w:val="002D70F7"/>
    <w:rsid w:val="002D711A"/>
    <w:rsid w:val="002D7336"/>
    <w:rsid w:val="002E1498"/>
    <w:rsid w:val="002E3396"/>
    <w:rsid w:val="002E6454"/>
    <w:rsid w:val="002E78E5"/>
    <w:rsid w:val="002F2953"/>
    <w:rsid w:val="003105D5"/>
    <w:rsid w:val="0031149C"/>
    <w:rsid w:val="00316D88"/>
    <w:rsid w:val="00317AE4"/>
    <w:rsid w:val="00326F37"/>
    <w:rsid w:val="00345B3C"/>
    <w:rsid w:val="0036778F"/>
    <w:rsid w:val="0037268E"/>
    <w:rsid w:val="0038771C"/>
    <w:rsid w:val="00391BFC"/>
    <w:rsid w:val="00395DB8"/>
    <w:rsid w:val="003A430B"/>
    <w:rsid w:val="003A541A"/>
    <w:rsid w:val="003A63F3"/>
    <w:rsid w:val="003A6923"/>
    <w:rsid w:val="003B4DD0"/>
    <w:rsid w:val="003C2C67"/>
    <w:rsid w:val="003C2D4C"/>
    <w:rsid w:val="003C3B3A"/>
    <w:rsid w:val="003C5BA4"/>
    <w:rsid w:val="003E3E26"/>
    <w:rsid w:val="003E5237"/>
    <w:rsid w:val="003F0703"/>
    <w:rsid w:val="003F1295"/>
    <w:rsid w:val="003F258D"/>
    <w:rsid w:val="003F3910"/>
    <w:rsid w:val="003F5102"/>
    <w:rsid w:val="003F76FC"/>
    <w:rsid w:val="004002EB"/>
    <w:rsid w:val="00407A79"/>
    <w:rsid w:val="0041751D"/>
    <w:rsid w:val="00422DDC"/>
    <w:rsid w:val="004231B5"/>
    <w:rsid w:val="004236C8"/>
    <w:rsid w:val="00427681"/>
    <w:rsid w:val="00433DB7"/>
    <w:rsid w:val="00436103"/>
    <w:rsid w:val="00447D0E"/>
    <w:rsid w:val="00451B48"/>
    <w:rsid w:val="0045347E"/>
    <w:rsid w:val="00453750"/>
    <w:rsid w:val="00455424"/>
    <w:rsid w:val="00456941"/>
    <w:rsid w:val="00460BD5"/>
    <w:rsid w:val="00461CEB"/>
    <w:rsid w:val="004702EA"/>
    <w:rsid w:val="0048259C"/>
    <w:rsid w:val="00482D02"/>
    <w:rsid w:val="004841CB"/>
    <w:rsid w:val="00484326"/>
    <w:rsid w:val="00490369"/>
    <w:rsid w:val="00496370"/>
    <w:rsid w:val="004A7519"/>
    <w:rsid w:val="004B64B1"/>
    <w:rsid w:val="004C21F6"/>
    <w:rsid w:val="004D01AC"/>
    <w:rsid w:val="004D3518"/>
    <w:rsid w:val="004D62D6"/>
    <w:rsid w:val="004D6898"/>
    <w:rsid w:val="004D6D95"/>
    <w:rsid w:val="004E0338"/>
    <w:rsid w:val="004F3F4E"/>
    <w:rsid w:val="00510167"/>
    <w:rsid w:val="00513E86"/>
    <w:rsid w:val="005306A2"/>
    <w:rsid w:val="00532EAA"/>
    <w:rsid w:val="0053416C"/>
    <w:rsid w:val="00541C2F"/>
    <w:rsid w:val="005429C4"/>
    <w:rsid w:val="00552DE4"/>
    <w:rsid w:val="00563527"/>
    <w:rsid w:val="00570BC3"/>
    <w:rsid w:val="0057407A"/>
    <w:rsid w:val="0058124E"/>
    <w:rsid w:val="005875A3"/>
    <w:rsid w:val="00590540"/>
    <w:rsid w:val="0059103D"/>
    <w:rsid w:val="005953EA"/>
    <w:rsid w:val="005A3416"/>
    <w:rsid w:val="005B061F"/>
    <w:rsid w:val="005B27FE"/>
    <w:rsid w:val="005B76DF"/>
    <w:rsid w:val="005B79CB"/>
    <w:rsid w:val="005D3696"/>
    <w:rsid w:val="005D4529"/>
    <w:rsid w:val="005E08D7"/>
    <w:rsid w:val="005E4C16"/>
    <w:rsid w:val="005E5947"/>
    <w:rsid w:val="005F319F"/>
    <w:rsid w:val="005F385B"/>
    <w:rsid w:val="005F61DF"/>
    <w:rsid w:val="00600DB8"/>
    <w:rsid w:val="0060163A"/>
    <w:rsid w:val="006023F9"/>
    <w:rsid w:val="00610559"/>
    <w:rsid w:val="00614076"/>
    <w:rsid w:val="00632F2E"/>
    <w:rsid w:val="006332F6"/>
    <w:rsid w:val="006413F2"/>
    <w:rsid w:val="006534B2"/>
    <w:rsid w:val="0065615D"/>
    <w:rsid w:val="00657011"/>
    <w:rsid w:val="00661B49"/>
    <w:rsid w:val="00663AA1"/>
    <w:rsid w:val="00663D4D"/>
    <w:rsid w:val="006650B5"/>
    <w:rsid w:val="006651B1"/>
    <w:rsid w:val="00665778"/>
    <w:rsid w:val="00672693"/>
    <w:rsid w:val="00676E5F"/>
    <w:rsid w:val="00680577"/>
    <w:rsid w:val="0068337D"/>
    <w:rsid w:val="006945CA"/>
    <w:rsid w:val="006974E8"/>
    <w:rsid w:val="006A1142"/>
    <w:rsid w:val="006A3309"/>
    <w:rsid w:val="006A3A5A"/>
    <w:rsid w:val="006A5B34"/>
    <w:rsid w:val="006C77A9"/>
    <w:rsid w:val="006D4685"/>
    <w:rsid w:val="006D4720"/>
    <w:rsid w:val="006D6829"/>
    <w:rsid w:val="006D6A98"/>
    <w:rsid w:val="006E6CDF"/>
    <w:rsid w:val="006F37F2"/>
    <w:rsid w:val="006F6693"/>
    <w:rsid w:val="00703354"/>
    <w:rsid w:val="00707627"/>
    <w:rsid w:val="00707FE8"/>
    <w:rsid w:val="00714AAE"/>
    <w:rsid w:val="00724962"/>
    <w:rsid w:val="00724A0F"/>
    <w:rsid w:val="00726D2F"/>
    <w:rsid w:val="007318D1"/>
    <w:rsid w:val="00736732"/>
    <w:rsid w:val="00740019"/>
    <w:rsid w:val="00744783"/>
    <w:rsid w:val="00746426"/>
    <w:rsid w:val="00750BF9"/>
    <w:rsid w:val="00750CBE"/>
    <w:rsid w:val="00764364"/>
    <w:rsid w:val="007650D2"/>
    <w:rsid w:val="00766B5A"/>
    <w:rsid w:val="00772209"/>
    <w:rsid w:val="007770A5"/>
    <w:rsid w:val="007834F2"/>
    <w:rsid w:val="00791020"/>
    <w:rsid w:val="00794A01"/>
    <w:rsid w:val="007A04D2"/>
    <w:rsid w:val="007A0553"/>
    <w:rsid w:val="007A4444"/>
    <w:rsid w:val="007A5F82"/>
    <w:rsid w:val="007D0DFC"/>
    <w:rsid w:val="007D5F9E"/>
    <w:rsid w:val="007E098F"/>
    <w:rsid w:val="007E22D2"/>
    <w:rsid w:val="007E3BA2"/>
    <w:rsid w:val="007E6EF5"/>
    <w:rsid w:val="007E6F9B"/>
    <w:rsid w:val="007E7B92"/>
    <w:rsid w:val="007F1A4C"/>
    <w:rsid w:val="007F723F"/>
    <w:rsid w:val="008022C3"/>
    <w:rsid w:val="008041E6"/>
    <w:rsid w:val="008065D2"/>
    <w:rsid w:val="008120DC"/>
    <w:rsid w:val="0081439E"/>
    <w:rsid w:val="00815A8A"/>
    <w:rsid w:val="0081764C"/>
    <w:rsid w:val="0082194C"/>
    <w:rsid w:val="008222FF"/>
    <w:rsid w:val="008241FF"/>
    <w:rsid w:val="008302D5"/>
    <w:rsid w:val="008411E9"/>
    <w:rsid w:val="00841617"/>
    <w:rsid w:val="0084200F"/>
    <w:rsid w:val="00843B2C"/>
    <w:rsid w:val="00844F16"/>
    <w:rsid w:val="00855FF9"/>
    <w:rsid w:val="0086277A"/>
    <w:rsid w:val="008668A8"/>
    <w:rsid w:val="008703D8"/>
    <w:rsid w:val="008728A6"/>
    <w:rsid w:val="008768AD"/>
    <w:rsid w:val="00880AC4"/>
    <w:rsid w:val="008816EE"/>
    <w:rsid w:val="00883EFD"/>
    <w:rsid w:val="00897157"/>
    <w:rsid w:val="00897447"/>
    <w:rsid w:val="008A3424"/>
    <w:rsid w:val="008A4900"/>
    <w:rsid w:val="008A55FE"/>
    <w:rsid w:val="008A58D2"/>
    <w:rsid w:val="008B146D"/>
    <w:rsid w:val="008B42AD"/>
    <w:rsid w:val="008B5666"/>
    <w:rsid w:val="008C11C0"/>
    <w:rsid w:val="008C154D"/>
    <w:rsid w:val="008C2C15"/>
    <w:rsid w:val="008D0281"/>
    <w:rsid w:val="008D197D"/>
    <w:rsid w:val="008D7CCD"/>
    <w:rsid w:val="008E2348"/>
    <w:rsid w:val="008F2B1C"/>
    <w:rsid w:val="008F6D45"/>
    <w:rsid w:val="00902020"/>
    <w:rsid w:val="00916AD5"/>
    <w:rsid w:val="0092062B"/>
    <w:rsid w:val="00921244"/>
    <w:rsid w:val="00922944"/>
    <w:rsid w:val="00936479"/>
    <w:rsid w:val="00937A10"/>
    <w:rsid w:val="00952698"/>
    <w:rsid w:val="00953A2C"/>
    <w:rsid w:val="00955C7E"/>
    <w:rsid w:val="00966115"/>
    <w:rsid w:val="009834C0"/>
    <w:rsid w:val="00986AAC"/>
    <w:rsid w:val="009939AD"/>
    <w:rsid w:val="00995526"/>
    <w:rsid w:val="00997E70"/>
    <w:rsid w:val="009A1DA2"/>
    <w:rsid w:val="009A3704"/>
    <w:rsid w:val="009A4739"/>
    <w:rsid w:val="009A674F"/>
    <w:rsid w:val="009A6D22"/>
    <w:rsid w:val="009B0656"/>
    <w:rsid w:val="009B199C"/>
    <w:rsid w:val="009B61F1"/>
    <w:rsid w:val="009B62E0"/>
    <w:rsid w:val="009C3D88"/>
    <w:rsid w:val="009E1651"/>
    <w:rsid w:val="009E3858"/>
    <w:rsid w:val="009E467D"/>
    <w:rsid w:val="009E70DD"/>
    <w:rsid w:val="009F2ED9"/>
    <w:rsid w:val="009F3231"/>
    <w:rsid w:val="009F4014"/>
    <w:rsid w:val="009F5C58"/>
    <w:rsid w:val="00A023A0"/>
    <w:rsid w:val="00A03B69"/>
    <w:rsid w:val="00A05EBC"/>
    <w:rsid w:val="00A06062"/>
    <w:rsid w:val="00A07309"/>
    <w:rsid w:val="00A1562B"/>
    <w:rsid w:val="00A170F4"/>
    <w:rsid w:val="00A21408"/>
    <w:rsid w:val="00A21CFD"/>
    <w:rsid w:val="00A25B78"/>
    <w:rsid w:val="00A275C4"/>
    <w:rsid w:val="00A42C30"/>
    <w:rsid w:val="00A46288"/>
    <w:rsid w:val="00A46BA8"/>
    <w:rsid w:val="00A47634"/>
    <w:rsid w:val="00A53F3E"/>
    <w:rsid w:val="00A600BD"/>
    <w:rsid w:val="00A61153"/>
    <w:rsid w:val="00A612FE"/>
    <w:rsid w:val="00A70B49"/>
    <w:rsid w:val="00A92D94"/>
    <w:rsid w:val="00AA26B8"/>
    <w:rsid w:val="00AB03EA"/>
    <w:rsid w:val="00AC0B87"/>
    <w:rsid w:val="00AC2624"/>
    <w:rsid w:val="00AC32A8"/>
    <w:rsid w:val="00AC3392"/>
    <w:rsid w:val="00AC6419"/>
    <w:rsid w:val="00AD7E4E"/>
    <w:rsid w:val="00AF4D58"/>
    <w:rsid w:val="00AF6666"/>
    <w:rsid w:val="00AF7BC5"/>
    <w:rsid w:val="00B00D96"/>
    <w:rsid w:val="00B134D0"/>
    <w:rsid w:val="00B266A6"/>
    <w:rsid w:val="00B544B4"/>
    <w:rsid w:val="00B62B9C"/>
    <w:rsid w:val="00B73ED4"/>
    <w:rsid w:val="00B81B44"/>
    <w:rsid w:val="00B833BA"/>
    <w:rsid w:val="00B86D70"/>
    <w:rsid w:val="00B9053B"/>
    <w:rsid w:val="00BA0C37"/>
    <w:rsid w:val="00BA3782"/>
    <w:rsid w:val="00BB3B26"/>
    <w:rsid w:val="00BB4D98"/>
    <w:rsid w:val="00BB4EBF"/>
    <w:rsid w:val="00BB59E0"/>
    <w:rsid w:val="00BC0722"/>
    <w:rsid w:val="00BC3422"/>
    <w:rsid w:val="00BC6E19"/>
    <w:rsid w:val="00BD0715"/>
    <w:rsid w:val="00BD11C2"/>
    <w:rsid w:val="00BD5018"/>
    <w:rsid w:val="00BE048C"/>
    <w:rsid w:val="00BE5ADC"/>
    <w:rsid w:val="00BF4F96"/>
    <w:rsid w:val="00C015B9"/>
    <w:rsid w:val="00C022F9"/>
    <w:rsid w:val="00C032EA"/>
    <w:rsid w:val="00C06EB5"/>
    <w:rsid w:val="00C1145F"/>
    <w:rsid w:val="00C11CD1"/>
    <w:rsid w:val="00C15A8A"/>
    <w:rsid w:val="00C32D49"/>
    <w:rsid w:val="00C33AD3"/>
    <w:rsid w:val="00C35D53"/>
    <w:rsid w:val="00C41B3C"/>
    <w:rsid w:val="00C43F06"/>
    <w:rsid w:val="00C51C01"/>
    <w:rsid w:val="00C51C41"/>
    <w:rsid w:val="00C52783"/>
    <w:rsid w:val="00C62D44"/>
    <w:rsid w:val="00C637E1"/>
    <w:rsid w:val="00C67EAC"/>
    <w:rsid w:val="00C70D50"/>
    <w:rsid w:val="00C72252"/>
    <w:rsid w:val="00C73748"/>
    <w:rsid w:val="00C74FEC"/>
    <w:rsid w:val="00C76302"/>
    <w:rsid w:val="00C833C6"/>
    <w:rsid w:val="00C907D7"/>
    <w:rsid w:val="00C92338"/>
    <w:rsid w:val="00CA05DC"/>
    <w:rsid w:val="00CA7B47"/>
    <w:rsid w:val="00CB3976"/>
    <w:rsid w:val="00CC6B4E"/>
    <w:rsid w:val="00CD0307"/>
    <w:rsid w:val="00CD3C79"/>
    <w:rsid w:val="00CD3D1B"/>
    <w:rsid w:val="00D015B1"/>
    <w:rsid w:val="00D02663"/>
    <w:rsid w:val="00D03DAB"/>
    <w:rsid w:val="00D0633E"/>
    <w:rsid w:val="00D12E74"/>
    <w:rsid w:val="00D2312F"/>
    <w:rsid w:val="00D2337D"/>
    <w:rsid w:val="00D23B04"/>
    <w:rsid w:val="00D26150"/>
    <w:rsid w:val="00D269C1"/>
    <w:rsid w:val="00D40682"/>
    <w:rsid w:val="00D41230"/>
    <w:rsid w:val="00D41B2F"/>
    <w:rsid w:val="00D44953"/>
    <w:rsid w:val="00D463C5"/>
    <w:rsid w:val="00D542F3"/>
    <w:rsid w:val="00D54513"/>
    <w:rsid w:val="00D54AAE"/>
    <w:rsid w:val="00D5644B"/>
    <w:rsid w:val="00D56E25"/>
    <w:rsid w:val="00D57E89"/>
    <w:rsid w:val="00D647A9"/>
    <w:rsid w:val="00D6560D"/>
    <w:rsid w:val="00D65D77"/>
    <w:rsid w:val="00D718D7"/>
    <w:rsid w:val="00D8111D"/>
    <w:rsid w:val="00D81159"/>
    <w:rsid w:val="00D814B7"/>
    <w:rsid w:val="00D81D5E"/>
    <w:rsid w:val="00D90688"/>
    <w:rsid w:val="00D90F59"/>
    <w:rsid w:val="00DA393B"/>
    <w:rsid w:val="00DA3AAD"/>
    <w:rsid w:val="00DA3F36"/>
    <w:rsid w:val="00DB1C44"/>
    <w:rsid w:val="00DB312B"/>
    <w:rsid w:val="00DB4A82"/>
    <w:rsid w:val="00DB6439"/>
    <w:rsid w:val="00DC42FB"/>
    <w:rsid w:val="00DC5654"/>
    <w:rsid w:val="00DC658F"/>
    <w:rsid w:val="00DC674A"/>
    <w:rsid w:val="00DC7B0C"/>
    <w:rsid w:val="00DD6DA8"/>
    <w:rsid w:val="00DE60CC"/>
    <w:rsid w:val="00DF7D00"/>
    <w:rsid w:val="00E03F35"/>
    <w:rsid w:val="00E06928"/>
    <w:rsid w:val="00E131C8"/>
    <w:rsid w:val="00E137A6"/>
    <w:rsid w:val="00E26B32"/>
    <w:rsid w:val="00E31CD4"/>
    <w:rsid w:val="00E31E60"/>
    <w:rsid w:val="00E33E08"/>
    <w:rsid w:val="00E33F28"/>
    <w:rsid w:val="00E407B6"/>
    <w:rsid w:val="00E41EF1"/>
    <w:rsid w:val="00E423EF"/>
    <w:rsid w:val="00E42942"/>
    <w:rsid w:val="00E5763A"/>
    <w:rsid w:val="00E61EBC"/>
    <w:rsid w:val="00E64600"/>
    <w:rsid w:val="00E65A0A"/>
    <w:rsid w:val="00E71BDF"/>
    <w:rsid w:val="00E75CCB"/>
    <w:rsid w:val="00E808BF"/>
    <w:rsid w:val="00E8245B"/>
    <w:rsid w:val="00E82C21"/>
    <w:rsid w:val="00E82F59"/>
    <w:rsid w:val="00E83CA7"/>
    <w:rsid w:val="00E92192"/>
    <w:rsid w:val="00E95A71"/>
    <w:rsid w:val="00EA391F"/>
    <w:rsid w:val="00EB5281"/>
    <w:rsid w:val="00EB7014"/>
    <w:rsid w:val="00EC5CDE"/>
    <w:rsid w:val="00EC7F2A"/>
    <w:rsid w:val="00ED176B"/>
    <w:rsid w:val="00ED3077"/>
    <w:rsid w:val="00ED487E"/>
    <w:rsid w:val="00ED64F1"/>
    <w:rsid w:val="00EE33A1"/>
    <w:rsid w:val="00EE7A0D"/>
    <w:rsid w:val="00EF6512"/>
    <w:rsid w:val="00F0222C"/>
    <w:rsid w:val="00F06647"/>
    <w:rsid w:val="00F12312"/>
    <w:rsid w:val="00F17790"/>
    <w:rsid w:val="00F17CE1"/>
    <w:rsid w:val="00F2115C"/>
    <w:rsid w:val="00F22ABA"/>
    <w:rsid w:val="00F25919"/>
    <w:rsid w:val="00F25F4B"/>
    <w:rsid w:val="00F27C9D"/>
    <w:rsid w:val="00F30C2D"/>
    <w:rsid w:val="00F35062"/>
    <w:rsid w:val="00F36B12"/>
    <w:rsid w:val="00F60F9F"/>
    <w:rsid w:val="00F610AA"/>
    <w:rsid w:val="00F61246"/>
    <w:rsid w:val="00F62120"/>
    <w:rsid w:val="00F6250C"/>
    <w:rsid w:val="00F64F08"/>
    <w:rsid w:val="00F67A3E"/>
    <w:rsid w:val="00F70055"/>
    <w:rsid w:val="00F734F5"/>
    <w:rsid w:val="00F73B5B"/>
    <w:rsid w:val="00F777E1"/>
    <w:rsid w:val="00F90EA5"/>
    <w:rsid w:val="00F91F5A"/>
    <w:rsid w:val="00F966B1"/>
    <w:rsid w:val="00F97D48"/>
    <w:rsid w:val="00FA0311"/>
    <w:rsid w:val="00FA1489"/>
    <w:rsid w:val="00FA16AC"/>
    <w:rsid w:val="00FA3694"/>
    <w:rsid w:val="00FB20F2"/>
    <w:rsid w:val="00FB5BE8"/>
    <w:rsid w:val="00FD50F0"/>
    <w:rsid w:val="00FD640F"/>
    <w:rsid w:val="00FD6B4C"/>
    <w:rsid w:val="00FE04C6"/>
    <w:rsid w:val="00FE0553"/>
    <w:rsid w:val="00FE1713"/>
    <w:rsid w:val="00FE25D0"/>
    <w:rsid w:val="00FE5BF4"/>
    <w:rsid w:val="00FE6CB3"/>
    <w:rsid w:val="00FF4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61BDCDA"/>
  <w15:docId w15:val="{57813DB9-84BE-431F-A046-47CAF5C3E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AU" w:eastAsia="en-AU" w:bidi="ar-SA"/>
      </w:rPr>
    </w:rPrDefault>
    <w:pPrDefault>
      <w:pPr>
        <w:spacing w:before="160" w:after="160" w:line="280" w:lineRule="atLeast"/>
      </w:pPr>
    </w:pPrDefault>
  </w:docDefaults>
  <w:latentStyles w:defLockedState="0" w:defUIPriority="1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qFormat="1"/>
    <w:lsdException w:name="heading 6" w:semiHidden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iPriority="99" w:unhideWhenUsed="1"/>
    <w:lsdException w:name="index 2" w:uiPriority="99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semiHidden="1" w:uiPriority="39"/>
    <w:lsdException w:name="toc 5" w:semiHidden="1"/>
    <w:lsdException w:name="toc 6" w:semiHidden="1"/>
    <w:lsdException w:name="toc 7" w:semiHidden="1" w:unhideWhenUsed="1"/>
    <w:lsdException w:name="toc 8" w:semiHidden="1" w:unhideWhenUsed="1"/>
    <w:lsdException w:name="toc 9" w:semiHidden="1" w:unhideWhenUsed="1"/>
    <w:lsdException w:name="Normal Indent" w:uiPriority="0" w:unhideWhenUsed="1" w:qFormat="1"/>
    <w:lsdException w:name="footnote text" w:semiHidden="1" w:uiPriority="99" w:unhideWhenUsed="1"/>
    <w:lsdException w:name="annotation text" w:semiHidden="1" w:unhideWhenUsed="1"/>
    <w:lsdException w:name="header" w:uiPriority="99" w:unhideWhenUsed="1"/>
    <w:lsdException w:name="footer" w:uiPriority="99" w:unhideWhenUsed="1"/>
    <w:lsdException w:name="index heading" w:uiPriority="99" w:unhideWhenUsed="1"/>
    <w:lsdException w:name="caption" w:uiPriority="35" w:unhideWhenUsed="1"/>
    <w:lsdException w:name="table of figures" w:semiHidden="1" w:uiPriority="2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uiPriority="49" w:unhideWhenUsed="1"/>
    <w:lsdException w:name="endnote reference" w:semiHidden="1" w:unhideWhenUsed="1"/>
    <w:lsdException w:name="endnote text" w:semiHidden="1" w:unhideWhenUsed="1"/>
    <w:lsdException w:name="table of authorities" w:semiHidden="1" w:uiPriority="2" w:unhideWhenUsed="1"/>
    <w:lsdException w:name="macro" w:semiHidden="1" w:unhideWhenUsed="1"/>
    <w:lsdException w:name="toa heading" w:semiHidden="1" w:uiPriority="99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4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59"/>
    <w:lsdException w:name="Table Theme" w:semiHidden="1" w:uiPriority="99" w:unhideWhenUsed="1"/>
    <w:lsdException w:name="Placeholder Text" w:semiHidden="1"/>
    <w:lsdException w:name="No Spacing" w:semiHidden="1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Subtle Reference" w:qFormat="1"/>
    <w:lsdException w:name="Book Title" w:qFormat="1"/>
    <w:lsdException w:name="Bibliography" w:semiHidden="1" w:unhideWhenUsed="1"/>
    <w:lsdException w:name="TOC Heading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uiPriority w:val="1"/>
    <w:qFormat/>
    <w:rsid w:val="00A05EBC"/>
  </w:style>
  <w:style w:type="paragraph" w:styleId="Heading1">
    <w:name w:val="heading 1"/>
    <w:basedOn w:val="Normal"/>
    <w:next w:val="Normalfollowingheading"/>
    <w:link w:val="Heading1Char"/>
    <w:qFormat/>
    <w:rsid w:val="009B0656"/>
    <w:pPr>
      <w:keepNext/>
      <w:keepLines/>
      <w:framePr w:wrap="around" w:vAnchor="page" w:hAnchor="margin" w:y="1022"/>
      <w:spacing w:before="0" w:after="120" w:line="240" w:lineRule="auto"/>
      <w:outlineLvl w:val="0"/>
    </w:pPr>
    <w:rPr>
      <w:rFonts w:asciiTheme="majorHAnsi" w:eastAsiaTheme="majorEastAsia" w:hAnsiTheme="majorHAnsi" w:cstheme="majorBidi"/>
      <w:b/>
      <w:bCs/>
      <w:color w:val="004EA8"/>
      <w:spacing w:val="-1"/>
      <w:sz w:val="48"/>
      <w:szCs w:val="28"/>
    </w:rPr>
  </w:style>
  <w:style w:type="paragraph" w:styleId="Heading2">
    <w:name w:val="heading 2"/>
    <w:basedOn w:val="Normal"/>
    <w:next w:val="Normalfollowingheading"/>
    <w:link w:val="Heading2Char"/>
    <w:qFormat/>
    <w:rsid w:val="009B0656"/>
    <w:pPr>
      <w:keepNext/>
      <w:keepLines/>
      <w:spacing w:before="280" w:after="60" w:line="240" w:lineRule="auto"/>
      <w:outlineLvl w:val="1"/>
    </w:pPr>
    <w:rPr>
      <w:rFonts w:asciiTheme="majorHAnsi" w:eastAsiaTheme="majorEastAsia" w:hAnsiTheme="majorHAnsi" w:cstheme="majorBidi"/>
      <w:b/>
      <w:bCs/>
      <w:caps/>
      <w:color w:val="004EA8"/>
      <w:sz w:val="24"/>
      <w:szCs w:val="26"/>
    </w:rPr>
  </w:style>
  <w:style w:type="paragraph" w:styleId="Heading3">
    <w:name w:val="heading 3"/>
    <w:basedOn w:val="Normal"/>
    <w:next w:val="Normalfollowingheading"/>
    <w:link w:val="Heading3Char"/>
    <w:qFormat/>
    <w:rsid w:val="0026028E"/>
    <w:pPr>
      <w:keepNext/>
      <w:keepLines/>
      <w:spacing w:before="240" w:after="50" w:line="240" w:lineRule="auto"/>
      <w:outlineLvl w:val="2"/>
    </w:pPr>
    <w:rPr>
      <w:rFonts w:asciiTheme="majorHAnsi" w:eastAsiaTheme="majorEastAsia" w:hAnsiTheme="majorHAnsi" w:cstheme="majorBidi"/>
      <w:b/>
      <w:bCs/>
      <w:color w:val="000000" w:themeColor="text1"/>
      <w:sz w:val="24"/>
      <w:szCs w:val="22"/>
    </w:rPr>
  </w:style>
  <w:style w:type="paragraph" w:styleId="Heading4">
    <w:name w:val="heading 4"/>
    <w:basedOn w:val="Normal"/>
    <w:next w:val="Normalfollowingheading"/>
    <w:link w:val="Heading4Char"/>
    <w:qFormat/>
    <w:rsid w:val="0026028E"/>
    <w:pPr>
      <w:keepNext/>
      <w:keepLines/>
      <w:spacing w:before="320" w:after="70" w:line="240" w:lineRule="auto"/>
      <w:outlineLvl w:val="3"/>
    </w:pPr>
    <w:rPr>
      <w:rFonts w:asciiTheme="majorHAnsi" w:eastAsiaTheme="majorEastAsia" w:hAnsiTheme="majorHAnsi" w:cstheme="majorBidi"/>
      <w:b/>
      <w:bCs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">
    <w:name w:val="Light Shading"/>
    <w:basedOn w:val="TableNormal"/>
    <w:uiPriority w:val="60"/>
    <w:semiHidden/>
    <w:rsid w:val="0082194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TableGrid">
    <w:name w:val="Table Grid"/>
    <w:basedOn w:val="TableNormal"/>
    <w:uiPriority w:val="59"/>
    <w:rsid w:val="009E1651"/>
    <w:pPr>
      <w:spacing w:before="60" w:after="60" w:line="192" w:lineRule="atLeast"/>
    </w:pPr>
    <w:rPr>
      <w:rFonts w:eastAsiaTheme="minorHAnsi"/>
      <w:sz w:val="16"/>
      <w:szCs w:val="21"/>
      <w:lang w:eastAsia="en-US"/>
    </w:rPr>
    <w:tblPr>
      <w:tblStyleColBandSize w:val="1"/>
      <w:tblBorders>
        <w:top w:val="single" w:sz="2" w:space="0" w:color="80808B" w:themeColor="accent5"/>
        <w:bottom w:val="single" w:sz="2" w:space="0" w:color="80808B" w:themeColor="accent5"/>
        <w:insideH w:val="single" w:sz="2" w:space="0" w:color="80808B" w:themeColor="accent5"/>
      </w:tblBorders>
      <w:tblCellMar>
        <w:left w:w="113" w:type="dxa"/>
        <w:right w:w="113" w:type="dxa"/>
      </w:tblCellMar>
    </w:tblPr>
    <w:tblStylePr w:type="firstRow">
      <w:pPr>
        <w:keepNext/>
        <w:keepLines/>
        <w:widowControl/>
        <w:wordWrap/>
        <w:spacing w:beforeLines="0" w:before="0" w:beforeAutospacing="0" w:afterLines="0" w:after="0" w:afterAutospacing="0" w:line="260" w:lineRule="atLeast"/>
        <w:ind w:leftChars="0" w:left="0"/>
        <w:jc w:val="left"/>
      </w:pPr>
      <w:rPr>
        <w:b/>
        <w:i w:val="0"/>
        <w:color w:val="007586" w:themeColor="text2"/>
        <w:sz w:val="16"/>
      </w:rPr>
      <w:tblPr/>
      <w:tcPr>
        <w:tcBorders>
          <w:top w:val="single" w:sz="2" w:space="0" w:color="EDF5F7" w:themeColor="background2"/>
          <w:left w:val="nil"/>
          <w:bottom w:val="single" w:sz="24" w:space="0" w:color="CCCCD0" w:themeColor="accent6"/>
          <w:right w:val="nil"/>
          <w:insideH w:val="nil"/>
          <w:insideV w:val="nil"/>
          <w:tl2br w:val="nil"/>
          <w:tr2bl w:val="nil"/>
        </w:tcBorders>
        <w:shd w:val="clear" w:color="auto" w:fill="EDF5F7"/>
        <w:tcMar>
          <w:top w:w="80" w:type="dxa"/>
          <w:left w:w="113" w:type="dxa"/>
          <w:bottom w:w="80" w:type="dxa"/>
          <w:right w:w="113" w:type="dxa"/>
        </w:tcMar>
      </w:tcPr>
    </w:tblStylePr>
    <w:tblStylePr w:type="lastRow">
      <w:rPr>
        <w:b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wordWrap/>
        <w:spacing w:beforeLines="0" w:before="50" w:beforeAutospacing="0" w:line="260" w:lineRule="atLeast"/>
        <w:ind w:leftChars="0" w:left="0"/>
        <w:jc w:val="left"/>
      </w:pPr>
      <w:rPr>
        <w:b/>
        <w:color w:val="007586" w:themeColor="text2"/>
        <w:sz w:val="16"/>
      </w:rPr>
    </w:tblStylePr>
    <w:tblStylePr w:type="band1Vert">
      <w:pPr>
        <w:jc w:val="right"/>
      </w:pPr>
    </w:tblStylePr>
    <w:tblStylePr w:type="band2Vert">
      <w:pPr>
        <w:jc w:val="right"/>
      </w:pPr>
    </w:tblStylePr>
  </w:style>
  <w:style w:type="table" w:styleId="LightList-Accent4">
    <w:name w:val="Light List Accent 4"/>
    <w:basedOn w:val="TableNormal"/>
    <w:uiPriority w:val="61"/>
    <w:semiHidden/>
    <w:rsid w:val="009A674F"/>
    <w:pPr>
      <w:spacing w:after="0" w:line="240" w:lineRule="auto"/>
    </w:pPr>
    <w:tblPr>
      <w:tblStyleRowBandSize w:val="1"/>
      <w:tblStyleColBandSize w:val="1"/>
      <w:tblBorders>
        <w:top w:val="single" w:sz="8" w:space="0" w:color="404050" w:themeColor="accent4"/>
        <w:left w:val="single" w:sz="8" w:space="0" w:color="404050" w:themeColor="accent4"/>
        <w:bottom w:val="single" w:sz="8" w:space="0" w:color="404050" w:themeColor="accent4"/>
        <w:right w:val="single" w:sz="8" w:space="0" w:color="40405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0405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</w:tcPr>
    </w:tblStylePr>
    <w:tblStylePr w:type="band1Horz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</w:tcPr>
    </w:tblStylePr>
  </w:style>
  <w:style w:type="table" w:styleId="LightList-Accent1">
    <w:name w:val="Light List Accent 1"/>
    <w:basedOn w:val="TableNormal"/>
    <w:uiPriority w:val="61"/>
    <w:semiHidden/>
    <w:rsid w:val="009A674F"/>
    <w:pPr>
      <w:spacing w:after="0" w:line="240" w:lineRule="auto"/>
    </w:pPr>
    <w:tblPr>
      <w:tblStyleRowBandSize w:val="1"/>
      <w:tblStyleColBandSize w:val="1"/>
      <w:tblBorders>
        <w:top w:val="single" w:sz="8" w:space="0" w:color="4098A4" w:themeColor="accent1"/>
        <w:left w:val="single" w:sz="8" w:space="0" w:color="4098A4" w:themeColor="accent1"/>
        <w:bottom w:val="single" w:sz="8" w:space="0" w:color="4098A4" w:themeColor="accent1"/>
        <w:right w:val="single" w:sz="8" w:space="0" w:color="4098A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098A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</w:tcPr>
    </w:tblStylePr>
    <w:tblStylePr w:type="band1Horz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</w:tcPr>
    </w:tblStylePr>
  </w:style>
  <w:style w:type="paragraph" w:styleId="TOC1">
    <w:name w:val="toc 1"/>
    <w:basedOn w:val="Normal"/>
    <w:next w:val="Normal"/>
    <w:uiPriority w:val="39"/>
    <w:rsid w:val="00ED64F1"/>
    <w:pPr>
      <w:pBdr>
        <w:bottom w:val="single" w:sz="2" w:space="4" w:color="000016"/>
        <w:between w:val="single" w:sz="2" w:space="1" w:color="000000" w:themeColor="text1"/>
      </w:pBdr>
      <w:tabs>
        <w:tab w:val="right" w:pos="10206"/>
      </w:tabs>
      <w:spacing w:before="0" w:after="0"/>
      <w:ind w:right="57"/>
    </w:pPr>
    <w:rPr>
      <w:b/>
      <w:noProof/>
      <w:lang w:eastAsia="en-US"/>
    </w:rPr>
  </w:style>
  <w:style w:type="paragraph" w:styleId="TOC2">
    <w:name w:val="toc 2"/>
    <w:basedOn w:val="Normal"/>
    <w:next w:val="Normal"/>
    <w:uiPriority w:val="39"/>
    <w:rsid w:val="009E1651"/>
    <w:pPr>
      <w:pBdr>
        <w:bottom w:val="single" w:sz="2" w:space="4" w:color="000000" w:themeColor="text1"/>
        <w:between w:val="single" w:sz="2" w:space="0" w:color="000000" w:themeColor="text1"/>
      </w:pBdr>
      <w:tabs>
        <w:tab w:val="left" w:pos="340"/>
        <w:tab w:val="right" w:pos="10206"/>
      </w:tabs>
      <w:spacing w:after="60" w:line="240" w:lineRule="auto"/>
      <w:ind w:right="57"/>
    </w:pPr>
    <w:rPr>
      <w:b/>
      <w:noProof/>
      <w:color w:val="007586" w:themeColor="text2"/>
    </w:rPr>
  </w:style>
  <w:style w:type="paragraph" w:styleId="TOC3">
    <w:name w:val="toc 3"/>
    <w:basedOn w:val="TOC2"/>
    <w:next w:val="Normal"/>
    <w:uiPriority w:val="39"/>
    <w:rsid w:val="009E1651"/>
  </w:style>
  <w:style w:type="paragraph" w:styleId="Index1">
    <w:name w:val="index 1"/>
    <w:basedOn w:val="Normal"/>
    <w:next w:val="Normal"/>
    <w:uiPriority w:val="1"/>
    <w:semiHidden/>
    <w:rsid w:val="00DA3AAD"/>
    <w:pPr>
      <w:spacing w:after="60" w:line="240" w:lineRule="auto"/>
    </w:pPr>
    <w:rPr>
      <w:sz w:val="16"/>
    </w:rPr>
  </w:style>
  <w:style w:type="paragraph" w:styleId="Index2">
    <w:name w:val="index 2"/>
    <w:basedOn w:val="Normal"/>
    <w:next w:val="Normal"/>
    <w:uiPriority w:val="1"/>
    <w:semiHidden/>
    <w:rsid w:val="00014B55"/>
    <w:pPr>
      <w:spacing w:after="0" w:line="240" w:lineRule="auto"/>
      <w:ind w:left="216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F966B1"/>
    <w:rPr>
      <w:color w:val="000000" w:themeColor="hyperlink"/>
      <w:u w:val="none"/>
    </w:rPr>
  </w:style>
  <w:style w:type="character" w:customStyle="1" w:styleId="Heading1Char">
    <w:name w:val="Heading 1 Char"/>
    <w:basedOn w:val="DefaultParagraphFont"/>
    <w:link w:val="Heading1"/>
    <w:rsid w:val="009B0656"/>
    <w:rPr>
      <w:rFonts w:asciiTheme="majorHAnsi" w:eastAsiaTheme="majorEastAsia" w:hAnsiTheme="majorHAnsi" w:cstheme="majorBidi"/>
      <w:b/>
      <w:bCs/>
      <w:color w:val="004EA8"/>
      <w:spacing w:val="-1"/>
      <w:sz w:val="48"/>
      <w:szCs w:val="28"/>
    </w:rPr>
  </w:style>
  <w:style w:type="character" w:customStyle="1" w:styleId="Heading2Char">
    <w:name w:val="Heading 2 Char"/>
    <w:basedOn w:val="DefaultParagraphFont"/>
    <w:link w:val="Heading2"/>
    <w:rsid w:val="009B0656"/>
    <w:rPr>
      <w:rFonts w:asciiTheme="majorHAnsi" w:eastAsiaTheme="majorEastAsia" w:hAnsiTheme="majorHAnsi" w:cstheme="majorBidi"/>
      <w:b/>
      <w:bCs/>
      <w:caps/>
      <w:color w:val="004EA8"/>
      <w:sz w:val="24"/>
      <w:szCs w:val="26"/>
    </w:rPr>
  </w:style>
  <w:style w:type="paragraph" w:customStyle="1" w:styleId="Bullet1">
    <w:name w:val="Bullet 1"/>
    <w:uiPriority w:val="1"/>
    <w:qFormat/>
    <w:rsid w:val="00F25919"/>
    <w:pPr>
      <w:numPr>
        <w:numId w:val="9"/>
      </w:numPr>
      <w:spacing w:before="60" w:after="60"/>
    </w:pPr>
    <w:rPr>
      <w:rFonts w:eastAsia="Times New Roman" w:cs="Calibri"/>
    </w:rPr>
  </w:style>
  <w:style w:type="paragraph" w:customStyle="1" w:styleId="Bullet2">
    <w:name w:val="Bullet 2"/>
    <w:basedOn w:val="Bullet1"/>
    <w:uiPriority w:val="1"/>
    <w:qFormat/>
    <w:rsid w:val="00294A5A"/>
    <w:pPr>
      <w:numPr>
        <w:ilvl w:val="1"/>
      </w:numPr>
    </w:pPr>
  </w:style>
  <w:style w:type="paragraph" w:styleId="Quote">
    <w:name w:val="Quote"/>
    <w:basedOn w:val="Normal"/>
    <w:next w:val="Normal"/>
    <w:link w:val="QuoteChar"/>
    <w:uiPriority w:val="1"/>
    <w:qFormat/>
    <w:rsid w:val="00A05EBC"/>
    <w:pPr>
      <w:ind w:left="567" w:right="567"/>
      <w:jc w:val="center"/>
    </w:pPr>
    <w:rPr>
      <w:i/>
      <w:iCs/>
      <w:color w:val="000000" w:themeColor="text1"/>
    </w:rPr>
  </w:style>
  <w:style w:type="paragraph" w:customStyle="1" w:styleId="Heading1numbered">
    <w:name w:val="Heading 1 numbered"/>
    <w:basedOn w:val="Heading1"/>
    <w:next w:val="NormalIndent"/>
    <w:qFormat/>
    <w:rsid w:val="009B0656"/>
    <w:pPr>
      <w:framePr w:wrap="around"/>
      <w:numPr>
        <w:numId w:val="10"/>
      </w:numPr>
    </w:pPr>
  </w:style>
  <w:style w:type="paragraph" w:customStyle="1" w:styleId="Heading2numbered">
    <w:name w:val="Heading 2 numbered"/>
    <w:basedOn w:val="Heading2"/>
    <w:next w:val="NormalIndent"/>
    <w:qFormat/>
    <w:rsid w:val="00BD5018"/>
    <w:pPr>
      <w:numPr>
        <w:ilvl w:val="1"/>
        <w:numId w:val="10"/>
      </w:numPr>
    </w:pPr>
  </w:style>
  <w:style w:type="paragraph" w:customStyle="1" w:styleId="Heading3numbered">
    <w:name w:val="Heading 3 numbered"/>
    <w:basedOn w:val="Heading3"/>
    <w:next w:val="NormalIndent"/>
    <w:qFormat/>
    <w:rsid w:val="00BD5018"/>
    <w:pPr>
      <w:numPr>
        <w:ilvl w:val="2"/>
        <w:numId w:val="10"/>
      </w:numPr>
    </w:pPr>
  </w:style>
  <w:style w:type="character" w:customStyle="1" w:styleId="Heading3Char">
    <w:name w:val="Heading 3 Char"/>
    <w:basedOn w:val="DefaultParagraphFont"/>
    <w:link w:val="Heading3"/>
    <w:rsid w:val="00A05EBC"/>
    <w:rPr>
      <w:rFonts w:asciiTheme="majorHAnsi" w:eastAsiaTheme="majorEastAsia" w:hAnsiTheme="majorHAnsi" w:cstheme="majorBidi"/>
      <w:b/>
      <w:bCs/>
      <w:color w:val="000000" w:themeColor="text1"/>
      <w:sz w:val="24"/>
      <w:szCs w:val="22"/>
    </w:rPr>
  </w:style>
  <w:style w:type="paragraph" w:customStyle="1" w:styleId="Heading4numbered">
    <w:name w:val="Heading 4 numbered"/>
    <w:basedOn w:val="Heading4"/>
    <w:next w:val="NormalIndent"/>
    <w:qFormat/>
    <w:rsid w:val="00BD5018"/>
    <w:pPr>
      <w:numPr>
        <w:ilvl w:val="3"/>
        <w:numId w:val="10"/>
      </w:numPr>
    </w:pPr>
  </w:style>
  <w:style w:type="character" w:customStyle="1" w:styleId="Heading4Char">
    <w:name w:val="Heading 4 Char"/>
    <w:basedOn w:val="DefaultParagraphFont"/>
    <w:link w:val="Heading4"/>
    <w:rsid w:val="00A05EBC"/>
    <w:rPr>
      <w:rFonts w:asciiTheme="majorHAnsi" w:eastAsiaTheme="majorEastAsia" w:hAnsiTheme="majorHAnsi" w:cstheme="majorBidi"/>
      <w:b/>
      <w:bCs/>
      <w:iCs/>
      <w:color w:val="000000" w:themeColor="text1"/>
    </w:rPr>
  </w:style>
  <w:style w:type="paragraph" w:styleId="NormalIndent">
    <w:name w:val="Normal Indent"/>
    <w:basedOn w:val="Normalfollowingheading"/>
    <w:uiPriority w:val="1"/>
    <w:qFormat/>
    <w:rsid w:val="00F6250C"/>
    <w:pPr>
      <w:spacing w:before="120" w:after="120"/>
    </w:pPr>
    <w:rPr>
      <w:rFonts w:eastAsiaTheme="minorHAnsi" w:cstheme="minorHAnsi"/>
      <w:szCs w:val="21"/>
      <w:lang w:eastAsia="en-US"/>
    </w:rPr>
  </w:style>
  <w:style w:type="paragraph" w:customStyle="1" w:styleId="NoteNormal">
    <w:name w:val="Note Normal"/>
    <w:basedOn w:val="Normal"/>
    <w:next w:val="Normal"/>
    <w:uiPriority w:val="1"/>
    <w:rsid w:val="00DA3F36"/>
    <w:pPr>
      <w:spacing w:line="240" w:lineRule="atLeast"/>
      <w:contextualSpacing/>
    </w:pPr>
    <w:rPr>
      <w:sz w:val="16"/>
    </w:rPr>
  </w:style>
  <w:style w:type="paragraph" w:customStyle="1" w:styleId="Spacer">
    <w:name w:val="Spacer"/>
    <w:basedOn w:val="Normal"/>
    <w:uiPriority w:val="1"/>
    <w:semiHidden/>
    <w:qFormat/>
    <w:rsid w:val="00165E66"/>
    <w:pPr>
      <w:spacing w:before="0" w:after="0" w:line="120" w:lineRule="atLeast"/>
    </w:pPr>
    <w:rPr>
      <w:rFonts w:eastAsia="Times New Roman" w:cs="Calibri"/>
      <w:sz w:val="10"/>
      <w:szCs w:val="22"/>
    </w:rPr>
  </w:style>
  <w:style w:type="paragraph" w:styleId="Subtitle">
    <w:name w:val="Subtitle"/>
    <w:next w:val="Normal"/>
    <w:link w:val="SubtitleChar"/>
    <w:uiPriority w:val="99"/>
    <w:rsid w:val="00A46288"/>
    <w:pPr>
      <w:framePr w:hSpace="181" w:wrap="around" w:vAnchor="page" w:hAnchor="margin" w:y="11965"/>
      <w:spacing w:before="0" w:after="0" w:line="240" w:lineRule="auto"/>
      <w:suppressOverlap/>
    </w:pPr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05EBC"/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paragraph" w:styleId="TOC4">
    <w:name w:val="toc 4"/>
    <w:basedOn w:val="Normal"/>
    <w:next w:val="Normal"/>
    <w:autoRedefine/>
    <w:uiPriority w:val="99"/>
    <w:rsid w:val="00ED64F1"/>
    <w:pPr>
      <w:spacing w:after="100"/>
      <w:ind w:left="600"/>
    </w:pPr>
  </w:style>
  <w:style w:type="paragraph" w:styleId="Title">
    <w:name w:val="Title"/>
    <w:next w:val="Subtitle"/>
    <w:link w:val="TitleChar"/>
    <w:uiPriority w:val="99"/>
    <w:rsid w:val="007A4444"/>
    <w:pPr>
      <w:pBdr>
        <w:top w:val="single" w:sz="24" w:space="6" w:color="CCCCD0" w:themeColor="accent6"/>
      </w:pBdr>
      <w:spacing w:before="0" w:after="1260" w:line="240" w:lineRule="auto"/>
      <w:contextualSpacing/>
    </w:pPr>
    <w:rPr>
      <w:rFonts w:asciiTheme="majorHAnsi" w:eastAsia="Times New Roman" w:hAnsiTheme="majorHAnsi" w:cstheme="majorHAnsi"/>
      <w:b/>
      <w:color w:val="007586" w:themeColor="text2"/>
      <w:sz w:val="48"/>
      <w:szCs w:val="22"/>
    </w:rPr>
  </w:style>
  <w:style w:type="character" w:customStyle="1" w:styleId="TitleChar">
    <w:name w:val="Title Char"/>
    <w:basedOn w:val="DefaultParagraphFont"/>
    <w:link w:val="Title"/>
    <w:uiPriority w:val="99"/>
    <w:rsid w:val="007A4444"/>
    <w:rPr>
      <w:rFonts w:asciiTheme="majorHAnsi" w:eastAsia="Times New Roman" w:hAnsiTheme="majorHAnsi" w:cstheme="majorHAnsi"/>
      <w:b/>
      <w:color w:val="007586" w:themeColor="text2"/>
      <w:sz w:val="48"/>
      <w:szCs w:val="22"/>
    </w:rPr>
  </w:style>
  <w:style w:type="paragraph" w:styleId="BalloonText">
    <w:name w:val="Balloon Text"/>
    <w:basedOn w:val="Normal"/>
    <w:link w:val="BalloonTextChar"/>
    <w:uiPriority w:val="1"/>
    <w:semiHidden/>
    <w:rsid w:val="00232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1"/>
    <w:semiHidden/>
    <w:rsid w:val="00A05EBC"/>
    <w:rPr>
      <w:rFonts w:ascii="Tahoma" w:hAnsi="Tahoma" w:cs="Tahoma"/>
      <w:sz w:val="16"/>
      <w:szCs w:val="16"/>
    </w:rPr>
  </w:style>
  <w:style w:type="character" w:customStyle="1" w:styleId="QuoteChar">
    <w:name w:val="Quote Char"/>
    <w:basedOn w:val="DefaultParagraphFont"/>
    <w:link w:val="Quote"/>
    <w:uiPriority w:val="1"/>
    <w:rsid w:val="00A05EBC"/>
    <w:rPr>
      <w:i/>
      <w:iCs/>
      <w:color w:val="000000" w:themeColor="text1"/>
    </w:rPr>
  </w:style>
  <w:style w:type="paragraph" w:styleId="IndexHeading">
    <w:name w:val="index heading"/>
    <w:basedOn w:val="Normal"/>
    <w:next w:val="Index1"/>
    <w:uiPriority w:val="1"/>
    <w:semiHidden/>
    <w:rsid w:val="00014B55"/>
    <w:rPr>
      <w:rFonts w:asciiTheme="majorHAnsi" w:eastAsiaTheme="majorEastAsia" w:hAnsiTheme="majorHAnsi" w:cstheme="majorBidi"/>
      <w:b/>
      <w:bCs/>
    </w:rPr>
  </w:style>
  <w:style w:type="paragraph" w:styleId="Header">
    <w:name w:val="header"/>
    <w:basedOn w:val="Normal"/>
    <w:link w:val="HeaderChar"/>
    <w:uiPriority w:val="99"/>
    <w:rsid w:val="00897157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7157"/>
  </w:style>
  <w:style w:type="paragraph" w:styleId="Footer">
    <w:name w:val="footer"/>
    <w:basedOn w:val="Normal"/>
    <w:link w:val="FooterChar"/>
    <w:uiPriority w:val="99"/>
    <w:rsid w:val="0026028E"/>
    <w:pPr>
      <w:tabs>
        <w:tab w:val="left" w:pos="1304"/>
      </w:tabs>
      <w:spacing w:before="0" w:after="0" w:line="156" w:lineRule="exact"/>
    </w:pPr>
    <w:rPr>
      <w:noProof/>
      <w:sz w:val="13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05EBC"/>
    <w:rPr>
      <w:noProof/>
      <w:sz w:val="13"/>
      <w:szCs w:val="18"/>
    </w:rPr>
  </w:style>
  <w:style w:type="character" w:styleId="PageNumber">
    <w:name w:val="page number"/>
    <w:uiPriority w:val="1"/>
    <w:semiHidden/>
    <w:rsid w:val="00BB59E0"/>
    <w:rPr>
      <w:rFonts w:asciiTheme="minorHAnsi" w:hAnsiTheme="minorHAnsi"/>
      <w:b w:val="0"/>
      <w:color w:val="000000" w:themeColor="text1"/>
    </w:rPr>
  </w:style>
  <w:style w:type="paragraph" w:styleId="TOCHeading">
    <w:name w:val="TOC Heading"/>
    <w:basedOn w:val="Heading1"/>
    <w:next w:val="Normal"/>
    <w:uiPriority w:val="99"/>
    <w:rsid w:val="0026028E"/>
    <w:pPr>
      <w:framePr w:vSpace="1418" w:wrap="around"/>
      <w:outlineLvl w:val="9"/>
    </w:pPr>
    <w:rPr>
      <w:spacing w:val="2"/>
    </w:rPr>
  </w:style>
  <w:style w:type="paragraph" w:customStyle="1" w:styleId="NormalTight">
    <w:name w:val="Normal Tight"/>
    <w:uiPriority w:val="1"/>
    <w:semiHidden/>
    <w:rsid w:val="008D0281"/>
    <w:pPr>
      <w:spacing w:after="0" w:line="240" w:lineRule="auto"/>
      <w:ind w:right="2366"/>
    </w:pPr>
    <w:rPr>
      <w:rFonts w:eastAsia="Times New Roman" w:cs="Calibri"/>
      <w:sz w:val="18"/>
      <w:szCs w:val="19"/>
      <w:lang w:eastAsia="en-US"/>
    </w:rPr>
  </w:style>
  <w:style w:type="paragraph" w:styleId="BodyText">
    <w:name w:val="Body Text"/>
    <w:basedOn w:val="Normal"/>
    <w:link w:val="BodyTextChar"/>
    <w:uiPriority w:val="1"/>
    <w:semiHidden/>
    <w:rsid w:val="00750CBE"/>
    <w:pPr>
      <w:spacing w:before="100" w:line="240" w:lineRule="auto"/>
      <w:ind w:left="794"/>
    </w:pPr>
    <w:rPr>
      <w:rFonts w:ascii="Calibri" w:eastAsia="Times New Roman" w:hAnsi="Calibri" w:cs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A05EBC"/>
    <w:rPr>
      <w:rFonts w:ascii="Calibri" w:eastAsia="Times New Roman" w:hAnsi="Calibri" w:cs="Calibri"/>
      <w:sz w:val="22"/>
      <w:szCs w:val="22"/>
    </w:rPr>
  </w:style>
  <w:style w:type="paragraph" w:customStyle="1" w:styleId="Insidecoverspacer">
    <w:name w:val="Inside cover spacer"/>
    <w:basedOn w:val="NormalTight"/>
    <w:uiPriority w:val="1"/>
    <w:semiHidden/>
    <w:qFormat/>
    <w:rsid w:val="00E26B32"/>
    <w:pPr>
      <w:spacing w:before="5800"/>
      <w:ind w:right="1382"/>
    </w:pPr>
  </w:style>
  <w:style w:type="table" w:styleId="ColorfulGrid">
    <w:name w:val="Colorful Grid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6ECEF" w:themeFill="accent1" w:themeFillTint="33"/>
    </w:tcPr>
    <w:tblStylePr w:type="firstRow">
      <w:rPr>
        <w:b/>
        <w:bCs/>
      </w:rPr>
      <w:tblPr/>
      <w:tcPr>
        <w:shd w:val="clear" w:color="auto" w:fill="ADD9D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DD9D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0717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0717A" w:themeFill="accent1" w:themeFillShade="BF"/>
      </w:tcPr>
    </w:tblStylePr>
    <w:tblStylePr w:type="band1Vert">
      <w:tblPr/>
      <w:tcPr>
        <w:shd w:val="clear" w:color="auto" w:fill="99D0D7" w:themeFill="accent1" w:themeFillTint="7F"/>
      </w:tcPr>
    </w:tblStylePr>
    <w:tblStylePr w:type="band1Horz">
      <w:tblPr/>
      <w:tcPr>
        <w:shd w:val="clear" w:color="auto" w:fill="99D0D7" w:themeFill="accent1" w:themeFillTint="7F"/>
      </w:tcPr>
    </w:tblStylePr>
  </w:style>
  <w:style w:type="paragraph" w:customStyle="1" w:styleId="Tabletext">
    <w:name w:val="Table text"/>
    <w:basedOn w:val="Normal"/>
    <w:uiPriority w:val="2"/>
    <w:qFormat/>
    <w:rsid w:val="009E1651"/>
    <w:pPr>
      <w:spacing w:before="60" w:after="60" w:line="192" w:lineRule="atLeast"/>
    </w:pPr>
    <w:rPr>
      <w:rFonts w:eastAsiaTheme="minorHAnsi"/>
      <w:sz w:val="16"/>
      <w:szCs w:val="21"/>
      <w:lang w:eastAsia="en-US"/>
    </w:rPr>
  </w:style>
  <w:style w:type="paragraph" w:customStyle="1" w:styleId="Tabletextright">
    <w:name w:val="Table text right"/>
    <w:basedOn w:val="Tabletext"/>
    <w:uiPriority w:val="2"/>
    <w:qFormat/>
    <w:rsid w:val="00B9053B"/>
    <w:pPr>
      <w:jc w:val="right"/>
    </w:pPr>
  </w:style>
  <w:style w:type="paragraph" w:customStyle="1" w:styleId="Listnum">
    <w:name w:val="List num"/>
    <w:basedOn w:val="Normal"/>
    <w:uiPriority w:val="1"/>
    <w:qFormat/>
    <w:rsid w:val="004A7519"/>
    <w:pPr>
      <w:numPr>
        <w:numId w:val="4"/>
      </w:numPr>
    </w:pPr>
  </w:style>
  <w:style w:type="paragraph" w:customStyle="1" w:styleId="Listnum2">
    <w:name w:val="List num 2"/>
    <w:basedOn w:val="Normal"/>
    <w:uiPriority w:val="1"/>
    <w:qFormat/>
    <w:rsid w:val="004A7519"/>
    <w:pPr>
      <w:numPr>
        <w:ilvl w:val="1"/>
        <w:numId w:val="4"/>
      </w:numPr>
    </w:pPr>
  </w:style>
  <w:style w:type="paragraph" w:customStyle="1" w:styleId="Tabletextcentred">
    <w:name w:val="Table text centred"/>
    <w:basedOn w:val="Tabletext"/>
    <w:uiPriority w:val="2"/>
    <w:qFormat/>
    <w:rsid w:val="00B9053B"/>
    <w:pPr>
      <w:jc w:val="center"/>
    </w:pPr>
  </w:style>
  <w:style w:type="paragraph" w:customStyle="1" w:styleId="Tableheader">
    <w:name w:val="Table header"/>
    <w:basedOn w:val="Normal"/>
    <w:uiPriority w:val="2"/>
    <w:qFormat/>
    <w:rsid w:val="009B0656"/>
    <w:pPr>
      <w:keepNext/>
      <w:keepLines/>
      <w:spacing w:before="0" w:after="0" w:line="260" w:lineRule="atLeast"/>
    </w:pPr>
    <w:rPr>
      <w:rFonts w:eastAsiaTheme="minorHAnsi"/>
      <w:b/>
      <w:color w:val="004EA8"/>
      <w:sz w:val="16"/>
      <w:szCs w:val="21"/>
      <w:lang w:eastAsia="en-US"/>
    </w:rPr>
  </w:style>
  <w:style w:type="paragraph" w:customStyle="1" w:styleId="Tablebullet">
    <w:name w:val="Table bullet"/>
    <w:basedOn w:val="Tabletext"/>
    <w:uiPriority w:val="2"/>
    <w:rsid w:val="00937A10"/>
    <w:pPr>
      <w:numPr>
        <w:numId w:val="5"/>
      </w:numPr>
    </w:pPr>
  </w:style>
  <w:style w:type="paragraph" w:customStyle="1" w:styleId="Tabledash">
    <w:name w:val="Table dash"/>
    <w:basedOn w:val="Tablebullet"/>
    <w:uiPriority w:val="2"/>
    <w:rsid w:val="00937A10"/>
    <w:pPr>
      <w:numPr>
        <w:ilvl w:val="1"/>
      </w:numPr>
    </w:pPr>
  </w:style>
  <w:style w:type="paragraph" w:customStyle="1" w:styleId="Tabletextindent">
    <w:name w:val="Table text indent"/>
    <w:basedOn w:val="Tabletext"/>
    <w:uiPriority w:val="2"/>
    <w:qFormat/>
    <w:rsid w:val="00C11CD1"/>
    <w:pPr>
      <w:ind w:left="288"/>
    </w:pPr>
  </w:style>
  <w:style w:type="paragraph" w:styleId="ListParagraph">
    <w:name w:val="List Paragraph"/>
    <w:basedOn w:val="Normal"/>
    <w:uiPriority w:val="1"/>
    <w:semiHidden/>
    <w:qFormat/>
    <w:rsid w:val="004231B5"/>
    <w:pPr>
      <w:ind w:left="720"/>
      <w:contextualSpacing/>
    </w:pPr>
  </w:style>
  <w:style w:type="paragraph" w:customStyle="1" w:styleId="Numpara">
    <w:name w:val="Num para"/>
    <w:basedOn w:val="ListParagraph"/>
    <w:uiPriority w:val="1"/>
    <w:qFormat/>
    <w:rsid w:val="00C72252"/>
    <w:pPr>
      <w:numPr>
        <w:numId w:val="7"/>
      </w:numPr>
      <w:tabs>
        <w:tab w:val="left" w:pos="540"/>
      </w:tabs>
    </w:pPr>
  </w:style>
  <w:style w:type="paragraph" w:styleId="FootnoteText">
    <w:name w:val="footnote text"/>
    <w:basedOn w:val="Normal"/>
    <w:link w:val="FootnoteTextChar"/>
    <w:uiPriority w:val="99"/>
    <w:rsid w:val="006945CA"/>
    <w:pPr>
      <w:spacing w:before="57" w:after="0" w:line="160" w:lineRule="atLeast"/>
    </w:pPr>
    <w:rPr>
      <w:sz w:val="13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A05EBC"/>
    <w:rPr>
      <w:sz w:val="13"/>
    </w:rPr>
  </w:style>
  <w:style w:type="character" w:styleId="FootnoteReference">
    <w:name w:val="footnote reference"/>
    <w:basedOn w:val="DefaultParagraphFont"/>
    <w:uiPriority w:val="99"/>
    <w:rsid w:val="00726D2F"/>
    <w:rPr>
      <w:vertAlign w:val="superscript"/>
    </w:rPr>
  </w:style>
  <w:style w:type="table" w:styleId="ColorfulGrid-Accent2">
    <w:name w:val="Colorful Grid Accent 2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F1F3" w:themeFill="accent2" w:themeFillTint="33"/>
    </w:tcPr>
    <w:tblStylePr w:type="firstRow">
      <w:rPr>
        <w:b/>
        <w:bCs/>
      </w:rPr>
      <w:tblPr/>
      <w:tcPr>
        <w:shd w:val="clear" w:color="auto" w:fill="CCE3E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E3E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4D98A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4D98A4" w:themeFill="accent2" w:themeFillShade="BF"/>
      </w:tcPr>
    </w:tblStylePr>
    <w:tblStylePr w:type="band1Vert">
      <w:tblPr/>
      <w:tcPr>
        <w:shd w:val="clear" w:color="auto" w:fill="BFDCE1" w:themeFill="accent2" w:themeFillTint="7F"/>
      </w:tcPr>
    </w:tblStylePr>
    <w:tblStylePr w:type="band1Horz">
      <w:tblPr/>
      <w:tcPr>
        <w:shd w:val="clear" w:color="auto" w:fill="BFDCE1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F8F9" w:themeFill="accent3" w:themeFillTint="33"/>
    </w:tcPr>
    <w:tblStylePr w:type="firstRow">
      <w:rPr>
        <w:b/>
        <w:bCs/>
      </w:rPr>
      <w:tblPr/>
      <w:tcPr>
        <w:shd w:val="clear" w:color="auto" w:fill="E5F1F3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F1F3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7B7BF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7B7BF" w:themeFill="accent3" w:themeFillShade="BF"/>
      </w:tcPr>
    </w:tblStylePr>
    <w:tblStylePr w:type="band1Vert">
      <w:tblPr/>
      <w:tcPr>
        <w:shd w:val="clear" w:color="auto" w:fill="DFEEF0" w:themeFill="accent3" w:themeFillTint="7F"/>
      </w:tcPr>
    </w:tblStylePr>
    <w:tblStylePr w:type="band1Horz">
      <w:tblPr/>
      <w:tcPr>
        <w:shd w:val="clear" w:color="auto" w:fill="DFEEF0" w:themeFill="accent3" w:themeFillTint="7F"/>
      </w:tcPr>
    </w:tblStylePr>
  </w:style>
  <w:style w:type="paragraph" w:customStyle="1" w:styleId="Tablenum1">
    <w:name w:val="Table num 1"/>
    <w:basedOn w:val="Normal"/>
    <w:uiPriority w:val="2"/>
    <w:rsid w:val="007F723F"/>
    <w:pPr>
      <w:numPr>
        <w:ilvl w:val="2"/>
        <w:numId w:val="5"/>
      </w:numPr>
      <w:spacing w:before="60" w:after="60"/>
    </w:pPr>
    <w:rPr>
      <w:sz w:val="17"/>
    </w:rPr>
  </w:style>
  <w:style w:type="paragraph" w:customStyle="1" w:styleId="Tablenum2">
    <w:name w:val="Table num 2"/>
    <w:basedOn w:val="Normal"/>
    <w:uiPriority w:val="2"/>
    <w:rsid w:val="007F723F"/>
    <w:pPr>
      <w:numPr>
        <w:ilvl w:val="3"/>
        <w:numId w:val="5"/>
      </w:numPr>
      <w:spacing w:before="60" w:after="60"/>
    </w:pPr>
    <w:rPr>
      <w:sz w:val="17"/>
    </w:rPr>
  </w:style>
  <w:style w:type="paragraph" w:styleId="Caption">
    <w:name w:val="caption"/>
    <w:basedOn w:val="Normal"/>
    <w:next w:val="Normal"/>
    <w:uiPriority w:val="1"/>
    <w:rsid w:val="00A92D94"/>
    <w:pPr>
      <w:spacing w:before="280" w:after="210" w:line="260" w:lineRule="atLeast"/>
    </w:pPr>
    <w:rPr>
      <w:b/>
      <w:bCs/>
      <w:color w:val="007586" w:themeColor="text2"/>
      <w:szCs w:val="18"/>
    </w:rPr>
  </w:style>
  <w:style w:type="paragraph" w:customStyle="1" w:styleId="Tablechartdiagramheading">
    <w:name w:val="Table/chart/diagram heading"/>
    <w:next w:val="Normal"/>
    <w:uiPriority w:val="2"/>
    <w:qFormat/>
    <w:rsid w:val="009B0656"/>
    <w:pPr>
      <w:tabs>
        <w:tab w:val="left" w:pos="1080"/>
      </w:tabs>
      <w:spacing w:before="280" w:after="210" w:line="260" w:lineRule="atLeast"/>
    </w:pPr>
    <w:rPr>
      <w:b/>
      <w:bCs/>
      <w:color w:val="004EA8"/>
      <w:szCs w:val="18"/>
    </w:rPr>
  </w:style>
  <w:style w:type="character" w:styleId="PlaceholderText">
    <w:name w:val="Placeholder Text"/>
    <w:basedOn w:val="DefaultParagraphFont"/>
    <w:uiPriority w:val="1"/>
    <w:semiHidden/>
    <w:rsid w:val="00966115"/>
    <w:rPr>
      <w:color w:val="808080"/>
    </w:rPr>
  </w:style>
  <w:style w:type="paragraph" w:customStyle="1" w:styleId="FooterOdd">
    <w:name w:val="Footer Odd"/>
    <w:basedOn w:val="Footer"/>
    <w:uiPriority w:val="99"/>
    <w:qFormat/>
    <w:rsid w:val="002A5891"/>
    <w:pPr>
      <w:framePr w:hSpace="17010" w:wrap="around" w:vAnchor="text" w:hAnchor="margin" w:xAlign="right" w:y="1"/>
      <w:pBdr>
        <w:top w:val="single" w:sz="8" w:space="6" w:color="CCCCD0" w:themeColor="accent6"/>
      </w:pBdr>
      <w:jc w:val="right"/>
    </w:pPr>
  </w:style>
  <w:style w:type="paragraph" w:customStyle="1" w:styleId="FooterEven">
    <w:name w:val="Footer Even"/>
    <w:basedOn w:val="Footer"/>
    <w:uiPriority w:val="99"/>
    <w:qFormat/>
    <w:rsid w:val="002A5891"/>
    <w:pPr>
      <w:framePr w:hSpace="17010" w:wrap="around" w:vAnchor="text" w:hAnchor="margin" w:y="1"/>
      <w:pBdr>
        <w:top w:val="single" w:sz="8" w:space="6" w:color="CCCCD0" w:themeColor="accent6"/>
      </w:pBdr>
    </w:pPr>
  </w:style>
  <w:style w:type="paragraph" w:customStyle="1" w:styleId="IntroductoryText">
    <w:name w:val="Introductory Text"/>
    <w:basedOn w:val="Normal"/>
    <w:uiPriority w:val="1"/>
    <w:qFormat/>
    <w:rsid w:val="009B0656"/>
    <w:pPr>
      <w:spacing w:before="280" w:after="60"/>
    </w:pPr>
    <w:rPr>
      <w:b/>
      <w:color w:val="004EA8"/>
    </w:rPr>
  </w:style>
  <w:style w:type="paragraph" w:styleId="NoSpacing">
    <w:name w:val="No Spacing"/>
    <w:uiPriority w:val="1"/>
    <w:qFormat/>
    <w:rsid w:val="00294A5A"/>
    <w:pPr>
      <w:spacing w:before="0" w:after="0" w:line="240" w:lineRule="auto"/>
    </w:pPr>
  </w:style>
  <w:style w:type="paragraph" w:customStyle="1" w:styleId="Normalfollowingheading">
    <w:name w:val="Normal following heading"/>
    <w:basedOn w:val="Normal"/>
    <w:next w:val="Normal"/>
    <w:uiPriority w:val="1"/>
    <w:qFormat/>
    <w:rsid w:val="00294A5A"/>
    <w:pPr>
      <w:spacing w:before="0"/>
    </w:pPr>
  </w:style>
  <w:style w:type="table" w:styleId="ColorfulGrid-Accent4">
    <w:name w:val="Colorful Grid Accent 4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6D6DE" w:themeFill="accent4" w:themeFillTint="33"/>
    </w:tcPr>
    <w:tblStylePr w:type="firstRow">
      <w:rPr>
        <w:b/>
        <w:bCs/>
      </w:rPr>
      <w:tblPr/>
      <w:tcPr>
        <w:shd w:val="clear" w:color="auto" w:fill="ADADBD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DADBD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30303B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30303B" w:themeFill="accent4" w:themeFillShade="BF"/>
      </w:tcPr>
    </w:tblStylePr>
    <w:tblStylePr w:type="band1Vert">
      <w:tblPr/>
      <w:tcPr>
        <w:shd w:val="clear" w:color="auto" w:fill="9999AE" w:themeFill="accent4" w:themeFillTint="7F"/>
      </w:tcPr>
    </w:tblStylePr>
    <w:tblStylePr w:type="band1Horz">
      <w:tblPr/>
      <w:tcPr>
        <w:shd w:val="clear" w:color="auto" w:fill="9999AE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E5E7" w:themeFill="accent5" w:themeFillTint="33"/>
    </w:tcPr>
    <w:tblStylePr w:type="firstRow">
      <w:rPr>
        <w:b/>
        <w:bCs/>
      </w:rPr>
      <w:tblPr/>
      <w:tcPr>
        <w:shd w:val="clear" w:color="auto" w:fill="CCCCD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CD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F5F6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F5F68" w:themeFill="accent5" w:themeFillShade="BF"/>
      </w:tcPr>
    </w:tblStylePr>
    <w:tblStylePr w:type="band1Vert">
      <w:tblPr/>
      <w:tcPr>
        <w:shd w:val="clear" w:color="auto" w:fill="BFBFC5" w:themeFill="accent5" w:themeFillTint="7F"/>
      </w:tcPr>
    </w:tblStylePr>
    <w:tblStylePr w:type="band1Horz">
      <w:tblPr/>
      <w:tcPr>
        <w:shd w:val="clear" w:color="auto" w:fill="BFBFC5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4F4F5" w:themeFill="accent6" w:themeFillTint="33"/>
    </w:tcPr>
    <w:tblStylePr w:type="firstRow">
      <w:rPr>
        <w:b/>
        <w:bCs/>
      </w:rPr>
      <w:tblPr/>
      <w:tcPr>
        <w:shd w:val="clear" w:color="auto" w:fill="EAEAEC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AEAEC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96969E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96969E" w:themeFill="accent6" w:themeFillShade="BF"/>
      </w:tcPr>
    </w:tblStylePr>
    <w:tblStylePr w:type="band1Vert">
      <w:tblPr/>
      <w:tcPr>
        <w:shd w:val="clear" w:color="auto" w:fill="E5E5E7" w:themeFill="accent6" w:themeFillTint="7F"/>
      </w:tcPr>
    </w:tblStylePr>
    <w:tblStylePr w:type="band1Horz">
      <w:tblPr/>
      <w:tcPr>
        <w:shd w:val="clear" w:color="auto" w:fill="E5E5E7" w:themeFill="accent6" w:themeFillTint="7F"/>
      </w:tcPr>
    </w:tblStylePr>
  </w:style>
  <w:style w:type="table" w:styleId="ColorfulList">
    <w:name w:val="Colorful List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A1AE" w:themeFill="accent2" w:themeFillShade="CC"/>
      </w:tcPr>
    </w:tblStylePr>
    <w:tblStylePr w:type="lastRow">
      <w:rPr>
        <w:b/>
        <w:bCs/>
        <w:color w:val="54A1A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BF5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A1AE" w:themeFill="accent2" w:themeFillShade="CC"/>
      </w:tcPr>
    </w:tblStylePr>
    <w:tblStylePr w:type="lastRow">
      <w:rPr>
        <w:b/>
        <w:bCs/>
        <w:color w:val="54A1A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E7EB" w:themeFill="accent1" w:themeFillTint="3F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8F9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A1AE" w:themeFill="accent2" w:themeFillShade="CC"/>
      </w:tcPr>
    </w:tblStylePr>
    <w:tblStylePr w:type="lastRow">
      <w:rPr>
        <w:b/>
        <w:bCs/>
        <w:color w:val="54A1A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DF0" w:themeFill="accent2" w:themeFillTint="3F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FBFC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3333F" w:themeFill="accent4" w:themeFillShade="CC"/>
      </w:tcPr>
    </w:tblStylePr>
    <w:tblStylePr w:type="lastRow">
      <w:rPr>
        <w:b/>
        <w:bCs/>
        <w:color w:val="33333F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6F7" w:themeFill="accent3" w:themeFillTint="3F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BEBEF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6BEC6" w:themeFill="accent3" w:themeFillShade="CC"/>
      </w:tcPr>
    </w:tblStylePr>
    <w:tblStylePr w:type="lastRow">
      <w:rPr>
        <w:b/>
        <w:bCs/>
        <w:color w:val="86BEC6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D6" w:themeFill="accent4" w:themeFillTint="3F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2F3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1A1A8" w:themeFill="accent6" w:themeFillShade="CC"/>
      </w:tcPr>
    </w:tblStylePr>
    <w:tblStylePr w:type="lastRow">
      <w:rPr>
        <w:b/>
        <w:bCs/>
        <w:color w:val="A1A1A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FE2" w:themeFill="accent5" w:themeFillTint="3F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9F9FA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666F" w:themeFill="accent5" w:themeFillShade="CC"/>
      </w:tcPr>
    </w:tblStylePr>
    <w:tblStylePr w:type="lastRow">
      <w:rPr>
        <w:b/>
        <w:bCs/>
        <w:color w:val="66666F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F2F3" w:themeFill="accent6" w:themeFillTint="3F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BAC3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BAC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BAC3" w:themeColor="accent2"/>
        <w:left w:val="single" w:sz="4" w:space="0" w:color="4098A4" w:themeColor="accent1"/>
        <w:bottom w:val="single" w:sz="4" w:space="0" w:color="4098A4" w:themeColor="accent1"/>
        <w:right w:val="single" w:sz="4" w:space="0" w:color="4098A4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F5F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BAC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5A62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5A62" w:themeColor="accent1" w:themeShade="99"/>
          <w:insideV w:val="nil"/>
        </w:tcBorders>
        <w:shd w:val="clear" w:color="auto" w:fill="265A62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5A62" w:themeFill="accent1" w:themeFillShade="99"/>
      </w:tcPr>
    </w:tblStylePr>
    <w:tblStylePr w:type="band1Vert">
      <w:tblPr/>
      <w:tcPr>
        <w:shd w:val="clear" w:color="auto" w:fill="ADD9DF" w:themeFill="accent1" w:themeFillTint="66"/>
      </w:tcPr>
    </w:tblStylePr>
    <w:tblStylePr w:type="band1Horz">
      <w:tblPr/>
      <w:tcPr>
        <w:shd w:val="clear" w:color="auto" w:fill="99D0D7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BAC3" w:themeColor="accent2"/>
        <w:left w:val="single" w:sz="4" w:space="0" w:color="80BAC3" w:themeColor="accent2"/>
        <w:bottom w:val="single" w:sz="4" w:space="0" w:color="80BAC3" w:themeColor="accent2"/>
        <w:right w:val="single" w:sz="4" w:space="0" w:color="80BAC3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8F9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BAC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E7983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E7983" w:themeColor="accent2" w:themeShade="99"/>
          <w:insideV w:val="nil"/>
        </w:tcBorders>
        <w:shd w:val="clear" w:color="auto" w:fill="3E7983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7983" w:themeFill="accent2" w:themeFillShade="99"/>
      </w:tcPr>
    </w:tblStylePr>
    <w:tblStylePr w:type="band1Vert">
      <w:tblPr/>
      <w:tcPr>
        <w:shd w:val="clear" w:color="auto" w:fill="CCE3E7" w:themeFill="accent2" w:themeFillTint="66"/>
      </w:tcPr>
    </w:tblStylePr>
    <w:tblStylePr w:type="band1Horz">
      <w:tblPr/>
      <w:tcPr>
        <w:shd w:val="clear" w:color="auto" w:fill="BFDCE1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04050" w:themeColor="accent4"/>
        <w:left w:val="single" w:sz="4" w:space="0" w:color="BFDDE1" w:themeColor="accent3"/>
        <w:bottom w:val="single" w:sz="4" w:space="0" w:color="BFDDE1" w:themeColor="accent3"/>
        <w:right w:val="single" w:sz="4" w:space="0" w:color="BFDDE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BFC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0405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F9FA9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F9FA9" w:themeColor="accent3" w:themeShade="99"/>
          <w:insideV w:val="nil"/>
        </w:tcBorders>
        <w:shd w:val="clear" w:color="auto" w:fill="4F9FA9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9FA9" w:themeFill="accent3" w:themeFillShade="99"/>
      </w:tcPr>
    </w:tblStylePr>
    <w:tblStylePr w:type="band1Vert">
      <w:tblPr/>
      <w:tcPr>
        <w:shd w:val="clear" w:color="auto" w:fill="E5F1F3" w:themeFill="accent3" w:themeFillTint="66"/>
      </w:tcPr>
    </w:tblStylePr>
    <w:tblStylePr w:type="band1Horz">
      <w:tblPr/>
      <w:tcPr>
        <w:shd w:val="clear" w:color="auto" w:fill="DFEEF0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FDDE1" w:themeColor="accent3"/>
        <w:left w:val="single" w:sz="4" w:space="0" w:color="404050" w:themeColor="accent4"/>
        <w:bottom w:val="single" w:sz="4" w:space="0" w:color="404050" w:themeColor="accent4"/>
        <w:right w:val="single" w:sz="4" w:space="0" w:color="40405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BEF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FDDE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262F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262F" w:themeColor="accent4" w:themeShade="99"/>
          <w:insideV w:val="nil"/>
        </w:tcBorders>
        <w:shd w:val="clear" w:color="auto" w:fill="26262F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262F" w:themeFill="accent4" w:themeFillShade="99"/>
      </w:tcPr>
    </w:tblStylePr>
    <w:tblStylePr w:type="band1Vert">
      <w:tblPr/>
      <w:tcPr>
        <w:shd w:val="clear" w:color="auto" w:fill="ADADBD" w:themeFill="accent4" w:themeFillTint="66"/>
      </w:tcPr>
    </w:tblStylePr>
    <w:tblStylePr w:type="band1Horz">
      <w:tblPr/>
      <w:tcPr>
        <w:shd w:val="clear" w:color="auto" w:fill="9999AE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CCCD0" w:themeColor="accent6"/>
        <w:left w:val="single" w:sz="4" w:space="0" w:color="80808B" w:themeColor="accent5"/>
        <w:bottom w:val="single" w:sz="4" w:space="0" w:color="80808B" w:themeColor="accent5"/>
        <w:right w:val="single" w:sz="4" w:space="0" w:color="80808B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2F3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CCCD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4C5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4C53" w:themeColor="accent5" w:themeShade="99"/>
          <w:insideV w:val="nil"/>
        </w:tcBorders>
        <w:shd w:val="clear" w:color="auto" w:fill="4C4C5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53" w:themeFill="accent5" w:themeFillShade="99"/>
      </w:tcPr>
    </w:tblStylePr>
    <w:tblStylePr w:type="band1Vert">
      <w:tblPr/>
      <w:tcPr>
        <w:shd w:val="clear" w:color="auto" w:fill="CCCCD0" w:themeFill="accent5" w:themeFillTint="66"/>
      </w:tcPr>
    </w:tblStylePr>
    <w:tblStylePr w:type="band1Horz">
      <w:tblPr/>
      <w:tcPr>
        <w:shd w:val="clear" w:color="auto" w:fill="BFBFC5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808B" w:themeColor="accent5"/>
        <w:left w:val="single" w:sz="4" w:space="0" w:color="CCCCD0" w:themeColor="accent6"/>
        <w:bottom w:val="single" w:sz="4" w:space="0" w:color="CCCCD0" w:themeColor="accent6"/>
        <w:right w:val="single" w:sz="4" w:space="0" w:color="CCCCD0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9FA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808B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6768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67680" w:themeColor="accent6" w:themeShade="99"/>
          <w:insideV w:val="nil"/>
        </w:tcBorders>
        <w:shd w:val="clear" w:color="auto" w:fill="76768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7680" w:themeFill="accent6" w:themeFillShade="99"/>
      </w:tcPr>
    </w:tblStylePr>
    <w:tblStylePr w:type="band1Vert">
      <w:tblPr/>
      <w:tcPr>
        <w:shd w:val="clear" w:color="auto" w:fill="EAEAEC" w:themeFill="accent6" w:themeFillTint="66"/>
      </w:tcPr>
    </w:tblStylePr>
    <w:tblStylePr w:type="band1Horz">
      <w:tblPr/>
      <w:tcPr>
        <w:shd w:val="clear" w:color="auto" w:fill="E5E5E7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098A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B5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0717A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0717A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717A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717A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BAC3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3656D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D98A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D98A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98A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98A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BFDDE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2848C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7B7BF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7B7BF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B7BF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B7BF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0405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2027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0303B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0303B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303B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303B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808B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F4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5F6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5F6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5F6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5F68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CCCD0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626A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6969E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6969E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969E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969E" w:themeFill="accent6" w:themeFillShade="BF"/>
      </w:tcPr>
    </w:tblStylePr>
  </w:style>
  <w:style w:type="table" w:customStyle="1" w:styleId="GridTable1Light1">
    <w:name w:val="Grid Table 1 Light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11">
    <w:name w:val="Grid Table 1 Light - Accent 1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ADD9DF" w:themeColor="accent1" w:themeTint="66"/>
        <w:left w:val="single" w:sz="4" w:space="0" w:color="ADD9DF" w:themeColor="accent1" w:themeTint="66"/>
        <w:bottom w:val="single" w:sz="4" w:space="0" w:color="ADD9DF" w:themeColor="accent1" w:themeTint="66"/>
        <w:right w:val="single" w:sz="4" w:space="0" w:color="ADD9DF" w:themeColor="accent1" w:themeTint="66"/>
        <w:insideH w:val="single" w:sz="4" w:space="0" w:color="ADD9DF" w:themeColor="accent1" w:themeTint="66"/>
        <w:insideV w:val="single" w:sz="4" w:space="0" w:color="ADD9D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5C6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5C6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21">
    <w:name w:val="Grid Table 1 Light - Accent 2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CCE3E7" w:themeColor="accent2" w:themeTint="66"/>
        <w:left w:val="single" w:sz="4" w:space="0" w:color="CCE3E7" w:themeColor="accent2" w:themeTint="66"/>
        <w:bottom w:val="single" w:sz="4" w:space="0" w:color="CCE3E7" w:themeColor="accent2" w:themeTint="66"/>
        <w:right w:val="single" w:sz="4" w:space="0" w:color="CCE3E7" w:themeColor="accent2" w:themeTint="66"/>
        <w:insideH w:val="single" w:sz="4" w:space="0" w:color="CCE3E7" w:themeColor="accent2" w:themeTint="66"/>
        <w:insideV w:val="single" w:sz="4" w:space="0" w:color="CCE3E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2D5D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D5D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31">
    <w:name w:val="Grid Table 1 Light - Accent 3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5F1F3" w:themeColor="accent3" w:themeTint="66"/>
        <w:left w:val="single" w:sz="4" w:space="0" w:color="E5F1F3" w:themeColor="accent3" w:themeTint="66"/>
        <w:bottom w:val="single" w:sz="4" w:space="0" w:color="E5F1F3" w:themeColor="accent3" w:themeTint="66"/>
        <w:right w:val="single" w:sz="4" w:space="0" w:color="E5F1F3" w:themeColor="accent3" w:themeTint="66"/>
        <w:insideH w:val="single" w:sz="4" w:space="0" w:color="E5F1F3" w:themeColor="accent3" w:themeTint="66"/>
        <w:insideV w:val="single" w:sz="4" w:space="0" w:color="E5F1F3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D8EAE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8EAE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41">
    <w:name w:val="Grid Table 1 Light - Accent 4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ADADBD" w:themeColor="accent4" w:themeTint="66"/>
        <w:left w:val="single" w:sz="4" w:space="0" w:color="ADADBD" w:themeColor="accent4" w:themeTint="66"/>
        <w:bottom w:val="single" w:sz="4" w:space="0" w:color="ADADBD" w:themeColor="accent4" w:themeTint="66"/>
        <w:right w:val="single" w:sz="4" w:space="0" w:color="ADADBD" w:themeColor="accent4" w:themeTint="66"/>
        <w:insideH w:val="single" w:sz="4" w:space="0" w:color="ADADBD" w:themeColor="accent4" w:themeTint="66"/>
        <w:insideV w:val="single" w:sz="4" w:space="0" w:color="ADADBD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8484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484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51">
    <w:name w:val="Grid Table 1 Light - Accent 5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CCCCD0" w:themeColor="accent5" w:themeTint="66"/>
        <w:left w:val="single" w:sz="4" w:space="0" w:color="CCCCD0" w:themeColor="accent5" w:themeTint="66"/>
        <w:bottom w:val="single" w:sz="4" w:space="0" w:color="CCCCD0" w:themeColor="accent5" w:themeTint="66"/>
        <w:right w:val="single" w:sz="4" w:space="0" w:color="CCCCD0" w:themeColor="accent5" w:themeTint="66"/>
        <w:insideH w:val="single" w:sz="4" w:space="0" w:color="CCCCD0" w:themeColor="accent5" w:themeTint="66"/>
        <w:insideV w:val="single" w:sz="4" w:space="0" w:color="CCCCD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2B2B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B2B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61">
    <w:name w:val="Grid Table 1 Light - Accent 6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AEAEC" w:themeColor="accent6" w:themeTint="66"/>
        <w:left w:val="single" w:sz="4" w:space="0" w:color="EAEAEC" w:themeColor="accent6" w:themeTint="66"/>
        <w:bottom w:val="single" w:sz="4" w:space="0" w:color="EAEAEC" w:themeColor="accent6" w:themeTint="66"/>
        <w:right w:val="single" w:sz="4" w:space="0" w:color="EAEAEC" w:themeColor="accent6" w:themeTint="66"/>
        <w:insideH w:val="single" w:sz="4" w:space="0" w:color="EAEAEC" w:themeColor="accent6" w:themeTint="66"/>
        <w:insideV w:val="single" w:sz="4" w:space="0" w:color="EAEAEC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0E0E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0E0E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1">
    <w:name w:val="Grid Table 2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-Accent11">
    <w:name w:val="Grid Table 2 - Accent 1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85C6CF" w:themeColor="accent1" w:themeTint="99"/>
        <w:bottom w:val="single" w:sz="2" w:space="0" w:color="85C6CF" w:themeColor="accent1" w:themeTint="99"/>
        <w:insideH w:val="single" w:sz="2" w:space="0" w:color="85C6CF" w:themeColor="accent1" w:themeTint="99"/>
        <w:insideV w:val="single" w:sz="2" w:space="0" w:color="85C6C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5C6C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5C6C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GridTable2-Accent21">
    <w:name w:val="Grid Table 2 - Accent 2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B2D5DB" w:themeColor="accent2" w:themeTint="99"/>
        <w:bottom w:val="single" w:sz="2" w:space="0" w:color="B2D5DB" w:themeColor="accent2" w:themeTint="99"/>
        <w:insideH w:val="single" w:sz="2" w:space="0" w:color="B2D5DB" w:themeColor="accent2" w:themeTint="99"/>
        <w:insideV w:val="single" w:sz="2" w:space="0" w:color="B2D5DB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D5DB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D5DB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GridTable2-Accent31">
    <w:name w:val="Grid Table 2 - Accent 3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D8EAED" w:themeColor="accent3" w:themeTint="99"/>
        <w:bottom w:val="single" w:sz="2" w:space="0" w:color="D8EAED" w:themeColor="accent3" w:themeTint="99"/>
        <w:insideH w:val="single" w:sz="2" w:space="0" w:color="D8EAED" w:themeColor="accent3" w:themeTint="99"/>
        <w:insideV w:val="single" w:sz="2" w:space="0" w:color="D8EAED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8EAED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8EAED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GridTable2-Accent41">
    <w:name w:val="Grid Table 2 - Accent 4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84849D" w:themeColor="accent4" w:themeTint="99"/>
        <w:bottom w:val="single" w:sz="2" w:space="0" w:color="84849D" w:themeColor="accent4" w:themeTint="99"/>
        <w:insideH w:val="single" w:sz="2" w:space="0" w:color="84849D" w:themeColor="accent4" w:themeTint="99"/>
        <w:insideV w:val="single" w:sz="2" w:space="0" w:color="84849D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4849D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4849D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GridTable2-Accent51">
    <w:name w:val="Grid Table 2 - Accent 5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B2B2B9" w:themeColor="accent5" w:themeTint="99"/>
        <w:bottom w:val="single" w:sz="2" w:space="0" w:color="B2B2B9" w:themeColor="accent5" w:themeTint="99"/>
        <w:insideH w:val="single" w:sz="2" w:space="0" w:color="B2B2B9" w:themeColor="accent5" w:themeTint="99"/>
        <w:insideV w:val="single" w:sz="2" w:space="0" w:color="B2B2B9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B2B9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B2B9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GridTable2-Accent61">
    <w:name w:val="Grid Table 2 - Accent 6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E0E0E2" w:themeColor="accent6" w:themeTint="99"/>
        <w:bottom w:val="single" w:sz="2" w:space="0" w:color="E0E0E2" w:themeColor="accent6" w:themeTint="99"/>
        <w:insideH w:val="single" w:sz="2" w:space="0" w:color="E0E0E2" w:themeColor="accent6" w:themeTint="99"/>
        <w:insideV w:val="single" w:sz="2" w:space="0" w:color="E0E0E2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0E0E2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0E0E2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GridTable31">
    <w:name w:val="Grid Table 3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-Accent11">
    <w:name w:val="Grid Table 3 - Accent 1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  <w:insideV w:val="single" w:sz="4" w:space="0" w:color="85C6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  <w:tblStylePr w:type="neCell">
      <w:tblPr/>
      <w:tcPr>
        <w:tcBorders>
          <w:bottom w:val="single" w:sz="4" w:space="0" w:color="85C6CF" w:themeColor="accent1" w:themeTint="99"/>
        </w:tcBorders>
      </w:tcPr>
    </w:tblStylePr>
    <w:tblStylePr w:type="nwCell">
      <w:tblPr/>
      <w:tcPr>
        <w:tcBorders>
          <w:bottom w:val="single" w:sz="4" w:space="0" w:color="85C6CF" w:themeColor="accent1" w:themeTint="99"/>
        </w:tcBorders>
      </w:tcPr>
    </w:tblStylePr>
    <w:tblStylePr w:type="seCell">
      <w:tblPr/>
      <w:tcPr>
        <w:tcBorders>
          <w:top w:val="single" w:sz="4" w:space="0" w:color="85C6CF" w:themeColor="accent1" w:themeTint="99"/>
        </w:tcBorders>
      </w:tcPr>
    </w:tblStylePr>
    <w:tblStylePr w:type="swCell">
      <w:tblPr/>
      <w:tcPr>
        <w:tcBorders>
          <w:top w:val="single" w:sz="4" w:space="0" w:color="85C6CF" w:themeColor="accent1" w:themeTint="99"/>
        </w:tcBorders>
      </w:tcPr>
    </w:tblStylePr>
  </w:style>
  <w:style w:type="table" w:customStyle="1" w:styleId="GridTable3-Accent21">
    <w:name w:val="Grid Table 3 - Accent 2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  <w:insideV w:val="single" w:sz="4" w:space="0" w:color="B2D5D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  <w:tblStylePr w:type="neCell">
      <w:tblPr/>
      <w:tcPr>
        <w:tcBorders>
          <w:bottom w:val="single" w:sz="4" w:space="0" w:color="B2D5DB" w:themeColor="accent2" w:themeTint="99"/>
        </w:tcBorders>
      </w:tcPr>
    </w:tblStylePr>
    <w:tblStylePr w:type="nwCell">
      <w:tblPr/>
      <w:tcPr>
        <w:tcBorders>
          <w:bottom w:val="single" w:sz="4" w:space="0" w:color="B2D5DB" w:themeColor="accent2" w:themeTint="99"/>
        </w:tcBorders>
      </w:tcPr>
    </w:tblStylePr>
    <w:tblStylePr w:type="seCell">
      <w:tblPr/>
      <w:tcPr>
        <w:tcBorders>
          <w:top w:val="single" w:sz="4" w:space="0" w:color="B2D5DB" w:themeColor="accent2" w:themeTint="99"/>
        </w:tcBorders>
      </w:tcPr>
    </w:tblStylePr>
    <w:tblStylePr w:type="swCell">
      <w:tblPr/>
      <w:tcPr>
        <w:tcBorders>
          <w:top w:val="single" w:sz="4" w:space="0" w:color="B2D5DB" w:themeColor="accent2" w:themeTint="99"/>
        </w:tcBorders>
      </w:tcPr>
    </w:tblStylePr>
  </w:style>
  <w:style w:type="table" w:customStyle="1" w:styleId="GridTable3-Accent31">
    <w:name w:val="Grid Table 3 - Accent 3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  <w:insideV w:val="single" w:sz="4" w:space="0" w:color="D8EAE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  <w:tblStylePr w:type="neCell">
      <w:tblPr/>
      <w:tcPr>
        <w:tcBorders>
          <w:bottom w:val="single" w:sz="4" w:space="0" w:color="D8EAED" w:themeColor="accent3" w:themeTint="99"/>
        </w:tcBorders>
      </w:tcPr>
    </w:tblStylePr>
    <w:tblStylePr w:type="nwCell">
      <w:tblPr/>
      <w:tcPr>
        <w:tcBorders>
          <w:bottom w:val="single" w:sz="4" w:space="0" w:color="D8EAED" w:themeColor="accent3" w:themeTint="99"/>
        </w:tcBorders>
      </w:tcPr>
    </w:tblStylePr>
    <w:tblStylePr w:type="seCell">
      <w:tblPr/>
      <w:tcPr>
        <w:tcBorders>
          <w:top w:val="single" w:sz="4" w:space="0" w:color="D8EAED" w:themeColor="accent3" w:themeTint="99"/>
        </w:tcBorders>
      </w:tcPr>
    </w:tblStylePr>
    <w:tblStylePr w:type="swCell">
      <w:tblPr/>
      <w:tcPr>
        <w:tcBorders>
          <w:top w:val="single" w:sz="4" w:space="0" w:color="D8EAED" w:themeColor="accent3" w:themeTint="99"/>
        </w:tcBorders>
      </w:tcPr>
    </w:tblStylePr>
  </w:style>
  <w:style w:type="table" w:customStyle="1" w:styleId="GridTable3-Accent41">
    <w:name w:val="Grid Table 3 - Accent 4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  <w:insideV w:val="single" w:sz="4" w:space="0" w:color="84849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  <w:tblStylePr w:type="neCell">
      <w:tblPr/>
      <w:tcPr>
        <w:tcBorders>
          <w:bottom w:val="single" w:sz="4" w:space="0" w:color="84849D" w:themeColor="accent4" w:themeTint="99"/>
        </w:tcBorders>
      </w:tcPr>
    </w:tblStylePr>
    <w:tblStylePr w:type="nwCell">
      <w:tblPr/>
      <w:tcPr>
        <w:tcBorders>
          <w:bottom w:val="single" w:sz="4" w:space="0" w:color="84849D" w:themeColor="accent4" w:themeTint="99"/>
        </w:tcBorders>
      </w:tcPr>
    </w:tblStylePr>
    <w:tblStylePr w:type="seCell">
      <w:tblPr/>
      <w:tcPr>
        <w:tcBorders>
          <w:top w:val="single" w:sz="4" w:space="0" w:color="84849D" w:themeColor="accent4" w:themeTint="99"/>
        </w:tcBorders>
      </w:tcPr>
    </w:tblStylePr>
    <w:tblStylePr w:type="swCell">
      <w:tblPr/>
      <w:tcPr>
        <w:tcBorders>
          <w:top w:val="single" w:sz="4" w:space="0" w:color="84849D" w:themeColor="accent4" w:themeTint="99"/>
        </w:tcBorders>
      </w:tcPr>
    </w:tblStylePr>
  </w:style>
  <w:style w:type="table" w:customStyle="1" w:styleId="GridTable3-Accent51">
    <w:name w:val="Grid Table 3 - Accent 5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  <w:insideV w:val="single" w:sz="4" w:space="0" w:color="B2B2B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  <w:tblStylePr w:type="neCell">
      <w:tblPr/>
      <w:tcPr>
        <w:tcBorders>
          <w:bottom w:val="single" w:sz="4" w:space="0" w:color="B2B2B9" w:themeColor="accent5" w:themeTint="99"/>
        </w:tcBorders>
      </w:tcPr>
    </w:tblStylePr>
    <w:tblStylePr w:type="nwCell">
      <w:tblPr/>
      <w:tcPr>
        <w:tcBorders>
          <w:bottom w:val="single" w:sz="4" w:space="0" w:color="B2B2B9" w:themeColor="accent5" w:themeTint="99"/>
        </w:tcBorders>
      </w:tcPr>
    </w:tblStylePr>
    <w:tblStylePr w:type="seCell">
      <w:tblPr/>
      <w:tcPr>
        <w:tcBorders>
          <w:top w:val="single" w:sz="4" w:space="0" w:color="B2B2B9" w:themeColor="accent5" w:themeTint="99"/>
        </w:tcBorders>
      </w:tcPr>
    </w:tblStylePr>
    <w:tblStylePr w:type="swCell">
      <w:tblPr/>
      <w:tcPr>
        <w:tcBorders>
          <w:top w:val="single" w:sz="4" w:space="0" w:color="B2B2B9" w:themeColor="accent5" w:themeTint="99"/>
        </w:tcBorders>
      </w:tcPr>
    </w:tblStylePr>
  </w:style>
  <w:style w:type="table" w:customStyle="1" w:styleId="GridTable3-Accent61">
    <w:name w:val="Grid Table 3 - Accent 6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  <w:insideV w:val="single" w:sz="4" w:space="0" w:color="E0E0E2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  <w:tblStylePr w:type="neCell">
      <w:tblPr/>
      <w:tcPr>
        <w:tcBorders>
          <w:bottom w:val="single" w:sz="4" w:space="0" w:color="E0E0E2" w:themeColor="accent6" w:themeTint="99"/>
        </w:tcBorders>
      </w:tcPr>
    </w:tblStylePr>
    <w:tblStylePr w:type="nwCell">
      <w:tblPr/>
      <w:tcPr>
        <w:tcBorders>
          <w:bottom w:val="single" w:sz="4" w:space="0" w:color="E0E0E2" w:themeColor="accent6" w:themeTint="99"/>
        </w:tcBorders>
      </w:tcPr>
    </w:tblStylePr>
    <w:tblStylePr w:type="seCell">
      <w:tblPr/>
      <w:tcPr>
        <w:tcBorders>
          <w:top w:val="single" w:sz="4" w:space="0" w:color="E0E0E2" w:themeColor="accent6" w:themeTint="99"/>
        </w:tcBorders>
      </w:tcPr>
    </w:tblStylePr>
    <w:tblStylePr w:type="swCell">
      <w:tblPr/>
      <w:tcPr>
        <w:tcBorders>
          <w:top w:val="single" w:sz="4" w:space="0" w:color="E0E0E2" w:themeColor="accent6" w:themeTint="99"/>
        </w:tcBorders>
      </w:tcPr>
    </w:tblStylePr>
  </w:style>
  <w:style w:type="table" w:customStyle="1" w:styleId="GridTable41">
    <w:name w:val="Grid Table 4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-Accent11">
    <w:name w:val="Grid Table 4 - Accent 1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  <w:insideV w:val="single" w:sz="4" w:space="0" w:color="85C6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098A4" w:themeColor="accent1"/>
          <w:left w:val="single" w:sz="4" w:space="0" w:color="4098A4" w:themeColor="accent1"/>
          <w:bottom w:val="single" w:sz="4" w:space="0" w:color="4098A4" w:themeColor="accent1"/>
          <w:right w:val="single" w:sz="4" w:space="0" w:color="4098A4" w:themeColor="accent1"/>
          <w:insideH w:val="nil"/>
          <w:insideV w:val="nil"/>
        </w:tcBorders>
        <w:shd w:val="clear" w:color="auto" w:fill="4098A4" w:themeFill="accent1"/>
      </w:tcPr>
    </w:tblStylePr>
    <w:tblStylePr w:type="lastRow">
      <w:rPr>
        <w:b/>
        <w:bCs/>
      </w:rPr>
      <w:tblPr/>
      <w:tcPr>
        <w:tcBorders>
          <w:top w:val="double" w:sz="4" w:space="0" w:color="4098A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GridTable4-Accent21">
    <w:name w:val="Grid Table 4 - Accent 2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  <w:insideV w:val="single" w:sz="4" w:space="0" w:color="B2D5D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BAC3" w:themeColor="accent2"/>
          <w:left w:val="single" w:sz="4" w:space="0" w:color="80BAC3" w:themeColor="accent2"/>
          <w:bottom w:val="single" w:sz="4" w:space="0" w:color="80BAC3" w:themeColor="accent2"/>
          <w:right w:val="single" w:sz="4" w:space="0" w:color="80BAC3" w:themeColor="accent2"/>
          <w:insideH w:val="nil"/>
          <w:insideV w:val="nil"/>
        </w:tcBorders>
        <w:shd w:val="clear" w:color="auto" w:fill="80BAC3" w:themeFill="accent2"/>
      </w:tcPr>
    </w:tblStylePr>
    <w:tblStylePr w:type="lastRow">
      <w:rPr>
        <w:b/>
        <w:bCs/>
      </w:rPr>
      <w:tblPr/>
      <w:tcPr>
        <w:tcBorders>
          <w:top w:val="double" w:sz="4" w:space="0" w:color="80BAC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GridTable4-Accent31">
    <w:name w:val="Grid Table 4 - Accent 3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  <w:insideV w:val="single" w:sz="4" w:space="0" w:color="D8EAE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FDDE1" w:themeColor="accent3"/>
          <w:left w:val="single" w:sz="4" w:space="0" w:color="BFDDE1" w:themeColor="accent3"/>
          <w:bottom w:val="single" w:sz="4" w:space="0" w:color="BFDDE1" w:themeColor="accent3"/>
          <w:right w:val="single" w:sz="4" w:space="0" w:color="BFDDE1" w:themeColor="accent3"/>
          <w:insideH w:val="nil"/>
          <w:insideV w:val="nil"/>
        </w:tcBorders>
        <w:shd w:val="clear" w:color="auto" w:fill="BFDDE1" w:themeFill="accent3"/>
      </w:tcPr>
    </w:tblStylePr>
    <w:tblStylePr w:type="lastRow">
      <w:rPr>
        <w:b/>
        <w:bCs/>
      </w:rPr>
      <w:tblPr/>
      <w:tcPr>
        <w:tcBorders>
          <w:top w:val="double" w:sz="4" w:space="0" w:color="BFDDE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GridTable4-Accent41">
    <w:name w:val="Grid Table 4 - Accent 4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  <w:insideV w:val="single" w:sz="4" w:space="0" w:color="84849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04050" w:themeColor="accent4"/>
          <w:left w:val="single" w:sz="4" w:space="0" w:color="404050" w:themeColor="accent4"/>
          <w:bottom w:val="single" w:sz="4" w:space="0" w:color="404050" w:themeColor="accent4"/>
          <w:right w:val="single" w:sz="4" w:space="0" w:color="404050" w:themeColor="accent4"/>
          <w:insideH w:val="nil"/>
          <w:insideV w:val="nil"/>
        </w:tcBorders>
        <w:shd w:val="clear" w:color="auto" w:fill="404050" w:themeFill="accent4"/>
      </w:tcPr>
    </w:tblStylePr>
    <w:tblStylePr w:type="lastRow">
      <w:rPr>
        <w:b/>
        <w:bCs/>
      </w:rPr>
      <w:tblPr/>
      <w:tcPr>
        <w:tcBorders>
          <w:top w:val="double" w:sz="4" w:space="0" w:color="40405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GridTable4-Accent51">
    <w:name w:val="Grid Table 4 - Accent 5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  <w:insideV w:val="single" w:sz="4" w:space="0" w:color="B2B2B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808B" w:themeColor="accent5"/>
          <w:left w:val="single" w:sz="4" w:space="0" w:color="80808B" w:themeColor="accent5"/>
          <w:bottom w:val="single" w:sz="4" w:space="0" w:color="80808B" w:themeColor="accent5"/>
          <w:right w:val="single" w:sz="4" w:space="0" w:color="80808B" w:themeColor="accent5"/>
          <w:insideH w:val="nil"/>
          <w:insideV w:val="nil"/>
        </w:tcBorders>
        <w:shd w:val="clear" w:color="auto" w:fill="80808B" w:themeFill="accent5"/>
      </w:tcPr>
    </w:tblStylePr>
    <w:tblStylePr w:type="lastRow">
      <w:rPr>
        <w:b/>
        <w:bCs/>
      </w:rPr>
      <w:tblPr/>
      <w:tcPr>
        <w:tcBorders>
          <w:top w:val="double" w:sz="4" w:space="0" w:color="80808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GridTable4-Accent61">
    <w:name w:val="Grid Table 4 - Accent 6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  <w:insideV w:val="single" w:sz="4" w:space="0" w:color="E0E0E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CCCD0" w:themeColor="accent6"/>
          <w:left w:val="single" w:sz="4" w:space="0" w:color="CCCCD0" w:themeColor="accent6"/>
          <w:bottom w:val="single" w:sz="4" w:space="0" w:color="CCCCD0" w:themeColor="accent6"/>
          <w:right w:val="single" w:sz="4" w:space="0" w:color="CCCCD0" w:themeColor="accent6"/>
          <w:insideH w:val="nil"/>
          <w:insideV w:val="nil"/>
        </w:tcBorders>
        <w:shd w:val="clear" w:color="auto" w:fill="CCCCD0" w:themeFill="accent6"/>
      </w:tcPr>
    </w:tblStylePr>
    <w:tblStylePr w:type="lastRow">
      <w:rPr>
        <w:b/>
        <w:bCs/>
      </w:rPr>
      <w:tblPr/>
      <w:tcPr>
        <w:tcBorders>
          <w:top w:val="double" w:sz="4" w:space="0" w:color="CCCCD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GridTable5Dark1">
    <w:name w:val="Grid Table 5 Dark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-Accent11">
    <w:name w:val="Grid Table 5 Dark - Accent 1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6ECE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098A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098A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098A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098A4" w:themeFill="accent1"/>
      </w:tcPr>
    </w:tblStylePr>
    <w:tblStylePr w:type="band1Vert">
      <w:tblPr/>
      <w:tcPr>
        <w:shd w:val="clear" w:color="auto" w:fill="ADD9DF" w:themeFill="accent1" w:themeFillTint="66"/>
      </w:tcPr>
    </w:tblStylePr>
    <w:tblStylePr w:type="band1Horz">
      <w:tblPr/>
      <w:tcPr>
        <w:shd w:val="clear" w:color="auto" w:fill="ADD9DF" w:themeFill="accent1" w:themeFillTint="66"/>
      </w:tcPr>
    </w:tblStylePr>
  </w:style>
  <w:style w:type="table" w:customStyle="1" w:styleId="GridTable5Dark-Accent21">
    <w:name w:val="Grid Table 5 Dark - Accent 2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F1F3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BAC3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BAC3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BAC3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BAC3" w:themeFill="accent2"/>
      </w:tcPr>
    </w:tblStylePr>
    <w:tblStylePr w:type="band1Vert">
      <w:tblPr/>
      <w:tcPr>
        <w:shd w:val="clear" w:color="auto" w:fill="CCE3E7" w:themeFill="accent2" w:themeFillTint="66"/>
      </w:tcPr>
    </w:tblStylePr>
    <w:tblStylePr w:type="band1Horz">
      <w:tblPr/>
      <w:tcPr>
        <w:shd w:val="clear" w:color="auto" w:fill="CCE3E7" w:themeFill="accent2" w:themeFillTint="66"/>
      </w:tcPr>
    </w:tblStylePr>
  </w:style>
  <w:style w:type="table" w:customStyle="1" w:styleId="GridTable5Dark-Accent31">
    <w:name w:val="Grid Table 5 Dark - Accent 3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8F9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FDDE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FDDE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FDDE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FDDE1" w:themeFill="accent3"/>
      </w:tcPr>
    </w:tblStylePr>
    <w:tblStylePr w:type="band1Vert">
      <w:tblPr/>
      <w:tcPr>
        <w:shd w:val="clear" w:color="auto" w:fill="E5F1F3" w:themeFill="accent3" w:themeFillTint="66"/>
      </w:tcPr>
    </w:tblStylePr>
    <w:tblStylePr w:type="band1Horz">
      <w:tblPr/>
      <w:tcPr>
        <w:shd w:val="clear" w:color="auto" w:fill="E5F1F3" w:themeFill="accent3" w:themeFillTint="66"/>
      </w:tcPr>
    </w:tblStylePr>
  </w:style>
  <w:style w:type="table" w:customStyle="1" w:styleId="GridTable5Dark-Accent41">
    <w:name w:val="Grid Table 5 Dark - Accent 4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6D6D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0405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0405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0405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04050" w:themeFill="accent4"/>
      </w:tcPr>
    </w:tblStylePr>
    <w:tblStylePr w:type="band1Vert">
      <w:tblPr/>
      <w:tcPr>
        <w:shd w:val="clear" w:color="auto" w:fill="ADADBD" w:themeFill="accent4" w:themeFillTint="66"/>
      </w:tcPr>
    </w:tblStylePr>
    <w:tblStylePr w:type="band1Horz">
      <w:tblPr/>
      <w:tcPr>
        <w:shd w:val="clear" w:color="auto" w:fill="ADADBD" w:themeFill="accent4" w:themeFillTint="66"/>
      </w:tcPr>
    </w:tblStylePr>
  </w:style>
  <w:style w:type="table" w:customStyle="1" w:styleId="GridTable5Dark-Accent51">
    <w:name w:val="Grid Table 5 Dark - Accent 5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5E7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808B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808B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808B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808B" w:themeFill="accent5"/>
      </w:tcPr>
    </w:tblStylePr>
    <w:tblStylePr w:type="band1Vert">
      <w:tblPr/>
      <w:tcPr>
        <w:shd w:val="clear" w:color="auto" w:fill="CCCCD0" w:themeFill="accent5" w:themeFillTint="66"/>
      </w:tcPr>
    </w:tblStylePr>
    <w:tblStylePr w:type="band1Horz">
      <w:tblPr/>
      <w:tcPr>
        <w:shd w:val="clear" w:color="auto" w:fill="CCCCD0" w:themeFill="accent5" w:themeFillTint="66"/>
      </w:tcPr>
    </w:tblStylePr>
  </w:style>
  <w:style w:type="table" w:customStyle="1" w:styleId="GridTable5Dark-Accent61">
    <w:name w:val="Grid Table 5 Dark - Accent 6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4F5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CCCD0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CCCD0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CCCD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CCCD0" w:themeFill="accent6"/>
      </w:tcPr>
    </w:tblStylePr>
    <w:tblStylePr w:type="band1Vert">
      <w:tblPr/>
      <w:tcPr>
        <w:shd w:val="clear" w:color="auto" w:fill="EAEAEC" w:themeFill="accent6" w:themeFillTint="66"/>
      </w:tcPr>
    </w:tblStylePr>
    <w:tblStylePr w:type="band1Horz">
      <w:tblPr/>
      <w:tcPr>
        <w:shd w:val="clear" w:color="auto" w:fill="EAEAEC" w:themeFill="accent6" w:themeFillTint="66"/>
      </w:tcPr>
    </w:tblStylePr>
  </w:style>
  <w:style w:type="table" w:customStyle="1" w:styleId="GridTable6Colorful1">
    <w:name w:val="Grid Table 6 Colorful1"/>
    <w:basedOn w:val="TableNormal"/>
    <w:uiPriority w:val="51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-Accent11">
    <w:name w:val="Grid Table 6 Colorful - Accent 11"/>
    <w:basedOn w:val="TableNormal"/>
    <w:uiPriority w:val="51"/>
    <w:semiHidden/>
    <w:rsid w:val="00294A5A"/>
    <w:pPr>
      <w:spacing w:after="0" w:line="240" w:lineRule="auto"/>
    </w:pPr>
    <w:rPr>
      <w:color w:val="30717A" w:themeColor="accent1" w:themeShade="BF"/>
    </w:r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  <w:insideV w:val="single" w:sz="4" w:space="0" w:color="85C6C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5C6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5C6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GridTable6Colorful-Accent21">
    <w:name w:val="Grid Table 6 Colorful - Accent 21"/>
    <w:basedOn w:val="TableNormal"/>
    <w:uiPriority w:val="51"/>
    <w:semiHidden/>
    <w:rsid w:val="00294A5A"/>
    <w:pPr>
      <w:spacing w:after="0" w:line="240" w:lineRule="auto"/>
    </w:pPr>
    <w:rPr>
      <w:color w:val="4D98A4" w:themeColor="accent2" w:themeShade="BF"/>
    </w:r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  <w:insideV w:val="single" w:sz="4" w:space="0" w:color="B2D5DB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B2D5D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D5D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GridTable6Colorful-Accent31">
    <w:name w:val="Grid Table 6 Colorful - Accent 31"/>
    <w:basedOn w:val="TableNormal"/>
    <w:uiPriority w:val="51"/>
    <w:semiHidden/>
    <w:rsid w:val="00294A5A"/>
    <w:pPr>
      <w:spacing w:after="0" w:line="240" w:lineRule="auto"/>
    </w:pPr>
    <w:rPr>
      <w:color w:val="77B7BF" w:themeColor="accent3" w:themeShade="BF"/>
    </w:r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  <w:insideV w:val="single" w:sz="4" w:space="0" w:color="D8EAED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D8EAE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8EAE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GridTable6Colorful-Accent41">
    <w:name w:val="Grid Table 6 Colorful - Accent 41"/>
    <w:basedOn w:val="TableNormal"/>
    <w:uiPriority w:val="51"/>
    <w:semiHidden/>
    <w:rsid w:val="00294A5A"/>
    <w:pPr>
      <w:spacing w:after="0" w:line="240" w:lineRule="auto"/>
    </w:pPr>
    <w:rPr>
      <w:color w:val="30303B" w:themeColor="accent4" w:themeShade="BF"/>
    </w:r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  <w:insideV w:val="single" w:sz="4" w:space="0" w:color="84849D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8484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484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GridTable6Colorful-Accent51">
    <w:name w:val="Grid Table 6 Colorful - Accent 51"/>
    <w:basedOn w:val="TableNormal"/>
    <w:uiPriority w:val="51"/>
    <w:semiHidden/>
    <w:rsid w:val="00294A5A"/>
    <w:pPr>
      <w:spacing w:after="0" w:line="240" w:lineRule="auto"/>
    </w:pPr>
    <w:rPr>
      <w:color w:val="5F5F68" w:themeColor="accent5" w:themeShade="BF"/>
    </w:r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  <w:insideV w:val="single" w:sz="4" w:space="0" w:color="B2B2B9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2B2B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B2B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GridTable6Colorful-Accent61">
    <w:name w:val="Grid Table 6 Colorful - Accent 61"/>
    <w:basedOn w:val="TableNormal"/>
    <w:uiPriority w:val="51"/>
    <w:semiHidden/>
    <w:rsid w:val="00294A5A"/>
    <w:pPr>
      <w:spacing w:after="0" w:line="240" w:lineRule="auto"/>
    </w:pPr>
    <w:rPr>
      <w:color w:val="96969E" w:themeColor="accent6" w:themeShade="BF"/>
    </w:r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  <w:insideV w:val="single" w:sz="4" w:space="0" w:color="E0E0E2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0E0E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0E0E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GridTable7Colorful1">
    <w:name w:val="Grid Table 7 Colorful1"/>
    <w:basedOn w:val="TableNormal"/>
    <w:uiPriority w:val="52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-Accent11">
    <w:name w:val="Grid Table 7 Colorful - Accent 11"/>
    <w:basedOn w:val="TableNormal"/>
    <w:uiPriority w:val="52"/>
    <w:semiHidden/>
    <w:rsid w:val="00294A5A"/>
    <w:pPr>
      <w:spacing w:after="0" w:line="240" w:lineRule="auto"/>
    </w:pPr>
    <w:rPr>
      <w:color w:val="30717A" w:themeColor="accent1" w:themeShade="BF"/>
    </w:r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  <w:insideV w:val="single" w:sz="4" w:space="0" w:color="85C6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  <w:tblStylePr w:type="neCell">
      <w:tblPr/>
      <w:tcPr>
        <w:tcBorders>
          <w:bottom w:val="single" w:sz="4" w:space="0" w:color="85C6CF" w:themeColor="accent1" w:themeTint="99"/>
        </w:tcBorders>
      </w:tcPr>
    </w:tblStylePr>
    <w:tblStylePr w:type="nwCell">
      <w:tblPr/>
      <w:tcPr>
        <w:tcBorders>
          <w:bottom w:val="single" w:sz="4" w:space="0" w:color="85C6CF" w:themeColor="accent1" w:themeTint="99"/>
        </w:tcBorders>
      </w:tcPr>
    </w:tblStylePr>
    <w:tblStylePr w:type="seCell">
      <w:tblPr/>
      <w:tcPr>
        <w:tcBorders>
          <w:top w:val="single" w:sz="4" w:space="0" w:color="85C6CF" w:themeColor="accent1" w:themeTint="99"/>
        </w:tcBorders>
      </w:tcPr>
    </w:tblStylePr>
    <w:tblStylePr w:type="swCell">
      <w:tblPr/>
      <w:tcPr>
        <w:tcBorders>
          <w:top w:val="single" w:sz="4" w:space="0" w:color="85C6CF" w:themeColor="accent1" w:themeTint="99"/>
        </w:tcBorders>
      </w:tcPr>
    </w:tblStylePr>
  </w:style>
  <w:style w:type="table" w:customStyle="1" w:styleId="GridTable7Colorful-Accent21">
    <w:name w:val="Grid Table 7 Colorful - Accent 21"/>
    <w:basedOn w:val="TableNormal"/>
    <w:uiPriority w:val="52"/>
    <w:semiHidden/>
    <w:rsid w:val="00294A5A"/>
    <w:pPr>
      <w:spacing w:after="0" w:line="240" w:lineRule="auto"/>
    </w:pPr>
    <w:rPr>
      <w:color w:val="4D98A4" w:themeColor="accent2" w:themeShade="BF"/>
    </w:r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  <w:insideV w:val="single" w:sz="4" w:space="0" w:color="B2D5D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  <w:tblStylePr w:type="neCell">
      <w:tblPr/>
      <w:tcPr>
        <w:tcBorders>
          <w:bottom w:val="single" w:sz="4" w:space="0" w:color="B2D5DB" w:themeColor="accent2" w:themeTint="99"/>
        </w:tcBorders>
      </w:tcPr>
    </w:tblStylePr>
    <w:tblStylePr w:type="nwCell">
      <w:tblPr/>
      <w:tcPr>
        <w:tcBorders>
          <w:bottom w:val="single" w:sz="4" w:space="0" w:color="B2D5DB" w:themeColor="accent2" w:themeTint="99"/>
        </w:tcBorders>
      </w:tcPr>
    </w:tblStylePr>
    <w:tblStylePr w:type="seCell">
      <w:tblPr/>
      <w:tcPr>
        <w:tcBorders>
          <w:top w:val="single" w:sz="4" w:space="0" w:color="B2D5DB" w:themeColor="accent2" w:themeTint="99"/>
        </w:tcBorders>
      </w:tcPr>
    </w:tblStylePr>
    <w:tblStylePr w:type="swCell">
      <w:tblPr/>
      <w:tcPr>
        <w:tcBorders>
          <w:top w:val="single" w:sz="4" w:space="0" w:color="B2D5DB" w:themeColor="accent2" w:themeTint="99"/>
        </w:tcBorders>
      </w:tcPr>
    </w:tblStylePr>
  </w:style>
  <w:style w:type="table" w:customStyle="1" w:styleId="GridTable7Colorful-Accent31">
    <w:name w:val="Grid Table 7 Colorful - Accent 31"/>
    <w:basedOn w:val="TableNormal"/>
    <w:uiPriority w:val="52"/>
    <w:semiHidden/>
    <w:rsid w:val="00294A5A"/>
    <w:pPr>
      <w:spacing w:after="0" w:line="240" w:lineRule="auto"/>
    </w:pPr>
    <w:rPr>
      <w:color w:val="77B7BF" w:themeColor="accent3" w:themeShade="BF"/>
    </w:r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  <w:insideV w:val="single" w:sz="4" w:space="0" w:color="D8EAE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  <w:tblStylePr w:type="neCell">
      <w:tblPr/>
      <w:tcPr>
        <w:tcBorders>
          <w:bottom w:val="single" w:sz="4" w:space="0" w:color="D8EAED" w:themeColor="accent3" w:themeTint="99"/>
        </w:tcBorders>
      </w:tcPr>
    </w:tblStylePr>
    <w:tblStylePr w:type="nwCell">
      <w:tblPr/>
      <w:tcPr>
        <w:tcBorders>
          <w:bottom w:val="single" w:sz="4" w:space="0" w:color="D8EAED" w:themeColor="accent3" w:themeTint="99"/>
        </w:tcBorders>
      </w:tcPr>
    </w:tblStylePr>
    <w:tblStylePr w:type="seCell">
      <w:tblPr/>
      <w:tcPr>
        <w:tcBorders>
          <w:top w:val="single" w:sz="4" w:space="0" w:color="D8EAED" w:themeColor="accent3" w:themeTint="99"/>
        </w:tcBorders>
      </w:tcPr>
    </w:tblStylePr>
    <w:tblStylePr w:type="swCell">
      <w:tblPr/>
      <w:tcPr>
        <w:tcBorders>
          <w:top w:val="single" w:sz="4" w:space="0" w:color="D8EAED" w:themeColor="accent3" w:themeTint="99"/>
        </w:tcBorders>
      </w:tcPr>
    </w:tblStylePr>
  </w:style>
  <w:style w:type="table" w:customStyle="1" w:styleId="GridTable7Colorful-Accent41">
    <w:name w:val="Grid Table 7 Colorful - Accent 41"/>
    <w:basedOn w:val="TableNormal"/>
    <w:uiPriority w:val="52"/>
    <w:semiHidden/>
    <w:rsid w:val="00294A5A"/>
    <w:pPr>
      <w:spacing w:after="0" w:line="240" w:lineRule="auto"/>
    </w:pPr>
    <w:rPr>
      <w:color w:val="30303B" w:themeColor="accent4" w:themeShade="BF"/>
    </w:r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  <w:insideV w:val="single" w:sz="4" w:space="0" w:color="84849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  <w:tblStylePr w:type="neCell">
      <w:tblPr/>
      <w:tcPr>
        <w:tcBorders>
          <w:bottom w:val="single" w:sz="4" w:space="0" w:color="84849D" w:themeColor="accent4" w:themeTint="99"/>
        </w:tcBorders>
      </w:tcPr>
    </w:tblStylePr>
    <w:tblStylePr w:type="nwCell">
      <w:tblPr/>
      <w:tcPr>
        <w:tcBorders>
          <w:bottom w:val="single" w:sz="4" w:space="0" w:color="84849D" w:themeColor="accent4" w:themeTint="99"/>
        </w:tcBorders>
      </w:tcPr>
    </w:tblStylePr>
    <w:tblStylePr w:type="seCell">
      <w:tblPr/>
      <w:tcPr>
        <w:tcBorders>
          <w:top w:val="single" w:sz="4" w:space="0" w:color="84849D" w:themeColor="accent4" w:themeTint="99"/>
        </w:tcBorders>
      </w:tcPr>
    </w:tblStylePr>
    <w:tblStylePr w:type="swCell">
      <w:tblPr/>
      <w:tcPr>
        <w:tcBorders>
          <w:top w:val="single" w:sz="4" w:space="0" w:color="84849D" w:themeColor="accent4" w:themeTint="99"/>
        </w:tcBorders>
      </w:tcPr>
    </w:tblStylePr>
  </w:style>
  <w:style w:type="table" w:customStyle="1" w:styleId="GridTable7Colorful-Accent51">
    <w:name w:val="Grid Table 7 Colorful - Accent 51"/>
    <w:basedOn w:val="TableNormal"/>
    <w:uiPriority w:val="52"/>
    <w:semiHidden/>
    <w:rsid w:val="00294A5A"/>
    <w:pPr>
      <w:spacing w:after="0" w:line="240" w:lineRule="auto"/>
    </w:pPr>
    <w:rPr>
      <w:color w:val="5F5F68" w:themeColor="accent5" w:themeShade="BF"/>
    </w:r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  <w:insideV w:val="single" w:sz="4" w:space="0" w:color="B2B2B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  <w:tblStylePr w:type="neCell">
      <w:tblPr/>
      <w:tcPr>
        <w:tcBorders>
          <w:bottom w:val="single" w:sz="4" w:space="0" w:color="B2B2B9" w:themeColor="accent5" w:themeTint="99"/>
        </w:tcBorders>
      </w:tcPr>
    </w:tblStylePr>
    <w:tblStylePr w:type="nwCell">
      <w:tblPr/>
      <w:tcPr>
        <w:tcBorders>
          <w:bottom w:val="single" w:sz="4" w:space="0" w:color="B2B2B9" w:themeColor="accent5" w:themeTint="99"/>
        </w:tcBorders>
      </w:tcPr>
    </w:tblStylePr>
    <w:tblStylePr w:type="seCell">
      <w:tblPr/>
      <w:tcPr>
        <w:tcBorders>
          <w:top w:val="single" w:sz="4" w:space="0" w:color="B2B2B9" w:themeColor="accent5" w:themeTint="99"/>
        </w:tcBorders>
      </w:tcPr>
    </w:tblStylePr>
    <w:tblStylePr w:type="swCell">
      <w:tblPr/>
      <w:tcPr>
        <w:tcBorders>
          <w:top w:val="single" w:sz="4" w:space="0" w:color="B2B2B9" w:themeColor="accent5" w:themeTint="99"/>
        </w:tcBorders>
      </w:tcPr>
    </w:tblStylePr>
  </w:style>
  <w:style w:type="table" w:customStyle="1" w:styleId="GridTable7Colorful-Accent61">
    <w:name w:val="Grid Table 7 Colorful - Accent 61"/>
    <w:basedOn w:val="TableNormal"/>
    <w:uiPriority w:val="52"/>
    <w:semiHidden/>
    <w:rsid w:val="00294A5A"/>
    <w:pPr>
      <w:spacing w:after="0" w:line="240" w:lineRule="auto"/>
    </w:pPr>
    <w:rPr>
      <w:color w:val="96969E" w:themeColor="accent6" w:themeShade="BF"/>
    </w:r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  <w:insideV w:val="single" w:sz="4" w:space="0" w:color="E0E0E2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  <w:tblStylePr w:type="neCell">
      <w:tblPr/>
      <w:tcPr>
        <w:tcBorders>
          <w:bottom w:val="single" w:sz="4" w:space="0" w:color="E0E0E2" w:themeColor="accent6" w:themeTint="99"/>
        </w:tcBorders>
      </w:tcPr>
    </w:tblStylePr>
    <w:tblStylePr w:type="nwCell">
      <w:tblPr/>
      <w:tcPr>
        <w:tcBorders>
          <w:bottom w:val="single" w:sz="4" w:space="0" w:color="E0E0E2" w:themeColor="accent6" w:themeTint="99"/>
        </w:tcBorders>
      </w:tcPr>
    </w:tblStylePr>
    <w:tblStylePr w:type="seCell">
      <w:tblPr/>
      <w:tcPr>
        <w:tcBorders>
          <w:top w:val="single" w:sz="4" w:space="0" w:color="E0E0E2" w:themeColor="accent6" w:themeTint="99"/>
        </w:tcBorders>
      </w:tcPr>
    </w:tblStylePr>
    <w:tblStylePr w:type="swCell">
      <w:tblPr/>
      <w:tcPr>
        <w:tcBorders>
          <w:top w:val="single" w:sz="4" w:space="0" w:color="E0E0E2" w:themeColor="accent6" w:themeTint="99"/>
        </w:tcBorders>
      </w:tcPr>
    </w:tblStylePr>
  </w:style>
  <w:style w:type="table" w:styleId="LightGrid">
    <w:name w:val="Light Grid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98A4" w:themeColor="accent1"/>
        <w:left w:val="single" w:sz="8" w:space="0" w:color="4098A4" w:themeColor="accent1"/>
        <w:bottom w:val="single" w:sz="8" w:space="0" w:color="4098A4" w:themeColor="accent1"/>
        <w:right w:val="single" w:sz="8" w:space="0" w:color="4098A4" w:themeColor="accent1"/>
        <w:insideH w:val="single" w:sz="8" w:space="0" w:color="4098A4" w:themeColor="accent1"/>
        <w:insideV w:val="single" w:sz="8" w:space="0" w:color="4098A4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18" w:space="0" w:color="4098A4" w:themeColor="accent1"/>
          <w:right w:val="single" w:sz="8" w:space="0" w:color="4098A4" w:themeColor="accent1"/>
          <w:insideH w:val="nil"/>
          <w:insideV w:val="single" w:sz="8" w:space="0" w:color="4098A4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  <w:insideH w:val="nil"/>
          <w:insideV w:val="single" w:sz="8" w:space="0" w:color="4098A4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</w:tcPr>
    </w:tblStylePr>
    <w:tblStylePr w:type="band1Vert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</w:tcBorders>
        <w:shd w:val="clear" w:color="auto" w:fill="CCE7EB" w:themeFill="accent1" w:themeFillTint="3F"/>
      </w:tcPr>
    </w:tblStylePr>
    <w:tblStylePr w:type="band1Horz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  <w:insideV w:val="single" w:sz="8" w:space="0" w:color="4098A4" w:themeColor="accent1"/>
        </w:tcBorders>
        <w:shd w:val="clear" w:color="auto" w:fill="CCE7EB" w:themeFill="accent1" w:themeFillTint="3F"/>
      </w:tcPr>
    </w:tblStylePr>
    <w:tblStylePr w:type="band2Horz">
      <w:tblPr/>
      <w:tcPr>
        <w:tcBorders>
          <w:top w:val="single" w:sz="8" w:space="0" w:color="4098A4" w:themeColor="accent1"/>
          <w:left w:val="single" w:sz="8" w:space="0" w:color="4098A4" w:themeColor="accent1"/>
          <w:bottom w:val="single" w:sz="8" w:space="0" w:color="4098A4" w:themeColor="accent1"/>
          <w:right w:val="single" w:sz="8" w:space="0" w:color="4098A4" w:themeColor="accent1"/>
          <w:insideV w:val="single" w:sz="8" w:space="0" w:color="4098A4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BAC3" w:themeColor="accent2"/>
        <w:left w:val="single" w:sz="8" w:space="0" w:color="80BAC3" w:themeColor="accent2"/>
        <w:bottom w:val="single" w:sz="8" w:space="0" w:color="80BAC3" w:themeColor="accent2"/>
        <w:right w:val="single" w:sz="8" w:space="0" w:color="80BAC3" w:themeColor="accent2"/>
        <w:insideH w:val="single" w:sz="8" w:space="0" w:color="80BAC3" w:themeColor="accent2"/>
        <w:insideV w:val="single" w:sz="8" w:space="0" w:color="80BAC3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18" w:space="0" w:color="80BAC3" w:themeColor="accent2"/>
          <w:right w:val="single" w:sz="8" w:space="0" w:color="80BAC3" w:themeColor="accent2"/>
          <w:insideH w:val="nil"/>
          <w:insideV w:val="single" w:sz="8" w:space="0" w:color="80BAC3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  <w:insideH w:val="nil"/>
          <w:insideV w:val="single" w:sz="8" w:space="0" w:color="80BAC3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</w:tcPr>
    </w:tblStylePr>
    <w:tblStylePr w:type="band1Vert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  <w:shd w:val="clear" w:color="auto" w:fill="DFEDF0" w:themeFill="accent2" w:themeFillTint="3F"/>
      </w:tcPr>
    </w:tblStylePr>
    <w:tblStylePr w:type="band1Horz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  <w:insideV w:val="single" w:sz="8" w:space="0" w:color="80BAC3" w:themeColor="accent2"/>
        </w:tcBorders>
        <w:shd w:val="clear" w:color="auto" w:fill="DFEDF0" w:themeFill="accent2" w:themeFillTint="3F"/>
      </w:tcPr>
    </w:tblStylePr>
    <w:tblStylePr w:type="band2Horz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  <w:insideV w:val="single" w:sz="8" w:space="0" w:color="80BAC3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FDDE1" w:themeColor="accent3"/>
        <w:left w:val="single" w:sz="8" w:space="0" w:color="BFDDE1" w:themeColor="accent3"/>
        <w:bottom w:val="single" w:sz="8" w:space="0" w:color="BFDDE1" w:themeColor="accent3"/>
        <w:right w:val="single" w:sz="8" w:space="0" w:color="BFDDE1" w:themeColor="accent3"/>
        <w:insideH w:val="single" w:sz="8" w:space="0" w:color="BFDDE1" w:themeColor="accent3"/>
        <w:insideV w:val="single" w:sz="8" w:space="0" w:color="BFDDE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18" w:space="0" w:color="BFDDE1" w:themeColor="accent3"/>
          <w:right w:val="single" w:sz="8" w:space="0" w:color="BFDDE1" w:themeColor="accent3"/>
          <w:insideH w:val="nil"/>
          <w:insideV w:val="single" w:sz="8" w:space="0" w:color="BFDDE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  <w:insideH w:val="nil"/>
          <w:insideV w:val="single" w:sz="8" w:space="0" w:color="BFDDE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</w:tcPr>
    </w:tblStylePr>
    <w:tblStylePr w:type="band1Vert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  <w:shd w:val="clear" w:color="auto" w:fill="EFF6F7" w:themeFill="accent3" w:themeFillTint="3F"/>
      </w:tcPr>
    </w:tblStylePr>
    <w:tblStylePr w:type="band1Horz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  <w:insideV w:val="single" w:sz="8" w:space="0" w:color="BFDDE1" w:themeColor="accent3"/>
        </w:tcBorders>
        <w:shd w:val="clear" w:color="auto" w:fill="EFF6F7" w:themeFill="accent3" w:themeFillTint="3F"/>
      </w:tcPr>
    </w:tblStylePr>
    <w:tblStylePr w:type="band2Horz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  <w:insideV w:val="single" w:sz="8" w:space="0" w:color="BFDDE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50" w:themeColor="accent4"/>
        <w:left w:val="single" w:sz="8" w:space="0" w:color="404050" w:themeColor="accent4"/>
        <w:bottom w:val="single" w:sz="8" w:space="0" w:color="404050" w:themeColor="accent4"/>
        <w:right w:val="single" w:sz="8" w:space="0" w:color="404050" w:themeColor="accent4"/>
        <w:insideH w:val="single" w:sz="8" w:space="0" w:color="404050" w:themeColor="accent4"/>
        <w:insideV w:val="single" w:sz="8" w:space="0" w:color="40405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18" w:space="0" w:color="404050" w:themeColor="accent4"/>
          <w:right w:val="single" w:sz="8" w:space="0" w:color="404050" w:themeColor="accent4"/>
          <w:insideH w:val="nil"/>
          <w:insideV w:val="single" w:sz="8" w:space="0" w:color="40405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  <w:insideH w:val="nil"/>
          <w:insideV w:val="single" w:sz="8" w:space="0" w:color="40405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</w:tcPr>
    </w:tblStylePr>
    <w:tblStylePr w:type="band1Vert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</w:tcBorders>
        <w:shd w:val="clear" w:color="auto" w:fill="CCCCD6" w:themeFill="accent4" w:themeFillTint="3F"/>
      </w:tcPr>
    </w:tblStylePr>
    <w:tblStylePr w:type="band1Horz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  <w:insideV w:val="single" w:sz="8" w:space="0" w:color="404050" w:themeColor="accent4"/>
        </w:tcBorders>
        <w:shd w:val="clear" w:color="auto" w:fill="CCCCD6" w:themeFill="accent4" w:themeFillTint="3F"/>
      </w:tcPr>
    </w:tblStylePr>
    <w:tblStylePr w:type="band2Horz">
      <w:tblPr/>
      <w:tcPr>
        <w:tcBorders>
          <w:top w:val="single" w:sz="8" w:space="0" w:color="404050" w:themeColor="accent4"/>
          <w:left w:val="single" w:sz="8" w:space="0" w:color="404050" w:themeColor="accent4"/>
          <w:bottom w:val="single" w:sz="8" w:space="0" w:color="404050" w:themeColor="accent4"/>
          <w:right w:val="single" w:sz="8" w:space="0" w:color="404050" w:themeColor="accent4"/>
          <w:insideV w:val="single" w:sz="8" w:space="0" w:color="40405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808B" w:themeColor="accent5"/>
        <w:left w:val="single" w:sz="8" w:space="0" w:color="80808B" w:themeColor="accent5"/>
        <w:bottom w:val="single" w:sz="8" w:space="0" w:color="80808B" w:themeColor="accent5"/>
        <w:right w:val="single" w:sz="8" w:space="0" w:color="80808B" w:themeColor="accent5"/>
        <w:insideH w:val="single" w:sz="8" w:space="0" w:color="80808B" w:themeColor="accent5"/>
        <w:insideV w:val="single" w:sz="8" w:space="0" w:color="80808B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18" w:space="0" w:color="80808B" w:themeColor="accent5"/>
          <w:right w:val="single" w:sz="8" w:space="0" w:color="80808B" w:themeColor="accent5"/>
          <w:insideH w:val="nil"/>
          <w:insideV w:val="single" w:sz="8" w:space="0" w:color="80808B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  <w:insideH w:val="nil"/>
          <w:insideV w:val="single" w:sz="8" w:space="0" w:color="80808B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</w:tcPr>
    </w:tblStylePr>
    <w:tblStylePr w:type="band1Vert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  <w:shd w:val="clear" w:color="auto" w:fill="DFDFE2" w:themeFill="accent5" w:themeFillTint="3F"/>
      </w:tcPr>
    </w:tblStylePr>
    <w:tblStylePr w:type="band1Horz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  <w:insideV w:val="single" w:sz="8" w:space="0" w:color="80808B" w:themeColor="accent5"/>
        </w:tcBorders>
        <w:shd w:val="clear" w:color="auto" w:fill="DFDFE2" w:themeFill="accent5" w:themeFillTint="3F"/>
      </w:tcPr>
    </w:tblStylePr>
    <w:tblStylePr w:type="band2Horz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  <w:insideV w:val="single" w:sz="8" w:space="0" w:color="80808B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CCCD0" w:themeColor="accent6"/>
        <w:left w:val="single" w:sz="8" w:space="0" w:color="CCCCD0" w:themeColor="accent6"/>
        <w:bottom w:val="single" w:sz="8" w:space="0" w:color="CCCCD0" w:themeColor="accent6"/>
        <w:right w:val="single" w:sz="8" w:space="0" w:color="CCCCD0" w:themeColor="accent6"/>
        <w:insideH w:val="single" w:sz="8" w:space="0" w:color="CCCCD0" w:themeColor="accent6"/>
        <w:insideV w:val="single" w:sz="8" w:space="0" w:color="CCCCD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18" w:space="0" w:color="CCCCD0" w:themeColor="accent6"/>
          <w:right w:val="single" w:sz="8" w:space="0" w:color="CCCCD0" w:themeColor="accent6"/>
          <w:insideH w:val="nil"/>
          <w:insideV w:val="single" w:sz="8" w:space="0" w:color="CCCCD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  <w:insideH w:val="nil"/>
          <w:insideV w:val="single" w:sz="8" w:space="0" w:color="CCCCD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</w:tcPr>
    </w:tblStylePr>
    <w:tblStylePr w:type="band1Vert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  <w:shd w:val="clear" w:color="auto" w:fill="F2F2F3" w:themeFill="accent6" w:themeFillTint="3F"/>
      </w:tcPr>
    </w:tblStylePr>
    <w:tblStylePr w:type="band1Horz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  <w:insideV w:val="single" w:sz="8" w:space="0" w:color="CCCCD0" w:themeColor="accent6"/>
        </w:tcBorders>
        <w:shd w:val="clear" w:color="auto" w:fill="F2F2F3" w:themeFill="accent6" w:themeFillTint="3F"/>
      </w:tcPr>
    </w:tblStylePr>
    <w:tblStylePr w:type="band2Horz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  <w:insideV w:val="single" w:sz="8" w:space="0" w:color="CCCCD0" w:themeColor="accent6"/>
        </w:tcBorders>
      </w:tcPr>
    </w:tblStylePr>
  </w:style>
  <w:style w:type="table" w:styleId="LightList">
    <w:name w:val="Light List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2">
    <w:name w:val="Light List Accent 2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BAC3" w:themeColor="accent2"/>
        <w:left w:val="single" w:sz="8" w:space="0" w:color="80BAC3" w:themeColor="accent2"/>
        <w:bottom w:val="single" w:sz="8" w:space="0" w:color="80BAC3" w:themeColor="accent2"/>
        <w:right w:val="single" w:sz="8" w:space="0" w:color="80BAC3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BAC3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</w:tcPr>
    </w:tblStylePr>
    <w:tblStylePr w:type="band1Horz">
      <w:tblPr/>
      <w:tcPr>
        <w:tcBorders>
          <w:top w:val="single" w:sz="8" w:space="0" w:color="80BAC3" w:themeColor="accent2"/>
          <w:left w:val="single" w:sz="8" w:space="0" w:color="80BAC3" w:themeColor="accent2"/>
          <w:bottom w:val="single" w:sz="8" w:space="0" w:color="80BAC3" w:themeColor="accent2"/>
          <w:right w:val="single" w:sz="8" w:space="0" w:color="80BAC3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FDDE1" w:themeColor="accent3"/>
        <w:left w:val="single" w:sz="8" w:space="0" w:color="BFDDE1" w:themeColor="accent3"/>
        <w:bottom w:val="single" w:sz="8" w:space="0" w:color="BFDDE1" w:themeColor="accent3"/>
        <w:right w:val="single" w:sz="8" w:space="0" w:color="BFDDE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FDDE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</w:tcPr>
    </w:tblStylePr>
    <w:tblStylePr w:type="band1Horz">
      <w:tblPr/>
      <w:tcPr>
        <w:tcBorders>
          <w:top w:val="single" w:sz="8" w:space="0" w:color="BFDDE1" w:themeColor="accent3"/>
          <w:left w:val="single" w:sz="8" w:space="0" w:color="BFDDE1" w:themeColor="accent3"/>
          <w:bottom w:val="single" w:sz="8" w:space="0" w:color="BFDDE1" w:themeColor="accent3"/>
          <w:right w:val="single" w:sz="8" w:space="0" w:color="BFDDE1" w:themeColor="accent3"/>
        </w:tcBorders>
      </w:tcPr>
    </w:tblStylePr>
  </w:style>
  <w:style w:type="table" w:styleId="LightList-Accent5">
    <w:name w:val="Light List Accent 5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808B" w:themeColor="accent5"/>
        <w:left w:val="single" w:sz="8" w:space="0" w:color="80808B" w:themeColor="accent5"/>
        <w:bottom w:val="single" w:sz="8" w:space="0" w:color="80808B" w:themeColor="accent5"/>
        <w:right w:val="single" w:sz="8" w:space="0" w:color="80808B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808B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</w:tcPr>
    </w:tblStylePr>
    <w:tblStylePr w:type="band1Horz">
      <w:tblPr/>
      <w:tcPr>
        <w:tcBorders>
          <w:top w:val="single" w:sz="8" w:space="0" w:color="80808B" w:themeColor="accent5"/>
          <w:left w:val="single" w:sz="8" w:space="0" w:color="80808B" w:themeColor="accent5"/>
          <w:bottom w:val="single" w:sz="8" w:space="0" w:color="80808B" w:themeColor="accent5"/>
          <w:right w:val="single" w:sz="8" w:space="0" w:color="80808B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CCCD0" w:themeColor="accent6"/>
        <w:left w:val="single" w:sz="8" w:space="0" w:color="CCCCD0" w:themeColor="accent6"/>
        <w:bottom w:val="single" w:sz="8" w:space="0" w:color="CCCCD0" w:themeColor="accent6"/>
        <w:right w:val="single" w:sz="8" w:space="0" w:color="CCCCD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CCCD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</w:tcPr>
    </w:tblStylePr>
    <w:tblStylePr w:type="band1Horz">
      <w:tblPr/>
      <w:tcPr>
        <w:tcBorders>
          <w:top w:val="single" w:sz="8" w:space="0" w:color="CCCCD0" w:themeColor="accent6"/>
          <w:left w:val="single" w:sz="8" w:space="0" w:color="CCCCD0" w:themeColor="accent6"/>
          <w:bottom w:val="single" w:sz="8" w:space="0" w:color="CCCCD0" w:themeColor="accent6"/>
          <w:right w:val="single" w:sz="8" w:space="0" w:color="CCCCD0" w:themeColor="accent6"/>
        </w:tcBorders>
      </w:tcPr>
    </w:tblStylePr>
  </w:style>
  <w:style w:type="table" w:styleId="LightShading-Accent1">
    <w:name w:val="Light Shading Accent 1"/>
    <w:basedOn w:val="TableNormal"/>
    <w:uiPriority w:val="60"/>
    <w:semiHidden/>
    <w:rsid w:val="00294A5A"/>
    <w:pPr>
      <w:spacing w:before="0" w:after="0" w:line="240" w:lineRule="auto"/>
    </w:pPr>
    <w:rPr>
      <w:color w:val="30717A" w:themeColor="accent1" w:themeShade="BF"/>
    </w:rPr>
    <w:tblPr>
      <w:tblStyleRowBandSize w:val="1"/>
      <w:tblStyleColBandSize w:val="1"/>
      <w:tblBorders>
        <w:top w:val="single" w:sz="8" w:space="0" w:color="4098A4" w:themeColor="accent1"/>
        <w:bottom w:val="single" w:sz="8" w:space="0" w:color="4098A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098A4" w:themeColor="accent1"/>
          <w:left w:val="nil"/>
          <w:bottom w:val="single" w:sz="8" w:space="0" w:color="4098A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098A4" w:themeColor="accent1"/>
          <w:left w:val="nil"/>
          <w:bottom w:val="single" w:sz="8" w:space="0" w:color="4098A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E7EB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E7EB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rsid w:val="00294A5A"/>
    <w:pPr>
      <w:spacing w:before="0" w:after="0" w:line="240" w:lineRule="auto"/>
    </w:pPr>
    <w:rPr>
      <w:color w:val="4D98A4" w:themeColor="accent2" w:themeShade="BF"/>
    </w:rPr>
    <w:tblPr>
      <w:tblStyleRowBandSize w:val="1"/>
      <w:tblStyleColBandSize w:val="1"/>
      <w:tblBorders>
        <w:top w:val="single" w:sz="8" w:space="0" w:color="80BAC3" w:themeColor="accent2"/>
        <w:bottom w:val="single" w:sz="8" w:space="0" w:color="80BAC3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BAC3" w:themeColor="accent2"/>
          <w:left w:val="nil"/>
          <w:bottom w:val="single" w:sz="8" w:space="0" w:color="80BAC3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BAC3" w:themeColor="accent2"/>
          <w:left w:val="nil"/>
          <w:bottom w:val="single" w:sz="8" w:space="0" w:color="80BAC3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DF0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EDF0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rsid w:val="00294A5A"/>
    <w:pPr>
      <w:spacing w:before="0" w:after="0" w:line="240" w:lineRule="auto"/>
    </w:pPr>
    <w:rPr>
      <w:color w:val="77B7BF" w:themeColor="accent3" w:themeShade="BF"/>
    </w:rPr>
    <w:tblPr>
      <w:tblStyleRowBandSize w:val="1"/>
      <w:tblStyleColBandSize w:val="1"/>
      <w:tblBorders>
        <w:top w:val="single" w:sz="8" w:space="0" w:color="BFDDE1" w:themeColor="accent3"/>
        <w:bottom w:val="single" w:sz="8" w:space="0" w:color="BFDDE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FDDE1" w:themeColor="accent3"/>
          <w:left w:val="nil"/>
          <w:bottom w:val="single" w:sz="8" w:space="0" w:color="BFDDE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FDDE1" w:themeColor="accent3"/>
          <w:left w:val="nil"/>
          <w:bottom w:val="single" w:sz="8" w:space="0" w:color="BFDDE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F6F7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F6F7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rsid w:val="00294A5A"/>
    <w:pPr>
      <w:spacing w:before="0" w:after="0" w:line="240" w:lineRule="auto"/>
    </w:pPr>
    <w:rPr>
      <w:color w:val="30303B" w:themeColor="accent4" w:themeShade="BF"/>
    </w:rPr>
    <w:tblPr>
      <w:tblStyleRowBandSize w:val="1"/>
      <w:tblStyleColBandSize w:val="1"/>
      <w:tblBorders>
        <w:top w:val="single" w:sz="8" w:space="0" w:color="404050" w:themeColor="accent4"/>
        <w:bottom w:val="single" w:sz="8" w:space="0" w:color="40405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04050" w:themeColor="accent4"/>
          <w:left w:val="nil"/>
          <w:bottom w:val="single" w:sz="8" w:space="0" w:color="40405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04050" w:themeColor="accent4"/>
          <w:left w:val="nil"/>
          <w:bottom w:val="single" w:sz="8" w:space="0" w:color="40405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CCD6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CCD6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rsid w:val="00294A5A"/>
    <w:pPr>
      <w:spacing w:before="0" w:after="0" w:line="240" w:lineRule="auto"/>
    </w:pPr>
    <w:rPr>
      <w:color w:val="5F5F68" w:themeColor="accent5" w:themeShade="BF"/>
    </w:rPr>
    <w:tblPr>
      <w:tblStyleRowBandSize w:val="1"/>
      <w:tblStyleColBandSize w:val="1"/>
      <w:tblBorders>
        <w:top w:val="single" w:sz="8" w:space="0" w:color="80808B" w:themeColor="accent5"/>
        <w:bottom w:val="single" w:sz="8" w:space="0" w:color="80808B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808B" w:themeColor="accent5"/>
          <w:left w:val="nil"/>
          <w:bottom w:val="single" w:sz="8" w:space="0" w:color="80808B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808B" w:themeColor="accent5"/>
          <w:left w:val="nil"/>
          <w:bottom w:val="single" w:sz="8" w:space="0" w:color="80808B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FE2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FE2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rsid w:val="00294A5A"/>
    <w:pPr>
      <w:spacing w:before="0" w:after="0" w:line="240" w:lineRule="auto"/>
    </w:pPr>
    <w:rPr>
      <w:color w:val="96969E" w:themeColor="accent6" w:themeShade="BF"/>
    </w:rPr>
    <w:tblPr>
      <w:tblStyleRowBandSize w:val="1"/>
      <w:tblStyleColBandSize w:val="1"/>
      <w:tblBorders>
        <w:top w:val="single" w:sz="8" w:space="0" w:color="CCCCD0" w:themeColor="accent6"/>
        <w:bottom w:val="single" w:sz="8" w:space="0" w:color="CCCCD0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CCCD0" w:themeColor="accent6"/>
          <w:left w:val="nil"/>
          <w:bottom w:val="single" w:sz="8" w:space="0" w:color="CCCCD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CCCD0" w:themeColor="accent6"/>
          <w:left w:val="nil"/>
          <w:bottom w:val="single" w:sz="8" w:space="0" w:color="CCCCD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F2F3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2F2F3" w:themeFill="accent6" w:themeFillTint="3F"/>
      </w:tcPr>
    </w:tblStylePr>
  </w:style>
  <w:style w:type="table" w:customStyle="1" w:styleId="ListTable1Light1">
    <w:name w:val="List Table 1 Light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-Accent11">
    <w:name w:val="List Table 1 Light - Accent 1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5C6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5C6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ListTable1Light-Accent21">
    <w:name w:val="List Table 1 Light - Accent 2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D5DB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D5D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ListTable1Light-Accent31">
    <w:name w:val="List Table 1 Light - Accent 3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8EAED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8EAE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ListTable1Light-Accent41">
    <w:name w:val="List Table 1 Light - Accent 4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4849D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484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ListTable1Light-Accent51">
    <w:name w:val="List Table 1 Light - Accent 5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B2B9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B2B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ListTable1Light-Accent61">
    <w:name w:val="List Table 1 Light - Accent 6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0E0E2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0E0E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ListTable21">
    <w:name w:val="List Table 2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-Accent11">
    <w:name w:val="List Table 2 - Accent 1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5C6CF" w:themeColor="accent1" w:themeTint="99"/>
        <w:bottom w:val="single" w:sz="4" w:space="0" w:color="85C6CF" w:themeColor="accent1" w:themeTint="99"/>
        <w:insideH w:val="single" w:sz="4" w:space="0" w:color="85C6C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ListTable2-Accent21">
    <w:name w:val="List Table 2 - Accent 2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D5DB" w:themeColor="accent2" w:themeTint="99"/>
        <w:bottom w:val="single" w:sz="4" w:space="0" w:color="B2D5DB" w:themeColor="accent2" w:themeTint="99"/>
        <w:insideH w:val="single" w:sz="4" w:space="0" w:color="B2D5DB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ListTable2-Accent31">
    <w:name w:val="List Table 2 - Accent 3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D8EAED" w:themeColor="accent3" w:themeTint="99"/>
        <w:bottom w:val="single" w:sz="4" w:space="0" w:color="D8EAED" w:themeColor="accent3" w:themeTint="99"/>
        <w:insideH w:val="single" w:sz="4" w:space="0" w:color="D8EAED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ListTable2-Accent41">
    <w:name w:val="List Table 2 - Accent 4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4849D" w:themeColor="accent4" w:themeTint="99"/>
        <w:bottom w:val="single" w:sz="4" w:space="0" w:color="84849D" w:themeColor="accent4" w:themeTint="99"/>
        <w:insideH w:val="single" w:sz="4" w:space="0" w:color="84849D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ListTable2-Accent51">
    <w:name w:val="List Table 2 - Accent 5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B2B9" w:themeColor="accent5" w:themeTint="99"/>
        <w:bottom w:val="single" w:sz="4" w:space="0" w:color="B2B2B9" w:themeColor="accent5" w:themeTint="99"/>
        <w:insideH w:val="single" w:sz="4" w:space="0" w:color="B2B2B9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ListTable2-Accent61">
    <w:name w:val="List Table 2 - Accent 6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0E0E2" w:themeColor="accent6" w:themeTint="99"/>
        <w:bottom w:val="single" w:sz="4" w:space="0" w:color="E0E0E2" w:themeColor="accent6" w:themeTint="99"/>
        <w:insideH w:val="single" w:sz="4" w:space="0" w:color="E0E0E2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ListTable31">
    <w:name w:val="List Table 3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-Accent11">
    <w:name w:val="List Table 3 - Accent 1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4098A4" w:themeColor="accent1"/>
        <w:left w:val="single" w:sz="4" w:space="0" w:color="4098A4" w:themeColor="accent1"/>
        <w:bottom w:val="single" w:sz="4" w:space="0" w:color="4098A4" w:themeColor="accent1"/>
        <w:right w:val="single" w:sz="4" w:space="0" w:color="4098A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098A4" w:themeFill="accent1"/>
      </w:tcPr>
    </w:tblStylePr>
    <w:tblStylePr w:type="lastRow">
      <w:rPr>
        <w:b/>
        <w:bCs/>
      </w:rPr>
      <w:tblPr/>
      <w:tcPr>
        <w:tcBorders>
          <w:top w:val="double" w:sz="4" w:space="0" w:color="4098A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098A4" w:themeColor="accent1"/>
          <w:right w:val="single" w:sz="4" w:space="0" w:color="4098A4" w:themeColor="accent1"/>
        </w:tcBorders>
      </w:tcPr>
    </w:tblStylePr>
    <w:tblStylePr w:type="band1Horz">
      <w:tblPr/>
      <w:tcPr>
        <w:tcBorders>
          <w:top w:val="single" w:sz="4" w:space="0" w:color="4098A4" w:themeColor="accent1"/>
          <w:bottom w:val="single" w:sz="4" w:space="0" w:color="4098A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098A4" w:themeColor="accent1"/>
          <w:left w:val="nil"/>
        </w:tcBorders>
      </w:tcPr>
    </w:tblStylePr>
    <w:tblStylePr w:type="swCell">
      <w:tblPr/>
      <w:tcPr>
        <w:tcBorders>
          <w:top w:val="double" w:sz="4" w:space="0" w:color="4098A4" w:themeColor="accent1"/>
          <w:right w:val="nil"/>
        </w:tcBorders>
      </w:tcPr>
    </w:tblStylePr>
  </w:style>
  <w:style w:type="table" w:customStyle="1" w:styleId="ListTable3-Accent21">
    <w:name w:val="List Table 3 - Accent 2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0BAC3" w:themeColor="accent2"/>
        <w:left w:val="single" w:sz="4" w:space="0" w:color="80BAC3" w:themeColor="accent2"/>
        <w:bottom w:val="single" w:sz="4" w:space="0" w:color="80BAC3" w:themeColor="accent2"/>
        <w:right w:val="single" w:sz="4" w:space="0" w:color="80BAC3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BAC3" w:themeFill="accent2"/>
      </w:tcPr>
    </w:tblStylePr>
    <w:tblStylePr w:type="lastRow">
      <w:rPr>
        <w:b/>
        <w:bCs/>
      </w:rPr>
      <w:tblPr/>
      <w:tcPr>
        <w:tcBorders>
          <w:top w:val="double" w:sz="4" w:space="0" w:color="80BAC3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BAC3" w:themeColor="accent2"/>
          <w:right w:val="single" w:sz="4" w:space="0" w:color="80BAC3" w:themeColor="accent2"/>
        </w:tcBorders>
      </w:tcPr>
    </w:tblStylePr>
    <w:tblStylePr w:type="band1Horz">
      <w:tblPr/>
      <w:tcPr>
        <w:tcBorders>
          <w:top w:val="single" w:sz="4" w:space="0" w:color="80BAC3" w:themeColor="accent2"/>
          <w:bottom w:val="single" w:sz="4" w:space="0" w:color="80BAC3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BAC3" w:themeColor="accent2"/>
          <w:left w:val="nil"/>
        </w:tcBorders>
      </w:tcPr>
    </w:tblStylePr>
    <w:tblStylePr w:type="swCell">
      <w:tblPr/>
      <w:tcPr>
        <w:tcBorders>
          <w:top w:val="double" w:sz="4" w:space="0" w:color="80BAC3" w:themeColor="accent2"/>
          <w:right w:val="nil"/>
        </w:tcBorders>
      </w:tcPr>
    </w:tblStylePr>
  </w:style>
  <w:style w:type="table" w:customStyle="1" w:styleId="ListTable3-Accent31">
    <w:name w:val="List Table 3 - Accent 3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FDDE1" w:themeColor="accent3"/>
        <w:left w:val="single" w:sz="4" w:space="0" w:color="BFDDE1" w:themeColor="accent3"/>
        <w:bottom w:val="single" w:sz="4" w:space="0" w:color="BFDDE1" w:themeColor="accent3"/>
        <w:right w:val="single" w:sz="4" w:space="0" w:color="BFDDE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FDDE1" w:themeFill="accent3"/>
      </w:tcPr>
    </w:tblStylePr>
    <w:tblStylePr w:type="lastRow">
      <w:rPr>
        <w:b/>
        <w:bCs/>
      </w:rPr>
      <w:tblPr/>
      <w:tcPr>
        <w:tcBorders>
          <w:top w:val="double" w:sz="4" w:space="0" w:color="BFDDE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FDDE1" w:themeColor="accent3"/>
          <w:right w:val="single" w:sz="4" w:space="0" w:color="BFDDE1" w:themeColor="accent3"/>
        </w:tcBorders>
      </w:tcPr>
    </w:tblStylePr>
    <w:tblStylePr w:type="band1Horz">
      <w:tblPr/>
      <w:tcPr>
        <w:tcBorders>
          <w:top w:val="single" w:sz="4" w:space="0" w:color="BFDDE1" w:themeColor="accent3"/>
          <w:bottom w:val="single" w:sz="4" w:space="0" w:color="BFDDE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FDDE1" w:themeColor="accent3"/>
          <w:left w:val="nil"/>
        </w:tcBorders>
      </w:tcPr>
    </w:tblStylePr>
    <w:tblStylePr w:type="swCell">
      <w:tblPr/>
      <w:tcPr>
        <w:tcBorders>
          <w:top w:val="double" w:sz="4" w:space="0" w:color="BFDDE1" w:themeColor="accent3"/>
          <w:right w:val="nil"/>
        </w:tcBorders>
      </w:tcPr>
    </w:tblStylePr>
  </w:style>
  <w:style w:type="table" w:customStyle="1" w:styleId="ListTable3-Accent41">
    <w:name w:val="List Table 3 - Accent 4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404050" w:themeColor="accent4"/>
        <w:left w:val="single" w:sz="4" w:space="0" w:color="404050" w:themeColor="accent4"/>
        <w:bottom w:val="single" w:sz="4" w:space="0" w:color="404050" w:themeColor="accent4"/>
        <w:right w:val="single" w:sz="4" w:space="0" w:color="40405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04050" w:themeFill="accent4"/>
      </w:tcPr>
    </w:tblStylePr>
    <w:tblStylePr w:type="lastRow">
      <w:rPr>
        <w:b/>
        <w:bCs/>
      </w:rPr>
      <w:tblPr/>
      <w:tcPr>
        <w:tcBorders>
          <w:top w:val="double" w:sz="4" w:space="0" w:color="40405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04050" w:themeColor="accent4"/>
          <w:right w:val="single" w:sz="4" w:space="0" w:color="404050" w:themeColor="accent4"/>
        </w:tcBorders>
      </w:tcPr>
    </w:tblStylePr>
    <w:tblStylePr w:type="band1Horz">
      <w:tblPr/>
      <w:tcPr>
        <w:tcBorders>
          <w:top w:val="single" w:sz="4" w:space="0" w:color="404050" w:themeColor="accent4"/>
          <w:bottom w:val="single" w:sz="4" w:space="0" w:color="40405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04050" w:themeColor="accent4"/>
          <w:left w:val="nil"/>
        </w:tcBorders>
      </w:tcPr>
    </w:tblStylePr>
    <w:tblStylePr w:type="swCell">
      <w:tblPr/>
      <w:tcPr>
        <w:tcBorders>
          <w:top w:val="double" w:sz="4" w:space="0" w:color="404050" w:themeColor="accent4"/>
          <w:right w:val="nil"/>
        </w:tcBorders>
      </w:tcPr>
    </w:tblStylePr>
  </w:style>
  <w:style w:type="table" w:customStyle="1" w:styleId="ListTable3-Accent51">
    <w:name w:val="List Table 3 - Accent 5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0808B" w:themeColor="accent5"/>
        <w:left w:val="single" w:sz="4" w:space="0" w:color="80808B" w:themeColor="accent5"/>
        <w:bottom w:val="single" w:sz="4" w:space="0" w:color="80808B" w:themeColor="accent5"/>
        <w:right w:val="single" w:sz="4" w:space="0" w:color="80808B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808B" w:themeFill="accent5"/>
      </w:tcPr>
    </w:tblStylePr>
    <w:tblStylePr w:type="lastRow">
      <w:rPr>
        <w:b/>
        <w:bCs/>
      </w:rPr>
      <w:tblPr/>
      <w:tcPr>
        <w:tcBorders>
          <w:top w:val="double" w:sz="4" w:space="0" w:color="80808B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808B" w:themeColor="accent5"/>
          <w:right w:val="single" w:sz="4" w:space="0" w:color="80808B" w:themeColor="accent5"/>
        </w:tcBorders>
      </w:tcPr>
    </w:tblStylePr>
    <w:tblStylePr w:type="band1Horz">
      <w:tblPr/>
      <w:tcPr>
        <w:tcBorders>
          <w:top w:val="single" w:sz="4" w:space="0" w:color="80808B" w:themeColor="accent5"/>
          <w:bottom w:val="single" w:sz="4" w:space="0" w:color="80808B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808B" w:themeColor="accent5"/>
          <w:left w:val="nil"/>
        </w:tcBorders>
      </w:tcPr>
    </w:tblStylePr>
    <w:tblStylePr w:type="swCell">
      <w:tblPr/>
      <w:tcPr>
        <w:tcBorders>
          <w:top w:val="double" w:sz="4" w:space="0" w:color="80808B" w:themeColor="accent5"/>
          <w:right w:val="nil"/>
        </w:tcBorders>
      </w:tcPr>
    </w:tblStylePr>
  </w:style>
  <w:style w:type="table" w:customStyle="1" w:styleId="ListTable3-Accent61">
    <w:name w:val="List Table 3 - Accent 6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CCCCD0" w:themeColor="accent6"/>
        <w:left w:val="single" w:sz="4" w:space="0" w:color="CCCCD0" w:themeColor="accent6"/>
        <w:bottom w:val="single" w:sz="4" w:space="0" w:color="CCCCD0" w:themeColor="accent6"/>
        <w:right w:val="single" w:sz="4" w:space="0" w:color="CCCCD0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CCCD0" w:themeFill="accent6"/>
      </w:tcPr>
    </w:tblStylePr>
    <w:tblStylePr w:type="lastRow">
      <w:rPr>
        <w:b/>
        <w:bCs/>
      </w:rPr>
      <w:tblPr/>
      <w:tcPr>
        <w:tcBorders>
          <w:top w:val="double" w:sz="4" w:space="0" w:color="CCCCD0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CCCD0" w:themeColor="accent6"/>
          <w:right w:val="single" w:sz="4" w:space="0" w:color="CCCCD0" w:themeColor="accent6"/>
        </w:tcBorders>
      </w:tcPr>
    </w:tblStylePr>
    <w:tblStylePr w:type="band1Horz">
      <w:tblPr/>
      <w:tcPr>
        <w:tcBorders>
          <w:top w:val="single" w:sz="4" w:space="0" w:color="CCCCD0" w:themeColor="accent6"/>
          <w:bottom w:val="single" w:sz="4" w:space="0" w:color="CCCCD0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CCCD0" w:themeColor="accent6"/>
          <w:left w:val="nil"/>
        </w:tcBorders>
      </w:tcPr>
    </w:tblStylePr>
    <w:tblStylePr w:type="swCell">
      <w:tblPr/>
      <w:tcPr>
        <w:tcBorders>
          <w:top w:val="double" w:sz="4" w:space="0" w:color="CCCCD0" w:themeColor="accent6"/>
          <w:right w:val="nil"/>
        </w:tcBorders>
      </w:tcPr>
    </w:tblStylePr>
  </w:style>
  <w:style w:type="table" w:customStyle="1" w:styleId="ListTable41">
    <w:name w:val="List Table 4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-Accent11">
    <w:name w:val="List Table 4 - Accent 1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5C6CF" w:themeColor="accent1" w:themeTint="99"/>
        <w:left w:val="single" w:sz="4" w:space="0" w:color="85C6CF" w:themeColor="accent1" w:themeTint="99"/>
        <w:bottom w:val="single" w:sz="4" w:space="0" w:color="85C6CF" w:themeColor="accent1" w:themeTint="99"/>
        <w:right w:val="single" w:sz="4" w:space="0" w:color="85C6CF" w:themeColor="accent1" w:themeTint="99"/>
        <w:insideH w:val="single" w:sz="4" w:space="0" w:color="85C6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098A4" w:themeColor="accent1"/>
          <w:left w:val="single" w:sz="4" w:space="0" w:color="4098A4" w:themeColor="accent1"/>
          <w:bottom w:val="single" w:sz="4" w:space="0" w:color="4098A4" w:themeColor="accent1"/>
          <w:right w:val="single" w:sz="4" w:space="0" w:color="4098A4" w:themeColor="accent1"/>
          <w:insideH w:val="nil"/>
        </w:tcBorders>
        <w:shd w:val="clear" w:color="auto" w:fill="4098A4" w:themeFill="accent1"/>
      </w:tcPr>
    </w:tblStylePr>
    <w:tblStylePr w:type="lastRow">
      <w:rPr>
        <w:b/>
        <w:bCs/>
      </w:rPr>
      <w:tblPr/>
      <w:tcPr>
        <w:tcBorders>
          <w:top w:val="double" w:sz="4" w:space="0" w:color="85C6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ListTable4-Accent21">
    <w:name w:val="List Table 4 - Accent 2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D5DB" w:themeColor="accent2" w:themeTint="99"/>
        <w:left w:val="single" w:sz="4" w:space="0" w:color="B2D5DB" w:themeColor="accent2" w:themeTint="99"/>
        <w:bottom w:val="single" w:sz="4" w:space="0" w:color="B2D5DB" w:themeColor="accent2" w:themeTint="99"/>
        <w:right w:val="single" w:sz="4" w:space="0" w:color="B2D5DB" w:themeColor="accent2" w:themeTint="99"/>
        <w:insideH w:val="single" w:sz="4" w:space="0" w:color="B2D5D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BAC3" w:themeColor="accent2"/>
          <w:left w:val="single" w:sz="4" w:space="0" w:color="80BAC3" w:themeColor="accent2"/>
          <w:bottom w:val="single" w:sz="4" w:space="0" w:color="80BAC3" w:themeColor="accent2"/>
          <w:right w:val="single" w:sz="4" w:space="0" w:color="80BAC3" w:themeColor="accent2"/>
          <w:insideH w:val="nil"/>
        </w:tcBorders>
        <w:shd w:val="clear" w:color="auto" w:fill="80BAC3" w:themeFill="accent2"/>
      </w:tcPr>
    </w:tblStylePr>
    <w:tblStylePr w:type="lastRow">
      <w:rPr>
        <w:b/>
        <w:bCs/>
      </w:rPr>
      <w:tblPr/>
      <w:tcPr>
        <w:tcBorders>
          <w:top w:val="double" w:sz="4" w:space="0" w:color="B2D5D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ListTable4-Accent31">
    <w:name w:val="List Table 4 - Accent 3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D8EAED" w:themeColor="accent3" w:themeTint="99"/>
        <w:left w:val="single" w:sz="4" w:space="0" w:color="D8EAED" w:themeColor="accent3" w:themeTint="99"/>
        <w:bottom w:val="single" w:sz="4" w:space="0" w:color="D8EAED" w:themeColor="accent3" w:themeTint="99"/>
        <w:right w:val="single" w:sz="4" w:space="0" w:color="D8EAED" w:themeColor="accent3" w:themeTint="99"/>
        <w:insideH w:val="single" w:sz="4" w:space="0" w:color="D8EAE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FDDE1" w:themeColor="accent3"/>
          <w:left w:val="single" w:sz="4" w:space="0" w:color="BFDDE1" w:themeColor="accent3"/>
          <w:bottom w:val="single" w:sz="4" w:space="0" w:color="BFDDE1" w:themeColor="accent3"/>
          <w:right w:val="single" w:sz="4" w:space="0" w:color="BFDDE1" w:themeColor="accent3"/>
          <w:insideH w:val="nil"/>
        </w:tcBorders>
        <w:shd w:val="clear" w:color="auto" w:fill="BFDDE1" w:themeFill="accent3"/>
      </w:tcPr>
    </w:tblStylePr>
    <w:tblStylePr w:type="lastRow">
      <w:rPr>
        <w:b/>
        <w:bCs/>
      </w:rPr>
      <w:tblPr/>
      <w:tcPr>
        <w:tcBorders>
          <w:top w:val="double" w:sz="4" w:space="0" w:color="D8EAE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ListTable4-Accent41">
    <w:name w:val="List Table 4 - Accent 4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84849D" w:themeColor="accent4" w:themeTint="99"/>
        <w:left w:val="single" w:sz="4" w:space="0" w:color="84849D" w:themeColor="accent4" w:themeTint="99"/>
        <w:bottom w:val="single" w:sz="4" w:space="0" w:color="84849D" w:themeColor="accent4" w:themeTint="99"/>
        <w:right w:val="single" w:sz="4" w:space="0" w:color="84849D" w:themeColor="accent4" w:themeTint="99"/>
        <w:insideH w:val="single" w:sz="4" w:space="0" w:color="84849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04050" w:themeColor="accent4"/>
          <w:left w:val="single" w:sz="4" w:space="0" w:color="404050" w:themeColor="accent4"/>
          <w:bottom w:val="single" w:sz="4" w:space="0" w:color="404050" w:themeColor="accent4"/>
          <w:right w:val="single" w:sz="4" w:space="0" w:color="404050" w:themeColor="accent4"/>
          <w:insideH w:val="nil"/>
        </w:tcBorders>
        <w:shd w:val="clear" w:color="auto" w:fill="404050" w:themeFill="accent4"/>
      </w:tcPr>
    </w:tblStylePr>
    <w:tblStylePr w:type="lastRow">
      <w:rPr>
        <w:b/>
        <w:bCs/>
      </w:rPr>
      <w:tblPr/>
      <w:tcPr>
        <w:tcBorders>
          <w:top w:val="double" w:sz="4" w:space="0" w:color="84849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ListTable4-Accent51">
    <w:name w:val="List Table 4 - Accent 5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2B2B9" w:themeColor="accent5" w:themeTint="99"/>
        <w:left w:val="single" w:sz="4" w:space="0" w:color="B2B2B9" w:themeColor="accent5" w:themeTint="99"/>
        <w:bottom w:val="single" w:sz="4" w:space="0" w:color="B2B2B9" w:themeColor="accent5" w:themeTint="99"/>
        <w:right w:val="single" w:sz="4" w:space="0" w:color="B2B2B9" w:themeColor="accent5" w:themeTint="99"/>
        <w:insideH w:val="single" w:sz="4" w:space="0" w:color="B2B2B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808B" w:themeColor="accent5"/>
          <w:left w:val="single" w:sz="4" w:space="0" w:color="80808B" w:themeColor="accent5"/>
          <w:bottom w:val="single" w:sz="4" w:space="0" w:color="80808B" w:themeColor="accent5"/>
          <w:right w:val="single" w:sz="4" w:space="0" w:color="80808B" w:themeColor="accent5"/>
          <w:insideH w:val="nil"/>
        </w:tcBorders>
        <w:shd w:val="clear" w:color="auto" w:fill="80808B" w:themeFill="accent5"/>
      </w:tcPr>
    </w:tblStylePr>
    <w:tblStylePr w:type="lastRow">
      <w:rPr>
        <w:b/>
        <w:bCs/>
      </w:rPr>
      <w:tblPr/>
      <w:tcPr>
        <w:tcBorders>
          <w:top w:val="double" w:sz="4" w:space="0" w:color="B2B2B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ListTable4-Accent61">
    <w:name w:val="List Table 4 - Accent 6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0E0E2" w:themeColor="accent6" w:themeTint="99"/>
        <w:left w:val="single" w:sz="4" w:space="0" w:color="E0E0E2" w:themeColor="accent6" w:themeTint="99"/>
        <w:bottom w:val="single" w:sz="4" w:space="0" w:color="E0E0E2" w:themeColor="accent6" w:themeTint="99"/>
        <w:right w:val="single" w:sz="4" w:space="0" w:color="E0E0E2" w:themeColor="accent6" w:themeTint="99"/>
        <w:insideH w:val="single" w:sz="4" w:space="0" w:color="E0E0E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CCCD0" w:themeColor="accent6"/>
          <w:left w:val="single" w:sz="4" w:space="0" w:color="CCCCD0" w:themeColor="accent6"/>
          <w:bottom w:val="single" w:sz="4" w:space="0" w:color="CCCCD0" w:themeColor="accent6"/>
          <w:right w:val="single" w:sz="4" w:space="0" w:color="CCCCD0" w:themeColor="accent6"/>
          <w:insideH w:val="nil"/>
        </w:tcBorders>
        <w:shd w:val="clear" w:color="auto" w:fill="CCCCD0" w:themeFill="accent6"/>
      </w:tcPr>
    </w:tblStylePr>
    <w:tblStylePr w:type="lastRow">
      <w:rPr>
        <w:b/>
        <w:bCs/>
      </w:rPr>
      <w:tblPr/>
      <w:tcPr>
        <w:tcBorders>
          <w:top w:val="double" w:sz="4" w:space="0" w:color="E0E0E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ListTable5Dark1">
    <w:name w:val="List Table 5 Dark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11">
    <w:name w:val="List Table 5 Dark - Accent 1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098A4" w:themeColor="accent1"/>
        <w:left w:val="single" w:sz="24" w:space="0" w:color="4098A4" w:themeColor="accent1"/>
        <w:bottom w:val="single" w:sz="24" w:space="0" w:color="4098A4" w:themeColor="accent1"/>
        <w:right w:val="single" w:sz="24" w:space="0" w:color="4098A4" w:themeColor="accent1"/>
      </w:tblBorders>
    </w:tblPr>
    <w:tcPr>
      <w:shd w:val="clear" w:color="auto" w:fill="4098A4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21">
    <w:name w:val="List Table 5 Dark - Accent 2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BAC3" w:themeColor="accent2"/>
        <w:left w:val="single" w:sz="24" w:space="0" w:color="80BAC3" w:themeColor="accent2"/>
        <w:bottom w:val="single" w:sz="24" w:space="0" w:color="80BAC3" w:themeColor="accent2"/>
        <w:right w:val="single" w:sz="24" w:space="0" w:color="80BAC3" w:themeColor="accent2"/>
      </w:tblBorders>
    </w:tblPr>
    <w:tcPr>
      <w:shd w:val="clear" w:color="auto" w:fill="80BAC3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31">
    <w:name w:val="List Table 5 Dark - Accent 3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FDDE1" w:themeColor="accent3"/>
        <w:left w:val="single" w:sz="24" w:space="0" w:color="BFDDE1" w:themeColor="accent3"/>
        <w:bottom w:val="single" w:sz="24" w:space="0" w:color="BFDDE1" w:themeColor="accent3"/>
        <w:right w:val="single" w:sz="24" w:space="0" w:color="BFDDE1" w:themeColor="accent3"/>
      </w:tblBorders>
    </w:tblPr>
    <w:tcPr>
      <w:shd w:val="clear" w:color="auto" w:fill="BFDDE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41">
    <w:name w:val="List Table 5 Dark - Accent 4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04050" w:themeColor="accent4"/>
        <w:left w:val="single" w:sz="24" w:space="0" w:color="404050" w:themeColor="accent4"/>
        <w:bottom w:val="single" w:sz="24" w:space="0" w:color="404050" w:themeColor="accent4"/>
        <w:right w:val="single" w:sz="24" w:space="0" w:color="404050" w:themeColor="accent4"/>
      </w:tblBorders>
    </w:tblPr>
    <w:tcPr>
      <w:shd w:val="clear" w:color="auto" w:fill="40405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51">
    <w:name w:val="List Table 5 Dark - Accent 5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808B" w:themeColor="accent5"/>
        <w:left w:val="single" w:sz="24" w:space="0" w:color="80808B" w:themeColor="accent5"/>
        <w:bottom w:val="single" w:sz="24" w:space="0" w:color="80808B" w:themeColor="accent5"/>
        <w:right w:val="single" w:sz="24" w:space="0" w:color="80808B" w:themeColor="accent5"/>
      </w:tblBorders>
    </w:tblPr>
    <w:tcPr>
      <w:shd w:val="clear" w:color="auto" w:fill="80808B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61">
    <w:name w:val="List Table 5 Dark - Accent 6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CCCD0" w:themeColor="accent6"/>
        <w:left w:val="single" w:sz="24" w:space="0" w:color="CCCCD0" w:themeColor="accent6"/>
        <w:bottom w:val="single" w:sz="24" w:space="0" w:color="CCCCD0" w:themeColor="accent6"/>
        <w:right w:val="single" w:sz="24" w:space="0" w:color="CCCCD0" w:themeColor="accent6"/>
      </w:tblBorders>
    </w:tblPr>
    <w:tcPr>
      <w:shd w:val="clear" w:color="auto" w:fill="CCCCD0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1">
    <w:name w:val="List Table 6 Colorful1"/>
    <w:basedOn w:val="TableNormal"/>
    <w:uiPriority w:val="51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-Accent11">
    <w:name w:val="List Table 6 Colorful - Accent 11"/>
    <w:basedOn w:val="TableNormal"/>
    <w:uiPriority w:val="51"/>
    <w:semiHidden/>
    <w:rsid w:val="00294A5A"/>
    <w:pPr>
      <w:spacing w:after="0" w:line="240" w:lineRule="auto"/>
    </w:pPr>
    <w:rPr>
      <w:color w:val="30717A" w:themeColor="accent1" w:themeShade="BF"/>
    </w:rPr>
    <w:tblPr>
      <w:tblStyleRowBandSize w:val="1"/>
      <w:tblStyleColBandSize w:val="1"/>
      <w:tblBorders>
        <w:top w:val="single" w:sz="4" w:space="0" w:color="4098A4" w:themeColor="accent1"/>
        <w:bottom w:val="single" w:sz="4" w:space="0" w:color="4098A4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098A4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098A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</w:style>
  <w:style w:type="table" w:customStyle="1" w:styleId="ListTable6Colorful-Accent21">
    <w:name w:val="List Table 6 Colorful - Accent 21"/>
    <w:basedOn w:val="TableNormal"/>
    <w:uiPriority w:val="51"/>
    <w:semiHidden/>
    <w:rsid w:val="00294A5A"/>
    <w:pPr>
      <w:spacing w:after="0" w:line="240" w:lineRule="auto"/>
    </w:pPr>
    <w:rPr>
      <w:color w:val="4D98A4" w:themeColor="accent2" w:themeShade="BF"/>
    </w:rPr>
    <w:tblPr>
      <w:tblStyleRowBandSize w:val="1"/>
      <w:tblStyleColBandSize w:val="1"/>
      <w:tblBorders>
        <w:top w:val="single" w:sz="4" w:space="0" w:color="80BAC3" w:themeColor="accent2"/>
        <w:bottom w:val="single" w:sz="4" w:space="0" w:color="80BAC3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80BAC3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80BAC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</w:style>
  <w:style w:type="table" w:customStyle="1" w:styleId="ListTable6Colorful-Accent31">
    <w:name w:val="List Table 6 Colorful - Accent 31"/>
    <w:basedOn w:val="TableNormal"/>
    <w:uiPriority w:val="51"/>
    <w:semiHidden/>
    <w:rsid w:val="00294A5A"/>
    <w:pPr>
      <w:spacing w:after="0" w:line="240" w:lineRule="auto"/>
    </w:pPr>
    <w:rPr>
      <w:color w:val="77B7BF" w:themeColor="accent3" w:themeShade="BF"/>
    </w:rPr>
    <w:tblPr>
      <w:tblStyleRowBandSize w:val="1"/>
      <w:tblStyleColBandSize w:val="1"/>
      <w:tblBorders>
        <w:top w:val="single" w:sz="4" w:space="0" w:color="BFDDE1" w:themeColor="accent3"/>
        <w:bottom w:val="single" w:sz="4" w:space="0" w:color="BFDDE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BFDDE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BFDDE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</w:style>
  <w:style w:type="table" w:customStyle="1" w:styleId="ListTable6Colorful-Accent41">
    <w:name w:val="List Table 6 Colorful - Accent 41"/>
    <w:basedOn w:val="TableNormal"/>
    <w:uiPriority w:val="51"/>
    <w:semiHidden/>
    <w:rsid w:val="00294A5A"/>
    <w:pPr>
      <w:spacing w:after="0" w:line="240" w:lineRule="auto"/>
    </w:pPr>
    <w:rPr>
      <w:color w:val="30303B" w:themeColor="accent4" w:themeShade="BF"/>
    </w:rPr>
    <w:tblPr>
      <w:tblStyleRowBandSize w:val="1"/>
      <w:tblStyleColBandSize w:val="1"/>
      <w:tblBorders>
        <w:top w:val="single" w:sz="4" w:space="0" w:color="404050" w:themeColor="accent4"/>
        <w:bottom w:val="single" w:sz="4" w:space="0" w:color="40405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40405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40405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</w:style>
  <w:style w:type="table" w:customStyle="1" w:styleId="ListTable6Colorful-Accent51">
    <w:name w:val="List Table 6 Colorful - Accent 51"/>
    <w:basedOn w:val="TableNormal"/>
    <w:uiPriority w:val="51"/>
    <w:semiHidden/>
    <w:rsid w:val="00294A5A"/>
    <w:pPr>
      <w:spacing w:after="0" w:line="240" w:lineRule="auto"/>
    </w:pPr>
    <w:rPr>
      <w:color w:val="5F5F68" w:themeColor="accent5" w:themeShade="BF"/>
    </w:rPr>
    <w:tblPr>
      <w:tblStyleRowBandSize w:val="1"/>
      <w:tblStyleColBandSize w:val="1"/>
      <w:tblBorders>
        <w:top w:val="single" w:sz="4" w:space="0" w:color="80808B" w:themeColor="accent5"/>
        <w:bottom w:val="single" w:sz="4" w:space="0" w:color="80808B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80808B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0808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</w:style>
  <w:style w:type="table" w:customStyle="1" w:styleId="ListTable6Colorful-Accent61">
    <w:name w:val="List Table 6 Colorful - Accent 61"/>
    <w:basedOn w:val="TableNormal"/>
    <w:uiPriority w:val="51"/>
    <w:semiHidden/>
    <w:rsid w:val="00294A5A"/>
    <w:pPr>
      <w:spacing w:after="0" w:line="240" w:lineRule="auto"/>
    </w:pPr>
    <w:rPr>
      <w:color w:val="96969E" w:themeColor="accent6" w:themeShade="BF"/>
    </w:rPr>
    <w:tblPr>
      <w:tblStyleRowBandSize w:val="1"/>
      <w:tblStyleColBandSize w:val="1"/>
      <w:tblBorders>
        <w:top w:val="single" w:sz="4" w:space="0" w:color="CCCCD0" w:themeColor="accent6"/>
        <w:bottom w:val="single" w:sz="4" w:space="0" w:color="CCCCD0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CCCCD0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CCCCD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</w:style>
  <w:style w:type="table" w:customStyle="1" w:styleId="ListTable7Colorful1">
    <w:name w:val="List Table 7 Colorful1"/>
    <w:basedOn w:val="TableNormal"/>
    <w:uiPriority w:val="52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11">
    <w:name w:val="List Table 7 Colorful - Accent 11"/>
    <w:basedOn w:val="TableNormal"/>
    <w:uiPriority w:val="52"/>
    <w:semiHidden/>
    <w:rsid w:val="00294A5A"/>
    <w:pPr>
      <w:spacing w:after="0" w:line="240" w:lineRule="auto"/>
    </w:pPr>
    <w:rPr>
      <w:color w:val="30717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098A4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098A4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098A4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098A4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6ECEF" w:themeFill="accent1" w:themeFillTint="33"/>
      </w:tcPr>
    </w:tblStylePr>
    <w:tblStylePr w:type="band1Horz">
      <w:tblPr/>
      <w:tcPr>
        <w:shd w:val="clear" w:color="auto" w:fill="D6ECE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21">
    <w:name w:val="List Table 7 Colorful - Accent 21"/>
    <w:basedOn w:val="TableNormal"/>
    <w:uiPriority w:val="52"/>
    <w:semiHidden/>
    <w:rsid w:val="00294A5A"/>
    <w:pPr>
      <w:spacing w:after="0" w:line="240" w:lineRule="auto"/>
    </w:pPr>
    <w:rPr>
      <w:color w:val="4D98A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BAC3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BAC3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BAC3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BAC3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5F1F3" w:themeFill="accent2" w:themeFillTint="33"/>
      </w:tcPr>
    </w:tblStylePr>
    <w:tblStylePr w:type="band1Horz">
      <w:tblPr/>
      <w:tcPr>
        <w:shd w:val="clear" w:color="auto" w:fill="E5F1F3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31">
    <w:name w:val="List Table 7 Colorful - Accent 31"/>
    <w:basedOn w:val="TableNormal"/>
    <w:uiPriority w:val="52"/>
    <w:semiHidden/>
    <w:rsid w:val="00294A5A"/>
    <w:pPr>
      <w:spacing w:after="0" w:line="240" w:lineRule="auto"/>
    </w:pPr>
    <w:rPr>
      <w:color w:val="77B7BF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FDDE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FDDE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FDDE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FDDE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2F8F9" w:themeFill="accent3" w:themeFillTint="33"/>
      </w:tcPr>
    </w:tblStylePr>
    <w:tblStylePr w:type="band1Horz">
      <w:tblPr/>
      <w:tcPr>
        <w:shd w:val="clear" w:color="auto" w:fill="F2F8F9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41">
    <w:name w:val="List Table 7 Colorful - Accent 41"/>
    <w:basedOn w:val="TableNormal"/>
    <w:uiPriority w:val="52"/>
    <w:semiHidden/>
    <w:rsid w:val="00294A5A"/>
    <w:pPr>
      <w:spacing w:after="0" w:line="240" w:lineRule="auto"/>
    </w:pPr>
    <w:rPr>
      <w:color w:val="30303B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0405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0405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0405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0405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D6D6DE" w:themeFill="accent4" w:themeFillTint="33"/>
      </w:tcPr>
    </w:tblStylePr>
    <w:tblStylePr w:type="band1Horz">
      <w:tblPr/>
      <w:tcPr>
        <w:shd w:val="clear" w:color="auto" w:fill="D6D6D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51">
    <w:name w:val="List Table 7 Colorful - Accent 51"/>
    <w:basedOn w:val="TableNormal"/>
    <w:uiPriority w:val="52"/>
    <w:semiHidden/>
    <w:rsid w:val="00294A5A"/>
    <w:pPr>
      <w:spacing w:after="0" w:line="240" w:lineRule="auto"/>
    </w:pPr>
    <w:rPr>
      <w:color w:val="5F5F6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808B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808B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808B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808B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5E5E7" w:themeFill="accent5" w:themeFillTint="33"/>
      </w:tcPr>
    </w:tblStylePr>
    <w:tblStylePr w:type="band1Horz">
      <w:tblPr/>
      <w:tcPr>
        <w:shd w:val="clear" w:color="auto" w:fill="E5E5E7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61">
    <w:name w:val="List Table 7 Colorful - Accent 61"/>
    <w:basedOn w:val="TableNormal"/>
    <w:uiPriority w:val="52"/>
    <w:semiHidden/>
    <w:rsid w:val="00294A5A"/>
    <w:pPr>
      <w:spacing w:after="0" w:line="240" w:lineRule="auto"/>
    </w:pPr>
    <w:rPr>
      <w:color w:val="96969E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CCCD0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CCCD0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CCCD0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CCCD0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4F4F5" w:themeFill="accent6" w:themeFillTint="33"/>
      </w:tcPr>
    </w:tblStylePr>
    <w:tblStylePr w:type="band1Horz">
      <w:tblPr/>
      <w:tcPr>
        <w:shd w:val="clear" w:color="auto" w:fill="F4F4F5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66B8C3" w:themeColor="accent1" w:themeTint="BF"/>
        <w:left w:val="single" w:sz="8" w:space="0" w:color="66B8C3" w:themeColor="accent1" w:themeTint="BF"/>
        <w:bottom w:val="single" w:sz="8" w:space="0" w:color="66B8C3" w:themeColor="accent1" w:themeTint="BF"/>
        <w:right w:val="single" w:sz="8" w:space="0" w:color="66B8C3" w:themeColor="accent1" w:themeTint="BF"/>
        <w:insideH w:val="single" w:sz="8" w:space="0" w:color="66B8C3" w:themeColor="accent1" w:themeTint="BF"/>
        <w:insideV w:val="single" w:sz="8" w:space="0" w:color="66B8C3" w:themeColor="accent1" w:themeTint="BF"/>
      </w:tblBorders>
    </w:tblPr>
    <w:tcPr>
      <w:shd w:val="clear" w:color="auto" w:fill="CCE7EB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6B8C3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9D0D7" w:themeFill="accent1" w:themeFillTint="7F"/>
      </w:tcPr>
    </w:tblStylePr>
    <w:tblStylePr w:type="band1Horz">
      <w:tblPr/>
      <w:tcPr>
        <w:shd w:val="clear" w:color="auto" w:fill="99D0D7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CBD2" w:themeColor="accent2" w:themeTint="BF"/>
        <w:left w:val="single" w:sz="8" w:space="0" w:color="9FCBD2" w:themeColor="accent2" w:themeTint="BF"/>
        <w:bottom w:val="single" w:sz="8" w:space="0" w:color="9FCBD2" w:themeColor="accent2" w:themeTint="BF"/>
        <w:right w:val="single" w:sz="8" w:space="0" w:color="9FCBD2" w:themeColor="accent2" w:themeTint="BF"/>
        <w:insideH w:val="single" w:sz="8" w:space="0" w:color="9FCBD2" w:themeColor="accent2" w:themeTint="BF"/>
        <w:insideV w:val="single" w:sz="8" w:space="0" w:color="9FCBD2" w:themeColor="accent2" w:themeTint="BF"/>
      </w:tblBorders>
    </w:tblPr>
    <w:tcPr>
      <w:shd w:val="clear" w:color="auto" w:fill="DFEDF0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CBD2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DCE1" w:themeFill="accent2" w:themeFillTint="7F"/>
      </w:tcPr>
    </w:tblStylePr>
    <w:tblStylePr w:type="band1Horz">
      <w:tblPr/>
      <w:tcPr>
        <w:shd w:val="clear" w:color="auto" w:fill="BFDCE1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EE5E8" w:themeColor="accent3" w:themeTint="BF"/>
        <w:left w:val="single" w:sz="8" w:space="0" w:color="CEE5E8" w:themeColor="accent3" w:themeTint="BF"/>
        <w:bottom w:val="single" w:sz="8" w:space="0" w:color="CEE5E8" w:themeColor="accent3" w:themeTint="BF"/>
        <w:right w:val="single" w:sz="8" w:space="0" w:color="CEE5E8" w:themeColor="accent3" w:themeTint="BF"/>
        <w:insideH w:val="single" w:sz="8" w:space="0" w:color="CEE5E8" w:themeColor="accent3" w:themeTint="BF"/>
        <w:insideV w:val="single" w:sz="8" w:space="0" w:color="CEE5E8" w:themeColor="accent3" w:themeTint="BF"/>
      </w:tblBorders>
    </w:tblPr>
    <w:tcPr>
      <w:shd w:val="clear" w:color="auto" w:fill="EFF6F7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EE5E8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EF0" w:themeFill="accent3" w:themeFillTint="7F"/>
      </w:tcPr>
    </w:tblStylePr>
    <w:tblStylePr w:type="band1Horz">
      <w:tblPr/>
      <w:tcPr>
        <w:shd w:val="clear" w:color="auto" w:fill="DFEEF0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686882" w:themeColor="accent4" w:themeTint="BF"/>
        <w:left w:val="single" w:sz="8" w:space="0" w:color="686882" w:themeColor="accent4" w:themeTint="BF"/>
        <w:bottom w:val="single" w:sz="8" w:space="0" w:color="686882" w:themeColor="accent4" w:themeTint="BF"/>
        <w:right w:val="single" w:sz="8" w:space="0" w:color="686882" w:themeColor="accent4" w:themeTint="BF"/>
        <w:insideH w:val="single" w:sz="8" w:space="0" w:color="686882" w:themeColor="accent4" w:themeTint="BF"/>
        <w:insideV w:val="single" w:sz="8" w:space="0" w:color="686882" w:themeColor="accent4" w:themeTint="BF"/>
      </w:tblBorders>
    </w:tblPr>
    <w:tcPr>
      <w:shd w:val="clear" w:color="auto" w:fill="CCCCD6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86882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999AE" w:themeFill="accent4" w:themeFillTint="7F"/>
      </w:tcPr>
    </w:tblStylePr>
    <w:tblStylePr w:type="band1Horz">
      <w:tblPr/>
      <w:tcPr>
        <w:shd w:val="clear" w:color="auto" w:fill="9999AE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9FA8" w:themeColor="accent5" w:themeTint="BF"/>
        <w:left w:val="single" w:sz="8" w:space="0" w:color="9F9FA8" w:themeColor="accent5" w:themeTint="BF"/>
        <w:bottom w:val="single" w:sz="8" w:space="0" w:color="9F9FA8" w:themeColor="accent5" w:themeTint="BF"/>
        <w:right w:val="single" w:sz="8" w:space="0" w:color="9F9FA8" w:themeColor="accent5" w:themeTint="BF"/>
        <w:insideH w:val="single" w:sz="8" w:space="0" w:color="9F9FA8" w:themeColor="accent5" w:themeTint="BF"/>
        <w:insideV w:val="single" w:sz="8" w:space="0" w:color="9F9FA8" w:themeColor="accent5" w:themeTint="BF"/>
      </w:tblBorders>
    </w:tblPr>
    <w:tcPr>
      <w:shd w:val="clear" w:color="auto" w:fill="DFDFE2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9FA8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C5" w:themeFill="accent5" w:themeFillTint="7F"/>
      </w:tcPr>
    </w:tblStylePr>
    <w:tblStylePr w:type="band1Horz">
      <w:tblPr/>
      <w:tcPr>
        <w:shd w:val="clear" w:color="auto" w:fill="BFBFC5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D8D8DB" w:themeColor="accent6" w:themeTint="BF"/>
        <w:left w:val="single" w:sz="8" w:space="0" w:color="D8D8DB" w:themeColor="accent6" w:themeTint="BF"/>
        <w:bottom w:val="single" w:sz="8" w:space="0" w:color="D8D8DB" w:themeColor="accent6" w:themeTint="BF"/>
        <w:right w:val="single" w:sz="8" w:space="0" w:color="D8D8DB" w:themeColor="accent6" w:themeTint="BF"/>
        <w:insideH w:val="single" w:sz="8" w:space="0" w:color="D8D8DB" w:themeColor="accent6" w:themeTint="BF"/>
        <w:insideV w:val="single" w:sz="8" w:space="0" w:color="D8D8DB" w:themeColor="accent6" w:themeTint="BF"/>
      </w:tblBorders>
    </w:tblPr>
    <w:tcPr>
      <w:shd w:val="clear" w:color="auto" w:fill="F2F2F3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8D8DB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7" w:themeFill="accent6" w:themeFillTint="7F"/>
      </w:tcPr>
    </w:tblStylePr>
    <w:tblStylePr w:type="band1Horz">
      <w:tblPr/>
      <w:tcPr>
        <w:shd w:val="clear" w:color="auto" w:fill="E5E5E7" w:themeFill="accent6" w:themeFillTint="7F"/>
      </w:tcPr>
    </w:tblStylePr>
  </w:style>
  <w:style w:type="table" w:styleId="MediumGrid2">
    <w:name w:val="Medium Grid 2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098A4" w:themeColor="accent1"/>
        <w:left w:val="single" w:sz="8" w:space="0" w:color="4098A4" w:themeColor="accent1"/>
        <w:bottom w:val="single" w:sz="8" w:space="0" w:color="4098A4" w:themeColor="accent1"/>
        <w:right w:val="single" w:sz="8" w:space="0" w:color="4098A4" w:themeColor="accent1"/>
        <w:insideH w:val="single" w:sz="8" w:space="0" w:color="4098A4" w:themeColor="accent1"/>
        <w:insideV w:val="single" w:sz="8" w:space="0" w:color="4098A4" w:themeColor="accent1"/>
      </w:tblBorders>
    </w:tblPr>
    <w:tcPr>
      <w:shd w:val="clear" w:color="auto" w:fill="CCE7EB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BF5F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CEF" w:themeFill="accent1" w:themeFillTint="33"/>
      </w:tcPr>
    </w:tblStylePr>
    <w:tblStylePr w:type="band1Vert">
      <w:tblPr/>
      <w:tcPr>
        <w:shd w:val="clear" w:color="auto" w:fill="99D0D7" w:themeFill="accent1" w:themeFillTint="7F"/>
      </w:tcPr>
    </w:tblStylePr>
    <w:tblStylePr w:type="band1Horz">
      <w:tblPr/>
      <w:tcPr>
        <w:tcBorders>
          <w:insideH w:val="single" w:sz="6" w:space="0" w:color="4098A4" w:themeColor="accent1"/>
          <w:insideV w:val="single" w:sz="6" w:space="0" w:color="4098A4" w:themeColor="accent1"/>
        </w:tcBorders>
        <w:shd w:val="clear" w:color="auto" w:fill="99D0D7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BAC3" w:themeColor="accent2"/>
        <w:left w:val="single" w:sz="8" w:space="0" w:color="80BAC3" w:themeColor="accent2"/>
        <w:bottom w:val="single" w:sz="8" w:space="0" w:color="80BAC3" w:themeColor="accent2"/>
        <w:right w:val="single" w:sz="8" w:space="0" w:color="80BAC3" w:themeColor="accent2"/>
        <w:insideH w:val="single" w:sz="8" w:space="0" w:color="80BAC3" w:themeColor="accent2"/>
        <w:insideV w:val="single" w:sz="8" w:space="0" w:color="80BAC3" w:themeColor="accent2"/>
      </w:tblBorders>
    </w:tblPr>
    <w:tcPr>
      <w:shd w:val="clear" w:color="auto" w:fill="DFEDF0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2F8F9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F1F3" w:themeFill="accent2" w:themeFillTint="33"/>
      </w:tcPr>
    </w:tblStylePr>
    <w:tblStylePr w:type="band1Vert">
      <w:tblPr/>
      <w:tcPr>
        <w:shd w:val="clear" w:color="auto" w:fill="BFDCE1" w:themeFill="accent2" w:themeFillTint="7F"/>
      </w:tcPr>
    </w:tblStylePr>
    <w:tblStylePr w:type="band1Horz">
      <w:tblPr/>
      <w:tcPr>
        <w:tcBorders>
          <w:insideH w:val="single" w:sz="6" w:space="0" w:color="80BAC3" w:themeColor="accent2"/>
          <w:insideV w:val="single" w:sz="6" w:space="0" w:color="80BAC3" w:themeColor="accent2"/>
        </w:tcBorders>
        <w:shd w:val="clear" w:color="auto" w:fill="BFDCE1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FDDE1" w:themeColor="accent3"/>
        <w:left w:val="single" w:sz="8" w:space="0" w:color="BFDDE1" w:themeColor="accent3"/>
        <w:bottom w:val="single" w:sz="8" w:space="0" w:color="BFDDE1" w:themeColor="accent3"/>
        <w:right w:val="single" w:sz="8" w:space="0" w:color="BFDDE1" w:themeColor="accent3"/>
        <w:insideH w:val="single" w:sz="8" w:space="0" w:color="BFDDE1" w:themeColor="accent3"/>
        <w:insideV w:val="single" w:sz="8" w:space="0" w:color="BFDDE1" w:themeColor="accent3"/>
      </w:tblBorders>
    </w:tblPr>
    <w:tcPr>
      <w:shd w:val="clear" w:color="auto" w:fill="EFF6F7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8FBFC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F8F9" w:themeFill="accent3" w:themeFillTint="33"/>
      </w:tcPr>
    </w:tblStylePr>
    <w:tblStylePr w:type="band1Vert">
      <w:tblPr/>
      <w:tcPr>
        <w:shd w:val="clear" w:color="auto" w:fill="DFEEF0" w:themeFill="accent3" w:themeFillTint="7F"/>
      </w:tcPr>
    </w:tblStylePr>
    <w:tblStylePr w:type="band1Horz">
      <w:tblPr/>
      <w:tcPr>
        <w:tcBorders>
          <w:insideH w:val="single" w:sz="6" w:space="0" w:color="BFDDE1" w:themeColor="accent3"/>
          <w:insideV w:val="single" w:sz="6" w:space="0" w:color="BFDDE1" w:themeColor="accent3"/>
        </w:tcBorders>
        <w:shd w:val="clear" w:color="auto" w:fill="DFEEF0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04050" w:themeColor="accent4"/>
        <w:left w:val="single" w:sz="8" w:space="0" w:color="404050" w:themeColor="accent4"/>
        <w:bottom w:val="single" w:sz="8" w:space="0" w:color="404050" w:themeColor="accent4"/>
        <w:right w:val="single" w:sz="8" w:space="0" w:color="404050" w:themeColor="accent4"/>
        <w:insideH w:val="single" w:sz="8" w:space="0" w:color="404050" w:themeColor="accent4"/>
        <w:insideV w:val="single" w:sz="8" w:space="0" w:color="404050" w:themeColor="accent4"/>
      </w:tblBorders>
    </w:tblPr>
    <w:tcPr>
      <w:shd w:val="clear" w:color="auto" w:fill="CCCCD6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BEBEF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D6DE" w:themeFill="accent4" w:themeFillTint="33"/>
      </w:tcPr>
    </w:tblStylePr>
    <w:tblStylePr w:type="band1Vert">
      <w:tblPr/>
      <w:tcPr>
        <w:shd w:val="clear" w:color="auto" w:fill="9999AE" w:themeFill="accent4" w:themeFillTint="7F"/>
      </w:tcPr>
    </w:tblStylePr>
    <w:tblStylePr w:type="band1Horz">
      <w:tblPr/>
      <w:tcPr>
        <w:tcBorders>
          <w:insideH w:val="single" w:sz="6" w:space="0" w:color="404050" w:themeColor="accent4"/>
          <w:insideV w:val="single" w:sz="6" w:space="0" w:color="404050" w:themeColor="accent4"/>
        </w:tcBorders>
        <w:shd w:val="clear" w:color="auto" w:fill="9999AE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808B" w:themeColor="accent5"/>
        <w:left w:val="single" w:sz="8" w:space="0" w:color="80808B" w:themeColor="accent5"/>
        <w:bottom w:val="single" w:sz="8" w:space="0" w:color="80808B" w:themeColor="accent5"/>
        <w:right w:val="single" w:sz="8" w:space="0" w:color="80808B" w:themeColor="accent5"/>
        <w:insideH w:val="single" w:sz="8" w:space="0" w:color="80808B" w:themeColor="accent5"/>
        <w:insideV w:val="single" w:sz="8" w:space="0" w:color="80808B" w:themeColor="accent5"/>
      </w:tblBorders>
    </w:tblPr>
    <w:tcPr>
      <w:shd w:val="clear" w:color="auto" w:fill="DFDFE2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2F2F3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5E7" w:themeFill="accent5" w:themeFillTint="33"/>
      </w:tcPr>
    </w:tblStylePr>
    <w:tblStylePr w:type="band1Vert">
      <w:tblPr/>
      <w:tcPr>
        <w:shd w:val="clear" w:color="auto" w:fill="BFBFC5" w:themeFill="accent5" w:themeFillTint="7F"/>
      </w:tcPr>
    </w:tblStylePr>
    <w:tblStylePr w:type="band1Horz">
      <w:tblPr/>
      <w:tcPr>
        <w:tcBorders>
          <w:insideH w:val="single" w:sz="6" w:space="0" w:color="80808B" w:themeColor="accent5"/>
          <w:insideV w:val="single" w:sz="6" w:space="0" w:color="80808B" w:themeColor="accent5"/>
        </w:tcBorders>
        <w:shd w:val="clear" w:color="auto" w:fill="BFBFC5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CCCD0" w:themeColor="accent6"/>
        <w:left w:val="single" w:sz="8" w:space="0" w:color="CCCCD0" w:themeColor="accent6"/>
        <w:bottom w:val="single" w:sz="8" w:space="0" w:color="CCCCD0" w:themeColor="accent6"/>
        <w:right w:val="single" w:sz="8" w:space="0" w:color="CCCCD0" w:themeColor="accent6"/>
        <w:insideH w:val="single" w:sz="8" w:space="0" w:color="CCCCD0" w:themeColor="accent6"/>
        <w:insideV w:val="single" w:sz="8" w:space="0" w:color="CCCCD0" w:themeColor="accent6"/>
      </w:tblBorders>
    </w:tblPr>
    <w:tcPr>
      <w:shd w:val="clear" w:color="auto" w:fill="F2F2F3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9F9FA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F4F5" w:themeFill="accent6" w:themeFillTint="33"/>
      </w:tcPr>
    </w:tblStylePr>
    <w:tblStylePr w:type="band1Vert">
      <w:tblPr/>
      <w:tcPr>
        <w:shd w:val="clear" w:color="auto" w:fill="E5E5E7" w:themeFill="accent6" w:themeFillTint="7F"/>
      </w:tcPr>
    </w:tblStylePr>
    <w:tblStylePr w:type="band1Horz">
      <w:tblPr/>
      <w:tcPr>
        <w:tcBorders>
          <w:insideH w:val="single" w:sz="6" w:space="0" w:color="CCCCD0" w:themeColor="accent6"/>
          <w:insideV w:val="single" w:sz="6" w:space="0" w:color="CCCCD0" w:themeColor="accent6"/>
        </w:tcBorders>
        <w:shd w:val="clear" w:color="auto" w:fill="E5E5E7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CE7EB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098A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098A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098A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098A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9D0D7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9D0D7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EDF0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BAC3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BAC3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BAC3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BAC3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DCE1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DCE1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F6F7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FDDE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FDDE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FDDE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FDDE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EEF0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EEF0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CCCD6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0405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0405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0405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0405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999AE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999AE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FE2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808B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808B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808B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808B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FC5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FC5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2F2F3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CCCD0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CCCD0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CCCD0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CCCD0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5E5E7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5E5E7" w:themeFill="accent6" w:themeFillTint="7F"/>
      </w:tcPr>
    </w:tblStylePr>
  </w:style>
  <w:style w:type="table" w:styleId="MediumList1">
    <w:name w:val="Medium List 1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098A4" w:themeColor="accent1"/>
        <w:bottom w:val="single" w:sz="8" w:space="0" w:color="4098A4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098A4" w:themeColor="accen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4098A4" w:themeColor="accent1"/>
          <w:bottom w:val="single" w:sz="8" w:space="0" w:color="4098A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098A4" w:themeColor="accent1"/>
          <w:bottom w:val="single" w:sz="8" w:space="0" w:color="4098A4" w:themeColor="accent1"/>
        </w:tcBorders>
      </w:tcPr>
    </w:tblStylePr>
    <w:tblStylePr w:type="band1Vert">
      <w:tblPr/>
      <w:tcPr>
        <w:shd w:val="clear" w:color="auto" w:fill="CCE7EB" w:themeFill="accent1" w:themeFillTint="3F"/>
      </w:tcPr>
    </w:tblStylePr>
    <w:tblStylePr w:type="band1Horz">
      <w:tblPr/>
      <w:tcPr>
        <w:shd w:val="clear" w:color="auto" w:fill="CCE7EB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BAC3" w:themeColor="accent2"/>
        <w:bottom w:val="single" w:sz="8" w:space="0" w:color="80BAC3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BAC3" w:themeColor="accent2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80BAC3" w:themeColor="accent2"/>
          <w:bottom w:val="single" w:sz="8" w:space="0" w:color="80BAC3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BAC3" w:themeColor="accent2"/>
          <w:bottom w:val="single" w:sz="8" w:space="0" w:color="80BAC3" w:themeColor="accent2"/>
        </w:tcBorders>
      </w:tcPr>
    </w:tblStylePr>
    <w:tblStylePr w:type="band1Vert">
      <w:tblPr/>
      <w:tcPr>
        <w:shd w:val="clear" w:color="auto" w:fill="DFEDF0" w:themeFill="accent2" w:themeFillTint="3F"/>
      </w:tcPr>
    </w:tblStylePr>
    <w:tblStylePr w:type="band1Horz">
      <w:tblPr/>
      <w:tcPr>
        <w:shd w:val="clear" w:color="auto" w:fill="DFEDF0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BFDDE1" w:themeColor="accent3"/>
        <w:bottom w:val="single" w:sz="8" w:space="0" w:color="BFDDE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FDDE1" w:themeColor="accent3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BFDDE1" w:themeColor="accent3"/>
          <w:bottom w:val="single" w:sz="8" w:space="0" w:color="BFDDE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FDDE1" w:themeColor="accent3"/>
          <w:bottom w:val="single" w:sz="8" w:space="0" w:color="BFDDE1" w:themeColor="accent3"/>
        </w:tcBorders>
      </w:tcPr>
    </w:tblStylePr>
    <w:tblStylePr w:type="band1Vert">
      <w:tblPr/>
      <w:tcPr>
        <w:shd w:val="clear" w:color="auto" w:fill="EFF6F7" w:themeFill="accent3" w:themeFillTint="3F"/>
      </w:tcPr>
    </w:tblStylePr>
    <w:tblStylePr w:type="band1Horz">
      <w:tblPr/>
      <w:tcPr>
        <w:shd w:val="clear" w:color="auto" w:fill="EFF6F7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04050" w:themeColor="accent4"/>
        <w:bottom w:val="single" w:sz="8" w:space="0" w:color="40405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04050" w:themeColor="accent4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404050" w:themeColor="accent4"/>
          <w:bottom w:val="single" w:sz="8" w:space="0" w:color="40405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04050" w:themeColor="accent4"/>
          <w:bottom w:val="single" w:sz="8" w:space="0" w:color="404050" w:themeColor="accent4"/>
        </w:tcBorders>
      </w:tcPr>
    </w:tblStylePr>
    <w:tblStylePr w:type="band1Vert">
      <w:tblPr/>
      <w:tcPr>
        <w:shd w:val="clear" w:color="auto" w:fill="CCCCD6" w:themeFill="accent4" w:themeFillTint="3F"/>
      </w:tcPr>
    </w:tblStylePr>
    <w:tblStylePr w:type="band1Horz">
      <w:tblPr/>
      <w:tcPr>
        <w:shd w:val="clear" w:color="auto" w:fill="CCCCD6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808B" w:themeColor="accent5"/>
        <w:bottom w:val="single" w:sz="8" w:space="0" w:color="80808B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808B" w:themeColor="accent5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80808B" w:themeColor="accent5"/>
          <w:bottom w:val="single" w:sz="8" w:space="0" w:color="80808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808B" w:themeColor="accent5"/>
          <w:bottom w:val="single" w:sz="8" w:space="0" w:color="80808B" w:themeColor="accent5"/>
        </w:tcBorders>
      </w:tcPr>
    </w:tblStylePr>
    <w:tblStylePr w:type="band1Vert">
      <w:tblPr/>
      <w:tcPr>
        <w:shd w:val="clear" w:color="auto" w:fill="DFDFE2" w:themeFill="accent5" w:themeFillTint="3F"/>
      </w:tcPr>
    </w:tblStylePr>
    <w:tblStylePr w:type="band1Horz">
      <w:tblPr/>
      <w:tcPr>
        <w:shd w:val="clear" w:color="auto" w:fill="DFDFE2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CCCD0" w:themeColor="accent6"/>
        <w:bottom w:val="single" w:sz="8" w:space="0" w:color="CCCCD0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CCCD0" w:themeColor="accent6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CCCCD0" w:themeColor="accent6"/>
          <w:bottom w:val="single" w:sz="8" w:space="0" w:color="CCCCD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CCCD0" w:themeColor="accent6"/>
          <w:bottom w:val="single" w:sz="8" w:space="0" w:color="CCCCD0" w:themeColor="accent6"/>
        </w:tcBorders>
      </w:tcPr>
    </w:tblStylePr>
    <w:tblStylePr w:type="band1Vert">
      <w:tblPr/>
      <w:tcPr>
        <w:shd w:val="clear" w:color="auto" w:fill="F2F2F3" w:themeFill="accent6" w:themeFillTint="3F"/>
      </w:tcPr>
    </w:tblStylePr>
    <w:tblStylePr w:type="band1Horz">
      <w:tblPr/>
      <w:tcPr>
        <w:shd w:val="clear" w:color="auto" w:fill="F2F2F3" w:themeFill="accent6" w:themeFillTint="3F"/>
      </w:tcPr>
    </w:tblStylePr>
  </w:style>
  <w:style w:type="table" w:styleId="MediumList2">
    <w:name w:val="Medium List 2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098A4" w:themeColor="accent1"/>
        <w:left w:val="single" w:sz="8" w:space="0" w:color="4098A4" w:themeColor="accent1"/>
        <w:bottom w:val="single" w:sz="8" w:space="0" w:color="4098A4" w:themeColor="accent1"/>
        <w:right w:val="single" w:sz="8" w:space="0" w:color="4098A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098A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098A4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098A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098A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E7EB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CE7EB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BAC3" w:themeColor="accent2"/>
        <w:left w:val="single" w:sz="8" w:space="0" w:color="80BAC3" w:themeColor="accent2"/>
        <w:bottom w:val="single" w:sz="8" w:space="0" w:color="80BAC3" w:themeColor="accent2"/>
        <w:right w:val="single" w:sz="8" w:space="0" w:color="80BAC3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BAC3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BAC3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BAC3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BAC3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DF0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EDF0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FDDE1" w:themeColor="accent3"/>
        <w:left w:val="single" w:sz="8" w:space="0" w:color="BFDDE1" w:themeColor="accent3"/>
        <w:bottom w:val="single" w:sz="8" w:space="0" w:color="BFDDE1" w:themeColor="accent3"/>
        <w:right w:val="single" w:sz="8" w:space="0" w:color="BFDDE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FDDE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BFDDE1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FDDE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FDDE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F6F7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F6F7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04050" w:themeColor="accent4"/>
        <w:left w:val="single" w:sz="8" w:space="0" w:color="404050" w:themeColor="accent4"/>
        <w:bottom w:val="single" w:sz="8" w:space="0" w:color="404050" w:themeColor="accent4"/>
        <w:right w:val="single" w:sz="8" w:space="0" w:color="40405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0405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04050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0405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0405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CCD6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CCCD6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808B" w:themeColor="accent5"/>
        <w:left w:val="single" w:sz="8" w:space="0" w:color="80808B" w:themeColor="accent5"/>
        <w:bottom w:val="single" w:sz="8" w:space="0" w:color="80808B" w:themeColor="accent5"/>
        <w:right w:val="single" w:sz="8" w:space="0" w:color="80808B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808B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808B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808B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808B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FE2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FE2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CCCD0" w:themeColor="accent6"/>
        <w:left w:val="single" w:sz="8" w:space="0" w:color="CCCCD0" w:themeColor="accent6"/>
        <w:bottom w:val="single" w:sz="8" w:space="0" w:color="CCCCD0" w:themeColor="accent6"/>
        <w:right w:val="single" w:sz="8" w:space="0" w:color="CCCCD0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CCCD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CCCD0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CCCD0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CCCD0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F2F3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2F2F3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66B8C3" w:themeColor="accent1" w:themeTint="BF"/>
        <w:left w:val="single" w:sz="8" w:space="0" w:color="66B8C3" w:themeColor="accent1" w:themeTint="BF"/>
        <w:bottom w:val="single" w:sz="8" w:space="0" w:color="66B8C3" w:themeColor="accent1" w:themeTint="BF"/>
        <w:right w:val="single" w:sz="8" w:space="0" w:color="66B8C3" w:themeColor="accent1" w:themeTint="BF"/>
        <w:insideH w:val="single" w:sz="8" w:space="0" w:color="66B8C3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6B8C3" w:themeColor="accent1" w:themeTint="BF"/>
          <w:left w:val="single" w:sz="8" w:space="0" w:color="66B8C3" w:themeColor="accent1" w:themeTint="BF"/>
          <w:bottom w:val="single" w:sz="8" w:space="0" w:color="66B8C3" w:themeColor="accent1" w:themeTint="BF"/>
          <w:right w:val="single" w:sz="8" w:space="0" w:color="66B8C3" w:themeColor="accent1" w:themeTint="BF"/>
          <w:insideH w:val="nil"/>
          <w:insideV w:val="nil"/>
        </w:tcBorders>
        <w:shd w:val="clear" w:color="auto" w:fill="4098A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B8C3" w:themeColor="accent1" w:themeTint="BF"/>
          <w:left w:val="single" w:sz="8" w:space="0" w:color="66B8C3" w:themeColor="accent1" w:themeTint="BF"/>
          <w:bottom w:val="single" w:sz="8" w:space="0" w:color="66B8C3" w:themeColor="accent1" w:themeTint="BF"/>
          <w:right w:val="single" w:sz="8" w:space="0" w:color="66B8C3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7EB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E7EB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CBD2" w:themeColor="accent2" w:themeTint="BF"/>
        <w:left w:val="single" w:sz="8" w:space="0" w:color="9FCBD2" w:themeColor="accent2" w:themeTint="BF"/>
        <w:bottom w:val="single" w:sz="8" w:space="0" w:color="9FCBD2" w:themeColor="accent2" w:themeTint="BF"/>
        <w:right w:val="single" w:sz="8" w:space="0" w:color="9FCBD2" w:themeColor="accent2" w:themeTint="BF"/>
        <w:insideH w:val="single" w:sz="8" w:space="0" w:color="9FCBD2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CBD2" w:themeColor="accent2" w:themeTint="BF"/>
          <w:left w:val="single" w:sz="8" w:space="0" w:color="9FCBD2" w:themeColor="accent2" w:themeTint="BF"/>
          <w:bottom w:val="single" w:sz="8" w:space="0" w:color="9FCBD2" w:themeColor="accent2" w:themeTint="BF"/>
          <w:right w:val="single" w:sz="8" w:space="0" w:color="9FCBD2" w:themeColor="accent2" w:themeTint="BF"/>
          <w:insideH w:val="nil"/>
          <w:insideV w:val="nil"/>
        </w:tcBorders>
        <w:shd w:val="clear" w:color="auto" w:fill="80BAC3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CBD2" w:themeColor="accent2" w:themeTint="BF"/>
          <w:left w:val="single" w:sz="8" w:space="0" w:color="9FCBD2" w:themeColor="accent2" w:themeTint="BF"/>
          <w:bottom w:val="single" w:sz="8" w:space="0" w:color="9FCBD2" w:themeColor="accent2" w:themeTint="BF"/>
          <w:right w:val="single" w:sz="8" w:space="0" w:color="9FCBD2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DF0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EDF0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EE5E8" w:themeColor="accent3" w:themeTint="BF"/>
        <w:left w:val="single" w:sz="8" w:space="0" w:color="CEE5E8" w:themeColor="accent3" w:themeTint="BF"/>
        <w:bottom w:val="single" w:sz="8" w:space="0" w:color="CEE5E8" w:themeColor="accent3" w:themeTint="BF"/>
        <w:right w:val="single" w:sz="8" w:space="0" w:color="CEE5E8" w:themeColor="accent3" w:themeTint="BF"/>
        <w:insideH w:val="single" w:sz="8" w:space="0" w:color="CEE5E8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EE5E8" w:themeColor="accent3" w:themeTint="BF"/>
          <w:left w:val="single" w:sz="8" w:space="0" w:color="CEE5E8" w:themeColor="accent3" w:themeTint="BF"/>
          <w:bottom w:val="single" w:sz="8" w:space="0" w:color="CEE5E8" w:themeColor="accent3" w:themeTint="BF"/>
          <w:right w:val="single" w:sz="8" w:space="0" w:color="CEE5E8" w:themeColor="accent3" w:themeTint="BF"/>
          <w:insideH w:val="nil"/>
          <w:insideV w:val="nil"/>
        </w:tcBorders>
        <w:shd w:val="clear" w:color="auto" w:fill="BFDDE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E5E8" w:themeColor="accent3" w:themeTint="BF"/>
          <w:left w:val="single" w:sz="8" w:space="0" w:color="CEE5E8" w:themeColor="accent3" w:themeTint="BF"/>
          <w:bottom w:val="single" w:sz="8" w:space="0" w:color="CEE5E8" w:themeColor="accent3" w:themeTint="BF"/>
          <w:right w:val="single" w:sz="8" w:space="0" w:color="CEE5E8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6F7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F6F7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686882" w:themeColor="accent4" w:themeTint="BF"/>
        <w:left w:val="single" w:sz="8" w:space="0" w:color="686882" w:themeColor="accent4" w:themeTint="BF"/>
        <w:bottom w:val="single" w:sz="8" w:space="0" w:color="686882" w:themeColor="accent4" w:themeTint="BF"/>
        <w:right w:val="single" w:sz="8" w:space="0" w:color="686882" w:themeColor="accent4" w:themeTint="BF"/>
        <w:insideH w:val="single" w:sz="8" w:space="0" w:color="686882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86882" w:themeColor="accent4" w:themeTint="BF"/>
          <w:left w:val="single" w:sz="8" w:space="0" w:color="686882" w:themeColor="accent4" w:themeTint="BF"/>
          <w:bottom w:val="single" w:sz="8" w:space="0" w:color="686882" w:themeColor="accent4" w:themeTint="BF"/>
          <w:right w:val="single" w:sz="8" w:space="0" w:color="686882" w:themeColor="accent4" w:themeTint="BF"/>
          <w:insideH w:val="nil"/>
          <w:insideV w:val="nil"/>
        </w:tcBorders>
        <w:shd w:val="clear" w:color="auto" w:fill="40405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86882" w:themeColor="accent4" w:themeTint="BF"/>
          <w:left w:val="single" w:sz="8" w:space="0" w:color="686882" w:themeColor="accent4" w:themeTint="BF"/>
          <w:bottom w:val="single" w:sz="8" w:space="0" w:color="686882" w:themeColor="accent4" w:themeTint="BF"/>
          <w:right w:val="single" w:sz="8" w:space="0" w:color="686882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D6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CCD6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9FA8" w:themeColor="accent5" w:themeTint="BF"/>
        <w:left w:val="single" w:sz="8" w:space="0" w:color="9F9FA8" w:themeColor="accent5" w:themeTint="BF"/>
        <w:bottom w:val="single" w:sz="8" w:space="0" w:color="9F9FA8" w:themeColor="accent5" w:themeTint="BF"/>
        <w:right w:val="single" w:sz="8" w:space="0" w:color="9F9FA8" w:themeColor="accent5" w:themeTint="BF"/>
        <w:insideH w:val="single" w:sz="8" w:space="0" w:color="9F9FA8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9FA8" w:themeColor="accent5" w:themeTint="BF"/>
          <w:left w:val="single" w:sz="8" w:space="0" w:color="9F9FA8" w:themeColor="accent5" w:themeTint="BF"/>
          <w:bottom w:val="single" w:sz="8" w:space="0" w:color="9F9FA8" w:themeColor="accent5" w:themeTint="BF"/>
          <w:right w:val="single" w:sz="8" w:space="0" w:color="9F9FA8" w:themeColor="accent5" w:themeTint="BF"/>
          <w:insideH w:val="nil"/>
          <w:insideV w:val="nil"/>
        </w:tcBorders>
        <w:shd w:val="clear" w:color="auto" w:fill="80808B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9FA8" w:themeColor="accent5" w:themeTint="BF"/>
          <w:left w:val="single" w:sz="8" w:space="0" w:color="9F9FA8" w:themeColor="accent5" w:themeTint="BF"/>
          <w:bottom w:val="single" w:sz="8" w:space="0" w:color="9F9FA8" w:themeColor="accent5" w:themeTint="BF"/>
          <w:right w:val="single" w:sz="8" w:space="0" w:color="9F9FA8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E2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FE2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D8D8DB" w:themeColor="accent6" w:themeTint="BF"/>
        <w:left w:val="single" w:sz="8" w:space="0" w:color="D8D8DB" w:themeColor="accent6" w:themeTint="BF"/>
        <w:bottom w:val="single" w:sz="8" w:space="0" w:color="D8D8DB" w:themeColor="accent6" w:themeTint="BF"/>
        <w:right w:val="single" w:sz="8" w:space="0" w:color="D8D8DB" w:themeColor="accent6" w:themeTint="BF"/>
        <w:insideH w:val="single" w:sz="8" w:space="0" w:color="D8D8DB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8D8DB" w:themeColor="accent6" w:themeTint="BF"/>
          <w:left w:val="single" w:sz="8" w:space="0" w:color="D8D8DB" w:themeColor="accent6" w:themeTint="BF"/>
          <w:bottom w:val="single" w:sz="8" w:space="0" w:color="D8D8DB" w:themeColor="accent6" w:themeTint="BF"/>
          <w:right w:val="single" w:sz="8" w:space="0" w:color="D8D8DB" w:themeColor="accent6" w:themeTint="BF"/>
          <w:insideH w:val="nil"/>
          <w:insideV w:val="nil"/>
        </w:tcBorders>
        <w:shd w:val="clear" w:color="auto" w:fill="CCCCD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8D8DB" w:themeColor="accent6" w:themeTint="BF"/>
          <w:left w:val="single" w:sz="8" w:space="0" w:color="D8D8DB" w:themeColor="accent6" w:themeTint="BF"/>
          <w:bottom w:val="single" w:sz="8" w:space="0" w:color="D8D8DB" w:themeColor="accent6" w:themeTint="BF"/>
          <w:right w:val="single" w:sz="8" w:space="0" w:color="D8D8DB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3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2F2F3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098A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098A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098A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BAC3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BAC3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BAC3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FDDE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FDDE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FDDE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0405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0405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0405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808B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808B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808B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CCCD0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CCCD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CCCD0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PlainTable11">
    <w:name w:val="Plain Table 11"/>
    <w:basedOn w:val="TableNormal"/>
    <w:uiPriority w:val="41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1">
    <w:name w:val="Plain Table 21"/>
    <w:basedOn w:val="TableNormal"/>
    <w:uiPriority w:val="42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1">
    <w:name w:val="Plain Table 31"/>
    <w:basedOn w:val="TableNormal"/>
    <w:uiPriority w:val="43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1">
    <w:name w:val="Plain Table 41"/>
    <w:basedOn w:val="TableNormal"/>
    <w:uiPriority w:val="44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1">
    <w:name w:val="Plain Table 51"/>
    <w:basedOn w:val="TableNormal"/>
    <w:uiPriority w:val="45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eGridLight1">
    <w:name w:val="Table Grid Light1"/>
    <w:basedOn w:val="TableNormal"/>
    <w:uiPriority w:val="40"/>
    <w:semiHidden/>
    <w:rsid w:val="00294A5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ulloutText">
    <w:name w:val="Pullout Text"/>
    <w:basedOn w:val="Normal"/>
    <w:uiPriority w:val="1"/>
    <w:qFormat/>
    <w:rsid w:val="009B0656"/>
    <w:pPr>
      <w:spacing w:before="100" w:after="100"/>
    </w:pPr>
    <w:rPr>
      <w:color w:val="004EA8"/>
    </w:rPr>
  </w:style>
  <w:style w:type="paragraph" w:customStyle="1" w:styleId="PulloutHeading">
    <w:name w:val="Pullout Heading"/>
    <w:basedOn w:val="PulloutText"/>
    <w:next w:val="PulloutText"/>
    <w:uiPriority w:val="1"/>
    <w:qFormat/>
    <w:rsid w:val="007E098F"/>
    <w:pPr>
      <w:spacing w:before="0" w:line="216" w:lineRule="auto"/>
    </w:pPr>
    <w:rPr>
      <w:b/>
      <w:sz w:val="24"/>
    </w:rPr>
  </w:style>
  <w:style w:type="table" w:customStyle="1" w:styleId="SCVInformationTable">
    <w:name w:val="SCV Information Table"/>
    <w:basedOn w:val="TableNormal"/>
    <w:uiPriority w:val="99"/>
    <w:rsid w:val="0086277A"/>
    <w:pPr>
      <w:spacing w:before="0" w:after="80" w:line="240" w:lineRule="auto"/>
      <w:ind w:left="170"/>
    </w:pPr>
    <w:rPr>
      <w:sz w:val="15"/>
    </w:rPr>
    <w:tblPr>
      <w:tblCellMar>
        <w:top w:w="323" w:type="dxa"/>
        <w:left w:w="0" w:type="dxa"/>
        <w:right w:w="0" w:type="dxa"/>
      </w:tblCellMar>
    </w:tblPr>
    <w:tcPr>
      <w:shd w:val="clear" w:color="auto" w:fill="F2F2F3"/>
    </w:tcPr>
  </w:style>
  <w:style w:type="paragraph" w:customStyle="1" w:styleId="Body">
    <w:name w:val="Body"/>
    <w:basedOn w:val="Normal"/>
    <w:uiPriority w:val="99"/>
    <w:rsid w:val="00E131C8"/>
    <w:pPr>
      <w:suppressAutoHyphens/>
      <w:autoSpaceDE w:val="0"/>
      <w:autoSpaceDN w:val="0"/>
      <w:adjustRightInd w:val="0"/>
      <w:spacing w:before="0" w:after="170" w:line="260" w:lineRule="atLeast"/>
      <w:textAlignment w:val="center"/>
    </w:pPr>
    <w:rPr>
      <w:rFonts w:ascii="Raleway" w:eastAsiaTheme="minorHAnsi" w:hAnsi="Raleway" w:cs="Raleway"/>
      <w:color w:val="000000"/>
      <w:lang w:val="en-GB" w:eastAsia="en-US"/>
    </w:rPr>
  </w:style>
  <w:style w:type="paragraph" w:styleId="NormalWeb">
    <w:name w:val="Normal (Web)"/>
    <w:basedOn w:val="Normal"/>
    <w:uiPriority w:val="99"/>
    <w:semiHidden/>
    <w:unhideWhenUsed/>
    <w:rsid w:val="00D81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1"/>
    <w:semiHidden/>
    <w:unhideWhenUsed/>
    <w:rsid w:val="008F2B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1"/>
    <w:semiHidden/>
    <w:unhideWhenUsed/>
    <w:rsid w:val="008F2B1C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1"/>
    <w:semiHidden/>
    <w:rsid w:val="008F2B1C"/>
  </w:style>
  <w:style w:type="paragraph" w:styleId="CommentSubject">
    <w:name w:val="annotation subject"/>
    <w:basedOn w:val="CommentText"/>
    <w:next w:val="CommentText"/>
    <w:link w:val="CommentSubjectChar"/>
    <w:uiPriority w:val="1"/>
    <w:semiHidden/>
    <w:unhideWhenUsed/>
    <w:rsid w:val="008F2B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1"/>
    <w:semiHidden/>
    <w:rsid w:val="008F2B1C"/>
    <w:rPr>
      <w:b/>
      <w:bCs/>
    </w:rPr>
  </w:style>
  <w:style w:type="paragraph" w:styleId="Revision">
    <w:name w:val="Revision"/>
    <w:hidden/>
    <w:uiPriority w:val="99"/>
    <w:semiHidden/>
    <w:rsid w:val="00D26150"/>
    <w:pPr>
      <w:spacing w:before="0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301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1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5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FDD7DEA8EA0426AA5381784CFC975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E23777-4AE3-4ADF-9F1D-A5D24E3866EB}"/>
      </w:docPartPr>
      <w:docPartBody>
        <w:p w:rsidR="00703806" w:rsidRDefault="00703806">
          <w:pPr>
            <w:pStyle w:val="5FDD7DEA8EA0426AA5381784CFC9753A"/>
          </w:pPr>
          <w:r w:rsidRPr="00803789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charset w:val="00"/>
    <w:family w:val="swiss"/>
    <w:pitch w:val="variable"/>
    <w:sig w:usb0="00000001" w:usb1="5000205B" w:usb2="00000000" w:usb3="00000000" w:csb0="00000097" w:csb1="00000000"/>
  </w:font>
  <w:font w:name="VIC">
    <w:panose1 w:val="00000500000000000000"/>
    <w:charset w:val="00"/>
    <w:family w:val="auto"/>
    <w:pitch w:val="variable"/>
    <w:sig w:usb0="00000007" w:usb1="00000000" w:usb2="00000000" w:usb3="00000000" w:csb0="00000093" w:csb1="00000000"/>
  </w:font>
  <w:font w:name="VIC SemiBold">
    <w:panose1 w:val="00000700000000000000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3806"/>
    <w:rsid w:val="00395ED0"/>
    <w:rsid w:val="00502D00"/>
    <w:rsid w:val="005478DE"/>
    <w:rsid w:val="005E68E0"/>
    <w:rsid w:val="00703806"/>
    <w:rsid w:val="009400EF"/>
    <w:rsid w:val="00B426A3"/>
    <w:rsid w:val="00B56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1"/>
    <w:semiHidden/>
    <w:rPr>
      <w:color w:val="808080"/>
    </w:rPr>
  </w:style>
  <w:style w:type="paragraph" w:customStyle="1" w:styleId="5FDD7DEA8EA0426AA5381784CFC9753A">
    <w:name w:val="5FDD7DEA8EA0426AA5381784CFC9753A"/>
  </w:style>
  <w:style w:type="paragraph" w:customStyle="1" w:styleId="F873A6BF6918455AA02469ECF5A716C7">
    <w:name w:val="F873A6BF6918455AA02469ECF5A716C7"/>
    <w:rsid w:val="00B56D1E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CV">
      <a:dk1>
        <a:srgbClr val="000000"/>
      </a:dk1>
      <a:lt1>
        <a:srgbClr val="FFFFFF"/>
      </a:lt1>
      <a:dk2>
        <a:srgbClr val="007586"/>
      </a:dk2>
      <a:lt2>
        <a:srgbClr val="EDF5F7"/>
      </a:lt2>
      <a:accent1>
        <a:srgbClr val="4098A4"/>
      </a:accent1>
      <a:accent2>
        <a:srgbClr val="80BAC3"/>
      </a:accent2>
      <a:accent3>
        <a:srgbClr val="BFDDE1"/>
      </a:accent3>
      <a:accent4>
        <a:srgbClr val="404050"/>
      </a:accent4>
      <a:accent5>
        <a:srgbClr val="80808B"/>
      </a:accent5>
      <a:accent6>
        <a:srgbClr val="CCCCD0"/>
      </a:accent6>
      <a:hlink>
        <a:srgbClr val="000000"/>
      </a:hlink>
      <a:folHlink>
        <a:srgbClr val="007586"/>
      </a:folHlink>
    </a:clrScheme>
    <a:fontScheme name="Arial">
      <a:majorFont>
        <a:latin typeface="Arial" panose="020F0302020204030204"/>
        <a:ea typeface="Arial"/>
        <a:cs typeface="Arial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F0502020204030204"/>
        <a:ea typeface="Arial"/>
        <a:cs typeface="Arial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C378F0-A407-49A3-BDA1-4902D44FC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7FB87995.dotm</Template>
  <TotalTime>9</TotalTime>
  <Pages>5</Pages>
  <Words>1431</Words>
  <Characters>8163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Advice</vt:lpstr>
    </vt:vector>
  </TitlesOfParts>
  <Company>Department of Treasury and Finance</Company>
  <LinksUpToDate>false</LinksUpToDate>
  <CharactersWithSpaces>9575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Advice</dc:title>
  <dc:creator>Lauren Robb (DHHS)</dc:creator>
  <cp:lastModifiedBy>Jo Buxton (DHHS)</cp:lastModifiedBy>
  <cp:revision>4</cp:revision>
  <cp:lastPrinted>2018-11-08T03:04:00Z</cp:lastPrinted>
  <dcterms:created xsi:type="dcterms:W3CDTF">2018-11-12T00:40:00Z</dcterms:created>
  <dcterms:modified xsi:type="dcterms:W3CDTF">2019-12-09T01:41:00Z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346754aa-f64f-4676-8998-5678c96f0a97</vt:lpwstr>
  </property>
  <property fmtid="{D5CDD505-2E9C-101B-9397-08002B2CF9AE}" pid="3" name="PSPFClassification">
    <vt:lpwstr>Do Not Mark</vt:lpwstr>
  </property>
</Properties>
</file>