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5670" w:rightFromText="5670" w:vertAnchor="page" w:horzAnchor="page" w:tblpX="852" w:tblpY="4310"/>
        <w:tblOverlap w:val="never"/>
        <w:tblW w:w="6804" w:type="dxa"/>
        <w:tblBorders>
          <w:insideH w:val="single" w:sz="24" w:space="0" w:color="CCCCD0" w:themeColor="accent6"/>
        </w:tblBorders>
        <w:tblCellMar>
          <w:left w:w="0" w:type="dxa"/>
          <w:right w:w="0" w:type="dxa"/>
        </w:tblCellMar>
        <w:tblLook w:val="0620" w:firstRow="1" w:lastRow="0" w:firstColumn="0" w:lastColumn="0" w:noHBand="1" w:noVBand="1"/>
      </w:tblPr>
      <w:tblGrid>
        <w:gridCol w:w="6804"/>
      </w:tblGrid>
      <w:tr w:rsidR="0050356B" w14:paraId="7E2921ED" w14:textId="77777777" w:rsidTr="0050356B">
        <w:trPr>
          <w:trHeight w:val="57"/>
        </w:trPr>
        <w:tc>
          <w:tcPr>
            <w:tcW w:w="6804" w:type="dxa"/>
            <w:shd w:val="clear" w:color="auto" w:fill="auto"/>
            <w:tcMar>
              <w:top w:w="312" w:type="dxa"/>
            </w:tcMar>
          </w:tcPr>
          <w:p w14:paraId="5625AB4A" w14:textId="77777777" w:rsidR="0050356B" w:rsidRPr="00B35ADC" w:rsidRDefault="00B35ADC" w:rsidP="00B35ADC">
            <w:pPr>
              <w:pStyle w:val="Date"/>
              <w:framePr w:hSpace="0" w:wrap="auto" w:vAnchor="margin" w:hAnchor="text" w:xAlign="left" w:yAlign="inline"/>
              <w:suppressOverlap w:val="0"/>
              <w:rPr>
                <w:b w:val="0"/>
              </w:rPr>
            </w:pPr>
            <w:r w:rsidRPr="00B35ADC">
              <w:rPr>
                <w:b w:val="0"/>
              </w:rPr>
              <w:t>January 2020</w:t>
            </w:r>
          </w:p>
        </w:tc>
      </w:tr>
      <w:tr w:rsidR="00A46288" w14:paraId="2431135C" w14:textId="77777777" w:rsidTr="0050356B">
        <w:trPr>
          <w:trHeight w:val="2948"/>
        </w:trPr>
        <w:tc>
          <w:tcPr>
            <w:tcW w:w="6804" w:type="dxa"/>
            <w:shd w:val="clear" w:color="auto" w:fill="auto"/>
            <w:tcMar>
              <w:top w:w="312" w:type="dxa"/>
            </w:tcMar>
          </w:tcPr>
          <w:sdt>
            <w:sdtPr>
              <w:rPr>
                <w:rFonts w:ascii="VIC SemiBold" w:hAnsi="VIC SemiBold"/>
                <w:b w:val="0"/>
              </w:rPr>
              <w:alias w:val="Title"/>
              <w:tag w:val=""/>
              <w:id w:val="-1484688983"/>
              <w:placeholder>
                <w:docPart w:val="4637223FD2C847BBBE44587E66DE4B52"/>
              </w:placeholder>
              <w:dataBinding w:prefixMappings="xmlns:ns0='http://purl.org/dc/elements/1.1/' xmlns:ns1='http://schemas.openxmlformats.org/package/2006/metadata/core-properties' " w:xpath="/ns1:coreProperties[1]/ns0:title[1]" w:storeItemID="{6C3C8BC8-F283-45AE-878A-BAB7291924A1}"/>
              <w:text/>
            </w:sdtPr>
            <w:sdtEndPr/>
            <w:sdtContent>
              <w:p w14:paraId="0B077E75" w14:textId="77777777" w:rsidR="00A46288" w:rsidRPr="00B35ADC" w:rsidRDefault="00B32F85" w:rsidP="0050356B">
                <w:pPr>
                  <w:pStyle w:val="Title"/>
                  <w:framePr w:hSpace="0" w:wrap="auto" w:vAnchor="margin" w:hAnchor="text" w:xAlign="left" w:yAlign="inline"/>
                  <w:suppressOverlap w:val="0"/>
                  <w:rPr>
                    <w:rFonts w:ascii="VIC SemiBold" w:hAnsi="VIC SemiBold"/>
                    <w:b w:val="0"/>
                  </w:rPr>
                </w:pPr>
                <w:r>
                  <w:rPr>
                    <w:rFonts w:ascii="VIC SemiBold" w:hAnsi="VIC SemiBold"/>
                    <w:b w:val="0"/>
                  </w:rPr>
                  <w:t>Putting patient safety first</w:t>
                </w:r>
              </w:p>
            </w:sdtContent>
          </w:sdt>
          <w:p w14:paraId="398AFDA2" w14:textId="6AC186AA" w:rsidR="00A46288" w:rsidRPr="00B35ADC" w:rsidRDefault="00B35ADC" w:rsidP="0050356B">
            <w:pPr>
              <w:pStyle w:val="Subtitle"/>
              <w:framePr w:hSpace="0" w:wrap="auto" w:vAnchor="margin" w:hAnchor="text" w:xAlign="left" w:yAlign="inline"/>
              <w:suppressOverlap w:val="0"/>
              <w:rPr>
                <w:rFonts w:ascii="VIC SemiBold" w:hAnsi="VIC SemiBold"/>
              </w:rPr>
            </w:pPr>
            <w:r w:rsidRPr="00B35ADC">
              <w:rPr>
                <w:rFonts w:ascii="VIC SemiBold" w:hAnsi="VIC SemiBold"/>
              </w:rPr>
              <w:t xml:space="preserve">2018–19 sentinel events </w:t>
            </w:r>
            <w:r w:rsidR="001B7A4A">
              <w:rPr>
                <w:rFonts w:ascii="VIC SemiBold" w:hAnsi="VIC SemiBold"/>
              </w:rPr>
              <w:br/>
            </w:r>
            <w:r w:rsidRPr="00B35ADC">
              <w:rPr>
                <w:rFonts w:ascii="VIC SemiBold" w:hAnsi="VIC SemiBold"/>
              </w:rPr>
              <w:t xml:space="preserve">annual report </w:t>
            </w:r>
          </w:p>
        </w:tc>
      </w:tr>
    </w:tbl>
    <w:p w14:paraId="09C06C4B" w14:textId="77777777" w:rsidR="00A46288" w:rsidRDefault="00A46288" w:rsidP="00A46288">
      <w:pPr>
        <w:pStyle w:val="NoSpacing"/>
      </w:pPr>
    </w:p>
    <w:p w14:paraId="64508920" w14:textId="77777777" w:rsidR="00A46288" w:rsidRDefault="00A46288" w:rsidP="00B35ADC">
      <w:pPr>
        <w:sectPr w:rsidR="00A46288" w:rsidSect="00257461">
          <w:headerReference w:type="default" r:id="rId11"/>
          <w:footerReference w:type="even" r:id="rId12"/>
          <w:footerReference w:type="default" r:id="rId13"/>
          <w:headerReference w:type="first" r:id="rId14"/>
          <w:pgSz w:w="11906" w:h="16838" w:code="9"/>
          <w:pgMar w:top="3402" w:right="851" w:bottom="1361" w:left="851" w:header="539" w:footer="624" w:gutter="0"/>
          <w:pgNumType w:start="1"/>
          <w:cols w:space="284"/>
          <w:titlePg/>
          <w:docGrid w:linePitch="360"/>
        </w:sectPr>
      </w:pPr>
    </w:p>
    <w:tbl>
      <w:tblPr>
        <w:tblStyle w:val="SCVInformationTable"/>
        <w:tblpPr w:leftFromText="181" w:rightFromText="181" w:horzAnchor="page" w:tblpX="852" w:tblpYSpec="bottom"/>
        <w:tblW w:w="10216" w:type="dxa"/>
        <w:tblLook w:val="0600" w:firstRow="0" w:lastRow="0" w:firstColumn="0" w:lastColumn="0" w:noHBand="1" w:noVBand="1"/>
      </w:tblPr>
      <w:tblGrid>
        <w:gridCol w:w="4395"/>
        <w:gridCol w:w="3337"/>
        <w:gridCol w:w="2484"/>
      </w:tblGrid>
      <w:tr w:rsidR="008116D8" w:rsidRPr="00736C0C" w14:paraId="6213946D" w14:textId="77777777" w:rsidTr="00B35ADC">
        <w:trPr>
          <w:trHeight w:val="2041"/>
        </w:trPr>
        <w:tc>
          <w:tcPr>
            <w:tcW w:w="4395" w:type="dxa"/>
            <w:tcMar>
              <w:left w:w="113" w:type="dxa"/>
            </w:tcMar>
          </w:tcPr>
          <w:p w14:paraId="00A97D5A" w14:textId="77777777" w:rsidR="008116D8" w:rsidRPr="008116D8" w:rsidRDefault="008116D8" w:rsidP="00B35ADC">
            <w:r w:rsidRPr="00B35ADC">
              <w:rPr>
                <w:sz w:val="24"/>
              </w:rPr>
              <w:lastRenderedPageBreak/>
              <w:t xml:space="preserve">To receive this publication in an accessible format phone </w:t>
            </w:r>
            <w:r w:rsidRPr="00B35ADC">
              <w:rPr>
                <w:sz w:val="24"/>
              </w:rPr>
              <w:br/>
              <w:t xml:space="preserve">03 9096 1384, using the National Relay Service 13 36 </w:t>
            </w:r>
            <w:r w:rsidRPr="00B35ADC">
              <w:rPr>
                <w:spacing w:val="-2"/>
                <w:sz w:val="24"/>
              </w:rPr>
              <w:t xml:space="preserve">77 if required, or email </w:t>
            </w:r>
            <w:r w:rsidR="00B35ADC">
              <w:rPr>
                <w:sz w:val="24"/>
              </w:rPr>
              <w:t xml:space="preserve">info@safercare.vic.gov.au </w:t>
            </w:r>
          </w:p>
        </w:tc>
        <w:tc>
          <w:tcPr>
            <w:tcW w:w="3337" w:type="dxa"/>
          </w:tcPr>
          <w:p w14:paraId="013A8851" w14:textId="77777777" w:rsidR="008116D8" w:rsidRDefault="008116D8" w:rsidP="00B35ADC">
            <w:r w:rsidRPr="00736C0C">
              <w:t xml:space="preserve">Authorised and </w:t>
            </w:r>
            <w:r w:rsidRPr="00736C0C">
              <w:rPr>
                <w:spacing w:val="-2"/>
              </w:rPr>
              <w:t>published by the Victorian</w:t>
            </w:r>
            <w:r w:rsidRPr="00736C0C">
              <w:t xml:space="preserve"> Government, 1</w:t>
            </w:r>
            <w:r>
              <w:t xml:space="preserve"> </w:t>
            </w:r>
            <w:r w:rsidRPr="00736C0C">
              <w:t>Treasury Place, Melbourne.</w:t>
            </w:r>
          </w:p>
          <w:p w14:paraId="3D8C3BC2" w14:textId="77777777" w:rsidR="008116D8" w:rsidRPr="00736C0C" w:rsidRDefault="008116D8" w:rsidP="00B35ADC">
            <w:r w:rsidRPr="00736C0C">
              <w:t>© State of Victoria, Australia,</w:t>
            </w:r>
            <w:r>
              <w:t xml:space="preserve"> </w:t>
            </w:r>
            <w:r w:rsidRPr="00736C0C">
              <w:t>Safer Care Victoria,</w:t>
            </w:r>
            <w:r>
              <w:t xml:space="preserve"> </w:t>
            </w:r>
            <w:r w:rsidR="00B35ADC">
              <w:t>January 2020.</w:t>
            </w:r>
          </w:p>
          <w:p w14:paraId="47DD4685" w14:textId="77777777" w:rsidR="008116D8" w:rsidRPr="00736C0C" w:rsidRDefault="008116D8" w:rsidP="00B35ADC">
            <w:r w:rsidRPr="00736C0C">
              <w:t>IS</w:t>
            </w:r>
            <w:r w:rsidR="00B35ADC">
              <w:t>S</w:t>
            </w:r>
            <w:r w:rsidRPr="00736C0C">
              <w:t xml:space="preserve">N </w:t>
            </w:r>
            <w:r w:rsidR="00B35ADC">
              <w:t>2206–3625 (online)</w:t>
            </w:r>
          </w:p>
          <w:p w14:paraId="0EE74106" w14:textId="77777777" w:rsidR="008116D8" w:rsidRPr="00736C0C" w:rsidRDefault="008116D8" w:rsidP="00B35ADC">
            <w:r w:rsidRPr="00736C0C">
              <w:t xml:space="preserve">Available at </w:t>
            </w:r>
            <w:hyperlink r:id="rId15" w:history="1">
              <w:r w:rsidRPr="00EE4C3F">
                <w:rPr>
                  <w:color w:val="4D92C0"/>
                </w:rPr>
                <w:t>www.</w:t>
              </w:r>
              <w:r w:rsidRPr="004A4FB7">
                <w:rPr>
                  <w:color w:val="4D92C0"/>
                </w:rPr>
                <w:t>safercare</w:t>
              </w:r>
              <w:r w:rsidRPr="00EE4C3F">
                <w:rPr>
                  <w:color w:val="4D92C0"/>
                </w:rPr>
                <w:t>.vic</w:t>
              </w:r>
            </w:hyperlink>
            <w:r>
              <w:rPr>
                <w:color w:val="4D92C0"/>
              </w:rPr>
              <w:t>.</w:t>
            </w:r>
            <w:r w:rsidRPr="00EE4C3F">
              <w:rPr>
                <w:color w:val="4D92C0"/>
              </w:rPr>
              <w:t>gov.au</w:t>
            </w:r>
            <w:r w:rsidRPr="000D01D2">
              <w:rPr>
                <w:color w:val="4382B9"/>
              </w:rPr>
              <w:t xml:space="preserve"> </w:t>
            </w:r>
          </w:p>
        </w:tc>
        <w:tc>
          <w:tcPr>
            <w:tcW w:w="2484" w:type="dxa"/>
          </w:tcPr>
          <w:p w14:paraId="58B63B73" w14:textId="77777777" w:rsidR="008116D8" w:rsidRPr="00736C0C" w:rsidRDefault="008116D8" w:rsidP="00B35ADC">
            <w:r w:rsidRPr="00736C0C">
              <w:rPr>
                <w:noProof/>
              </w:rPr>
              <w:drawing>
                <wp:inline distT="0" distB="0" distL="0" distR="0" wp14:anchorId="0B5B13D3" wp14:editId="40144C9C">
                  <wp:extent cx="795600" cy="453600"/>
                  <wp:effectExtent l="0" t="0" r="508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Vic State Government.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95600" cy="453600"/>
                          </a:xfrm>
                          <a:prstGeom prst="rect">
                            <a:avLst/>
                          </a:prstGeom>
                        </pic:spPr>
                      </pic:pic>
                    </a:graphicData>
                  </a:graphic>
                </wp:inline>
              </w:drawing>
            </w:r>
          </w:p>
        </w:tc>
      </w:tr>
    </w:tbl>
    <w:p w14:paraId="2431F7C9" w14:textId="77777777" w:rsidR="0086277A" w:rsidRDefault="00B35ADC" w:rsidP="00B35ADC">
      <w:r>
        <w:rPr>
          <w:noProof/>
        </w:rPr>
        <mc:AlternateContent>
          <mc:Choice Requires="wps">
            <w:drawing>
              <wp:anchor distT="0" distB="0" distL="114300" distR="114300" simplePos="0" relativeHeight="251664384" behindDoc="0" locked="0" layoutInCell="1" allowOverlap="1" wp14:anchorId="61C2EDCD" wp14:editId="0E29BA60">
                <wp:simplePos x="0" y="0"/>
                <wp:positionH relativeFrom="column">
                  <wp:posOffset>218740</wp:posOffset>
                </wp:positionH>
                <wp:positionV relativeFrom="paragraph">
                  <wp:posOffset>-12292</wp:posOffset>
                </wp:positionV>
                <wp:extent cx="5926347" cy="1897812"/>
                <wp:effectExtent l="0" t="0" r="0" b="7620"/>
                <wp:wrapNone/>
                <wp:docPr id="6" name="Text Box 6"/>
                <wp:cNvGraphicFramePr/>
                <a:graphic xmlns:a="http://schemas.openxmlformats.org/drawingml/2006/main">
                  <a:graphicData uri="http://schemas.microsoft.com/office/word/2010/wordprocessingShape">
                    <wps:wsp>
                      <wps:cNvSpPr txBox="1"/>
                      <wps:spPr>
                        <a:xfrm>
                          <a:off x="0" y="0"/>
                          <a:ext cx="5926347" cy="1897812"/>
                        </a:xfrm>
                        <a:prstGeom prst="rect">
                          <a:avLst/>
                        </a:prstGeom>
                        <a:solidFill>
                          <a:schemeClr val="lt1"/>
                        </a:solidFill>
                        <a:ln w="6350">
                          <a:noFill/>
                        </a:ln>
                      </wps:spPr>
                      <wps:txbx>
                        <w:txbxContent>
                          <w:p w14:paraId="6C7EE8AF" w14:textId="77777777" w:rsidR="00D14F54" w:rsidRDefault="00D14F54">
                            <w:r w:rsidRPr="00B35ADC">
                              <w:t>When it comes to healthcare, we know that everyone has a unique story to share.</w:t>
                            </w:r>
                          </w:p>
                          <w:p w14:paraId="5BB17C01" w14:textId="77777777" w:rsidR="00D14F54" w:rsidRDefault="00D14F54">
                            <w:r w:rsidRPr="00B35ADC">
                              <w:t xml:space="preserve">At times these experiences are positive, while for others, experiences have left patients, their families and the clinicians who care for them </w:t>
                            </w:r>
                            <w:r>
                              <w:t xml:space="preserve">feeling disappointed, hurt and </w:t>
                            </w:r>
                            <w:r w:rsidRPr="00B35ADC">
                              <w:t>devastated.</w:t>
                            </w:r>
                          </w:p>
                          <w:p w14:paraId="42EF2B13" w14:textId="2396642B" w:rsidR="00D14F54" w:rsidRDefault="00D14F54">
                            <w:r w:rsidRPr="00B35ADC">
                              <w:t xml:space="preserve">Victorian health services do their best to prevent patients from being harmed and to continuously learn and improve. </w:t>
                            </w:r>
                            <w:r>
                              <w:t>But we must</w:t>
                            </w:r>
                            <w:r w:rsidRPr="00B35ADC">
                              <w:t xml:space="preserve"> recognise</w:t>
                            </w:r>
                            <w:r>
                              <w:t xml:space="preserve"> </w:t>
                            </w:r>
                            <w:r w:rsidRPr="00B35ADC">
                              <w:t xml:space="preserve">the personal impact </w:t>
                            </w:r>
                            <w:r>
                              <w:t xml:space="preserve">of </w:t>
                            </w:r>
                            <w:r w:rsidRPr="00B35ADC">
                              <w:t xml:space="preserve">serious adverse events. </w:t>
                            </w:r>
                          </w:p>
                          <w:p w14:paraId="6C544347" w14:textId="77777777" w:rsidR="00D14F54" w:rsidRPr="006E6F9A" w:rsidRDefault="00D14F54">
                            <w:pPr>
                              <w:rPr>
                                <w:rFonts w:ascii="VIC Medium" w:hAnsi="VIC Medium"/>
                              </w:rPr>
                            </w:pPr>
                            <w:r w:rsidRPr="006E6F9A">
                              <w:rPr>
                                <w:rFonts w:ascii="VIC Medium" w:hAnsi="VIC Medium"/>
                              </w:rPr>
                              <w:t>These stories move us,</w:t>
                            </w:r>
                            <w:r>
                              <w:rPr>
                                <w:rFonts w:ascii="VIC Medium" w:hAnsi="VIC Medium"/>
                              </w:rPr>
                              <w:t xml:space="preserve"> and</w:t>
                            </w:r>
                            <w:r w:rsidRPr="006E6F9A">
                              <w:rPr>
                                <w:rFonts w:ascii="VIC Medium" w:hAnsi="VIC Medium"/>
                              </w:rPr>
                              <w:t xml:space="preserve"> motivate</w:t>
                            </w:r>
                            <w:r>
                              <w:rPr>
                                <w:rFonts w:ascii="VIC Medium" w:hAnsi="VIC Medium"/>
                              </w:rPr>
                              <w:t xml:space="preserve"> and</w:t>
                            </w:r>
                            <w:r w:rsidRPr="006E6F9A">
                              <w:rPr>
                                <w:rFonts w:ascii="VIC Medium" w:hAnsi="VIC Medium"/>
                              </w:rPr>
                              <w:t xml:space="preserve"> drive us to do better.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C2EDCD" id="_x0000_t202" coordsize="21600,21600" o:spt="202" path="m,l,21600r21600,l21600,xe">
                <v:stroke joinstyle="miter"/>
                <v:path gradientshapeok="t" o:connecttype="rect"/>
              </v:shapetype>
              <v:shape id="Text Box 6" o:spid="_x0000_s1026" type="#_x0000_t202" style="position:absolute;margin-left:17.2pt;margin-top:-.95pt;width:466.65pt;height:149.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7dCQwIAAHoEAAAOAAAAZHJzL2Uyb0RvYy54bWysVFFv2jAQfp+0/2D5fYRQoBARKkbFNAm1&#10;lWDqs3EciGT7PNuQsF+/sxMo7fY07cWc7y6f7/vujtlDoyQ5Cesq0DlNe31KhOZQVHqf0x/b1ZcJ&#10;Jc4zXTAJWuT0LBx9mH/+NKtNJgZwAFkISxBEu6w2OT14b7IkcfwgFHM9MEJjsASrmMer3SeFZTWi&#10;K5kM+v1xUoMtjAUunEPvYxuk84hfloL757J0whOZU6zNx9PGcxfOZD5j2d4yc6h4Vwb7hyoUqzQ+&#10;eoV6ZJ6Ro63+gFIVt+Cg9D0OKoGyrLiIHJBN2v/AZnNgRkQuKI4zV5nc/4PlT6cXS6oip2NKNFPY&#10;oq1oPPkKDRkHdWrjMkzaGEzzDbqxyxe/Q2cg3ZRWhV+kQzCOOp+v2gYwjs7RdDC+G95TwjGWTqb3&#10;k3QQcJK3z411/psARYKRU4vNi5qy09r5NvWSEl5zIKtiVUkZL2FgxFJacmLYauljkQj+LktqUiPT&#10;u1E/AmsIn7fIUmMtgWxLKli+2TWdAjsoziiAhXaAnOGrCotcM+dfmMWJQc64Bf4Zj1ICPgKdRckB&#10;7K+/+UM+NhKjlNQ4gTl1P4/MCkrkd40tnqbDYRjZeBmO7gd4sbeR3W1EH9USkHmK+2Z4NEO+lxez&#10;tKBecVkW4VUMMc3x7Zz6i7n07V7gsnGxWMQkHFLD/FpvDA/QQenQgm3zyqzp+uSxxU9wmVWWfWhX&#10;mxu+1LA4eiir2MsgcKtqpzsOeJyGbhnDBt3eY9bbX8b8NwAAAP//AwBQSwMEFAAGAAgAAAAhAEC9&#10;HUfiAAAACQEAAA8AAABkcnMvZG93bnJldi54bWxMj0tPwzAQhO9I/Adrkbig1mlTGhKyqRDiIXGj&#10;4SFubrwkEfE6it0k/HvMCY6jGc18k+9m04mRBtdaRlgtIxDEldUt1wgv5f3iCoTzirXqLBPCNznY&#10;Facnucq0nfiZxr2vRShhlymExvs+k9JVDRnllrYnDt6nHYzyQQ611IOaQrnp5DqKttKolsNCo3q6&#10;baj62h8NwsdF/f7k5ofXKb6M+7vHsUzedIl4fjbfXIPwNPu/MPziB3QoAtPBHlk70SHEm01IIixW&#10;KYjgp9skAXFAWKdJBLLI5f8HxQ8AAAD//wMAUEsBAi0AFAAGAAgAAAAhALaDOJL+AAAA4QEAABMA&#10;AAAAAAAAAAAAAAAAAAAAAFtDb250ZW50X1R5cGVzXS54bWxQSwECLQAUAAYACAAAACEAOP0h/9YA&#10;AACUAQAACwAAAAAAAAAAAAAAAAAvAQAAX3JlbHMvLnJlbHNQSwECLQAUAAYACAAAACEAMTO3QkMC&#10;AAB6BAAADgAAAAAAAAAAAAAAAAAuAgAAZHJzL2Uyb0RvYy54bWxQSwECLQAUAAYACAAAACEAQL0d&#10;R+IAAAAJAQAADwAAAAAAAAAAAAAAAACdBAAAZHJzL2Rvd25yZXYueG1sUEsFBgAAAAAEAAQA8wAA&#10;AKwFAAAAAA==&#10;" fillcolor="white [3201]" stroked="f" strokeweight=".5pt">
                <v:textbox>
                  <w:txbxContent>
                    <w:p w14:paraId="6C7EE8AF" w14:textId="77777777" w:rsidR="00D14F54" w:rsidRDefault="00D14F54">
                      <w:r w:rsidRPr="00B35ADC">
                        <w:t>When it comes to healthcare, we know that everyone has a unique story to share.</w:t>
                      </w:r>
                    </w:p>
                    <w:p w14:paraId="5BB17C01" w14:textId="77777777" w:rsidR="00D14F54" w:rsidRDefault="00D14F54">
                      <w:r w:rsidRPr="00B35ADC">
                        <w:t xml:space="preserve">At times these experiences are positive, while for others, experiences have left patients, their families and the clinicians who care for them </w:t>
                      </w:r>
                      <w:r>
                        <w:t xml:space="preserve">feeling disappointed, hurt and </w:t>
                      </w:r>
                      <w:r w:rsidRPr="00B35ADC">
                        <w:t>devastated.</w:t>
                      </w:r>
                    </w:p>
                    <w:p w14:paraId="42EF2B13" w14:textId="2396642B" w:rsidR="00D14F54" w:rsidRDefault="00D14F54">
                      <w:r w:rsidRPr="00B35ADC">
                        <w:t xml:space="preserve">Victorian health services do their best to prevent patients from being harmed and to continuously learn and improve. </w:t>
                      </w:r>
                      <w:r>
                        <w:t>But we must</w:t>
                      </w:r>
                      <w:r w:rsidRPr="00B35ADC">
                        <w:t xml:space="preserve"> recognise</w:t>
                      </w:r>
                      <w:r>
                        <w:t xml:space="preserve"> </w:t>
                      </w:r>
                      <w:r w:rsidRPr="00B35ADC">
                        <w:t xml:space="preserve">the personal impact </w:t>
                      </w:r>
                      <w:r>
                        <w:t xml:space="preserve">of </w:t>
                      </w:r>
                      <w:r w:rsidRPr="00B35ADC">
                        <w:t xml:space="preserve">serious adverse events. </w:t>
                      </w:r>
                    </w:p>
                    <w:p w14:paraId="6C544347" w14:textId="77777777" w:rsidR="00D14F54" w:rsidRPr="006E6F9A" w:rsidRDefault="00D14F54">
                      <w:pPr>
                        <w:rPr>
                          <w:rFonts w:ascii="VIC Medium" w:hAnsi="VIC Medium"/>
                        </w:rPr>
                      </w:pPr>
                      <w:r w:rsidRPr="006E6F9A">
                        <w:rPr>
                          <w:rFonts w:ascii="VIC Medium" w:hAnsi="VIC Medium"/>
                        </w:rPr>
                        <w:t>These stories move us,</w:t>
                      </w:r>
                      <w:r>
                        <w:rPr>
                          <w:rFonts w:ascii="VIC Medium" w:hAnsi="VIC Medium"/>
                        </w:rPr>
                        <w:t xml:space="preserve"> and</w:t>
                      </w:r>
                      <w:r w:rsidRPr="006E6F9A">
                        <w:rPr>
                          <w:rFonts w:ascii="VIC Medium" w:hAnsi="VIC Medium"/>
                        </w:rPr>
                        <w:t xml:space="preserve"> motivate</w:t>
                      </w:r>
                      <w:r>
                        <w:rPr>
                          <w:rFonts w:ascii="VIC Medium" w:hAnsi="VIC Medium"/>
                        </w:rPr>
                        <w:t xml:space="preserve"> and</w:t>
                      </w:r>
                      <w:r w:rsidRPr="006E6F9A">
                        <w:rPr>
                          <w:rFonts w:ascii="VIC Medium" w:hAnsi="VIC Medium"/>
                        </w:rPr>
                        <w:t xml:space="preserve"> drive us to do better.</w:t>
                      </w:r>
                    </w:p>
                  </w:txbxContent>
                </v:textbox>
              </v:shape>
            </w:pict>
          </mc:Fallback>
        </mc:AlternateContent>
      </w:r>
      <w:r w:rsidR="007C4073">
        <w:fldChar w:fldCharType="begin"/>
      </w:r>
      <w:r w:rsidR="007C4073">
        <w:instrText xml:space="preserve"> Macrobutton NoMacro  </w:instrText>
      </w:r>
      <w:r w:rsidR="007C4073">
        <w:fldChar w:fldCharType="end"/>
      </w:r>
      <w:r w:rsidR="007C4073">
        <w:rPr>
          <w:noProof/>
        </w:rPr>
        <w:drawing>
          <wp:anchor distT="0" distB="0" distL="114300" distR="114300" simplePos="0" relativeHeight="251661312" behindDoc="1" locked="1" layoutInCell="1" allowOverlap="1" wp14:anchorId="3D484B61" wp14:editId="19809E2F">
            <wp:simplePos x="0" y="0"/>
            <wp:positionH relativeFrom="page">
              <wp:posOffset>0</wp:posOffset>
            </wp:positionH>
            <wp:positionV relativeFrom="page">
              <wp:posOffset>0</wp:posOffset>
            </wp:positionV>
            <wp:extent cx="7560000" cy="10692000"/>
            <wp:effectExtent l="0" t="0" r="317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side artwork.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p w14:paraId="3D11730E" w14:textId="77777777" w:rsidR="0086277A" w:rsidRDefault="0086277A" w:rsidP="00B35ADC">
      <w:pPr>
        <w:sectPr w:rsidR="0086277A" w:rsidSect="007C4073">
          <w:headerReference w:type="first" r:id="rId18"/>
          <w:footerReference w:type="first" r:id="rId19"/>
          <w:pgSz w:w="11906" w:h="16838" w:code="9"/>
          <w:pgMar w:top="3402" w:right="851" w:bottom="1361" w:left="851" w:header="539" w:footer="624" w:gutter="0"/>
          <w:cols w:num="2" w:space="284"/>
          <w:docGrid w:linePitch="360"/>
        </w:sectPr>
      </w:pPr>
    </w:p>
    <w:p w14:paraId="6177AD8F" w14:textId="77777777" w:rsidR="00B35ADC" w:rsidRDefault="00B35ADC">
      <w:r>
        <w:rPr>
          <w:noProof/>
        </w:rPr>
        <w:lastRenderedPageBreak/>
        <mc:AlternateContent>
          <mc:Choice Requires="wps">
            <w:drawing>
              <wp:inline distT="0" distB="0" distL="0" distR="0" wp14:anchorId="31116FA0" wp14:editId="04F40D58">
                <wp:extent cx="6479540" cy="6300000"/>
                <wp:effectExtent l="0" t="0" r="16510" b="11430"/>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9540" cy="6300000"/>
                        </a:xfrm>
                        <a:prstGeom prst="rect">
                          <a:avLst/>
                        </a:prstGeom>
                        <a:solidFill>
                          <a:schemeClr val="bg2"/>
                        </a:solidFill>
                        <a:ln w="6350">
                          <a:solidFill>
                            <a:schemeClr val="bg2"/>
                          </a:solidFill>
                          <a:miter lim="800000"/>
                          <a:headEnd/>
                          <a:tailEnd/>
                        </a:ln>
                      </wps:spPr>
                      <wps:txbx>
                        <w:txbxContent>
                          <w:p w14:paraId="00EC53C7" w14:textId="77777777" w:rsidR="00D14F54" w:rsidRDefault="00D14F54" w:rsidP="00B35ADC">
                            <w:pPr>
                              <w:pStyle w:val="PulloutHeading"/>
                            </w:pPr>
                            <w:r>
                              <w:t xml:space="preserve">Anthony’s experience – what it means to be impacted by a sentinel event </w:t>
                            </w:r>
                          </w:p>
                          <w:p w14:paraId="0556A44E" w14:textId="77777777" w:rsidR="00D14F54" w:rsidRPr="00B71270" w:rsidRDefault="00D14F54" w:rsidP="00B35ADC">
                            <w:pPr>
                              <w:pStyle w:val="PulloutText"/>
                              <w:rPr>
                                <w:rFonts w:ascii="VIC Medium" w:hAnsi="VIC Medium"/>
                              </w:rPr>
                            </w:pPr>
                            <w:r w:rsidRPr="00B71270">
                              <w:rPr>
                                <w:rFonts w:ascii="VIC Medium" w:hAnsi="VIC Medium"/>
                              </w:rPr>
                              <w:t>In January 2019, scans to investigate Anthony’s stomach pain showed a large abdominal tumour. He and his wife Frances and baby daughter Andrea went straight to the emergency department. The surgeons admitted him to hospital that day for emergency surgery to remove it. During the surgery, an artery in his bowel was torn. Although it was quickly repaired, Frances recounts the impact on her family as further complications arose from the torn artery, including a blood clot and a serious infection.</w:t>
                            </w:r>
                          </w:p>
                          <w:p w14:paraId="67EA01DA" w14:textId="77777777" w:rsidR="00D14F54" w:rsidRDefault="00D14F54" w:rsidP="00B35ADC">
                            <w:pPr>
                              <w:pStyle w:val="PulloutText"/>
                            </w:pPr>
                            <w:r>
                              <w:t>“Anthony was transferred to another hospital where he spent the next week in an induced coma in the intensive care unit with sepsis (overwhelming infection) from the dead bowel.</w:t>
                            </w:r>
                          </w:p>
                          <w:p w14:paraId="1755F267" w14:textId="77777777" w:rsidR="00D14F54" w:rsidRDefault="00D14F54" w:rsidP="00B35ADC">
                            <w:pPr>
                              <w:pStyle w:val="PulloutText"/>
                            </w:pPr>
                            <w:r>
                              <w:t>“Over the following months, he had 15 more surgeries to remove the dead bowel and repair the parts the surgeons thought might survive. In the end none of it survived, and he has been left with short gut syndrome and is dependent on being fed intravenously.</w:t>
                            </w:r>
                          </w:p>
                          <w:p w14:paraId="57412AB7" w14:textId="77777777" w:rsidR="00D14F54" w:rsidRDefault="00D14F54" w:rsidP="00B35ADC">
                            <w:pPr>
                              <w:pStyle w:val="PulloutText"/>
                            </w:pPr>
                            <w:r>
                              <w:t>“My husband suffered a catastrophic injury which has been devastating for our family. The first several weeks were the most stressful, wondering if he’d survive at all. Then a long and difficult hospital stay, with nausea, vomiting, pain, setbacks and infections, and more operations.</w:t>
                            </w:r>
                          </w:p>
                          <w:p w14:paraId="7A108B63" w14:textId="4565DAE0" w:rsidR="00D14F54" w:rsidRDefault="00D14F54" w:rsidP="00B35ADC">
                            <w:pPr>
                              <w:pStyle w:val="PulloutText"/>
                            </w:pPr>
                            <w:r>
                              <w:t>“It was difficult to go from him being young and healthy with a new baby to having him clinging to life with a serious and debilitating illness. We cried a lot. We also felt very grateful for surviving and for being very close as a couple. It was hard to support Anthony’s relationship to our baby Andrea, but to also keep her from pulling at his naso-gastric tube or jumping on his stomach.</w:t>
                            </w:r>
                          </w:p>
                          <w:p w14:paraId="67C05E28" w14:textId="77777777" w:rsidR="00D14F54" w:rsidRDefault="00D14F54" w:rsidP="00B35ADC">
                            <w:pPr>
                              <w:pStyle w:val="PulloutText"/>
                            </w:pPr>
                            <w:r>
                              <w:t>“There was also financial stress. I moved out of home to be close to him in hospital, so neither of us were working and had to put our baby in day care, which ate up all our savings. When we ran out of money, I had to go back to work, and it was hard being apart.</w:t>
                            </w:r>
                          </w:p>
                          <w:p w14:paraId="59E914D9" w14:textId="6652AD3E" w:rsidR="00D14F54" w:rsidRDefault="00D14F54" w:rsidP="00B35ADC">
                            <w:pPr>
                              <w:pStyle w:val="PulloutText"/>
                            </w:pPr>
                            <w:r>
                              <w:t>“We were assigned a contact person at the first hospital who was good at checking in with us weekly. Unfortunately, it was months before the hospital started the open disclosure process, and we still feel like we don’t have all the facts. I felt like we were an annoyance to them. At one point we asked if we could speak with the treating surgeon but were denied because it would be upsetting for her.</w:t>
                            </w:r>
                          </w:p>
                          <w:p w14:paraId="5DD1AD62" w14:textId="77777777" w:rsidR="00D14F54" w:rsidRDefault="00D14F54" w:rsidP="00B35ADC">
                            <w:pPr>
                              <w:pStyle w:val="PulloutText"/>
                            </w:pPr>
                            <w:r>
                              <w:t>“We made the step of requesting his medical records so we could learn for ourselves why it happened. We are angry when we think about it. But we are mostly happy to have each other, and that Andrea still has her daddy.</w:t>
                            </w:r>
                          </w:p>
                          <w:p w14:paraId="4FF57FA9" w14:textId="77777777" w:rsidR="00D14F54" w:rsidRDefault="00D14F54" w:rsidP="00B35ADC">
                            <w:pPr>
                              <w:pStyle w:val="PulloutText"/>
                            </w:pPr>
                            <w:r>
                              <w:t>“It’s taken most of the year, but now we’re at a point where life is getting back to normal. Intravenous feeding, nausea and diarrhoea are becoming a part of life. He’s getting his strength back and we’re pretty happy to be where we are, considering how bad things got.”</w:t>
                            </w:r>
                          </w:p>
                        </w:txbxContent>
                      </wps:txbx>
                      <wps:bodyPr rot="0" vert="horz" wrap="square" lIns="180000" tIns="180000" rIns="144000" bIns="36000" anchor="t" anchorCtr="0">
                        <a:spAutoFit/>
                      </wps:bodyPr>
                    </wps:wsp>
                  </a:graphicData>
                </a:graphic>
              </wp:inline>
            </w:drawing>
          </mc:Choice>
          <mc:Fallback>
            <w:pict>
              <v:shape w14:anchorId="31116FA0" id="Text Box 2" o:spid="_x0000_s1027" type="#_x0000_t202" style="width:510.2pt;height:496.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Q5WHwIAAE0EAAAOAAAAZHJzL2Uyb0RvYy54bWysVM1u2zAMvg/YOwi6L07SNGuNOkWXLsOA&#10;7gdo9wC0LMfCJFGTlNjZ04+S07TdThvmgyCK5EfyI+mr68Fotpc+KLQVn02mnEkrsFF2W/FvD5s3&#10;F5yFCLYBjVZW/CADv169fnXVu1LOsUPdSM8IxIaydxXvYnRlUQTRSQNhgk5aUrboDUQS/bZoPPSE&#10;bnQxn06XRY++cR6FDIFeb0clX2X8tpUifmnbICPTFafcYj59Put0FqsrKLceXKfEMQ34hywMKEtB&#10;T1C3EIHtvPoDyijhMWAbJwJNgW2rhMw1UDWz6W/V3HfgZK6FyAnuRFP4f7Di8/6rZ6qp+CVnFgy1&#10;6EEOkb3Dgc0TO70LJRndOzKLAz1Tl3Olwd2h+B6YxXUHditvvMe+k9BQdrPkWTxzHXFCAqn7T9hQ&#10;GNhFzEBD602ijshghE5dOpw6k1IR9LhcvL08X5BKkG55Nk1fjgHlo7vzIX6QaFi6VNxT6zM87O9C&#10;TOlA+WiSogXUqtkorbOQxk2utWd7oEGpt7l08nhhpS3rU/Tz6UjA3yMYFWnatTIVvzjVAGVi7b1t&#10;8ixGUHq8U3htjzQm5kYO41APuV+Z40Rxjc2BePU4DjctI1069D8562mwKx5+7MBLzvRHm3qTI9Mq&#10;vJD8KC0WiVhWZ+lsmQWwgtAqHjkbr+uYFygT526ojRuVCX5K5pg1zWzm/bhfaSmey9nq6S+w+gUA&#10;AP//AwBQSwMEFAAGAAgAAAAhAMuuk2fcAAAABgEAAA8AAABkcnMvZG93bnJldi54bWxMj0FLw0AQ&#10;he+C/2EZwZvdbdBi0myKCMWiIKRKz9vsmIRmZ0N2msR/79aLXgYe7/HeN/lmdp0YcQitJw3LhQKB&#10;VHnbUq3h82N79wgisCFrOk+o4RsDbIrrq9xk1k9U4rjnWsQSCpnR0DD3mZShatCZsPA9UvS+/OAM&#10;RznU0g5miuWuk4lSK+lMS3GhMT0+N1id9men4TCWL+Vrsjttp91b97CaUn5nq/Xtzfy0BsE4818Y&#10;LvgRHYrIdPRnskF0GuIj/HsvnkrUPYijhjRNliCLXP7HL34AAAD//wMAUEsBAi0AFAAGAAgAAAAh&#10;ALaDOJL+AAAA4QEAABMAAAAAAAAAAAAAAAAAAAAAAFtDb250ZW50X1R5cGVzXS54bWxQSwECLQAU&#10;AAYACAAAACEAOP0h/9YAAACUAQAACwAAAAAAAAAAAAAAAAAvAQAAX3JlbHMvLnJlbHNQSwECLQAU&#10;AAYACAAAACEAA3UOVh8CAABNBAAADgAAAAAAAAAAAAAAAAAuAgAAZHJzL2Uyb0RvYy54bWxQSwEC&#10;LQAUAAYACAAAACEAy66TZ9wAAAAGAQAADwAAAAAAAAAAAAAAAAB5BAAAZHJzL2Rvd25yZXYueG1s&#10;UEsFBgAAAAAEAAQA8wAAAIIFAAAAAA==&#10;" fillcolor="#edf5f7 [3214]" strokecolor="#edf5f7 [3214]" strokeweight=".5pt">
                <v:textbox style="mso-fit-shape-to-text:t" inset="5mm,5mm,4mm,1mm">
                  <w:txbxContent>
                    <w:p w14:paraId="00EC53C7" w14:textId="77777777" w:rsidR="00D14F54" w:rsidRDefault="00D14F54" w:rsidP="00B35ADC">
                      <w:pPr>
                        <w:pStyle w:val="PulloutHeading"/>
                      </w:pPr>
                      <w:r>
                        <w:t xml:space="preserve">Anthony’s experience – what it means to be impacted by a sentinel event </w:t>
                      </w:r>
                    </w:p>
                    <w:p w14:paraId="0556A44E" w14:textId="77777777" w:rsidR="00D14F54" w:rsidRPr="00B71270" w:rsidRDefault="00D14F54" w:rsidP="00B35ADC">
                      <w:pPr>
                        <w:pStyle w:val="PulloutText"/>
                        <w:rPr>
                          <w:rFonts w:ascii="VIC Medium" w:hAnsi="VIC Medium"/>
                        </w:rPr>
                      </w:pPr>
                      <w:r w:rsidRPr="00B71270">
                        <w:rPr>
                          <w:rFonts w:ascii="VIC Medium" w:hAnsi="VIC Medium"/>
                        </w:rPr>
                        <w:t>In January 2019, scans to investigate Anthony’s stomach pain showed a large abdominal tumour. He and his wife Frances and baby daughter Andrea went straight to the emergency department. The surgeons admitted him to hospital that day for emergency surgery to remove it. During the surgery, an artery in his bowel was torn. Although it was quickly repaired, Frances recounts the impact on her family as further complications arose from the torn artery, including a blood clot and a serious infection.</w:t>
                      </w:r>
                    </w:p>
                    <w:p w14:paraId="67EA01DA" w14:textId="77777777" w:rsidR="00D14F54" w:rsidRDefault="00D14F54" w:rsidP="00B35ADC">
                      <w:pPr>
                        <w:pStyle w:val="PulloutText"/>
                      </w:pPr>
                      <w:r>
                        <w:t>“Anthony was transferred to another hospital where he spent the next week in an induced coma in the intensive care unit with sepsis (overwhelming infection) from the dead bowel.</w:t>
                      </w:r>
                    </w:p>
                    <w:p w14:paraId="1755F267" w14:textId="77777777" w:rsidR="00D14F54" w:rsidRDefault="00D14F54" w:rsidP="00B35ADC">
                      <w:pPr>
                        <w:pStyle w:val="PulloutText"/>
                      </w:pPr>
                      <w:r>
                        <w:t>“Over the following months, he had 15 more surgeries to remove the dead bowel and repair the parts the surgeons thought might survive. In the end none of it survived, and he has been left with short gut syndrome and is dependent on being fed intravenously.</w:t>
                      </w:r>
                    </w:p>
                    <w:p w14:paraId="57412AB7" w14:textId="77777777" w:rsidR="00D14F54" w:rsidRDefault="00D14F54" w:rsidP="00B35ADC">
                      <w:pPr>
                        <w:pStyle w:val="PulloutText"/>
                      </w:pPr>
                      <w:r>
                        <w:t>“My husband suffered a catastrophic injury which has been devastating for our family. The first several weeks were the most stressful, wondering if he’d survive at all. Then a long and difficult hospital stay, with nausea, vomiting, pain, setbacks and infections, and more operations.</w:t>
                      </w:r>
                    </w:p>
                    <w:p w14:paraId="7A108B63" w14:textId="4565DAE0" w:rsidR="00D14F54" w:rsidRDefault="00D14F54" w:rsidP="00B35ADC">
                      <w:pPr>
                        <w:pStyle w:val="PulloutText"/>
                      </w:pPr>
                      <w:r>
                        <w:t>“It was difficult to go from him being young and healthy with a new baby to having him clinging to life with a serious and debilitating illness. We cried a lot. We also felt very grateful for surviving and for being very close as a couple. It was hard to support Anthony’s relationship to our baby Andrea, but to also keep her from pulling at his naso-gastric tube or jumping on his stomach.</w:t>
                      </w:r>
                    </w:p>
                    <w:p w14:paraId="67C05E28" w14:textId="77777777" w:rsidR="00D14F54" w:rsidRDefault="00D14F54" w:rsidP="00B35ADC">
                      <w:pPr>
                        <w:pStyle w:val="PulloutText"/>
                      </w:pPr>
                      <w:r>
                        <w:t>“There was also financial stress. I moved out of home to be close to him in hospital, so neither of us were working and had to put our baby in day care, which ate up all our savings. When we ran out of money, I had to go back to work, and it was hard being apart.</w:t>
                      </w:r>
                    </w:p>
                    <w:p w14:paraId="59E914D9" w14:textId="6652AD3E" w:rsidR="00D14F54" w:rsidRDefault="00D14F54" w:rsidP="00B35ADC">
                      <w:pPr>
                        <w:pStyle w:val="PulloutText"/>
                      </w:pPr>
                      <w:r>
                        <w:t>“We were assigned a contact person at the first hospital who was good at checking in with us weekly. Unfortunately, it was months before the hospital started the open disclosure process, and we still feel like we don’t have all the facts. I felt like we were an annoyance to them. At one point we asked if we could speak with the treating surgeon but were denied because it would be upsetting for her.</w:t>
                      </w:r>
                    </w:p>
                    <w:p w14:paraId="5DD1AD62" w14:textId="77777777" w:rsidR="00D14F54" w:rsidRDefault="00D14F54" w:rsidP="00B35ADC">
                      <w:pPr>
                        <w:pStyle w:val="PulloutText"/>
                      </w:pPr>
                      <w:r>
                        <w:t>“We made the step of requesting his medical records so we could learn for ourselves why it happened. We are angry when we think about it. But we are mostly happy to have each other, and that Andrea still has her daddy.</w:t>
                      </w:r>
                    </w:p>
                    <w:p w14:paraId="4FF57FA9" w14:textId="77777777" w:rsidR="00D14F54" w:rsidRDefault="00D14F54" w:rsidP="00B35ADC">
                      <w:pPr>
                        <w:pStyle w:val="PulloutText"/>
                      </w:pPr>
                      <w:r>
                        <w:t>“It’s taken most of the year, but now we’re at a point where life is getting back to normal. Intravenous feeding, nausea and diarrhoea are becoming a part of life. He’s getting his strength back and we’re pretty happy to be where we are, considering how bad things got.”</w:t>
                      </w:r>
                    </w:p>
                  </w:txbxContent>
                </v:textbox>
                <w10:anchorlock/>
              </v:shape>
            </w:pict>
          </mc:Fallback>
        </mc:AlternateContent>
      </w:r>
    </w:p>
    <w:p w14:paraId="182F684A" w14:textId="77777777" w:rsidR="00B35ADC" w:rsidRDefault="00B35ADC">
      <w:pPr>
        <w:rPr>
          <w:rFonts w:ascii="VIC Medium" w:hAnsi="VIC Medium"/>
          <w:color w:val="007586" w:themeColor="text2"/>
          <w:sz w:val="22"/>
        </w:rPr>
      </w:pPr>
      <w:r>
        <w:br w:type="page"/>
      </w:r>
    </w:p>
    <w:p w14:paraId="6DC095F4" w14:textId="77777777" w:rsidR="00053A27" w:rsidRDefault="00053A27" w:rsidP="00E821C7">
      <w:pPr>
        <w:pStyle w:val="Heading1"/>
        <w:framePr w:wrap="around"/>
      </w:pPr>
      <w:r>
        <w:lastRenderedPageBreak/>
        <w:t>About this report</w:t>
      </w:r>
    </w:p>
    <w:p w14:paraId="10459EE4" w14:textId="77777777" w:rsidR="00B35ADC" w:rsidRDefault="00B35ADC" w:rsidP="00B35ADC">
      <w:pPr>
        <w:pStyle w:val="IntroductoryText"/>
      </w:pPr>
      <w:r w:rsidRPr="00B35ADC">
        <w:t>This report provides the Victorian community and the health sector with information on the most serious adverse events reported in Victorian public</w:t>
      </w:r>
      <w:r w:rsidR="00B71270">
        <w:t xml:space="preserve"> and </w:t>
      </w:r>
      <w:r w:rsidRPr="00B35ADC">
        <w:t>private hospitals, and ambulance services between 1 July 2018 and 30 June 2019. Safer Care Victoria (SCV) publishes this information every year to help Victorians understand what sentinel events have occurred, what has been learn</w:t>
      </w:r>
      <w:r w:rsidR="00201B01">
        <w:t>t</w:t>
      </w:r>
      <w:r w:rsidRPr="00B35ADC">
        <w:t xml:space="preserve"> and how we have improved as a result.</w:t>
      </w:r>
    </w:p>
    <w:p w14:paraId="59ED3E02" w14:textId="77777777" w:rsidR="00B35ADC" w:rsidRDefault="00B35ADC" w:rsidP="00555D82">
      <w:r>
        <w:rPr>
          <w:noProof/>
        </w:rPr>
        <mc:AlternateContent>
          <mc:Choice Requires="wps">
            <w:drawing>
              <wp:inline distT="0" distB="0" distL="0" distR="0" wp14:anchorId="38AE664D" wp14:editId="15976467">
                <wp:extent cx="6300000" cy="1764000"/>
                <wp:effectExtent l="0" t="0" r="24765" b="25400"/>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0000" cy="1764000"/>
                        </a:xfrm>
                        <a:prstGeom prst="rect">
                          <a:avLst/>
                        </a:prstGeom>
                        <a:solidFill>
                          <a:schemeClr val="bg2"/>
                        </a:solidFill>
                        <a:ln w="6350">
                          <a:solidFill>
                            <a:schemeClr val="bg2"/>
                          </a:solidFill>
                          <a:miter lim="800000"/>
                          <a:headEnd/>
                          <a:tailEnd/>
                        </a:ln>
                      </wps:spPr>
                      <wps:txbx>
                        <w:txbxContent>
                          <w:p w14:paraId="546C302A" w14:textId="77777777" w:rsidR="00D14F54" w:rsidRDefault="00D14F54" w:rsidP="00B35ADC">
                            <w:pPr>
                              <w:pStyle w:val="PulloutText"/>
                            </w:pPr>
                            <w:r>
                              <w:t xml:space="preserve">An </w:t>
                            </w:r>
                            <w:r>
                              <w:rPr>
                                <w:b/>
                              </w:rPr>
                              <w:t>adverse event</w:t>
                            </w:r>
                            <w:r>
                              <w:t xml:space="preserve"> is an incident in which a person receiving healthcare was harmed.</w:t>
                            </w:r>
                          </w:p>
                          <w:p w14:paraId="5580A940" w14:textId="77777777" w:rsidR="00D14F54" w:rsidRDefault="00D14F54" w:rsidP="00B35ADC">
                            <w:pPr>
                              <w:pStyle w:val="PulloutText"/>
                            </w:pPr>
                            <w:r>
                              <w:rPr>
                                <w:b/>
                              </w:rPr>
                              <w:t>Sentinel events</w:t>
                            </w:r>
                            <w:r>
                              <w:t xml:space="preserve"> are the most serious adverse events that result in a patient dying or being seriously harmed.</w:t>
                            </w:r>
                          </w:p>
                        </w:txbxContent>
                      </wps:txbx>
                      <wps:bodyPr rot="0" vert="horz" wrap="square" lIns="180000" tIns="180000" rIns="144000" bIns="36000" anchor="t" anchorCtr="0">
                        <a:spAutoFit/>
                      </wps:bodyPr>
                    </wps:wsp>
                  </a:graphicData>
                </a:graphic>
              </wp:inline>
            </w:drawing>
          </mc:Choice>
          <mc:Fallback>
            <w:pict>
              <v:shape w14:anchorId="38AE664D" id="_x0000_s1028" type="#_x0000_t202" style="width:496.05pt;height:138.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IvbHQIAAE4EAAAOAAAAZHJzL2Uyb0RvYy54bWysVNtu2zAMfR+wfxD0vthJu6ww4hRdugwD&#10;ugvQ7gNoWY6FSaImKbGzrx8lp1m7PW2YHwRSog4PDymvrkej2UH6oNDWfD4rOZNWYKvsruZfH7av&#10;rjgLEWwLGq2s+VEGfr1++WI1uEousEfdSs8IxIZqcDXvY3RVUQTRSwNhhk5aOuzQG4jk+l3RehgI&#10;3ehiUZbLYkDfOo9ChkC7t9MhX2f8rpMifu66ICPTNSduMa8+r01ai/UKqp0H1ytxogH/wMKAspT0&#10;DHULEdjeqz+gjBIeA3ZxJtAU2HVKyFwDVTMvf6vmvgcncy0kTnBnmcL/gxWfDl88Uy31juSxYKhH&#10;D3KM7C2ObJHkGVyoKOreUVwcaZtCc6nB3aH4FpjFTQ92J2+8x6GX0BK9ebpZPLk64YQE0gwfsaU0&#10;sI+YgcbOm6QdqcEInXgcz61JVARtLi/K9HEm6Gz+ZnmZnJQDqsfrzof4XqJhyai5p95neDjchTiF&#10;PoakbAG1ardK6+ykeZMb7dkBaFKaXS6dwJ9FacuGROV1OQnw9whGRRp3rUzNr6aCiBhUSbV3ts12&#10;BKUnm9Jre5IxKTdpGMdmzA07d6fB9ki6epymm14jGT36H5wNNNk1D9/34CVn+oNNvcmZ6S088/zk&#10;XWZhWZO9i2WWHKwgtJpHziZzE/MLysK5G2rjVmWBU78nMifWNLS5RacHll7FUz9H/foNrH8CAAD/&#10;/wMAUEsDBBQABgAIAAAAIQAPx7Y03AAAAAUBAAAPAAAAZHJzL2Rvd25yZXYueG1sTI9BS8NAEIXv&#10;gv9hGcGb3TRg28RsigjFoiCkiudtdkxCd2dDdprEf+/qpV4GHu/x3jfFdnZWjDiEzpOC5SIBgVR7&#10;01Gj4ON9d7cBEViT0dYTKvjGANvy+qrQufETVTgeuBGxhEKuFbTMfS5lqFt0Oix8jxS9Lz84zVEO&#10;jTSDnmK5szJNkpV0uqO40Ooen1qsT4ezU/A5Vs/VS7o/7ab9q71fTRm/sVHq9mZ+fADBOPMlDL/4&#10;ER3KyHT0ZzJBWAXxEf670cuydAniqCBdrzcgy0L+py9/AAAA//8DAFBLAQItABQABgAIAAAAIQC2&#10;gziS/gAAAOEBAAATAAAAAAAAAAAAAAAAAAAAAABbQ29udGVudF9UeXBlc10ueG1sUEsBAi0AFAAG&#10;AAgAAAAhADj9If/WAAAAlAEAAAsAAAAAAAAAAAAAAAAALwEAAF9yZWxzLy5yZWxzUEsBAi0AFAAG&#10;AAgAAAAhAJAUi9sdAgAATgQAAA4AAAAAAAAAAAAAAAAALgIAAGRycy9lMm9Eb2MueG1sUEsBAi0A&#10;FAAGAAgAAAAhAA/HtjTcAAAABQEAAA8AAAAAAAAAAAAAAAAAdwQAAGRycy9kb3ducmV2LnhtbFBL&#10;BQYAAAAABAAEAPMAAACABQAAAAA=&#10;" fillcolor="#edf5f7 [3214]" strokecolor="#edf5f7 [3214]" strokeweight=".5pt">
                <v:textbox style="mso-fit-shape-to-text:t" inset="5mm,5mm,4mm,1mm">
                  <w:txbxContent>
                    <w:p w14:paraId="546C302A" w14:textId="77777777" w:rsidR="00D14F54" w:rsidRDefault="00D14F54" w:rsidP="00B35ADC">
                      <w:pPr>
                        <w:pStyle w:val="PulloutText"/>
                      </w:pPr>
                      <w:r>
                        <w:t xml:space="preserve">An </w:t>
                      </w:r>
                      <w:r>
                        <w:rPr>
                          <w:b/>
                        </w:rPr>
                        <w:t>adverse event</w:t>
                      </w:r>
                      <w:r>
                        <w:t xml:space="preserve"> is an incident in which a person receiving healthcare was harmed.</w:t>
                      </w:r>
                    </w:p>
                    <w:p w14:paraId="5580A940" w14:textId="77777777" w:rsidR="00D14F54" w:rsidRDefault="00D14F54" w:rsidP="00B35ADC">
                      <w:pPr>
                        <w:pStyle w:val="PulloutText"/>
                      </w:pPr>
                      <w:r>
                        <w:rPr>
                          <w:b/>
                        </w:rPr>
                        <w:t>Sentinel events</w:t>
                      </w:r>
                      <w:r>
                        <w:t xml:space="preserve"> are the most serious adverse events that result in a patient dying or being seriously harmed.</w:t>
                      </w:r>
                    </w:p>
                  </w:txbxContent>
                </v:textbox>
                <w10:anchorlock/>
              </v:shape>
            </w:pict>
          </mc:Fallback>
        </mc:AlternateContent>
      </w:r>
    </w:p>
    <w:p w14:paraId="43E9EEF7" w14:textId="77777777" w:rsidR="00B35ADC" w:rsidRPr="00B35ADC" w:rsidRDefault="00B35ADC" w:rsidP="00B35ADC">
      <w:pPr>
        <w:pStyle w:val="Heading3"/>
      </w:pPr>
      <w:r w:rsidRPr="00B35ADC">
        <w:t>How to read this report</w:t>
      </w:r>
    </w:p>
    <w:p w14:paraId="00815718" w14:textId="77777777" w:rsidR="00B35ADC" w:rsidRDefault="00B35ADC" w:rsidP="00B35ADC">
      <w:pPr>
        <w:pStyle w:val="Normalfollowingheading"/>
      </w:pPr>
      <w:r>
        <w:t>This report includes an overview of sentinel events notifi</w:t>
      </w:r>
      <w:r w:rsidR="00716066">
        <w:t>cations</w:t>
      </w:r>
      <w:r>
        <w:t>, recommendations for improvement arising from reviews</w:t>
      </w:r>
      <w:r w:rsidR="00716066">
        <w:t>,</w:t>
      </w:r>
      <w:r>
        <w:t xml:space="preserve"> and case studies from consumers and health services.</w:t>
      </w:r>
    </w:p>
    <w:p w14:paraId="7CF6F3A1" w14:textId="77777777" w:rsidR="00B35ADC" w:rsidRDefault="00B35ADC" w:rsidP="00B35ADC">
      <w:r>
        <w:t>It is structured around three main chapters that reflect the way we review sentinel events:</w:t>
      </w:r>
    </w:p>
    <w:p w14:paraId="28ED655F" w14:textId="77777777" w:rsidR="00B35ADC" w:rsidRDefault="00B35ADC" w:rsidP="00D94FAF">
      <w:r>
        <w:rPr>
          <w:noProof/>
        </w:rPr>
        <mc:AlternateContent>
          <mc:Choice Requires="wps">
            <w:drawing>
              <wp:inline distT="0" distB="0" distL="0" distR="0" wp14:anchorId="3919B67B" wp14:editId="2A7A4D0C">
                <wp:extent cx="1944000" cy="2376000"/>
                <wp:effectExtent l="0" t="0" r="18415" b="24765"/>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4000" cy="2376000"/>
                        </a:xfrm>
                        <a:prstGeom prst="rect">
                          <a:avLst/>
                        </a:prstGeom>
                        <a:solidFill>
                          <a:schemeClr val="accent6">
                            <a:lumMod val="50000"/>
                          </a:schemeClr>
                        </a:solidFill>
                        <a:ln w="6350">
                          <a:solidFill>
                            <a:schemeClr val="bg2"/>
                          </a:solidFill>
                          <a:miter lim="800000"/>
                          <a:headEnd/>
                          <a:tailEnd/>
                        </a:ln>
                      </wps:spPr>
                      <wps:txbx>
                        <w:txbxContent>
                          <w:p w14:paraId="4ED386EF" w14:textId="77777777" w:rsidR="00D14F54" w:rsidRPr="00B35ADC" w:rsidRDefault="00D14F54" w:rsidP="00B35ADC">
                            <w:pPr>
                              <w:pStyle w:val="PulloutHeading"/>
                              <w:rPr>
                                <w:color w:val="FFFFFF" w:themeColor="background1"/>
                              </w:rPr>
                            </w:pPr>
                            <w:r w:rsidRPr="00B35ADC">
                              <w:rPr>
                                <w:color w:val="FFFFFF" w:themeColor="background1"/>
                              </w:rPr>
                              <w:t>1. Notifying</w:t>
                            </w:r>
                          </w:p>
                          <w:p w14:paraId="23EC57FE" w14:textId="77777777" w:rsidR="00D14F54" w:rsidRPr="00B35ADC" w:rsidRDefault="00D14F54" w:rsidP="00B35ADC">
                            <w:pPr>
                              <w:pStyle w:val="PulloutText"/>
                              <w:rPr>
                                <w:color w:val="FFFFFF" w:themeColor="background1"/>
                              </w:rPr>
                            </w:pPr>
                            <w:r w:rsidRPr="00B35ADC">
                              <w:rPr>
                                <w:color w:val="FFFFFF" w:themeColor="background1"/>
                              </w:rPr>
                              <w:t>Health services are required to notify sentinel events to SCV.</w:t>
                            </w:r>
                          </w:p>
                          <w:p w14:paraId="3CF86498" w14:textId="77777777" w:rsidR="00D14F54" w:rsidRPr="00B35ADC" w:rsidRDefault="00D14F54" w:rsidP="00B35ADC">
                            <w:pPr>
                              <w:pStyle w:val="PulloutText"/>
                              <w:rPr>
                                <w:color w:val="FFFFFF" w:themeColor="background1"/>
                              </w:rPr>
                            </w:pPr>
                            <w:r w:rsidRPr="00B35ADC">
                              <w:rPr>
                                <w:color w:val="FFFFFF" w:themeColor="background1"/>
                              </w:rPr>
                              <w:t xml:space="preserve">Health services must report all sentinel events within </w:t>
                            </w:r>
                            <w:r w:rsidRPr="00D94FAF">
                              <w:rPr>
                                <w:b/>
                                <w:color w:val="FFFFFF" w:themeColor="background1"/>
                              </w:rPr>
                              <w:t>three working days</w:t>
                            </w:r>
                            <w:r w:rsidRPr="00B35ADC">
                              <w:rPr>
                                <w:color w:val="FFFFFF" w:themeColor="background1"/>
                              </w:rPr>
                              <w:t xml:space="preserve"> of </w:t>
                            </w:r>
                            <w:r>
                              <w:rPr>
                                <w:color w:val="FFFFFF" w:themeColor="background1"/>
                              </w:rPr>
                              <w:t>becoming aware of it</w:t>
                            </w:r>
                            <w:r w:rsidRPr="00B35ADC">
                              <w:rPr>
                                <w:color w:val="FFFFFF" w:themeColor="background1"/>
                              </w:rPr>
                              <w:t>.</w:t>
                            </w:r>
                          </w:p>
                        </w:txbxContent>
                      </wps:txbx>
                      <wps:bodyPr rot="0" vert="horz" wrap="square" lIns="180000" tIns="180000" rIns="144000" bIns="36000" anchor="t" anchorCtr="0">
                        <a:noAutofit/>
                      </wps:bodyPr>
                    </wps:wsp>
                  </a:graphicData>
                </a:graphic>
              </wp:inline>
            </w:drawing>
          </mc:Choice>
          <mc:Fallback>
            <w:pict>
              <v:shape w14:anchorId="3919B67B" id="_x0000_s1029" type="#_x0000_t202" style="width:153.05pt;height:187.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G86OgIAAHUEAAAOAAAAZHJzL2Uyb0RvYy54bWysVNtu2zAMfR+wfxD0vthJ2rQz4hRdug4D&#10;ugvQ7gNoWY6FSaInKbG7rx8lO1mzvQ17MUSJPCTPIb2+GYxmB+m8Qlvy+SznTFqBtbK7kn97un9z&#10;zZkPYGvQaGXJn6XnN5vXr9Z9V8gFtqhr6RiBWF/0XcnbELoiy7xopQE/w05aemzQGQhkul1WO+gJ&#10;3ehskeerrEdXdw6F9J5u78ZHvkn4TSNF+NI0XgamS061hfR16VvFb7ZZQ7Fz0LVKTGXAP1RhQFlK&#10;eoK6gwBs79RfUEYJhx6bMBNoMmwaJWTqgbqZ539089hCJ1MvRI7vTjT5/wcrPh++Oqbqkl9xZsGQ&#10;RE9yCOwdDmwR2ek7X5DTY0duYaBrUjl16rsHFN89s7htwe7krXPYtxJqqm4eI7MXoSOOjyBV/wlr&#10;SgP7gAloaJyJ1BEZjNBJpeeTMrEUEVO+vbjIc3oS9LZYXq2iEXNAcQzvnA8fJBoWDyV3JH2Ch8OD&#10;D6Pr0SVm86hVfa+0TkYcN7nVjh2ABgWEkDasUrjeG6p3vL+krMe0aUJjSCriDE1b1pd8tbzME8LZ&#10;2ylsRKx2iWRq48zLqEBboZUp+XXMOc1pZPe9rakZKAIoPZ4pWNuJ7sjwyHUYqiHpujyqWGH9TPw7&#10;HJeAlpYOLbqfnPW0ACX3P/bgJGf6o40apsy0MmeWG61JjSpZy6QGAysIreSBT8dtSIsWq7V4S3I3&#10;KgkR52IsZqqaZjuxOO1hXJ6XdvL6/bfY/AIAAP//AwBQSwMEFAAGAAgAAAAhAGwhACDaAAAABQEA&#10;AA8AAABkcnMvZG93bnJldi54bWxMj81OwzAQhO9IvIO1SFxQ67SgUoU4FUL0xIlSiasbL3GovY5s&#10;54e3Z+ECl9WsZjXzbbWbvRMjxtQFUrBaFiCQmmA6ahUc3/aLLYiUNRntAqGCL0ywqy8vKl2aMNEr&#10;jofcCg6hVGoFNue+lDI1Fr1Oy9AjsfcRoteZ19hKE/XE4d7JdVFspNcdcYPVPT5ZbM6HwSt4ofg+&#10;HvO+m4JNvj+74fnT3Sh1fTU/PoDIOOe/Y/jBZ3SomekUBjJJOAX8SP6d7N0WmxWIE4v7uzXIupL/&#10;6etvAAAA//8DAFBLAQItABQABgAIAAAAIQC2gziS/gAAAOEBAAATAAAAAAAAAAAAAAAAAAAAAABb&#10;Q29udGVudF9UeXBlc10ueG1sUEsBAi0AFAAGAAgAAAAhADj9If/WAAAAlAEAAAsAAAAAAAAAAAAA&#10;AAAALwEAAF9yZWxzLy5yZWxzUEsBAi0AFAAGAAgAAAAhACXMbzo6AgAAdQQAAA4AAAAAAAAAAAAA&#10;AAAALgIAAGRycy9lMm9Eb2MueG1sUEsBAi0AFAAGAAgAAAAhAGwhACDaAAAABQEAAA8AAAAAAAAA&#10;AAAAAAAAlAQAAGRycy9kb3ducmV2LnhtbFBLBQYAAAAABAAEAPMAAACbBQAAAAA=&#10;" fillcolor="#62626a [1609]" strokecolor="#edf5f7 [3214]" strokeweight=".5pt">
                <v:textbox inset="5mm,5mm,4mm,1mm">
                  <w:txbxContent>
                    <w:p w14:paraId="4ED386EF" w14:textId="77777777" w:rsidR="00D14F54" w:rsidRPr="00B35ADC" w:rsidRDefault="00D14F54" w:rsidP="00B35ADC">
                      <w:pPr>
                        <w:pStyle w:val="PulloutHeading"/>
                        <w:rPr>
                          <w:color w:val="FFFFFF" w:themeColor="background1"/>
                        </w:rPr>
                      </w:pPr>
                      <w:r w:rsidRPr="00B35ADC">
                        <w:rPr>
                          <w:color w:val="FFFFFF" w:themeColor="background1"/>
                        </w:rPr>
                        <w:t>1. Notifying</w:t>
                      </w:r>
                    </w:p>
                    <w:p w14:paraId="23EC57FE" w14:textId="77777777" w:rsidR="00D14F54" w:rsidRPr="00B35ADC" w:rsidRDefault="00D14F54" w:rsidP="00B35ADC">
                      <w:pPr>
                        <w:pStyle w:val="PulloutText"/>
                        <w:rPr>
                          <w:color w:val="FFFFFF" w:themeColor="background1"/>
                        </w:rPr>
                      </w:pPr>
                      <w:r w:rsidRPr="00B35ADC">
                        <w:rPr>
                          <w:color w:val="FFFFFF" w:themeColor="background1"/>
                        </w:rPr>
                        <w:t>Health services are required to notify sentinel events to SCV.</w:t>
                      </w:r>
                    </w:p>
                    <w:p w14:paraId="3CF86498" w14:textId="77777777" w:rsidR="00D14F54" w:rsidRPr="00B35ADC" w:rsidRDefault="00D14F54" w:rsidP="00B35ADC">
                      <w:pPr>
                        <w:pStyle w:val="PulloutText"/>
                        <w:rPr>
                          <w:color w:val="FFFFFF" w:themeColor="background1"/>
                        </w:rPr>
                      </w:pPr>
                      <w:r w:rsidRPr="00B35ADC">
                        <w:rPr>
                          <w:color w:val="FFFFFF" w:themeColor="background1"/>
                        </w:rPr>
                        <w:t xml:space="preserve">Health services must report all sentinel events within </w:t>
                      </w:r>
                      <w:r w:rsidRPr="00D94FAF">
                        <w:rPr>
                          <w:b/>
                          <w:color w:val="FFFFFF" w:themeColor="background1"/>
                        </w:rPr>
                        <w:t>three working days</w:t>
                      </w:r>
                      <w:r w:rsidRPr="00B35ADC">
                        <w:rPr>
                          <w:color w:val="FFFFFF" w:themeColor="background1"/>
                        </w:rPr>
                        <w:t xml:space="preserve"> of </w:t>
                      </w:r>
                      <w:r>
                        <w:rPr>
                          <w:color w:val="FFFFFF" w:themeColor="background1"/>
                        </w:rPr>
                        <w:t>becoming aware of it</w:t>
                      </w:r>
                      <w:r w:rsidRPr="00B35ADC">
                        <w:rPr>
                          <w:color w:val="FFFFFF" w:themeColor="background1"/>
                        </w:rPr>
                        <w:t>.</w:t>
                      </w:r>
                    </w:p>
                  </w:txbxContent>
                </v:textbox>
                <w10:anchorlock/>
              </v:shape>
            </w:pict>
          </mc:Fallback>
        </mc:AlternateContent>
      </w:r>
      <w:r>
        <w:t xml:space="preserve"> </w:t>
      </w:r>
      <w:r w:rsidR="00D94FAF">
        <w:t xml:space="preserve"> </w:t>
      </w:r>
      <w:r>
        <w:t xml:space="preserve">  </w:t>
      </w:r>
      <w:r>
        <w:rPr>
          <w:noProof/>
        </w:rPr>
        <mc:AlternateContent>
          <mc:Choice Requires="wps">
            <w:drawing>
              <wp:inline distT="0" distB="0" distL="0" distR="0" wp14:anchorId="00E48A70" wp14:editId="5A9FA4D5">
                <wp:extent cx="1944000" cy="2376000"/>
                <wp:effectExtent l="0" t="0" r="18415" b="24765"/>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4000" cy="2376000"/>
                        </a:xfrm>
                        <a:prstGeom prst="rect">
                          <a:avLst/>
                        </a:prstGeom>
                        <a:solidFill>
                          <a:schemeClr val="accent6">
                            <a:lumMod val="50000"/>
                          </a:schemeClr>
                        </a:solidFill>
                        <a:ln w="6350">
                          <a:solidFill>
                            <a:schemeClr val="bg2"/>
                          </a:solidFill>
                          <a:miter lim="800000"/>
                          <a:headEnd/>
                          <a:tailEnd/>
                        </a:ln>
                      </wps:spPr>
                      <wps:txbx>
                        <w:txbxContent>
                          <w:p w14:paraId="2A8D852B" w14:textId="77777777" w:rsidR="00D14F54" w:rsidRPr="00D94FAF" w:rsidRDefault="00D14F54" w:rsidP="00D94FAF">
                            <w:pPr>
                              <w:pStyle w:val="PulloutHeading"/>
                              <w:rPr>
                                <w:color w:val="FFFFFF" w:themeColor="background1"/>
                              </w:rPr>
                            </w:pPr>
                            <w:r w:rsidRPr="00D94FAF">
                              <w:rPr>
                                <w:color w:val="FFFFFF" w:themeColor="background1"/>
                              </w:rPr>
                              <w:t>2. Reviewing</w:t>
                            </w:r>
                          </w:p>
                          <w:p w14:paraId="123A883C" w14:textId="77777777" w:rsidR="00D14F54" w:rsidRPr="00D94FAF" w:rsidRDefault="00D14F54" w:rsidP="00D94FAF">
                            <w:pPr>
                              <w:pStyle w:val="PulloutText"/>
                              <w:rPr>
                                <w:color w:val="FFFFFF" w:themeColor="background1"/>
                              </w:rPr>
                            </w:pPr>
                            <w:r w:rsidRPr="00D94FAF">
                              <w:rPr>
                                <w:color w:val="FFFFFF" w:themeColor="background1"/>
                              </w:rPr>
                              <w:t xml:space="preserve">Health services must conduct a formal and thorough review using </w:t>
                            </w:r>
                            <w:r>
                              <w:rPr>
                                <w:color w:val="FFFFFF" w:themeColor="background1"/>
                              </w:rPr>
                              <w:t>root cause analysis (R</w:t>
                            </w:r>
                            <w:r w:rsidRPr="00D94FAF">
                              <w:rPr>
                                <w:color w:val="FFFFFF" w:themeColor="background1"/>
                              </w:rPr>
                              <w:t>CA</w:t>
                            </w:r>
                            <w:r>
                              <w:rPr>
                                <w:color w:val="FFFFFF" w:themeColor="background1"/>
                              </w:rPr>
                              <w:t>)</w:t>
                            </w:r>
                            <w:r w:rsidRPr="00D94FAF">
                              <w:rPr>
                                <w:color w:val="FFFFFF" w:themeColor="background1"/>
                              </w:rPr>
                              <w:t xml:space="preserve"> methodology.</w:t>
                            </w:r>
                          </w:p>
                          <w:p w14:paraId="6A890F74" w14:textId="77777777" w:rsidR="00D14F54" w:rsidRPr="00D94FAF" w:rsidRDefault="00D14F54" w:rsidP="00D94FAF">
                            <w:pPr>
                              <w:pStyle w:val="PulloutText"/>
                              <w:rPr>
                                <w:color w:val="FFFFFF" w:themeColor="background1"/>
                              </w:rPr>
                            </w:pPr>
                            <w:r w:rsidRPr="00D94FAF">
                              <w:rPr>
                                <w:color w:val="FFFFFF" w:themeColor="background1"/>
                              </w:rPr>
                              <w:t xml:space="preserve">Following the review, services must submit a RCA report to SCV within </w:t>
                            </w:r>
                            <w:r w:rsidRPr="00D94FAF">
                              <w:rPr>
                                <w:b/>
                                <w:color w:val="FFFFFF" w:themeColor="background1"/>
                              </w:rPr>
                              <w:t>30 working days</w:t>
                            </w:r>
                            <w:r w:rsidRPr="00D94FAF">
                              <w:rPr>
                                <w:color w:val="FFFFFF" w:themeColor="background1"/>
                              </w:rPr>
                              <w:t xml:space="preserve"> of the initial notification.</w:t>
                            </w:r>
                          </w:p>
                        </w:txbxContent>
                      </wps:txbx>
                      <wps:bodyPr rot="0" vert="horz" wrap="square" lIns="180000" tIns="180000" rIns="144000" bIns="36000" anchor="t" anchorCtr="0">
                        <a:noAutofit/>
                      </wps:bodyPr>
                    </wps:wsp>
                  </a:graphicData>
                </a:graphic>
              </wp:inline>
            </w:drawing>
          </mc:Choice>
          <mc:Fallback>
            <w:pict>
              <v:shape w14:anchorId="00E48A70" id="_x0000_s1030" type="#_x0000_t202" style="width:153.05pt;height:187.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WlVOQIAAHUEAAAOAAAAZHJzL2Uyb0RvYy54bWysVNtu2zAMfR+wfxD0vthN0mwz4hRdug4D&#10;ugvQ7gNoWY6FSaInKbGzrx8lO1mzvQ17MUSJPCTPIb2+GYxmB+m8Qlvyq1nOmbQCa2V3Jf/2dP/q&#10;DWc+gK1Bo5UlP0rPbzYvX6z7rpBzbFHX0jECsb7ou5K3IXRFlnnRSgN+hp209NigMxDIdLusdtAT&#10;utHZPM9XWY+u7hwK6T3d3o2PfJPwm0aK8KVpvAxMl5xqC+nr0reK32yzhmLnoGuVmMqAf6jCgLKU&#10;9Ax1BwHY3qm/oIwSDj02YSbQZNg0SsjUA3Vzlf/RzWMLnUy9EDm+O9Pk/x+s+Hz46piqS05CWTAk&#10;0ZMcAnuHA5tHdvrOF+T02JFbGOiaVE6d+u4BxXfPLG5bsDt56xz2rYSaqruKkdmz0BHHR5Cq/4Q1&#10;pYF9wAQ0NM5E6ogMRuik0vGsTCxFxJRvl8s8pydBb/PF61U0Yg4oTuGd8+GDRMPioeSOpE/wcHjw&#10;YXQ9ucRsHrWq75XWyYjjJrfasQPQoIAQ0oZVCtd7Q/WO99eU9ZQ2TWgMSUVcoGnL+pKvFtd5Qrh4&#10;O4eNiNUukUxtXHgZFWgrtDIkS8w5zWlk972tqRkoAig9nilY24nuyPDIdRiqIem6PKlYYX0k/h2O&#10;S0BLS4cW3U/OelqAkvsfe3CSM/3RRg1TZlqZC8uN1qRGlaxFUoOBFYRW8sCn4zakRYvVWrwluRuV&#10;hIhzMRYzVU2znVic9jAuz3M7ef3+W2x+AQAA//8DAFBLAwQUAAYACAAAACEAbCEAINoAAAAFAQAA&#10;DwAAAGRycy9kb3ducmV2LnhtbEyPzU7DMBCE70i8g7VIXFDrtKBShTgVQvTEiVKJqxsvcai9jmzn&#10;h7dn4QKX1axmNfNttZu9EyPG1AVSsFoWIJCaYDpqFRzf9ostiJQ1Ge0CoYIvTLCrLy8qXZow0SuO&#10;h9wKDqFUagU2576UMjUWvU7L0COx9xGi15nX2EoT9cTh3sl1UWyk1x1xg9U9PllszofBK3ih+D4e&#10;876bgk2+P7vh+dPdKHV9NT8+gMg4579j+MFndKiZ6RQGMkk4BfxI/p3s3RabFYgTi/u7Nci6kv/p&#10;628AAAD//wMAUEsBAi0AFAAGAAgAAAAhALaDOJL+AAAA4QEAABMAAAAAAAAAAAAAAAAAAAAAAFtD&#10;b250ZW50X1R5cGVzXS54bWxQSwECLQAUAAYACAAAACEAOP0h/9YAAACUAQAACwAAAAAAAAAAAAAA&#10;AAAvAQAAX3JlbHMvLnJlbHNQSwECLQAUAAYACAAAACEAC61pVTkCAAB1BAAADgAAAAAAAAAAAAAA&#10;AAAuAgAAZHJzL2Uyb0RvYy54bWxQSwECLQAUAAYACAAAACEAbCEAINoAAAAFAQAADwAAAAAAAAAA&#10;AAAAAACTBAAAZHJzL2Rvd25yZXYueG1sUEsFBgAAAAAEAAQA8wAAAJoFAAAAAA==&#10;" fillcolor="#62626a [1609]" strokecolor="#edf5f7 [3214]" strokeweight=".5pt">
                <v:textbox inset="5mm,5mm,4mm,1mm">
                  <w:txbxContent>
                    <w:p w14:paraId="2A8D852B" w14:textId="77777777" w:rsidR="00D14F54" w:rsidRPr="00D94FAF" w:rsidRDefault="00D14F54" w:rsidP="00D94FAF">
                      <w:pPr>
                        <w:pStyle w:val="PulloutHeading"/>
                        <w:rPr>
                          <w:color w:val="FFFFFF" w:themeColor="background1"/>
                        </w:rPr>
                      </w:pPr>
                      <w:r w:rsidRPr="00D94FAF">
                        <w:rPr>
                          <w:color w:val="FFFFFF" w:themeColor="background1"/>
                        </w:rPr>
                        <w:t>2. Reviewing</w:t>
                      </w:r>
                    </w:p>
                    <w:p w14:paraId="123A883C" w14:textId="77777777" w:rsidR="00D14F54" w:rsidRPr="00D94FAF" w:rsidRDefault="00D14F54" w:rsidP="00D94FAF">
                      <w:pPr>
                        <w:pStyle w:val="PulloutText"/>
                        <w:rPr>
                          <w:color w:val="FFFFFF" w:themeColor="background1"/>
                        </w:rPr>
                      </w:pPr>
                      <w:r w:rsidRPr="00D94FAF">
                        <w:rPr>
                          <w:color w:val="FFFFFF" w:themeColor="background1"/>
                        </w:rPr>
                        <w:t xml:space="preserve">Health services must conduct a formal and thorough review using </w:t>
                      </w:r>
                      <w:r>
                        <w:rPr>
                          <w:color w:val="FFFFFF" w:themeColor="background1"/>
                        </w:rPr>
                        <w:t>root cause analysis (R</w:t>
                      </w:r>
                      <w:r w:rsidRPr="00D94FAF">
                        <w:rPr>
                          <w:color w:val="FFFFFF" w:themeColor="background1"/>
                        </w:rPr>
                        <w:t>CA</w:t>
                      </w:r>
                      <w:r>
                        <w:rPr>
                          <w:color w:val="FFFFFF" w:themeColor="background1"/>
                        </w:rPr>
                        <w:t>)</w:t>
                      </w:r>
                      <w:r w:rsidRPr="00D94FAF">
                        <w:rPr>
                          <w:color w:val="FFFFFF" w:themeColor="background1"/>
                        </w:rPr>
                        <w:t xml:space="preserve"> methodology.</w:t>
                      </w:r>
                    </w:p>
                    <w:p w14:paraId="6A890F74" w14:textId="77777777" w:rsidR="00D14F54" w:rsidRPr="00D94FAF" w:rsidRDefault="00D14F54" w:rsidP="00D94FAF">
                      <w:pPr>
                        <w:pStyle w:val="PulloutText"/>
                        <w:rPr>
                          <w:color w:val="FFFFFF" w:themeColor="background1"/>
                        </w:rPr>
                      </w:pPr>
                      <w:r w:rsidRPr="00D94FAF">
                        <w:rPr>
                          <w:color w:val="FFFFFF" w:themeColor="background1"/>
                        </w:rPr>
                        <w:t xml:space="preserve">Following the review, services must submit a RCA report to SCV within </w:t>
                      </w:r>
                      <w:r w:rsidRPr="00D94FAF">
                        <w:rPr>
                          <w:b/>
                          <w:color w:val="FFFFFF" w:themeColor="background1"/>
                        </w:rPr>
                        <w:t>30 working days</w:t>
                      </w:r>
                      <w:r w:rsidRPr="00D94FAF">
                        <w:rPr>
                          <w:color w:val="FFFFFF" w:themeColor="background1"/>
                        </w:rPr>
                        <w:t xml:space="preserve"> of the initial notification.</w:t>
                      </w:r>
                    </w:p>
                  </w:txbxContent>
                </v:textbox>
                <w10:anchorlock/>
              </v:shape>
            </w:pict>
          </mc:Fallback>
        </mc:AlternateContent>
      </w:r>
      <w:r>
        <w:t xml:space="preserve">  </w:t>
      </w:r>
      <w:r w:rsidR="00D94FAF">
        <w:t xml:space="preserve"> </w:t>
      </w:r>
      <w:r>
        <w:t xml:space="preserve"> </w:t>
      </w:r>
      <w:r>
        <w:rPr>
          <w:noProof/>
        </w:rPr>
        <mc:AlternateContent>
          <mc:Choice Requires="wps">
            <w:drawing>
              <wp:inline distT="0" distB="0" distL="0" distR="0" wp14:anchorId="00E48A70" wp14:editId="5A9FA4D5">
                <wp:extent cx="1944000" cy="2376000"/>
                <wp:effectExtent l="0" t="0" r="18415" b="24765"/>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4000" cy="2376000"/>
                        </a:xfrm>
                        <a:prstGeom prst="rect">
                          <a:avLst/>
                        </a:prstGeom>
                        <a:solidFill>
                          <a:schemeClr val="accent6">
                            <a:lumMod val="50000"/>
                          </a:schemeClr>
                        </a:solidFill>
                        <a:ln w="6350">
                          <a:solidFill>
                            <a:schemeClr val="bg2"/>
                          </a:solidFill>
                          <a:miter lim="800000"/>
                          <a:headEnd/>
                          <a:tailEnd/>
                        </a:ln>
                      </wps:spPr>
                      <wps:txbx>
                        <w:txbxContent>
                          <w:p w14:paraId="733E5F67" w14:textId="77777777" w:rsidR="00D14F54" w:rsidRPr="00D94FAF" w:rsidRDefault="00D14F54" w:rsidP="00D94FAF">
                            <w:pPr>
                              <w:pStyle w:val="PulloutHeading"/>
                              <w:rPr>
                                <w:color w:val="FFFFFF" w:themeColor="background1"/>
                              </w:rPr>
                            </w:pPr>
                            <w:r w:rsidRPr="00D94FAF">
                              <w:rPr>
                                <w:color w:val="FFFFFF" w:themeColor="background1"/>
                              </w:rPr>
                              <w:t>3. Improving</w:t>
                            </w:r>
                          </w:p>
                          <w:p w14:paraId="3ADEE595" w14:textId="77777777" w:rsidR="00D14F54" w:rsidRPr="00D94FAF" w:rsidRDefault="00D14F54" w:rsidP="00D94FAF">
                            <w:pPr>
                              <w:pStyle w:val="PulloutText"/>
                              <w:rPr>
                                <w:color w:val="FFFFFF" w:themeColor="background1"/>
                              </w:rPr>
                            </w:pPr>
                            <w:r w:rsidRPr="00D94FAF">
                              <w:rPr>
                                <w:color w:val="FFFFFF" w:themeColor="background1"/>
                              </w:rPr>
                              <w:t xml:space="preserve">Health services must submit a risk reduction action plan (RRAP) feedback report within </w:t>
                            </w:r>
                            <w:r w:rsidRPr="00D94FAF">
                              <w:rPr>
                                <w:b/>
                                <w:color w:val="FFFFFF" w:themeColor="background1"/>
                              </w:rPr>
                              <w:t>three months</w:t>
                            </w:r>
                            <w:r w:rsidRPr="00D94FAF">
                              <w:rPr>
                                <w:color w:val="FFFFFF" w:themeColor="background1"/>
                              </w:rPr>
                              <w:t xml:space="preserve"> of the RCA report being submitted. </w:t>
                            </w:r>
                          </w:p>
                          <w:p w14:paraId="141A6604" w14:textId="77777777" w:rsidR="00D14F54" w:rsidRPr="00D94FAF" w:rsidRDefault="00D14F54" w:rsidP="00D94FAF">
                            <w:pPr>
                              <w:pStyle w:val="PulloutText"/>
                              <w:rPr>
                                <w:color w:val="FFFFFF" w:themeColor="background1"/>
                              </w:rPr>
                            </w:pPr>
                            <w:r w:rsidRPr="00D94FAF">
                              <w:rPr>
                                <w:color w:val="FFFFFF" w:themeColor="background1"/>
                              </w:rPr>
                              <w:t>This shows the progress made in implementing the recommendations from the RCA report.</w:t>
                            </w:r>
                          </w:p>
                        </w:txbxContent>
                      </wps:txbx>
                      <wps:bodyPr rot="0" vert="horz" wrap="square" lIns="180000" tIns="180000" rIns="144000" bIns="36000" anchor="t" anchorCtr="0">
                        <a:noAutofit/>
                      </wps:bodyPr>
                    </wps:wsp>
                  </a:graphicData>
                </a:graphic>
              </wp:inline>
            </w:drawing>
          </mc:Choice>
          <mc:Fallback>
            <w:pict>
              <v:shape w14:anchorId="00E48A70" id="_x0000_s1031" type="#_x0000_t202" style="width:153.05pt;height:187.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7EwOgIAAHYEAAAOAAAAZHJzL2Uyb0RvYy54bWysVNtu2zAMfR+wfxD0vthJmqwz4hRdug4D&#10;ugvQ7gMYWY6FSaInKbGzry8lO1mzvQ17MUSJPCTPIb266Y1mB+m8Qlvy6STnTFqBlbK7kn9/un9z&#10;zZkPYCvQaGXJj9Lzm/XrV6uuLeQMG9SVdIxArC+6tuRNCG2RZV400oCfYCstPdboDAQy3S6rHHSE&#10;bnQ2y/Nl1qGrWodCek+3d8MjXyf8upYifK1rLwPTJafaQvq69N3Gb7ZeQbFz0DZKjGXAP1RhQFlK&#10;eoa6gwBs79RfUEYJhx7rMBFoMqxrJWTqgbqZ5n9089hAK1MvRI5vzzT5/wcrvhy+OaYq0m7KmQVD&#10;Gj3JPrD32LNZpKdrfUFejy35hZ6uyTW16tsHFD88s7hpwO7krXPYNRIqKm8aI7MXoQOOjyDb7jNW&#10;lAb2ARNQXzsTuSM2GKGTTMezNLEUEVO+u7rKc3oS9Dabv11GI+aA4hTeOh8+SjQsHkruSPsED4cH&#10;HwbXk0vM5lGr6l5pnYw4b3KjHTsATQoIIW1YpnC9N1TvcL+grKe0aURjSCriAk1b1pV8OV/kCeHi&#10;7Rw2IG53iWRq48LLqEBroZUp+XXMOQ5qZPeDragZKAIoPZwpWNuR7sjwwHXot30SdnFScYvVkfh3&#10;OGwBbS0dGnS/OOtoA0ruf+7BSc70Jxs1TJlpZy4sN1ijGttkzZMaDKwgtJIHPh43IW1arNbiLcld&#10;qyREnIuhmLFqGu7E4riIcXte2snr9+9i/QwAAP//AwBQSwMEFAAGAAgAAAAhAGwhACDaAAAABQEA&#10;AA8AAABkcnMvZG93bnJldi54bWxMj81OwzAQhO9IvIO1SFxQ67SgUoU4FUL0xIlSiasbL3GovY5s&#10;54e3Z+ECl9WsZjXzbbWbvRMjxtQFUrBaFiCQmmA6ahUc3/aLLYiUNRntAqGCL0ywqy8vKl2aMNEr&#10;jofcCg6hVGoFNue+lDI1Fr1Oy9AjsfcRoteZ19hKE/XE4d7JdVFspNcdcYPVPT5ZbM6HwSt4ofg+&#10;HvO+m4JNvj+74fnT3Sh1fTU/PoDIOOe/Y/jBZ3SomekUBjJJOAX8SP6d7N0WmxWIE4v7uzXIupL/&#10;6etvAAAA//8DAFBLAQItABQABgAIAAAAIQC2gziS/gAAAOEBAAATAAAAAAAAAAAAAAAAAAAAAABb&#10;Q29udGVudF9UeXBlc10ueG1sUEsBAi0AFAAGAAgAAAAhADj9If/WAAAAlAEAAAsAAAAAAAAAAAAA&#10;AAAALwEAAF9yZWxzLy5yZWxzUEsBAi0AFAAGAAgAAAAhAPI3sTA6AgAAdgQAAA4AAAAAAAAAAAAA&#10;AAAALgIAAGRycy9lMm9Eb2MueG1sUEsBAi0AFAAGAAgAAAAhAGwhACDaAAAABQEAAA8AAAAAAAAA&#10;AAAAAAAAlAQAAGRycy9kb3ducmV2LnhtbFBLBQYAAAAABAAEAPMAAACbBQAAAAA=&#10;" fillcolor="#62626a [1609]" strokecolor="#edf5f7 [3214]" strokeweight=".5pt">
                <v:textbox inset="5mm,5mm,4mm,1mm">
                  <w:txbxContent>
                    <w:p w14:paraId="733E5F67" w14:textId="77777777" w:rsidR="00D14F54" w:rsidRPr="00D94FAF" w:rsidRDefault="00D14F54" w:rsidP="00D94FAF">
                      <w:pPr>
                        <w:pStyle w:val="PulloutHeading"/>
                        <w:rPr>
                          <w:color w:val="FFFFFF" w:themeColor="background1"/>
                        </w:rPr>
                      </w:pPr>
                      <w:r w:rsidRPr="00D94FAF">
                        <w:rPr>
                          <w:color w:val="FFFFFF" w:themeColor="background1"/>
                        </w:rPr>
                        <w:t>3. Improving</w:t>
                      </w:r>
                    </w:p>
                    <w:p w14:paraId="3ADEE595" w14:textId="77777777" w:rsidR="00D14F54" w:rsidRPr="00D94FAF" w:rsidRDefault="00D14F54" w:rsidP="00D94FAF">
                      <w:pPr>
                        <w:pStyle w:val="PulloutText"/>
                        <w:rPr>
                          <w:color w:val="FFFFFF" w:themeColor="background1"/>
                        </w:rPr>
                      </w:pPr>
                      <w:r w:rsidRPr="00D94FAF">
                        <w:rPr>
                          <w:color w:val="FFFFFF" w:themeColor="background1"/>
                        </w:rPr>
                        <w:t xml:space="preserve">Health services must submit a risk reduction action plan (RRAP) feedback report within </w:t>
                      </w:r>
                      <w:r w:rsidRPr="00D94FAF">
                        <w:rPr>
                          <w:b/>
                          <w:color w:val="FFFFFF" w:themeColor="background1"/>
                        </w:rPr>
                        <w:t>three months</w:t>
                      </w:r>
                      <w:r w:rsidRPr="00D94FAF">
                        <w:rPr>
                          <w:color w:val="FFFFFF" w:themeColor="background1"/>
                        </w:rPr>
                        <w:t xml:space="preserve"> of the RCA report being submitted. </w:t>
                      </w:r>
                    </w:p>
                    <w:p w14:paraId="141A6604" w14:textId="77777777" w:rsidR="00D14F54" w:rsidRPr="00D94FAF" w:rsidRDefault="00D14F54" w:rsidP="00D94FAF">
                      <w:pPr>
                        <w:pStyle w:val="PulloutText"/>
                        <w:rPr>
                          <w:color w:val="FFFFFF" w:themeColor="background1"/>
                        </w:rPr>
                      </w:pPr>
                      <w:r w:rsidRPr="00D94FAF">
                        <w:rPr>
                          <w:color w:val="FFFFFF" w:themeColor="background1"/>
                        </w:rPr>
                        <w:t>This shows the progress made in implementing the recommendations from the RCA report.</w:t>
                      </w:r>
                    </w:p>
                  </w:txbxContent>
                </v:textbox>
                <w10:anchorlock/>
              </v:shape>
            </w:pict>
          </mc:Fallback>
        </mc:AlternateContent>
      </w:r>
    </w:p>
    <w:p w14:paraId="53C8559C" w14:textId="77777777" w:rsidR="00D94FAF" w:rsidRDefault="00D94FAF" w:rsidP="00D94FAF">
      <w:pPr>
        <w:pStyle w:val="Heading3"/>
      </w:pPr>
      <w:r>
        <w:t>What’s new in this report?</w:t>
      </w:r>
    </w:p>
    <w:p w14:paraId="47891751" w14:textId="79606935" w:rsidR="00D94FAF" w:rsidRPr="00D94FAF" w:rsidRDefault="00D94FAF" w:rsidP="00D94FAF">
      <w:pPr>
        <w:pStyle w:val="Bullet1"/>
      </w:pPr>
      <w:r w:rsidRPr="00555D82">
        <w:rPr>
          <w:b/>
        </w:rPr>
        <w:t>Location of the sentinel event</w:t>
      </w:r>
      <w:r w:rsidRPr="00D94FAF">
        <w:t xml:space="preserve"> </w:t>
      </w:r>
      <w:proofErr w:type="gramStart"/>
      <w:r w:rsidR="0046039E">
        <w:t>As</w:t>
      </w:r>
      <w:proofErr w:type="gramEnd"/>
      <w:r w:rsidR="0046039E">
        <w:t xml:space="preserve"> a result of</w:t>
      </w:r>
      <w:r w:rsidRPr="00D94FAF">
        <w:t xml:space="preserve"> improved notification requirements, we can now share </w:t>
      </w:r>
      <w:r w:rsidR="00716066">
        <w:t>where</w:t>
      </w:r>
      <w:r w:rsidRPr="00D94FAF">
        <w:t xml:space="preserve"> sentinel event</w:t>
      </w:r>
      <w:r w:rsidR="00B71270">
        <w:t>s</w:t>
      </w:r>
      <w:r w:rsidR="00716066">
        <w:t xml:space="preserve"> happened</w:t>
      </w:r>
      <w:r w:rsidR="00555D82">
        <w:t>.</w:t>
      </w:r>
    </w:p>
    <w:p w14:paraId="71504980" w14:textId="77777777" w:rsidR="00D94FAF" w:rsidRPr="00D94FAF" w:rsidRDefault="00D94FAF" w:rsidP="00D94FAF">
      <w:pPr>
        <w:pStyle w:val="Bullet1"/>
      </w:pPr>
      <w:r w:rsidRPr="00555D82">
        <w:rPr>
          <w:b/>
        </w:rPr>
        <w:t xml:space="preserve">Health </w:t>
      </w:r>
      <w:r w:rsidR="00555D82" w:rsidRPr="00555D82">
        <w:rPr>
          <w:b/>
        </w:rPr>
        <w:t>s</w:t>
      </w:r>
      <w:r w:rsidRPr="00555D82">
        <w:rPr>
          <w:b/>
        </w:rPr>
        <w:t>ervice type</w:t>
      </w:r>
      <w:r w:rsidRPr="00D94FAF">
        <w:t xml:space="preserve"> We are also</w:t>
      </w:r>
      <w:r w:rsidR="00716066">
        <w:t xml:space="preserve"> now</w:t>
      </w:r>
      <w:r w:rsidRPr="00D94FAF">
        <w:t xml:space="preserve"> able to breakdown types of health service</w:t>
      </w:r>
      <w:r w:rsidR="00B71270">
        <w:t xml:space="preserve"> –</w:t>
      </w:r>
      <w:r w:rsidRPr="00D94FAF">
        <w:t xml:space="preserve"> specialist, tertiary, major, regional or sub</w:t>
      </w:r>
      <w:r w:rsidR="00716066">
        <w:t>-</w:t>
      </w:r>
      <w:r w:rsidRPr="00D94FAF">
        <w:t>regional service</w:t>
      </w:r>
      <w:r w:rsidR="00555D82">
        <w:t>.</w:t>
      </w:r>
    </w:p>
    <w:p w14:paraId="3020B3DA" w14:textId="77777777" w:rsidR="00555D82" w:rsidRDefault="00D94FAF" w:rsidP="00716066">
      <w:pPr>
        <w:pStyle w:val="Bullet1"/>
      </w:pPr>
      <w:r w:rsidRPr="00555D82">
        <w:rPr>
          <w:b/>
        </w:rPr>
        <w:t>Recommendation type</w:t>
      </w:r>
      <w:r w:rsidRPr="00D94FAF">
        <w:t xml:space="preserve"> We have changed how we categorise recommendations to give a more accurate indication of their nature and effectiveness</w:t>
      </w:r>
      <w:r>
        <w:t>.</w:t>
      </w:r>
      <w:r w:rsidR="00555D82">
        <w:br w:type="page"/>
      </w:r>
    </w:p>
    <w:p w14:paraId="71A091E0" w14:textId="77777777" w:rsidR="00555D82" w:rsidRDefault="00555D82" w:rsidP="00E821C7">
      <w:pPr>
        <w:pStyle w:val="Heading1"/>
        <w:framePr w:wrap="around"/>
      </w:pPr>
      <w:r>
        <w:lastRenderedPageBreak/>
        <w:t>At a glance 2018–19</w:t>
      </w:r>
    </w:p>
    <w:p w14:paraId="38093CDB" w14:textId="77777777" w:rsidR="00555D82" w:rsidRDefault="00FE257D" w:rsidP="00FE257D">
      <w:pPr>
        <w:jc w:val="center"/>
      </w:pPr>
      <w:r>
        <w:rPr>
          <w:noProof/>
        </w:rPr>
        <w:drawing>
          <wp:inline distT="0" distB="0" distL="0" distR="0" wp14:anchorId="5C7E0A60" wp14:editId="4DEC2F90">
            <wp:extent cx="5720567" cy="7504981"/>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20567" cy="7504981"/>
                    </a:xfrm>
                    <a:prstGeom prst="rect">
                      <a:avLst/>
                    </a:prstGeom>
                  </pic:spPr>
                </pic:pic>
              </a:graphicData>
            </a:graphic>
          </wp:inline>
        </w:drawing>
      </w:r>
      <w:r w:rsidR="00555D82">
        <w:br w:type="page"/>
      </w:r>
    </w:p>
    <w:p w14:paraId="55706869" w14:textId="77777777" w:rsidR="00555D82" w:rsidRDefault="002912F1" w:rsidP="00E821C7">
      <w:pPr>
        <w:pStyle w:val="Heading1"/>
        <w:framePr w:wrap="around"/>
      </w:pPr>
      <w:r>
        <w:lastRenderedPageBreak/>
        <w:t>CEO foreword</w:t>
      </w:r>
    </w:p>
    <w:p w14:paraId="54626F97" w14:textId="77777777" w:rsidR="002912F1" w:rsidRDefault="002912F1" w:rsidP="002912F1">
      <w:pPr>
        <w:pStyle w:val="IntroductoryText"/>
        <w:spacing w:after="240"/>
      </w:pPr>
      <w:r>
        <w:t xml:space="preserve">In healthcare, adverse patient safety events that affect the lives of patients and families, as well as providers and organisations, can and do occur. </w:t>
      </w:r>
      <w:r w:rsidR="00716066">
        <w:t>T</w:t>
      </w:r>
      <w:r>
        <w:t>h</w:t>
      </w:r>
      <w:r w:rsidR="00201B01">
        <w:t xml:space="preserve">ose whose </w:t>
      </w:r>
      <w:r>
        <w:t xml:space="preserve">personal consequences </w:t>
      </w:r>
      <w:r w:rsidR="00201B01">
        <w:t>are affected</w:t>
      </w:r>
      <w:r>
        <w:t xml:space="preserve"> by the most serious adverse patient safety events, or sentinel events, are not always given a voice</w:t>
      </w:r>
      <w:r w:rsidR="00716066">
        <w:t>. And</w:t>
      </w:r>
      <w:r>
        <w:t xml:space="preserve"> for the Victorian community, the enormous efforts made to learn and improve from sentinel events remain largely unseen. </w:t>
      </w:r>
      <w:r w:rsidR="0052022B">
        <w:t>With the intent of making our healthcare safer, t</w:t>
      </w:r>
      <w:r>
        <w:t>his report makes sentinel event</w:t>
      </w:r>
      <w:r w:rsidR="00716066">
        <w:t>s</w:t>
      </w:r>
      <w:r>
        <w:t xml:space="preserve"> visible and transparent, without losing sight </w:t>
      </w:r>
      <w:r w:rsidR="00716066">
        <w:t xml:space="preserve">of </w:t>
      </w:r>
      <w:r>
        <w:t xml:space="preserve">their </w:t>
      </w:r>
      <w:proofErr w:type="gramStart"/>
      <w:r>
        <w:t>often devastating</w:t>
      </w:r>
      <w:proofErr w:type="gramEnd"/>
      <w:r>
        <w:t xml:space="preserve"> personal impacts.</w:t>
      </w:r>
    </w:p>
    <w:p w14:paraId="5F5FDFD3" w14:textId="77777777" w:rsidR="00F34440" w:rsidRDefault="002912F1" w:rsidP="00E821C7">
      <w:pPr>
        <w:spacing w:before="120" w:after="120" w:line="260" w:lineRule="atLeast"/>
      </w:pPr>
      <w:r>
        <w:t xml:space="preserve">Anthony’s </w:t>
      </w:r>
      <w:r w:rsidR="00201B01">
        <w:t>experience</w:t>
      </w:r>
      <w:r>
        <w:t xml:space="preserve"> illustrates one family’s struggle to both survive and recover from a sentinel event. Although they are getting back to a new kind of normal, their lives will never be the same. Preventing other families from having to go through the same experience is </w:t>
      </w:r>
      <w:r w:rsidR="00F34440">
        <w:t>one</w:t>
      </w:r>
      <w:r>
        <w:t xml:space="preserve"> reason why Victorian health </w:t>
      </w:r>
      <w:proofErr w:type="gramStart"/>
      <w:r>
        <w:t>services</w:t>
      </w:r>
      <w:proofErr w:type="gramEnd"/>
      <w:r>
        <w:t xml:space="preserve"> work hard every day to provide the safest healthcare possible. An important part of doing this is learning from </w:t>
      </w:r>
      <w:r w:rsidR="00201B01">
        <w:t>our most serious mistakes</w:t>
      </w:r>
      <w:r>
        <w:t xml:space="preserve"> and making improvements and system changes that will help prevent them from happening again</w:t>
      </w:r>
      <w:r w:rsidR="00F34440">
        <w:t>.</w:t>
      </w:r>
    </w:p>
    <w:p w14:paraId="7C1A9809" w14:textId="63166664" w:rsidR="00F34440" w:rsidRDefault="002912F1" w:rsidP="00E821C7">
      <w:pPr>
        <w:spacing w:before="120" w:after="120" w:line="260" w:lineRule="atLeast"/>
      </w:pPr>
      <w:r>
        <w:t xml:space="preserve">This report </w:t>
      </w:r>
      <w:r w:rsidR="00F34440">
        <w:t>summarises</w:t>
      </w:r>
      <w:r>
        <w:t xml:space="preserve"> not only the number and type of sentinel events that have affected people</w:t>
      </w:r>
      <w:r w:rsidR="00F34440">
        <w:t>’</w:t>
      </w:r>
      <w:r>
        <w:t xml:space="preserve">s lives, </w:t>
      </w:r>
      <w:r w:rsidR="00F34440">
        <w:t>but also</w:t>
      </w:r>
      <w:r>
        <w:t xml:space="preserve"> the work undertaken to make our healthcare </w:t>
      </w:r>
      <w:r w:rsidRPr="00003AE9">
        <w:t>safer.</w:t>
      </w:r>
      <w:r w:rsidR="00F34440" w:rsidRPr="00003AE9">
        <w:t xml:space="preserve"> It </w:t>
      </w:r>
      <w:r w:rsidRPr="00003AE9">
        <w:t xml:space="preserve">highlights </w:t>
      </w:r>
      <w:r w:rsidR="00201B01" w:rsidRPr="00003AE9">
        <w:t>the progress</w:t>
      </w:r>
      <w:r w:rsidRPr="00003AE9">
        <w:t xml:space="preserve"> </w:t>
      </w:r>
      <w:r w:rsidR="00201B01" w:rsidRPr="00003AE9">
        <w:t>we are making in</w:t>
      </w:r>
      <w:r w:rsidRPr="00003AE9">
        <w:t xml:space="preserve"> sentinel event program. </w:t>
      </w:r>
      <w:r w:rsidR="00F34440" w:rsidRPr="00003AE9">
        <w:t xml:space="preserve">For instance, </w:t>
      </w:r>
      <w:r w:rsidRPr="00003AE9">
        <w:t>SCV</w:t>
      </w:r>
      <w:r w:rsidR="00716066" w:rsidRPr="00003AE9">
        <w:t xml:space="preserve">’s new </w:t>
      </w:r>
      <w:r w:rsidRPr="00003AE9">
        <w:t xml:space="preserve">online platform </w:t>
      </w:r>
      <w:r w:rsidR="0051226C" w:rsidRPr="00003AE9">
        <w:t xml:space="preserve">PEER </w:t>
      </w:r>
      <w:r w:rsidR="00716066" w:rsidRPr="00003AE9">
        <w:t xml:space="preserve">has </w:t>
      </w:r>
      <w:r w:rsidRPr="00003AE9">
        <w:t>help</w:t>
      </w:r>
      <w:r w:rsidR="00716066" w:rsidRPr="00003AE9">
        <w:t>ed more</w:t>
      </w:r>
      <w:r w:rsidRPr="00003AE9">
        <w:t xml:space="preserve"> health services meet the requirement </w:t>
      </w:r>
      <w:r w:rsidR="00716066" w:rsidRPr="00003AE9">
        <w:t>to have</w:t>
      </w:r>
      <w:r w:rsidRPr="00003AE9">
        <w:t xml:space="preserve"> an external independent member on all sentinel event review panels. </w:t>
      </w:r>
      <w:r w:rsidR="00201B01" w:rsidRPr="00003AE9">
        <w:t>W</w:t>
      </w:r>
      <w:r w:rsidR="00F34440" w:rsidRPr="00003AE9">
        <w:t xml:space="preserve">e </w:t>
      </w:r>
      <w:r w:rsidR="00201B01" w:rsidRPr="00003AE9">
        <w:t>have also</w:t>
      </w:r>
      <w:r w:rsidR="00F34440" w:rsidRPr="00003AE9">
        <w:t xml:space="preserve"> increase</w:t>
      </w:r>
      <w:r w:rsidR="00201B01" w:rsidRPr="00003AE9">
        <w:t>d</w:t>
      </w:r>
      <w:r w:rsidR="00F34440" w:rsidRPr="00003AE9">
        <w:t xml:space="preserve"> consumer participation through </w:t>
      </w:r>
      <w:r w:rsidR="0052022B" w:rsidRPr="00003AE9">
        <w:t>the</w:t>
      </w:r>
      <w:r w:rsidR="00F34440" w:rsidRPr="00003AE9">
        <w:t xml:space="preserve"> recruitment, training and support of consumer representatives for review panels.</w:t>
      </w:r>
    </w:p>
    <w:p w14:paraId="2347912D" w14:textId="5FBF3257" w:rsidR="002912F1" w:rsidRDefault="002912F1" w:rsidP="00E821C7">
      <w:pPr>
        <w:spacing w:before="120" w:after="120" w:line="260" w:lineRule="atLeast"/>
      </w:pPr>
      <w:r>
        <w:t xml:space="preserve">During 2018–19, the Australian Commission on Safety and Quality in Health Care released revised national sentinel event categories. These came into effect from 1 July 2019. </w:t>
      </w:r>
      <w:r w:rsidR="00E821C7">
        <w:t xml:space="preserve">To </w:t>
      </w:r>
      <w:r w:rsidR="0052022B">
        <w:t>support these</w:t>
      </w:r>
      <w:r w:rsidR="00D620B7">
        <w:t>,</w:t>
      </w:r>
      <w:r w:rsidR="00E821C7">
        <w:t xml:space="preserve"> we issued</w:t>
      </w:r>
      <w:r>
        <w:t xml:space="preserve"> a guide to sentinel event</w:t>
      </w:r>
      <w:r w:rsidR="00E821C7">
        <w:t xml:space="preserve"> reporting </w:t>
      </w:r>
      <w:r w:rsidR="0052022B">
        <w:t>that</w:t>
      </w:r>
      <w:r>
        <w:t xml:space="preserve"> appears to have increased the rate of notification. This is a positive sign </w:t>
      </w:r>
      <w:r w:rsidR="0052022B">
        <w:t>reflecting health service reporting and will lead to safer care.</w:t>
      </w:r>
    </w:p>
    <w:p w14:paraId="0B99213A" w14:textId="77777777" w:rsidR="002912F1" w:rsidRDefault="00F34440" w:rsidP="00E821C7">
      <w:pPr>
        <w:spacing w:before="120" w:after="120" w:line="260" w:lineRule="atLeast"/>
      </w:pPr>
      <w:r>
        <w:t>In the next year, we look forward to help</w:t>
      </w:r>
      <w:r w:rsidR="00E821C7">
        <w:t>ing</w:t>
      </w:r>
      <w:r>
        <w:t xml:space="preserve"> health services manage all adverse safety events, not just sentinel events. </w:t>
      </w:r>
      <w:r w:rsidR="002912F1">
        <w:t>We</w:t>
      </w:r>
      <w:r w:rsidR="00E821C7">
        <w:t xml:space="preserve"> will be following up on our </w:t>
      </w:r>
      <w:r w:rsidR="002912F1">
        <w:t xml:space="preserve">new Adverse Patient Safety Event Policy </w:t>
      </w:r>
      <w:r w:rsidR="00E821C7">
        <w:t>with a</w:t>
      </w:r>
      <w:r w:rsidR="002912F1">
        <w:t xml:space="preserve"> supporting </w:t>
      </w:r>
      <w:r>
        <w:t>f</w:t>
      </w:r>
      <w:r w:rsidR="002912F1">
        <w:t>ramework</w:t>
      </w:r>
      <w:r>
        <w:t xml:space="preserve"> </w:t>
      </w:r>
      <w:r w:rsidR="002912F1">
        <w:t xml:space="preserve">to </w:t>
      </w:r>
      <w:r w:rsidR="00716066">
        <w:t>help guide</w:t>
      </w:r>
      <w:r w:rsidR="002912F1">
        <w:t xml:space="preserve"> review process</w:t>
      </w:r>
      <w:r w:rsidR="00E821C7">
        <w:t>es</w:t>
      </w:r>
      <w:r w:rsidR="002912F1">
        <w:t>, the presentation of reports and the development of recommendations.</w:t>
      </w:r>
    </w:p>
    <w:p w14:paraId="0C9C5230" w14:textId="10A8A1B0" w:rsidR="0052022B" w:rsidRDefault="0052022B" w:rsidP="00E821C7">
      <w:pPr>
        <w:spacing w:before="120" w:after="120" w:line="260" w:lineRule="atLeast"/>
      </w:pPr>
      <w:r>
        <w:t>Sentinel events</w:t>
      </w:r>
      <w:r w:rsidR="00DC60E3">
        <w:t xml:space="preserve"> are </w:t>
      </w:r>
      <w:r>
        <w:t xml:space="preserve">a tiny proportion of </w:t>
      </w:r>
      <w:r w:rsidR="003756F2">
        <w:t xml:space="preserve">the </w:t>
      </w:r>
      <w:r>
        <w:t xml:space="preserve">harms that </w:t>
      </w:r>
      <w:r w:rsidR="00981ACB">
        <w:t xml:space="preserve">can </w:t>
      </w:r>
      <w:r>
        <w:t>occur in healthcare</w:t>
      </w:r>
      <w:r w:rsidR="00D620B7">
        <w:t>,</w:t>
      </w:r>
      <w:r>
        <w:t xml:space="preserve"> </w:t>
      </w:r>
      <w:r w:rsidR="00D620B7">
        <w:t>however,</w:t>
      </w:r>
      <w:r>
        <w:t xml:space="preserve"> </w:t>
      </w:r>
      <w:r w:rsidR="003756F2">
        <w:t xml:space="preserve">as </w:t>
      </w:r>
      <w:r>
        <w:t>in Anthony’s case</w:t>
      </w:r>
      <w:r w:rsidR="00D620B7">
        <w:t>,</w:t>
      </w:r>
      <w:r>
        <w:t xml:space="preserve"> they are devastating.  We must strive to learn from them</w:t>
      </w:r>
      <w:r w:rsidR="00D42F1E">
        <w:t>.</w:t>
      </w:r>
    </w:p>
    <w:p w14:paraId="6409C40B" w14:textId="77777777" w:rsidR="002912F1" w:rsidRDefault="002912F1" w:rsidP="00E821C7">
      <w:pPr>
        <w:spacing w:before="0" w:after="0" w:line="240" w:lineRule="auto"/>
      </w:pPr>
      <w:r>
        <w:rPr>
          <w:noProof/>
        </w:rPr>
        <w:drawing>
          <wp:inline distT="0" distB="0" distL="0" distR="0" wp14:anchorId="7F00A15E" wp14:editId="563B8DE1">
            <wp:extent cx="1714500" cy="8572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729683" cy="864842"/>
                    </a:xfrm>
                    <a:prstGeom prst="rect">
                      <a:avLst/>
                    </a:prstGeom>
                  </pic:spPr>
                </pic:pic>
              </a:graphicData>
            </a:graphic>
          </wp:inline>
        </w:drawing>
      </w:r>
    </w:p>
    <w:p w14:paraId="65B2B435" w14:textId="77777777" w:rsidR="002912F1" w:rsidRPr="002912F1" w:rsidRDefault="002912F1" w:rsidP="00E821C7">
      <w:pPr>
        <w:spacing w:before="0" w:after="0"/>
        <w:rPr>
          <w:b/>
        </w:rPr>
      </w:pPr>
      <w:r w:rsidRPr="002912F1">
        <w:rPr>
          <w:b/>
        </w:rPr>
        <w:t xml:space="preserve">Professor Euan Wallace AM </w:t>
      </w:r>
    </w:p>
    <w:p w14:paraId="13B849C5" w14:textId="77777777" w:rsidR="002912F1" w:rsidRDefault="002912F1" w:rsidP="00E821C7">
      <w:pPr>
        <w:spacing w:before="0" w:after="0"/>
      </w:pPr>
      <w:r w:rsidRPr="002912F1">
        <w:rPr>
          <w:b/>
        </w:rPr>
        <w:t>Chief Executive Officer</w:t>
      </w:r>
      <w:r>
        <w:br w:type="page"/>
      </w:r>
    </w:p>
    <w:p w14:paraId="1FF2CF5A" w14:textId="77777777" w:rsidR="00555D82" w:rsidRPr="00E821C7" w:rsidRDefault="002912F1" w:rsidP="00E821C7">
      <w:pPr>
        <w:pStyle w:val="Heading1"/>
        <w:framePr w:wrap="around"/>
      </w:pPr>
      <w:r w:rsidRPr="00E821C7">
        <w:lastRenderedPageBreak/>
        <w:t>1. Notifying</w:t>
      </w:r>
    </w:p>
    <w:p w14:paraId="41097FCB" w14:textId="54B3474F" w:rsidR="002912F1" w:rsidRDefault="002912F1" w:rsidP="002912F1">
      <w:pPr>
        <w:pStyle w:val="IntroductoryText"/>
        <w:ind w:right="-144"/>
      </w:pPr>
      <w:r w:rsidRPr="005B7420">
        <w:t>Since 2017</w:t>
      </w:r>
      <w:r w:rsidR="005B7420" w:rsidRPr="005B7420">
        <w:t xml:space="preserve"> sentinel events have become far more visible</w:t>
      </w:r>
      <w:r w:rsidR="00716066">
        <w:t>, leading to an increase in how many are notified to SCV</w:t>
      </w:r>
      <w:r w:rsidR="005B7420" w:rsidRPr="005B7420">
        <w:t>. Victoria is now on par</w:t>
      </w:r>
      <w:r w:rsidRPr="005B7420">
        <w:t xml:space="preserve"> with other comparable jurisdictions. Through</w:t>
      </w:r>
      <w:r w:rsidRPr="002912F1">
        <w:t xml:space="preserve"> encouraging a just reporting culture in health services (page </w:t>
      </w:r>
      <w:r w:rsidR="00003AE9">
        <w:t>23</w:t>
      </w:r>
      <w:r w:rsidRPr="002912F1">
        <w:t xml:space="preserve">) </w:t>
      </w:r>
      <w:r w:rsidR="0018610E">
        <w:t>we hope</w:t>
      </w:r>
      <w:r w:rsidRPr="002912F1">
        <w:t xml:space="preserve"> </w:t>
      </w:r>
      <w:r w:rsidR="005B7420">
        <w:t xml:space="preserve">to </w:t>
      </w:r>
      <w:r w:rsidRPr="002912F1">
        <w:t xml:space="preserve">eventually </w:t>
      </w:r>
      <w:r w:rsidR="005B7420">
        <w:t xml:space="preserve">see </w:t>
      </w:r>
      <w:r w:rsidRPr="002912F1">
        <w:t>all sentinel events notified</w:t>
      </w:r>
      <w:r w:rsidR="00D42F1E">
        <w:t>. T</w:t>
      </w:r>
      <w:r w:rsidR="005B7420">
        <w:t xml:space="preserve">his </w:t>
      </w:r>
      <w:r w:rsidR="00D42F1E">
        <w:t>allows</w:t>
      </w:r>
      <w:r w:rsidRPr="002912F1">
        <w:t xml:space="preserve"> review and </w:t>
      </w:r>
      <w:r w:rsidR="00D42F1E">
        <w:t>learning opportunities</w:t>
      </w:r>
      <w:r w:rsidRPr="002912F1">
        <w:t xml:space="preserve"> </w:t>
      </w:r>
      <w:r w:rsidR="005B7420">
        <w:t>to</w:t>
      </w:r>
      <w:r w:rsidRPr="002912F1">
        <w:t xml:space="preserve"> improve patient safety.</w:t>
      </w:r>
    </w:p>
    <w:p w14:paraId="24786F41" w14:textId="0BBB4A09" w:rsidR="002912F1" w:rsidRDefault="002912F1" w:rsidP="0018610E">
      <w:pPr>
        <w:spacing w:before="120" w:after="120" w:line="240" w:lineRule="atLeast"/>
      </w:pPr>
      <w:r w:rsidRPr="002912F1">
        <w:t xml:space="preserve">In SCV’s first two years there was a steady increase in the number of notifications. </w:t>
      </w:r>
      <w:r w:rsidRPr="005B7420">
        <w:rPr>
          <w:b/>
        </w:rPr>
        <w:t>Table 1</w:t>
      </w:r>
      <w:r w:rsidRPr="002912F1">
        <w:t xml:space="preserve"> shows the number of sentinel events </w:t>
      </w:r>
      <w:r w:rsidRPr="00003AE9">
        <w:t xml:space="preserve">notified </w:t>
      </w:r>
      <w:r w:rsidR="00003AE9">
        <w:t>in 2018–19</w:t>
      </w:r>
      <w:r w:rsidRPr="00003AE9">
        <w:t xml:space="preserve"> was </w:t>
      </w:r>
      <w:proofErr w:type="gramStart"/>
      <w:r w:rsidRPr="00003AE9">
        <w:t>similar to</w:t>
      </w:r>
      <w:proofErr w:type="gramEnd"/>
      <w:r w:rsidR="003936D8" w:rsidRPr="00003AE9">
        <w:t xml:space="preserve"> 2017–18,</w:t>
      </w:r>
      <w:r w:rsidRPr="00003AE9">
        <w:t xml:space="preserve"> maintaining the level of increased notification </w:t>
      </w:r>
      <w:r w:rsidR="00DB33D2" w:rsidRPr="00003AE9">
        <w:t>that</w:t>
      </w:r>
      <w:r w:rsidR="0018610E" w:rsidRPr="00003AE9">
        <w:t xml:space="preserve"> started</w:t>
      </w:r>
      <w:r w:rsidRPr="00003AE9">
        <w:t xml:space="preserve"> in 2015</w:t>
      </w:r>
      <w:r w:rsidR="00B32F85" w:rsidRPr="00003AE9">
        <w:t>–</w:t>
      </w:r>
      <w:r w:rsidRPr="00003AE9">
        <w:t>16 (</w:t>
      </w:r>
      <w:r w:rsidRPr="00003AE9">
        <w:rPr>
          <w:b/>
        </w:rPr>
        <w:t>Figure 2</w:t>
      </w:r>
      <w:r w:rsidRPr="00003AE9">
        <w:t xml:space="preserve">). With the change in categories and the production of a new guide to sentinel events </w:t>
      </w:r>
      <w:r w:rsidR="0018610E" w:rsidRPr="00003AE9">
        <w:t>we</w:t>
      </w:r>
      <w:r w:rsidRPr="00003AE9">
        <w:t xml:space="preserve"> expect number</w:t>
      </w:r>
      <w:r w:rsidR="005B7420" w:rsidRPr="00003AE9">
        <w:t>s</w:t>
      </w:r>
      <w:r w:rsidRPr="00003AE9">
        <w:t xml:space="preserve"> will increase</w:t>
      </w:r>
      <w:r w:rsidR="00D42F1E" w:rsidRPr="00003AE9">
        <w:t xml:space="preserve"> </w:t>
      </w:r>
      <w:r w:rsidRPr="00003AE9">
        <w:t>in the</w:t>
      </w:r>
      <w:r w:rsidRPr="002912F1">
        <w:t xml:space="preserve"> coming year.</w:t>
      </w:r>
    </w:p>
    <w:p w14:paraId="3B50E8A8" w14:textId="77777777" w:rsidR="002912F1" w:rsidRDefault="002912F1" w:rsidP="0018610E">
      <w:pPr>
        <w:spacing w:after="0"/>
      </w:pPr>
      <w:r>
        <w:rPr>
          <w:noProof/>
        </w:rPr>
        <mc:AlternateContent>
          <mc:Choice Requires="wps">
            <w:drawing>
              <wp:inline distT="0" distB="0" distL="0" distR="0" wp14:anchorId="44263B02" wp14:editId="09B29A97">
                <wp:extent cx="6300000" cy="1764000"/>
                <wp:effectExtent l="0" t="0" r="24765" b="20955"/>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0000" cy="1764000"/>
                        </a:xfrm>
                        <a:prstGeom prst="rect">
                          <a:avLst/>
                        </a:prstGeom>
                        <a:solidFill>
                          <a:schemeClr val="bg2"/>
                        </a:solidFill>
                        <a:ln w="6350">
                          <a:solidFill>
                            <a:schemeClr val="bg2"/>
                          </a:solidFill>
                          <a:miter lim="800000"/>
                          <a:headEnd/>
                          <a:tailEnd/>
                        </a:ln>
                      </wps:spPr>
                      <wps:txbx>
                        <w:txbxContent>
                          <w:p w14:paraId="1460EB01" w14:textId="7B62CA86" w:rsidR="00D14F54" w:rsidRDefault="00D14F54" w:rsidP="0018610E">
                            <w:pPr>
                              <w:pStyle w:val="PulloutText"/>
                              <w:spacing w:before="0"/>
                            </w:pPr>
                            <w:r>
                              <w:t xml:space="preserve">Health services, including services under their governance, must notify SCV of sentinel events within </w:t>
                            </w:r>
                            <w:r w:rsidRPr="002912F1">
                              <w:rPr>
                                <w:b/>
                              </w:rPr>
                              <w:t>three working days</w:t>
                            </w:r>
                            <w:r>
                              <w:t xml:space="preserve"> of becoming aware of them.</w:t>
                            </w:r>
                          </w:p>
                          <w:p w14:paraId="6524328B" w14:textId="77777777" w:rsidR="00D14F54" w:rsidRPr="0018610E" w:rsidRDefault="00D14F54" w:rsidP="002912F1">
                            <w:pPr>
                              <w:pStyle w:val="PulloutText"/>
                              <w:rPr>
                                <w:rFonts w:ascii="VIC Medium" w:hAnsi="VIC Medium"/>
                              </w:rPr>
                            </w:pPr>
                            <w:r>
                              <w:t xml:space="preserve">The eight nationally agreed sentinel event categories are detailed in the table below. Victorian health services are also required to notify under an additional </w:t>
                            </w:r>
                            <w:r w:rsidRPr="0018610E">
                              <w:rPr>
                                <w:rFonts w:ascii="VIC Medium" w:hAnsi="VIC Medium"/>
                              </w:rPr>
                              <w:t>Category 9. Other catastrophic: Incident Severity Rating (ISR) 1.</w:t>
                            </w:r>
                          </w:p>
                          <w:p w14:paraId="38B3ECA4" w14:textId="77777777" w:rsidR="00D14F54" w:rsidRDefault="00D14F54" w:rsidP="002912F1">
                            <w:pPr>
                              <w:pStyle w:val="PulloutText"/>
                            </w:pPr>
                            <w:r w:rsidRPr="002912F1">
                              <w:rPr>
                                <w:b/>
                              </w:rPr>
                              <w:t>If you are unsure</w:t>
                            </w:r>
                            <w:r>
                              <w:t>, please contact sentinel.events@safercare.vic.gov.au or 03 9096 1546.</w:t>
                            </w:r>
                          </w:p>
                        </w:txbxContent>
                      </wps:txbx>
                      <wps:bodyPr rot="0" vert="horz" wrap="square" lIns="180000" tIns="108000" rIns="144000" bIns="36000" anchor="t" anchorCtr="0">
                        <a:spAutoFit/>
                      </wps:bodyPr>
                    </wps:wsp>
                  </a:graphicData>
                </a:graphic>
              </wp:inline>
            </w:drawing>
          </mc:Choice>
          <mc:Fallback>
            <w:pict>
              <v:shape w14:anchorId="44263B02" id="_x0000_s1032" type="#_x0000_t202" style="width:496.05pt;height:138.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39UIAIAAE4EAAAOAAAAZHJzL2Uyb0RvYy54bWysVFFv0zAQfkfiP1h+p0m7Uaao6TQ6ipDG&#10;QNr4AY7tNBa2z9huk/HrOdttGfAEIg+Wzz5/d/d9d1ldT0aTg/RBgW3pfFZTIi0HoeyupV8et6+u&#10;KAmRWcE0WNnSJxno9frli9XoGrmAAbSQniCIDc3oWjrE6JqqCnyQhoUZOGnxsgdvWETT7yrh2Yjo&#10;RleLul5WI3jhPHAZAp7elku6zvh9L3n81PdBRqJbirnFvPq8dmmt1ivW7Dxzg+LHNNg/ZGGYshj0&#10;DHXLIiN7r/6AMop7CNDHGQdTQd8rLnMNWM28/q2ah4E5mWtBcoI70xT+Hyy/P3z2RAnUbkGJZQY1&#10;epRTJG9hIotEz+hCg14PDv3ihMfomksN7g7410AsbAZmd/LGexgHyQSmN08vq2dPC05IIN34EQSG&#10;YfsIGWjqvUncIRsE0VGmp7M0KRWOh8uLOn2UcLybv1leJiPFYM3pufMhvpdgSNq01KP2GZ4d7kIs&#10;rieXFC2AVmKrtM5G6je50Z4cGHZKt8ulI/gvXtqSMaXyui4E/D2CURHbXSvT0qtSECbGmsTaOyvy&#10;PjKlyx7Da3ukMTFXOIxTN2XBlid1OhBPyKuH0t04jbgZwH+nZMTObmn4tmdeUqI/2KRNjoyzUKw6&#10;mZT4Yl1mYkmXrYtlvmKWI1pLIyVlu4l5gjJx7gZl3KpMcNK7JHPMGps2S3QcsDQVz+3s9fM3sP4B&#10;AAD//wMAUEsDBBQABgAIAAAAIQBK82E33wAAAAUBAAAPAAAAZHJzL2Rvd25yZXYueG1sTI9Pa8JA&#10;EMXvQr/DMoVepG4M+C9mI6VQ6aVg1SLexuyYhGZnQ3Y1sZ++217ay8DjPd77TbrqTS2u1LrKsoLx&#10;KAJBnFtdcaFgv3t5nINwHlljbZkU3MjBKrsbpJho2/E7Xbe+EKGEXYIKSu+bREqXl2TQjWxDHLyz&#10;bQ36INtC6ha7UG5qGUfRVBqsOCyU2NBzSfnn9mIUTDrm18P6tt7sd28fk810eHRfpNTDff+0BOGp&#10;939h+MEP6JAFppO9sHaiVhAe8b83eItFPAZxUhDPZnOQWSr/02ffAAAA//8DAFBLAQItABQABgAI&#10;AAAAIQC2gziS/gAAAOEBAAATAAAAAAAAAAAAAAAAAAAAAABbQ29udGVudF9UeXBlc10ueG1sUEsB&#10;Ai0AFAAGAAgAAAAhADj9If/WAAAAlAEAAAsAAAAAAAAAAAAAAAAALwEAAF9yZWxzLy5yZWxzUEsB&#10;Ai0AFAAGAAgAAAAhAGkff1QgAgAATgQAAA4AAAAAAAAAAAAAAAAALgIAAGRycy9lMm9Eb2MueG1s&#10;UEsBAi0AFAAGAAgAAAAhAErzYTffAAAABQEAAA8AAAAAAAAAAAAAAAAAegQAAGRycy9kb3ducmV2&#10;LnhtbFBLBQYAAAAABAAEAPMAAACGBQAAAAA=&#10;" fillcolor="#edf5f7 [3214]" strokecolor="#edf5f7 [3214]" strokeweight=".5pt">
                <v:textbox style="mso-fit-shape-to-text:t" inset="5mm,3mm,4mm,1mm">
                  <w:txbxContent>
                    <w:p w14:paraId="1460EB01" w14:textId="7B62CA86" w:rsidR="00D14F54" w:rsidRDefault="00D14F54" w:rsidP="0018610E">
                      <w:pPr>
                        <w:pStyle w:val="PulloutText"/>
                        <w:spacing w:before="0"/>
                      </w:pPr>
                      <w:r>
                        <w:t xml:space="preserve">Health services, including services under their governance, must notify SCV of sentinel events within </w:t>
                      </w:r>
                      <w:r w:rsidRPr="002912F1">
                        <w:rPr>
                          <w:b/>
                        </w:rPr>
                        <w:t>three working days</w:t>
                      </w:r>
                      <w:r>
                        <w:t xml:space="preserve"> of becoming aware of them.</w:t>
                      </w:r>
                    </w:p>
                    <w:p w14:paraId="6524328B" w14:textId="77777777" w:rsidR="00D14F54" w:rsidRPr="0018610E" w:rsidRDefault="00D14F54" w:rsidP="002912F1">
                      <w:pPr>
                        <w:pStyle w:val="PulloutText"/>
                        <w:rPr>
                          <w:rFonts w:ascii="VIC Medium" w:hAnsi="VIC Medium"/>
                        </w:rPr>
                      </w:pPr>
                      <w:r>
                        <w:t xml:space="preserve">The eight nationally agreed sentinel event categories are detailed in the table below. Victorian health services are also required to notify under an additional </w:t>
                      </w:r>
                      <w:r w:rsidRPr="0018610E">
                        <w:rPr>
                          <w:rFonts w:ascii="VIC Medium" w:hAnsi="VIC Medium"/>
                        </w:rPr>
                        <w:t>Category 9. Other catastrophic: Incident Severity Rating (ISR) 1.</w:t>
                      </w:r>
                    </w:p>
                    <w:p w14:paraId="38B3ECA4" w14:textId="77777777" w:rsidR="00D14F54" w:rsidRDefault="00D14F54" w:rsidP="002912F1">
                      <w:pPr>
                        <w:pStyle w:val="PulloutText"/>
                      </w:pPr>
                      <w:r w:rsidRPr="002912F1">
                        <w:rPr>
                          <w:b/>
                        </w:rPr>
                        <w:t>If you are unsure</w:t>
                      </w:r>
                      <w:r>
                        <w:t>, please contact sentinel.events@safercare.vic.gov.au or 03 9096 1546.</w:t>
                      </w:r>
                    </w:p>
                  </w:txbxContent>
                </v:textbox>
                <w10:anchorlock/>
              </v:shape>
            </w:pict>
          </mc:Fallback>
        </mc:AlternateContent>
      </w:r>
    </w:p>
    <w:p w14:paraId="698A29DD" w14:textId="77777777" w:rsidR="002912F1" w:rsidRPr="002912F1" w:rsidRDefault="002912F1" w:rsidP="0018610E">
      <w:pPr>
        <w:pStyle w:val="Heading2"/>
        <w:spacing w:before="120"/>
      </w:pPr>
      <w:r w:rsidRPr="002912F1">
        <w:t>What health services notified</w:t>
      </w:r>
    </w:p>
    <w:p w14:paraId="7474FEC4" w14:textId="77777777" w:rsidR="002912F1" w:rsidRDefault="002912F1" w:rsidP="0018610E">
      <w:pPr>
        <w:pStyle w:val="Normalfollowingheading"/>
        <w:spacing w:line="240" w:lineRule="atLeast"/>
      </w:pPr>
      <w:r>
        <w:t xml:space="preserve">Between 1 July 2018 and 30 June 2019, 47 health services notified 121 sentinel events. </w:t>
      </w:r>
    </w:p>
    <w:p w14:paraId="475E8C3B" w14:textId="77777777" w:rsidR="002912F1" w:rsidRDefault="002912F1" w:rsidP="0018610E">
      <w:pPr>
        <w:pStyle w:val="Tablechartdiagramheading"/>
        <w:spacing w:before="120" w:after="120"/>
      </w:pPr>
      <w:r w:rsidRPr="002912F1">
        <w:t>Table 1: Number of sentinel events notified by category</w:t>
      </w:r>
    </w:p>
    <w:tbl>
      <w:tblPr>
        <w:tblStyle w:val="TableGrid"/>
        <w:tblW w:w="10505" w:type="dxa"/>
        <w:tblInd w:w="-34" w:type="dxa"/>
        <w:tblLayout w:type="fixed"/>
        <w:tblLook w:val="04A0" w:firstRow="1" w:lastRow="0" w:firstColumn="1" w:lastColumn="0" w:noHBand="0" w:noVBand="1"/>
      </w:tblPr>
      <w:tblGrid>
        <w:gridCol w:w="316"/>
        <w:gridCol w:w="4254"/>
        <w:gridCol w:w="659"/>
        <w:gridCol w:w="659"/>
        <w:gridCol w:w="660"/>
        <w:gridCol w:w="659"/>
        <w:gridCol w:w="660"/>
        <w:gridCol w:w="659"/>
        <w:gridCol w:w="660"/>
        <w:gridCol w:w="659"/>
        <w:gridCol w:w="660"/>
      </w:tblGrid>
      <w:tr w:rsidR="0018610E" w:rsidRPr="0018610E" w14:paraId="68F1FEDC" w14:textId="77777777" w:rsidTr="0018610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70" w:type="dxa"/>
            <w:gridSpan w:val="2"/>
          </w:tcPr>
          <w:p w14:paraId="113683FC" w14:textId="77777777" w:rsidR="002912F1" w:rsidRPr="0018610E" w:rsidRDefault="002912F1" w:rsidP="005B7420">
            <w:pPr>
              <w:spacing w:before="20" w:after="40"/>
              <w:ind w:hanging="11"/>
              <w:rPr>
                <w:szCs w:val="16"/>
              </w:rPr>
            </w:pPr>
            <w:r w:rsidRPr="0018610E">
              <w:rPr>
                <w:szCs w:val="16"/>
              </w:rPr>
              <w:t>Category</w:t>
            </w:r>
          </w:p>
        </w:tc>
        <w:tc>
          <w:tcPr>
            <w:tcW w:w="659" w:type="dxa"/>
            <w:noWrap/>
            <w:hideMark/>
          </w:tcPr>
          <w:p w14:paraId="73721823" w14:textId="77777777" w:rsidR="002912F1" w:rsidRPr="0018610E" w:rsidRDefault="002912F1" w:rsidP="005B7420">
            <w:pPr>
              <w:spacing w:before="20" w:after="40"/>
              <w:cnfStyle w:val="100000000000" w:firstRow="1" w:lastRow="0" w:firstColumn="0" w:lastColumn="0" w:oddVBand="0" w:evenVBand="0" w:oddHBand="0" w:evenHBand="0" w:firstRowFirstColumn="0" w:firstRowLastColumn="0" w:lastRowFirstColumn="0" w:lastRowLastColumn="0"/>
              <w:rPr>
                <w:bCs/>
                <w:szCs w:val="16"/>
              </w:rPr>
            </w:pPr>
            <w:r w:rsidRPr="0018610E">
              <w:rPr>
                <w:bCs/>
                <w:szCs w:val="16"/>
              </w:rPr>
              <w:t>10–11</w:t>
            </w:r>
          </w:p>
        </w:tc>
        <w:tc>
          <w:tcPr>
            <w:tcW w:w="659" w:type="dxa"/>
            <w:noWrap/>
            <w:hideMark/>
          </w:tcPr>
          <w:p w14:paraId="7B14DC64" w14:textId="77777777" w:rsidR="002912F1" w:rsidRPr="0018610E" w:rsidRDefault="002912F1" w:rsidP="005B7420">
            <w:pPr>
              <w:spacing w:before="20" w:after="40"/>
              <w:cnfStyle w:val="100000000000" w:firstRow="1" w:lastRow="0" w:firstColumn="0" w:lastColumn="0" w:oddVBand="0" w:evenVBand="0" w:oddHBand="0" w:evenHBand="0" w:firstRowFirstColumn="0" w:firstRowLastColumn="0" w:lastRowFirstColumn="0" w:lastRowLastColumn="0"/>
              <w:rPr>
                <w:bCs/>
                <w:szCs w:val="16"/>
              </w:rPr>
            </w:pPr>
            <w:r w:rsidRPr="0018610E">
              <w:rPr>
                <w:bCs/>
                <w:szCs w:val="16"/>
              </w:rPr>
              <w:t>11–12</w:t>
            </w:r>
          </w:p>
        </w:tc>
        <w:tc>
          <w:tcPr>
            <w:tcW w:w="660" w:type="dxa"/>
            <w:noWrap/>
            <w:hideMark/>
          </w:tcPr>
          <w:p w14:paraId="6A57D4E6" w14:textId="77777777" w:rsidR="002912F1" w:rsidRPr="0018610E" w:rsidRDefault="002912F1" w:rsidP="005B7420">
            <w:pPr>
              <w:spacing w:before="20" w:after="40"/>
              <w:cnfStyle w:val="100000000000" w:firstRow="1" w:lastRow="0" w:firstColumn="0" w:lastColumn="0" w:oddVBand="0" w:evenVBand="0" w:oddHBand="0" w:evenHBand="0" w:firstRowFirstColumn="0" w:firstRowLastColumn="0" w:lastRowFirstColumn="0" w:lastRowLastColumn="0"/>
              <w:rPr>
                <w:bCs/>
                <w:szCs w:val="16"/>
              </w:rPr>
            </w:pPr>
            <w:r w:rsidRPr="0018610E">
              <w:rPr>
                <w:bCs/>
                <w:szCs w:val="16"/>
              </w:rPr>
              <w:t>12–13</w:t>
            </w:r>
          </w:p>
        </w:tc>
        <w:tc>
          <w:tcPr>
            <w:tcW w:w="659" w:type="dxa"/>
            <w:noWrap/>
            <w:hideMark/>
          </w:tcPr>
          <w:p w14:paraId="468F5D09" w14:textId="77777777" w:rsidR="002912F1" w:rsidRPr="0018610E" w:rsidRDefault="002912F1" w:rsidP="005B7420">
            <w:pPr>
              <w:spacing w:before="20" w:after="40"/>
              <w:cnfStyle w:val="100000000000" w:firstRow="1" w:lastRow="0" w:firstColumn="0" w:lastColumn="0" w:oddVBand="0" w:evenVBand="0" w:oddHBand="0" w:evenHBand="0" w:firstRowFirstColumn="0" w:firstRowLastColumn="0" w:lastRowFirstColumn="0" w:lastRowLastColumn="0"/>
              <w:rPr>
                <w:bCs/>
                <w:szCs w:val="16"/>
              </w:rPr>
            </w:pPr>
            <w:r w:rsidRPr="0018610E">
              <w:rPr>
                <w:bCs/>
                <w:szCs w:val="16"/>
              </w:rPr>
              <w:t>13–14</w:t>
            </w:r>
          </w:p>
        </w:tc>
        <w:tc>
          <w:tcPr>
            <w:tcW w:w="660" w:type="dxa"/>
            <w:noWrap/>
            <w:hideMark/>
          </w:tcPr>
          <w:p w14:paraId="04F1082D" w14:textId="77777777" w:rsidR="002912F1" w:rsidRPr="0018610E" w:rsidRDefault="002912F1" w:rsidP="005B7420">
            <w:pPr>
              <w:spacing w:before="20" w:after="40"/>
              <w:cnfStyle w:val="100000000000" w:firstRow="1" w:lastRow="0" w:firstColumn="0" w:lastColumn="0" w:oddVBand="0" w:evenVBand="0" w:oddHBand="0" w:evenHBand="0" w:firstRowFirstColumn="0" w:firstRowLastColumn="0" w:lastRowFirstColumn="0" w:lastRowLastColumn="0"/>
              <w:rPr>
                <w:bCs/>
                <w:szCs w:val="16"/>
              </w:rPr>
            </w:pPr>
            <w:r w:rsidRPr="0018610E">
              <w:rPr>
                <w:bCs/>
                <w:szCs w:val="16"/>
              </w:rPr>
              <w:t>14–15</w:t>
            </w:r>
          </w:p>
        </w:tc>
        <w:tc>
          <w:tcPr>
            <w:tcW w:w="659" w:type="dxa"/>
            <w:noWrap/>
            <w:hideMark/>
          </w:tcPr>
          <w:p w14:paraId="2DD35B06" w14:textId="77777777" w:rsidR="002912F1" w:rsidRPr="0018610E" w:rsidRDefault="002912F1" w:rsidP="005B7420">
            <w:pPr>
              <w:spacing w:before="20" w:after="40"/>
              <w:cnfStyle w:val="100000000000" w:firstRow="1" w:lastRow="0" w:firstColumn="0" w:lastColumn="0" w:oddVBand="0" w:evenVBand="0" w:oddHBand="0" w:evenHBand="0" w:firstRowFirstColumn="0" w:firstRowLastColumn="0" w:lastRowFirstColumn="0" w:lastRowLastColumn="0"/>
              <w:rPr>
                <w:bCs/>
                <w:szCs w:val="16"/>
              </w:rPr>
            </w:pPr>
            <w:r w:rsidRPr="0018610E">
              <w:rPr>
                <w:bCs/>
                <w:szCs w:val="16"/>
              </w:rPr>
              <w:t>15–16</w:t>
            </w:r>
          </w:p>
        </w:tc>
        <w:tc>
          <w:tcPr>
            <w:tcW w:w="660" w:type="dxa"/>
            <w:noWrap/>
            <w:hideMark/>
          </w:tcPr>
          <w:p w14:paraId="2057C342" w14:textId="77777777" w:rsidR="002912F1" w:rsidRPr="0018610E" w:rsidRDefault="002912F1" w:rsidP="005B7420">
            <w:pPr>
              <w:spacing w:before="20" w:after="40"/>
              <w:cnfStyle w:val="100000000000" w:firstRow="1" w:lastRow="0" w:firstColumn="0" w:lastColumn="0" w:oddVBand="0" w:evenVBand="0" w:oddHBand="0" w:evenHBand="0" w:firstRowFirstColumn="0" w:firstRowLastColumn="0" w:lastRowFirstColumn="0" w:lastRowLastColumn="0"/>
              <w:rPr>
                <w:bCs/>
                <w:szCs w:val="16"/>
              </w:rPr>
            </w:pPr>
            <w:r w:rsidRPr="0018610E">
              <w:rPr>
                <w:bCs/>
                <w:szCs w:val="16"/>
              </w:rPr>
              <w:t>16–17</w:t>
            </w:r>
          </w:p>
        </w:tc>
        <w:tc>
          <w:tcPr>
            <w:tcW w:w="659" w:type="dxa"/>
            <w:noWrap/>
            <w:hideMark/>
          </w:tcPr>
          <w:p w14:paraId="61EA78CA" w14:textId="77777777" w:rsidR="002912F1" w:rsidRPr="0018610E" w:rsidRDefault="002912F1" w:rsidP="005B7420">
            <w:pPr>
              <w:spacing w:before="20" w:after="40"/>
              <w:cnfStyle w:val="100000000000" w:firstRow="1" w:lastRow="0" w:firstColumn="0" w:lastColumn="0" w:oddVBand="0" w:evenVBand="0" w:oddHBand="0" w:evenHBand="0" w:firstRowFirstColumn="0" w:firstRowLastColumn="0" w:lastRowFirstColumn="0" w:lastRowLastColumn="0"/>
              <w:rPr>
                <w:bCs/>
                <w:szCs w:val="16"/>
              </w:rPr>
            </w:pPr>
            <w:r w:rsidRPr="0018610E">
              <w:rPr>
                <w:bCs/>
                <w:szCs w:val="16"/>
              </w:rPr>
              <w:t>17–18</w:t>
            </w:r>
          </w:p>
        </w:tc>
        <w:tc>
          <w:tcPr>
            <w:tcW w:w="660" w:type="dxa"/>
          </w:tcPr>
          <w:p w14:paraId="7B28D7F6" w14:textId="77777777" w:rsidR="002912F1" w:rsidRPr="0018610E" w:rsidRDefault="002912F1" w:rsidP="005B7420">
            <w:pPr>
              <w:spacing w:before="20" w:after="40"/>
              <w:cnfStyle w:val="100000000000" w:firstRow="1" w:lastRow="0" w:firstColumn="0" w:lastColumn="0" w:oddVBand="0" w:evenVBand="0" w:oddHBand="0" w:evenHBand="0" w:firstRowFirstColumn="0" w:firstRowLastColumn="0" w:lastRowFirstColumn="0" w:lastRowLastColumn="0"/>
              <w:rPr>
                <w:bCs/>
                <w:szCs w:val="16"/>
              </w:rPr>
            </w:pPr>
            <w:r w:rsidRPr="0018610E">
              <w:rPr>
                <w:bCs/>
                <w:szCs w:val="16"/>
              </w:rPr>
              <w:t>18-19</w:t>
            </w:r>
          </w:p>
        </w:tc>
      </w:tr>
      <w:tr w:rsidR="0018610E" w:rsidRPr="0018610E" w14:paraId="11E1377C" w14:textId="77777777" w:rsidTr="0018610E">
        <w:trPr>
          <w:trHeight w:val="300"/>
        </w:trPr>
        <w:tc>
          <w:tcPr>
            <w:cnfStyle w:val="001000000000" w:firstRow="0" w:lastRow="0" w:firstColumn="1" w:lastColumn="0" w:oddVBand="0" w:evenVBand="0" w:oddHBand="0" w:evenHBand="0" w:firstRowFirstColumn="0" w:firstRowLastColumn="0" w:lastRowFirstColumn="0" w:lastRowLastColumn="0"/>
            <w:tcW w:w="316" w:type="dxa"/>
          </w:tcPr>
          <w:p w14:paraId="26CB3FED" w14:textId="77777777" w:rsidR="002912F1" w:rsidRPr="0018610E" w:rsidRDefault="002912F1" w:rsidP="005B7420">
            <w:pPr>
              <w:spacing w:before="20" w:after="40"/>
              <w:ind w:hanging="11"/>
              <w:rPr>
                <w:szCs w:val="16"/>
              </w:rPr>
            </w:pPr>
            <w:r w:rsidRPr="0018610E">
              <w:rPr>
                <w:szCs w:val="16"/>
              </w:rPr>
              <w:t>1</w:t>
            </w:r>
          </w:p>
        </w:tc>
        <w:tc>
          <w:tcPr>
            <w:tcW w:w="4254" w:type="dxa"/>
            <w:noWrap/>
            <w:hideMark/>
          </w:tcPr>
          <w:p w14:paraId="5E602031" w14:textId="77777777" w:rsidR="002912F1" w:rsidRPr="0018610E" w:rsidRDefault="002912F1" w:rsidP="005B7420">
            <w:pPr>
              <w:shd w:val="clear" w:color="auto" w:fill="FFFFFF"/>
              <w:spacing w:before="20" w:after="40" w:line="240" w:lineRule="auto"/>
              <w:ind w:left="97" w:hanging="11"/>
              <w:cnfStyle w:val="000000000000" w:firstRow="0" w:lastRow="0" w:firstColumn="0" w:lastColumn="0" w:oddVBand="0" w:evenVBand="0" w:oddHBand="0" w:evenHBand="0" w:firstRowFirstColumn="0" w:firstRowLastColumn="0" w:lastRowFirstColumn="0" w:lastRowLastColumn="0"/>
              <w:rPr>
                <w:rFonts w:eastAsia="Times New Roman" w:cs="Arial"/>
                <w:szCs w:val="16"/>
              </w:rPr>
            </w:pPr>
            <w:r w:rsidRPr="0018610E">
              <w:rPr>
                <w:rFonts w:eastAsia="Times New Roman" w:cs="Arial"/>
                <w:szCs w:val="16"/>
              </w:rPr>
              <w:t>Procedures involving the wrong patient or body part resulting in death or major permanent loss of function</w:t>
            </w:r>
          </w:p>
        </w:tc>
        <w:tc>
          <w:tcPr>
            <w:tcW w:w="659" w:type="dxa"/>
            <w:noWrap/>
            <w:hideMark/>
          </w:tcPr>
          <w:p w14:paraId="28BFE160" w14:textId="77777777" w:rsidR="002912F1" w:rsidRPr="0018610E" w:rsidRDefault="002912F1" w:rsidP="005B7420">
            <w:pPr>
              <w:pStyle w:val="Tabletextright"/>
              <w:spacing w:before="20" w:after="40"/>
              <w:jc w:val="center"/>
              <w:cnfStyle w:val="000000000000" w:firstRow="0" w:lastRow="0" w:firstColumn="0" w:lastColumn="0" w:oddVBand="0" w:evenVBand="0" w:oddHBand="0" w:evenHBand="0" w:firstRowFirstColumn="0" w:firstRowLastColumn="0" w:lastRowFirstColumn="0" w:lastRowLastColumn="0"/>
              <w:rPr>
                <w:szCs w:val="16"/>
              </w:rPr>
            </w:pPr>
            <w:r w:rsidRPr="0018610E">
              <w:rPr>
                <w:szCs w:val="16"/>
              </w:rPr>
              <w:t>1</w:t>
            </w:r>
          </w:p>
        </w:tc>
        <w:tc>
          <w:tcPr>
            <w:tcW w:w="659" w:type="dxa"/>
            <w:noWrap/>
            <w:hideMark/>
          </w:tcPr>
          <w:p w14:paraId="6435F717" w14:textId="77777777" w:rsidR="002912F1" w:rsidRPr="0018610E" w:rsidRDefault="002912F1" w:rsidP="005B7420">
            <w:pPr>
              <w:pStyle w:val="Tabletextright"/>
              <w:spacing w:before="20" w:after="40"/>
              <w:jc w:val="center"/>
              <w:cnfStyle w:val="000000000000" w:firstRow="0" w:lastRow="0" w:firstColumn="0" w:lastColumn="0" w:oddVBand="0" w:evenVBand="0" w:oddHBand="0" w:evenHBand="0" w:firstRowFirstColumn="0" w:firstRowLastColumn="0" w:lastRowFirstColumn="0" w:lastRowLastColumn="0"/>
              <w:rPr>
                <w:szCs w:val="16"/>
              </w:rPr>
            </w:pPr>
            <w:r w:rsidRPr="0018610E">
              <w:rPr>
                <w:szCs w:val="16"/>
              </w:rPr>
              <w:t>1</w:t>
            </w:r>
          </w:p>
        </w:tc>
        <w:tc>
          <w:tcPr>
            <w:tcW w:w="660" w:type="dxa"/>
            <w:noWrap/>
            <w:hideMark/>
          </w:tcPr>
          <w:p w14:paraId="055517AF" w14:textId="77777777" w:rsidR="002912F1" w:rsidRPr="0018610E" w:rsidRDefault="002912F1" w:rsidP="005B7420">
            <w:pPr>
              <w:pStyle w:val="Tabletextright"/>
              <w:spacing w:before="20" w:after="40"/>
              <w:jc w:val="center"/>
              <w:cnfStyle w:val="000000000000" w:firstRow="0" w:lastRow="0" w:firstColumn="0" w:lastColumn="0" w:oddVBand="0" w:evenVBand="0" w:oddHBand="0" w:evenHBand="0" w:firstRowFirstColumn="0" w:firstRowLastColumn="0" w:lastRowFirstColumn="0" w:lastRowLastColumn="0"/>
              <w:rPr>
                <w:szCs w:val="16"/>
              </w:rPr>
            </w:pPr>
            <w:r w:rsidRPr="0018610E">
              <w:rPr>
                <w:szCs w:val="16"/>
              </w:rPr>
              <w:t>0</w:t>
            </w:r>
          </w:p>
        </w:tc>
        <w:tc>
          <w:tcPr>
            <w:tcW w:w="659" w:type="dxa"/>
            <w:noWrap/>
            <w:hideMark/>
          </w:tcPr>
          <w:p w14:paraId="2C7A3E63" w14:textId="77777777" w:rsidR="002912F1" w:rsidRPr="0018610E" w:rsidRDefault="002912F1" w:rsidP="005B7420">
            <w:pPr>
              <w:pStyle w:val="Tabletextright"/>
              <w:spacing w:before="20" w:after="40"/>
              <w:jc w:val="center"/>
              <w:cnfStyle w:val="000000000000" w:firstRow="0" w:lastRow="0" w:firstColumn="0" w:lastColumn="0" w:oddVBand="0" w:evenVBand="0" w:oddHBand="0" w:evenHBand="0" w:firstRowFirstColumn="0" w:firstRowLastColumn="0" w:lastRowFirstColumn="0" w:lastRowLastColumn="0"/>
              <w:rPr>
                <w:szCs w:val="16"/>
              </w:rPr>
            </w:pPr>
            <w:r w:rsidRPr="0018610E">
              <w:rPr>
                <w:szCs w:val="16"/>
              </w:rPr>
              <w:t>0</w:t>
            </w:r>
          </w:p>
        </w:tc>
        <w:tc>
          <w:tcPr>
            <w:tcW w:w="660" w:type="dxa"/>
            <w:noWrap/>
            <w:hideMark/>
          </w:tcPr>
          <w:p w14:paraId="68B81D13" w14:textId="77777777" w:rsidR="002912F1" w:rsidRPr="0018610E" w:rsidRDefault="002912F1" w:rsidP="005B7420">
            <w:pPr>
              <w:pStyle w:val="Tabletextright"/>
              <w:spacing w:before="20" w:after="40"/>
              <w:jc w:val="center"/>
              <w:cnfStyle w:val="000000000000" w:firstRow="0" w:lastRow="0" w:firstColumn="0" w:lastColumn="0" w:oddVBand="0" w:evenVBand="0" w:oddHBand="0" w:evenHBand="0" w:firstRowFirstColumn="0" w:firstRowLastColumn="0" w:lastRowFirstColumn="0" w:lastRowLastColumn="0"/>
              <w:rPr>
                <w:szCs w:val="16"/>
              </w:rPr>
            </w:pPr>
            <w:r w:rsidRPr="0018610E">
              <w:rPr>
                <w:szCs w:val="16"/>
              </w:rPr>
              <w:t>0</w:t>
            </w:r>
          </w:p>
        </w:tc>
        <w:tc>
          <w:tcPr>
            <w:tcW w:w="659" w:type="dxa"/>
            <w:noWrap/>
            <w:hideMark/>
          </w:tcPr>
          <w:p w14:paraId="7A405C2F" w14:textId="77777777" w:rsidR="002912F1" w:rsidRPr="0018610E" w:rsidRDefault="002912F1" w:rsidP="005B7420">
            <w:pPr>
              <w:pStyle w:val="Tabletextright"/>
              <w:spacing w:before="20" w:after="40"/>
              <w:jc w:val="center"/>
              <w:cnfStyle w:val="000000000000" w:firstRow="0" w:lastRow="0" w:firstColumn="0" w:lastColumn="0" w:oddVBand="0" w:evenVBand="0" w:oddHBand="0" w:evenHBand="0" w:firstRowFirstColumn="0" w:firstRowLastColumn="0" w:lastRowFirstColumn="0" w:lastRowLastColumn="0"/>
              <w:rPr>
                <w:szCs w:val="16"/>
              </w:rPr>
            </w:pPr>
            <w:r w:rsidRPr="0018610E">
              <w:rPr>
                <w:szCs w:val="16"/>
              </w:rPr>
              <w:t>0</w:t>
            </w:r>
          </w:p>
        </w:tc>
        <w:tc>
          <w:tcPr>
            <w:tcW w:w="660" w:type="dxa"/>
            <w:noWrap/>
            <w:hideMark/>
          </w:tcPr>
          <w:p w14:paraId="121D61B3" w14:textId="77777777" w:rsidR="002912F1" w:rsidRPr="0018610E" w:rsidRDefault="002912F1" w:rsidP="005B7420">
            <w:pPr>
              <w:pStyle w:val="Tabletextright"/>
              <w:spacing w:before="20" w:after="40"/>
              <w:jc w:val="center"/>
              <w:cnfStyle w:val="000000000000" w:firstRow="0" w:lastRow="0" w:firstColumn="0" w:lastColumn="0" w:oddVBand="0" w:evenVBand="0" w:oddHBand="0" w:evenHBand="0" w:firstRowFirstColumn="0" w:firstRowLastColumn="0" w:lastRowFirstColumn="0" w:lastRowLastColumn="0"/>
              <w:rPr>
                <w:szCs w:val="16"/>
              </w:rPr>
            </w:pPr>
            <w:r w:rsidRPr="0018610E">
              <w:rPr>
                <w:szCs w:val="16"/>
              </w:rPr>
              <w:t>1</w:t>
            </w:r>
          </w:p>
        </w:tc>
        <w:tc>
          <w:tcPr>
            <w:tcW w:w="659" w:type="dxa"/>
            <w:noWrap/>
            <w:hideMark/>
          </w:tcPr>
          <w:p w14:paraId="0C39D5CA" w14:textId="77777777" w:rsidR="002912F1" w:rsidRPr="0018610E" w:rsidRDefault="002912F1" w:rsidP="005B7420">
            <w:pPr>
              <w:pStyle w:val="Tabletextright"/>
              <w:spacing w:before="20" w:after="40"/>
              <w:jc w:val="center"/>
              <w:cnfStyle w:val="000000000000" w:firstRow="0" w:lastRow="0" w:firstColumn="0" w:lastColumn="0" w:oddVBand="0" w:evenVBand="0" w:oddHBand="0" w:evenHBand="0" w:firstRowFirstColumn="0" w:firstRowLastColumn="0" w:lastRowFirstColumn="0" w:lastRowLastColumn="0"/>
              <w:rPr>
                <w:szCs w:val="16"/>
              </w:rPr>
            </w:pPr>
            <w:r w:rsidRPr="0018610E">
              <w:rPr>
                <w:szCs w:val="16"/>
              </w:rPr>
              <w:t>1</w:t>
            </w:r>
          </w:p>
        </w:tc>
        <w:tc>
          <w:tcPr>
            <w:tcW w:w="660" w:type="dxa"/>
          </w:tcPr>
          <w:p w14:paraId="21CB5DFB" w14:textId="77777777" w:rsidR="002912F1" w:rsidRPr="0018610E" w:rsidRDefault="002912F1" w:rsidP="005B7420">
            <w:pPr>
              <w:pStyle w:val="Tabletextright"/>
              <w:spacing w:before="20" w:after="40"/>
              <w:jc w:val="center"/>
              <w:cnfStyle w:val="000000000000" w:firstRow="0" w:lastRow="0" w:firstColumn="0" w:lastColumn="0" w:oddVBand="0" w:evenVBand="0" w:oddHBand="0" w:evenHBand="0" w:firstRowFirstColumn="0" w:firstRowLastColumn="0" w:lastRowFirstColumn="0" w:lastRowLastColumn="0"/>
              <w:rPr>
                <w:szCs w:val="16"/>
              </w:rPr>
            </w:pPr>
            <w:r w:rsidRPr="0018610E">
              <w:rPr>
                <w:szCs w:val="16"/>
              </w:rPr>
              <w:t>1</w:t>
            </w:r>
          </w:p>
        </w:tc>
      </w:tr>
      <w:tr w:rsidR="0018610E" w:rsidRPr="0018610E" w14:paraId="579CB9A1" w14:textId="77777777" w:rsidTr="0018610E">
        <w:trPr>
          <w:trHeight w:val="300"/>
        </w:trPr>
        <w:tc>
          <w:tcPr>
            <w:cnfStyle w:val="001000000000" w:firstRow="0" w:lastRow="0" w:firstColumn="1" w:lastColumn="0" w:oddVBand="0" w:evenVBand="0" w:oddHBand="0" w:evenHBand="0" w:firstRowFirstColumn="0" w:firstRowLastColumn="0" w:lastRowFirstColumn="0" w:lastRowLastColumn="0"/>
            <w:tcW w:w="316" w:type="dxa"/>
          </w:tcPr>
          <w:p w14:paraId="081A4699" w14:textId="77777777" w:rsidR="002912F1" w:rsidRPr="0018610E" w:rsidRDefault="002912F1" w:rsidP="005B7420">
            <w:pPr>
              <w:spacing w:before="20" w:after="40"/>
              <w:ind w:hanging="11"/>
              <w:rPr>
                <w:szCs w:val="16"/>
              </w:rPr>
            </w:pPr>
            <w:r w:rsidRPr="0018610E">
              <w:rPr>
                <w:szCs w:val="16"/>
              </w:rPr>
              <w:t>2</w:t>
            </w:r>
          </w:p>
        </w:tc>
        <w:tc>
          <w:tcPr>
            <w:tcW w:w="4254" w:type="dxa"/>
            <w:noWrap/>
            <w:hideMark/>
          </w:tcPr>
          <w:p w14:paraId="7313180C" w14:textId="77777777" w:rsidR="002912F1" w:rsidRPr="0018610E" w:rsidRDefault="002912F1" w:rsidP="005B7420">
            <w:pPr>
              <w:shd w:val="clear" w:color="auto" w:fill="FFFFFF"/>
              <w:spacing w:before="20" w:after="40" w:line="240" w:lineRule="auto"/>
              <w:ind w:left="97" w:hanging="11"/>
              <w:cnfStyle w:val="000000000000" w:firstRow="0" w:lastRow="0" w:firstColumn="0" w:lastColumn="0" w:oddVBand="0" w:evenVBand="0" w:oddHBand="0" w:evenHBand="0" w:firstRowFirstColumn="0" w:firstRowLastColumn="0" w:lastRowFirstColumn="0" w:lastRowLastColumn="0"/>
              <w:rPr>
                <w:rFonts w:eastAsia="Times New Roman" w:cs="Arial"/>
                <w:szCs w:val="16"/>
              </w:rPr>
            </w:pPr>
            <w:r w:rsidRPr="0018610E">
              <w:rPr>
                <w:rFonts w:eastAsia="Times New Roman" w:cs="Arial"/>
                <w:szCs w:val="16"/>
              </w:rPr>
              <w:t>Suicide of a patient in an inpatient unit</w:t>
            </w:r>
          </w:p>
        </w:tc>
        <w:tc>
          <w:tcPr>
            <w:tcW w:w="659" w:type="dxa"/>
            <w:noWrap/>
            <w:hideMark/>
          </w:tcPr>
          <w:p w14:paraId="3E8E749A" w14:textId="77777777" w:rsidR="002912F1" w:rsidRPr="0018610E" w:rsidRDefault="002912F1" w:rsidP="005B7420">
            <w:pPr>
              <w:pStyle w:val="Tabletextright"/>
              <w:spacing w:before="20" w:after="40"/>
              <w:jc w:val="center"/>
              <w:cnfStyle w:val="000000000000" w:firstRow="0" w:lastRow="0" w:firstColumn="0" w:lastColumn="0" w:oddVBand="0" w:evenVBand="0" w:oddHBand="0" w:evenHBand="0" w:firstRowFirstColumn="0" w:firstRowLastColumn="0" w:lastRowFirstColumn="0" w:lastRowLastColumn="0"/>
              <w:rPr>
                <w:szCs w:val="16"/>
              </w:rPr>
            </w:pPr>
            <w:r w:rsidRPr="0018610E">
              <w:rPr>
                <w:szCs w:val="16"/>
              </w:rPr>
              <w:t>9</w:t>
            </w:r>
          </w:p>
        </w:tc>
        <w:tc>
          <w:tcPr>
            <w:tcW w:w="659" w:type="dxa"/>
            <w:noWrap/>
            <w:hideMark/>
          </w:tcPr>
          <w:p w14:paraId="7A1C15AD" w14:textId="77777777" w:rsidR="002912F1" w:rsidRPr="0018610E" w:rsidRDefault="002912F1" w:rsidP="005B7420">
            <w:pPr>
              <w:pStyle w:val="Tabletextright"/>
              <w:spacing w:before="20" w:after="40"/>
              <w:jc w:val="center"/>
              <w:cnfStyle w:val="000000000000" w:firstRow="0" w:lastRow="0" w:firstColumn="0" w:lastColumn="0" w:oddVBand="0" w:evenVBand="0" w:oddHBand="0" w:evenHBand="0" w:firstRowFirstColumn="0" w:firstRowLastColumn="0" w:lastRowFirstColumn="0" w:lastRowLastColumn="0"/>
              <w:rPr>
                <w:szCs w:val="16"/>
              </w:rPr>
            </w:pPr>
            <w:r w:rsidRPr="0018610E">
              <w:rPr>
                <w:szCs w:val="16"/>
              </w:rPr>
              <w:t>8</w:t>
            </w:r>
          </w:p>
        </w:tc>
        <w:tc>
          <w:tcPr>
            <w:tcW w:w="660" w:type="dxa"/>
            <w:noWrap/>
            <w:hideMark/>
          </w:tcPr>
          <w:p w14:paraId="227896F8" w14:textId="77777777" w:rsidR="002912F1" w:rsidRPr="0018610E" w:rsidRDefault="002912F1" w:rsidP="005B7420">
            <w:pPr>
              <w:pStyle w:val="Tabletextright"/>
              <w:spacing w:before="20" w:after="40"/>
              <w:jc w:val="center"/>
              <w:cnfStyle w:val="000000000000" w:firstRow="0" w:lastRow="0" w:firstColumn="0" w:lastColumn="0" w:oddVBand="0" w:evenVBand="0" w:oddHBand="0" w:evenHBand="0" w:firstRowFirstColumn="0" w:firstRowLastColumn="0" w:lastRowFirstColumn="0" w:lastRowLastColumn="0"/>
              <w:rPr>
                <w:szCs w:val="16"/>
              </w:rPr>
            </w:pPr>
            <w:r w:rsidRPr="0018610E">
              <w:rPr>
                <w:szCs w:val="16"/>
              </w:rPr>
              <w:t>9</w:t>
            </w:r>
          </w:p>
        </w:tc>
        <w:tc>
          <w:tcPr>
            <w:tcW w:w="659" w:type="dxa"/>
            <w:noWrap/>
            <w:hideMark/>
          </w:tcPr>
          <w:p w14:paraId="07446B29" w14:textId="77777777" w:rsidR="002912F1" w:rsidRPr="0018610E" w:rsidRDefault="002912F1" w:rsidP="005B7420">
            <w:pPr>
              <w:pStyle w:val="Tabletextright"/>
              <w:spacing w:before="20" w:after="40"/>
              <w:jc w:val="center"/>
              <w:cnfStyle w:val="000000000000" w:firstRow="0" w:lastRow="0" w:firstColumn="0" w:lastColumn="0" w:oddVBand="0" w:evenVBand="0" w:oddHBand="0" w:evenHBand="0" w:firstRowFirstColumn="0" w:firstRowLastColumn="0" w:lastRowFirstColumn="0" w:lastRowLastColumn="0"/>
              <w:rPr>
                <w:szCs w:val="16"/>
              </w:rPr>
            </w:pPr>
            <w:r w:rsidRPr="0018610E">
              <w:rPr>
                <w:szCs w:val="16"/>
              </w:rPr>
              <w:t>8</w:t>
            </w:r>
          </w:p>
        </w:tc>
        <w:tc>
          <w:tcPr>
            <w:tcW w:w="660" w:type="dxa"/>
            <w:noWrap/>
            <w:hideMark/>
          </w:tcPr>
          <w:p w14:paraId="66CFA6CF" w14:textId="77777777" w:rsidR="002912F1" w:rsidRPr="0018610E" w:rsidRDefault="002912F1" w:rsidP="005B7420">
            <w:pPr>
              <w:pStyle w:val="Tabletextright"/>
              <w:spacing w:before="20" w:after="40"/>
              <w:jc w:val="center"/>
              <w:cnfStyle w:val="000000000000" w:firstRow="0" w:lastRow="0" w:firstColumn="0" w:lastColumn="0" w:oddVBand="0" w:evenVBand="0" w:oddHBand="0" w:evenHBand="0" w:firstRowFirstColumn="0" w:firstRowLastColumn="0" w:lastRowFirstColumn="0" w:lastRowLastColumn="0"/>
              <w:rPr>
                <w:szCs w:val="16"/>
              </w:rPr>
            </w:pPr>
            <w:r w:rsidRPr="0018610E">
              <w:rPr>
                <w:szCs w:val="16"/>
              </w:rPr>
              <w:t>4</w:t>
            </w:r>
          </w:p>
        </w:tc>
        <w:tc>
          <w:tcPr>
            <w:tcW w:w="659" w:type="dxa"/>
            <w:noWrap/>
            <w:hideMark/>
          </w:tcPr>
          <w:p w14:paraId="473F45C4" w14:textId="77777777" w:rsidR="002912F1" w:rsidRPr="0018610E" w:rsidRDefault="002912F1" w:rsidP="005B7420">
            <w:pPr>
              <w:pStyle w:val="Tabletextright"/>
              <w:spacing w:before="20" w:after="40"/>
              <w:jc w:val="center"/>
              <w:cnfStyle w:val="000000000000" w:firstRow="0" w:lastRow="0" w:firstColumn="0" w:lastColumn="0" w:oddVBand="0" w:evenVBand="0" w:oddHBand="0" w:evenHBand="0" w:firstRowFirstColumn="0" w:firstRowLastColumn="0" w:lastRowFirstColumn="0" w:lastRowLastColumn="0"/>
              <w:rPr>
                <w:szCs w:val="16"/>
              </w:rPr>
            </w:pPr>
            <w:r w:rsidRPr="0018610E">
              <w:rPr>
                <w:szCs w:val="16"/>
              </w:rPr>
              <w:t>7</w:t>
            </w:r>
          </w:p>
        </w:tc>
        <w:tc>
          <w:tcPr>
            <w:tcW w:w="660" w:type="dxa"/>
            <w:noWrap/>
            <w:hideMark/>
          </w:tcPr>
          <w:p w14:paraId="61643FA0" w14:textId="77777777" w:rsidR="002912F1" w:rsidRPr="0018610E" w:rsidRDefault="002912F1" w:rsidP="005B7420">
            <w:pPr>
              <w:pStyle w:val="Tabletextright"/>
              <w:spacing w:before="20" w:after="40"/>
              <w:jc w:val="center"/>
              <w:cnfStyle w:val="000000000000" w:firstRow="0" w:lastRow="0" w:firstColumn="0" w:lastColumn="0" w:oddVBand="0" w:evenVBand="0" w:oddHBand="0" w:evenHBand="0" w:firstRowFirstColumn="0" w:firstRowLastColumn="0" w:lastRowFirstColumn="0" w:lastRowLastColumn="0"/>
              <w:rPr>
                <w:szCs w:val="16"/>
              </w:rPr>
            </w:pPr>
            <w:r w:rsidRPr="0018610E">
              <w:rPr>
                <w:szCs w:val="16"/>
              </w:rPr>
              <w:t>7</w:t>
            </w:r>
          </w:p>
        </w:tc>
        <w:tc>
          <w:tcPr>
            <w:tcW w:w="659" w:type="dxa"/>
            <w:noWrap/>
            <w:hideMark/>
          </w:tcPr>
          <w:p w14:paraId="5DE9CBA5" w14:textId="77777777" w:rsidR="002912F1" w:rsidRPr="0018610E" w:rsidRDefault="002912F1" w:rsidP="005B7420">
            <w:pPr>
              <w:pStyle w:val="Tabletextright"/>
              <w:spacing w:before="20" w:after="40"/>
              <w:jc w:val="center"/>
              <w:cnfStyle w:val="000000000000" w:firstRow="0" w:lastRow="0" w:firstColumn="0" w:lastColumn="0" w:oddVBand="0" w:evenVBand="0" w:oddHBand="0" w:evenHBand="0" w:firstRowFirstColumn="0" w:firstRowLastColumn="0" w:lastRowFirstColumn="0" w:lastRowLastColumn="0"/>
              <w:rPr>
                <w:szCs w:val="16"/>
              </w:rPr>
            </w:pPr>
            <w:r w:rsidRPr="0018610E">
              <w:rPr>
                <w:szCs w:val="16"/>
              </w:rPr>
              <w:t>7</w:t>
            </w:r>
          </w:p>
        </w:tc>
        <w:tc>
          <w:tcPr>
            <w:tcW w:w="660" w:type="dxa"/>
          </w:tcPr>
          <w:p w14:paraId="6D364FB5" w14:textId="77777777" w:rsidR="002912F1" w:rsidRPr="0018610E" w:rsidRDefault="002912F1" w:rsidP="005B7420">
            <w:pPr>
              <w:pStyle w:val="Tabletextright"/>
              <w:spacing w:before="20" w:after="40"/>
              <w:jc w:val="center"/>
              <w:cnfStyle w:val="000000000000" w:firstRow="0" w:lastRow="0" w:firstColumn="0" w:lastColumn="0" w:oddVBand="0" w:evenVBand="0" w:oddHBand="0" w:evenHBand="0" w:firstRowFirstColumn="0" w:firstRowLastColumn="0" w:lastRowFirstColumn="0" w:lastRowLastColumn="0"/>
              <w:rPr>
                <w:szCs w:val="16"/>
              </w:rPr>
            </w:pPr>
            <w:r w:rsidRPr="0018610E">
              <w:rPr>
                <w:szCs w:val="16"/>
              </w:rPr>
              <w:t>5</w:t>
            </w:r>
          </w:p>
        </w:tc>
      </w:tr>
      <w:tr w:rsidR="0018610E" w:rsidRPr="0018610E" w14:paraId="294877E7" w14:textId="77777777" w:rsidTr="0018610E">
        <w:trPr>
          <w:trHeight w:val="300"/>
        </w:trPr>
        <w:tc>
          <w:tcPr>
            <w:cnfStyle w:val="001000000000" w:firstRow="0" w:lastRow="0" w:firstColumn="1" w:lastColumn="0" w:oddVBand="0" w:evenVBand="0" w:oddHBand="0" w:evenHBand="0" w:firstRowFirstColumn="0" w:firstRowLastColumn="0" w:lastRowFirstColumn="0" w:lastRowLastColumn="0"/>
            <w:tcW w:w="316" w:type="dxa"/>
          </w:tcPr>
          <w:p w14:paraId="328A3E77" w14:textId="77777777" w:rsidR="002912F1" w:rsidRPr="0018610E" w:rsidRDefault="002912F1" w:rsidP="005B7420">
            <w:pPr>
              <w:spacing w:before="20" w:after="40"/>
              <w:ind w:hanging="11"/>
              <w:rPr>
                <w:szCs w:val="16"/>
              </w:rPr>
            </w:pPr>
            <w:r w:rsidRPr="0018610E">
              <w:rPr>
                <w:szCs w:val="16"/>
              </w:rPr>
              <w:t>3</w:t>
            </w:r>
          </w:p>
        </w:tc>
        <w:tc>
          <w:tcPr>
            <w:tcW w:w="4254" w:type="dxa"/>
            <w:noWrap/>
            <w:hideMark/>
          </w:tcPr>
          <w:p w14:paraId="7C8B210F" w14:textId="77777777" w:rsidR="002912F1" w:rsidRPr="0018610E" w:rsidRDefault="002912F1" w:rsidP="005B7420">
            <w:pPr>
              <w:shd w:val="clear" w:color="auto" w:fill="FFFFFF"/>
              <w:spacing w:before="20" w:after="40" w:line="240" w:lineRule="auto"/>
              <w:ind w:left="97" w:hanging="11"/>
              <w:cnfStyle w:val="000000000000" w:firstRow="0" w:lastRow="0" w:firstColumn="0" w:lastColumn="0" w:oddVBand="0" w:evenVBand="0" w:oddHBand="0" w:evenHBand="0" w:firstRowFirstColumn="0" w:firstRowLastColumn="0" w:lastRowFirstColumn="0" w:lastRowLastColumn="0"/>
              <w:rPr>
                <w:rFonts w:eastAsia="Times New Roman" w:cs="Arial"/>
                <w:szCs w:val="16"/>
              </w:rPr>
            </w:pPr>
            <w:r w:rsidRPr="0018610E">
              <w:rPr>
                <w:rFonts w:eastAsia="Times New Roman" w:cs="Arial"/>
                <w:szCs w:val="16"/>
              </w:rPr>
              <w:t xml:space="preserve">Retained </w:t>
            </w:r>
            <w:r w:rsidRPr="0018610E">
              <w:rPr>
                <w:szCs w:val="16"/>
              </w:rPr>
              <w:t xml:space="preserve">(un-retrieved) </w:t>
            </w:r>
            <w:r w:rsidRPr="0018610E">
              <w:rPr>
                <w:rFonts w:eastAsia="Times New Roman" w:cs="Arial"/>
                <w:szCs w:val="16"/>
              </w:rPr>
              <w:t>instruments or other material after surgery requiring re-operation or further surgical procedure</w:t>
            </w:r>
          </w:p>
        </w:tc>
        <w:tc>
          <w:tcPr>
            <w:tcW w:w="659" w:type="dxa"/>
            <w:noWrap/>
            <w:hideMark/>
          </w:tcPr>
          <w:p w14:paraId="008047BF" w14:textId="77777777" w:rsidR="002912F1" w:rsidRPr="0018610E" w:rsidRDefault="002912F1" w:rsidP="005B7420">
            <w:pPr>
              <w:pStyle w:val="Tabletextright"/>
              <w:spacing w:before="20" w:after="40"/>
              <w:jc w:val="center"/>
              <w:cnfStyle w:val="000000000000" w:firstRow="0" w:lastRow="0" w:firstColumn="0" w:lastColumn="0" w:oddVBand="0" w:evenVBand="0" w:oddHBand="0" w:evenHBand="0" w:firstRowFirstColumn="0" w:firstRowLastColumn="0" w:lastRowFirstColumn="0" w:lastRowLastColumn="0"/>
              <w:rPr>
                <w:szCs w:val="16"/>
              </w:rPr>
            </w:pPr>
            <w:r w:rsidRPr="0018610E">
              <w:rPr>
                <w:szCs w:val="16"/>
              </w:rPr>
              <w:t>5</w:t>
            </w:r>
          </w:p>
        </w:tc>
        <w:tc>
          <w:tcPr>
            <w:tcW w:w="659" w:type="dxa"/>
            <w:noWrap/>
            <w:hideMark/>
          </w:tcPr>
          <w:p w14:paraId="544D1146" w14:textId="77777777" w:rsidR="002912F1" w:rsidRPr="0018610E" w:rsidRDefault="002912F1" w:rsidP="005B7420">
            <w:pPr>
              <w:pStyle w:val="Tabletextright"/>
              <w:spacing w:before="20" w:after="40"/>
              <w:jc w:val="center"/>
              <w:cnfStyle w:val="000000000000" w:firstRow="0" w:lastRow="0" w:firstColumn="0" w:lastColumn="0" w:oddVBand="0" w:evenVBand="0" w:oddHBand="0" w:evenHBand="0" w:firstRowFirstColumn="0" w:firstRowLastColumn="0" w:lastRowFirstColumn="0" w:lastRowLastColumn="0"/>
              <w:rPr>
                <w:szCs w:val="16"/>
              </w:rPr>
            </w:pPr>
            <w:r w:rsidRPr="0018610E">
              <w:rPr>
                <w:szCs w:val="16"/>
              </w:rPr>
              <w:t>7</w:t>
            </w:r>
          </w:p>
        </w:tc>
        <w:tc>
          <w:tcPr>
            <w:tcW w:w="660" w:type="dxa"/>
            <w:noWrap/>
            <w:hideMark/>
          </w:tcPr>
          <w:p w14:paraId="2B9C8EB0" w14:textId="77777777" w:rsidR="002912F1" w:rsidRPr="0018610E" w:rsidRDefault="002912F1" w:rsidP="005B7420">
            <w:pPr>
              <w:pStyle w:val="Tabletextright"/>
              <w:spacing w:before="20" w:after="40"/>
              <w:jc w:val="center"/>
              <w:cnfStyle w:val="000000000000" w:firstRow="0" w:lastRow="0" w:firstColumn="0" w:lastColumn="0" w:oddVBand="0" w:evenVBand="0" w:oddHBand="0" w:evenHBand="0" w:firstRowFirstColumn="0" w:firstRowLastColumn="0" w:lastRowFirstColumn="0" w:lastRowLastColumn="0"/>
              <w:rPr>
                <w:szCs w:val="16"/>
              </w:rPr>
            </w:pPr>
            <w:r w:rsidRPr="0018610E">
              <w:rPr>
                <w:szCs w:val="16"/>
              </w:rPr>
              <w:t>6</w:t>
            </w:r>
          </w:p>
        </w:tc>
        <w:tc>
          <w:tcPr>
            <w:tcW w:w="659" w:type="dxa"/>
            <w:noWrap/>
            <w:hideMark/>
          </w:tcPr>
          <w:p w14:paraId="301AB63A" w14:textId="77777777" w:rsidR="002912F1" w:rsidRPr="0018610E" w:rsidRDefault="002912F1" w:rsidP="005B7420">
            <w:pPr>
              <w:pStyle w:val="Tabletextright"/>
              <w:spacing w:before="20" w:after="40"/>
              <w:jc w:val="center"/>
              <w:cnfStyle w:val="000000000000" w:firstRow="0" w:lastRow="0" w:firstColumn="0" w:lastColumn="0" w:oddVBand="0" w:evenVBand="0" w:oddHBand="0" w:evenHBand="0" w:firstRowFirstColumn="0" w:firstRowLastColumn="0" w:lastRowFirstColumn="0" w:lastRowLastColumn="0"/>
              <w:rPr>
                <w:szCs w:val="16"/>
              </w:rPr>
            </w:pPr>
            <w:r w:rsidRPr="0018610E">
              <w:rPr>
                <w:szCs w:val="16"/>
              </w:rPr>
              <w:t>6</w:t>
            </w:r>
          </w:p>
        </w:tc>
        <w:tc>
          <w:tcPr>
            <w:tcW w:w="660" w:type="dxa"/>
            <w:noWrap/>
            <w:hideMark/>
          </w:tcPr>
          <w:p w14:paraId="0BCDA312" w14:textId="77777777" w:rsidR="002912F1" w:rsidRPr="0018610E" w:rsidRDefault="002912F1" w:rsidP="005B7420">
            <w:pPr>
              <w:pStyle w:val="Tabletextright"/>
              <w:spacing w:before="20" w:after="40"/>
              <w:jc w:val="center"/>
              <w:cnfStyle w:val="000000000000" w:firstRow="0" w:lastRow="0" w:firstColumn="0" w:lastColumn="0" w:oddVBand="0" w:evenVBand="0" w:oddHBand="0" w:evenHBand="0" w:firstRowFirstColumn="0" w:firstRowLastColumn="0" w:lastRowFirstColumn="0" w:lastRowLastColumn="0"/>
              <w:rPr>
                <w:szCs w:val="16"/>
              </w:rPr>
            </w:pPr>
            <w:r w:rsidRPr="0018610E">
              <w:rPr>
                <w:szCs w:val="16"/>
              </w:rPr>
              <w:t>6</w:t>
            </w:r>
          </w:p>
        </w:tc>
        <w:tc>
          <w:tcPr>
            <w:tcW w:w="659" w:type="dxa"/>
            <w:noWrap/>
            <w:hideMark/>
          </w:tcPr>
          <w:p w14:paraId="6AF58E67" w14:textId="77777777" w:rsidR="002912F1" w:rsidRPr="0018610E" w:rsidRDefault="002912F1" w:rsidP="005B7420">
            <w:pPr>
              <w:pStyle w:val="Tabletextright"/>
              <w:spacing w:before="20" w:after="40"/>
              <w:jc w:val="center"/>
              <w:cnfStyle w:val="000000000000" w:firstRow="0" w:lastRow="0" w:firstColumn="0" w:lastColumn="0" w:oddVBand="0" w:evenVBand="0" w:oddHBand="0" w:evenHBand="0" w:firstRowFirstColumn="0" w:firstRowLastColumn="0" w:lastRowFirstColumn="0" w:lastRowLastColumn="0"/>
              <w:rPr>
                <w:szCs w:val="16"/>
              </w:rPr>
            </w:pPr>
            <w:r w:rsidRPr="0018610E">
              <w:rPr>
                <w:szCs w:val="16"/>
              </w:rPr>
              <w:t>7</w:t>
            </w:r>
          </w:p>
        </w:tc>
        <w:tc>
          <w:tcPr>
            <w:tcW w:w="660" w:type="dxa"/>
            <w:noWrap/>
            <w:hideMark/>
          </w:tcPr>
          <w:p w14:paraId="6964ED57" w14:textId="77777777" w:rsidR="002912F1" w:rsidRPr="0018610E" w:rsidRDefault="002912F1" w:rsidP="005B7420">
            <w:pPr>
              <w:pStyle w:val="Tabletextright"/>
              <w:spacing w:before="20" w:after="40"/>
              <w:jc w:val="center"/>
              <w:cnfStyle w:val="000000000000" w:firstRow="0" w:lastRow="0" w:firstColumn="0" w:lastColumn="0" w:oddVBand="0" w:evenVBand="0" w:oddHBand="0" w:evenHBand="0" w:firstRowFirstColumn="0" w:firstRowLastColumn="0" w:lastRowFirstColumn="0" w:lastRowLastColumn="0"/>
              <w:rPr>
                <w:szCs w:val="16"/>
              </w:rPr>
            </w:pPr>
            <w:r w:rsidRPr="0018610E">
              <w:rPr>
                <w:szCs w:val="16"/>
              </w:rPr>
              <w:t>7</w:t>
            </w:r>
          </w:p>
        </w:tc>
        <w:tc>
          <w:tcPr>
            <w:tcW w:w="659" w:type="dxa"/>
            <w:noWrap/>
            <w:hideMark/>
          </w:tcPr>
          <w:p w14:paraId="5FF22069" w14:textId="77777777" w:rsidR="002912F1" w:rsidRPr="0018610E" w:rsidRDefault="002912F1" w:rsidP="005B7420">
            <w:pPr>
              <w:pStyle w:val="Tabletextright"/>
              <w:spacing w:before="20" w:after="40"/>
              <w:jc w:val="center"/>
              <w:cnfStyle w:val="000000000000" w:firstRow="0" w:lastRow="0" w:firstColumn="0" w:lastColumn="0" w:oddVBand="0" w:evenVBand="0" w:oddHBand="0" w:evenHBand="0" w:firstRowFirstColumn="0" w:firstRowLastColumn="0" w:lastRowFirstColumn="0" w:lastRowLastColumn="0"/>
              <w:rPr>
                <w:szCs w:val="16"/>
              </w:rPr>
            </w:pPr>
            <w:r w:rsidRPr="0018610E">
              <w:rPr>
                <w:szCs w:val="16"/>
              </w:rPr>
              <w:t>12</w:t>
            </w:r>
          </w:p>
        </w:tc>
        <w:tc>
          <w:tcPr>
            <w:tcW w:w="660" w:type="dxa"/>
          </w:tcPr>
          <w:p w14:paraId="66D23502" w14:textId="77777777" w:rsidR="002912F1" w:rsidRPr="0018610E" w:rsidRDefault="002912F1" w:rsidP="005B7420">
            <w:pPr>
              <w:pStyle w:val="Tabletextright"/>
              <w:spacing w:before="20" w:after="40"/>
              <w:jc w:val="center"/>
              <w:cnfStyle w:val="000000000000" w:firstRow="0" w:lastRow="0" w:firstColumn="0" w:lastColumn="0" w:oddVBand="0" w:evenVBand="0" w:oddHBand="0" w:evenHBand="0" w:firstRowFirstColumn="0" w:firstRowLastColumn="0" w:lastRowFirstColumn="0" w:lastRowLastColumn="0"/>
              <w:rPr>
                <w:szCs w:val="16"/>
              </w:rPr>
            </w:pPr>
            <w:r w:rsidRPr="0018610E">
              <w:rPr>
                <w:szCs w:val="16"/>
              </w:rPr>
              <w:t>10</w:t>
            </w:r>
          </w:p>
        </w:tc>
      </w:tr>
      <w:tr w:rsidR="0018610E" w:rsidRPr="0018610E" w14:paraId="68BC1CE2" w14:textId="77777777" w:rsidTr="0018610E">
        <w:trPr>
          <w:trHeight w:val="300"/>
        </w:trPr>
        <w:tc>
          <w:tcPr>
            <w:cnfStyle w:val="001000000000" w:firstRow="0" w:lastRow="0" w:firstColumn="1" w:lastColumn="0" w:oddVBand="0" w:evenVBand="0" w:oddHBand="0" w:evenHBand="0" w:firstRowFirstColumn="0" w:firstRowLastColumn="0" w:lastRowFirstColumn="0" w:lastRowLastColumn="0"/>
            <w:tcW w:w="316" w:type="dxa"/>
          </w:tcPr>
          <w:p w14:paraId="5C2C9B27" w14:textId="77777777" w:rsidR="002912F1" w:rsidRPr="0018610E" w:rsidRDefault="002912F1" w:rsidP="005B7420">
            <w:pPr>
              <w:spacing w:before="20" w:after="40"/>
              <w:ind w:hanging="11"/>
              <w:rPr>
                <w:szCs w:val="16"/>
              </w:rPr>
            </w:pPr>
            <w:r w:rsidRPr="0018610E">
              <w:rPr>
                <w:szCs w:val="16"/>
              </w:rPr>
              <w:t>4</w:t>
            </w:r>
          </w:p>
        </w:tc>
        <w:tc>
          <w:tcPr>
            <w:tcW w:w="4254" w:type="dxa"/>
            <w:noWrap/>
            <w:hideMark/>
          </w:tcPr>
          <w:p w14:paraId="364916E3" w14:textId="77777777" w:rsidR="002912F1" w:rsidRPr="0018610E" w:rsidRDefault="002912F1" w:rsidP="005B7420">
            <w:pPr>
              <w:shd w:val="clear" w:color="auto" w:fill="FFFFFF"/>
              <w:spacing w:before="20" w:after="40" w:line="240" w:lineRule="auto"/>
              <w:ind w:left="97" w:hanging="11"/>
              <w:cnfStyle w:val="000000000000" w:firstRow="0" w:lastRow="0" w:firstColumn="0" w:lastColumn="0" w:oddVBand="0" w:evenVBand="0" w:oddHBand="0" w:evenHBand="0" w:firstRowFirstColumn="0" w:firstRowLastColumn="0" w:lastRowFirstColumn="0" w:lastRowLastColumn="0"/>
              <w:rPr>
                <w:rFonts w:eastAsia="Times New Roman" w:cs="Arial"/>
                <w:szCs w:val="16"/>
              </w:rPr>
            </w:pPr>
            <w:bookmarkStart w:id="0" w:name="_Hlk23929833"/>
            <w:r w:rsidRPr="0018610E">
              <w:rPr>
                <w:rFonts w:eastAsia="Times New Roman" w:cs="Arial"/>
                <w:szCs w:val="16"/>
              </w:rPr>
              <w:t>Intravascular gas embolism resulting in death or neurological damage</w:t>
            </w:r>
            <w:bookmarkEnd w:id="0"/>
          </w:p>
        </w:tc>
        <w:tc>
          <w:tcPr>
            <w:tcW w:w="659" w:type="dxa"/>
            <w:noWrap/>
            <w:hideMark/>
          </w:tcPr>
          <w:p w14:paraId="2CFFD5A3" w14:textId="77777777" w:rsidR="002912F1" w:rsidRPr="0018610E" w:rsidRDefault="002912F1" w:rsidP="005B7420">
            <w:pPr>
              <w:pStyle w:val="Tabletextright"/>
              <w:spacing w:before="20" w:after="40"/>
              <w:jc w:val="center"/>
              <w:cnfStyle w:val="000000000000" w:firstRow="0" w:lastRow="0" w:firstColumn="0" w:lastColumn="0" w:oddVBand="0" w:evenVBand="0" w:oddHBand="0" w:evenHBand="0" w:firstRowFirstColumn="0" w:firstRowLastColumn="0" w:lastRowFirstColumn="0" w:lastRowLastColumn="0"/>
              <w:rPr>
                <w:szCs w:val="16"/>
              </w:rPr>
            </w:pPr>
            <w:r w:rsidRPr="0018610E">
              <w:rPr>
                <w:szCs w:val="16"/>
              </w:rPr>
              <w:t>1</w:t>
            </w:r>
          </w:p>
        </w:tc>
        <w:tc>
          <w:tcPr>
            <w:tcW w:w="659" w:type="dxa"/>
            <w:noWrap/>
            <w:hideMark/>
          </w:tcPr>
          <w:p w14:paraId="6DB39984" w14:textId="77777777" w:rsidR="002912F1" w:rsidRPr="0018610E" w:rsidRDefault="002912F1" w:rsidP="005B7420">
            <w:pPr>
              <w:pStyle w:val="Tabletextright"/>
              <w:spacing w:before="20" w:after="40"/>
              <w:jc w:val="center"/>
              <w:cnfStyle w:val="000000000000" w:firstRow="0" w:lastRow="0" w:firstColumn="0" w:lastColumn="0" w:oddVBand="0" w:evenVBand="0" w:oddHBand="0" w:evenHBand="0" w:firstRowFirstColumn="0" w:firstRowLastColumn="0" w:lastRowFirstColumn="0" w:lastRowLastColumn="0"/>
              <w:rPr>
                <w:szCs w:val="16"/>
              </w:rPr>
            </w:pPr>
            <w:r w:rsidRPr="0018610E">
              <w:rPr>
                <w:szCs w:val="16"/>
              </w:rPr>
              <w:t>0</w:t>
            </w:r>
          </w:p>
        </w:tc>
        <w:tc>
          <w:tcPr>
            <w:tcW w:w="660" w:type="dxa"/>
            <w:noWrap/>
            <w:hideMark/>
          </w:tcPr>
          <w:p w14:paraId="1E154BD9" w14:textId="77777777" w:rsidR="002912F1" w:rsidRPr="0018610E" w:rsidRDefault="002912F1" w:rsidP="005B7420">
            <w:pPr>
              <w:pStyle w:val="Tabletextright"/>
              <w:spacing w:before="20" w:after="40"/>
              <w:jc w:val="center"/>
              <w:cnfStyle w:val="000000000000" w:firstRow="0" w:lastRow="0" w:firstColumn="0" w:lastColumn="0" w:oddVBand="0" w:evenVBand="0" w:oddHBand="0" w:evenHBand="0" w:firstRowFirstColumn="0" w:firstRowLastColumn="0" w:lastRowFirstColumn="0" w:lastRowLastColumn="0"/>
              <w:rPr>
                <w:szCs w:val="16"/>
              </w:rPr>
            </w:pPr>
            <w:r w:rsidRPr="0018610E">
              <w:rPr>
                <w:szCs w:val="16"/>
              </w:rPr>
              <w:t>0</w:t>
            </w:r>
          </w:p>
        </w:tc>
        <w:tc>
          <w:tcPr>
            <w:tcW w:w="659" w:type="dxa"/>
            <w:noWrap/>
            <w:hideMark/>
          </w:tcPr>
          <w:p w14:paraId="320B9714" w14:textId="77777777" w:rsidR="002912F1" w:rsidRPr="0018610E" w:rsidRDefault="002912F1" w:rsidP="005B7420">
            <w:pPr>
              <w:pStyle w:val="Tabletextright"/>
              <w:spacing w:before="20" w:after="40"/>
              <w:jc w:val="center"/>
              <w:cnfStyle w:val="000000000000" w:firstRow="0" w:lastRow="0" w:firstColumn="0" w:lastColumn="0" w:oddVBand="0" w:evenVBand="0" w:oddHBand="0" w:evenHBand="0" w:firstRowFirstColumn="0" w:firstRowLastColumn="0" w:lastRowFirstColumn="0" w:lastRowLastColumn="0"/>
              <w:rPr>
                <w:szCs w:val="16"/>
              </w:rPr>
            </w:pPr>
            <w:r w:rsidRPr="0018610E">
              <w:rPr>
                <w:szCs w:val="16"/>
              </w:rPr>
              <w:t>1</w:t>
            </w:r>
          </w:p>
        </w:tc>
        <w:tc>
          <w:tcPr>
            <w:tcW w:w="660" w:type="dxa"/>
            <w:noWrap/>
            <w:hideMark/>
          </w:tcPr>
          <w:p w14:paraId="01AFAC8B" w14:textId="77777777" w:rsidR="002912F1" w:rsidRPr="0018610E" w:rsidRDefault="002912F1" w:rsidP="005B7420">
            <w:pPr>
              <w:pStyle w:val="Tabletextright"/>
              <w:spacing w:before="20" w:after="40"/>
              <w:jc w:val="center"/>
              <w:cnfStyle w:val="000000000000" w:firstRow="0" w:lastRow="0" w:firstColumn="0" w:lastColumn="0" w:oddVBand="0" w:evenVBand="0" w:oddHBand="0" w:evenHBand="0" w:firstRowFirstColumn="0" w:firstRowLastColumn="0" w:lastRowFirstColumn="0" w:lastRowLastColumn="0"/>
              <w:rPr>
                <w:szCs w:val="16"/>
              </w:rPr>
            </w:pPr>
            <w:r w:rsidRPr="0018610E">
              <w:rPr>
                <w:szCs w:val="16"/>
              </w:rPr>
              <w:t>0</w:t>
            </w:r>
          </w:p>
        </w:tc>
        <w:tc>
          <w:tcPr>
            <w:tcW w:w="659" w:type="dxa"/>
            <w:noWrap/>
            <w:hideMark/>
          </w:tcPr>
          <w:p w14:paraId="4B7AEE8B" w14:textId="77777777" w:rsidR="002912F1" w:rsidRPr="0018610E" w:rsidRDefault="002912F1" w:rsidP="005B7420">
            <w:pPr>
              <w:pStyle w:val="Tabletextright"/>
              <w:spacing w:before="20" w:after="40"/>
              <w:jc w:val="center"/>
              <w:cnfStyle w:val="000000000000" w:firstRow="0" w:lastRow="0" w:firstColumn="0" w:lastColumn="0" w:oddVBand="0" w:evenVBand="0" w:oddHBand="0" w:evenHBand="0" w:firstRowFirstColumn="0" w:firstRowLastColumn="0" w:lastRowFirstColumn="0" w:lastRowLastColumn="0"/>
              <w:rPr>
                <w:szCs w:val="16"/>
              </w:rPr>
            </w:pPr>
            <w:r w:rsidRPr="0018610E">
              <w:rPr>
                <w:szCs w:val="16"/>
              </w:rPr>
              <w:t>1</w:t>
            </w:r>
          </w:p>
        </w:tc>
        <w:tc>
          <w:tcPr>
            <w:tcW w:w="660" w:type="dxa"/>
            <w:noWrap/>
            <w:hideMark/>
          </w:tcPr>
          <w:p w14:paraId="461E1E1E" w14:textId="77777777" w:rsidR="002912F1" w:rsidRPr="0018610E" w:rsidRDefault="002912F1" w:rsidP="005B7420">
            <w:pPr>
              <w:pStyle w:val="Tabletextright"/>
              <w:spacing w:before="20" w:after="40"/>
              <w:jc w:val="center"/>
              <w:cnfStyle w:val="000000000000" w:firstRow="0" w:lastRow="0" w:firstColumn="0" w:lastColumn="0" w:oddVBand="0" w:evenVBand="0" w:oddHBand="0" w:evenHBand="0" w:firstRowFirstColumn="0" w:firstRowLastColumn="0" w:lastRowFirstColumn="0" w:lastRowLastColumn="0"/>
              <w:rPr>
                <w:szCs w:val="16"/>
              </w:rPr>
            </w:pPr>
            <w:r w:rsidRPr="0018610E">
              <w:rPr>
                <w:szCs w:val="16"/>
              </w:rPr>
              <w:t>2</w:t>
            </w:r>
          </w:p>
        </w:tc>
        <w:tc>
          <w:tcPr>
            <w:tcW w:w="659" w:type="dxa"/>
            <w:noWrap/>
            <w:hideMark/>
          </w:tcPr>
          <w:p w14:paraId="0C764AA8" w14:textId="77777777" w:rsidR="002912F1" w:rsidRPr="0018610E" w:rsidRDefault="002912F1" w:rsidP="005B7420">
            <w:pPr>
              <w:pStyle w:val="Tabletextright"/>
              <w:spacing w:before="20" w:after="40"/>
              <w:jc w:val="center"/>
              <w:cnfStyle w:val="000000000000" w:firstRow="0" w:lastRow="0" w:firstColumn="0" w:lastColumn="0" w:oddVBand="0" w:evenVBand="0" w:oddHBand="0" w:evenHBand="0" w:firstRowFirstColumn="0" w:firstRowLastColumn="0" w:lastRowFirstColumn="0" w:lastRowLastColumn="0"/>
              <w:rPr>
                <w:szCs w:val="16"/>
              </w:rPr>
            </w:pPr>
            <w:r w:rsidRPr="0018610E">
              <w:rPr>
                <w:szCs w:val="16"/>
              </w:rPr>
              <w:t>0</w:t>
            </w:r>
          </w:p>
        </w:tc>
        <w:tc>
          <w:tcPr>
            <w:tcW w:w="660" w:type="dxa"/>
          </w:tcPr>
          <w:p w14:paraId="311AB5C5" w14:textId="77777777" w:rsidR="002912F1" w:rsidRPr="0018610E" w:rsidRDefault="002912F1" w:rsidP="005B7420">
            <w:pPr>
              <w:pStyle w:val="Tabletextright"/>
              <w:spacing w:before="20" w:after="40"/>
              <w:jc w:val="center"/>
              <w:cnfStyle w:val="000000000000" w:firstRow="0" w:lastRow="0" w:firstColumn="0" w:lastColumn="0" w:oddVBand="0" w:evenVBand="0" w:oddHBand="0" w:evenHBand="0" w:firstRowFirstColumn="0" w:firstRowLastColumn="0" w:lastRowFirstColumn="0" w:lastRowLastColumn="0"/>
              <w:rPr>
                <w:szCs w:val="16"/>
              </w:rPr>
            </w:pPr>
            <w:r w:rsidRPr="0018610E">
              <w:rPr>
                <w:szCs w:val="16"/>
              </w:rPr>
              <w:t>1</w:t>
            </w:r>
          </w:p>
        </w:tc>
      </w:tr>
      <w:tr w:rsidR="0018610E" w:rsidRPr="0018610E" w14:paraId="68DB2697" w14:textId="77777777" w:rsidTr="0018610E">
        <w:trPr>
          <w:trHeight w:val="300"/>
        </w:trPr>
        <w:tc>
          <w:tcPr>
            <w:cnfStyle w:val="001000000000" w:firstRow="0" w:lastRow="0" w:firstColumn="1" w:lastColumn="0" w:oddVBand="0" w:evenVBand="0" w:oddHBand="0" w:evenHBand="0" w:firstRowFirstColumn="0" w:firstRowLastColumn="0" w:lastRowFirstColumn="0" w:lastRowLastColumn="0"/>
            <w:tcW w:w="316" w:type="dxa"/>
          </w:tcPr>
          <w:p w14:paraId="13ACED89" w14:textId="77777777" w:rsidR="002912F1" w:rsidRPr="0018610E" w:rsidRDefault="002912F1" w:rsidP="005B7420">
            <w:pPr>
              <w:spacing w:before="20" w:after="40"/>
              <w:ind w:hanging="11"/>
              <w:rPr>
                <w:szCs w:val="16"/>
              </w:rPr>
            </w:pPr>
            <w:r w:rsidRPr="0018610E">
              <w:rPr>
                <w:szCs w:val="16"/>
              </w:rPr>
              <w:t>5</w:t>
            </w:r>
          </w:p>
        </w:tc>
        <w:tc>
          <w:tcPr>
            <w:tcW w:w="4254" w:type="dxa"/>
            <w:noWrap/>
            <w:hideMark/>
          </w:tcPr>
          <w:p w14:paraId="6C2155AB" w14:textId="77777777" w:rsidR="002912F1" w:rsidRPr="0018610E" w:rsidRDefault="002912F1" w:rsidP="005B7420">
            <w:pPr>
              <w:shd w:val="clear" w:color="auto" w:fill="FFFFFF"/>
              <w:spacing w:before="20" w:after="40" w:line="240" w:lineRule="auto"/>
              <w:ind w:left="97" w:hanging="11"/>
              <w:cnfStyle w:val="000000000000" w:firstRow="0" w:lastRow="0" w:firstColumn="0" w:lastColumn="0" w:oddVBand="0" w:evenVBand="0" w:oddHBand="0" w:evenHBand="0" w:firstRowFirstColumn="0" w:firstRowLastColumn="0" w:lastRowFirstColumn="0" w:lastRowLastColumn="0"/>
              <w:rPr>
                <w:rFonts w:eastAsia="Times New Roman" w:cs="Arial"/>
                <w:szCs w:val="16"/>
              </w:rPr>
            </w:pPr>
            <w:bookmarkStart w:id="1" w:name="_Hlk23919704"/>
            <w:r w:rsidRPr="0018610E">
              <w:rPr>
                <w:rFonts w:eastAsia="Times New Roman" w:cs="Arial"/>
                <w:szCs w:val="16"/>
              </w:rPr>
              <w:t>Haemolytic blood transfusion reaction resulting from incompatibility</w:t>
            </w:r>
            <w:bookmarkEnd w:id="1"/>
          </w:p>
        </w:tc>
        <w:tc>
          <w:tcPr>
            <w:tcW w:w="659" w:type="dxa"/>
            <w:noWrap/>
            <w:hideMark/>
          </w:tcPr>
          <w:p w14:paraId="55E0641A" w14:textId="77777777" w:rsidR="002912F1" w:rsidRPr="0018610E" w:rsidRDefault="002912F1" w:rsidP="005B7420">
            <w:pPr>
              <w:pStyle w:val="Tabletextright"/>
              <w:spacing w:before="20" w:after="40"/>
              <w:jc w:val="center"/>
              <w:cnfStyle w:val="000000000000" w:firstRow="0" w:lastRow="0" w:firstColumn="0" w:lastColumn="0" w:oddVBand="0" w:evenVBand="0" w:oddHBand="0" w:evenHBand="0" w:firstRowFirstColumn="0" w:firstRowLastColumn="0" w:lastRowFirstColumn="0" w:lastRowLastColumn="0"/>
              <w:rPr>
                <w:szCs w:val="16"/>
              </w:rPr>
            </w:pPr>
            <w:r w:rsidRPr="0018610E">
              <w:rPr>
                <w:szCs w:val="16"/>
              </w:rPr>
              <w:t>1</w:t>
            </w:r>
          </w:p>
        </w:tc>
        <w:tc>
          <w:tcPr>
            <w:tcW w:w="659" w:type="dxa"/>
            <w:noWrap/>
            <w:hideMark/>
          </w:tcPr>
          <w:p w14:paraId="1C6D1157" w14:textId="77777777" w:rsidR="002912F1" w:rsidRPr="0018610E" w:rsidRDefault="002912F1" w:rsidP="005B7420">
            <w:pPr>
              <w:pStyle w:val="Tabletextright"/>
              <w:spacing w:before="20" w:after="40"/>
              <w:jc w:val="center"/>
              <w:cnfStyle w:val="000000000000" w:firstRow="0" w:lastRow="0" w:firstColumn="0" w:lastColumn="0" w:oddVBand="0" w:evenVBand="0" w:oddHBand="0" w:evenHBand="0" w:firstRowFirstColumn="0" w:firstRowLastColumn="0" w:lastRowFirstColumn="0" w:lastRowLastColumn="0"/>
              <w:rPr>
                <w:szCs w:val="16"/>
              </w:rPr>
            </w:pPr>
            <w:r w:rsidRPr="0018610E">
              <w:rPr>
                <w:szCs w:val="16"/>
              </w:rPr>
              <w:t>0</w:t>
            </w:r>
          </w:p>
        </w:tc>
        <w:tc>
          <w:tcPr>
            <w:tcW w:w="660" w:type="dxa"/>
            <w:noWrap/>
            <w:hideMark/>
          </w:tcPr>
          <w:p w14:paraId="1F3EEC8E" w14:textId="77777777" w:rsidR="002912F1" w:rsidRPr="0018610E" w:rsidRDefault="002912F1" w:rsidP="005B7420">
            <w:pPr>
              <w:pStyle w:val="Tabletextright"/>
              <w:spacing w:before="20" w:after="40"/>
              <w:jc w:val="center"/>
              <w:cnfStyle w:val="000000000000" w:firstRow="0" w:lastRow="0" w:firstColumn="0" w:lastColumn="0" w:oddVBand="0" w:evenVBand="0" w:oddHBand="0" w:evenHBand="0" w:firstRowFirstColumn="0" w:firstRowLastColumn="0" w:lastRowFirstColumn="0" w:lastRowLastColumn="0"/>
              <w:rPr>
                <w:szCs w:val="16"/>
              </w:rPr>
            </w:pPr>
            <w:r w:rsidRPr="0018610E">
              <w:rPr>
                <w:szCs w:val="16"/>
              </w:rPr>
              <w:t>0</w:t>
            </w:r>
          </w:p>
        </w:tc>
        <w:tc>
          <w:tcPr>
            <w:tcW w:w="659" w:type="dxa"/>
            <w:noWrap/>
            <w:hideMark/>
          </w:tcPr>
          <w:p w14:paraId="4C05D508" w14:textId="77777777" w:rsidR="002912F1" w:rsidRPr="0018610E" w:rsidRDefault="002912F1" w:rsidP="005B7420">
            <w:pPr>
              <w:pStyle w:val="Tabletextright"/>
              <w:spacing w:before="20" w:after="40"/>
              <w:jc w:val="center"/>
              <w:cnfStyle w:val="000000000000" w:firstRow="0" w:lastRow="0" w:firstColumn="0" w:lastColumn="0" w:oddVBand="0" w:evenVBand="0" w:oddHBand="0" w:evenHBand="0" w:firstRowFirstColumn="0" w:firstRowLastColumn="0" w:lastRowFirstColumn="0" w:lastRowLastColumn="0"/>
              <w:rPr>
                <w:szCs w:val="16"/>
              </w:rPr>
            </w:pPr>
            <w:r w:rsidRPr="0018610E">
              <w:rPr>
                <w:szCs w:val="16"/>
              </w:rPr>
              <w:t>0</w:t>
            </w:r>
          </w:p>
        </w:tc>
        <w:tc>
          <w:tcPr>
            <w:tcW w:w="660" w:type="dxa"/>
            <w:noWrap/>
            <w:hideMark/>
          </w:tcPr>
          <w:p w14:paraId="16CA7EC2" w14:textId="77777777" w:rsidR="002912F1" w:rsidRPr="0018610E" w:rsidRDefault="002912F1" w:rsidP="005B7420">
            <w:pPr>
              <w:pStyle w:val="Tabletextright"/>
              <w:spacing w:before="20" w:after="40"/>
              <w:jc w:val="center"/>
              <w:cnfStyle w:val="000000000000" w:firstRow="0" w:lastRow="0" w:firstColumn="0" w:lastColumn="0" w:oddVBand="0" w:evenVBand="0" w:oddHBand="0" w:evenHBand="0" w:firstRowFirstColumn="0" w:firstRowLastColumn="0" w:lastRowFirstColumn="0" w:lastRowLastColumn="0"/>
              <w:rPr>
                <w:szCs w:val="16"/>
              </w:rPr>
            </w:pPr>
            <w:r w:rsidRPr="0018610E">
              <w:rPr>
                <w:szCs w:val="16"/>
              </w:rPr>
              <w:t>0</w:t>
            </w:r>
          </w:p>
        </w:tc>
        <w:tc>
          <w:tcPr>
            <w:tcW w:w="659" w:type="dxa"/>
            <w:noWrap/>
            <w:hideMark/>
          </w:tcPr>
          <w:p w14:paraId="716D8CB3" w14:textId="77777777" w:rsidR="002912F1" w:rsidRPr="0018610E" w:rsidRDefault="002912F1" w:rsidP="005B7420">
            <w:pPr>
              <w:pStyle w:val="Tabletextright"/>
              <w:spacing w:before="20" w:after="40"/>
              <w:jc w:val="center"/>
              <w:cnfStyle w:val="000000000000" w:firstRow="0" w:lastRow="0" w:firstColumn="0" w:lastColumn="0" w:oddVBand="0" w:evenVBand="0" w:oddHBand="0" w:evenHBand="0" w:firstRowFirstColumn="0" w:firstRowLastColumn="0" w:lastRowFirstColumn="0" w:lastRowLastColumn="0"/>
              <w:rPr>
                <w:szCs w:val="16"/>
              </w:rPr>
            </w:pPr>
            <w:r w:rsidRPr="0018610E">
              <w:rPr>
                <w:szCs w:val="16"/>
              </w:rPr>
              <w:t>0</w:t>
            </w:r>
          </w:p>
        </w:tc>
        <w:tc>
          <w:tcPr>
            <w:tcW w:w="660" w:type="dxa"/>
            <w:noWrap/>
            <w:hideMark/>
          </w:tcPr>
          <w:p w14:paraId="12BBA006" w14:textId="77777777" w:rsidR="002912F1" w:rsidRPr="0018610E" w:rsidRDefault="002912F1" w:rsidP="005B7420">
            <w:pPr>
              <w:pStyle w:val="Tabletextright"/>
              <w:spacing w:before="20" w:after="40"/>
              <w:jc w:val="center"/>
              <w:cnfStyle w:val="000000000000" w:firstRow="0" w:lastRow="0" w:firstColumn="0" w:lastColumn="0" w:oddVBand="0" w:evenVBand="0" w:oddHBand="0" w:evenHBand="0" w:firstRowFirstColumn="0" w:firstRowLastColumn="0" w:lastRowFirstColumn="0" w:lastRowLastColumn="0"/>
              <w:rPr>
                <w:szCs w:val="16"/>
              </w:rPr>
            </w:pPr>
            <w:r w:rsidRPr="0018610E">
              <w:rPr>
                <w:szCs w:val="16"/>
              </w:rPr>
              <w:t>0</w:t>
            </w:r>
          </w:p>
        </w:tc>
        <w:tc>
          <w:tcPr>
            <w:tcW w:w="659" w:type="dxa"/>
            <w:noWrap/>
            <w:hideMark/>
          </w:tcPr>
          <w:p w14:paraId="42F6B65C" w14:textId="77777777" w:rsidR="002912F1" w:rsidRPr="0018610E" w:rsidRDefault="002912F1" w:rsidP="005B7420">
            <w:pPr>
              <w:pStyle w:val="Tabletextright"/>
              <w:spacing w:before="20" w:after="40"/>
              <w:jc w:val="center"/>
              <w:cnfStyle w:val="000000000000" w:firstRow="0" w:lastRow="0" w:firstColumn="0" w:lastColumn="0" w:oddVBand="0" w:evenVBand="0" w:oddHBand="0" w:evenHBand="0" w:firstRowFirstColumn="0" w:firstRowLastColumn="0" w:lastRowFirstColumn="0" w:lastRowLastColumn="0"/>
              <w:rPr>
                <w:szCs w:val="16"/>
              </w:rPr>
            </w:pPr>
            <w:r w:rsidRPr="0018610E">
              <w:rPr>
                <w:szCs w:val="16"/>
              </w:rPr>
              <w:t>2</w:t>
            </w:r>
          </w:p>
        </w:tc>
        <w:tc>
          <w:tcPr>
            <w:tcW w:w="660" w:type="dxa"/>
          </w:tcPr>
          <w:p w14:paraId="0DBEB966" w14:textId="77777777" w:rsidR="002912F1" w:rsidRPr="0018610E" w:rsidRDefault="002912F1" w:rsidP="005B7420">
            <w:pPr>
              <w:pStyle w:val="Tabletextright"/>
              <w:spacing w:before="20" w:after="40"/>
              <w:jc w:val="center"/>
              <w:cnfStyle w:val="000000000000" w:firstRow="0" w:lastRow="0" w:firstColumn="0" w:lastColumn="0" w:oddVBand="0" w:evenVBand="0" w:oddHBand="0" w:evenHBand="0" w:firstRowFirstColumn="0" w:firstRowLastColumn="0" w:lastRowFirstColumn="0" w:lastRowLastColumn="0"/>
              <w:rPr>
                <w:szCs w:val="16"/>
              </w:rPr>
            </w:pPr>
            <w:r w:rsidRPr="0018610E">
              <w:rPr>
                <w:szCs w:val="16"/>
              </w:rPr>
              <w:t>0</w:t>
            </w:r>
          </w:p>
        </w:tc>
      </w:tr>
      <w:tr w:rsidR="0018610E" w:rsidRPr="0018610E" w14:paraId="18DAB3D6" w14:textId="77777777" w:rsidTr="0018610E">
        <w:trPr>
          <w:trHeight w:val="300"/>
        </w:trPr>
        <w:tc>
          <w:tcPr>
            <w:cnfStyle w:val="001000000000" w:firstRow="0" w:lastRow="0" w:firstColumn="1" w:lastColumn="0" w:oddVBand="0" w:evenVBand="0" w:oddHBand="0" w:evenHBand="0" w:firstRowFirstColumn="0" w:firstRowLastColumn="0" w:lastRowFirstColumn="0" w:lastRowLastColumn="0"/>
            <w:tcW w:w="316" w:type="dxa"/>
          </w:tcPr>
          <w:p w14:paraId="3A6452F6" w14:textId="77777777" w:rsidR="002912F1" w:rsidRPr="0018610E" w:rsidRDefault="002912F1" w:rsidP="005B7420">
            <w:pPr>
              <w:spacing w:before="20" w:after="40"/>
              <w:ind w:hanging="11"/>
              <w:rPr>
                <w:szCs w:val="16"/>
              </w:rPr>
            </w:pPr>
            <w:r w:rsidRPr="0018610E">
              <w:rPr>
                <w:szCs w:val="16"/>
              </w:rPr>
              <w:t>6</w:t>
            </w:r>
          </w:p>
        </w:tc>
        <w:tc>
          <w:tcPr>
            <w:tcW w:w="4254" w:type="dxa"/>
            <w:noWrap/>
            <w:hideMark/>
          </w:tcPr>
          <w:p w14:paraId="35CF749F" w14:textId="77777777" w:rsidR="002912F1" w:rsidRPr="0018610E" w:rsidRDefault="002912F1" w:rsidP="005B7420">
            <w:pPr>
              <w:shd w:val="clear" w:color="auto" w:fill="FFFFFF"/>
              <w:spacing w:before="20" w:after="40" w:line="240" w:lineRule="auto"/>
              <w:ind w:left="97" w:hanging="11"/>
              <w:cnfStyle w:val="000000000000" w:firstRow="0" w:lastRow="0" w:firstColumn="0" w:lastColumn="0" w:oddVBand="0" w:evenVBand="0" w:oddHBand="0" w:evenHBand="0" w:firstRowFirstColumn="0" w:firstRowLastColumn="0" w:lastRowFirstColumn="0" w:lastRowLastColumn="0"/>
              <w:rPr>
                <w:rFonts w:eastAsia="Times New Roman" w:cs="Arial"/>
                <w:szCs w:val="16"/>
              </w:rPr>
            </w:pPr>
            <w:bookmarkStart w:id="2" w:name="_Hlk23919548"/>
            <w:r w:rsidRPr="0018610E">
              <w:rPr>
                <w:rFonts w:eastAsia="Times New Roman" w:cs="Arial"/>
                <w:szCs w:val="16"/>
              </w:rPr>
              <w:t>Medication error leading to the death of a patient reasonably believed to be due to incorrect administration of drugs</w:t>
            </w:r>
            <w:bookmarkEnd w:id="2"/>
          </w:p>
        </w:tc>
        <w:tc>
          <w:tcPr>
            <w:tcW w:w="659" w:type="dxa"/>
            <w:noWrap/>
            <w:hideMark/>
          </w:tcPr>
          <w:p w14:paraId="72B9B5A6" w14:textId="77777777" w:rsidR="002912F1" w:rsidRPr="0018610E" w:rsidRDefault="002912F1" w:rsidP="005B7420">
            <w:pPr>
              <w:pStyle w:val="Tabletextright"/>
              <w:spacing w:before="20" w:after="40"/>
              <w:jc w:val="center"/>
              <w:cnfStyle w:val="000000000000" w:firstRow="0" w:lastRow="0" w:firstColumn="0" w:lastColumn="0" w:oddVBand="0" w:evenVBand="0" w:oddHBand="0" w:evenHBand="0" w:firstRowFirstColumn="0" w:firstRowLastColumn="0" w:lastRowFirstColumn="0" w:lastRowLastColumn="0"/>
              <w:rPr>
                <w:szCs w:val="16"/>
              </w:rPr>
            </w:pPr>
            <w:r w:rsidRPr="0018610E">
              <w:rPr>
                <w:szCs w:val="16"/>
              </w:rPr>
              <w:t>2</w:t>
            </w:r>
          </w:p>
        </w:tc>
        <w:tc>
          <w:tcPr>
            <w:tcW w:w="659" w:type="dxa"/>
            <w:noWrap/>
            <w:hideMark/>
          </w:tcPr>
          <w:p w14:paraId="597AA2DB" w14:textId="77777777" w:rsidR="002912F1" w:rsidRPr="0018610E" w:rsidRDefault="002912F1" w:rsidP="005B7420">
            <w:pPr>
              <w:pStyle w:val="Tabletextright"/>
              <w:spacing w:before="20" w:after="40"/>
              <w:jc w:val="center"/>
              <w:cnfStyle w:val="000000000000" w:firstRow="0" w:lastRow="0" w:firstColumn="0" w:lastColumn="0" w:oddVBand="0" w:evenVBand="0" w:oddHBand="0" w:evenHBand="0" w:firstRowFirstColumn="0" w:firstRowLastColumn="0" w:lastRowFirstColumn="0" w:lastRowLastColumn="0"/>
              <w:rPr>
                <w:szCs w:val="16"/>
              </w:rPr>
            </w:pPr>
            <w:r w:rsidRPr="0018610E">
              <w:rPr>
                <w:szCs w:val="16"/>
              </w:rPr>
              <w:t>4</w:t>
            </w:r>
          </w:p>
        </w:tc>
        <w:tc>
          <w:tcPr>
            <w:tcW w:w="660" w:type="dxa"/>
            <w:noWrap/>
            <w:hideMark/>
          </w:tcPr>
          <w:p w14:paraId="50C687A5" w14:textId="77777777" w:rsidR="002912F1" w:rsidRPr="0018610E" w:rsidRDefault="002912F1" w:rsidP="005B7420">
            <w:pPr>
              <w:pStyle w:val="Tabletextright"/>
              <w:spacing w:before="20" w:after="40"/>
              <w:jc w:val="center"/>
              <w:cnfStyle w:val="000000000000" w:firstRow="0" w:lastRow="0" w:firstColumn="0" w:lastColumn="0" w:oddVBand="0" w:evenVBand="0" w:oddHBand="0" w:evenHBand="0" w:firstRowFirstColumn="0" w:firstRowLastColumn="0" w:lastRowFirstColumn="0" w:lastRowLastColumn="0"/>
              <w:rPr>
                <w:szCs w:val="16"/>
              </w:rPr>
            </w:pPr>
            <w:r w:rsidRPr="0018610E">
              <w:rPr>
                <w:szCs w:val="16"/>
              </w:rPr>
              <w:t>1</w:t>
            </w:r>
          </w:p>
        </w:tc>
        <w:tc>
          <w:tcPr>
            <w:tcW w:w="659" w:type="dxa"/>
            <w:noWrap/>
            <w:hideMark/>
          </w:tcPr>
          <w:p w14:paraId="6B4EA7D8" w14:textId="77777777" w:rsidR="002912F1" w:rsidRPr="0018610E" w:rsidRDefault="002912F1" w:rsidP="005B7420">
            <w:pPr>
              <w:pStyle w:val="Tabletextright"/>
              <w:spacing w:before="20" w:after="40"/>
              <w:jc w:val="center"/>
              <w:cnfStyle w:val="000000000000" w:firstRow="0" w:lastRow="0" w:firstColumn="0" w:lastColumn="0" w:oddVBand="0" w:evenVBand="0" w:oddHBand="0" w:evenHBand="0" w:firstRowFirstColumn="0" w:firstRowLastColumn="0" w:lastRowFirstColumn="0" w:lastRowLastColumn="0"/>
              <w:rPr>
                <w:szCs w:val="16"/>
              </w:rPr>
            </w:pPr>
            <w:r w:rsidRPr="0018610E">
              <w:rPr>
                <w:szCs w:val="16"/>
              </w:rPr>
              <w:t>3</w:t>
            </w:r>
          </w:p>
        </w:tc>
        <w:tc>
          <w:tcPr>
            <w:tcW w:w="660" w:type="dxa"/>
            <w:noWrap/>
            <w:hideMark/>
          </w:tcPr>
          <w:p w14:paraId="438A00AE" w14:textId="77777777" w:rsidR="002912F1" w:rsidRPr="0018610E" w:rsidRDefault="002912F1" w:rsidP="005B7420">
            <w:pPr>
              <w:pStyle w:val="Tabletextright"/>
              <w:spacing w:before="20" w:after="40"/>
              <w:jc w:val="center"/>
              <w:cnfStyle w:val="000000000000" w:firstRow="0" w:lastRow="0" w:firstColumn="0" w:lastColumn="0" w:oddVBand="0" w:evenVBand="0" w:oddHBand="0" w:evenHBand="0" w:firstRowFirstColumn="0" w:firstRowLastColumn="0" w:lastRowFirstColumn="0" w:lastRowLastColumn="0"/>
              <w:rPr>
                <w:szCs w:val="16"/>
              </w:rPr>
            </w:pPr>
            <w:r w:rsidRPr="0018610E">
              <w:rPr>
                <w:szCs w:val="16"/>
              </w:rPr>
              <w:t>7</w:t>
            </w:r>
          </w:p>
        </w:tc>
        <w:tc>
          <w:tcPr>
            <w:tcW w:w="659" w:type="dxa"/>
            <w:noWrap/>
            <w:hideMark/>
          </w:tcPr>
          <w:p w14:paraId="2048ECC1" w14:textId="77777777" w:rsidR="002912F1" w:rsidRPr="0018610E" w:rsidRDefault="002912F1" w:rsidP="005B7420">
            <w:pPr>
              <w:pStyle w:val="Tabletextright"/>
              <w:spacing w:before="20" w:after="40"/>
              <w:jc w:val="center"/>
              <w:cnfStyle w:val="000000000000" w:firstRow="0" w:lastRow="0" w:firstColumn="0" w:lastColumn="0" w:oddVBand="0" w:evenVBand="0" w:oddHBand="0" w:evenHBand="0" w:firstRowFirstColumn="0" w:firstRowLastColumn="0" w:lastRowFirstColumn="0" w:lastRowLastColumn="0"/>
              <w:rPr>
                <w:szCs w:val="16"/>
              </w:rPr>
            </w:pPr>
            <w:r w:rsidRPr="0018610E">
              <w:rPr>
                <w:szCs w:val="16"/>
              </w:rPr>
              <w:t>1</w:t>
            </w:r>
          </w:p>
        </w:tc>
        <w:tc>
          <w:tcPr>
            <w:tcW w:w="660" w:type="dxa"/>
            <w:noWrap/>
            <w:hideMark/>
          </w:tcPr>
          <w:p w14:paraId="28AF5DEA" w14:textId="77777777" w:rsidR="002912F1" w:rsidRPr="0018610E" w:rsidRDefault="002912F1" w:rsidP="005B7420">
            <w:pPr>
              <w:pStyle w:val="Tabletextright"/>
              <w:spacing w:before="20" w:after="40"/>
              <w:jc w:val="center"/>
              <w:cnfStyle w:val="000000000000" w:firstRow="0" w:lastRow="0" w:firstColumn="0" w:lastColumn="0" w:oddVBand="0" w:evenVBand="0" w:oddHBand="0" w:evenHBand="0" w:firstRowFirstColumn="0" w:firstRowLastColumn="0" w:lastRowFirstColumn="0" w:lastRowLastColumn="0"/>
              <w:rPr>
                <w:szCs w:val="16"/>
              </w:rPr>
            </w:pPr>
            <w:r w:rsidRPr="0018610E">
              <w:rPr>
                <w:szCs w:val="16"/>
              </w:rPr>
              <w:t>3</w:t>
            </w:r>
          </w:p>
        </w:tc>
        <w:tc>
          <w:tcPr>
            <w:tcW w:w="659" w:type="dxa"/>
            <w:noWrap/>
            <w:hideMark/>
          </w:tcPr>
          <w:p w14:paraId="6AB29D84" w14:textId="77777777" w:rsidR="002912F1" w:rsidRPr="0018610E" w:rsidRDefault="002912F1" w:rsidP="005B7420">
            <w:pPr>
              <w:pStyle w:val="Tabletextright"/>
              <w:spacing w:before="20" w:after="40"/>
              <w:jc w:val="center"/>
              <w:cnfStyle w:val="000000000000" w:firstRow="0" w:lastRow="0" w:firstColumn="0" w:lastColumn="0" w:oddVBand="0" w:evenVBand="0" w:oddHBand="0" w:evenHBand="0" w:firstRowFirstColumn="0" w:firstRowLastColumn="0" w:lastRowFirstColumn="0" w:lastRowLastColumn="0"/>
              <w:rPr>
                <w:szCs w:val="16"/>
              </w:rPr>
            </w:pPr>
            <w:r w:rsidRPr="0018610E">
              <w:rPr>
                <w:szCs w:val="16"/>
              </w:rPr>
              <w:t>2</w:t>
            </w:r>
          </w:p>
        </w:tc>
        <w:tc>
          <w:tcPr>
            <w:tcW w:w="660" w:type="dxa"/>
          </w:tcPr>
          <w:p w14:paraId="6151C40B" w14:textId="77777777" w:rsidR="002912F1" w:rsidRPr="0018610E" w:rsidRDefault="002912F1" w:rsidP="005B7420">
            <w:pPr>
              <w:pStyle w:val="Tabletextright"/>
              <w:spacing w:before="20" w:after="40"/>
              <w:jc w:val="center"/>
              <w:cnfStyle w:val="000000000000" w:firstRow="0" w:lastRow="0" w:firstColumn="0" w:lastColumn="0" w:oddVBand="0" w:evenVBand="0" w:oddHBand="0" w:evenHBand="0" w:firstRowFirstColumn="0" w:firstRowLastColumn="0" w:lastRowFirstColumn="0" w:lastRowLastColumn="0"/>
              <w:rPr>
                <w:szCs w:val="16"/>
              </w:rPr>
            </w:pPr>
            <w:r w:rsidRPr="0018610E">
              <w:rPr>
                <w:szCs w:val="16"/>
              </w:rPr>
              <w:t>5</w:t>
            </w:r>
          </w:p>
        </w:tc>
      </w:tr>
      <w:tr w:rsidR="0018610E" w:rsidRPr="0018610E" w14:paraId="23175D62" w14:textId="77777777" w:rsidTr="0018610E">
        <w:trPr>
          <w:trHeight w:val="300"/>
        </w:trPr>
        <w:tc>
          <w:tcPr>
            <w:cnfStyle w:val="001000000000" w:firstRow="0" w:lastRow="0" w:firstColumn="1" w:lastColumn="0" w:oddVBand="0" w:evenVBand="0" w:oddHBand="0" w:evenHBand="0" w:firstRowFirstColumn="0" w:firstRowLastColumn="0" w:lastRowFirstColumn="0" w:lastRowLastColumn="0"/>
            <w:tcW w:w="316" w:type="dxa"/>
          </w:tcPr>
          <w:p w14:paraId="1931EA6B" w14:textId="77777777" w:rsidR="002912F1" w:rsidRPr="0018610E" w:rsidRDefault="002912F1" w:rsidP="005B7420">
            <w:pPr>
              <w:spacing w:before="20" w:after="40"/>
              <w:ind w:hanging="11"/>
              <w:rPr>
                <w:szCs w:val="16"/>
              </w:rPr>
            </w:pPr>
            <w:r w:rsidRPr="0018610E">
              <w:rPr>
                <w:szCs w:val="16"/>
              </w:rPr>
              <w:t>7</w:t>
            </w:r>
          </w:p>
        </w:tc>
        <w:tc>
          <w:tcPr>
            <w:tcW w:w="4254" w:type="dxa"/>
            <w:noWrap/>
            <w:hideMark/>
          </w:tcPr>
          <w:p w14:paraId="2AFABDE6" w14:textId="77777777" w:rsidR="002912F1" w:rsidRPr="00003AE9" w:rsidRDefault="002912F1" w:rsidP="005B7420">
            <w:pPr>
              <w:shd w:val="clear" w:color="auto" w:fill="FFFFFF"/>
              <w:spacing w:before="20" w:after="40" w:line="240" w:lineRule="auto"/>
              <w:ind w:left="97" w:hanging="11"/>
              <w:cnfStyle w:val="000000000000" w:firstRow="0" w:lastRow="0" w:firstColumn="0" w:lastColumn="0" w:oddVBand="0" w:evenVBand="0" w:oddHBand="0" w:evenHBand="0" w:firstRowFirstColumn="0" w:firstRowLastColumn="0" w:lastRowFirstColumn="0" w:lastRowLastColumn="0"/>
              <w:rPr>
                <w:rFonts w:eastAsia="Times New Roman" w:cs="Arial"/>
                <w:szCs w:val="16"/>
              </w:rPr>
            </w:pPr>
            <w:r w:rsidRPr="00003AE9">
              <w:rPr>
                <w:rFonts w:eastAsia="Times New Roman" w:cs="Arial"/>
                <w:szCs w:val="16"/>
              </w:rPr>
              <w:t xml:space="preserve">Maternal death associated with pregnancy, birth and the puerperium </w:t>
            </w:r>
          </w:p>
        </w:tc>
        <w:tc>
          <w:tcPr>
            <w:tcW w:w="659" w:type="dxa"/>
            <w:noWrap/>
            <w:hideMark/>
          </w:tcPr>
          <w:p w14:paraId="7053EEC7" w14:textId="77777777" w:rsidR="002912F1" w:rsidRPr="0018610E" w:rsidRDefault="002912F1" w:rsidP="005B7420">
            <w:pPr>
              <w:pStyle w:val="Tabletextright"/>
              <w:spacing w:before="20" w:after="40"/>
              <w:jc w:val="center"/>
              <w:cnfStyle w:val="000000000000" w:firstRow="0" w:lastRow="0" w:firstColumn="0" w:lastColumn="0" w:oddVBand="0" w:evenVBand="0" w:oddHBand="0" w:evenHBand="0" w:firstRowFirstColumn="0" w:firstRowLastColumn="0" w:lastRowFirstColumn="0" w:lastRowLastColumn="0"/>
              <w:rPr>
                <w:szCs w:val="16"/>
              </w:rPr>
            </w:pPr>
            <w:r w:rsidRPr="0018610E">
              <w:rPr>
                <w:szCs w:val="16"/>
              </w:rPr>
              <w:t>2</w:t>
            </w:r>
          </w:p>
        </w:tc>
        <w:tc>
          <w:tcPr>
            <w:tcW w:w="659" w:type="dxa"/>
            <w:noWrap/>
            <w:hideMark/>
          </w:tcPr>
          <w:p w14:paraId="5EFC3A68" w14:textId="77777777" w:rsidR="002912F1" w:rsidRPr="0018610E" w:rsidRDefault="002912F1" w:rsidP="005B7420">
            <w:pPr>
              <w:pStyle w:val="Tabletextright"/>
              <w:spacing w:before="20" w:after="40"/>
              <w:jc w:val="center"/>
              <w:cnfStyle w:val="000000000000" w:firstRow="0" w:lastRow="0" w:firstColumn="0" w:lastColumn="0" w:oddVBand="0" w:evenVBand="0" w:oddHBand="0" w:evenHBand="0" w:firstRowFirstColumn="0" w:firstRowLastColumn="0" w:lastRowFirstColumn="0" w:lastRowLastColumn="0"/>
              <w:rPr>
                <w:szCs w:val="16"/>
              </w:rPr>
            </w:pPr>
            <w:r w:rsidRPr="0018610E">
              <w:rPr>
                <w:szCs w:val="16"/>
              </w:rPr>
              <w:t>0</w:t>
            </w:r>
          </w:p>
        </w:tc>
        <w:tc>
          <w:tcPr>
            <w:tcW w:w="660" w:type="dxa"/>
            <w:noWrap/>
            <w:hideMark/>
          </w:tcPr>
          <w:p w14:paraId="0D599A33" w14:textId="77777777" w:rsidR="002912F1" w:rsidRPr="0018610E" w:rsidRDefault="002912F1" w:rsidP="005B7420">
            <w:pPr>
              <w:pStyle w:val="Tabletextright"/>
              <w:spacing w:before="20" w:after="40"/>
              <w:jc w:val="center"/>
              <w:cnfStyle w:val="000000000000" w:firstRow="0" w:lastRow="0" w:firstColumn="0" w:lastColumn="0" w:oddVBand="0" w:evenVBand="0" w:oddHBand="0" w:evenHBand="0" w:firstRowFirstColumn="0" w:firstRowLastColumn="0" w:lastRowFirstColumn="0" w:lastRowLastColumn="0"/>
              <w:rPr>
                <w:szCs w:val="16"/>
              </w:rPr>
            </w:pPr>
            <w:r w:rsidRPr="0018610E">
              <w:rPr>
                <w:szCs w:val="16"/>
              </w:rPr>
              <w:t>1</w:t>
            </w:r>
          </w:p>
        </w:tc>
        <w:tc>
          <w:tcPr>
            <w:tcW w:w="659" w:type="dxa"/>
            <w:noWrap/>
            <w:hideMark/>
          </w:tcPr>
          <w:p w14:paraId="417D5804" w14:textId="77777777" w:rsidR="002912F1" w:rsidRPr="0018610E" w:rsidRDefault="002912F1" w:rsidP="005B7420">
            <w:pPr>
              <w:pStyle w:val="Tabletextright"/>
              <w:spacing w:before="20" w:after="40"/>
              <w:jc w:val="center"/>
              <w:cnfStyle w:val="000000000000" w:firstRow="0" w:lastRow="0" w:firstColumn="0" w:lastColumn="0" w:oddVBand="0" w:evenVBand="0" w:oddHBand="0" w:evenHBand="0" w:firstRowFirstColumn="0" w:firstRowLastColumn="0" w:lastRowFirstColumn="0" w:lastRowLastColumn="0"/>
              <w:rPr>
                <w:szCs w:val="16"/>
              </w:rPr>
            </w:pPr>
            <w:r w:rsidRPr="0018610E">
              <w:rPr>
                <w:szCs w:val="16"/>
              </w:rPr>
              <w:t>3</w:t>
            </w:r>
          </w:p>
        </w:tc>
        <w:tc>
          <w:tcPr>
            <w:tcW w:w="660" w:type="dxa"/>
            <w:noWrap/>
            <w:hideMark/>
          </w:tcPr>
          <w:p w14:paraId="00A661DB" w14:textId="77777777" w:rsidR="002912F1" w:rsidRPr="0018610E" w:rsidRDefault="002912F1" w:rsidP="005B7420">
            <w:pPr>
              <w:pStyle w:val="Tabletextright"/>
              <w:spacing w:before="20" w:after="40"/>
              <w:jc w:val="center"/>
              <w:cnfStyle w:val="000000000000" w:firstRow="0" w:lastRow="0" w:firstColumn="0" w:lastColumn="0" w:oddVBand="0" w:evenVBand="0" w:oddHBand="0" w:evenHBand="0" w:firstRowFirstColumn="0" w:firstRowLastColumn="0" w:lastRowFirstColumn="0" w:lastRowLastColumn="0"/>
              <w:rPr>
                <w:szCs w:val="16"/>
              </w:rPr>
            </w:pPr>
            <w:r w:rsidRPr="0018610E">
              <w:rPr>
                <w:szCs w:val="16"/>
              </w:rPr>
              <w:t>2</w:t>
            </w:r>
          </w:p>
        </w:tc>
        <w:tc>
          <w:tcPr>
            <w:tcW w:w="659" w:type="dxa"/>
            <w:noWrap/>
            <w:hideMark/>
          </w:tcPr>
          <w:p w14:paraId="0A04BE37" w14:textId="77777777" w:rsidR="002912F1" w:rsidRPr="0018610E" w:rsidRDefault="002912F1" w:rsidP="005B7420">
            <w:pPr>
              <w:pStyle w:val="Tabletextright"/>
              <w:spacing w:before="20" w:after="40"/>
              <w:jc w:val="center"/>
              <w:cnfStyle w:val="000000000000" w:firstRow="0" w:lastRow="0" w:firstColumn="0" w:lastColumn="0" w:oddVBand="0" w:evenVBand="0" w:oddHBand="0" w:evenHBand="0" w:firstRowFirstColumn="0" w:firstRowLastColumn="0" w:lastRowFirstColumn="0" w:lastRowLastColumn="0"/>
              <w:rPr>
                <w:szCs w:val="16"/>
              </w:rPr>
            </w:pPr>
            <w:r w:rsidRPr="0018610E">
              <w:rPr>
                <w:szCs w:val="16"/>
              </w:rPr>
              <w:t>0</w:t>
            </w:r>
          </w:p>
        </w:tc>
        <w:tc>
          <w:tcPr>
            <w:tcW w:w="660" w:type="dxa"/>
            <w:noWrap/>
            <w:hideMark/>
          </w:tcPr>
          <w:p w14:paraId="73020B89" w14:textId="77777777" w:rsidR="002912F1" w:rsidRPr="0018610E" w:rsidRDefault="002912F1" w:rsidP="005B7420">
            <w:pPr>
              <w:pStyle w:val="Tabletextright"/>
              <w:spacing w:before="20" w:after="40"/>
              <w:jc w:val="center"/>
              <w:cnfStyle w:val="000000000000" w:firstRow="0" w:lastRow="0" w:firstColumn="0" w:lastColumn="0" w:oddVBand="0" w:evenVBand="0" w:oddHBand="0" w:evenHBand="0" w:firstRowFirstColumn="0" w:firstRowLastColumn="0" w:lastRowFirstColumn="0" w:lastRowLastColumn="0"/>
              <w:rPr>
                <w:szCs w:val="16"/>
              </w:rPr>
            </w:pPr>
            <w:r w:rsidRPr="0018610E">
              <w:rPr>
                <w:szCs w:val="16"/>
              </w:rPr>
              <w:t>3</w:t>
            </w:r>
          </w:p>
        </w:tc>
        <w:tc>
          <w:tcPr>
            <w:tcW w:w="659" w:type="dxa"/>
            <w:noWrap/>
            <w:hideMark/>
          </w:tcPr>
          <w:p w14:paraId="30817E05" w14:textId="77777777" w:rsidR="002912F1" w:rsidRPr="0018610E" w:rsidRDefault="002912F1" w:rsidP="005B7420">
            <w:pPr>
              <w:pStyle w:val="Tabletextright"/>
              <w:spacing w:before="20" w:after="40"/>
              <w:jc w:val="center"/>
              <w:cnfStyle w:val="000000000000" w:firstRow="0" w:lastRow="0" w:firstColumn="0" w:lastColumn="0" w:oddVBand="0" w:evenVBand="0" w:oddHBand="0" w:evenHBand="0" w:firstRowFirstColumn="0" w:firstRowLastColumn="0" w:lastRowFirstColumn="0" w:lastRowLastColumn="0"/>
              <w:rPr>
                <w:szCs w:val="16"/>
              </w:rPr>
            </w:pPr>
            <w:r w:rsidRPr="0018610E">
              <w:rPr>
                <w:szCs w:val="16"/>
              </w:rPr>
              <w:t>0</w:t>
            </w:r>
          </w:p>
        </w:tc>
        <w:tc>
          <w:tcPr>
            <w:tcW w:w="660" w:type="dxa"/>
          </w:tcPr>
          <w:p w14:paraId="72CC4F9E" w14:textId="77777777" w:rsidR="002912F1" w:rsidRPr="0018610E" w:rsidRDefault="002912F1" w:rsidP="005B7420">
            <w:pPr>
              <w:pStyle w:val="Tabletextright"/>
              <w:spacing w:before="20" w:after="40"/>
              <w:jc w:val="center"/>
              <w:cnfStyle w:val="000000000000" w:firstRow="0" w:lastRow="0" w:firstColumn="0" w:lastColumn="0" w:oddVBand="0" w:evenVBand="0" w:oddHBand="0" w:evenHBand="0" w:firstRowFirstColumn="0" w:firstRowLastColumn="0" w:lastRowFirstColumn="0" w:lastRowLastColumn="0"/>
              <w:rPr>
                <w:szCs w:val="16"/>
              </w:rPr>
            </w:pPr>
            <w:r w:rsidRPr="0018610E">
              <w:rPr>
                <w:szCs w:val="16"/>
              </w:rPr>
              <w:t>0</w:t>
            </w:r>
          </w:p>
        </w:tc>
      </w:tr>
      <w:tr w:rsidR="0018610E" w:rsidRPr="0018610E" w14:paraId="5E489E6F" w14:textId="77777777" w:rsidTr="0018610E">
        <w:trPr>
          <w:trHeight w:val="300"/>
        </w:trPr>
        <w:tc>
          <w:tcPr>
            <w:cnfStyle w:val="001000000000" w:firstRow="0" w:lastRow="0" w:firstColumn="1" w:lastColumn="0" w:oddVBand="0" w:evenVBand="0" w:oddHBand="0" w:evenHBand="0" w:firstRowFirstColumn="0" w:firstRowLastColumn="0" w:lastRowFirstColumn="0" w:lastRowLastColumn="0"/>
            <w:tcW w:w="316" w:type="dxa"/>
          </w:tcPr>
          <w:p w14:paraId="52662B2D" w14:textId="77777777" w:rsidR="002912F1" w:rsidRPr="0018610E" w:rsidRDefault="002912F1" w:rsidP="005B7420">
            <w:pPr>
              <w:spacing w:before="20" w:after="40"/>
              <w:ind w:hanging="11"/>
              <w:rPr>
                <w:szCs w:val="16"/>
              </w:rPr>
            </w:pPr>
            <w:r w:rsidRPr="0018610E">
              <w:rPr>
                <w:szCs w:val="16"/>
              </w:rPr>
              <w:t>8</w:t>
            </w:r>
          </w:p>
        </w:tc>
        <w:tc>
          <w:tcPr>
            <w:tcW w:w="4254" w:type="dxa"/>
            <w:noWrap/>
            <w:hideMark/>
          </w:tcPr>
          <w:p w14:paraId="34934E7E" w14:textId="77777777" w:rsidR="002912F1" w:rsidRPr="00003AE9" w:rsidRDefault="002912F1" w:rsidP="005B7420">
            <w:pPr>
              <w:spacing w:before="20" w:after="40" w:line="240" w:lineRule="auto"/>
              <w:ind w:left="97" w:hanging="11"/>
              <w:cnfStyle w:val="000000000000" w:firstRow="0" w:lastRow="0" w:firstColumn="0" w:lastColumn="0" w:oddVBand="0" w:evenVBand="0" w:oddHBand="0" w:evenHBand="0" w:firstRowFirstColumn="0" w:firstRowLastColumn="0" w:lastRowFirstColumn="0" w:lastRowLastColumn="0"/>
              <w:rPr>
                <w:szCs w:val="16"/>
              </w:rPr>
            </w:pPr>
            <w:bookmarkStart w:id="3" w:name="_Hlk23919790"/>
            <w:r w:rsidRPr="00003AE9">
              <w:rPr>
                <w:rFonts w:cs="Arial"/>
                <w:szCs w:val="16"/>
                <w:shd w:val="clear" w:color="auto" w:fill="FFFFFF"/>
              </w:rPr>
              <w:t>Infant discharged to the wrong family</w:t>
            </w:r>
            <w:bookmarkEnd w:id="3"/>
          </w:p>
        </w:tc>
        <w:tc>
          <w:tcPr>
            <w:tcW w:w="659" w:type="dxa"/>
            <w:noWrap/>
            <w:hideMark/>
          </w:tcPr>
          <w:p w14:paraId="1236F5E4" w14:textId="77777777" w:rsidR="002912F1" w:rsidRPr="0018610E" w:rsidRDefault="002912F1" w:rsidP="005B7420">
            <w:pPr>
              <w:pStyle w:val="Tabletextright"/>
              <w:spacing w:before="20" w:after="40"/>
              <w:jc w:val="center"/>
              <w:cnfStyle w:val="000000000000" w:firstRow="0" w:lastRow="0" w:firstColumn="0" w:lastColumn="0" w:oddVBand="0" w:evenVBand="0" w:oddHBand="0" w:evenHBand="0" w:firstRowFirstColumn="0" w:firstRowLastColumn="0" w:lastRowFirstColumn="0" w:lastRowLastColumn="0"/>
              <w:rPr>
                <w:szCs w:val="16"/>
              </w:rPr>
            </w:pPr>
            <w:r w:rsidRPr="0018610E">
              <w:rPr>
                <w:szCs w:val="16"/>
              </w:rPr>
              <w:t>0</w:t>
            </w:r>
          </w:p>
        </w:tc>
        <w:tc>
          <w:tcPr>
            <w:tcW w:w="659" w:type="dxa"/>
            <w:noWrap/>
            <w:hideMark/>
          </w:tcPr>
          <w:p w14:paraId="6183F58E" w14:textId="77777777" w:rsidR="002912F1" w:rsidRPr="0018610E" w:rsidRDefault="002912F1" w:rsidP="005B7420">
            <w:pPr>
              <w:pStyle w:val="Tabletextright"/>
              <w:spacing w:before="20" w:after="40"/>
              <w:jc w:val="center"/>
              <w:cnfStyle w:val="000000000000" w:firstRow="0" w:lastRow="0" w:firstColumn="0" w:lastColumn="0" w:oddVBand="0" w:evenVBand="0" w:oddHBand="0" w:evenHBand="0" w:firstRowFirstColumn="0" w:firstRowLastColumn="0" w:lastRowFirstColumn="0" w:lastRowLastColumn="0"/>
              <w:rPr>
                <w:szCs w:val="16"/>
              </w:rPr>
            </w:pPr>
            <w:r w:rsidRPr="0018610E">
              <w:rPr>
                <w:szCs w:val="16"/>
              </w:rPr>
              <w:t>0</w:t>
            </w:r>
          </w:p>
        </w:tc>
        <w:tc>
          <w:tcPr>
            <w:tcW w:w="660" w:type="dxa"/>
            <w:noWrap/>
            <w:hideMark/>
          </w:tcPr>
          <w:p w14:paraId="1E703E9A" w14:textId="77777777" w:rsidR="002912F1" w:rsidRPr="0018610E" w:rsidRDefault="002912F1" w:rsidP="005B7420">
            <w:pPr>
              <w:pStyle w:val="Tabletextright"/>
              <w:spacing w:before="20" w:after="40"/>
              <w:jc w:val="center"/>
              <w:cnfStyle w:val="000000000000" w:firstRow="0" w:lastRow="0" w:firstColumn="0" w:lastColumn="0" w:oddVBand="0" w:evenVBand="0" w:oddHBand="0" w:evenHBand="0" w:firstRowFirstColumn="0" w:firstRowLastColumn="0" w:lastRowFirstColumn="0" w:lastRowLastColumn="0"/>
              <w:rPr>
                <w:szCs w:val="16"/>
              </w:rPr>
            </w:pPr>
            <w:r w:rsidRPr="0018610E">
              <w:rPr>
                <w:szCs w:val="16"/>
              </w:rPr>
              <w:t>0</w:t>
            </w:r>
          </w:p>
        </w:tc>
        <w:tc>
          <w:tcPr>
            <w:tcW w:w="659" w:type="dxa"/>
            <w:noWrap/>
            <w:hideMark/>
          </w:tcPr>
          <w:p w14:paraId="531E50A4" w14:textId="77777777" w:rsidR="002912F1" w:rsidRPr="0018610E" w:rsidRDefault="002912F1" w:rsidP="005B7420">
            <w:pPr>
              <w:pStyle w:val="Tabletextright"/>
              <w:spacing w:before="20" w:after="40"/>
              <w:jc w:val="center"/>
              <w:cnfStyle w:val="000000000000" w:firstRow="0" w:lastRow="0" w:firstColumn="0" w:lastColumn="0" w:oddVBand="0" w:evenVBand="0" w:oddHBand="0" w:evenHBand="0" w:firstRowFirstColumn="0" w:firstRowLastColumn="0" w:lastRowFirstColumn="0" w:lastRowLastColumn="0"/>
              <w:rPr>
                <w:szCs w:val="16"/>
              </w:rPr>
            </w:pPr>
            <w:r w:rsidRPr="0018610E">
              <w:rPr>
                <w:szCs w:val="16"/>
              </w:rPr>
              <w:t>0</w:t>
            </w:r>
          </w:p>
        </w:tc>
        <w:tc>
          <w:tcPr>
            <w:tcW w:w="660" w:type="dxa"/>
            <w:noWrap/>
            <w:hideMark/>
          </w:tcPr>
          <w:p w14:paraId="4D089458" w14:textId="77777777" w:rsidR="002912F1" w:rsidRPr="0018610E" w:rsidRDefault="002912F1" w:rsidP="005B7420">
            <w:pPr>
              <w:pStyle w:val="Tabletextright"/>
              <w:spacing w:before="20" w:after="40"/>
              <w:jc w:val="center"/>
              <w:cnfStyle w:val="000000000000" w:firstRow="0" w:lastRow="0" w:firstColumn="0" w:lastColumn="0" w:oddVBand="0" w:evenVBand="0" w:oddHBand="0" w:evenHBand="0" w:firstRowFirstColumn="0" w:firstRowLastColumn="0" w:lastRowFirstColumn="0" w:lastRowLastColumn="0"/>
              <w:rPr>
                <w:szCs w:val="16"/>
              </w:rPr>
            </w:pPr>
            <w:r w:rsidRPr="0018610E">
              <w:rPr>
                <w:szCs w:val="16"/>
              </w:rPr>
              <w:t>0</w:t>
            </w:r>
          </w:p>
        </w:tc>
        <w:tc>
          <w:tcPr>
            <w:tcW w:w="659" w:type="dxa"/>
            <w:noWrap/>
            <w:hideMark/>
          </w:tcPr>
          <w:p w14:paraId="5D2FDBF8" w14:textId="77777777" w:rsidR="002912F1" w:rsidRPr="0018610E" w:rsidRDefault="002912F1" w:rsidP="005B7420">
            <w:pPr>
              <w:pStyle w:val="Tabletextright"/>
              <w:spacing w:before="20" w:after="40"/>
              <w:jc w:val="center"/>
              <w:cnfStyle w:val="000000000000" w:firstRow="0" w:lastRow="0" w:firstColumn="0" w:lastColumn="0" w:oddVBand="0" w:evenVBand="0" w:oddHBand="0" w:evenHBand="0" w:firstRowFirstColumn="0" w:firstRowLastColumn="0" w:lastRowFirstColumn="0" w:lastRowLastColumn="0"/>
              <w:rPr>
                <w:szCs w:val="16"/>
              </w:rPr>
            </w:pPr>
            <w:r w:rsidRPr="0018610E">
              <w:rPr>
                <w:szCs w:val="16"/>
              </w:rPr>
              <w:t>0</w:t>
            </w:r>
          </w:p>
        </w:tc>
        <w:tc>
          <w:tcPr>
            <w:tcW w:w="660" w:type="dxa"/>
            <w:noWrap/>
            <w:hideMark/>
          </w:tcPr>
          <w:p w14:paraId="1016976F" w14:textId="77777777" w:rsidR="002912F1" w:rsidRPr="0018610E" w:rsidRDefault="002912F1" w:rsidP="005B7420">
            <w:pPr>
              <w:pStyle w:val="Tabletextright"/>
              <w:spacing w:before="20" w:after="40"/>
              <w:jc w:val="center"/>
              <w:cnfStyle w:val="000000000000" w:firstRow="0" w:lastRow="0" w:firstColumn="0" w:lastColumn="0" w:oddVBand="0" w:evenVBand="0" w:oddHBand="0" w:evenHBand="0" w:firstRowFirstColumn="0" w:firstRowLastColumn="0" w:lastRowFirstColumn="0" w:lastRowLastColumn="0"/>
              <w:rPr>
                <w:szCs w:val="16"/>
              </w:rPr>
            </w:pPr>
            <w:r w:rsidRPr="0018610E">
              <w:rPr>
                <w:szCs w:val="16"/>
              </w:rPr>
              <w:t>0</w:t>
            </w:r>
          </w:p>
        </w:tc>
        <w:tc>
          <w:tcPr>
            <w:tcW w:w="659" w:type="dxa"/>
            <w:noWrap/>
            <w:hideMark/>
          </w:tcPr>
          <w:p w14:paraId="4DBC24BC" w14:textId="77777777" w:rsidR="002912F1" w:rsidRPr="0018610E" w:rsidRDefault="002912F1" w:rsidP="005B7420">
            <w:pPr>
              <w:pStyle w:val="Tabletextright"/>
              <w:spacing w:before="20" w:after="40"/>
              <w:jc w:val="center"/>
              <w:cnfStyle w:val="000000000000" w:firstRow="0" w:lastRow="0" w:firstColumn="0" w:lastColumn="0" w:oddVBand="0" w:evenVBand="0" w:oddHBand="0" w:evenHBand="0" w:firstRowFirstColumn="0" w:firstRowLastColumn="0" w:lastRowFirstColumn="0" w:lastRowLastColumn="0"/>
              <w:rPr>
                <w:szCs w:val="16"/>
              </w:rPr>
            </w:pPr>
            <w:r w:rsidRPr="0018610E">
              <w:rPr>
                <w:szCs w:val="16"/>
              </w:rPr>
              <w:t>0</w:t>
            </w:r>
          </w:p>
        </w:tc>
        <w:tc>
          <w:tcPr>
            <w:tcW w:w="660" w:type="dxa"/>
          </w:tcPr>
          <w:p w14:paraId="45DA2EF7" w14:textId="77777777" w:rsidR="002912F1" w:rsidRPr="0018610E" w:rsidRDefault="002912F1" w:rsidP="005B7420">
            <w:pPr>
              <w:pStyle w:val="Tabletextright"/>
              <w:spacing w:before="20" w:after="40"/>
              <w:jc w:val="center"/>
              <w:cnfStyle w:val="000000000000" w:firstRow="0" w:lastRow="0" w:firstColumn="0" w:lastColumn="0" w:oddVBand="0" w:evenVBand="0" w:oddHBand="0" w:evenHBand="0" w:firstRowFirstColumn="0" w:firstRowLastColumn="0" w:lastRowFirstColumn="0" w:lastRowLastColumn="0"/>
              <w:rPr>
                <w:szCs w:val="16"/>
              </w:rPr>
            </w:pPr>
            <w:r w:rsidRPr="0018610E">
              <w:rPr>
                <w:szCs w:val="16"/>
              </w:rPr>
              <w:t>0</w:t>
            </w:r>
          </w:p>
        </w:tc>
      </w:tr>
      <w:tr w:rsidR="0018610E" w:rsidRPr="0018610E" w14:paraId="14E915E2" w14:textId="77777777" w:rsidTr="0018610E">
        <w:trPr>
          <w:trHeight w:val="300"/>
        </w:trPr>
        <w:tc>
          <w:tcPr>
            <w:cnfStyle w:val="001000000000" w:firstRow="0" w:lastRow="0" w:firstColumn="1" w:lastColumn="0" w:oddVBand="0" w:evenVBand="0" w:oddHBand="0" w:evenHBand="0" w:firstRowFirstColumn="0" w:firstRowLastColumn="0" w:lastRowFirstColumn="0" w:lastRowLastColumn="0"/>
            <w:tcW w:w="316" w:type="dxa"/>
          </w:tcPr>
          <w:p w14:paraId="22F2E6F6" w14:textId="77777777" w:rsidR="002912F1" w:rsidRPr="0018610E" w:rsidRDefault="002912F1" w:rsidP="005B7420">
            <w:pPr>
              <w:spacing w:before="20" w:after="40"/>
              <w:ind w:hanging="11"/>
              <w:rPr>
                <w:szCs w:val="16"/>
              </w:rPr>
            </w:pPr>
            <w:r w:rsidRPr="0018610E">
              <w:rPr>
                <w:szCs w:val="16"/>
              </w:rPr>
              <w:t>9</w:t>
            </w:r>
          </w:p>
        </w:tc>
        <w:tc>
          <w:tcPr>
            <w:tcW w:w="4254" w:type="dxa"/>
            <w:noWrap/>
            <w:hideMark/>
          </w:tcPr>
          <w:p w14:paraId="5B932EA7" w14:textId="77777777" w:rsidR="002912F1" w:rsidRPr="00003AE9" w:rsidRDefault="002912F1" w:rsidP="005B7420">
            <w:pPr>
              <w:spacing w:before="20" w:after="40" w:line="240" w:lineRule="auto"/>
              <w:ind w:left="97" w:hanging="11"/>
              <w:cnfStyle w:val="000000000000" w:firstRow="0" w:lastRow="0" w:firstColumn="0" w:lastColumn="0" w:oddVBand="0" w:evenVBand="0" w:oddHBand="0" w:evenHBand="0" w:firstRowFirstColumn="0" w:firstRowLastColumn="0" w:lastRowFirstColumn="0" w:lastRowLastColumn="0"/>
              <w:rPr>
                <w:rFonts w:eastAsia="Times New Roman" w:cs="Times New Roman"/>
                <w:szCs w:val="16"/>
              </w:rPr>
            </w:pPr>
            <w:r w:rsidRPr="00003AE9">
              <w:rPr>
                <w:rFonts w:eastAsia="Times New Roman" w:cs="Times New Roman"/>
                <w:szCs w:val="16"/>
              </w:rPr>
              <w:t xml:space="preserve">Other catastrophic: </w:t>
            </w:r>
            <w:r w:rsidR="00716066" w:rsidRPr="00003AE9">
              <w:rPr>
                <w:rFonts w:eastAsia="Times New Roman" w:cs="Times New Roman"/>
                <w:szCs w:val="16"/>
              </w:rPr>
              <w:t>ISR1</w:t>
            </w:r>
          </w:p>
        </w:tc>
        <w:tc>
          <w:tcPr>
            <w:tcW w:w="659" w:type="dxa"/>
            <w:noWrap/>
            <w:hideMark/>
          </w:tcPr>
          <w:p w14:paraId="38719ADB" w14:textId="77777777" w:rsidR="002912F1" w:rsidRPr="0018610E" w:rsidRDefault="002912F1" w:rsidP="005B7420">
            <w:pPr>
              <w:pStyle w:val="Tabletextright"/>
              <w:spacing w:before="20" w:after="40"/>
              <w:jc w:val="center"/>
              <w:cnfStyle w:val="000000000000" w:firstRow="0" w:lastRow="0" w:firstColumn="0" w:lastColumn="0" w:oddVBand="0" w:evenVBand="0" w:oddHBand="0" w:evenHBand="0" w:firstRowFirstColumn="0" w:firstRowLastColumn="0" w:lastRowFirstColumn="0" w:lastRowLastColumn="0"/>
              <w:rPr>
                <w:szCs w:val="16"/>
              </w:rPr>
            </w:pPr>
            <w:r w:rsidRPr="0018610E">
              <w:rPr>
                <w:szCs w:val="16"/>
              </w:rPr>
              <w:t>37</w:t>
            </w:r>
          </w:p>
        </w:tc>
        <w:tc>
          <w:tcPr>
            <w:tcW w:w="659" w:type="dxa"/>
            <w:noWrap/>
            <w:hideMark/>
          </w:tcPr>
          <w:p w14:paraId="794E8365" w14:textId="77777777" w:rsidR="002912F1" w:rsidRPr="0018610E" w:rsidRDefault="002912F1" w:rsidP="005B7420">
            <w:pPr>
              <w:pStyle w:val="Tabletextright"/>
              <w:spacing w:before="20" w:after="40"/>
              <w:jc w:val="center"/>
              <w:cnfStyle w:val="000000000000" w:firstRow="0" w:lastRow="0" w:firstColumn="0" w:lastColumn="0" w:oddVBand="0" w:evenVBand="0" w:oddHBand="0" w:evenHBand="0" w:firstRowFirstColumn="0" w:firstRowLastColumn="0" w:lastRowFirstColumn="0" w:lastRowLastColumn="0"/>
              <w:rPr>
                <w:szCs w:val="16"/>
              </w:rPr>
            </w:pPr>
            <w:r w:rsidRPr="0018610E">
              <w:rPr>
                <w:szCs w:val="16"/>
              </w:rPr>
              <w:t>21</w:t>
            </w:r>
          </w:p>
        </w:tc>
        <w:tc>
          <w:tcPr>
            <w:tcW w:w="660" w:type="dxa"/>
            <w:noWrap/>
            <w:hideMark/>
          </w:tcPr>
          <w:p w14:paraId="5413B09A" w14:textId="77777777" w:rsidR="002912F1" w:rsidRPr="0018610E" w:rsidRDefault="002912F1" w:rsidP="005B7420">
            <w:pPr>
              <w:pStyle w:val="Tabletextright"/>
              <w:spacing w:before="20" w:after="40"/>
              <w:jc w:val="center"/>
              <w:cnfStyle w:val="000000000000" w:firstRow="0" w:lastRow="0" w:firstColumn="0" w:lastColumn="0" w:oddVBand="0" w:evenVBand="0" w:oddHBand="0" w:evenHBand="0" w:firstRowFirstColumn="0" w:firstRowLastColumn="0" w:lastRowFirstColumn="0" w:lastRowLastColumn="0"/>
              <w:rPr>
                <w:szCs w:val="16"/>
              </w:rPr>
            </w:pPr>
            <w:r w:rsidRPr="0018610E">
              <w:rPr>
                <w:szCs w:val="16"/>
              </w:rPr>
              <w:t>17</w:t>
            </w:r>
          </w:p>
        </w:tc>
        <w:tc>
          <w:tcPr>
            <w:tcW w:w="659" w:type="dxa"/>
            <w:noWrap/>
            <w:hideMark/>
          </w:tcPr>
          <w:p w14:paraId="126AE7FA" w14:textId="77777777" w:rsidR="002912F1" w:rsidRPr="0018610E" w:rsidRDefault="002912F1" w:rsidP="005B7420">
            <w:pPr>
              <w:pStyle w:val="Tabletextright"/>
              <w:spacing w:before="20" w:after="40"/>
              <w:jc w:val="center"/>
              <w:cnfStyle w:val="000000000000" w:firstRow="0" w:lastRow="0" w:firstColumn="0" w:lastColumn="0" w:oddVBand="0" w:evenVBand="0" w:oddHBand="0" w:evenHBand="0" w:firstRowFirstColumn="0" w:firstRowLastColumn="0" w:lastRowFirstColumn="0" w:lastRowLastColumn="0"/>
              <w:rPr>
                <w:szCs w:val="16"/>
              </w:rPr>
            </w:pPr>
            <w:r w:rsidRPr="0018610E">
              <w:rPr>
                <w:szCs w:val="16"/>
              </w:rPr>
              <w:t>33</w:t>
            </w:r>
          </w:p>
        </w:tc>
        <w:tc>
          <w:tcPr>
            <w:tcW w:w="660" w:type="dxa"/>
            <w:noWrap/>
            <w:hideMark/>
          </w:tcPr>
          <w:p w14:paraId="2A52281B" w14:textId="77777777" w:rsidR="002912F1" w:rsidRPr="0018610E" w:rsidRDefault="002912F1" w:rsidP="005B7420">
            <w:pPr>
              <w:pStyle w:val="Tabletextright"/>
              <w:spacing w:before="20" w:after="40"/>
              <w:jc w:val="center"/>
              <w:cnfStyle w:val="000000000000" w:firstRow="0" w:lastRow="0" w:firstColumn="0" w:lastColumn="0" w:oddVBand="0" w:evenVBand="0" w:oddHBand="0" w:evenHBand="0" w:firstRowFirstColumn="0" w:firstRowLastColumn="0" w:lastRowFirstColumn="0" w:lastRowLastColumn="0"/>
              <w:rPr>
                <w:szCs w:val="16"/>
              </w:rPr>
            </w:pPr>
            <w:r w:rsidRPr="0018610E">
              <w:rPr>
                <w:szCs w:val="16"/>
              </w:rPr>
              <w:t>23</w:t>
            </w:r>
          </w:p>
        </w:tc>
        <w:tc>
          <w:tcPr>
            <w:tcW w:w="659" w:type="dxa"/>
            <w:noWrap/>
            <w:hideMark/>
          </w:tcPr>
          <w:p w14:paraId="2CD955D2" w14:textId="77777777" w:rsidR="002912F1" w:rsidRPr="0018610E" w:rsidRDefault="002912F1" w:rsidP="005B7420">
            <w:pPr>
              <w:pStyle w:val="Tabletextright"/>
              <w:spacing w:before="20" w:after="40"/>
              <w:jc w:val="center"/>
              <w:cnfStyle w:val="000000000000" w:firstRow="0" w:lastRow="0" w:firstColumn="0" w:lastColumn="0" w:oddVBand="0" w:evenVBand="0" w:oddHBand="0" w:evenHBand="0" w:firstRowFirstColumn="0" w:firstRowLastColumn="0" w:lastRowFirstColumn="0" w:lastRowLastColumn="0"/>
              <w:rPr>
                <w:szCs w:val="16"/>
              </w:rPr>
            </w:pPr>
            <w:r w:rsidRPr="0018610E">
              <w:rPr>
                <w:szCs w:val="16"/>
              </w:rPr>
              <w:t>31</w:t>
            </w:r>
          </w:p>
        </w:tc>
        <w:tc>
          <w:tcPr>
            <w:tcW w:w="660" w:type="dxa"/>
            <w:noWrap/>
            <w:hideMark/>
          </w:tcPr>
          <w:p w14:paraId="28BE341B" w14:textId="77777777" w:rsidR="002912F1" w:rsidRPr="0018610E" w:rsidRDefault="002912F1" w:rsidP="005B7420">
            <w:pPr>
              <w:pStyle w:val="Tabletextright"/>
              <w:spacing w:before="20" w:after="40"/>
              <w:jc w:val="center"/>
              <w:cnfStyle w:val="000000000000" w:firstRow="0" w:lastRow="0" w:firstColumn="0" w:lastColumn="0" w:oddVBand="0" w:evenVBand="0" w:oddHBand="0" w:evenHBand="0" w:firstRowFirstColumn="0" w:firstRowLastColumn="0" w:lastRowFirstColumn="0" w:lastRowLastColumn="0"/>
              <w:rPr>
                <w:szCs w:val="16"/>
              </w:rPr>
            </w:pPr>
            <w:r w:rsidRPr="0018610E">
              <w:rPr>
                <w:szCs w:val="16"/>
              </w:rPr>
              <w:t>49</w:t>
            </w:r>
          </w:p>
        </w:tc>
        <w:tc>
          <w:tcPr>
            <w:tcW w:w="659" w:type="dxa"/>
            <w:noWrap/>
            <w:hideMark/>
          </w:tcPr>
          <w:p w14:paraId="23E1A8FB" w14:textId="77777777" w:rsidR="002912F1" w:rsidRPr="0018610E" w:rsidRDefault="002912F1" w:rsidP="005B7420">
            <w:pPr>
              <w:pStyle w:val="Tabletextright"/>
              <w:spacing w:before="20" w:after="40"/>
              <w:jc w:val="center"/>
              <w:cnfStyle w:val="000000000000" w:firstRow="0" w:lastRow="0" w:firstColumn="0" w:lastColumn="0" w:oddVBand="0" w:evenVBand="0" w:oddHBand="0" w:evenHBand="0" w:firstRowFirstColumn="0" w:firstRowLastColumn="0" w:lastRowFirstColumn="0" w:lastRowLastColumn="0"/>
              <w:rPr>
                <w:szCs w:val="16"/>
              </w:rPr>
            </w:pPr>
            <w:r w:rsidRPr="0018610E">
              <w:rPr>
                <w:szCs w:val="16"/>
              </w:rPr>
              <w:t>98</w:t>
            </w:r>
          </w:p>
        </w:tc>
        <w:tc>
          <w:tcPr>
            <w:tcW w:w="660" w:type="dxa"/>
          </w:tcPr>
          <w:p w14:paraId="231C6F5D" w14:textId="77777777" w:rsidR="002912F1" w:rsidRPr="0018610E" w:rsidRDefault="002912F1" w:rsidP="005B7420">
            <w:pPr>
              <w:pStyle w:val="Tabletextright"/>
              <w:spacing w:before="20" w:after="40"/>
              <w:jc w:val="center"/>
              <w:cnfStyle w:val="000000000000" w:firstRow="0" w:lastRow="0" w:firstColumn="0" w:lastColumn="0" w:oddVBand="0" w:evenVBand="0" w:oddHBand="0" w:evenHBand="0" w:firstRowFirstColumn="0" w:firstRowLastColumn="0" w:lastRowFirstColumn="0" w:lastRowLastColumn="0"/>
              <w:rPr>
                <w:szCs w:val="16"/>
              </w:rPr>
            </w:pPr>
            <w:r w:rsidRPr="0018610E">
              <w:rPr>
                <w:szCs w:val="16"/>
              </w:rPr>
              <w:t>99</w:t>
            </w:r>
          </w:p>
        </w:tc>
      </w:tr>
      <w:tr w:rsidR="0018610E" w:rsidRPr="0018610E" w14:paraId="4CBB9720" w14:textId="77777777" w:rsidTr="0018610E">
        <w:trPr>
          <w:trHeight w:val="300"/>
        </w:trPr>
        <w:tc>
          <w:tcPr>
            <w:cnfStyle w:val="001000000000" w:firstRow="0" w:lastRow="0" w:firstColumn="1" w:lastColumn="0" w:oddVBand="0" w:evenVBand="0" w:oddHBand="0" w:evenHBand="0" w:firstRowFirstColumn="0" w:firstRowLastColumn="0" w:lastRowFirstColumn="0" w:lastRowLastColumn="0"/>
            <w:tcW w:w="316" w:type="dxa"/>
          </w:tcPr>
          <w:p w14:paraId="4CF94370" w14:textId="77777777" w:rsidR="002912F1" w:rsidRPr="0018610E" w:rsidRDefault="002912F1" w:rsidP="005B7420">
            <w:pPr>
              <w:spacing w:before="20" w:after="40"/>
              <w:ind w:hanging="11"/>
              <w:rPr>
                <w:szCs w:val="16"/>
              </w:rPr>
            </w:pPr>
          </w:p>
        </w:tc>
        <w:tc>
          <w:tcPr>
            <w:tcW w:w="4254" w:type="dxa"/>
            <w:noWrap/>
            <w:hideMark/>
          </w:tcPr>
          <w:p w14:paraId="119CEC58" w14:textId="77777777" w:rsidR="002912F1" w:rsidRPr="0018610E" w:rsidRDefault="002912F1" w:rsidP="005B7420">
            <w:pPr>
              <w:spacing w:before="20" w:after="40"/>
              <w:ind w:hanging="11"/>
              <w:cnfStyle w:val="000000000000" w:firstRow="0" w:lastRow="0" w:firstColumn="0" w:lastColumn="0" w:oddVBand="0" w:evenVBand="0" w:oddHBand="0" w:evenHBand="0" w:firstRowFirstColumn="0" w:firstRowLastColumn="0" w:lastRowFirstColumn="0" w:lastRowLastColumn="0"/>
              <w:rPr>
                <w:b/>
                <w:szCs w:val="16"/>
              </w:rPr>
            </w:pPr>
            <w:r w:rsidRPr="0018610E">
              <w:rPr>
                <w:b/>
                <w:szCs w:val="16"/>
              </w:rPr>
              <w:t>Total</w:t>
            </w:r>
          </w:p>
        </w:tc>
        <w:tc>
          <w:tcPr>
            <w:tcW w:w="659" w:type="dxa"/>
            <w:noWrap/>
            <w:hideMark/>
          </w:tcPr>
          <w:p w14:paraId="4C23987A" w14:textId="77777777" w:rsidR="002912F1" w:rsidRPr="0018610E" w:rsidRDefault="002912F1" w:rsidP="005B7420">
            <w:pPr>
              <w:pStyle w:val="Tabletextright"/>
              <w:spacing w:before="20" w:after="40"/>
              <w:jc w:val="center"/>
              <w:cnfStyle w:val="000000000000" w:firstRow="0" w:lastRow="0" w:firstColumn="0" w:lastColumn="0" w:oddVBand="0" w:evenVBand="0" w:oddHBand="0" w:evenHBand="0" w:firstRowFirstColumn="0" w:firstRowLastColumn="0" w:lastRowFirstColumn="0" w:lastRowLastColumn="0"/>
              <w:rPr>
                <w:b/>
                <w:szCs w:val="16"/>
              </w:rPr>
            </w:pPr>
            <w:r w:rsidRPr="0018610E">
              <w:rPr>
                <w:b/>
                <w:szCs w:val="16"/>
              </w:rPr>
              <w:t>58</w:t>
            </w:r>
          </w:p>
        </w:tc>
        <w:tc>
          <w:tcPr>
            <w:tcW w:w="659" w:type="dxa"/>
            <w:noWrap/>
            <w:hideMark/>
          </w:tcPr>
          <w:p w14:paraId="0C9D561E" w14:textId="77777777" w:rsidR="002912F1" w:rsidRPr="0018610E" w:rsidRDefault="002912F1" w:rsidP="005B7420">
            <w:pPr>
              <w:pStyle w:val="Tabletextright"/>
              <w:spacing w:before="20" w:after="40"/>
              <w:jc w:val="center"/>
              <w:cnfStyle w:val="000000000000" w:firstRow="0" w:lastRow="0" w:firstColumn="0" w:lastColumn="0" w:oddVBand="0" w:evenVBand="0" w:oddHBand="0" w:evenHBand="0" w:firstRowFirstColumn="0" w:firstRowLastColumn="0" w:lastRowFirstColumn="0" w:lastRowLastColumn="0"/>
              <w:rPr>
                <w:b/>
                <w:szCs w:val="16"/>
              </w:rPr>
            </w:pPr>
            <w:r w:rsidRPr="0018610E">
              <w:rPr>
                <w:b/>
                <w:szCs w:val="16"/>
              </w:rPr>
              <w:t>41</w:t>
            </w:r>
          </w:p>
        </w:tc>
        <w:tc>
          <w:tcPr>
            <w:tcW w:w="660" w:type="dxa"/>
            <w:noWrap/>
            <w:hideMark/>
          </w:tcPr>
          <w:p w14:paraId="0AFD6F8E" w14:textId="77777777" w:rsidR="002912F1" w:rsidRPr="0018610E" w:rsidRDefault="002912F1" w:rsidP="005B7420">
            <w:pPr>
              <w:pStyle w:val="Tabletextright"/>
              <w:spacing w:before="20" w:after="40"/>
              <w:jc w:val="center"/>
              <w:cnfStyle w:val="000000000000" w:firstRow="0" w:lastRow="0" w:firstColumn="0" w:lastColumn="0" w:oddVBand="0" w:evenVBand="0" w:oddHBand="0" w:evenHBand="0" w:firstRowFirstColumn="0" w:firstRowLastColumn="0" w:lastRowFirstColumn="0" w:lastRowLastColumn="0"/>
              <w:rPr>
                <w:b/>
                <w:szCs w:val="16"/>
              </w:rPr>
            </w:pPr>
            <w:r w:rsidRPr="0018610E">
              <w:rPr>
                <w:b/>
                <w:szCs w:val="16"/>
              </w:rPr>
              <w:t>34</w:t>
            </w:r>
          </w:p>
        </w:tc>
        <w:tc>
          <w:tcPr>
            <w:tcW w:w="659" w:type="dxa"/>
            <w:noWrap/>
            <w:hideMark/>
          </w:tcPr>
          <w:p w14:paraId="37AD45F8" w14:textId="77777777" w:rsidR="002912F1" w:rsidRPr="0018610E" w:rsidRDefault="002912F1" w:rsidP="005B7420">
            <w:pPr>
              <w:pStyle w:val="Tabletextright"/>
              <w:spacing w:before="20" w:after="40"/>
              <w:jc w:val="center"/>
              <w:cnfStyle w:val="000000000000" w:firstRow="0" w:lastRow="0" w:firstColumn="0" w:lastColumn="0" w:oddVBand="0" w:evenVBand="0" w:oddHBand="0" w:evenHBand="0" w:firstRowFirstColumn="0" w:firstRowLastColumn="0" w:lastRowFirstColumn="0" w:lastRowLastColumn="0"/>
              <w:rPr>
                <w:b/>
                <w:szCs w:val="16"/>
              </w:rPr>
            </w:pPr>
            <w:r w:rsidRPr="0018610E">
              <w:rPr>
                <w:b/>
                <w:szCs w:val="16"/>
              </w:rPr>
              <w:t>54</w:t>
            </w:r>
          </w:p>
        </w:tc>
        <w:tc>
          <w:tcPr>
            <w:tcW w:w="660" w:type="dxa"/>
            <w:noWrap/>
            <w:hideMark/>
          </w:tcPr>
          <w:p w14:paraId="0D621B74" w14:textId="77777777" w:rsidR="002912F1" w:rsidRPr="0018610E" w:rsidRDefault="002912F1" w:rsidP="005B7420">
            <w:pPr>
              <w:pStyle w:val="Tabletextright"/>
              <w:spacing w:before="20" w:after="40"/>
              <w:jc w:val="center"/>
              <w:cnfStyle w:val="000000000000" w:firstRow="0" w:lastRow="0" w:firstColumn="0" w:lastColumn="0" w:oddVBand="0" w:evenVBand="0" w:oddHBand="0" w:evenHBand="0" w:firstRowFirstColumn="0" w:firstRowLastColumn="0" w:lastRowFirstColumn="0" w:lastRowLastColumn="0"/>
              <w:rPr>
                <w:b/>
                <w:szCs w:val="16"/>
              </w:rPr>
            </w:pPr>
            <w:r w:rsidRPr="0018610E">
              <w:rPr>
                <w:b/>
                <w:szCs w:val="16"/>
              </w:rPr>
              <w:t>42</w:t>
            </w:r>
          </w:p>
        </w:tc>
        <w:tc>
          <w:tcPr>
            <w:tcW w:w="659" w:type="dxa"/>
            <w:noWrap/>
            <w:hideMark/>
          </w:tcPr>
          <w:p w14:paraId="07C3FB40" w14:textId="77777777" w:rsidR="002912F1" w:rsidRPr="0018610E" w:rsidRDefault="002912F1" w:rsidP="005B7420">
            <w:pPr>
              <w:pStyle w:val="Tabletextright"/>
              <w:spacing w:before="20" w:after="40"/>
              <w:jc w:val="center"/>
              <w:cnfStyle w:val="000000000000" w:firstRow="0" w:lastRow="0" w:firstColumn="0" w:lastColumn="0" w:oddVBand="0" w:evenVBand="0" w:oddHBand="0" w:evenHBand="0" w:firstRowFirstColumn="0" w:firstRowLastColumn="0" w:lastRowFirstColumn="0" w:lastRowLastColumn="0"/>
              <w:rPr>
                <w:b/>
                <w:szCs w:val="16"/>
              </w:rPr>
            </w:pPr>
            <w:r w:rsidRPr="0018610E">
              <w:rPr>
                <w:b/>
                <w:szCs w:val="16"/>
              </w:rPr>
              <w:t>47</w:t>
            </w:r>
          </w:p>
        </w:tc>
        <w:tc>
          <w:tcPr>
            <w:tcW w:w="660" w:type="dxa"/>
            <w:noWrap/>
            <w:hideMark/>
          </w:tcPr>
          <w:p w14:paraId="048A6C05" w14:textId="77777777" w:rsidR="002912F1" w:rsidRPr="0018610E" w:rsidRDefault="002912F1" w:rsidP="005B7420">
            <w:pPr>
              <w:pStyle w:val="Tabletextright"/>
              <w:spacing w:before="20" w:after="40"/>
              <w:jc w:val="center"/>
              <w:cnfStyle w:val="000000000000" w:firstRow="0" w:lastRow="0" w:firstColumn="0" w:lastColumn="0" w:oddVBand="0" w:evenVBand="0" w:oddHBand="0" w:evenHBand="0" w:firstRowFirstColumn="0" w:firstRowLastColumn="0" w:lastRowFirstColumn="0" w:lastRowLastColumn="0"/>
              <w:rPr>
                <w:b/>
                <w:szCs w:val="16"/>
              </w:rPr>
            </w:pPr>
            <w:r w:rsidRPr="0018610E">
              <w:rPr>
                <w:b/>
                <w:szCs w:val="16"/>
              </w:rPr>
              <w:t>72</w:t>
            </w:r>
          </w:p>
        </w:tc>
        <w:tc>
          <w:tcPr>
            <w:tcW w:w="659" w:type="dxa"/>
            <w:noWrap/>
            <w:hideMark/>
          </w:tcPr>
          <w:p w14:paraId="4D5E9DE9" w14:textId="77777777" w:rsidR="002912F1" w:rsidRPr="0018610E" w:rsidRDefault="002912F1" w:rsidP="005B7420">
            <w:pPr>
              <w:pStyle w:val="Tabletextright"/>
              <w:spacing w:before="20" w:after="40"/>
              <w:jc w:val="center"/>
              <w:cnfStyle w:val="000000000000" w:firstRow="0" w:lastRow="0" w:firstColumn="0" w:lastColumn="0" w:oddVBand="0" w:evenVBand="0" w:oddHBand="0" w:evenHBand="0" w:firstRowFirstColumn="0" w:firstRowLastColumn="0" w:lastRowFirstColumn="0" w:lastRowLastColumn="0"/>
              <w:rPr>
                <w:b/>
                <w:szCs w:val="16"/>
              </w:rPr>
            </w:pPr>
            <w:r w:rsidRPr="0018610E">
              <w:rPr>
                <w:b/>
                <w:szCs w:val="16"/>
              </w:rPr>
              <w:t>122</w:t>
            </w:r>
          </w:p>
        </w:tc>
        <w:tc>
          <w:tcPr>
            <w:tcW w:w="660" w:type="dxa"/>
          </w:tcPr>
          <w:p w14:paraId="41DCBFEC" w14:textId="77777777" w:rsidR="002912F1" w:rsidRPr="0018610E" w:rsidRDefault="002912F1" w:rsidP="005B7420">
            <w:pPr>
              <w:pStyle w:val="Tabletextright"/>
              <w:spacing w:before="20" w:after="40"/>
              <w:jc w:val="center"/>
              <w:cnfStyle w:val="000000000000" w:firstRow="0" w:lastRow="0" w:firstColumn="0" w:lastColumn="0" w:oddVBand="0" w:evenVBand="0" w:oddHBand="0" w:evenHBand="0" w:firstRowFirstColumn="0" w:firstRowLastColumn="0" w:lastRowFirstColumn="0" w:lastRowLastColumn="0"/>
              <w:rPr>
                <w:b/>
                <w:szCs w:val="16"/>
              </w:rPr>
            </w:pPr>
            <w:r w:rsidRPr="0018610E">
              <w:rPr>
                <w:b/>
                <w:szCs w:val="16"/>
              </w:rPr>
              <w:t>121</w:t>
            </w:r>
          </w:p>
        </w:tc>
      </w:tr>
    </w:tbl>
    <w:p w14:paraId="138ED71B" w14:textId="77777777" w:rsidR="001F4FFB" w:rsidRDefault="001F4FFB">
      <w:pPr>
        <w:rPr>
          <w:rFonts w:ascii="VIC SemiBold" w:hAnsi="VIC SemiBold"/>
          <w:bCs/>
          <w:color w:val="007586" w:themeColor="text2"/>
          <w:spacing w:val="2"/>
          <w:szCs w:val="18"/>
        </w:rPr>
      </w:pPr>
      <w:bookmarkStart w:id="4" w:name="_GoBack"/>
      <w:bookmarkEnd w:id="4"/>
      <w:r>
        <w:br w:type="page"/>
      </w:r>
    </w:p>
    <w:p w14:paraId="53A19106" w14:textId="31B0004A" w:rsidR="002912F1" w:rsidRDefault="0018610E" w:rsidP="0018610E">
      <w:pPr>
        <w:pStyle w:val="Tablechartdiagramheading"/>
      </w:pPr>
      <w:r w:rsidRPr="0018610E">
        <w:t>Figure 1: Category of sentinel events notified 2018–19</w:t>
      </w:r>
    </w:p>
    <w:p w14:paraId="78456A51" w14:textId="606C3A72" w:rsidR="0018610E" w:rsidRDefault="0018610E" w:rsidP="0018610E">
      <w:pPr>
        <w:jc w:val="both"/>
      </w:pPr>
      <w:r>
        <w:rPr>
          <w:noProof/>
        </w:rPr>
        <w:drawing>
          <wp:inline distT="0" distB="0" distL="0" distR="0" wp14:anchorId="71DFB3BD" wp14:editId="5C2F3BD7">
            <wp:extent cx="6300000" cy="3200400"/>
            <wp:effectExtent l="0" t="0" r="5715"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008E5C7B">
        <w:br w:type="textWrapping" w:clear="all"/>
      </w:r>
    </w:p>
    <w:p w14:paraId="1A0CAF26" w14:textId="77777777" w:rsidR="000F61ED" w:rsidRDefault="000F61ED" w:rsidP="000F61ED">
      <w:pPr>
        <w:pStyle w:val="Heading3"/>
      </w:pPr>
      <w:r>
        <w:t>What the numbers show</w:t>
      </w:r>
    </w:p>
    <w:p w14:paraId="73A7F2E2" w14:textId="76943B99" w:rsidR="000F61ED" w:rsidRDefault="000F61ED" w:rsidP="000F61ED">
      <w:pPr>
        <w:pStyle w:val="Bullet1"/>
      </w:pPr>
      <w:r>
        <w:t xml:space="preserve">The number of notifications involving </w:t>
      </w:r>
      <w:r w:rsidRPr="000F61ED">
        <w:rPr>
          <w:rFonts w:ascii="VIC Medium" w:hAnsi="VIC Medium"/>
        </w:rPr>
        <w:t>Category 6</w:t>
      </w:r>
      <w:r w:rsidR="0021222B">
        <w:rPr>
          <w:rFonts w:ascii="VIC Medium" w:hAnsi="VIC Medium"/>
        </w:rPr>
        <w:t>.</w:t>
      </w:r>
      <w:r w:rsidRPr="000F61ED">
        <w:rPr>
          <w:rFonts w:ascii="VIC Medium" w:hAnsi="VIC Medium"/>
        </w:rPr>
        <w:t xml:space="preserve"> Medication error leading to the death of a patient</w:t>
      </w:r>
      <w:r>
        <w:t xml:space="preserve"> </w:t>
      </w:r>
      <w:r w:rsidRPr="0021222B">
        <w:rPr>
          <w:rFonts w:ascii="VIC Medium" w:hAnsi="VIC Medium"/>
        </w:rPr>
        <w:t>reasonably believed to be due to incorrect administration of drugs</w:t>
      </w:r>
      <w:r>
        <w:t xml:space="preserve"> increased, from two to five</w:t>
      </w:r>
      <w:r w:rsidR="00716066">
        <w:t>. Mean</w:t>
      </w:r>
      <w:r>
        <w:t xml:space="preserve">while the numbers in </w:t>
      </w:r>
      <w:r w:rsidRPr="000F61ED">
        <w:rPr>
          <w:rFonts w:ascii="VIC Medium" w:hAnsi="VIC Medium"/>
        </w:rPr>
        <w:t>Category 3</w:t>
      </w:r>
      <w:r w:rsidR="0021222B">
        <w:rPr>
          <w:rFonts w:ascii="VIC Medium" w:hAnsi="VIC Medium"/>
        </w:rPr>
        <w:t>.</w:t>
      </w:r>
      <w:r w:rsidRPr="000F61ED">
        <w:rPr>
          <w:rFonts w:ascii="VIC Medium" w:hAnsi="VIC Medium"/>
        </w:rPr>
        <w:t xml:space="preserve"> Retained (un-retrieved) instruments or other material after surgery requiring re-operation or further surgical procedure</w:t>
      </w:r>
      <w:r>
        <w:t xml:space="preserve"> declined by two compared to</w:t>
      </w:r>
      <w:r w:rsidR="00003AE9">
        <w:t xml:space="preserve"> 2017–18</w:t>
      </w:r>
      <w:r>
        <w:t>.</w:t>
      </w:r>
    </w:p>
    <w:p w14:paraId="0D1DBD25" w14:textId="77777777" w:rsidR="000F61ED" w:rsidRDefault="000F61ED" w:rsidP="000F61ED">
      <w:pPr>
        <w:pStyle w:val="Bullet1"/>
      </w:pPr>
      <w:r>
        <w:t>Apart from this, notifications remained steady across other categories.</w:t>
      </w:r>
    </w:p>
    <w:p w14:paraId="48EDDD6D" w14:textId="77777777" w:rsidR="000F61ED" w:rsidRDefault="000F61ED" w:rsidP="000F61ED">
      <w:pPr>
        <w:pStyle w:val="Bullet1"/>
      </w:pPr>
      <w:r>
        <w:t xml:space="preserve">There were no notifications for </w:t>
      </w:r>
      <w:r w:rsidRPr="000F61ED">
        <w:rPr>
          <w:rFonts w:ascii="VIC Medium" w:hAnsi="VIC Medium"/>
        </w:rPr>
        <w:t>Category 5</w:t>
      </w:r>
      <w:r w:rsidR="0021222B">
        <w:rPr>
          <w:rFonts w:ascii="VIC Medium" w:hAnsi="VIC Medium"/>
        </w:rPr>
        <w:t>.</w:t>
      </w:r>
      <w:r w:rsidRPr="000F61ED">
        <w:rPr>
          <w:rFonts w:ascii="VIC Medium" w:hAnsi="VIC Medium"/>
        </w:rPr>
        <w:t xml:space="preserve"> Haemolytic blood transfusion reaction resulting from ABO incompatibility, Category 7</w:t>
      </w:r>
      <w:r w:rsidR="0021222B">
        <w:rPr>
          <w:rFonts w:ascii="VIC Medium" w:hAnsi="VIC Medium"/>
        </w:rPr>
        <w:t>.</w:t>
      </w:r>
      <w:r w:rsidRPr="000F61ED">
        <w:rPr>
          <w:rFonts w:ascii="VIC Medium" w:hAnsi="VIC Medium"/>
        </w:rPr>
        <w:t xml:space="preserve"> Maternal death associated with pregnancy, birth and the puerperium</w:t>
      </w:r>
      <w:r>
        <w:t xml:space="preserve"> and </w:t>
      </w:r>
      <w:r w:rsidRPr="000F61ED">
        <w:rPr>
          <w:rFonts w:ascii="VIC Medium" w:hAnsi="VIC Medium"/>
        </w:rPr>
        <w:t>Category 8</w:t>
      </w:r>
      <w:r w:rsidR="0021222B">
        <w:rPr>
          <w:rFonts w:ascii="VIC Medium" w:hAnsi="VIC Medium"/>
        </w:rPr>
        <w:t>.</w:t>
      </w:r>
      <w:r w:rsidRPr="000F61ED">
        <w:rPr>
          <w:rFonts w:ascii="VIC Medium" w:hAnsi="VIC Medium"/>
        </w:rPr>
        <w:t xml:space="preserve"> Infant discharged to the wrong family</w:t>
      </w:r>
      <w:r>
        <w:t>.</w:t>
      </w:r>
    </w:p>
    <w:p w14:paraId="68548625" w14:textId="77777777" w:rsidR="0021222B" w:rsidRDefault="0021222B">
      <w:pPr>
        <w:rPr>
          <w:rFonts w:ascii="VIC SemiBold" w:eastAsiaTheme="majorEastAsia" w:hAnsi="VIC SemiBold" w:cstheme="majorBidi"/>
          <w:bCs/>
          <w:caps/>
          <w:color w:val="007586" w:themeColor="text2"/>
          <w:sz w:val="24"/>
          <w:szCs w:val="26"/>
        </w:rPr>
      </w:pPr>
      <w:r>
        <w:br w:type="page"/>
      </w:r>
    </w:p>
    <w:p w14:paraId="0DAB3AB2" w14:textId="77777777" w:rsidR="000F61ED" w:rsidRDefault="000F61ED" w:rsidP="000F61ED">
      <w:pPr>
        <w:pStyle w:val="Heading2"/>
      </w:pPr>
      <w:r>
        <w:lastRenderedPageBreak/>
        <w:t>The notification rate</w:t>
      </w:r>
    </w:p>
    <w:p w14:paraId="7CF77ECD" w14:textId="77777777" w:rsidR="000F61ED" w:rsidRDefault="000F61ED" w:rsidP="000F61ED">
      <w:pPr>
        <w:pStyle w:val="Normalfollowingheading"/>
      </w:pPr>
      <w:r>
        <w:t>SCV received 123 sentinel events notifications</w:t>
      </w:r>
      <w:r w:rsidR="00BE0CFD">
        <w:t>. T</w:t>
      </w:r>
      <w:r>
        <w:t xml:space="preserve">wo </w:t>
      </w:r>
      <w:r w:rsidR="00BE0CFD">
        <w:t xml:space="preserve">were </w:t>
      </w:r>
      <w:r>
        <w:t xml:space="preserve">subsequently withdrawn for not meeting the sentinel event criteria. Public health services were responsible for </w:t>
      </w:r>
      <w:r w:rsidR="00BE0CFD">
        <w:t>82 per cent</w:t>
      </w:r>
      <w:r>
        <w:t xml:space="preserve"> of the 121 notifications accepted by SCV.</w:t>
      </w:r>
    </w:p>
    <w:p w14:paraId="3DC86AE5" w14:textId="77777777" w:rsidR="000F61ED" w:rsidRDefault="000F61ED" w:rsidP="000F61ED">
      <w:r w:rsidRPr="00003AE9">
        <w:rPr>
          <w:b/>
        </w:rPr>
        <w:t>Figure 2</w:t>
      </w:r>
      <w:r w:rsidRPr="00003AE9">
        <w:t xml:space="preserve"> </w:t>
      </w:r>
      <w:r w:rsidR="00716066" w:rsidRPr="00003AE9">
        <w:t xml:space="preserve">shows that </w:t>
      </w:r>
      <w:r w:rsidRPr="00003AE9">
        <w:t>the trend in notification</w:t>
      </w:r>
      <w:r w:rsidR="007B3D23" w:rsidRPr="00003AE9">
        <w:t>s</w:t>
      </w:r>
      <w:r w:rsidRPr="00003AE9">
        <w:t>, which has been increasing since 2015</w:t>
      </w:r>
      <w:r w:rsidR="007B3D23" w:rsidRPr="00003AE9">
        <w:t>–</w:t>
      </w:r>
      <w:r w:rsidRPr="00003AE9">
        <w:t>16, has plateaued.</w:t>
      </w:r>
    </w:p>
    <w:p w14:paraId="4CB9A6BC" w14:textId="11E6B769" w:rsidR="000F61ED" w:rsidRDefault="000F61ED" w:rsidP="000F61ED">
      <w:r>
        <w:t>There was a marked increase in notifications from private health services with 22 notifications received from 11 private health services</w:t>
      </w:r>
      <w:r w:rsidR="007B3D23">
        <w:t xml:space="preserve">, compared to </w:t>
      </w:r>
      <w:r w:rsidR="00716066">
        <w:t>eight</w:t>
      </w:r>
      <w:r w:rsidR="007B3D23">
        <w:t xml:space="preserve"> notifications</w:t>
      </w:r>
      <w:r>
        <w:t xml:space="preserve"> in 2017–18. This represented </w:t>
      </w:r>
      <w:r w:rsidR="00BE0CFD">
        <w:t>increase</w:t>
      </w:r>
      <w:r>
        <w:t xml:space="preserve"> </w:t>
      </w:r>
      <w:r w:rsidR="00716066">
        <w:t xml:space="preserve">is </w:t>
      </w:r>
      <w:r w:rsidR="007B3D23">
        <w:t>mostly</w:t>
      </w:r>
      <w:r>
        <w:t xml:space="preserve"> </w:t>
      </w:r>
      <w:r w:rsidR="00D74E6E">
        <w:t>a result of</w:t>
      </w:r>
      <w:r>
        <w:t xml:space="preserve"> legislative changes that </w:t>
      </w:r>
      <w:r w:rsidR="007B3D23">
        <w:t xml:space="preserve">now </w:t>
      </w:r>
      <w:r w:rsidR="00BE0CFD">
        <w:t>require</w:t>
      </w:r>
      <w:r>
        <w:t xml:space="preserve"> </w:t>
      </w:r>
      <w:r w:rsidR="007B3D23">
        <w:t xml:space="preserve">Victorian </w:t>
      </w:r>
      <w:r>
        <w:t>private health services to notify SCV when a sentinel event occurs.</w:t>
      </w:r>
    </w:p>
    <w:p w14:paraId="093E6872" w14:textId="2ECB44EF" w:rsidR="000F61ED" w:rsidRDefault="000F61ED" w:rsidP="000F61ED">
      <w:r>
        <w:t>While</w:t>
      </w:r>
      <w:r w:rsidR="007B3D23">
        <w:t xml:space="preserve"> we</w:t>
      </w:r>
      <w:r>
        <w:t xml:space="preserve"> commend those services </w:t>
      </w:r>
      <w:r w:rsidRPr="00003AE9">
        <w:t xml:space="preserve">on their commitment to improving patient safety, there is </w:t>
      </w:r>
      <w:r w:rsidR="00716066" w:rsidRPr="00003AE9">
        <w:t xml:space="preserve">more work to do to </w:t>
      </w:r>
      <w:r w:rsidR="007B3D23" w:rsidRPr="00003AE9">
        <w:t>create a</w:t>
      </w:r>
      <w:r w:rsidRPr="00003AE9">
        <w:t xml:space="preserve"> transparent reporting culture in </w:t>
      </w:r>
      <w:r w:rsidR="007B3D23" w:rsidRPr="00003AE9">
        <w:t>all</w:t>
      </w:r>
      <w:r w:rsidRPr="00003AE9">
        <w:t xml:space="preserve"> health services. We are working with the sector to ensure </w:t>
      </w:r>
      <w:r w:rsidR="00716066" w:rsidRPr="00003AE9">
        <w:t xml:space="preserve">we don’t miss any </w:t>
      </w:r>
      <w:r w:rsidRPr="00003AE9">
        <w:t xml:space="preserve">opportunities for learning. For example, </w:t>
      </w:r>
      <w:r w:rsidR="007B3D23" w:rsidRPr="00003AE9">
        <w:t xml:space="preserve">we are expanding our incident review training program and incident review framework (page </w:t>
      </w:r>
      <w:r w:rsidR="0051226C" w:rsidRPr="00003AE9">
        <w:t>18)</w:t>
      </w:r>
      <w:r w:rsidR="007B3D23" w:rsidRPr="00003AE9">
        <w:t xml:space="preserve"> to include guidance on creating </w:t>
      </w:r>
      <w:r w:rsidRPr="00003AE9">
        <w:t>a just culture</w:t>
      </w:r>
      <w:r w:rsidR="007B3D23" w:rsidRPr="00003AE9">
        <w:t>, where</w:t>
      </w:r>
      <w:r w:rsidRPr="00003AE9">
        <w:t xml:space="preserve"> staff and consumers feel safe to talk about adverse</w:t>
      </w:r>
      <w:r>
        <w:t xml:space="preserve"> events</w:t>
      </w:r>
      <w:r w:rsidR="007B3D23">
        <w:t>.</w:t>
      </w:r>
    </w:p>
    <w:p w14:paraId="3A399157" w14:textId="7C62B03B" w:rsidR="000F61ED" w:rsidRDefault="007B3D23" w:rsidP="000F61ED">
      <w:r>
        <w:t>We</w:t>
      </w:r>
      <w:r w:rsidR="000F61ED">
        <w:t xml:space="preserve"> will continue to monitor </w:t>
      </w:r>
      <w:r>
        <w:t>this</w:t>
      </w:r>
      <w:r w:rsidR="000F61ED">
        <w:t xml:space="preserve"> trend</w:t>
      </w:r>
      <w:r>
        <w:t>,</w:t>
      </w:r>
      <w:r w:rsidR="000F61ED">
        <w:t xml:space="preserve"> particularly with the changes to sentinel event categories </w:t>
      </w:r>
      <w:r w:rsidR="00003AE9">
        <w:br/>
      </w:r>
      <w:r>
        <w:t>(</w:t>
      </w:r>
      <w:r w:rsidR="000F61ED" w:rsidRPr="00003AE9">
        <w:t>page 1</w:t>
      </w:r>
      <w:r w:rsidR="0051226C" w:rsidRPr="00003AE9">
        <w:t>1)</w:t>
      </w:r>
      <w:r w:rsidR="000F61ED" w:rsidRPr="00003AE9">
        <w:t>.</w:t>
      </w:r>
    </w:p>
    <w:p w14:paraId="4D898BB9" w14:textId="77777777" w:rsidR="000F61ED" w:rsidRDefault="000F61ED" w:rsidP="006E6F9A">
      <w:pPr>
        <w:pStyle w:val="Tablechartdiagramheading"/>
      </w:pPr>
      <w:r>
        <w:t>Figure 2: Trend in sentinel event notifications</w:t>
      </w:r>
    </w:p>
    <w:p w14:paraId="30C21F3C" w14:textId="77777777" w:rsidR="000F61ED" w:rsidRDefault="006E6F9A" w:rsidP="000F61ED">
      <w:r>
        <w:rPr>
          <w:noProof/>
        </w:rPr>
        <w:drawing>
          <wp:inline distT="0" distB="0" distL="0" distR="0" wp14:anchorId="34AF0D12" wp14:editId="3A9533EC">
            <wp:extent cx="6300000" cy="3200400"/>
            <wp:effectExtent l="0" t="0" r="5715"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2351146" w14:textId="77777777" w:rsidR="007B3D23" w:rsidRDefault="007B3D23">
      <w:pPr>
        <w:rPr>
          <w:rFonts w:ascii="VIC SemiBold" w:hAnsi="VIC SemiBold"/>
          <w:bCs/>
          <w:color w:val="007586" w:themeColor="text2"/>
          <w:spacing w:val="2"/>
          <w:szCs w:val="18"/>
        </w:rPr>
      </w:pPr>
      <w:r>
        <w:br w:type="page"/>
      </w:r>
    </w:p>
    <w:p w14:paraId="68E4610D" w14:textId="77777777" w:rsidR="000F61ED" w:rsidRDefault="000F61ED" w:rsidP="00033C6C">
      <w:pPr>
        <w:pStyle w:val="Tablechartdiagramheading"/>
        <w:spacing w:after="0"/>
      </w:pPr>
      <w:r w:rsidRPr="000F61ED">
        <w:lastRenderedPageBreak/>
        <w:t>Figure 3: Timeliness of notifying of sentinel events 2018–19</w:t>
      </w:r>
    </w:p>
    <w:p w14:paraId="1C6C1986" w14:textId="77777777" w:rsidR="000F61ED" w:rsidRDefault="00587659" w:rsidP="00033C6C">
      <w:pPr>
        <w:spacing w:after="0" w:line="240" w:lineRule="auto"/>
      </w:pPr>
      <w:r>
        <w:rPr>
          <w:noProof/>
        </w:rPr>
        <w:drawing>
          <wp:inline distT="0" distB="0" distL="0" distR="0" wp14:anchorId="08F5AA0C" wp14:editId="74C4AE1A">
            <wp:extent cx="6299835" cy="2268000"/>
            <wp:effectExtent l="0" t="0" r="5715"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A1BEF6F" w14:textId="374030B0" w:rsidR="000F61ED" w:rsidRDefault="000F61ED" w:rsidP="00033C6C">
      <w:pPr>
        <w:spacing w:before="0"/>
      </w:pPr>
      <w:r>
        <w:t xml:space="preserve">Notifying SCV of sentinel events in a timely way is important because it </w:t>
      </w:r>
      <w:r w:rsidRPr="00003AE9">
        <w:t xml:space="preserve">initiates </w:t>
      </w:r>
      <w:r w:rsidR="007B5334" w:rsidRPr="00003AE9">
        <w:t xml:space="preserve">the </w:t>
      </w:r>
      <w:r w:rsidRPr="00003AE9">
        <w:t>sentinel</w:t>
      </w:r>
      <w:r>
        <w:t xml:space="preserve"> event review processes. It also helps to send a clear message that these processes must be made</w:t>
      </w:r>
      <w:r w:rsidR="007B5334">
        <w:t xml:space="preserve"> </w:t>
      </w:r>
      <w:r>
        <w:t>an organisational priority.</w:t>
      </w:r>
    </w:p>
    <w:p w14:paraId="1CBD79A6" w14:textId="35A0EC97" w:rsidR="000F61ED" w:rsidRDefault="000F61ED" w:rsidP="000F61ED">
      <w:r>
        <w:t>Only 36 (30</w:t>
      </w:r>
      <w:r w:rsidR="007B5334">
        <w:t xml:space="preserve"> per cent</w:t>
      </w:r>
      <w:r>
        <w:t xml:space="preserve">) of events were notified within three working days. </w:t>
      </w:r>
      <w:r w:rsidR="007B3D23">
        <w:t xml:space="preserve">Sometimes this is because </w:t>
      </w:r>
      <w:r>
        <w:t xml:space="preserve">health services </w:t>
      </w:r>
      <w:r w:rsidR="007B3D23">
        <w:t>are not</w:t>
      </w:r>
      <w:r w:rsidR="00716066">
        <w:t xml:space="preserve"> immediately</w:t>
      </w:r>
      <w:r>
        <w:t xml:space="preserve"> aware</w:t>
      </w:r>
      <w:r w:rsidR="007B3D23">
        <w:t xml:space="preserve"> </w:t>
      </w:r>
      <w:r>
        <w:t>that a sentinel event has occurred. However, some health services initiate</w:t>
      </w:r>
      <w:r w:rsidR="007B3D23">
        <w:t>d</w:t>
      </w:r>
      <w:r w:rsidR="00FD5381">
        <w:t xml:space="preserve"> (or even completed)</w:t>
      </w:r>
      <w:r>
        <w:t xml:space="preserve"> review processes </w:t>
      </w:r>
      <w:r w:rsidR="00FD5381">
        <w:t>before</w:t>
      </w:r>
      <w:r>
        <w:t xml:space="preserve"> making a sentinel event notification. While we acknowledge more information is sometimes needed before </w:t>
      </w:r>
      <w:r w:rsidR="00716066">
        <w:t>confirming an</w:t>
      </w:r>
      <w:r>
        <w:t xml:space="preserve"> event meets sentinel event criteria, unsubstantiated delays to sentinel notification </w:t>
      </w:r>
      <w:r w:rsidR="00BE0CFD">
        <w:t>reflects weak governance in an organisation</w:t>
      </w:r>
      <w:r>
        <w:t xml:space="preserve">. </w:t>
      </w:r>
      <w:r w:rsidR="00FD5381">
        <w:t xml:space="preserve">Our </w:t>
      </w:r>
      <w:r>
        <w:t xml:space="preserve">incident response team </w:t>
      </w:r>
      <w:r w:rsidR="00FD5381">
        <w:t>is</w:t>
      </w:r>
      <w:r>
        <w:t xml:space="preserve"> available to provide advice to health services </w:t>
      </w:r>
      <w:r w:rsidR="00716066">
        <w:t>on</w:t>
      </w:r>
      <w:r>
        <w:t xml:space="preserve"> whether a serious adverse event meets sentinel event criteria.</w:t>
      </w:r>
    </w:p>
    <w:p w14:paraId="2BF0A6C1" w14:textId="77777777" w:rsidR="000F61ED" w:rsidRDefault="000F61ED" w:rsidP="00033C6C">
      <w:pPr>
        <w:pStyle w:val="Tablechartdiagramheading"/>
        <w:spacing w:before="120" w:after="0"/>
      </w:pPr>
      <w:r>
        <w:t>Figure 4: Age of patient affected by sentinel events 2018–19</w:t>
      </w:r>
    </w:p>
    <w:p w14:paraId="4A39FE99" w14:textId="77777777" w:rsidR="000F61ED" w:rsidRDefault="00587659" w:rsidP="00033C6C">
      <w:pPr>
        <w:spacing w:after="0"/>
      </w:pPr>
      <w:r>
        <w:rPr>
          <w:noProof/>
        </w:rPr>
        <w:drawing>
          <wp:inline distT="0" distB="0" distL="0" distR="0" wp14:anchorId="53C95F40" wp14:editId="7B93B339">
            <wp:extent cx="6299835" cy="2268000"/>
            <wp:effectExtent l="0" t="0" r="5715" b="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DE90E2C" w14:textId="77777777" w:rsidR="00FD5381" w:rsidRDefault="000F61ED" w:rsidP="00033C6C">
      <w:pPr>
        <w:spacing w:before="0"/>
        <w:rPr>
          <w:rFonts w:ascii="VIC SemiBold" w:eastAsiaTheme="majorEastAsia" w:hAnsi="VIC SemiBold" w:cstheme="majorBidi"/>
          <w:color w:val="007586" w:themeColor="text2"/>
          <w:sz w:val="24"/>
          <w:szCs w:val="26"/>
        </w:rPr>
      </w:pPr>
      <w:r w:rsidRPr="000F61ED">
        <w:t>Sentinel events were noted for all age groups, with over-representation in the young</w:t>
      </w:r>
      <w:r w:rsidR="00FD5381">
        <w:t>er</w:t>
      </w:r>
      <w:r w:rsidRPr="000F61ED">
        <w:t xml:space="preserve"> and older cohorts. This highlights challenges around communication wit</w:t>
      </w:r>
      <w:r w:rsidR="00FD5381">
        <w:t>h,</w:t>
      </w:r>
      <w:r w:rsidRPr="000F61ED">
        <w:t xml:space="preserve"> and </w:t>
      </w:r>
      <w:r w:rsidR="00FD5381">
        <w:t xml:space="preserve">the </w:t>
      </w:r>
      <w:r w:rsidRPr="000F61ED">
        <w:t>vulnerability of</w:t>
      </w:r>
      <w:r w:rsidR="00FD5381">
        <w:t>,</w:t>
      </w:r>
      <w:r w:rsidRPr="000F61ED">
        <w:t xml:space="preserve"> these age groups.</w:t>
      </w:r>
      <w:r w:rsidR="00FD5381">
        <w:br w:type="page"/>
      </w:r>
    </w:p>
    <w:p w14:paraId="60D1789C" w14:textId="77777777" w:rsidR="000F61ED" w:rsidRDefault="00572C0C" w:rsidP="00572C0C">
      <w:pPr>
        <w:pStyle w:val="Heading2"/>
      </w:pPr>
      <w:r>
        <w:lastRenderedPageBreak/>
        <w:t>Outcome of sentinel events</w:t>
      </w:r>
    </w:p>
    <w:p w14:paraId="5F0CF593" w14:textId="77777777" w:rsidR="00572C0C" w:rsidRDefault="00572C0C" w:rsidP="00572C0C">
      <w:pPr>
        <w:pStyle w:val="Normalfollowingheading"/>
      </w:pPr>
      <w:r>
        <w:t xml:space="preserve">Of the 121 sentinel events notified in </w:t>
      </w:r>
      <w:bookmarkStart w:id="5" w:name="_Hlk29811286"/>
      <w:r>
        <w:t>2018–19</w:t>
      </w:r>
      <w:bookmarkEnd w:id="5"/>
      <w:r>
        <w:t xml:space="preserve">, 86 </w:t>
      </w:r>
      <w:r w:rsidR="00BE0CFD">
        <w:t xml:space="preserve">(71 </w:t>
      </w:r>
      <w:r>
        <w:t>per cent</w:t>
      </w:r>
      <w:r w:rsidR="00BE0CFD">
        <w:t>)</w:t>
      </w:r>
      <w:r>
        <w:t xml:space="preserve"> resulted in death of the patient. This compares with 76 per cent in </w:t>
      </w:r>
      <w:r w:rsidR="00BE0CFD" w:rsidRPr="00BE0CFD">
        <w:t>201</w:t>
      </w:r>
      <w:r w:rsidR="00BE0CFD">
        <w:t>7</w:t>
      </w:r>
      <w:r w:rsidR="00BE0CFD" w:rsidRPr="00BE0CFD">
        <w:t>–1</w:t>
      </w:r>
      <w:r w:rsidR="00BE0CFD">
        <w:t>8</w:t>
      </w:r>
      <w:r>
        <w:t>.</w:t>
      </w:r>
    </w:p>
    <w:p w14:paraId="0F3600BE" w14:textId="77777777" w:rsidR="000F61ED" w:rsidRDefault="00572C0C" w:rsidP="00572C0C">
      <w:pPr>
        <w:pStyle w:val="Tablechartdiagramheading"/>
      </w:pPr>
      <w:r>
        <w:t>Figure 5: Degree of patient impact 2018–19</w:t>
      </w:r>
    </w:p>
    <w:p w14:paraId="25C72190" w14:textId="77777777" w:rsidR="00572C0C" w:rsidRDefault="00033C6C" w:rsidP="00033C6C">
      <w:pPr>
        <w:spacing w:after="0" w:line="240" w:lineRule="auto"/>
      </w:pPr>
      <w:r>
        <w:rPr>
          <w:noProof/>
        </w:rPr>
        <w:drawing>
          <wp:inline distT="0" distB="0" distL="0" distR="0" wp14:anchorId="1C5B869B" wp14:editId="4CFA9DBF">
            <wp:extent cx="6300000" cy="2268000"/>
            <wp:effectExtent l="0" t="0" r="5715" b="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35F4F0D" w14:textId="77777777" w:rsidR="00572C0C" w:rsidRDefault="00572C0C" w:rsidP="00033C6C">
      <w:pPr>
        <w:pStyle w:val="Heading2"/>
        <w:spacing w:before="0"/>
      </w:pPr>
      <w:r>
        <w:t>Health service type and location of sentinel event</w:t>
      </w:r>
    </w:p>
    <w:p w14:paraId="5A689956" w14:textId="77777777" w:rsidR="0087745B" w:rsidRDefault="0087745B" w:rsidP="0087745B">
      <w:pPr>
        <w:pStyle w:val="Normalfollowingheading"/>
      </w:pPr>
      <w:r>
        <w:t xml:space="preserve">Sentinel events are more likely to occur in health services that treat more patients and provide more complex care. As to be expected, the </w:t>
      </w:r>
      <w:r w:rsidR="00716066">
        <w:t>highest</w:t>
      </w:r>
      <w:r>
        <w:t xml:space="preserve"> number of sentinel events notified occurred in large tertiary hospitals and major hospitals.</w:t>
      </w:r>
    </w:p>
    <w:p w14:paraId="79CF5C7E" w14:textId="50D0C974" w:rsidR="0087745B" w:rsidRDefault="00D14F54" w:rsidP="0087745B">
      <w:r>
        <w:t>Smaller</w:t>
      </w:r>
      <w:r w:rsidR="0087745B">
        <w:t xml:space="preserve"> health services </w:t>
      </w:r>
      <w:r>
        <w:t xml:space="preserve">in rural Victoria </w:t>
      </w:r>
      <w:r w:rsidR="0087745B">
        <w:t xml:space="preserve">accounted for </w:t>
      </w:r>
      <w:r w:rsidR="00394F69">
        <w:t xml:space="preserve">a third </w:t>
      </w:r>
      <w:r w:rsidR="0087745B">
        <w:t>of notifications from public hospitals</w:t>
      </w:r>
      <w:r w:rsidR="00FF6ABB">
        <w:t>,</w:t>
      </w:r>
      <w:r w:rsidR="0087745B">
        <w:t xml:space="preserve"> which highlights their commitment to transparency and learning. This helps inform how SCV provides incident review training and other patient safety initiatives.</w:t>
      </w:r>
    </w:p>
    <w:p w14:paraId="231C4F54" w14:textId="77777777" w:rsidR="00572C0C" w:rsidRDefault="00572C0C" w:rsidP="00572C0C">
      <w:pPr>
        <w:pStyle w:val="Tablechartdiagramheading"/>
      </w:pPr>
      <w:r>
        <w:t>Figure 6: Health service type (public) 2018–19</w:t>
      </w:r>
    </w:p>
    <w:p w14:paraId="101BFF3E" w14:textId="55455EC2" w:rsidR="00FD5381" w:rsidRDefault="004D730E">
      <w:pPr>
        <w:rPr>
          <w:rFonts w:ascii="VIC SemiBold" w:hAnsi="VIC SemiBold"/>
          <w:bCs/>
          <w:color w:val="007586" w:themeColor="text2"/>
          <w:spacing w:val="2"/>
          <w:szCs w:val="18"/>
        </w:rPr>
      </w:pPr>
      <w:r>
        <w:rPr>
          <w:noProof/>
        </w:rPr>
        <w:drawing>
          <wp:inline distT="0" distB="0" distL="0" distR="0" wp14:anchorId="615119E2" wp14:editId="7F5AD208">
            <wp:extent cx="6300000" cy="2268000"/>
            <wp:effectExtent l="0" t="0" r="5715" b="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00FD5381">
        <w:br w:type="page"/>
      </w:r>
    </w:p>
    <w:p w14:paraId="1D1BAA11" w14:textId="77777777" w:rsidR="00572C0C" w:rsidRDefault="00572C0C" w:rsidP="00837D31">
      <w:pPr>
        <w:pStyle w:val="Tablechartdiagramheading"/>
        <w:spacing w:after="0"/>
      </w:pPr>
      <w:r>
        <w:lastRenderedPageBreak/>
        <w:t>Figure 7: Location of sentinel event</w:t>
      </w:r>
    </w:p>
    <w:p w14:paraId="49581F06" w14:textId="77777777" w:rsidR="00053A27" w:rsidRDefault="009F0015" w:rsidP="00572C0C">
      <w:r>
        <w:rPr>
          <w:noProof/>
        </w:rPr>
        <w:drawing>
          <wp:inline distT="0" distB="0" distL="0" distR="0" wp14:anchorId="675D0278" wp14:editId="57AFDBA2">
            <wp:extent cx="6299835" cy="2725947"/>
            <wp:effectExtent l="0" t="0" r="5715" b="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4AB02A5" w14:textId="77777777" w:rsidR="00053A27" w:rsidRDefault="009F0015" w:rsidP="00053A27">
      <w:r w:rsidRPr="009F0015">
        <w:t>S</w:t>
      </w:r>
      <w:r w:rsidR="00053A27">
        <w:t>entinel events occur</w:t>
      </w:r>
      <w:r w:rsidR="00BE0CFD">
        <w:t>red</w:t>
      </w:r>
      <w:r w:rsidR="00053A27">
        <w:t xml:space="preserve"> in a wide variety of locations.</w:t>
      </w:r>
    </w:p>
    <w:p w14:paraId="3F914923" w14:textId="77777777" w:rsidR="00053A27" w:rsidRDefault="00053A27" w:rsidP="00053A27">
      <w:r>
        <w:t xml:space="preserve">Given patients spend most of their time </w:t>
      </w:r>
      <w:r w:rsidR="008310C7">
        <w:t>on</w:t>
      </w:r>
      <w:r>
        <w:t xml:space="preserve"> their ward or </w:t>
      </w:r>
      <w:r w:rsidR="008310C7">
        <w:t xml:space="preserve">in their </w:t>
      </w:r>
      <w:r>
        <w:t xml:space="preserve">room, it </w:t>
      </w:r>
      <w:r w:rsidR="008310C7">
        <w:t xml:space="preserve">is </w:t>
      </w:r>
      <w:r>
        <w:t>unsurprising that sentinel events, such as falls and medication errors</w:t>
      </w:r>
      <w:r w:rsidR="008310C7">
        <w:t>,</w:t>
      </w:r>
      <w:r>
        <w:t xml:space="preserve"> happen </w:t>
      </w:r>
      <w:r w:rsidR="00BE0CFD">
        <w:t>t</w:t>
      </w:r>
      <w:r>
        <w:t>here more frequently. Operating theatres, intensive care units and emergency departments provide more complex care, with higher patient safety risks. When these risks ultimately lead to a sentinel event, this highlights the need to better understand and manage these risks through undertaking a RCA review.</w:t>
      </w:r>
    </w:p>
    <w:p w14:paraId="43AF8B59" w14:textId="77777777" w:rsidR="00FD5381" w:rsidRDefault="00FD5381" w:rsidP="00FD5381">
      <w:pPr>
        <w:pStyle w:val="Heading2"/>
      </w:pPr>
      <w:r>
        <w:t>Categories</w:t>
      </w:r>
    </w:p>
    <w:p w14:paraId="4081A1AF" w14:textId="77777777" w:rsidR="00053A27" w:rsidRDefault="00053A27" w:rsidP="00FD5381">
      <w:pPr>
        <w:pStyle w:val="Normalfollowingheading"/>
      </w:pPr>
      <w:r>
        <w:t xml:space="preserve">The distribution of sentinel event notifications across the nine categories remains largely consistent with previous years. </w:t>
      </w:r>
    </w:p>
    <w:p w14:paraId="482493EF" w14:textId="694F7F58" w:rsidR="00053A27" w:rsidRDefault="00053A27" w:rsidP="00053A27">
      <w:r w:rsidRPr="00F47895">
        <w:t>Examples</w:t>
      </w:r>
      <w:r>
        <w:t xml:space="preserve"> of notifications from </w:t>
      </w:r>
      <w:r w:rsidRPr="000E7687">
        <w:t>each of the national sentinel</w:t>
      </w:r>
      <w:r>
        <w:t xml:space="preserve"> event categories are detailed below.</w:t>
      </w:r>
    </w:p>
    <w:p w14:paraId="1358F450" w14:textId="07C771B4" w:rsidR="000E7687" w:rsidRPr="000E7687" w:rsidRDefault="000E7687" w:rsidP="00053A27">
      <w:pPr>
        <w:rPr>
          <w:rFonts w:ascii="VIC Medium" w:hAnsi="VIC Medium"/>
        </w:rPr>
      </w:pPr>
      <w:r>
        <w:t xml:space="preserve">There were no notifications for </w:t>
      </w:r>
      <w:r w:rsidRPr="00053A27">
        <w:rPr>
          <w:rFonts w:ascii="VIC Medium" w:hAnsi="VIC Medium"/>
        </w:rPr>
        <w:t>Category 5</w:t>
      </w:r>
      <w:r>
        <w:rPr>
          <w:rFonts w:ascii="VIC Medium" w:hAnsi="VIC Medium"/>
        </w:rPr>
        <w:t>.</w:t>
      </w:r>
      <w:r w:rsidRPr="00053A27">
        <w:rPr>
          <w:rFonts w:ascii="VIC Medium" w:hAnsi="VIC Medium"/>
        </w:rPr>
        <w:t xml:space="preserve"> Haemolytic blood transfusion reaction resulting from ABO incompatibility, Category 7</w:t>
      </w:r>
      <w:r>
        <w:rPr>
          <w:rFonts w:ascii="VIC Medium" w:hAnsi="VIC Medium"/>
        </w:rPr>
        <w:t>.</w:t>
      </w:r>
      <w:r w:rsidRPr="00053A27">
        <w:rPr>
          <w:rFonts w:ascii="VIC Medium" w:hAnsi="VIC Medium"/>
        </w:rPr>
        <w:t xml:space="preserve"> Maternal death associated with pregnancy, birth and the puerperium</w:t>
      </w:r>
      <w:r>
        <w:t xml:space="preserve"> or </w:t>
      </w:r>
      <w:r w:rsidRPr="00053A27">
        <w:rPr>
          <w:rFonts w:ascii="VIC Medium" w:hAnsi="VIC Medium"/>
        </w:rPr>
        <w:t>Category 8</w:t>
      </w:r>
      <w:r>
        <w:rPr>
          <w:rFonts w:ascii="VIC Medium" w:hAnsi="VIC Medium"/>
        </w:rPr>
        <w:t>.</w:t>
      </w:r>
      <w:r w:rsidRPr="00053A27">
        <w:rPr>
          <w:rFonts w:ascii="VIC Medium" w:hAnsi="VIC Medium"/>
        </w:rPr>
        <w:t xml:space="preserve"> Infant discharged to the wrong family.</w:t>
      </w:r>
    </w:p>
    <w:p w14:paraId="3E4C1E1A" w14:textId="77777777" w:rsidR="00053A27" w:rsidRDefault="00053A27" w:rsidP="00053A27">
      <w:pPr>
        <w:pStyle w:val="Heading3"/>
      </w:pPr>
      <w:r>
        <w:t>1</w:t>
      </w:r>
      <w:r w:rsidR="0087745B">
        <w:t>.</w:t>
      </w:r>
      <w:r>
        <w:t xml:space="preserve"> Procedures involving the wrong patient or body part resulting in death or major permanent loss of function</w:t>
      </w:r>
    </w:p>
    <w:p w14:paraId="092BA2F7" w14:textId="77777777" w:rsidR="00053A27" w:rsidRDefault="00FD5381" w:rsidP="00053A27">
      <w:pPr>
        <w:pStyle w:val="Normalfollowingheading"/>
      </w:pPr>
      <w:r>
        <w:t xml:space="preserve">There was one event in this category, involving </w:t>
      </w:r>
      <w:r w:rsidR="00053A27">
        <w:t xml:space="preserve">a </w:t>
      </w:r>
      <w:r>
        <w:t>c</w:t>
      </w:r>
      <w:r w:rsidR="00053A27">
        <w:t xml:space="preserve">entral </w:t>
      </w:r>
      <w:r>
        <w:t>v</w:t>
      </w:r>
      <w:r w:rsidR="00053A27">
        <w:t xml:space="preserve">enous </w:t>
      </w:r>
      <w:r>
        <w:t>c</w:t>
      </w:r>
      <w:r w:rsidR="00053A27">
        <w:t>atheter</w:t>
      </w:r>
      <w:r>
        <w:t xml:space="preserve"> that</w:t>
      </w:r>
      <w:r w:rsidR="00053A27">
        <w:t xml:space="preserve"> was incorrectly inserted into the femoral artery (rather than the femoral vein)</w:t>
      </w:r>
      <w:r w:rsidR="008310C7">
        <w:t>.</w:t>
      </w:r>
      <w:r w:rsidR="00053A27">
        <w:t xml:space="preserve"> </w:t>
      </w:r>
      <w:r w:rsidR="008310C7">
        <w:t>P</w:t>
      </w:r>
      <w:r w:rsidR="00053A27">
        <w:t>lacement was not adequately checked at the time of insertion.</w:t>
      </w:r>
    </w:p>
    <w:p w14:paraId="6A179733" w14:textId="77777777" w:rsidR="00FD5381" w:rsidRDefault="00FD5381">
      <w:pPr>
        <w:rPr>
          <w:rFonts w:ascii="VIC SemiBold" w:eastAsiaTheme="majorEastAsia" w:hAnsi="VIC SemiBold" w:cstheme="majorBidi"/>
          <w:bCs/>
          <w:color w:val="000000" w:themeColor="text1"/>
          <w:sz w:val="24"/>
          <w:szCs w:val="22"/>
        </w:rPr>
      </w:pPr>
      <w:r>
        <w:br w:type="page"/>
      </w:r>
    </w:p>
    <w:p w14:paraId="26106595" w14:textId="77777777" w:rsidR="00053A27" w:rsidRDefault="00053A27" w:rsidP="00053A27">
      <w:pPr>
        <w:pStyle w:val="Heading3"/>
      </w:pPr>
      <w:r>
        <w:lastRenderedPageBreak/>
        <w:t>2</w:t>
      </w:r>
      <w:r w:rsidR="0087745B">
        <w:t>.</w:t>
      </w:r>
      <w:r>
        <w:t xml:space="preserve"> Suicide of a patient in an inpatient unit</w:t>
      </w:r>
    </w:p>
    <w:p w14:paraId="5E15C7BD" w14:textId="77777777" w:rsidR="00053A27" w:rsidRDefault="00053A27" w:rsidP="00053A27">
      <w:pPr>
        <w:pStyle w:val="Normalfollowingheading"/>
      </w:pPr>
      <w:r>
        <w:t>There were five events reported by mental health facilities</w:t>
      </w:r>
      <w:r w:rsidR="00FD5381">
        <w:t xml:space="preserve">, compared to </w:t>
      </w:r>
      <w:r>
        <w:t>seven in 2017</w:t>
      </w:r>
      <w:r w:rsidR="00B32F85">
        <w:t>–</w:t>
      </w:r>
      <w:r>
        <w:t>18.</w:t>
      </w:r>
    </w:p>
    <w:p w14:paraId="049C89DC" w14:textId="77777777" w:rsidR="00053A27" w:rsidRDefault="00053A27" w:rsidP="00053A27">
      <w:r>
        <w:t>Locations included:</w:t>
      </w:r>
    </w:p>
    <w:p w14:paraId="04617B7E" w14:textId="77777777" w:rsidR="00053A27" w:rsidRDefault="00053A27" w:rsidP="00053A27">
      <w:pPr>
        <w:pStyle w:val="Bullet1"/>
      </w:pPr>
      <w:r>
        <w:t>a patient’s room (mental health facility) – 3</w:t>
      </w:r>
    </w:p>
    <w:p w14:paraId="2ACB3797" w14:textId="77777777" w:rsidR="00053A27" w:rsidRDefault="00053A27" w:rsidP="00053A27">
      <w:pPr>
        <w:pStyle w:val="Bullet1"/>
      </w:pPr>
      <w:r>
        <w:t>a patient’s bathroom – 1</w:t>
      </w:r>
    </w:p>
    <w:p w14:paraId="512052C7" w14:textId="77777777" w:rsidR="00053A27" w:rsidRDefault="00053A27" w:rsidP="00053A27">
      <w:pPr>
        <w:pStyle w:val="Bullet1"/>
      </w:pPr>
      <w:r>
        <w:t>outside the facility while the inpatient was on approved leave</w:t>
      </w:r>
      <w:r w:rsidR="008310C7">
        <w:t xml:space="preserve"> </w:t>
      </w:r>
      <w:r>
        <w:t>– 1.</w:t>
      </w:r>
    </w:p>
    <w:p w14:paraId="60147B9A" w14:textId="77777777" w:rsidR="00053A27" w:rsidRDefault="00053A27" w:rsidP="00053A27">
      <w:r>
        <w:t xml:space="preserve">Apparent patient suicides in other healthcare settings are also reported as </w:t>
      </w:r>
      <w:r w:rsidRPr="00FD5381">
        <w:rPr>
          <w:rFonts w:ascii="VIC Medium" w:hAnsi="VIC Medium"/>
        </w:rPr>
        <w:t>Category 9</w:t>
      </w:r>
      <w:r w:rsidR="00FD5381" w:rsidRPr="00FD5381">
        <w:rPr>
          <w:rFonts w:ascii="VIC Medium" w:hAnsi="VIC Medium"/>
        </w:rPr>
        <w:t>.</w:t>
      </w:r>
      <w:r w:rsidRPr="00FD5381">
        <w:rPr>
          <w:rFonts w:ascii="VIC Medium" w:hAnsi="VIC Medium"/>
        </w:rPr>
        <w:t xml:space="preserve"> Other catastrophic: ISR1</w:t>
      </w:r>
      <w:r>
        <w:t xml:space="preserve"> (page </w:t>
      </w:r>
      <w:r w:rsidRPr="004D4180">
        <w:t>1</w:t>
      </w:r>
      <w:r w:rsidR="004D4180" w:rsidRPr="004D4180">
        <w:t>4</w:t>
      </w:r>
      <w:r>
        <w:t>).</w:t>
      </w:r>
    </w:p>
    <w:p w14:paraId="0CD69E96" w14:textId="1539AB30" w:rsidR="00572C0C" w:rsidRDefault="00053A27" w:rsidP="00053A27">
      <w:pPr>
        <w:pStyle w:val="Heading3"/>
      </w:pPr>
      <w:r>
        <w:t xml:space="preserve">3: Retained (un-retrieved) instruments or other material after surgery requiring </w:t>
      </w:r>
      <w:r w:rsidR="00D17E8A">
        <w:br/>
      </w:r>
      <w:r>
        <w:t>re-operation or further surgical procedure</w:t>
      </w:r>
    </w:p>
    <w:p w14:paraId="208E9997" w14:textId="77777777" w:rsidR="00572C0C" w:rsidRPr="00B32F85" w:rsidRDefault="00C17ADC" w:rsidP="00B32F85">
      <w:pPr>
        <w:pStyle w:val="Normalfollowingheading"/>
        <w:rPr>
          <w:rFonts w:ascii="Calibri" w:hAnsi="Calibri"/>
        </w:rPr>
      </w:pPr>
      <w:r>
        <w:t>T</w:t>
      </w:r>
      <w:r w:rsidR="00B32F85">
        <w:t xml:space="preserve">here were 10 events in this category compared to 12 in </w:t>
      </w:r>
      <w:r>
        <w:t>2017-2018</w:t>
      </w:r>
      <w:r w:rsidR="00B32F85">
        <w:t xml:space="preserve">. </w:t>
      </w:r>
      <w:r w:rsidR="00FD5381">
        <w:t>These events involved:</w:t>
      </w:r>
    </w:p>
    <w:p w14:paraId="19A6F912" w14:textId="77777777" w:rsidR="00FD5381" w:rsidRDefault="00FD5381" w:rsidP="00FD5381">
      <w:pPr>
        <w:pStyle w:val="Bullet1"/>
      </w:pPr>
      <w:r>
        <w:t>laparoscopic peanut – 1</w:t>
      </w:r>
    </w:p>
    <w:p w14:paraId="35ADD865" w14:textId="77777777" w:rsidR="00FD5381" w:rsidRDefault="00FD5381" w:rsidP="00FD5381">
      <w:pPr>
        <w:pStyle w:val="Bullet1"/>
      </w:pPr>
      <w:r>
        <w:t>laparoscopic stay suture – 1</w:t>
      </w:r>
    </w:p>
    <w:p w14:paraId="69535EA6" w14:textId="77777777" w:rsidR="00FD5381" w:rsidRDefault="00FD5381" w:rsidP="00FD5381">
      <w:pPr>
        <w:pStyle w:val="Bullet1"/>
      </w:pPr>
      <w:proofErr w:type="spellStart"/>
      <w:r>
        <w:t>raytec</w:t>
      </w:r>
      <w:proofErr w:type="spellEnd"/>
      <w:r>
        <w:t xml:space="preserve"> swab – 1</w:t>
      </w:r>
    </w:p>
    <w:p w14:paraId="3E62FCD7" w14:textId="77777777" w:rsidR="00FD5381" w:rsidRDefault="00FD5381" w:rsidP="00FD5381">
      <w:pPr>
        <w:pStyle w:val="Bullet1"/>
      </w:pPr>
      <w:r>
        <w:t>broken drill bit –</w:t>
      </w:r>
      <w:r w:rsidR="008310C7">
        <w:t xml:space="preserve"> </w:t>
      </w:r>
      <w:r>
        <w:t>1</w:t>
      </w:r>
    </w:p>
    <w:p w14:paraId="768AAB94" w14:textId="77777777" w:rsidR="00FD5381" w:rsidRDefault="00FD5381" w:rsidP="00FD5381">
      <w:pPr>
        <w:pStyle w:val="Bullet1"/>
      </w:pPr>
      <w:r>
        <w:t>surgical pack –</w:t>
      </w:r>
      <w:r w:rsidR="008310C7">
        <w:t xml:space="preserve"> </w:t>
      </w:r>
      <w:r>
        <w:t xml:space="preserve">2 </w:t>
      </w:r>
    </w:p>
    <w:p w14:paraId="40E5470D" w14:textId="77777777" w:rsidR="00FD5381" w:rsidRDefault="00FD5381" w:rsidP="00FD5381">
      <w:pPr>
        <w:pStyle w:val="Bullet1"/>
      </w:pPr>
      <w:proofErr w:type="spellStart"/>
      <w:r w:rsidRPr="00F47895">
        <w:t>portacath</w:t>
      </w:r>
      <w:proofErr w:type="spellEnd"/>
      <w:r>
        <w:t xml:space="preserve"> introducer –</w:t>
      </w:r>
      <w:r w:rsidR="008310C7">
        <w:t xml:space="preserve"> </w:t>
      </w:r>
      <w:r>
        <w:t>1</w:t>
      </w:r>
    </w:p>
    <w:p w14:paraId="36E381FC" w14:textId="358027DD" w:rsidR="00FD5381" w:rsidRDefault="00FD5381" w:rsidP="00FD5381">
      <w:pPr>
        <w:pStyle w:val="Bullet1"/>
      </w:pPr>
      <w:r>
        <w:t>micro</w:t>
      </w:r>
      <w:r w:rsidR="000E7687">
        <w:t>-</w:t>
      </w:r>
      <w:r>
        <w:t>clamp – 1</w:t>
      </w:r>
    </w:p>
    <w:p w14:paraId="50FE663B" w14:textId="77777777" w:rsidR="00FD5381" w:rsidRDefault="00FD5381" w:rsidP="00FD5381">
      <w:pPr>
        <w:pStyle w:val="Bullet1"/>
      </w:pPr>
      <w:r>
        <w:t>drain tube – 1</w:t>
      </w:r>
    </w:p>
    <w:p w14:paraId="4AA4BC6D" w14:textId="77777777" w:rsidR="00FD5381" w:rsidRPr="00FD5381" w:rsidRDefault="00FD5381" w:rsidP="00FD5381">
      <w:pPr>
        <w:pStyle w:val="Bullet1"/>
      </w:pPr>
      <w:r>
        <w:t>vaginal pack –</w:t>
      </w:r>
      <w:r w:rsidR="008310C7">
        <w:t xml:space="preserve"> </w:t>
      </w:r>
      <w:r>
        <w:t>1.</w:t>
      </w:r>
    </w:p>
    <w:p w14:paraId="2CDD7704" w14:textId="13F30E1B" w:rsidR="00053A27" w:rsidRDefault="00053A27" w:rsidP="00053A27">
      <w:r>
        <w:t xml:space="preserve">In eight of the 10 cases the problem was recognised while still in surgery, however the instrument or other material was unable to be retrieved immediately. The additional risk </w:t>
      </w:r>
      <w:r w:rsidR="0087745B">
        <w:t xml:space="preserve">of </w:t>
      </w:r>
      <w:r>
        <w:t xml:space="preserve">these items being left inside patients </w:t>
      </w:r>
      <w:r w:rsidR="000E7687">
        <w:t xml:space="preserve">and </w:t>
      </w:r>
      <w:r>
        <w:t xml:space="preserve">requiring further surgery only confirms the need to undertake </w:t>
      </w:r>
      <w:r w:rsidR="008310C7">
        <w:t xml:space="preserve">more </w:t>
      </w:r>
      <w:r>
        <w:t>analysis to understand what happen</w:t>
      </w:r>
      <w:r w:rsidR="0087745B">
        <w:t>ed</w:t>
      </w:r>
      <w:r>
        <w:t xml:space="preserve"> and to avoid it happening again.</w:t>
      </w:r>
      <w:r w:rsidR="00C17ADC">
        <w:t xml:space="preserve"> Insights from these events can inform changes to equipment design.</w:t>
      </w:r>
    </w:p>
    <w:p w14:paraId="472BB0FD" w14:textId="77777777" w:rsidR="00053A27" w:rsidRDefault="00053A27" w:rsidP="00053A27">
      <w:pPr>
        <w:pStyle w:val="Heading3"/>
      </w:pPr>
      <w:r>
        <w:t>4</w:t>
      </w:r>
      <w:r w:rsidR="0087745B">
        <w:t>.</w:t>
      </w:r>
      <w:r>
        <w:t xml:space="preserve"> Intravascular gas embolism resulting in death or neurological damage</w:t>
      </w:r>
    </w:p>
    <w:p w14:paraId="7231C042" w14:textId="77777777" w:rsidR="00053A27" w:rsidRDefault="00053A27" w:rsidP="00053A27">
      <w:pPr>
        <w:pStyle w:val="Normalfollowingheading"/>
      </w:pPr>
      <w:r>
        <w:t>There was one event in this category at a day procedure centre where the patient under anaesthetic suffered an air embolism resulting in severe brain injury. No events occurred in this category in 2017</w:t>
      </w:r>
      <w:r w:rsidR="0087745B">
        <w:t>–</w:t>
      </w:r>
      <w:r>
        <w:t>18.</w:t>
      </w:r>
    </w:p>
    <w:p w14:paraId="79A9A8D2" w14:textId="77777777" w:rsidR="0087745B" w:rsidRDefault="0087745B">
      <w:pPr>
        <w:rPr>
          <w:rFonts w:ascii="VIC SemiBold" w:eastAsiaTheme="majorEastAsia" w:hAnsi="VIC SemiBold" w:cstheme="majorBidi"/>
          <w:bCs/>
          <w:color w:val="000000" w:themeColor="text1"/>
          <w:sz w:val="24"/>
          <w:szCs w:val="22"/>
        </w:rPr>
      </w:pPr>
      <w:r>
        <w:br w:type="page"/>
      </w:r>
    </w:p>
    <w:p w14:paraId="7CBE8270" w14:textId="77777777" w:rsidR="00053A27" w:rsidRDefault="00053A27" w:rsidP="00053A27">
      <w:pPr>
        <w:pStyle w:val="Heading3"/>
      </w:pPr>
      <w:r>
        <w:lastRenderedPageBreak/>
        <w:t>6</w:t>
      </w:r>
      <w:r w:rsidR="0087745B">
        <w:t>.</w:t>
      </w:r>
      <w:r>
        <w:t xml:space="preserve"> Medication error leading to the death of a patient reasonably believed to be due to incorrect administration of drugs</w:t>
      </w:r>
    </w:p>
    <w:p w14:paraId="339EF029" w14:textId="77777777" w:rsidR="00053A27" w:rsidRDefault="00053A27" w:rsidP="00053A27">
      <w:pPr>
        <w:pStyle w:val="Normalfollowingheading"/>
      </w:pPr>
      <w:r>
        <w:t>There were five events in this category, compared to two in 2017–18.</w:t>
      </w:r>
    </w:p>
    <w:p w14:paraId="737016E7" w14:textId="77777777" w:rsidR="008310C7" w:rsidRDefault="00053A27" w:rsidP="00053A27">
      <w:r>
        <w:t xml:space="preserve">Two events involved the incorrect prescription and administration of medication, one at 10 times the required dose. </w:t>
      </w:r>
    </w:p>
    <w:p w14:paraId="2E2B9D19" w14:textId="4842A9E5" w:rsidR="008310C7" w:rsidRDefault="00053A27" w:rsidP="00053A27">
      <w:r>
        <w:t>In another event, the process of reconciling the patient</w:t>
      </w:r>
      <w:r w:rsidR="000E7687">
        <w:t>’s</w:t>
      </w:r>
      <w:r>
        <w:t xml:space="preserve"> medications from home with those prescribed during their stay in hospital led to an erroneous tenfold increase in the patient's morphine dose. </w:t>
      </w:r>
    </w:p>
    <w:p w14:paraId="5A368140" w14:textId="77777777" w:rsidR="008310C7" w:rsidRDefault="00053A27" w:rsidP="00053A27">
      <w:r>
        <w:t xml:space="preserve">The fourth event involved pain medication that became toxic due to a lack of appropriate systems to support its safe administration. </w:t>
      </w:r>
    </w:p>
    <w:p w14:paraId="780964CA" w14:textId="77777777" w:rsidR="00053A27" w:rsidRDefault="00053A27" w:rsidP="00053A27">
      <w:r>
        <w:t>The fifth event involved administration of a medication to which the patient was known to be allergic.</w:t>
      </w:r>
    </w:p>
    <w:p w14:paraId="2F4A2CE1" w14:textId="77777777" w:rsidR="00053A27" w:rsidRDefault="00053A27" w:rsidP="00053A27">
      <w:pPr>
        <w:pStyle w:val="Heading2"/>
      </w:pPr>
      <w:r w:rsidRPr="00003AE9">
        <w:t>Category 9</w:t>
      </w:r>
      <w:r w:rsidR="00B32F85" w:rsidRPr="00003AE9">
        <w:t>.</w:t>
      </w:r>
      <w:r w:rsidRPr="00003AE9">
        <w:t xml:space="preserve"> Other catastrophic: ISR1</w:t>
      </w:r>
    </w:p>
    <w:p w14:paraId="4BA8875C" w14:textId="39420997" w:rsidR="00053A27" w:rsidRDefault="00053A27" w:rsidP="00053A27">
      <w:pPr>
        <w:pStyle w:val="Normalfollowingheading"/>
      </w:pPr>
      <w:r>
        <w:t xml:space="preserve">The proportion of notifications made under </w:t>
      </w:r>
      <w:r w:rsidRPr="0087745B">
        <w:rPr>
          <w:rFonts w:ascii="VIC Medium" w:hAnsi="VIC Medium"/>
        </w:rPr>
        <w:t>Category 9</w:t>
      </w:r>
      <w:r w:rsidR="0087745B" w:rsidRPr="0087745B">
        <w:rPr>
          <w:rFonts w:ascii="VIC Medium" w:hAnsi="VIC Medium"/>
        </w:rPr>
        <w:t>.</w:t>
      </w:r>
      <w:r w:rsidRPr="0087745B">
        <w:rPr>
          <w:rFonts w:ascii="VIC Medium" w:hAnsi="VIC Medium"/>
        </w:rPr>
        <w:t xml:space="preserve"> Other catastrophic: ISR1</w:t>
      </w:r>
      <w:r>
        <w:t xml:space="preserve"> remained </w:t>
      </w:r>
      <w:r w:rsidR="00003AE9">
        <w:t xml:space="preserve">in 2018–19 </w:t>
      </w:r>
      <w:r>
        <w:t>with a total of 99 events</w:t>
      </w:r>
      <w:r w:rsidR="00C17ADC">
        <w:t xml:space="preserve"> (82 per cent)</w:t>
      </w:r>
      <w:r>
        <w:t>. These events resulted in serious harm or death to patients and could not be classified in one of the eight national sentinel event categories.</w:t>
      </w:r>
    </w:p>
    <w:p w14:paraId="1B5DA32D" w14:textId="77777777" w:rsidR="00053A27" w:rsidRDefault="00053A27" w:rsidP="00053A27">
      <w:r>
        <w:t>These events are further categorised using the International Classification for Patient Safety (ICPS) incident types</w:t>
      </w:r>
      <w:r w:rsidR="0087745B">
        <w:t>, including</w:t>
      </w:r>
      <w:r>
        <w:t>:</w:t>
      </w:r>
    </w:p>
    <w:p w14:paraId="7249A526" w14:textId="77777777" w:rsidR="00053A27" w:rsidRDefault="00053A27" w:rsidP="00053A27">
      <w:pPr>
        <w:pStyle w:val="Bullet1"/>
      </w:pPr>
      <w:r>
        <w:t>clinical process or procedure</w:t>
      </w:r>
    </w:p>
    <w:p w14:paraId="0E519EAA" w14:textId="77777777" w:rsidR="00053A27" w:rsidRDefault="00053A27" w:rsidP="00053A27">
      <w:pPr>
        <w:pStyle w:val="Bullet1"/>
      </w:pPr>
      <w:r>
        <w:t xml:space="preserve">falls </w:t>
      </w:r>
    </w:p>
    <w:p w14:paraId="6C409CF9" w14:textId="77777777" w:rsidR="00053A27" w:rsidRDefault="00053A27" w:rsidP="00053A27">
      <w:pPr>
        <w:pStyle w:val="Bullet1"/>
      </w:pPr>
      <w:r>
        <w:t xml:space="preserve">delay recognition or response to patient deterioration </w:t>
      </w:r>
    </w:p>
    <w:p w14:paraId="05D2E5A9" w14:textId="77777777" w:rsidR="00053A27" w:rsidRDefault="00053A27" w:rsidP="00053A27">
      <w:pPr>
        <w:pStyle w:val="Bullet1"/>
      </w:pPr>
      <w:r>
        <w:t>behaviour</w:t>
      </w:r>
    </w:p>
    <w:p w14:paraId="06C138C6" w14:textId="77777777" w:rsidR="00053A27" w:rsidRDefault="00053A27" w:rsidP="00053A27">
      <w:pPr>
        <w:pStyle w:val="Bullet1"/>
      </w:pPr>
      <w:r>
        <w:t>clinical administration</w:t>
      </w:r>
    </w:p>
    <w:p w14:paraId="3DABB622" w14:textId="77777777" w:rsidR="00053A27" w:rsidRDefault="00053A27" w:rsidP="00053A27">
      <w:pPr>
        <w:pStyle w:val="Bullet1"/>
      </w:pPr>
      <w:r>
        <w:t>medical device/equipment</w:t>
      </w:r>
    </w:p>
    <w:p w14:paraId="7F7704A6" w14:textId="77777777" w:rsidR="00053A27" w:rsidRDefault="00053A27" w:rsidP="00053A27">
      <w:pPr>
        <w:pStyle w:val="Bullet1"/>
      </w:pPr>
      <w:r>
        <w:t>medication/</w:t>
      </w:r>
      <w:r w:rsidR="008310C7">
        <w:t>i</w:t>
      </w:r>
      <w:r>
        <w:t>ntravenous fluids</w:t>
      </w:r>
    </w:p>
    <w:p w14:paraId="13FA4D64" w14:textId="77777777" w:rsidR="00053A27" w:rsidRDefault="00053A27" w:rsidP="00053A27">
      <w:pPr>
        <w:pStyle w:val="Bullet1"/>
      </w:pPr>
      <w:r>
        <w:t>nutrition</w:t>
      </w:r>
    </w:p>
    <w:p w14:paraId="0477BD30" w14:textId="77777777" w:rsidR="00053A27" w:rsidRDefault="00053A27" w:rsidP="00053A27">
      <w:pPr>
        <w:pStyle w:val="Bullet1"/>
      </w:pPr>
      <w:r>
        <w:t>healthcare associated infection.</w:t>
      </w:r>
    </w:p>
    <w:p w14:paraId="00A19556" w14:textId="2D7BD2D6" w:rsidR="00053A27" w:rsidRDefault="00053A27" w:rsidP="00053A27">
      <w:r>
        <w:t xml:space="preserve">See </w:t>
      </w:r>
      <w:r w:rsidRPr="00053A27">
        <w:rPr>
          <w:b/>
        </w:rPr>
        <w:t>Appendix 1</w:t>
      </w:r>
      <w:r>
        <w:t xml:space="preserve"> </w:t>
      </w:r>
      <w:r w:rsidR="000E7687">
        <w:t xml:space="preserve">(page 24) </w:t>
      </w:r>
      <w:r>
        <w:t>for a detailed description of the ICPS incident types.</w:t>
      </w:r>
    </w:p>
    <w:p w14:paraId="51EAAEE0" w14:textId="77777777" w:rsidR="0087745B" w:rsidRDefault="0087745B">
      <w:pPr>
        <w:rPr>
          <w:rFonts w:ascii="VIC SemiBold" w:hAnsi="VIC SemiBold"/>
          <w:bCs/>
          <w:color w:val="007586" w:themeColor="text2"/>
          <w:spacing w:val="2"/>
          <w:szCs w:val="18"/>
        </w:rPr>
      </w:pPr>
      <w:r>
        <w:br w:type="page"/>
      </w:r>
    </w:p>
    <w:p w14:paraId="3343AEC7" w14:textId="77777777" w:rsidR="00053A27" w:rsidRDefault="00053A27" w:rsidP="00837D31">
      <w:pPr>
        <w:pStyle w:val="Tablechartdiagramheading"/>
        <w:spacing w:after="0"/>
      </w:pPr>
      <w:r>
        <w:lastRenderedPageBreak/>
        <w:t>Figure 8: Other catastrophic: ISR1 sentinel events reported 2018–19</w:t>
      </w:r>
    </w:p>
    <w:p w14:paraId="4694E0B5" w14:textId="77777777" w:rsidR="00053A27" w:rsidRDefault="00837D31" w:rsidP="008310C7">
      <w:pPr>
        <w:spacing w:before="0" w:after="0" w:line="240" w:lineRule="auto"/>
      </w:pPr>
      <w:r>
        <w:rPr>
          <w:noProof/>
        </w:rPr>
        <w:drawing>
          <wp:inline distT="0" distB="0" distL="0" distR="0" wp14:anchorId="5D0CFD5A" wp14:editId="6028527B">
            <wp:extent cx="6300000" cy="2268000"/>
            <wp:effectExtent l="0" t="0" r="5715" b="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87D667B" w14:textId="77777777" w:rsidR="00053A27" w:rsidRDefault="00053A27" w:rsidP="008310C7">
      <w:pPr>
        <w:spacing w:before="0" w:after="120" w:line="240" w:lineRule="atLeast"/>
      </w:pPr>
      <w:r>
        <w:t>There were no notifications relating to healthcare</w:t>
      </w:r>
      <w:r w:rsidR="008310C7">
        <w:t xml:space="preserve"> associated</w:t>
      </w:r>
      <w:r>
        <w:t xml:space="preserve"> infection in 2018–19. In general, there was a significant increase in clinical process/procedure and a decrease in the number of falls and deteriorating patients.</w:t>
      </w:r>
    </w:p>
    <w:p w14:paraId="5DD157A5" w14:textId="77777777" w:rsidR="00053A27" w:rsidRDefault="00053A27" w:rsidP="00837D31">
      <w:pPr>
        <w:pStyle w:val="Heading3"/>
        <w:spacing w:line="240" w:lineRule="atLeast"/>
      </w:pPr>
      <w:r>
        <w:t>Falls</w:t>
      </w:r>
    </w:p>
    <w:p w14:paraId="1CA9E9C6" w14:textId="2A0BCCBF" w:rsidR="00D02967" w:rsidRDefault="00053A27" w:rsidP="00837D31">
      <w:pPr>
        <w:pStyle w:val="Normalfollowingheading"/>
        <w:spacing w:after="120" w:line="240" w:lineRule="atLeast"/>
      </w:pPr>
      <w:r>
        <w:t>Seventeen patients were harmed as a result of a fall while under the care of a health service</w:t>
      </w:r>
      <w:r w:rsidR="00574E67">
        <w:t xml:space="preserve"> compared to 25 in </w:t>
      </w:r>
      <w:r w:rsidR="00D02967">
        <w:t>20</w:t>
      </w:r>
      <w:r w:rsidR="00574E67">
        <w:t xml:space="preserve">17–18. </w:t>
      </w:r>
    </w:p>
    <w:p w14:paraId="431C4269" w14:textId="314E1C8C" w:rsidR="00053A27" w:rsidRDefault="00D02967" w:rsidP="00837D31">
      <w:pPr>
        <w:pStyle w:val="Normalfollowingheading"/>
        <w:spacing w:after="120" w:line="240" w:lineRule="atLeast"/>
      </w:pPr>
      <w:r>
        <w:t>Fourteen</w:t>
      </w:r>
      <w:r w:rsidR="00053A27">
        <w:t xml:space="preserve"> patients died, and two patients suffered significant harm. </w:t>
      </w:r>
    </w:p>
    <w:p w14:paraId="2E2C9E72" w14:textId="77777777" w:rsidR="00053A27" w:rsidRDefault="00053A27" w:rsidP="00837D31">
      <w:pPr>
        <w:spacing w:before="120" w:after="120" w:line="240" w:lineRule="atLeast"/>
      </w:pPr>
      <w:r>
        <w:t>Of those who fell:</w:t>
      </w:r>
    </w:p>
    <w:p w14:paraId="00C74F43" w14:textId="77777777" w:rsidR="00053A27" w:rsidRDefault="00053A27" w:rsidP="00837D31">
      <w:pPr>
        <w:pStyle w:val="Bullet1"/>
        <w:spacing w:line="240" w:lineRule="atLeast"/>
      </w:pPr>
      <w:r>
        <w:t xml:space="preserve">17.5 per cent (3) were </w:t>
      </w:r>
      <w:r w:rsidR="0087745B">
        <w:t xml:space="preserve">aged </w:t>
      </w:r>
      <w:r>
        <w:t>61</w:t>
      </w:r>
      <w:r w:rsidR="0087745B">
        <w:t>–</w:t>
      </w:r>
      <w:r>
        <w:t>70 years</w:t>
      </w:r>
    </w:p>
    <w:p w14:paraId="79387AA1" w14:textId="77777777" w:rsidR="00053A27" w:rsidRDefault="00053A27" w:rsidP="00837D31">
      <w:pPr>
        <w:pStyle w:val="Bullet1"/>
        <w:spacing w:line="240" w:lineRule="atLeast"/>
      </w:pPr>
      <w:r>
        <w:t xml:space="preserve">35 per cent (6) were </w:t>
      </w:r>
      <w:r w:rsidR="0087745B">
        <w:t xml:space="preserve">aged </w:t>
      </w:r>
      <w:r>
        <w:t>71</w:t>
      </w:r>
      <w:r w:rsidR="0087745B">
        <w:t>–</w:t>
      </w:r>
      <w:r>
        <w:t>80</w:t>
      </w:r>
    </w:p>
    <w:p w14:paraId="06C562A9" w14:textId="77777777" w:rsidR="00053A27" w:rsidRDefault="00053A27" w:rsidP="00837D31">
      <w:pPr>
        <w:pStyle w:val="Bullet1"/>
        <w:spacing w:line="240" w:lineRule="atLeast"/>
      </w:pPr>
      <w:r>
        <w:t xml:space="preserve">17.5 per cent (3) were </w:t>
      </w:r>
      <w:r w:rsidR="0087745B">
        <w:t>aged</w:t>
      </w:r>
      <w:r>
        <w:t xml:space="preserve"> 81</w:t>
      </w:r>
      <w:r w:rsidR="0087745B">
        <w:t>–</w:t>
      </w:r>
      <w:r>
        <w:t>90</w:t>
      </w:r>
    </w:p>
    <w:p w14:paraId="5D66A943" w14:textId="77777777" w:rsidR="00053A27" w:rsidRDefault="00053A27" w:rsidP="00837D31">
      <w:pPr>
        <w:pStyle w:val="Bullet1"/>
        <w:spacing w:line="240" w:lineRule="atLeast"/>
      </w:pPr>
      <w:r>
        <w:t xml:space="preserve">30 per cent (5) were </w:t>
      </w:r>
      <w:r w:rsidR="0087745B">
        <w:t xml:space="preserve">aged </w:t>
      </w:r>
      <w:r>
        <w:t>91</w:t>
      </w:r>
      <w:r w:rsidR="0087745B">
        <w:t>–</w:t>
      </w:r>
      <w:r>
        <w:t>100</w:t>
      </w:r>
      <w:r w:rsidR="0087745B">
        <w:t>.</w:t>
      </w:r>
    </w:p>
    <w:p w14:paraId="46784E33" w14:textId="77777777" w:rsidR="00053A27" w:rsidRDefault="00053A27" w:rsidP="00837D31">
      <w:pPr>
        <w:spacing w:before="120" w:after="120" w:line="240" w:lineRule="atLeast"/>
      </w:pPr>
      <w:r>
        <w:t xml:space="preserve">Ten of the falls occurred in the patient’s room, with five </w:t>
      </w:r>
      <w:r w:rsidR="00574E67">
        <w:t xml:space="preserve">of those </w:t>
      </w:r>
      <w:r>
        <w:t>occurring in their bathroom</w:t>
      </w:r>
      <w:r w:rsidR="008310C7">
        <w:t>. T</w:t>
      </w:r>
      <w:r>
        <w:t>wo occurred while the patient was on the ward but not in their room.</w:t>
      </w:r>
    </w:p>
    <w:p w14:paraId="105CD2B9" w14:textId="77777777" w:rsidR="00053A27" w:rsidRDefault="00053A27" w:rsidP="00837D31">
      <w:pPr>
        <w:spacing w:before="120" w:after="120" w:line="240" w:lineRule="atLeast"/>
      </w:pPr>
      <w:r>
        <w:t>Two patients had a documented acute confusion (delirium) before their fall.</w:t>
      </w:r>
    </w:p>
    <w:p w14:paraId="540CAEAA" w14:textId="77777777" w:rsidR="00053A27" w:rsidRDefault="00053A27" w:rsidP="00837D31">
      <w:pPr>
        <w:pStyle w:val="Heading3"/>
        <w:spacing w:line="240" w:lineRule="atLeast"/>
      </w:pPr>
      <w:r>
        <w:t>Clinical process/procedure</w:t>
      </w:r>
    </w:p>
    <w:p w14:paraId="05959716" w14:textId="5EDF43FD" w:rsidR="00053A27" w:rsidRDefault="00053A27" w:rsidP="008310C7">
      <w:pPr>
        <w:pStyle w:val="Normalfollowingheading"/>
        <w:spacing w:after="120" w:line="240" w:lineRule="atLeast"/>
      </w:pPr>
      <w:r>
        <w:t>Thirty-eight patients were harmed or died as a result of failures in clinical processes. This compares to 25 patients in</w:t>
      </w:r>
      <w:r w:rsidR="00003AE9">
        <w:t xml:space="preserve"> 2017–18.</w:t>
      </w:r>
    </w:p>
    <w:p w14:paraId="56D1ECF9" w14:textId="77777777" w:rsidR="00053A27" w:rsidRDefault="00053A27" w:rsidP="008310C7">
      <w:pPr>
        <w:spacing w:before="120" w:after="120" w:line="240" w:lineRule="atLeast"/>
      </w:pPr>
      <w:r>
        <w:t>Fifteen patients experienced inadequate or delayed assessments, leading to missed diagnoses.</w:t>
      </w:r>
    </w:p>
    <w:p w14:paraId="4E7CFF52" w14:textId="53DBD90E" w:rsidR="00053A27" w:rsidRDefault="00053A27" w:rsidP="008310C7">
      <w:pPr>
        <w:spacing w:before="120" w:after="120" w:line="240" w:lineRule="atLeast"/>
      </w:pPr>
      <w:r>
        <w:t xml:space="preserve">Twelve patients were harmed </w:t>
      </w:r>
      <w:r w:rsidR="00D02967">
        <w:t>as a result of</w:t>
      </w:r>
      <w:r>
        <w:t xml:space="preserve"> procedures, treatments</w:t>
      </w:r>
      <w:r w:rsidR="00574E67">
        <w:t>,</w:t>
      </w:r>
      <w:r>
        <w:t xml:space="preserve"> or interventions not being performed when needed</w:t>
      </w:r>
      <w:r w:rsidR="00574E67">
        <w:t>,</w:t>
      </w:r>
      <w:r>
        <w:t xml:space="preserve"> or that were incompletely or inadequately performed. Events included the management of labour and birth (</w:t>
      </w:r>
      <w:r w:rsidR="0087745B">
        <w:t>4</w:t>
      </w:r>
      <w:r>
        <w:t>), complications post-surgery (</w:t>
      </w:r>
      <w:r w:rsidR="0087745B">
        <w:t>4</w:t>
      </w:r>
      <w:r>
        <w:t>), failure to properly insert an artificial breathing tube (</w:t>
      </w:r>
      <w:r w:rsidR="0087745B">
        <w:t>2</w:t>
      </w:r>
      <w:r>
        <w:t>) and an inappropriate intervention (</w:t>
      </w:r>
      <w:r w:rsidR="0087745B">
        <w:t>2</w:t>
      </w:r>
      <w:r>
        <w:t>).</w:t>
      </w:r>
    </w:p>
    <w:p w14:paraId="2C5BD817" w14:textId="77777777" w:rsidR="0087745B" w:rsidRDefault="00053A27" w:rsidP="008310C7">
      <w:pPr>
        <w:spacing w:before="120" w:after="120" w:line="240" w:lineRule="atLeast"/>
        <w:rPr>
          <w:rFonts w:ascii="VIC SemiBold" w:eastAsiaTheme="majorEastAsia" w:hAnsi="VIC SemiBold" w:cstheme="majorBidi"/>
          <w:bCs/>
          <w:color w:val="000000" w:themeColor="text1"/>
          <w:sz w:val="24"/>
          <w:szCs w:val="22"/>
        </w:rPr>
      </w:pPr>
      <w:r>
        <w:t>One patient suffered permanent harm when an imaging scan was not performed when it was needed.</w:t>
      </w:r>
      <w:r w:rsidR="00837D31">
        <w:t xml:space="preserve"> </w:t>
      </w:r>
      <w:r>
        <w:t>Two involved errors in triage assessment for head injuries following a fall.</w:t>
      </w:r>
      <w:r w:rsidR="00837D31">
        <w:t xml:space="preserve"> </w:t>
      </w:r>
    </w:p>
    <w:p w14:paraId="5A7DA207" w14:textId="77777777" w:rsidR="00053A27" w:rsidRDefault="00053A27" w:rsidP="00053A27">
      <w:pPr>
        <w:pStyle w:val="Heading3"/>
      </w:pPr>
      <w:r>
        <w:lastRenderedPageBreak/>
        <w:t xml:space="preserve">Delays in recognising or responding to patient deterioration </w:t>
      </w:r>
    </w:p>
    <w:p w14:paraId="20BDBED0" w14:textId="21BA8A70" w:rsidR="00053A27" w:rsidRDefault="00053A27" w:rsidP="00053A27">
      <w:pPr>
        <w:pStyle w:val="Normalfollowingheading"/>
      </w:pPr>
      <w:r>
        <w:t xml:space="preserve">There were 19 sentinel events where delays occurred in recognising </w:t>
      </w:r>
      <w:r w:rsidR="008310C7">
        <w:t>a</w:t>
      </w:r>
      <w:r>
        <w:t xml:space="preserve"> </w:t>
      </w:r>
      <w:r w:rsidR="00574E67">
        <w:t>deterioration in</w:t>
      </w:r>
      <w:r w:rsidR="00D02967">
        <w:t xml:space="preserve"> a</w:t>
      </w:r>
      <w:r w:rsidR="00574E67">
        <w:t xml:space="preserve"> </w:t>
      </w:r>
      <w:r>
        <w:t xml:space="preserve">patient’s condition. This compares to 24 </w:t>
      </w:r>
      <w:r w:rsidR="00574E67">
        <w:t xml:space="preserve">such </w:t>
      </w:r>
      <w:r>
        <w:t xml:space="preserve">events in </w:t>
      </w:r>
      <w:r w:rsidR="00D02967">
        <w:t>20</w:t>
      </w:r>
      <w:r w:rsidR="008310C7">
        <w:t>17–18</w:t>
      </w:r>
      <w:r>
        <w:t>. Of these, 17 patients died</w:t>
      </w:r>
      <w:r w:rsidR="00D02967">
        <w:t>,</w:t>
      </w:r>
      <w:r>
        <w:t xml:space="preserve"> and two patients suffered permanent harm.</w:t>
      </w:r>
    </w:p>
    <w:p w14:paraId="2A4DE3FE" w14:textId="77777777" w:rsidR="003936D8" w:rsidRDefault="00053A27" w:rsidP="00053A27">
      <w:r>
        <w:t xml:space="preserve">For eight patients, the worsening of their condition was not recognised quickly enough. </w:t>
      </w:r>
    </w:p>
    <w:p w14:paraId="0930441E" w14:textId="77777777" w:rsidR="003936D8" w:rsidRDefault="00053A27" w:rsidP="00053A27">
      <w:r>
        <w:t xml:space="preserve">For another five patients, even though the worsening of their condition was recognised, there were significant delays in communicating the problem to the right people. </w:t>
      </w:r>
    </w:p>
    <w:p w14:paraId="1BB1F942" w14:textId="77777777" w:rsidR="00053A27" w:rsidRDefault="00053A27" w:rsidP="00053A27">
      <w:r>
        <w:t>And six patients did not get the treatment they needed quickly enough, even though their needs were recognised and communicated.</w:t>
      </w:r>
    </w:p>
    <w:p w14:paraId="15B421F6" w14:textId="77777777" w:rsidR="00053A27" w:rsidRDefault="00053A27" w:rsidP="008B3C35">
      <w:pPr>
        <w:pStyle w:val="Heading3"/>
      </w:pPr>
      <w:r>
        <w:t>Behaviour</w:t>
      </w:r>
    </w:p>
    <w:p w14:paraId="3A878AB2" w14:textId="0229F929" w:rsidR="003936D8" w:rsidRDefault="00053A27" w:rsidP="008B3C35">
      <w:pPr>
        <w:pStyle w:val="Normalfollowingheading"/>
      </w:pPr>
      <w:r>
        <w:t>Eight sentinel events involved patients who died from self</w:t>
      </w:r>
      <w:r w:rsidR="00D02967">
        <w:t>-</w:t>
      </w:r>
      <w:r>
        <w:t>harm, including suspected suicide</w:t>
      </w:r>
      <w:r w:rsidR="008310C7">
        <w:t>,</w:t>
      </w:r>
      <w:r>
        <w:t xml:space="preserve"> while in the care of health services. This compares to 13 events in the previous year. </w:t>
      </w:r>
    </w:p>
    <w:p w14:paraId="7CE0AE92" w14:textId="116FE94F" w:rsidR="003936D8" w:rsidRDefault="00053A27" w:rsidP="008B3C35">
      <w:pPr>
        <w:pStyle w:val="Normalfollowingheading"/>
      </w:pPr>
      <w:r>
        <w:t xml:space="preserve">Of </w:t>
      </w:r>
      <w:r w:rsidR="00D02967">
        <w:t>the eight</w:t>
      </w:r>
      <w:r>
        <w:t xml:space="preserve">, three patients left a health service without approval and before they were well enough to go home. </w:t>
      </w:r>
    </w:p>
    <w:p w14:paraId="5296040F" w14:textId="77777777" w:rsidR="003936D8" w:rsidRDefault="00053A27" w:rsidP="008B3C35">
      <w:pPr>
        <w:pStyle w:val="Normalfollowingheading"/>
      </w:pPr>
      <w:r>
        <w:t xml:space="preserve">Two patients were on approved leave from a health service. </w:t>
      </w:r>
    </w:p>
    <w:p w14:paraId="60269860" w14:textId="3F091B43" w:rsidR="00053A27" w:rsidRDefault="00053A27" w:rsidP="008B3C35">
      <w:pPr>
        <w:pStyle w:val="Normalfollowingheading"/>
      </w:pPr>
      <w:r>
        <w:t>Another three died from apparent self</w:t>
      </w:r>
      <w:r w:rsidR="00D02967">
        <w:t>-</w:t>
      </w:r>
      <w:r>
        <w:t>harm within 24 to 48 hours of being assessed by a health service.</w:t>
      </w:r>
    </w:p>
    <w:p w14:paraId="43B08E6A" w14:textId="6F971AA1" w:rsidR="00053A27" w:rsidRDefault="00053A27" w:rsidP="00053A27">
      <w:r>
        <w:t xml:space="preserve">Please note: sentinel events may also be reported as </w:t>
      </w:r>
      <w:r w:rsidR="003936D8" w:rsidRPr="003936D8">
        <w:rPr>
          <w:rFonts w:ascii="VIC Medium" w:hAnsi="VIC Medium"/>
        </w:rPr>
        <w:t xml:space="preserve">Category 2. </w:t>
      </w:r>
      <w:r w:rsidRPr="003936D8">
        <w:rPr>
          <w:rFonts w:ascii="VIC Medium" w:hAnsi="VIC Medium"/>
        </w:rPr>
        <w:t>Suicide</w:t>
      </w:r>
      <w:r w:rsidR="003936D8">
        <w:rPr>
          <w:rFonts w:ascii="VIC Medium" w:hAnsi="VIC Medium"/>
        </w:rPr>
        <w:t xml:space="preserve"> of a patient</w:t>
      </w:r>
      <w:r w:rsidRPr="003936D8">
        <w:rPr>
          <w:rFonts w:ascii="VIC Medium" w:hAnsi="VIC Medium"/>
        </w:rPr>
        <w:t xml:space="preserve"> in an inpatient unit</w:t>
      </w:r>
      <w:r>
        <w:t xml:space="preserve"> </w:t>
      </w:r>
      <w:r w:rsidRPr="00F47895">
        <w:t xml:space="preserve">(page </w:t>
      </w:r>
      <w:r w:rsidR="00F47895">
        <w:t>6</w:t>
      </w:r>
      <w:r w:rsidRPr="00F47895">
        <w:t>).</w:t>
      </w:r>
    </w:p>
    <w:p w14:paraId="675455CB" w14:textId="77777777" w:rsidR="00053A27" w:rsidRDefault="00053A27" w:rsidP="008B3C35">
      <w:pPr>
        <w:pStyle w:val="Heading3"/>
      </w:pPr>
      <w:r>
        <w:t>Clinical administration</w:t>
      </w:r>
    </w:p>
    <w:p w14:paraId="296C2C0E" w14:textId="63EEDA0F" w:rsidR="00053A27" w:rsidRDefault="00053A27" w:rsidP="008B3C35">
      <w:pPr>
        <w:pStyle w:val="Normalfollowingheading"/>
      </w:pPr>
      <w:r>
        <w:t xml:space="preserve">Five patients were harmed from events involving significant administrative errors compared to two in </w:t>
      </w:r>
      <w:r w:rsidR="00003AE9">
        <w:t>2018–18.</w:t>
      </w:r>
    </w:p>
    <w:p w14:paraId="35E2F0B9" w14:textId="5FE2FFB9" w:rsidR="00053A27" w:rsidRDefault="00053A27" w:rsidP="00053A27">
      <w:r>
        <w:t xml:space="preserve">For two </w:t>
      </w:r>
      <w:r w:rsidR="00241D27">
        <w:t xml:space="preserve">of the five </w:t>
      </w:r>
      <w:r>
        <w:t>patients, abnormal test results were not communicated to the right specialist medical staff, which meant the patient did not receive urgent care when needed.</w:t>
      </w:r>
    </w:p>
    <w:p w14:paraId="5E39C8AA" w14:textId="77777777" w:rsidR="00053A27" w:rsidRDefault="00053A27" w:rsidP="00053A27">
      <w:r>
        <w:t>The remaining three patients did not receive follow-up tests as planned, leading to a substantial delay in a crucial diagnosis.</w:t>
      </w:r>
    </w:p>
    <w:p w14:paraId="69D40B54" w14:textId="77777777" w:rsidR="003936D8" w:rsidRDefault="003936D8">
      <w:pPr>
        <w:rPr>
          <w:rFonts w:ascii="VIC SemiBold" w:eastAsiaTheme="majorEastAsia" w:hAnsi="VIC SemiBold" w:cstheme="majorBidi"/>
          <w:bCs/>
          <w:color w:val="000000" w:themeColor="text1"/>
          <w:sz w:val="24"/>
          <w:szCs w:val="22"/>
        </w:rPr>
      </w:pPr>
      <w:r>
        <w:br w:type="page"/>
      </w:r>
    </w:p>
    <w:p w14:paraId="06C39319" w14:textId="77777777" w:rsidR="00053A27" w:rsidRDefault="00053A27" w:rsidP="008B3C35">
      <w:pPr>
        <w:pStyle w:val="Heading3"/>
      </w:pPr>
      <w:r>
        <w:lastRenderedPageBreak/>
        <w:t>Medication and intravenous fluids</w:t>
      </w:r>
    </w:p>
    <w:p w14:paraId="17EEEA0B" w14:textId="6583A75F" w:rsidR="00053A27" w:rsidRDefault="00053A27" w:rsidP="008B3C35">
      <w:pPr>
        <w:pStyle w:val="Normalfollowingheading"/>
      </w:pPr>
      <w:r>
        <w:t>Six medication errors resulted in permanent or serious harm</w:t>
      </w:r>
      <w:r w:rsidR="00574E67">
        <w:t xml:space="preserve">, the same as </w:t>
      </w:r>
      <w:r w:rsidR="00241D27">
        <w:t>2017-18</w:t>
      </w:r>
      <w:r w:rsidR="00574E67">
        <w:t>.</w:t>
      </w:r>
      <w:r w:rsidR="008310C7">
        <w:t xml:space="preserve"> T</w:t>
      </w:r>
      <w:r>
        <w:t>hese included:</w:t>
      </w:r>
    </w:p>
    <w:p w14:paraId="4395782B" w14:textId="77777777" w:rsidR="00053A27" w:rsidRDefault="00053A27" w:rsidP="008B3C35">
      <w:pPr>
        <w:pStyle w:val="Bullet1"/>
      </w:pPr>
      <w:r>
        <w:t>not administering an anticoagulant (blood thinning medication)</w:t>
      </w:r>
    </w:p>
    <w:p w14:paraId="582FF119" w14:textId="77777777" w:rsidR="00053A27" w:rsidRDefault="00053A27" w:rsidP="008B3C35">
      <w:pPr>
        <w:pStyle w:val="Bullet1"/>
      </w:pPr>
      <w:r>
        <w:t xml:space="preserve">not following standard risk management for low blood sugar (glucose) levels </w:t>
      </w:r>
    </w:p>
    <w:p w14:paraId="42412000" w14:textId="77777777" w:rsidR="00053A27" w:rsidRDefault="00053A27" w:rsidP="008B3C35">
      <w:pPr>
        <w:pStyle w:val="Bullet1"/>
      </w:pPr>
      <w:r>
        <w:t>erroneous administration of high blood pressure medication to a baby</w:t>
      </w:r>
    </w:p>
    <w:p w14:paraId="57758A9F" w14:textId="77777777" w:rsidR="00053A27" w:rsidRDefault="00053A27" w:rsidP="008B3C35">
      <w:pPr>
        <w:pStyle w:val="Bullet1"/>
      </w:pPr>
      <w:r>
        <w:t>an error involving crucial medication (adrenaline) in resuscitation</w:t>
      </w:r>
    </w:p>
    <w:p w14:paraId="5353E1CF" w14:textId="77777777" w:rsidR="00053A27" w:rsidRDefault="00053A27" w:rsidP="008B3C35">
      <w:pPr>
        <w:pStyle w:val="Bullet1"/>
      </w:pPr>
      <w:r>
        <w:t>multiple system problems associated with a local anaesthetic wound infusion</w:t>
      </w:r>
    </w:p>
    <w:p w14:paraId="540A9931" w14:textId="77777777" w:rsidR="00053A27" w:rsidRDefault="00053A27" w:rsidP="008B3C35">
      <w:pPr>
        <w:pStyle w:val="Bullet1"/>
      </w:pPr>
      <w:r>
        <w:t>misunderstanding units of measure of an insulin dosage.</w:t>
      </w:r>
    </w:p>
    <w:p w14:paraId="35A3C238" w14:textId="77777777" w:rsidR="00053A27" w:rsidRDefault="00053A27" w:rsidP="00053A27">
      <w:r>
        <w:t xml:space="preserve">Please note: </w:t>
      </w:r>
      <w:r w:rsidR="008310C7">
        <w:t>t</w:t>
      </w:r>
      <w:r>
        <w:t xml:space="preserve">hese sentinel events differ to </w:t>
      </w:r>
      <w:r w:rsidR="008310C7" w:rsidRPr="008310C7">
        <w:rPr>
          <w:rFonts w:ascii="VIC Medium" w:hAnsi="VIC Medium"/>
        </w:rPr>
        <w:t xml:space="preserve">Category 6. </w:t>
      </w:r>
      <w:r w:rsidRPr="008310C7">
        <w:rPr>
          <w:rFonts w:ascii="VIC Medium" w:hAnsi="VIC Medium"/>
        </w:rPr>
        <w:t xml:space="preserve">Medication error leading to the death of a patient </w:t>
      </w:r>
      <w:r w:rsidR="008310C7" w:rsidRPr="008310C7">
        <w:rPr>
          <w:rFonts w:ascii="VIC Medium" w:hAnsi="VIC Medium"/>
        </w:rPr>
        <w:t>reasonably believed to be due to incorrect administration of drugs.</w:t>
      </w:r>
    </w:p>
    <w:p w14:paraId="665EBAE1" w14:textId="77777777" w:rsidR="00053A27" w:rsidRDefault="00053A27" w:rsidP="008B3C35">
      <w:pPr>
        <w:pStyle w:val="Heading3"/>
      </w:pPr>
      <w:r>
        <w:t>Medical device/equipment</w:t>
      </w:r>
    </w:p>
    <w:p w14:paraId="5B343017" w14:textId="6969717E" w:rsidR="00053A27" w:rsidRDefault="00053A27" w:rsidP="008B3C35">
      <w:pPr>
        <w:pStyle w:val="Normalfollowingheading"/>
      </w:pPr>
      <w:r>
        <w:t xml:space="preserve">There were four events in this category compared to one </w:t>
      </w:r>
      <w:r w:rsidR="00241D27">
        <w:t>in 2017-18</w:t>
      </w:r>
      <w:r w:rsidR="008310C7">
        <w:t>. These</w:t>
      </w:r>
      <w:r w:rsidR="003936D8">
        <w:t xml:space="preserve"> involv</w:t>
      </w:r>
      <w:r w:rsidR="008310C7">
        <w:t>ed</w:t>
      </w:r>
      <w:r w:rsidR="003936D8">
        <w:t>:</w:t>
      </w:r>
    </w:p>
    <w:p w14:paraId="7C25C0D6" w14:textId="77777777" w:rsidR="003936D8" w:rsidRDefault="00053A27" w:rsidP="00053A27">
      <w:pPr>
        <w:pStyle w:val="Bullet1"/>
      </w:pPr>
      <w:r>
        <w:t>a delay in obtaining emergency equipment required for a critically ill patient</w:t>
      </w:r>
    </w:p>
    <w:p w14:paraId="4F63D3D1" w14:textId="77777777" w:rsidR="003936D8" w:rsidRDefault="00053A27" w:rsidP="00053A27">
      <w:pPr>
        <w:pStyle w:val="Bullet1"/>
      </w:pPr>
      <w:r>
        <w:t xml:space="preserve">a </w:t>
      </w:r>
      <w:proofErr w:type="spellStart"/>
      <w:r>
        <w:t>naso</w:t>
      </w:r>
      <w:proofErr w:type="spellEnd"/>
      <w:r w:rsidR="00F97854">
        <w:t>-</w:t>
      </w:r>
      <w:r>
        <w:t xml:space="preserve">gastric tube </w:t>
      </w:r>
      <w:r w:rsidR="003936D8">
        <w:t>being</w:t>
      </w:r>
      <w:r>
        <w:t xml:space="preserve"> inserted into</w:t>
      </w:r>
      <w:r w:rsidR="003936D8">
        <w:t xml:space="preserve"> the patient’s</w:t>
      </w:r>
      <w:r>
        <w:t xml:space="preserve"> lung by mistake causing severe infection and lung damage</w:t>
      </w:r>
    </w:p>
    <w:p w14:paraId="43C1DF5A" w14:textId="77777777" w:rsidR="003936D8" w:rsidRDefault="00053A27" w:rsidP="00053A27">
      <w:pPr>
        <w:pStyle w:val="Bullet1"/>
      </w:pPr>
      <w:r>
        <w:t>procedural and equipment complications during the implantation of a prosthetic heart valve</w:t>
      </w:r>
    </w:p>
    <w:p w14:paraId="7FA26525" w14:textId="77777777" w:rsidR="00053A27" w:rsidRDefault="00053A27" w:rsidP="00053A27">
      <w:pPr>
        <w:pStyle w:val="Bullet1"/>
      </w:pPr>
      <w:r>
        <w:t>a patient receiv</w:t>
      </w:r>
      <w:r w:rsidR="003936D8">
        <w:t>ing</w:t>
      </w:r>
      <w:r>
        <w:t xml:space="preserve"> severe burns after the oxygen being administered through nasal prongs was ignited by an electrical surgical device being used </w:t>
      </w:r>
      <w:r w:rsidR="003936D8">
        <w:t>close</w:t>
      </w:r>
      <w:r w:rsidR="008310C7">
        <w:t xml:space="preserve"> </w:t>
      </w:r>
      <w:r w:rsidR="003936D8">
        <w:t>by</w:t>
      </w:r>
      <w:r>
        <w:t>.</w:t>
      </w:r>
    </w:p>
    <w:p w14:paraId="140F3A66" w14:textId="77777777" w:rsidR="00053A27" w:rsidRDefault="00053A27" w:rsidP="008B3C35">
      <w:pPr>
        <w:pStyle w:val="Heading3"/>
      </w:pPr>
      <w:r>
        <w:t>Nutrition</w:t>
      </w:r>
    </w:p>
    <w:p w14:paraId="27401B92" w14:textId="77777777" w:rsidR="008310C7" w:rsidRDefault="00053A27" w:rsidP="008B3C35">
      <w:pPr>
        <w:pStyle w:val="Normalfollowingheading"/>
      </w:pPr>
      <w:r>
        <w:t>There were two events in this category</w:t>
      </w:r>
      <w:r w:rsidR="008310C7">
        <w:t>, the same as in 2017–18</w:t>
      </w:r>
      <w:r>
        <w:t xml:space="preserve">. </w:t>
      </w:r>
    </w:p>
    <w:p w14:paraId="616E7293" w14:textId="77777777" w:rsidR="00053A27" w:rsidRDefault="00053A27" w:rsidP="008B3C35">
      <w:pPr>
        <w:pStyle w:val="Normalfollowingheading"/>
      </w:pPr>
      <w:r>
        <w:t>In one, an aged care resident with known swallowing difficulties, died as a result of choking.</w:t>
      </w:r>
    </w:p>
    <w:p w14:paraId="652E56A1" w14:textId="77777777" w:rsidR="00053A27" w:rsidRDefault="00053A27" w:rsidP="00053A27">
      <w:r>
        <w:t xml:space="preserve">In the second, the patient was not provided with the specific type of nutrition they required. Eating regular food resulted in them not being able to swallow properly and the food went into their lungs. </w:t>
      </w:r>
    </w:p>
    <w:p w14:paraId="3DBE478A" w14:textId="77777777" w:rsidR="003936D8" w:rsidRDefault="003936D8">
      <w:pPr>
        <w:rPr>
          <w:rFonts w:ascii="VIC SemiBold" w:eastAsiaTheme="majorEastAsia" w:hAnsi="VIC SemiBold" w:cstheme="majorBidi"/>
          <w:bCs/>
          <w:caps/>
          <w:color w:val="007586" w:themeColor="text2"/>
          <w:sz w:val="24"/>
          <w:szCs w:val="26"/>
        </w:rPr>
      </w:pPr>
      <w:r>
        <w:br w:type="page"/>
      </w:r>
    </w:p>
    <w:p w14:paraId="47CB45EF" w14:textId="77777777" w:rsidR="00053A27" w:rsidRDefault="008B3C35" w:rsidP="008B3C35">
      <w:pPr>
        <w:pStyle w:val="Heading2"/>
      </w:pPr>
      <w:r>
        <w:lastRenderedPageBreak/>
        <w:t>The year ahead</w:t>
      </w:r>
    </w:p>
    <w:p w14:paraId="5C46C2A1" w14:textId="77777777" w:rsidR="00053A27" w:rsidRDefault="00053A27" w:rsidP="008B3C35">
      <w:pPr>
        <w:pStyle w:val="Heading3"/>
      </w:pPr>
      <w:r>
        <w:t>New sentinel event categories</w:t>
      </w:r>
    </w:p>
    <w:p w14:paraId="21A58E68" w14:textId="77777777" w:rsidR="008B3C35" w:rsidRDefault="00053A27" w:rsidP="008B3C35">
      <w:pPr>
        <w:pStyle w:val="Normalfollowingheading"/>
      </w:pPr>
      <w:r>
        <w:t xml:space="preserve">During 2018–19, the Australian Commission on Safety and Quality in Healthcare released revised national sentinel event categories. These categories came into effect on 1 July 2019. The new categories are listed below. </w:t>
      </w:r>
    </w:p>
    <w:p w14:paraId="6754DF2E" w14:textId="39888AE5" w:rsidR="0064798F" w:rsidRDefault="00053A27" w:rsidP="00A420DD">
      <w:pPr>
        <w:pStyle w:val="Normalfollowingheading"/>
      </w:pPr>
      <w:r>
        <w:t xml:space="preserve">To help Victorian health services better understand these </w:t>
      </w:r>
      <w:r w:rsidR="008310C7">
        <w:t xml:space="preserve">new </w:t>
      </w:r>
      <w:r>
        <w:t xml:space="preserve">categories, SCV released a </w:t>
      </w:r>
      <w:r w:rsidR="00F47895">
        <w:t>‘</w:t>
      </w:r>
      <w:r>
        <w:t>Victorian sentinel events guide</w:t>
      </w:r>
      <w:r w:rsidR="00F47895">
        <w:t>’ available on SCV’s website</w:t>
      </w:r>
      <w:r>
        <w:t>.</w:t>
      </w:r>
    </w:p>
    <w:p w14:paraId="3E02D8C7" w14:textId="77777777" w:rsidR="00A420DD" w:rsidRPr="00A420DD" w:rsidRDefault="00A420DD" w:rsidP="00A420DD">
      <w:pPr>
        <w:pStyle w:val="Heading4"/>
        <w:rPr>
          <w:rFonts w:ascii="VIC SemiBold" w:hAnsi="VIC SemiBold"/>
          <w:b w:val="0"/>
        </w:rPr>
      </w:pPr>
      <w:r w:rsidRPr="00A420DD">
        <w:rPr>
          <w:rFonts w:ascii="VIC SemiBold" w:hAnsi="VIC SemiBold"/>
          <w:b w:val="0"/>
        </w:rPr>
        <w:t>New sentinel event categories from 1 July 2019</w:t>
      </w:r>
    </w:p>
    <w:p w14:paraId="0E4327CF" w14:textId="77777777" w:rsidR="00A420DD" w:rsidRDefault="00A420DD" w:rsidP="00FE1442">
      <w:pPr>
        <w:pStyle w:val="Normalfollowingheading"/>
        <w:spacing w:after="120"/>
      </w:pPr>
      <w:r>
        <w:t>1. Surgery or other invasive procedure performed on the wrong site resulting in serious harm or death</w:t>
      </w:r>
    </w:p>
    <w:p w14:paraId="415AD7B0" w14:textId="77777777" w:rsidR="00A420DD" w:rsidRDefault="00A420DD" w:rsidP="00FE1442">
      <w:pPr>
        <w:spacing w:before="120" w:after="120" w:line="260" w:lineRule="atLeast"/>
      </w:pPr>
      <w:r>
        <w:t>2. Surgery or other invasive procedure performed on the wrong patient resulting in serious harm or death</w:t>
      </w:r>
    </w:p>
    <w:p w14:paraId="55114A36" w14:textId="77777777" w:rsidR="00A420DD" w:rsidRDefault="00A420DD" w:rsidP="00FE1442">
      <w:pPr>
        <w:spacing w:before="120" w:after="120" w:line="260" w:lineRule="atLeast"/>
      </w:pPr>
      <w:r>
        <w:t>3. Wrong surgical or other procedure performed on a patient resulting in serious harm or death</w:t>
      </w:r>
    </w:p>
    <w:p w14:paraId="1358DA34" w14:textId="77777777" w:rsidR="00A420DD" w:rsidRDefault="00A420DD" w:rsidP="00FE1442">
      <w:pPr>
        <w:spacing w:before="120" w:after="120" w:line="260" w:lineRule="atLeast"/>
      </w:pPr>
      <w:r>
        <w:t>4. Unintended retention of a foreign object in a patient after surgery or other invasive procedure resulting in serious harm or death</w:t>
      </w:r>
    </w:p>
    <w:p w14:paraId="52B7B589" w14:textId="77777777" w:rsidR="00A420DD" w:rsidRDefault="00A420DD" w:rsidP="00FE1442">
      <w:pPr>
        <w:spacing w:before="120" w:after="120" w:line="260" w:lineRule="atLeast"/>
      </w:pPr>
      <w:r>
        <w:t>5. Haemolytic blood transfusion reaction resulting from ABO incompatibility resulting in serious harm or death</w:t>
      </w:r>
    </w:p>
    <w:p w14:paraId="6CBC2EE5" w14:textId="77777777" w:rsidR="00A420DD" w:rsidRDefault="00A420DD" w:rsidP="00FE1442">
      <w:pPr>
        <w:spacing w:before="120" w:after="120" w:line="260" w:lineRule="atLeast"/>
      </w:pPr>
      <w:r>
        <w:t>6. Suspected suicide of a patient in an acute psychiatric ward</w:t>
      </w:r>
    </w:p>
    <w:p w14:paraId="0A5FF723" w14:textId="77777777" w:rsidR="00A420DD" w:rsidRDefault="00A420DD" w:rsidP="00FE1442">
      <w:pPr>
        <w:spacing w:before="120" w:after="120" w:line="260" w:lineRule="atLeast"/>
      </w:pPr>
      <w:r>
        <w:t>7. Medication error resulting in serious harm or death</w:t>
      </w:r>
    </w:p>
    <w:p w14:paraId="1E98BB94" w14:textId="77777777" w:rsidR="00A420DD" w:rsidRDefault="00A420DD" w:rsidP="00FE1442">
      <w:pPr>
        <w:spacing w:before="120" w:after="120" w:line="260" w:lineRule="atLeast"/>
      </w:pPr>
      <w:r>
        <w:t>8. Use of physical or mechanical restraint resulting in serious harm or death</w:t>
      </w:r>
    </w:p>
    <w:p w14:paraId="6460E9A4" w14:textId="77777777" w:rsidR="00A420DD" w:rsidRDefault="00A420DD" w:rsidP="00FE1442">
      <w:pPr>
        <w:spacing w:before="120" w:after="120" w:line="260" w:lineRule="atLeast"/>
      </w:pPr>
      <w:r>
        <w:t>9. Discharge or release of an infant or child to an unauthorised person</w:t>
      </w:r>
    </w:p>
    <w:p w14:paraId="74F0205A" w14:textId="746AEF29" w:rsidR="00A420DD" w:rsidRDefault="00A420DD" w:rsidP="00FE1442">
      <w:pPr>
        <w:spacing w:before="120" w:after="120" w:line="260" w:lineRule="atLeast"/>
      </w:pPr>
      <w:r>
        <w:t xml:space="preserve">10. Use of an incorrectly positioned </w:t>
      </w:r>
      <w:proofErr w:type="spellStart"/>
      <w:r>
        <w:t>oro</w:t>
      </w:r>
      <w:proofErr w:type="spellEnd"/>
      <w:r>
        <w:t xml:space="preserve">- or </w:t>
      </w:r>
      <w:proofErr w:type="spellStart"/>
      <w:r>
        <w:t>naso</w:t>
      </w:r>
      <w:proofErr w:type="spellEnd"/>
      <w:r w:rsidR="00241D27">
        <w:t>-</w:t>
      </w:r>
      <w:r>
        <w:t>gastric tube resulting in serious harm or death</w:t>
      </w:r>
    </w:p>
    <w:p w14:paraId="3B160C7D" w14:textId="77777777" w:rsidR="00A420DD" w:rsidRDefault="00A420DD" w:rsidP="00FE1442">
      <w:pPr>
        <w:spacing w:before="120" w:after="120" w:line="260" w:lineRule="atLeast"/>
      </w:pPr>
      <w:r>
        <w:t>11. (Victoria only) All other adverse patient safety events resulting in serious harm or death</w:t>
      </w:r>
    </w:p>
    <w:p w14:paraId="57E9F18C" w14:textId="77777777" w:rsidR="008B3C35" w:rsidRDefault="008B3C35" w:rsidP="008B3C35">
      <w:pPr>
        <w:pStyle w:val="Bullet1"/>
      </w:pPr>
      <w:r>
        <w:t>clinical process and procedure</w:t>
      </w:r>
    </w:p>
    <w:p w14:paraId="44E47568" w14:textId="77777777" w:rsidR="008B3C35" w:rsidRDefault="008B3C35" w:rsidP="008B3C35">
      <w:pPr>
        <w:pStyle w:val="Bullet1"/>
      </w:pPr>
      <w:r>
        <w:t>falls</w:t>
      </w:r>
    </w:p>
    <w:p w14:paraId="0B78DFB1" w14:textId="77777777" w:rsidR="008B3C35" w:rsidRDefault="008B3C35" w:rsidP="008B3C35">
      <w:pPr>
        <w:pStyle w:val="Bullet1"/>
      </w:pPr>
      <w:r>
        <w:t>deteriorating patients</w:t>
      </w:r>
    </w:p>
    <w:p w14:paraId="372A32A9" w14:textId="33735C04" w:rsidR="008B3C35" w:rsidRDefault="008B3C35" w:rsidP="008B3C35">
      <w:pPr>
        <w:pStyle w:val="Bullet1"/>
      </w:pPr>
      <w:r>
        <w:t>self</w:t>
      </w:r>
      <w:r w:rsidR="00241D27">
        <w:t>-</w:t>
      </w:r>
      <w:r>
        <w:t>harm (behaviour)</w:t>
      </w:r>
    </w:p>
    <w:p w14:paraId="68E6616C" w14:textId="77777777" w:rsidR="008B3C35" w:rsidRDefault="008B3C35" w:rsidP="008B3C35">
      <w:pPr>
        <w:pStyle w:val="Bullet1"/>
      </w:pPr>
      <w:r>
        <w:t>communication of clinical information</w:t>
      </w:r>
    </w:p>
    <w:p w14:paraId="693458E1" w14:textId="77777777" w:rsidR="008B3C35" w:rsidRDefault="008B3C35" w:rsidP="008B3C35">
      <w:pPr>
        <w:pStyle w:val="Bullet1"/>
      </w:pPr>
      <w:r>
        <w:t>medical device or equipment</w:t>
      </w:r>
    </w:p>
    <w:p w14:paraId="1842981E" w14:textId="77777777" w:rsidR="008B3C35" w:rsidRDefault="008B3C35" w:rsidP="008B3C35">
      <w:pPr>
        <w:pStyle w:val="Bullet1"/>
      </w:pPr>
      <w:r>
        <w:t>nutrition management</w:t>
      </w:r>
    </w:p>
    <w:p w14:paraId="4DD26B59" w14:textId="77777777" w:rsidR="008B3C35" w:rsidRDefault="008B3C35" w:rsidP="008B3C35">
      <w:pPr>
        <w:pStyle w:val="Bullet1"/>
      </w:pPr>
      <w:r>
        <w:t xml:space="preserve">resource or organisational </w:t>
      </w:r>
    </w:p>
    <w:p w14:paraId="1C6D14DE" w14:textId="77777777" w:rsidR="008B3C35" w:rsidRDefault="008B3C35" w:rsidP="008B3C35">
      <w:pPr>
        <w:pStyle w:val="Bullet1"/>
      </w:pPr>
      <w:r>
        <w:t>healthcare associated infection</w:t>
      </w:r>
    </w:p>
    <w:p w14:paraId="1FC652D4" w14:textId="6B9DD6E6" w:rsidR="008B3C35" w:rsidRDefault="008B3C35" w:rsidP="008B3C35">
      <w:pPr>
        <w:pStyle w:val="Bullet1"/>
      </w:pPr>
      <w:r>
        <w:t>patient accidents</w:t>
      </w:r>
      <w:r w:rsidR="00241D27">
        <w:t>.</w:t>
      </w:r>
    </w:p>
    <w:p w14:paraId="1664621D" w14:textId="77777777" w:rsidR="008B3C35" w:rsidRDefault="008B3C35">
      <w:r>
        <w:br w:type="page"/>
      </w:r>
    </w:p>
    <w:p w14:paraId="2414B6DF" w14:textId="77777777" w:rsidR="008B3C35" w:rsidRDefault="008B3C35" w:rsidP="008B3C35">
      <w:r>
        <w:rPr>
          <w:noProof/>
        </w:rPr>
        <w:lastRenderedPageBreak/>
        <mc:AlternateContent>
          <mc:Choice Requires="wps">
            <w:drawing>
              <wp:inline distT="0" distB="0" distL="0" distR="0" wp14:anchorId="19DBFFC5" wp14:editId="73AFC049">
                <wp:extent cx="6300000" cy="5891917"/>
                <wp:effectExtent l="0" t="0" r="24765" b="13970"/>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0000" cy="5891917"/>
                        </a:xfrm>
                        <a:prstGeom prst="rect">
                          <a:avLst/>
                        </a:prstGeom>
                        <a:solidFill>
                          <a:schemeClr val="bg2"/>
                        </a:solidFill>
                        <a:ln w="6350">
                          <a:solidFill>
                            <a:schemeClr val="bg2"/>
                          </a:solidFill>
                          <a:miter lim="800000"/>
                          <a:headEnd/>
                          <a:tailEnd/>
                        </a:ln>
                      </wps:spPr>
                      <wps:txbx>
                        <w:txbxContent>
                          <w:p w14:paraId="0AD24F49" w14:textId="77777777" w:rsidR="00D14F54" w:rsidRDefault="00D14F54" w:rsidP="008B3C35">
                            <w:pPr>
                              <w:pStyle w:val="PulloutHeading"/>
                            </w:pPr>
                            <w:r>
                              <w:t>Michelle’s story – my experience as an independent Root Cause Analysis (RCA) panel member</w:t>
                            </w:r>
                          </w:p>
                          <w:p w14:paraId="4138562C" w14:textId="33C9EA28" w:rsidR="00D14F54" w:rsidRDefault="00D14F54" w:rsidP="008B3C35">
                            <w:pPr>
                              <w:pStyle w:val="PulloutText"/>
                            </w:pPr>
                            <w:r>
                              <w:t>As an experienced paediatric nurse, Michelle was asked to be an independent panel member on a RCA team. The sentinel event under review involved a child who was given the wrong dose of a critical medication during cardiopulmonary resuscitation. From Michelle’s point of view, including a nursing perspective was necessary to conducting a comprehensive and accurate RCA.</w:t>
                            </w:r>
                          </w:p>
                          <w:p w14:paraId="294EA7BC" w14:textId="77777777" w:rsidR="00D14F54" w:rsidRDefault="00D14F54" w:rsidP="008B3C35">
                            <w:pPr>
                              <w:pStyle w:val="PulloutText"/>
                            </w:pPr>
                            <w:r>
                              <w:t>“It was critical that the sequence of events was mapped out in order to understand all the possible contributing factors. I learned there are many members of the team who are necessary to contribute to this overall picture, and nursing is one of them.</w:t>
                            </w:r>
                          </w:p>
                          <w:p w14:paraId="4985914B" w14:textId="77777777" w:rsidR="00D14F54" w:rsidRDefault="00D14F54" w:rsidP="008B3C35">
                            <w:pPr>
                              <w:pStyle w:val="PulloutText"/>
                            </w:pPr>
                            <w:r>
                              <w:t>“I also learned the importance of looking well beyond the clinicians involved in the care of the patient to identify the system failures that contributed to the sentinel event and develop realistic useful recommendations. I have been reminded of the importance of supporting and encouraging staff to confidently and respectfully question clinical care processes, along with making clinical resources readily available.</w:t>
                            </w:r>
                          </w:p>
                          <w:p w14:paraId="2423B45A" w14:textId="77777777" w:rsidR="00D14F54" w:rsidRDefault="00D14F54" w:rsidP="008B3C35">
                            <w:pPr>
                              <w:pStyle w:val="PulloutText"/>
                            </w:pPr>
                            <w:r>
                              <w:t>“The RCA process was aided by a comprehensive guide that made the process clear and promoted well-organised teamwork.</w:t>
                            </w:r>
                          </w:p>
                          <w:p w14:paraId="08CAACD3" w14:textId="6F7259FE" w:rsidR="00D14F54" w:rsidRDefault="00D14F54" w:rsidP="008B3C35">
                            <w:pPr>
                              <w:pStyle w:val="PulloutText"/>
                            </w:pPr>
                            <w:r>
                              <w:t>“The team reviewing the event was integral to guiding me through the formal RCA process. I drew upon my experience having been involved in many similar clinical situations over the past 18 years, and I understand the role a nurse performs within a resuscitation team – including the pressure that is involved in a time-critical resuscitation. I’m also familiar with the resources, clinical practice guidelines, team dynamics and skill mix that can come into play.</w:t>
                            </w:r>
                          </w:p>
                          <w:p w14:paraId="6254E31B" w14:textId="7CC8D9B9" w:rsidR="00D14F54" w:rsidRDefault="00D14F54" w:rsidP="008B3C35">
                            <w:pPr>
                              <w:pStyle w:val="PulloutText"/>
                            </w:pPr>
                            <w:r>
                              <w:t>“I found the whole experience extremely valuable both in learning the RCA process, and when considering all the factors at play. The staff leading the RCA were very open to the process and well organised, respectful and considered all input. I would encourage others to embrace participating in a RCA if offered the opportunity – even those inexperienced in the process will likely be surprised by what they can bring to the table, especially if they are open to the process. By sharing knowledge, participation in a RCA contributes to recommendations that will improve patient outcomes.”</w:t>
                            </w:r>
                          </w:p>
                        </w:txbxContent>
                      </wps:txbx>
                      <wps:bodyPr rot="0" vert="horz" wrap="square" lIns="180000" tIns="180000" rIns="144000" bIns="36000" anchor="t" anchorCtr="0">
                        <a:noAutofit/>
                      </wps:bodyPr>
                    </wps:wsp>
                  </a:graphicData>
                </a:graphic>
              </wp:inline>
            </w:drawing>
          </mc:Choice>
          <mc:Fallback>
            <w:pict>
              <v:shape w14:anchorId="19DBFFC5" id="_x0000_s1033" type="#_x0000_t202" style="width:496.05pt;height:46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bGGHwIAAE4EAAAOAAAAZHJzL2Uyb0RvYy54bWysVNtu2zAMfR+wfxD0vjhJ2yw14hRdug4D&#10;ugvQ7gNoWY6FSaImKbGzrx8lp2m7PW2YHwRSog4PDymvrgaj2V76oNBWfDaZciatwEbZbcW/Pdy+&#10;WXIWItgGNFpZ8YMM/Gr9+tWqd6WcY4e6kZ4RiA1l7yrexejKogiikwbCBJ20dNiiNxDJ9dui8dAT&#10;utHFfDpdFD36xnkUMgTavRkP+Trjt60U8UvbBhmZrjhxi3n1ea3TWqxXUG49uE6JIw34BxYGlKWk&#10;J6gbiMB2Xv0BZZTwGLCNE4GmwLZVQuYaqJrZ9Ldq7jtwMtdC4gR3kin8P1jxef/VM9VQ795yZsFQ&#10;jx7kENk7HNg8ydO7UFLUvaO4ONA2heZSg7tD8T0wi5sO7FZee499J6EherN0s3h2dcQJCaTuP2FD&#10;aWAXMQMNrTdJO1KDETq16XBqTaIiaHNxNk0fZ4LOLpaXs0vim3JA+Xjd+RA/SDQsGRX31PsMD/u7&#10;EMfQx5CULaBWza3SOjtp3uRGe7YHmpR6m0sn8BdR2rI+UbmYjgL8PYJRkcZdK1Px5VgQEYMyqfbe&#10;NtmOoPRoU3ptjzIm5UYN41APuWG5/iRxjc2BdPU4Tje9RjI69D8562myKx5+7MBLzvRHm3qTM9Nb&#10;eOH50Ts/zyrX2TtbZAesILSKR85GcxPzC0rMLV5TG1uVBX4ic2RNQ5tbdHxg6VU893PU029g/QsA&#10;AP//AwBQSwMEFAAGAAgAAAAhAA4hSVXZAAAABQEAAA8AAABkcnMvZG93bnJldi54bWxMj8FOwzAM&#10;hu9IvENkJC4TS1skoKXpVE30isTYA3iN1xYap2qyrbw9hgtcLFu/9flzuVncqM40h8GzgXSdgCJu&#10;vR24M7B/b+6eQIWIbHH0TAa+KMCmur4qsbD+wm903sVOCYRDgQb6GKdC69D25DCs/UQs2dHPDqOM&#10;c6ftjBeBu1FnSfKgHQ4sF3qcaNtT+7k7OaF0dbM62lXevu7vU/vRDPVLujXm9mapn0FFWuLfMvzo&#10;izpU4nTwJ7ZBjQbkkfhbJcvzLAV1kCZ7zEFXpf5vX30DAAD//wMAUEsBAi0AFAAGAAgAAAAhALaD&#10;OJL+AAAA4QEAABMAAAAAAAAAAAAAAAAAAAAAAFtDb250ZW50X1R5cGVzXS54bWxQSwECLQAUAAYA&#10;CAAAACEAOP0h/9YAAACUAQAACwAAAAAAAAAAAAAAAAAvAQAAX3JlbHMvLnJlbHNQSwECLQAUAAYA&#10;CAAAACEAdFGxhh8CAABOBAAADgAAAAAAAAAAAAAAAAAuAgAAZHJzL2Uyb0RvYy54bWxQSwECLQAU&#10;AAYACAAAACEADiFJVdkAAAAFAQAADwAAAAAAAAAAAAAAAAB5BAAAZHJzL2Rvd25yZXYueG1sUEsF&#10;BgAAAAAEAAQA8wAAAH8FAAAAAA==&#10;" fillcolor="#edf5f7 [3214]" strokecolor="#edf5f7 [3214]" strokeweight=".5pt">
                <v:textbox inset="5mm,5mm,4mm,1mm">
                  <w:txbxContent>
                    <w:p w14:paraId="0AD24F49" w14:textId="77777777" w:rsidR="00D14F54" w:rsidRDefault="00D14F54" w:rsidP="008B3C35">
                      <w:pPr>
                        <w:pStyle w:val="PulloutHeading"/>
                      </w:pPr>
                      <w:r>
                        <w:t>Michelle’s story – my experience as an independent Root Cause Analysis (RCA) panel member</w:t>
                      </w:r>
                    </w:p>
                    <w:p w14:paraId="4138562C" w14:textId="33C9EA28" w:rsidR="00D14F54" w:rsidRDefault="00D14F54" w:rsidP="008B3C35">
                      <w:pPr>
                        <w:pStyle w:val="PulloutText"/>
                      </w:pPr>
                      <w:r>
                        <w:t>As an experienced paediatric nurse, Michelle was asked to be an independent panel member on a RCA team. The sentinel event under review involved a child who was given the wrong dose of a critical medication during cardiopulmonary resuscitation. From Michelle’s point of view, including a nursing perspective was necessary to conducting a comprehensive and accurate RCA.</w:t>
                      </w:r>
                    </w:p>
                    <w:p w14:paraId="294EA7BC" w14:textId="77777777" w:rsidR="00D14F54" w:rsidRDefault="00D14F54" w:rsidP="008B3C35">
                      <w:pPr>
                        <w:pStyle w:val="PulloutText"/>
                      </w:pPr>
                      <w:r>
                        <w:t>“It was critical that the sequence of events was mapped out in order to understand all the possible contributing factors. I learned there are many members of the team who are necessary to contribute to this overall picture, and nursing is one of them.</w:t>
                      </w:r>
                    </w:p>
                    <w:p w14:paraId="4985914B" w14:textId="77777777" w:rsidR="00D14F54" w:rsidRDefault="00D14F54" w:rsidP="008B3C35">
                      <w:pPr>
                        <w:pStyle w:val="PulloutText"/>
                      </w:pPr>
                      <w:r>
                        <w:t>“I also learned the importance of looking well beyond the clinicians involved in the care of the patient to identify the system failures that contributed to the sentinel event and develop realistic useful recommendations. I have been reminded of the importance of supporting and encouraging staff to confidently and respectfully question clinical care processes, along with making clinical resources readily available.</w:t>
                      </w:r>
                    </w:p>
                    <w:p w14:paraId="2423B45A" w14:textId="77777777" w:rsidR="00D14F54" w:rsidRDefault="00D14F54" w:rsidP="008B3C35">
                      <w:pPr>
                        <w:pStyle w:val="PulloutText"/>
                      </w:pPr>
                      <w:r>
                        <w:t>“The RCA process was aided by a comprehensive guide that made the process clear and promoted well-organised teamwork.</w:t>
                      </w:r>
                    </w:p>
                    <w:p w14:paraId="08CAACD3" w14:textId="6F7259FE" w:rsidR="00D14F54" w:rsidRDefault="00D14F54" w:rsidP="008B3C35">
                      <w:pPr>
                        <w:pStyle w:val="PulloutText"/>
                      </w:pPr>
                      <w:r>
                        <w:t>“The team reviewing the event was integral to guiding me through the formal RCA process. I drew upon my experience having been involved in many similar clinical situations over the past 18 years, and I understand the role a nurse performs within a resuscitation team – including the pressure that is involved in a time-critical resuscitation. I’m also familiar with the resources, clinical practice guidelines, team dynamics and skill mix that can come into play.</w:t>
                      </w:r>
                    </w:p>
                    <w:p w14:paraId="6254E31B" w14:textId="7CC8D9B9" w:rsidR="00D14F54" w:rsidRDefault="00D14F54" w:rsidP="008B3C35">
                      <w:pPr>
                        <w:pStyle w:val="PulloutText"/>
                      </w:pPr>
                      <w:r>
                        <w:t>“I found the whole experience extremely valuable both in learning the RCA process, and when considering all the factors at play. The staff leading the RCA were very open to the process and well organised, respectful and considered all input. I would encourage others to embrace participating in a RCA if offered the opportunity – even those inexperienced in the process will likely be surprised by what they can bring to the table, especially if they are open to the process. By sharing knowledge, participation in a RCA contributes to recommendations that will improve patient outcomes.”</w:t>
                      </w:r>
                    </w:p>
                  </w:txbxContent>
                </v:textbox>
                <w10:anchorlock/>
              </v:shape>
            </w:pict>
          </mc:Fallback>
        </mc:AlternateContent>
      </w:r>
    </w:p>
    <w:p w14:paraId="6D997572" w14:textId="77777777" w:rsidR="008B3C35" w:rsidRDefault="008B3C35">
      <w:r>
        <w:br w:type="page"/>
      </w:r>
    </w:p>
    <w:p w14:paraId="333B932C" w14:textId="77777777" w:rsidR="008B3C35" w:rsidRDefault="008B3C35" w:rsidP="00E821C7">
      <w:pPr>
        <w:pStyle w:val="Heading1"/>
        <w:framePr w:wrap="around"/>
      </w:pPr>
      <w:r>
        <w:lastRenderedPageBreak/>
        <w:t>2. Reviewing</w:t>
      </w:r>
    </w:p>
    <w:p w14:paraId="0F89C319" w14:textId="1EDEACAB" w:rsidR="008B3C35" w:rsidRDefault="008B3C35" w:rsidP="008B3C35">
      <w:pPr>
        <w:pStyle w:val="IntroductoryText"/>
      </w:pPr>
      <w:r>
        <w:t xml:space="preserve">SCV requires health services to submit RCA reports within specified timelines. A timely response addresses consumer concerns and increases transparency. </w:t>
      </w:r>
      <w:r w:rsidR="00574E67">
        <w:t>Pleasingly, i</w:t>
      </w:r>
      <w:r>
        <w:t xml:space="preserve">n a continuing trend, health service timeliness has improved again </w:t>
      </w:r>
      <w:r w:rsidR="00003AE9">
        <w:t>in 2018–19.</w:t>
      </w:r>
    </w:p>
    <w:p w14:paraId="330E4DD4" w14:textId="77777777" w:rsidR="008B3C35" w:rsidRDefault="008B3C35" w:rsidP="008B3C35">
      <w:r>
        <w:t xml:space="preserve">Review teams also benefit from involving external members and consumer representatives who offer different perspectives, </w:t>
      </w:r>
      <w:r w:rsidR="008310C7">
        <w:t xml:space="preserve">and who </w:t>
      </w:r>
      <w:r>
        <w:t>challenge biases and assumptions</w:t>
      </w:r>
      <w:r w:rsidR="008310C7">
        <w:t xml:space="preserve"> through the</w:t>
      </w:r>
      <w:r>
        <w:t xml:space="preserve"> review.</w:t>
      </w:r>
    </w:p>
    <w:p w14:paraId="46CC9D40" w14:textId="77777777" w:rsidR="008B3C35" w:rsidRDefault="008B3C35" w:rsidP="008B3C35">
      <w:r>
        <w:rPr>
          <w:noProof/>
        </w:rPr>
        <mc:AlternateContent>
          <mc:Choice Requires="wps">
            <w:drawing>
              <wp:inline distT="0" distB="0" distL="0" distR="0" wp14:anchorId="27C11E8B" wp14:editId="5C251135">
                <wp:extent cx="6300000" cy="1932167"/>
                <wp:effectExtent l="0" t="0" r="24765" b="11430"/>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0000" cy="1932167"/>
                        </a:xfrm>
                        <a:prstGeom prst="rect">
                          <a:avLst/>
                        </a:prstGeom>
                        <a:solidFill>
                          <a:schemeClr val="bg2"/>
                        </a:solidFill>
                        <a:ln w="6350">
                          <a:solidFill>
                            <a:schemeClr val="bg2"/>
                          </a:solidFill>
                          <a:miter lim="800000"/>
                          <a:headEnd/>
                          <a:tailEnd/>
                        </a:ln>
                      </wps:spPr>
                      <wps:txbx>
                        <w:txbxContent>
                          <w:p w14:paraId="69C6D979" w14:textId="77777777" w:rsidR="00D14F54" w:rsidRPr="008B3C35" w:rsidRDefault="00D14F54" w:rsidP="008B3C35">
                            <w:pPr>
                              <w:pStyle w:val="PulloutText"/>
                            </w:pPr>
                            <w:r w:rsidRPr="008B3C35">
                              <w:t>Health services must:</w:t>
                            </w:r>
                          </w:p>
                          <w:p w14:paraId="0C91F810" w14:textId="77777777" w:rsidR="00D14F54" w:rsidRPr="008B3C35" w:rsidRDefault="00D14F54" w:rsidP="008B3C35">
                            <w:pPr>
                              <w:pStyle w:val="PulloutText"/>
                              <w:numPr>
                                <w:ilvl w:val="0"/>
                                <w:numId w:val="12"/>
                              </w:numPr>
                            </w:pPr>
                            <w:r w:rsidRPr="008B3C35">
                              <w:t>use RCA methodology to review sentinel events</w:t>
                            </w:r>
                          </w:p>
                          <w:p w14:paraId="56E63003" w14:textId="77777777" w:rsidR="00D14F54" w:rsidRPr="008B3C35" w:rsidRDefault="00D14F54" w:rsidP="008B3C35">
                            <w:pPr>
                              <w:pStyle w:val="PulloutText"/>
                              <w:numPr>
                                <w:ilvl w:val="0"/>
                                <w:numId w:val="12"/>
                              </w:numPr>
                            </w:pPr>
                            <w:r w:rsidRPr="008B3C35">
                              <w:t>submit a RCA report to SCV within 30 working days (six weeks) from the time of notification</w:t>
                            </w:r>
                          </w:p>
                          <w:p w14:paraId="57CCD7C1" w14:textId="77777777" w:rsidR="00D14F54" w:rsidRPr="008B3C35" w:rsidRDefault="00D14F54" w:rsidP="008B3C35">
                            <w:pPr>
                              <w:pStyle w:val="PulloutText"/>
                              <w:numPr>
                                <w:ilvl w:val="0"/>
                                <w:numId w:val="12"/>
                              </w:numPr>
                            </w:pPr>
                            <w:r w:rsidRPr="008B3C35">
                              <w:t>include a member from outside of the health service on</w:t>
                            </w:r>
                            <w:r>
                              <w:t xml:space="preserve"> its</w:t>
                            </w:r>
                            <w:r w:rsidRPr="008B3C35">
                              <w:t xml:space="preserve"> review team to provide a level of independence and diversity in thinking.</w:t>
                            </w:r>
                          </w:p>
                          <w:p w14:paraId="687DD9D5" w14:textId="77777777" w:rsidR="00D14F54" w:rsidRPr="008B3C35" w:rsidRDefault="00D14F54" w:rsidP="008B3C35">
                            <w:pPr>
                              <w:pStyle w:val="PulloutText"/>
                            </w:pPr>
                            <w:r>
                              <w:t>Best practice</w:t>
                            </w:r>
                            <w:r w:rsidRPr="008B3C35">
                              <w:t xml:space="preserve"> include</w:t>
                            </w:r>
                            <w:r>
                              <w:t>s</w:t>
                            </w:r>
                            <w:r w:rsidRPr="008B3C35">
                              <w:t xml:space="preserve"> a consumer representative on the review team. </w:t>
                            </w:r>
                            <w:r>
                              <w:t>This</w:t>
                            </w:r>
                            <w:r w:rsidRPr="008B3C35">
                              <w:t xml:space="preserve"> </w:t>
                            </w:r>
                            <w:r>
                              <w:t>helps</w:t>
                            </w:r>
                            <w:r w:rsidRPr="008B3C35">
                              <w:t xml:space="preserve"> health services gain a patient and family perspective through the review.</w:t>
                            </w:r>
                          </w:p>
                        </w:txbxContent>
                      </wps:txbx>
                      <wps:bodyPr rot="0" vert="horz" wrap="square" lIns="180000" tIns="180000" rIns="144000" bIns="36000" anchor="t" anchorCtr="0">
                        <a:noAutofit/>
                      </wps:bodyPr>
                    </wps:wsp>
                  </a:graphicData>
                </a:graphic>
              </wp:inline>
            </w:drawing>
          </mc:Choice>
          <mc:Fallback>
            <w:pict>
              <v:shape w14:anchorId="27C11E8B" id="_x0000_s1034" type="#_x0000_t202" style="width:496.05pt;height:152.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yMmIQIAAE4EAAAOAAAAZHJzL2Uyb0RvYy54bWysVNtu2zAMfR+wfxD0vthJuiw14hRdug4D&#10;ugvQ7gMYWY6FSaImKbG7rx8lJ1m7PW2YHwRSog7Jcyivrgaj2UH6oNDWfDopOZNWYKPsruZfH25f&#10;LTkLEWwDGq2s+aMM/Gr98sWqd5WcYYe6kZ4RiA1V72rexeiqogiikwbCBJ20dNiiNxDJ9bui8dAT&#10;utHFrCwXRY++cR6FDIF2b8ZDvs74bStF/Ny2QUama061xbz6vG7TWqxXUO08uE6JYxnwD1UYUJaS&#10;nqFuIALbe/UHlFHCY8A2TgSaAttWCZl7oG6m5W/d3HfgZO6FyAnuTFP4f7Di0+GLZ6oh7S45s2BI&#10;owc5RPYWBzZL9PQuVBR17yguDrRNobnV4O5QfAvM4qYDu5PX3mPfSWiovGm6WTy5OuKEBLLtP2JD&#10;aWAfMQMNrTeJO2KDETrJ9HiWJpUiaHMxL9PHmaCz6eV8Nl28yTmgOl13PsT3Eg1LRs09aZ/h4XAX&#10;YioHqlNIyhZQq+ZWaZ2dNG9yoz07AE3KdpdbpxvPorRlfSrldTkS8PcIRkUad61MzZdjQ3kAE2vv&#10;bJPtCEqPNqXX9khjYm7kMA7bIQu2PKmzxeaRePU4Tje9RjI69D8462myax6+78FLzvQHm7TJmekt&#10;PPP86F1cZJa32ZsvsgNWEFrNI2ejuYn5BSXiLF6TjK3KBCe9x2KOVdPQZt6PDyy9iqd+jvr1G1j/&#10;BAAA//8DAFBLAwQUAAYACAAAACEATZki9NoAAAAFAQAADwAAAGRycy9kb3ducmV2LnhtbEyPwWrC&#10;QBCG7wXfYRmhF6mbmCImzUaCNNdC1QdYs2MSzc6G7Krp23faS3sZGP6fb77Jt5PtxR1H3zlSEC8j&#10;EEi1Mx01Co6H6mUDwgdNRveOUMEXetgWs6dcZ8Y96BPv+9AIhpDPtII2hCGT0tctWu2XbkDi7OxG&#10;qwOvYyPNqB8Mt71cRdFaWt0RX2j1gLsW6+v+ZpnSlNXibBZp/XFMYnOpuvI93in1PJ/KNxABp/BX&#10;hh99VoeCnU7uRsaLXgE/En4nZ2m6ikGcFCTRawKyyOV/++IbAAD//wMAUEsBAi0AFAAGAAgAAAAh&#10;ALaDOJL+AAAA4QEAABMAAAAAAAAAAAAAAAAAAAAAAFtDb250ZW50X1R5cGVzXS54bWxQSwECLQAU&#10;AAYACAAAACEAOP0h/9YAAACUAQAACwAAAAAAAAAAAAAAAAAvAQAAX3JlbHMvLnJlbHNQSwECLQAU&#10;AAYACAAAACEAGKMjJiECAABOBAAADgAAAAAAAAAAAAAAAAAuAgAAZHJzL2Uyb0RvYy54bWxQSwEC&#10;LQAUAAYACAAAACEATZki9NoAAAAFAQAADwAAAAAAAAAAAAAAAAB7BAAAZHJzL2Rvd25yZXYueG1s&#10;UEsFBgAAAAAEAAQA8wAAAIIFAAAAAA==&#10;" fillcolor="#edf5f7 [3214]" strokecolor="#edf5f7 [3214]" strokeweight=".5pt">
                <v:textbox inset="5mm,5mm,4mm,1mm">
                  <w:txbxContent>
                    <w:p w14:paraId="69C6D979" w14:textId="77777777" w:rsidR="00D14F54" w:rsidRPr="008B3C35" w:rsidRDefault="00D14F54" w:rsidP="008B3C35">
                      <w:pPr>
                        <w:pStyle w:val="PulloutText"/>
                      </w:pPr>
                      <w:r w:rsidRPr="008B3C35">
                        <w:t>Health services must:</w:t>
                      </w:r>
                    </w:p>
                    <w:p w14:paraId="0C91F810" w14:textId="77777777" w:rsidR="00D14F54" w:rsidRPr="008B3C35" w:rsidRDefault="00D14F54" w:rsidP="008B3C35">
                      <w:pPr>
                        <w:pStyle w:val="PulloutText"/>
                        <w:numPr>
                          <w:ilvl w:val="0"/>
                          <w:numId w:val="12"/>
                        </w:numPr>
                      </w:pPr>
                      <w:r w:rsidRPr="008B3C35">
                        <w:t>use RCA methodology to review sentinel events</w:t>
                      </w:r>
                    </w:p>
                    <w:p w14:paraId="56E63003" w14:textId="77777777" w:rsidR="00D14F54" w:rsidRPr="008B3C35" w:rsidRDefault="00D14F54" w:rsidP="008B3C35">
                      <w:pPr>
                        <w:pStyle w:val="PulloutText"/>
                        <w:numPr>
                          <w:ilvl w:val="0"/>
                          <w:numId w:val="12"/>
                        </w:numPr>
                      </w:pPr>
                      <w:r w:rsidRPr="008B3C35">
                        <w:t>submit a RCA report to SCV within 30 working days (six weeks) from the time of notification</w:t>
                      </w:r>
                    </w:p>
                    <w:p w14:paraId="57CCD7C1" w14:textId="77777777" w:rsidR="00D14F54" w:rsidRPr="008B3C35" w:rsidRDefault="00D14F54" w:rsidP="008B3C35">
                      <w:pPr>
                        <w:pStyle w:val="PulloutText"/>
                        <w:numPr>
                          <w:ilvl w:val="0"/>
                          <w:numId w:val="12"/>
                        </w:numPr>
                      </w:pPr>
                      <w:r w:rsidRPr="008B3C35">
                        <w:t>include a member from outside of the health service on</w:t>
                      </w:r>
                      <w:r>
                        <w:t xml:space="preserve"> its</w:t>
                      </w:r>
                      <w:r w:rsidRPr="008B3C35">
                        <w:t xml:space="preserve"> review team to provide a level of independence and diversity in thinking.</w:t>
                      </w:r>
                    </w:p>
                    <w:p w14:paraId="687DD9D5" w14:textId="77777777" w:rsidR="00D14F54" w:rsidRPr="008B3C35" w:rsidRDefault="00D14F54" w:rsidP="008B3C35">
                      <w:pPr>
                        <w:pStyle w:val="PulloutText"/>
                      </w:pPr>
                      <w:r>
                        <w:t>Best practice</w:t>
                      </w:r>
                      <w:r w:rsidRPr="008B3C35">
                        <w:t xml:space="preserve"> include</w:t>
                      </w:r>
                      <w:r>
                        <w:t>s</w:t>
                      </w:r>
                      <w:r w:rsidRPr="008B3C35">
                        <w:t xml:space="preserve"> a consumer representative on the review team. </w:t>
                      </w:r>
                      <w:r>
                        <w:t>This</w:t>
                      </w:r>
                      <w:r w:rsidRPr="008B3C35">
                        <w:t xml:space="preserve"> </w:t>
                      </w:r>
                      <w:r>
                        <w:t>helps</w:t>
                      </w:r>
                      <w:r w:rsidRPr="008B3C35">
                        <w:t xml:space="preserve"> health services gain a patient and family perspective through the review.</w:t>
                      </w:r>
                    </w:p>
                  </w:txbxContent>
                </v:textbox>
                <w10:anchorlock/>
              </v:shape>
            </w:pict>
          </mc:Fallback>
        </mc:AlternateContent>
      </w:r>
    </w:p>
    <w:p w14:paraId="3F1AAE99" w14:textId="77777777" w:rsidR="008B3C35" w:rsidRDefault="008B3C35" w:rsidP="008B3C35">
      <w:pPr>
        <w:pStyle w:val="Heading2"/>
      </w:pPr>
      <w:r>
        <w:t>Timeliness of report submission</w:t>
      </w:r>
    </w:p>
    <w:p w14:paraId="7DA904D6" w14:textId="77777777" w:rsidR="008B3C35" w:rsidRDefault="008B3C35" w:rsidP="008B3C35">
      <w:pPr>
        <w:pStyle w:val="Normalfollowingheading"/>
      </w:pPr>
      <w:r>
        <w:t>In 2018–19, we received 120 RCA reports from the 121 sentinel event notifications.</w:t>
      </w:r>
    </w:p>
    <w:p w14:paraId="582B7D1A" w14:textId="481FB80C" w:rsidR="008B3C35" w:rsidRDefault="008B3C35" w:rsidP="008B3C35">
      <w:r>
        <w:t xml:space="preserve">Of these, 43 reports </w:t>
      </w:r>
      <w:r w:rsidR="00273BE0">
        <w:t>(36 per</w:t>
      </w:r>
      <w:r w:rsidR="00A4495B">
        <w:t xml:space="preserve"> </w:t>
      </w:r>
      <w:r w:rsidR="00273BE0">
        <w:t xml:space="preserve">cent) </w:t>
      </w:r>
      <w:r>
        <w:t>were submitted within the required 30 working days</w:t>
      </w:r>
      <w:r w:rsidR="00273BE0">
        <w:t xml:space="preserve">, an increase from 18 per cent </w:t>
      </w:r>
      <w:r w:rsidR="00A4495B">
        <w:t>in 2017-18</w:t>
      </w:r>
      <w:r>
        <w:t>. One report remained outstanding at 36 weeks after the sentinel event notification.</w:t>
      </w:r>
    </w:p>
    <w:p w14:paraId="176B35ED" w14:textId="77777777" w:rsidR="008B3C35" w:rsidRDefault="008B3C35" w:rsidP="00D9025A">
      <w:pPr>
        <w:pStyle w:val="Tablechartdiagramheading"/>
        <w:spacing w:after="0"/>
      </w:pPr>
      <w:r>
        <w:t>Figure 9: Timeframe of submitted RCA reports</w:t>
      </w:r>
    </w:p>
    <w:p w14:paraId="070072A8" w14:textId="77777777" w:rsidR="008B3C35" w:rsidRDefault="00D9025A" w:rsidP="008B3C35">
      <w:r>
        <w:rPr>
          <w:noProof/>
        </w:rPr>
        <w:drawing>
          <wp:inline distT="0" distB="0" distL="0" distR="0" wp14:anchorId="47BCA20F" wp14:editId="2AA1F623">
            <wp:extent cx="6300000" cy="2268000"/>
            <wp:effectExtent l="0" t="0" r="5715" b="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73B5B4B" w14:textId="77777777" w:rsidR="00273BE0" w:rsidRDefault="00273BE0" w:rsidP="008B3C35"/>
    <w:p w14:paraId="7B2A11ED" w14:textId="77777777" w:rsidR="008B3C35" w:rsidRDefault="008B3C35" w:rsidP="008B3C35">
      <w:r>
        <w:t xml:space="preserve">Sentinel events are often a symptom of systems issues that represent risks to patient safety. </w:t>
      </w:r>
      <w:r w:rsidR="003A194A">
        <w:t>We believe identifying these</w:t>
      </w:r>
      <w:r>
        <w:t xml:space="preserve"> systems issues is a matter of priority and must be addressed in a timely way so that other patients are not exposed to the same risks. That</w:t>
      </w:r>
      <w:r w:rsidR="008310C7">
        <w:t xml:space="preserve"> is</w:t>
      </w:r>
      <w:r>
        <w:t xml:space="preserve"> why we set a 30-working day timeframe for reviewing sentinel events and submitting </w:t>
      </w:r>
      <w:proofErr w:type="gramStart"/>
      <w:r>
        <w:t>a</w:t>
      </w:r>
      <w:proofErr w:type="gramEnd"/>
      <w:r>
        <w:t xml:space="preserve"> RCA report.</w:t>
      </w:r>
    </w:p>
    <w:p w14:paraId="17FEAE75" w14:textId="77777777" w:rsidR="008310C7" w:rsidRDefault="008B3C35" w:rsidP="008B3C35">
      <w:pPr>
        <w:rPr>
          <w:b/>
        </w:rPr>
      </w:pPr>
      <w:r>
        <w:lastRenderedPageBreak/>
        <w:t xml:space="preserve">Health services have told us that while they understand and agree with this rationale, they sometimes struggle to achieve it for many reasons </w:t>
      </w:r>
      <w:r w:rsidR="008310C7">
        <w:t>(</w:t>
      </w:r>
      <w:r w:rsidRPr="003A194A">
        <w:rPr>
          <w:b/>
        </w:rPr>
        <w:t>Figure 10</w:t>
      </w:r>
      <w:r w:rsidR="008310C7" w:rsidRPr="008310C7">
        <w:t>).</w:t>
      </w:r>
    </w:p>
    <w:p w14:paraId="20776DA3" w14:textId="78C275DC" w:rsidR="00D9025A" w:rsidRDefault="008310C7" w:rsidP="00D9025A">
      <w:pPr>
        <w:rPr>
          <w:bCs/>
        </w:rPr>
      </w:pPr>
      <w:r>
        <w:t>In response to this feedback, and t</w:t>
      </w:r>
      <w:r w:rsidR="00D9025A" w:rsidRPr="00D9025A">
        <w:t>o ensure health services review sentinel events and identify systems issues in a timely way</w:t>
      </w:r>
      <w:r w:rsidR="00D9025A">
        <w:t>,</w:t>
      </w:r>
      <w:r w:rsidR="00D9025A" w:rsidRPr="00D9025A">
        <w:t xml:space="preserve"> we have changed </w:t>
      </w:r>
      <w:r>
        <w:t>how</w:t>
      </w:r>
      <w:r w:rsidR="00D9025A" w:rsidRPr="00D9025A">
        <w:t xml:space="preserve"> RCA report</w:t>
      </w:r>
      <w:r>
        <w:t>s are</w:t>
      </w:r>
      <w:r w:rsidR="00D9025A" w:rsidRPr="00D9025A">
        <w:t xml:space="preserve"> submi</w:t>
      </w:r>
      <w:r>
        <w:t>tted</w:t>
      </w:r>
      <w:r w:rsidR="00D9025A">
        <w:t>. S</w:t>
      </w:r>
      <w:r w:rsidR="00D9025A" w:rsidRPr="00D9025A">
        <w:t xml:space="preserve">ee ‘Allowing more time to develop stronger </w:t>
      </w:r>
      <w:r w:rsidR="00D9025A" w:rsidRPr="00FB5172">
        <w:t xml:space="preserve">recommendations’ (page </w:t>
      </w:r>
      <w:r w:rsidR="00FB5172">
        <w:t>18</w:t>
      </w:r>
      <w:r w:rsidR="00D9025A" w:rsidRPr="00FB5172">
        <w:t>).</w:t>
      </w:r>
    </w:p>
    <w:p w14:paraId="20B5C35C" w14:textId="77777777" w:rsidR="008B3C35" w:rsidRDefault="008B3C35" w:rsidP="008B3C35">
      <w:pPr>
        <w:pStyle w:val="Tablechartdiagramheading"/>
      </w:pPr>
      <w:r w:rsidRPr="008B3C35">
        <w:t>Figure 10: Reasons for extensions granted</w:t>
      </w:r>
    </w:p>
    <w:p w14:paraId="78145C49" w14:textId="77777777" w:rsidR="008B3C35" w:rsidRDefault="00D9025A" w:rsidP="008B3C35">
      <w:r>
        <w:rPr>
          <w:noProof/>
        </w:rPr>
        <w:drawing>
          <wp:inline distT="0" distB="0" distL="0" distR="0" wp14:anchorId="226C6AA4" wp14:editId="0CCE9805">
            <wp:extent cx="6300000" cy="2268000"/>
            <wp:effectExtent l="0" t="0" r="5715" b="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402561BE" w14:textId="77777777" w:rsidR="008B3C35" w:rsidRDefault="008B3C35" w:rsidP="008B3C35">
      <w:r>
        <w:t>If needed, health services can request extensions for their RCA report due dates. A first extension was granted on 72 occasions</w:t>
      </w:r>
      <w:r w:rsidR="00273BE0">
        <w:t xml:space="preserve"> (60 per cent)</w:t>
      </w:r>
      <w:r>
        <w:t xml:space="preserve">, with a second extension granted on 25 occasions. </w:t>
      </w:r>
    </w:p>
    <w:p w14:paraId="75238E5C" w14:textId="77777777" w:rsidR="008B3C35" w:rsidRDefault="008B3C35" w:rsidP="008B3C35">
      <w:r>
        <w:t>Availability of team members, both internal and external</w:t>
      </w:r>
      <w:r w:rsidR="00273BE0">
        <w:t>,</w:t>
      </w:r>
      <w:r>
        <w:t xml:space="preserve"> was the most common reason for seeking an extension.</w:t>
      </w:r>
      <w:r w:rsidR="003A194A">
        <w:t xml:space="preserve"> </w:t>
      </w:r>
      <w:r>
        <w:t xml:space="preserve">Internal team members not being available may mean that sentinel event reviews are not being given </w:t>
      </w:r>
      <w:proofErr w:type="gramStart"/>
      <w:r>
        <w:t>sufficient</w:t>
      </w:r>
      <w:proofErr w:type="gramEnd"/>
      <w:r>
        <w:t xml:space="preserve"> priority, or that an alternative internal staff member should be considered. All sentinel event reviews should have an executive sponsor </w:t>
      </w:r>
      <w:r w:rsidR="00273BE0">
        <w:t>able to</w:t>
      </w:r>
      <w:r>
        <w:t xml:space="preserve"> address these barriers.</w:t>
      </w:r>
    </w:p>
    <w:p w14:paraId="7019658A" w14:textId="6409BFBC" w:rsidR="008B3C35" w:rsidRDefault="008B3C35" w:rsidP="008B3C35">
      <w:r>
        <w:t xml:space="preserve">Finding external experts to participate in RCA teams is a different challenge. </w:t>
      </w:r>
      <w:r w:rsidR="003A194A">
        <w:t>SCV’s</w:t>
      </w:r>
      <w:r>
        <w:t xml:space="preserve"> PEER </w:t>
      </w:r>
      <w:r w:rsidR="00CF4B3C">
        <w:t xml:space="preserve">(Panel of external expert reviewers) </w:t>
      </w:r>
      <w:r>
        <w:t>platform make</w:t>
      </w:r>
      <w:r w:rsidR="003A194A">
        <w:t>s</w:t>
      </w:r>
      <w:r>
        <w:t xml:space="preserve"> a wider range of independent external experts</w:t>
      </w:r>
      <w:r w:rsidR="003A194A" w:rsidRPr="003A194A">
        <w:t xml:space="preserve"> </w:t>
      </w:r>
      <w:r w:rsidR="003A194A">
        <w:t>available</w:t>
      </w:r>
      <w:r>
        <w:t>, on a cost</w:t>
      </w:r>
      <w:r w:rsidR="002E65C2">
        <w:t>-</w:t>
      </w:r>
      <w:r>
        <w:t>neutral basis. We urge all public and private health services to encourage their clinical experts to apply for the PEER platform via the SCV website. This will make more experts available to participate in sentinel event reviews and decrease delays.</w:t>
      </w:r>
      <w:r w:rsidR="00273BE0">
        <w:t xml:space="preserve"> Expanding the number and diversity of experts or both will benefit all services.</w:t>
      </w:r>
    </w:p>
    <w:p w14:paraId="195964BC" w14:textId="6596DD16" w:rsidR="003A194A" w:rsidRDefault="008B3C35">
      <w:pPr>
        <w:rPr>
          <w:rFonts w:ascii="VIC SemiBold" w:eastAsiaTheme="majorEastAsia" w:hAnsi="VIC SemiBold" w:cstheme="majorBidi"/>
          <w:bCs/>
          <w:caps/>
          <w:color w:val="007586" w:themeColor="text2"/>
          <w:sz w:val="24"/>
          <w:szCs w:val="26"/>
        </w:rPr>
      </w:pPr>
      <w:r>
        <w:t xml:space="preserve">There was a significant decrease in clinical governance processes as a reason </w:t>
      </w:r>
      <w:r w:rsidR="003A194A">
        <w:t xml:space="preserve">for extension in 2018–19 </w:t>
      </w:r>
      <w:r>
        <w:t>(33</w:t>
      </w:r>
      <w:r w:rsidR="002E65C2">
        <w:t xml:space="preserve"> per </w:t>
      </w:r>
      <w:r w:rsidR="002E65C2" w:rsidRPr="00003AE9">
        <w:t>cent</w:t>
      </w:r>
      <w:r w:rsidRPr="00003AE9">
        <w:t xml:space="preserve"> to 18</w:t>
      </w:r>
      <w:r w:rsidR="002E65C2" w:rsidRPr="00003AE9">
        <w:t xml:space="preserve"> per cent</w:t>
      </w:r>
      <w:r w:rsidRPr="00003AE9">
        <w:t>). This is</w:t>
      </w:r>
      <w:r>
        <w:t xml:space="preserve"> a good sign that </w:t>
      </w:r>
      <w:r w:rsidR="008310C7">
        <w:t xml:space="preserve">more health services are </w:t>
      </w:r>
      <w:r w:rsidR="003A194A">
        <w:t>prioritis</w:t>
      </w:r>
      <w:r w:rsidR="008310C7">
        <w:t xml:space="preserve">ing </w:t>
      </w:r>
      <w:r>
        <w:t>learning and improving from sentinel events.</w:t>
      </w:r>
      <w:r w:rsidR="003A194A">
        <w:br w:type="page"/>
      </w:r>
    </w:p>
    <w:p w14:paraId="157A2EAE" w14:textId="77777777" w:rsidR="008B3C35" w:rsidRDefault="008B3C35" w:rsidP="008B3C35">
      <w:pPr>
        <w:pStyle w:val="Heading2"/>
      </w:pPr>
      <w:r>
        <w:lastRenderedPageBreak/>
        <w:t>Review team membership</w:t>
      </w:r>
    </w:p>
    <w:p w14:paraId="0B5D8D66" w14:textId="77777777" w:rsidR="003A194A" w:rsidRDefault="008B3C35" w:rsidP="008B3C35">
      <w:pPr>
        <w:pStyle w:val="Normalfollowingheading"/>
      </w:pPr>
      <w:r>
        <w:t>A team-based approach to reviewing sentinel events facilitates a broader range of perspectives on what happened, a more in-depth understanding of why it happened</w:t>
      </w:r>
      <w:r w:rsidR="00B36A1B">
        <w:t>,</w:t>
      </w:r>
      <w:r>
        <w:t xml:space="preserve"> and </w:t>
      </w:r>
      <w:r w:rsidR="003A194A">
        <w:t>broader</w:t>
      </w:r>
      <w:r>
        <w:t xml:space="preserve"> ideas on how safety can be improved as a result. </w:t>
      </w:r>
    </w:p>
    <w:p w14:paraId="1F0640C6" w14:textId="43500BA3" w:rsidR="008B3C35" w:rsidRDefault="008B3C35" w:rsidP="00A86C07">
      <w:pPr>
        <w:pStyle w:val="Normalfollowingheading"/>
      </w:pPr>
      <w:r>
        <w:t>Having at least one RCA team member who is independent of the health service is an important part of ensuring sentinel event reviews are robust, fair and unbiased. Providing ‘fresh eyes’ to a sentinel event review, 90 review teams (85</w:t>
      </w:r>
      <w:r w:rsidR="002E65C2">
        <w:t xml:space="preserve"> per cent</w:t>
      </w:r>
      <w:r>
        <w:t xml:space="preserve">) included an independent external member who did not work </w:t>
      </w:r>
      <w:r w:rsidR="00B36A1B">
        <w:t>at</w:t>
      </w:r>
      <w:r>
        <w:t xml:space="preserve"> the health service. This figure is a slight increase on </w:t>
      </w:r>
      <w:r w:rsidR="003A194A">
        <w:t xml:space="preserve">the previous </w:t>
      </w:r>
      <w:r>
        <w:t>year (80</w:t>
      </w:r>
      <w:r w:rsidR="002E65C2">
        <w:t xml:space="preserve"> per cent</w:t>
      </w:r>
      <w:r>
        <w:t>). However, all RCA reviews teams must include an independent external expert</w:t>
      </w:r>
      <w:r w:rsidR="003A194A">
        <w:t>.</w:t>
      </w:r>
    </w:p>
    <w:p w14:paraId="4DEFA0AE" w14:textId="43323564" w:rsidR="003A194A" w:rsidRDefault="00A86C07" w:rsidP="008B3C35">
      <w:r>
        <w:t xml:space="preserve">Similarly, including consumer representatives continually re-focus the thinking of the RCA team on the issues that matter most in healthcare – patient safety and experience. </w:t>
      </w:r>
      <w:r w:rsidR="008B3C35">
        <w:t xml:space="preserve">Offering a different perspective and an ability to challenge the norm, 33 per cent of RCA teams included consumer representation. This is also a significant increase on </w:t>
      </w:r>
      <w:r w:rsidR="003A194A">
        <w:t>2017–18</w:t>
      </w:r>
      <w:r w:rsidR="008B3C35">
        <w:t xml:space="preserve"> (17</w:t>
      </w:r>
      <w:r w:rsidR="002E65C2">
        <w:t xml:space="preserve"> per cent</w:t>
      </w:r>
      <w:r w:rsidR="008B3C35">
        <w:t xml:space="preserve">) and demonstrates a growing commitment to including the consumer voice in reviewing sentinel events. </w:t>
      </w:r>
    </w:p>
    <w:p w14:paraId="7CF40840" w14:textId="77777777" w:rsidR="008B3C35" w:rsidRDefault="008B3C35" w:rsidP="008B3C35">
      <w:r>
        <w:t>To support this commitment, SCV developed guides for health services and consumer representatives</w:t>
      </w:r>
      <w:r w:rsidR="00B36A1B">
        <w:t>,</w:t>
      </w:r>
      <w:r>
        <w:t xml:space="preserve"> as well as a guide to</w:t>
      </w:r>
      <w:r w:rsidR="00B36A1B">
        <w:t xml:space="preserve"> paying</w:t>
      </w:r>
      <w:r>
        <w:t xml:space="preserve"> consumer</w:t>
      </w:r>
      <w:r w:rsidR="00B36A1B">
        <w:t>s</w:t>
      </w:r>
      <w:r>
        <w:t xml:space="preserve"> for review work. These guides can be found on the SCV website. Consumer representatives </w:t>
      </w:r>
      <w:r w:rsidR="00C031AD">
        <w:t xml:space="preserve">can now also attend </w:t>
      </w:r>
      <w:r>
        <w:t>SCV’s incident review training, and the PEER platform is being adapted to include consumer profiles. As with independent external experts, it is important that the expertise provided by consumer representatives is included in all RCA review teams.</w:t>
      </w:r>
    </w:p>
    <w:p w14:paraId="38ED85AC" w14:textId="77777777" w:rsidR="008B3C35" w:rsidRDefault="008B3C35" w:rsidP="008B3C35">
      <w:pPr>
        <w:pStyle w:val="Tablechartdiagramheading"/>
      </w:pPr>
      <w:r>
        <w:t>Figure 11: External independent and consumer representation on review teams</w:t>
      </w:r>
    </w:p>
    <w:p w14:paraId="0B2DEC3B" w14:textId="77777777" w:rsidR="008B3C35" w:rsidRDefault="00D9025A" w:rsidP="008B3C35">
      <w:r>
        <w:rPr>
          <w:noProof/>
        </w:rPr>
        <w:drawing>
          <wp:inline distT="0" distB="0" distL="0" distR="0" wp14:anchorId="2CBAB3C1" wp14:editId="118EAC23">
            <wp:extent cx="6300000" cy="2268000"/>
            <wp:effectExtent l="0" t="0" r="5715" b="0"/>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7BCC579D" w14:textId="77777777" w:rsidR="003A194A" w:rsidRDefault="003A194A">
      <w:pPr>
        <w:rPr>
          <w:rFonts w:ascii="VIC SemiBold" w:eastAsiaTheme="majorEastAsia" w:hAnsi="VIC SemiBold" w:cstheme="majorBidi"/>
          <w:bCs/>
          <w:caps/>
          <w:color w:val="007586" w:themeColor="text2"/>
          <w:sz w:val="24"/>
          <w:szCs w:val="26"/>
        </w:rPr>
      </w:pPr>
      <w:r>
        <w:br w:type="page"/>
      </w:r>
    </w:p>
    <w:p w14:paraId="694A2D79" w14:textId="77777777" w:rsidR="008B3C35" w:rsidRDefault="008B3C35" w:rsidP="008B3C35">
      <w:pPr>
        <w:pStyle w:val="Heading2"/>
      </w:pPr>
      <w:r>
        <w:lastRenderedPageBreak/>
        <w:t>Recommendations</w:t>
      </w:r>
    </w:p>
    <w:p w14:paraId="5DBF7C82" w14:textId="7BEE5372" w:rsidR="008B3C35" w:rsidRDefault="008B3C35" w:rsidP="008B3C35">
      <w:pPr>
        <w:pStyle w:val="Normalfollowingheading"/>
      </w:pPr>
      <w:r>
        <w:t>Based on in-depth analysis of sentinel events, RCA teams make recommendations for improvement as a key part of the review process. In total,</w:t>
      </w:r>
      <w:r w:rsidR="00A86C07">
        <w:t xml:space="preserve"> arising from sentinel events in 2018–19,</w:t>
      </w:r>
      <w:r>
        <w:t xml:space="preserve"> health services are now implementing 603 recommendations to make their systems of care safer.</w:t>
      </w:r>
    </w:p>
    <w:p w14:paraId="1618633E" w14:textId="246660FC" w:rsidR="008B3C35" w:rsidRDefault="008B3C35" w:rsidP="008B3C35">
      <w:r>
        <w:t xml:space="preserve">Some improvements </w:t>
      </w:r>
      <w:proofErr w:type="gramStart"/>
      <w:r>
        <w:t>are considered to be</w:t>
      </w:r>
      <w:proofErr w:type="gramEnd"/>
      <w:r>
        <w:t xml:space="preserve"> more effective than others in making healthcare safer. See </w:t>
      </w:r>
      <w:r w:rsidRPr="00C031AD">
        <w:rPr>
          <w:b/>
        </w:rPr>
        <w:t>Appendix 2</w:t>
      </w:r>
      <w:r>
        <w:t xml:space="preserve"> </w:t>
      </w:r>
      <w:r w:rsidR="00E00E73">
        <w:t xml:space="preserve">(page 25) </w:t>
      </w:r>
      <w:r>
        <w:t>for the approach SCV uses to assess the effectiveness of recommendations.</w:t>
      </w:r>
    </w:p>
    <w:p w14:paraId="40A3F719" w14:textId="77777777" w:rsidR="008B3C35" w:rsidRDefault="008B3C35" w:rsidP="008B3C35">
      <w:r>
        <w:t>Of the 603 recommendations:</w:t>
      </w:r>
    </w:p>
    <w:p w14:paraId="6D4B4F0C" w14:textId="77777777" w:rsidR="008B3C35" w:rsidRDefault="008B3C35" w:rsidP="008B3C35">
      <w:pPr>
        <w:pStyle w:val="Bullet1"/>
      </w:pPr>
      <w:r>
        <w:t>439</w:t>
      </w:r>
      <w:r w:rsidR="00A86C07">
        <w:t xml:space="preserve"> (73 per cent)</w:t>
      </w:r>
      <w:r>
        <w:t xml:space="preserve"> were assessed as weak</w:t>
      </w:r>
    </w:p>
    <w:p w14:paraId="7D247ECF" w14:textId="06A36EC7" w:rsidR="008B3C35" w:rsidRDefault="008B3C35" w:rsidP="008B3C35">
      <w:pPr>
        <w:pStyle w:val="Bullet1"/>
      </w:pPr>
      <w:r>
        <w:t xml:space="preserve">119 </w:t>
      </w:r>
      <w:r w:rsidR="00A86C07">
        <w:t>(20 per cent)</w:t>
      </w:r>
      <w:r w:rsidR="00E00E73">
        <w:t xml:space="preserve"> </w:t>
      </w:r>
      <w:r>
        <w:t>as moderate</w:t>
      </w:r>
    </w:p>
    <w:p w14:paraId="7C21CA59" w14:textId="77777777" w:rsidR="008B3C35" w:rsidRDefault="008B3C35" w:rsidP="008B3C35">
      <w:pPr>
        <w:pStyle w:val="Bullet1"/>
      </w:pPr>
      <w:r>
        <w:t xml:space="preserve">45 </w:t>
      </w:r>
      <w:r w:rsidR="00A86C07">
        <w:t xml:space="preserve">(7 per cent) </w:t>
      </w:r>
      <w:r>
        <w:t>as strong.</w:t>
      </w:r>
    </w:p>
    <w:p w14:paraId="375CC1FA" w14:textId="77777777" w:rsidR="008B3C35" w:rsidRDefault="008B3C35" w:rsidP="008B3C35">
      <w:r>
        <w:t>In comparison, there were 466 recommendations in</w:t>
      </w:r>
      <w:r w:rsidR="00C031AD">
        <w:t xml:space="preserve"> 2017–18 of which </w:t>
      </w:r>
      <w:r w:rsidR="00A86C07">
        <w:t>11 per cent</w:t>
      </w:r>
      <w:r>
        <w:t xml:space="preserve"> were strong and </w:t>
      </w:r>
      <w:r w:rsidR="00A86C07">
        <w:t>47 per cent</w:t>
      </w:r>
      <w:r>
        <w:t xml:space="preserve"> moderate.</w:t>
      </w:r>
    </w:p>
    <w:p w14:paraId="7C8A6138" w14:textId="777332FF" w:rsidR="008B3C35" w:rsidRDefault="008B3C35" w:rsidP="008B3C35">
      <w:r>
        <w:t xml:space="preserve">As can be seen from </w:t>
      </w:r>
      <w:r w:rsidRPr="00C031AD">
        <w:rPr>
          <w:b/>
        </w:rPr>
        <w:t>Table 2</w:t>
      </w:r>
      <w:r w:rsidR="00E00E73">
        <w:rPr>
          <w:b/>
        </w:rPr>
        <w:t xml:space="preserve"> </w:t>
      </w:r>
      <w:r w:rsidR="00E00E73" w:rsidRPr="00E00E73">
        <w:t>(page 17)</w:t>
      </w:r>
      <w:r w:rsidR="00B36A1B" w:rsidRPr="00B36A1B">
        <w:t>,</w:t>
      </w:r>
      <w:r>
        <w:t xml:space="preserve"> stronger recommendations</w:t>
      </w:r>
      <w:r w:rsidR="00C031AD">
        <w:t xml:space="preserve">, such as </w:t>
      </w:r>
      <w:r>
        <w:t>architecture and physical changes, new devices, engineering and simplifying processes</w:t>
      </w:r>
      <w:r w:rsidR="00C031AD">
        <w:t>,</w:t>
      </w:r>
      <w:r>
        <w:t xml:space="preserve"> have remained steady. Weaker recommendations</w:t>
      </w:r>
      <w:r w:rsidR="00C031AD">
        <w:t>,</w:t>
      </w:r>
      <w:r>
        <w:t xml:space="preserve"> such as double checks and training</w:t>
      </w:r>
      <w:r w:rsidR="00C031AD">
        <w:t>,</w:t>
      </w:r>
      <w:r>
        <w:t xml:space="preserve"> have more than doubled and form a larger proportion of </w:t>
      </w:r>
      <w:r w:rsidR="00B36A1B">
        <w:t>recommendations</w:t>
      </w:r>
      <w:r w:rsidR="00003AE9">
        <w:t xml:space="preserve"> in 2018–19</w:t>
      </w:r>
      <w:r>
        <w:t>.</w:t>
      </w:r>
    </w:p>
    <w:p w14:paraId="63C09388" w14:textId="3C0202C9" w:rsidR="008B3C35" w:rsidRDefault="008B3C35" w:rsidP="008B3C35">
      <w:r>
        <w:t xml:space="preserve">While the detail of recommendations varied greatly, common themes were found across sentinel event categories. Changing or developing new policies, procedures and guidelines were the most common </w:t>
      </w:r>
      <w:r w:rsidR="00E00E73">
        <w:br/>
      </w:r>
      <w:r>
        <w:t>(50</w:t>
      </w:r>
      <w:r w:rsidR="00E00E73">
        <w:t xml:space="preserve"> per cent</w:t>
      </w:r>
      <w:r>
        <w:t>), followed by education and training (2</w:t>
      </w:r>
      <w:r w:rsidR="00B36A1B">
        <w:t>1</w:t>
      </w:r>
      <w:r w:rsidR="00E00E73">
        <w:t xml:space="preserve"> per cent</w:t>
      </w:r>
      <w:r>
        <w:t>). While these are an important part of building safer systems of care, the</w:t>
      </w:r>
      <w:r w:rsidR="00AE1FF9">
        <w:t>y</w:t>
      </w:r>
      <w:r>
        <w:t xml:space="preserve"> are much less effective tha</w:t>
      </w:r>
      <w:r w:rsidR="001D17D1">
        <w:t>n</w:t>
      </w:r>
      <w:r>
        <w:t xml:space="preserve"> other patient safety strategies. Stronger systems improvements based on human factors, safety science and the expert perspectives of clinicians and consumers are needed.</w:t>
      </w:r>
    </w:p>
    <w:p w14:paraId="6DE8C1B6" w14:textId="77777777" w:rsidR="00B36A1B" w:rsidRDefault="008B3C35" w:rsidP="00B32F85">
      <w:r>
        <w:t xml:space="preserve">Seven sentinel event reports did not have any recommendations. This is </w:t>
      </w:r>
      <w:r w:rsidR="00B36A1B">
        <w:t>more than in</w:t>
      </w:r>
      <w:r>
        <w:t xml:space="preserve"> 2017–18 when three RCA reports were submitted without recommendations. This is disappointing. Sentinel event reviews provide an in-depth look at complex systems and are a significant resource investment. It’s unfortunate that this combination would result in no recommendations for improvement. Health services, their leaders and systems of clinical governance must work to ensure their sentinel event review processes are thorough</w:t>
      </w:r>
      <w:r w:rsidR="00A86C07">
        <w:t xml:space="preserve"> and </w:t>
      </w:r>
      <w:r>
        <w:t>well-resourced</w:t>
      </w:r>
      <w:r w:rsidR="00A86C07">
        <w:t>,</w:t>
      </w:r>
      <w:r>
        <w:t xml:space="preserve"> and that RCA review teams apply human factors and systems thinking in all facets of sentinel event review. </w:t>
      </w:r>
    </w:p>
    <w:p w14:paraId="155C663F" w14:textId="77777777" w:rsidR="00B32F85" w:rsidRDefault="00B32F85" w:rsidP="00B32F85">
      <w:r>
        <w:t>SCV will continue to provide advice and support to ensure RCA reports do not fail to contribute to safer patient care.</w:t>
      </w:r>
    </w:p>
    <w:p w14:paraId="14CB2D92" w14:textId="77777777" w:rsidR="00C031AD" w:rsidRDefault="00C031AD">
      <w:pPr>
        <w:rPr>
          <w:rFonts w:ascii="VIC SemiBold" w:hAnsi="VIC SemiBold"/>
          <w:bCs/>
          <w:color w:val="007586" w:themeColor="text2"/>
          <w:spacing w:val="2"/>
          <w:szCs w:val="18"/>
        </w:rPr>
      </w:pPr>
      <w:r>
        <w:br w:type="page"/>
      </w:r>
    </w:p>
    <w:p w14:paraId="519FF3BC" w14:textId="77777777" w:rsidR="008B3C35" w:rsidRDefault="008B3C35" w:rsidP="00F8141A">
      <w:pPr>
        <w:pStyle w:val="Tablechartdiagramheading"/>
      </w:pPr>
      <w:r>
        <w:lastRenderedPageBreak/>
        <w:t>Table 2: Breakdown of recommendation categories</w:t>
      </w:r>
    </w:p>
    <w:tbl>
      <w:tblPr>
        <w:tblStyle w:val="TableGrid"/>
        <w:tblW w:w="0" w:type="auto"/>
        <w:tblLayout w:type="fixed"/>
        <w:tblLook w:val="04A0" w:firstRow="1" w:lastRow="0" w:firstColumn="1" w:lastColumn="0" w:noHBand="0" w:noVBand="1"/>
      </w:tblPr>
      <w:tblGrid>
        <w:gridCol w:w="2552"/>
        <w:gridCol w:w="992"/>
        <w:gridCol w:w="1205"/>
        <w:gridCol w:w="2481"/>
        <w:gridCol w:w="1205"/>
        <w:gridCol w:w="1205"/>
      </w:tblGrid>
      <w:tr w:rsidR="00F8141A" w14:paraId="5B540E7F" w14:textId="77777777" w:rsidTr="00F814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005647E5" w14:textId="77777777" w:rsidR="00F8141A" w:rsidRDefault="00F8141A" w:rsidP="00F8141A">
            <w:pPr>
              <w:rPr>
                <w:b w:val="0"/>
              </w:rPr>
            </w:pPr>
            <w:r>
              <w:t xml:space="preserve">Recommendation </w:t>
            </w:r>
          </w:p>
          <w:p w14:paraId="0910D271" w14:textId="77777777" w:rsidR="00F8141A" w:rsidRDefault="00F8141A" w:rsidP="00F8141A">
            <w:r>
              <w:t>category</w:t>
            </w:r>
          </w:p>
        </w:tc>
        <w:tc>
          <w:tcPr>
            <w:tcW w:w="992" w:type="dxa"/>
          </w:tcPr>
          <w:p w14:paraId="65660002" w14:textId="77777777" w:rsidR="00F8141A" w:rsidRDefault="00F8141A" w:rsidP="00F8141A">
            <w:pPr>
              <w:cnfStyle w:val="100000000000" w:firstRow="1" w:lastRow="0" w:firstColumn="0" w:lastColumn="0" w:oddVBand="0" w:evenVBand="0" w:oddHBand="0" w:evenHBand="0" w:firstRowFirstColumn="0" w:firstRowLastColumn="0" w:lastRowFirstColumn="0" w:lastRowLastColumn="0"/>
            </w:pPr>
            <w:r>
              <w:t>Number</w:t>
            </w:r>
          </w:p>
        </w:tc>
        <w:tc>
          <w:tcPr>
            <w:tcW w:w="1205" w:type="dxa"/>
            <w:tcBorders>
              <w:right w:val="single" w:sz="4" w:space="0" w:color="auto"/>
            </w:tcBorders>
          </w:tcPr>
          <w:p w14:paraId="151B3578" w14:textId="77777777" w:rsidR="00F8141A" w:rsidRDefault="00F8141A" w:rsidP="00F8141A">
            <w:pPr>
              <w:cnfStyle w:val="100000000000" w:firstRow="1" w:lastRow="0" w:firstColumn="0" w:lastColumn="0" w:oddVBand="0" w:evenVBand="0" w:oddHBand="0" w:evenHBand="0" w:firstRowFirstColumn="0" w:firstRowLastColumn="0" w:lastRowFirstColumn="0" w:lastRowLastColumn="0"/>
            </w:pPr>
            <w:r>
              <w:t>Percentage</w:t>
            </w:r>
          </w:p>
        </w:tc>
        <w:tc>
          <w:tcPr>
            <w:tcW w:w="2481" w:type="dxa"/>
            <w:tcBorders>
              <w:left w:val="single" w:sz="4" w:space="0" w:color="auto"/>
            </w:tcBorders>
          </w:tcPr>
          <w:p w14:paraId="4FDF0499" w14:textId="77777777" w:rsidR="00F8141A" w:rsidRDefault="00F8141A" w:rsidP="00F8141A">
            <w:pPr>
              <w:cnfStyle w:val="100000000000" w:firstRow="1" w:lastRow="0" w:firstColumn="0" w:lastColumn="0" w:oddVBand="0" w:evenVBand="0" w:oddHBand="0" w:evenHBand="0" w:firstRowFirstColumn="0" w:firstRowLastColumn="0" w:lastRowFirstColumn="0" w:lastRowLastColumn="0"/>
            </w:pPr>
            <w:r>
              <w:t xml:space="preserve">Recommendation </w:t>
            </w:r>
          </w:p>
          <w:p w14:paraId="39C050C7" w14:textId="77777777" w:rsidR="00F8141A" w:rsidRDefault="00F8141A" w:rsidP="00F8141A">
            <w:pPr>
              <w:cnfStyle w:val="100000000000" w:firstRow="1" w:lastRow="0" w:firstColumn="0" w:lastColumn="0" w:oddVBand="0" w:evenVBand="0" w:oddHBand="0" w:evenHBand="0" w:firstRowFirstColumn="0" w:firstRowLastColumn="0" w:lastRowFirstColumn="0" w:lastRowLastColumn="0"/>
            </w:pPr>
            <w:r>
              <w:t>category</w:t>
            </w:r>
          </w:p>
        </w:tc>
        <w:tc>
          <w:tcPr>
            <w:tcW w:w="1205" w:type="dxa"/>
          </w:tcPr>
          <w:p w14:paraId="21E7AB0D" w14:textId="77777777" w:rsidR="00F8141A" w:rsidRDefault="00F8141A" w:rsidP="00F8141A">
            <w:pPr>
              <w:cnfStyle w:val="100000000000" w:firstRow="1" w:lastRow="0" w:firstColumn="0" w:lastColumn="0" w:oddVBand="0" w:evenVBand="0" w:oddHBand="0" w:evenHBand="0" w:firstRowFirstColumn="0" w:firstRowLastColumn="0" w:lastRowFirstColumn="0" w:lastRowLastColumn="0"/>
            </w:pPr>
            <w:r w:rsidRPr="00650CD1">
              <w:t>Number</w:t>
            </w:r>
          </w:p>
        </w:tc>
        <w:tc>
          <w:tcPr>
            <w:tcW w:w="1205" w:type="dxa"/>
          </w:tcPr>
          <w:p w14:paraId="4F99D382" w14:textId="77777777" w:rsidR="00F8141A" w:rsidRDefault="00F8141A" w:rsidP="00F8141A">
            <w:pPr>
              <w:cnfStyle w:val="100000000000" w:firstRow="1" w:lastRow="0" w:firstColumn="0" w:lastColumn="0" w:oddVBand="0" w:evenVBand="0" w:oddHBand="0" w:evenHBand="0" w:firstRowFirstColumn="0" w:firstRowLastColumn="0" w:lastRowFirstColumn="0" w:lastRowLastColumn="0"/>
            </w:pPr>
            <w:r w:rsidRPr="00650CD1">
              <w:t>Percentage</w:t>
            </w:r>
          </w:p>
        </w:tc>
      </w:tr>
      <w:tr w:rsidR="00F8141A" w14:paraId="464B2F7A" w14:textId="77777777" w:rsidTr="00F8141A">
        <w:tc>
          <w:tcPr>
            <w:cnfStyle w:val="001000000000" w:firstRow="0" w:lastRow="0" w:firstColumn="1" w:lastColumn="0" w:oddVBand="0" w:evenVBand="0" w:oddHBand="0" w:evenHBand="0" w:firstRowFirstColumn="0" w:firstRowLastColumn="0" w:lastRowFirstColumn="0" w:lastRowLastColumn="0"/>
            <w:tcW w:w="2552" w:type="dxa"/>
          </w:tcPr>
          <w:p w14:paraId="42BD0A09" w14:textId="77777777" w:rsidR="00F8141A" w:rsidRDefault="00F8141A" w:rsidP="00F8141A">
            <w:pPr>
              <w:rPr>
                <w:b w:val="0"/>
              </w:rPr>
            </w:pPr>
            <w:r>
              <w:t>Architectural/</w:t>
            </w:r>
          </w:p>
          <w:p w14:paraId="6936C453" w14:textId="77777777" w:rsidR="00F8141A" w:rsidRDefault="00B36A1B" w:rsidP="00F8141A">
            <w:r>
              <w:t>p</w:t>
            </w:r>
            <w:r w:rsidR="00F8141A">
              <w:t>hysical changes</w:t>
            </w:r>
          </w:p>
        </w:tc>
        <w:tc>
          <w:tcPr>
            <w:tcW w:w="992" w:type="dxa"/>
          </w:tcPr>
          <w:p w14:paraId="751681CF" w14:textId="77777777" w:rsidR="00F8141A" w:rsidRDefault="00F8141A" w:rsidP="00F8141A">
            <w:pPr>
              <w:jc w:val="right"/>
              <w:cnfStyle w:val="000000000000" w:firstRow="0" w:lastRow="0" w:firstColumn="0" w:lastColumn="0" w:oddVBand="0" w:evenVBand="0" w:oddHBand="0" w:evenHBand="0" w:firstRowFirstColumn="0" w:firstRowLastColumn="0" w:lastRowFirstColumn="0" w:lastRowLastColumn="0"/>
            </w:pPr>
            <w:r>
              <w:t>15</w:t>
            </w:r>
          </w:p>
        </w:tc>
        <w:tc>
          <w:tcPr>
            <w:tcW w:w="1205" w:type="dxa"/>
            <w:tcBorders>
              <w:right w:val="single" w:sz="4" w:space="0" w:color="auto"/>
            </w:tcBorders>
          </w:tcPr>
          <w:p w14:paraId="7B7EE459" w14:textId="77777777" w:rsidR="00F8141A" w:rsidRDefault="00F8141A" w:rsidP="00F8141A">
            <w:pPr>
              <w:jc w:val="right"/>
              <w:cnfStyle w:val="000000000000" w:firstRow="0" w:lastRow="0" w:firstColumn="0" w:lastColumn="0" w:oddVBand="0" w:evenVBand="0" w:oddHBand="0" w:evenHBand="0" w:firstRowFirstColumn="0" w:firstRowLastColumn="0" w:lastRowFirstColumn="0" w:lastRowLastColumn="0"/>
            </w:pPr>
            <w:r>
              <w:t>3%</w:t>
            </w:r>
          </w:p>
        </w:tc>
        <w:tc>
          <w:tcPr>
            <w:tcW w:w="2481" w:type="dxa"/>
            <w:tcBorders>
              <w:top w:val="single" w:sz="24" w:space="0" w:color="CCCCD0" w:themeColor="accent6"/>
            </w:tcBorders>
          </w:tcPr>
          <w:p w14:paraId="4E0B17CD" w14:textId="77777777" w:rsidR="00F8141A" w:rsidRPr="006B47E7" w:rsidRDefault="00F8141A" w:rsidP="00F8141A">
            <w:pPr>
              <w:spacing w:before="50" w:line="260" w:lineRule="atLeast"/>
              <w:cnfStyle w:val="000000000000" w:firstRow="0" w:lastRow="0" w:firstColumn="0" w:lastColumn="0" w:oddVBand="0" w:evenVBand="0" w:oddHBand="0" w:evenHBand="0" w:firstRowFirstColumn="0" w:firstRowLastColumn="0" w:lastRowFirstColumn="0" w:lastRowLastColumn="0"/>
              <w:rPr>
                <w:b/>
              </w:rPr>
            </w:pPr>
            <w:r w:rsidRPr="00A147CB">
              <w:rPr>
                <w:b/>
                <w:color w:val="007586" w:themeColor="text2"/>
              </w:rPr>
              <w:t>Standardise communication tools</w:t>
            </w:r>
            <w:r>
              <w:t xml:space="preserve"> </w:t>
            </w:r>
          </w:p>
        </w:tc>
        <w:tc>
          <w:tcPr>
            <w:tcW w:w="1205" w:type="dxa"/>
            <w:tcBorders>
              <w:top w:val="single" w:sz="24" w:space="0" w:color="CCCCD0" w:themeColor="accent6"/>
            </w:tcBorders>
          </w:tcPr>
          <w:p w14:paraId="1A9CFBDA" w14:textId="77777777" w:rsidR="00F8141A" w:rsidRDefault="00F8141A" w:rsidP="00F8141A">
            <w:pPr>
              <w:jc w:val="right"/>
              <w:cnfStyle w:val="000000000000" w:firstRow="0" w:lastRow="0" w:firstColumn="0" w:lastColumn="0" w:oddVBand="0" w:evenVBand="0" w:oddHBand="0" w:evenHBand="0" w:firstRowFirstColumn="0" w:firstRowLastColumn="0" w:lastRowFirstColumn="0" w:lastRowLastColumn="0"/>
            </w:pPr>
            <w:r>
              <w:t>28</w:t>
            </w:r>
          </w:p>
        </w:tc>
        <w:tc>
          <w:tcPr>
            <w:tcW w:w="1205" w:type="dxa"/>
            <w:tcBorders>
              <w:top w:val="single" w:sz="24" w:space="0" w:color="CCCCD0" w:themeColor="accent6"/>
              <w:right w:val="nil"/>
            </w:tcBorders>
          </w:tcPr>
          <w:p w14:paraId="13768EA6" w14:textId="77777777" w:rsidR="00F8141A" w:rsidRDefault="00F8141A" w:rsidP="00F8141A">
            <w:pPr>
              <w:jc w:val="right"/>
              <w:cnfStyle w:val="000000000000" w:firstRow="0" w:lastRow="0" w:firstColumn="0" w:lastColumn="0" w:oddVBand="0" w:evenVBand="0" w:oddHBand="0" w:evenHBand="0" w:firstRowFirstColumn="0" w:firstRowLastColumn="0" w:lastRowFirstColumn="0" w:lastRowLastColumn="0"/>
            </w:pPr>
            <w:r>
              <w:t>2%</w:t>
            </w:r>
          </w:p>
        </w:tc>
      </w:tr>
      <w:tr w:rsidR="00F8141A" w14:paraId="08AD03D8" w14:textId="77777777" w:rsidTr="00F8141A">
        <w:tc>
          <w:tcPr>
            <w:cnfStyle w:val="001000000000" w:firstRow="0" w:lastRow="0" w:firstColumn="1" w:lastColumn="0" w:oddVBand="0" w:evenVBand="0" w:oddHBand="0" w:evenHBand="0" w:firstRowFirstColumn="0" w:firstRowLastColumn="0" w:lastRowFirstColumn="0" w:lastRowLastColumn="0"/>
            <w:tcW w:w="2552" w:type="dxa"/>
          </w:tcPr>
          <w:p w14:paraId="4D692580" w14:textId="77777777" w:rsidR="00F8141A" w:rsidRDefault="00F8141A" w:rsidP="00F8141A">
            <w:r>
              <w:t>New devices with usability testing</w:t>
            </w:r>
          </w:p>
        </w:tc>
        <w:tc>
          <w:tcPr>
            <w:tcW w:w="992" w:type="dxa"/>
          </w:tcPr>
          <w:p w14:paraId="55D07298" w14:textId="77777777" w:rsidR="00F8141A" w:rsidRDefault="00F8141A" w:rsidP="00F8141A">
            <w:pPr>
              <w:jc w:val="right"/>
              <w:cnfStyle w:val="000000000000" w:firstRow="0" w:lastRow="0" w:firstColumn="0" w:lastColumn="0" w:oddVBand="0" w:evenVBand="0" w:oddHBand="0" w:evenHBand="0" w:firstRowFirstColumn="0" w:firstRowLastColumn="0" w:lastRowFirstColumn="0" w:lastRowLastColumn="0"/>
            </w:pPr>
            <w:r>
              <w:t>11</w:t>
            </w:r>
          </w:p>
        </w:tc>
        <w:tc>
          <w:tcPr>
            <w:tcW w:w="1205" w:type="dxa"/>
            <w:tcBorders>
              <w:right w:val="single" w:sz="4" w:space="0" w:color="auto"/>
            </w:tcBorders>
          </w:tcPr>
          <w:p w14:paraId="38C91BEB" w14:textId="77777777" w:rsidR="00F8141A" w:rsidRDefault="00F8141A" w:rsidP="00F8141A">
            <w:pPr>
              <w:jc w:val="right"/>
              <w:cnfStyle w:val="000000000000" w:firstRow="0" w:lastRow="0" w:firstColumn="0" w:lastColumn="0" w:oddVBand="0" w:evenVBand="0" w:oddHBand="0" w:evenHBand="0" w:firstRowFirstColumn="0" w:firstRowLastColumn="0" w:lastRowFirstColumn="0" w:lastRowLastColumn="0"/>
            </w:pPr>
            <w:r>
              <w:t>2%</w:t>
            </w:r>
          </w:p>
        </w:tc>
        <w:tc>
          <w:tcPr>
            <w:tcW w:w="2481" w:type="dxa"/>
            <w:tcBorders>
              <w:left w:val="single" w:sz="4" w:space="0" w:color="auto"/>
            </w:tcBorders>
          </w:tcPr>
          <w:p w14:paraId="1640D307" w14:textId="77777777" w:rsidR="00B36A1B" w:rsidRDefault="00F8141A" w:rsidP="00F8141A">
            <w:pPr>
              <w:spacing w:before="50" w:line="260" w:lineRule="atLeast"/>
              <w:cnfStyle w:val="000000000000" w:firstRow="0" w:lastRow="0" w:firstColumn="0" w:lastColumn="0" w:oddVBand="0" w:evenVBand="0" w:oddHBand="0" w:evenHBand="0" w:firstRowFirstColumn="0" w:firstRowLastColumn="0" w:lastRowFirstColumn="0" w:lastRowLastColumn="0"/>
              <w:rPr>
                <w:b/>
                <w:color w:val="007586" w:themeColor="text2"/>
              </w:rPr>
            </w:pPr>
            <w:r w:rsidRPr="006B47E7">
              <w:rPr>
                <w:b/>
                <w:color w:val="007586" w:themeColor="text2"/>
              </w:rPr>
              <w:t>New policy/procedure/</w:t>
            </w:r>
          </w:p>
          <w:p w14:paraId="4FEC600D" w14:textId="77777777" w:rsidR="00F8141A" w:rsidRPr="006B47E7" w:rsidRDefault="00F8141A" w:rsidP="00F8141A">
            <w:pPr>
              <w:spacing w:before="50" w:line="260" w:lineRule="atLeast"/>
              <w:cnfStyle w:val="000000000000" w:firstRow="0" w:lastRow="0" w:firstColumn="0" w:lastColumn="0" w:oddVBand="0" w:evenVBand="0" w:oddHBand="0" w:evenHBand="0" w:firstRowFirstColumn="0" w:firstRowLastColumn="0" w:lastRowFirstColumn="0" w:lastRowLastColumn="0"/>
              <w:rPr>
                <w:b/>
              </w:rPr>
            </w:pPr>
            <w:r w:rsidRPr="006B47E7">
              <w:rPr>
                <w:b/>
                <w:color w:val="007586" w:themeColor="text2"/>
              </w:rPr>
              <w:t>memo/audit</w:t>
            </w:r>
          </w:p>
        </w:tc>
        <w:tc>
          <w:tcPr>
            <w:tcW w:w="1205" w:type="dxa"/>
          </w:tcPr>
          <w:p w14:paraId="3A2DA884" w14:textId="77777777" w:rsidR="00F8141A" w:rsidRDefault="00F8141A" w:rsidP="00F8141A">
            <w:pPr>
              <w:jc w:val="right"/>
              <w:cnfStyle w:val="000000000000" w:firstRow="0" w:lastRow="0" w:firstColumn="0" w:lastColumn="0" w:oddVBand="0" w:evenVBand="0" w:oddHBand="0" w:evenHBand="0" w:firstRowFirstColumn="0" w:firstRowLastColumn="0" w:lastRowFirstColumn="0" w:lastRowLastColumn="0"/>
            </w:pPr>
            <w:r>
              <w:t>300</w:t>
            </w:r>
          </w:p>
        </w:tc>
        <w:tc>
          <w:tcPr>
            <w:tcW w:w="1205" w:type="dxa"/>
          </w:tcPr>
          <w:p w14:paraId="04A6A8F9" w14:textId="77777777" w:rsidR="00F8141A" w:rsidRDefault="00F8141A" w:rsidP="00F8141A">
            <w:pPr>
              <w:jc w:val="right"/>
              <w:cnfStyle w:val="000000000000" w:firstRow="0" w:lastRow="0" w:firstColumn="0" w:lastColumn="0" w:oddVBand="0" w:evenVBand="0" w:oddHBand="0" w:evenHBand="0" w:firstRowFirstColumn="0" w:firstRowLastColumn="0" w:lastRowFirstColumn="0" w:lastRowLastColumn="0"/>
            </w:pPr>
            <w:r>
              <w:t>50%</w:t>
            </w:r>
          </w:p>
        </w:tc>
      </w:tr>
      <w:tr w:rsidR="00F8141A" w14:paraId="03DE15D9" w14:textId="77777777" w:rsidTr="00F8141A">
        <w:tc>
          <w:tcPr>
            <w:cnfStyle w:val="001000000000" w:firstRow="0" w:lastRow="0" w:firstColumn="1" w:lastColumn="0" w:oddVBand="0" w:evenVBand="0" w:oddHBand="0" w:evenHBand="0" w:firstRowFirstColumn="0" w:firstRowLastColumn="0" w:lastRowFirstColumn="0" w:lastRowLastColumn="0"/>
            <w:tcW w:w="2552" w:type="dxa"/>
          </w:tcPr>
          <w:p w14:paraId="70792F76" w14:textId="77777777" w:rsidR="00B36A1B" w:rsidRDefault="00F8141A" w:rsidP="00F8141A">
            <w:pPr>
              <w:rPr>
                <w:b w:val="0"/>
              </w:rPr>
            </w:pPr>
            <w:r>
              <w:t>Engineering/</w:t>
            </w:r>
          </w:p>
          <w:p w14:paraId="741EB255" w14:textId="77777777" w:rsidR="00F8141A" w:rsidRDefault="00B36A1B" w:rsidP="00F8141A">
            <w:r>
              <w:t>f</w:t>
            </w:r>
            <w:r w:rsidR="00F8141A">
              <w:t>orcing functions</w:t>
            </w:r>
          </w:p>
        </w:tc>
        <w:tc>
          <w:tcPr>
            <w:tcW w:w="992" w:type="dxa"/>
          </w:tcPr>
          <w:p w14:paraId="58AC5971" w14:textId="77777777" w:rsidR="00F8141A" w:rsidRDefault="00F8141A" w:rsidP="00F8141A">
            <w:pPr>
              <w:jc w:val="right"/>
              <w:cnfStyle w:val="000000000000" w:firstRow="0" w:lastRow="0" w:firstColumn="0" w:lastColumn="0" w:oddVBand="0" w:evenVBand="0" w:oddHBand="0" w:evenHBand="0" w:firstRowFirstColumn="0" w:firstRowLastColumn="0" w:lastRowFirstColumn="0" w:lastRowLastColumn="0"/>
            </w:pPr>
            <w:r>
              <w:t>9</w:t>
            </w:r>
          </w:p>
        </w:tc>
        <w:tc>
          <w:tcPr>
            <w:tcW w:w="1205" w:type="dxa"/>
            <w:tcBorders>
              <w:right w:val="single" w:sz="4" w:space="0" w:color="auto"/>
            </w:tcBorders>
          </w:tcPr>
          <w:p w14:paraId="66F039E9" w14:textId="77777777" w:rsidR="00F8141A" w:rsidRDefault="00F8141A" w:rsidP="00F8141A">
            <w:pPr>
              <w:jc w:val="right"/>
              <w:cnfStyle w:val="000000000000" w:firstRow="0" w:lastRow="0" w:firstColumn="0" w:lastColumn="0" w:oddVBand="0" w:evenVBand="0" w:oddHBand="0" w:evenHBand="0" w:firstRowFirstColumn="0" w:firstRowLastColumn="0" w:lastRowFirstColumn="0" w:lastRowLastColumn="0"/>
            </w:pPr>
            <w:r>
              <w:t>4%</w:t>
            </w:r>
          </w:p>
        </w:tc>
        <w:tc>
          <w:tcPr>
            <w:tcW w:w="2481" w:type="dxa"/>
            <w:tcBorders>
              <w:left w:val="single" w:sz="4" w:space="0" w:color="auto"/>
              <w:bottom w:val="single" w:sz="2" w:space="0" w:color="80808B" w:themeColor="accent5"/>
            </w:tcBorders>
          </w:tcPr>
          <w:p w14:paraId="28EA9522" w14:textId="77777777" w:rsidR="00F8141A" w:rsidRDefault="00F8141A" w:rsidP="00F8141A">
            <w:pPr>
              <w:spacing w:before="50" w:line="260" w:lineRule="atLeast"/>
              <w:cnfStyle w:val="000000000000" w:firstRow="0" w:lastRow="0" w:firstColumn="0" w:lastColumn="0" w:oddVBand="0" w:evenVBand="0" w:oddHBand="0" w:evenHBand="0" w:firstRowFirstColumn="0" w:firstRowLastColumn="0" w:lastRowFirstColumn="0" w:lastRowLastColumn="0"/>
            </w:pPr>
            <w:r w:rsidRPr="00650CD1">
              <w:rPr>
                <w:b/>
                <w:color w:val="007586" w:themeColor="text2"/>
              </w:rPr>
              <w:t>Training</w:t>
            </w:r>
          </w:p>
        </w:tc>
        <w:tc>
          <w:tcPr>
            <w:tcW w:w="1205" w:type="dxa"/>
            <w:tcBorders>
              <w:bottom w:val="single" w:sz="2" w:space="0" w:color="80808B" w:themeColor="accent5"/>
            </w:tcBorders>
          </w:tcPr>
          <w:p w14:paraId="4A680BFF" w14:textId="77777777" w:rsidR="00F8141A" w:rsidRDefault="00F8141A" w:rsidP="00F8141A">
            <w:pPr>
              <w:jc w:val="right"/>
              <w:cnfStyle w:val="000000000000" w:firstRow="0" w:lastRow="0" w:firstColumn="0" w:lastColumn="0" w:oddVBand="0" w:evenVBand="0" w:oddHBand="0" w:evenHBand="0" w:firstRowFirstColumn="0" w:firstRowLastColumn="0" w:lastRowFirstColumn="0" w:lastRowLastColumn="0"/>
            </w:pPr>
            <w:r>
              <w:t>129</w:t>
            </w:r>
          </w:p>
        </w:tc>
        <w:tc>
          <w:tcPr>
            <w:tcW w:w="1205" w:type="dxa"/>
            <w:tcBorders>
              <w:bottom w:val="single" w:sz="2" w:space="0" w:color="80808B" w:themeColor="accent5"/>
            </w:tcBorders>
          </w:tcPr>
          <w:p w14:paraId="14A11CE4" w14:textId="77777777" w:rsidR="00F8141A" w:rsidRDefault="00F8141A" w:rsidP="00F8141A">
            <w:pPr>
              <w:jc w:val="right"/>
              <w:cnfStyle w:val="000000000000" w:firstRow="0" w:lastRow="0" w:firstColumn="0" w:lastColumn="0" w:oddVBand="0" w:evenVBand="0" w:oddHBand="0" w:evenHBand="0" w:firstRowFirstColumn="0" w:firstRowLastColumn="0" w:lastRowFirstColumn="0" w:lastRowLastColumn="0"/>
            </w:pPr>
            <w:r>
              <w:t>21%</w:t>
            </w:r>
          </w:p>
        </w:tc>
      </w:tr>
      <w:tr w:rsidR="00F8141A" w14:paraId="2CC78F41" w14:textId="77777777" w:rsidTr="00F8141A">
        <w:tc>
          <w:tcPr>
            <w:cnfStyle w:val="001000000000" w:firstRow="0" w:lastRow="0" w:firstColumn="1" w:lastColumn="0" w:oddVBand="0" w:evenVBand="0" w:oddHBand="0" w:evenHBand="0" w:firstRowFirstColumn="0" w:firstRowLastColumn="0" w:lastRowFirstColumn="0" w:lastRowLastColumn="0"/>
            <w:tcW w:w="2552" w:type="dxa"/>
          </w:tcPr>
          <w:p w14:paraId="79F8D017" w14:textId="77777777" w:rsidR="00B36A1B" w:rsidRDefault="00F8141A" w:rsidP="00F8141A">
            <w:pPr>
              <w:rPr>
                <w:b w:val="0"/>
              </w:rPr>
            </w:pPr>
            <w:r>
              <w:t>Simplify process/</w:t>
            </w:r>
          </w:p>
          <w:p w14:paraId="5953ED47" w14:textId="77777777" w:rsidR="00F8141A" w:rsidRDefault="00F8141A" w:rsidP="00F8141A">
            <w:r>
              <w:t>remove steps</w:t>
            </w:r>
          </w:p>
        </w:tc>
        <w:tc>
          <w:tcPr>
            <w:tcW w:w="992" w:type="dxa"/>
          </w:tcPr>
          <w:p w14:paraId="03C29E6E" w14:textId="77777777" w:rsidR="00F8141A" w:rsidRDefault="00F8141A" w:rsidP="00F8141A">
            <w:pPr>
              <w:jc w:val="right"/>
              <w:cnfStyle w:val="000000000000" w:firstRow="0" w:lastRow="0" w:firstColumn="0" w:lastColumn="0" w:oddVBand="0" w:evenVBand="0" w:oddHBand="0" w:evenHBand="0" w:firstRowFirstColumn="0" w:firstRowLastColumn="0" w:lastRowFirstColumn="0" w:lastRowLastColumn="0"/>
            </w:pPr>
            <w:r>
              <w:t>10</w:t>
            </w:r>
          </w:p>
        </w:tc>
        <w:tc>
          <w:tcPr>
            <w:tcW w:w="1205" w:type="dxa"/>
            <w:tcBorders>
              <w:right w:val="single" w:sz="4" w:space="0" w:color="auto"/>
            </w:tcBorders>
          </w:tcPr>
          <w:p w14:paraId="5C448912" w14:textId="77777777" w:rsidR="00F8141A" w:rsidRDefault="00F8141A" w:rsidP="00F8141A">
            <w:pPr>
              <w:jc w:val="right"/>
              <w:cnfStyle w:val="000000000000" w:firstRow="0" w:lastRow="0" w:firstColumn="0" w:lastColumn="0" w:oddVBand="0" w:evenVBand="0" w:oddHBand="0" w:evenHBand="0" w:firstRowFirstColumn="0" w:firstRowLastColumn="0" w:lastRowFirstColumn="0" w:lastRowLastColumn="0"/>
            </w:pPr>
            <w:r>
              <w:t>&gt;2%</w:t>
            </w:r>
          </w:p>
        </w:tc>
        <w:tc>
          <w:tcPr>
            <w:tcW w:w="2481" w:type="dxa"/>
            <w:tcBorders>
              <w:bottom w:val="single" w:sz="2" w:space="0" w:color="80808B" w:themeColor="accent5"/>
            </w:tcBorders>
          </w:tcPr>
          <w:p w14:paraId="4C4B70B3" w14:textId="77777777" w:rsidR="00F8141A" w:rsidRPr="00AE2396" w:rsidRDefault="00F8141A" w:rsidP="00F8141A">
            <w:pPr>
              <w:spacing w:before="50" w:line="260" w:lineRule="atLeast"/>
              <w:cnfStyle w:val="000000000000" w:firstRow="0" w:lastRow="0" w:firstColumn="0" w:lastColumn="0" w:oddVBand="0" w:evenVBand="0" w:oddHBand="0" w:evenHBand="0" w:firstRowFirstColumn="0" w:firstRowLastColumn="0" w:lastRowFirstColumn="0" w:lastRowLastColumn="0"/>
              <w:rPr>
                <w:b/>
                <w:color w:val="007586" w:themeColor="text2"/>
              </w:rPr>
            </w:pPr>
            <w:r w:rsidRPr="00AE2396">
              <w:rPr>
                <w:b/>
                <w:color w:val="007586" w:themeColor="text2"/>
              </w:rPr>
              <w:t>Software enhancement</w:t>
            </w:r>
          </w:p>
        </w:tc>
        <w:tc>
          <w:tcPr>
            <w:tcW w:w="1205" w:type="dxa"/>
            <w:tcBorders>
              <w:bottom w:val="single" w:sz="2" w:space="0" w:color="80808B" w:themeColor="accent5"/>
            </w:tcBorders>
          </w:tcPr>
          <w:p w14:paraId="052F51DB" w14:textId="77777777" w:rsidR="00F8141A" w:rsidRDefault="00F8141A" w:rsidP="00F8141A">
            <w:pPr>
              <w:jc w:val="right"/>
              <w:cnfStyle w:val="000000000000" w:firstRow="0" w:lastRow="0" w:firstColumn="0" w:lastColumn="0" w:oddVBand="0" w:evenVBand="0" w:oddHBand="0" w:evenHBand="0" w:firstRowFirstColumn="0" w:firstRowLastColumn="0" w:lastRowFirstColumn="0" w:lastRowLastColumn="0"/>
            </w:pPr>
            <w:r>
              <w:t>23</w:t>
            </w:r>
          </w:p>
        </w:tc>
        <w:tc>
          <w:tcPr>
            <w:tcW w:w="1205" w:type="dxa"/>
            <w:tcBorders>
              <w:bottom w:val="single" w:sz="2" w:space="0" w:color="80808B" w:themeColor="accent5"/>
              <w:right w:val="nil"/>
            </w:tcBorders>
          </w:tcPr>
          <w:p w14:paraId="0363F556" w14:textId="77777777" w:rsidR="00F8141A" w:rsidRDefault="00F8141A" w:rsidP="00F8141A">
            <w:pPr>
              <w:jc w:val="right"/>
              <w:cnfStyle w:val="000000000000" w:firstRow="0" w:lastRow="0" w:firstColumn="0" w:lastColumn="0" w:oddVBand="0" w:evenVBand="0" w:oddHBand="0" w:evenHBand="0" w:firstRowFirstColumn="0" w:firstRowLastColumn="0" w:lastRowFirstColumn="0" w:lastRowLastColumn="0"/>
            </w:pPr>
            <w:r>
              <w:t>4%</w:t>
            </w:r>
          </w:p>
        </w:tc>
      </w:tr>
      <w:tr w:rsidR="00F8141A" w14:paraId="53826364" w14:textId="77777777" w:rsidTr="00F8141A">
        <w:tc>
          <w:tcPr>
            <w:cnfStyle w:val="001000000000" w:firstRow="0" w:lastRow="0" w:firstColumn="1" w:lastColumn="0" w:oddVBand="0" w:evenVBand="0" w:oddHBand="0" w:evenHBand="0" w:firstRowFirstColumn="0" w:firstRowLastColumn="0" w:lastRowFirstColumn="0" w:lastRowLastColumn="0"/>
            <w:tcW w:w="2552" w:type="dxa"/>
          </w:tcPr>
          <w:p w14:paraId="7ECF6E20" w14:textId="77777777" w:rsidR="00F8141A" w:rsidRDefault="00F8141A" w:rsidP="00F8141A">
            <w:r>
              <w:t>Tangible leadership</w:t>
            </w:r>
          </w:p>
        </w:tc>
        <w:tc>
          <w:tcPr>
            <w:tcW w:w="992" w:type="dxa"/>
          </w:tcPr>
          <w:p w14:paraId="76C0C6B2" w14:textId="77777777" w:rsidR="00F8141A" w:rsidRDefault="00F8141A" w:rsidP="00F8141A">
            <w:pPr>
              <w:jc w:val="right"/>
              <w:cnfStyle w:val="000000000000" w:firstRow="0" w:lastRow="0" w:firstColumn="0" w:lastColumn="0" w:oddVBand="0" w:evenVBand="0" w:oddHBand="0" w:evenHBand="0" w:firstRowFirstColumn="0" w:firstRowLastColumn="0" w:lastRowFirstColumn="0" w:lastRowLastColumn="0"/>
            </w:pPr>
            <w:r>
              <w:t>9</w:t>
            </w:r>
          </w:p>
        </w:tc>
        <w:tc>
          <w:tcPr>
            <w:tcW w:w="1205" w:type="dxa"/>
            <w:tcBorders>
              <w:right w:val="single" w:sz="4" w:space="0" w:color="auto"/>
            </w:tcBorders>
          </w:tcPr>
          <w:p w14:paraId="5C938B48" w14:textId="77777777" w:rsidR="00F8141A" w:rsidRDefault="00F8141A" w:rsidP="00F8141A">
            <w:pPr>
              <w:jc w:val="right"/>
              <w:cnfStyle w:val="000000000000" w:firstRow="0" w:lastRow="0" w:firstColumn="0" w:lastColumn="0" w:oddVBand="0" w:evenVBand="0" w:oddHBand="0" w:evenHBand="0" w:firstRowFirstColumn="0" w:firstRowLastColumn="0" w:lastRowFirstColumn="0" w:lastRowLastColumn="0"/>
            </w:pPr>
            <w:r>
              <w:t>&gt;2%</w:t>
            </w:r>
          </w:p>
        </w:tc>
        <w:tc>
          <w:tcPr>
            <w:tcW w:w="2481" w:type="dxa"/>
          </w:tcPr>
          <w:p w14:paraId="2353234C" w14:textId="77777777" w:rsidR="00F8141A" w:rsidRDefault="00F8141A" w:rsidP="00F8141A">
            <w:pPr>
              <w:spacing w:before="50" w:line="260" w:lineRule="atLeast"/>
              <w:cnfStyle w:val="000000000000" w:firstRow="0" w:lastRow="0" w:firstColumn="0" w:lastColumn="0" w:oddVBand="0" w:evenVBand="0" w:oddHBand="0" w:evenHBand="0" w:firstRowFirstColumn="0" w:firstRowLastColumn="0" w:lastRowFirstColumn="0" w:lastRowLastColumn="0"/>
            </w:pPr>
            <w:r w:rsidRPr="00A147CB">
              <w:rPr>
                <w:b/>
                <w:color w:val="007586" w:themeColor="text2"/>
              </w:rPr>
              <w:t>Decrease distractions</w:t>
            </w:r>
          </w:p>
        </w:tc>
        <w:tc>
          <w:tcPr>
            <w:tcW w:w="1205" w:type="dxa"/>
          </w:tcPr>
          <w:p w14:paraId="477DE1CB" w14:textId="77777777" w:rsidR="00F8141A" w:rsidRDefault="00F8141A" w:rsidP="00F8141A">
            <w:pPr>
              <w:jc w:val="right"/>
              <w:cnfStyle w:val="000000000000" w:firstRow="0" w:lastRow="0" w:firstColumn="0" w:lastColumn="0" w:oddVBand="0" w:evenVBand="0" w:oddHBand="0" w:evenHBand="0" w:firstRowFirstColumn="0" w:firstRowLastColumn="0" w:lastRowFirstColumn="0" w:lastRowLastColumn="0"/>
            </w:pPr>
            <w:r>
              <w:t>2</w:t>
            </w:r>
          </w:p>
        </w:tc>
        <w:tc>
          <w:tcPr>
            <w:tcW w:w="1205" w:type="dxa"/>
            <w:tcBorders>
              <w:right w:val="nil"/>
            </w:tcBorders>
          </w:tcPr>
          <w:p w14:paraId="434BF1A7" w14:textId="77777777" w:rsidR="00F8141A" w:rsidRDefault="00F8141A" w:rsidP="00F8141A">
            <w:pPr>
              <w:jc w:val="right"/>
              <w:cnfStyle w:val="000000000000" w:firstRow="0" w:lastRow="0" w:firstColumn="0" w:lastColumn="0" w:oddVBand="0" w:evenVBand="0" w:oddHBand="0" w:evenHBand="0" w:firstRowFirstColumn="0" w:firstRowLastColumn="0" w:lastRowFirstColumn="0" w:lastRowLastColumn="0"/>
            </w:pPr>
            <w:r>
              <w:t>&gt;1%</w:t>
            </w:r>
          </w:p>
        </w:tc>
      </w:tr>
      <w:tr w:rsidR="00F8141A" w14:paraId="712A1673" w14:textId="77777777" w:rsidTr="00F8141A">
        <w:tc>
          <w:tcPr>
            <w:cnfStyle w:val="001000000000" w:firstRow="0" w:lastRow="0" w:firstColumn="1" w:lastColumn="0" w:oddVBand="0" w:evenVBand="0" w:oddHBand="0" w:evenHBand="0" w:firstRowFirstColumn="0" w:firstRowLastColumn="0" w:lastRowFirstColumn="0" w:lastRowLastColumn="0"/>
            <w:tcW w:w="2552" w:type="dxa"/>
          </w:tcPr>
          <w:p w14:paraId="4C2BD75B" w14:textId="77777777" w:rsidR="00F8141A" w:rsidRDefault="00F8141A" w:rsidP="00F8141A">
            <w:r>
              <w:t>Redundancy</w:t>
            </w:r>
          </w:p>
        </w:tc>
        <w:tc>
          <w:tcPr>
            <w:tcW w:w="992" w:type="dxa"/>
          </w:tcPr>
          <w:p w14:paraId="48F1AAB4" w14:textId="77777777" w:rsidR="00F8141A" w:rsidRDefault="00F8141A" w:rsidP="00F8141A">
            <w:pPr>
              <w:jc w:val="right"/>
              <w:cnfStyle w:val="000000000000" w:firstRow="0" w:lastRow="0" w:firstColumn="0" w:lastColumn="0" w:oddVBand="0" w:evenVBand="0" w:oddHBand="0" w:evenHBand="0" w:firstRowFirstColumn="0" w:firstRowLastColumn="0" w:lastRowFirstColumn="0" w:lastRowLastColumn="0"/>
            </w:pPr>
            <w:r>
              <w:t>2</w:t>
            </w:r>
          </w:p>
        </w:tc>
        <w:tc>
          <w:tcPr>
            <w:tcW w:w="1205" w:type="dxa"/>
            <w:tcBorders>
              <w:right w:val="single" w:sz="4" w:space="0" w:color="auto"/>
            </w:tcBorders>
          </w:tcPr>
          <w:p w14:paraId="7A2EA3C3" w14:textId="77777777" w:rsidR="00F8141A" w:rsidRDefault="00F8141A" w:rsidP="00F8141A">
            <w:pPr>
              <w:jc w:val="right"/>
              <w:cnfStyle w:val="000000000000" w:firstRow="0" w:lastRow="0" w:firstColumn="0" w:lastColumn="0" w:oddVBand="0" w:evenVBand="0" w:oddHBand="0" w:evenHBand="0" w:firstRowFirstColumn="0" w:firstRowLastColumn="0" w:lastRowFirstColumn="0" w:lastRowLastColumn="0"/>
            </w:pPr>
            <w:r>
              <w:t>&gt;1%</w:t>
            </w:r>
          </w:p>
        </w:tc>
        <w:tc>
          <w:tcPr>
            <w:tcW w:w="2481" w:type="dxa"/>
          </w:tcPr>
          <w:p w14:paraId="6A4D7104" w14:textId="77777777" w:rsidR="00F8141A" w:rsidRDefault="00F8141A" w:rsidP="00F8141A">
            <w:pPr>
              <w:spacing w:before="50" w:line="260" w:lineRule="atLeast"/>
              <w:cnfStyle w:val="000000000000" w:firstRow="0" w:lastRow="0" w:firstColumn="0" w:lastColumn="0" w:oddVBand="0" w:evenVBand="0" w:oddHBand="0" w:evenHBand="0" w:firstRowFirstColumn="0" w:firstRowLastColumn="0" w:lastRowFirstColumn="0" w:lastRowLastColumn="0"/>
            </w:pPr>
            <w:r w:rsidRPr="00A147CB">
              <w:rPr>
                <w:b/>
                <w:color w:val="007586" w:themeColor="text2"/>
              </w:rPr>
              <w:t>SIM training plus refreshers</w:t>
            </w:r>
          </w:p>
        </w:tc>
        <w:tc>
          <w:tcPr>
            <w:tcW w:w="1205" w:type="dxa"/>
          </w:tcPr>
          <w:p w14:paraId="37F585FD" w14:textId="77777777" w:rsidR="00F8141A" w:rsidRDefault="00F8141A" w:rsidP="00F8141A">
            <w:pPr>
              <w:jc w:val="right"/>
              <w:cnfStyle w:val="000000000000" w:firstRow="0" w:lastRow="0" w:firstColumn="0" w:lastColumn="0" w:oddVBand="0" w:evenVBand="0" w:oddHBand="0" w:evenHBand="0" w:firstRowFirstColumn="0" w:firstRowLastColumn="0" w:lastRowFirstColumn="0" w:lastRowLastColumn="0"/>
            </w:pPr>
            <w:r>
              <w:t>8</w:t>
            </w:r>
          </w:p>
        </w:tc>
        <w:tc>
          <w:tcPr>
            <w:tcW w:w="1205" w:type="dxa"/>
            <w:tcBorders>
              <w:right w:val="nil"/>
            </w:tcBorders>
          </w:tcPr>
          <w:p w14:paraId="61220516" w14:textId="77777777" w:rsidR="00F8141A" w:rsidRDefault="00F8141A" w:rsidP="00F8141A">
            <w:pPr>
              <w:jc w:val="right"/>
              <w:cnfStyle w:val="000000000000" w:firstRow="0" w:lastRow="0" w:firstColumn="0" w:lastColumn="0" w:oddVBand="0" w:evenVBand="0" w:oddHBand="0" w:evenHBand="0" w:firstRowFirstColumn="0" w:firstRowLastColumn="0" w:lastRowFirstColumn="0" w:lastRowLastColumn="0"/>
            </w:pPr>
            <w:r>
              <w:t>1%</w:t>
            </w:r>
          </w:p>
        </w:tc>
      </w:tr>
      <w:tr w:rsidR="00F8141A" w14:paraId="5F850CCC" w14:textId="77777777" w:rsidTr="00F8141A">
        <w:tc>
          <w:tcPr>
            <w:cnfStyle w:val="001000000000" w:firstRow="0" w:lastRow="0" w:firstColumn="1" w:lastColumn="0" w:oddVBand="0" w:evenVBand="0" w:oddHBand="0" w:evenHBand="0" w:firstRowFirstColumn="0" w:firstRowLastColumn="0" w:lastRowFirstColumn="0" w:lastRowLastColumn="0"/>
            <w:tcW w:w="2552" w:type="dxa"/>
          </w:tcPr>
          <w:p w14:paraId="76AC2479" w14:textId="77777777" w:rsidR="00F8141A" w:rsidRDefault="00F8141A" w:rsidP="00F8141A">
            <w:r>
              <w:t>Staffing and workforce</w:t>
            </w:r>
          </w:p>
        </w:tc>
        <w:tc>
          <w:tcPr>
            <w:tcW w:w="992" w:type="dxa"/>
          </w:tcPr>
          <w:p w14:paraId="450028F9" w14:textId="77777777" w:rsidR="00F8141A" w:rsidRDefault="00F8141A" w:rsidP="00F8141A">
            <w:pPr>
              <w:jc w:val="right"/>
              <w:cnfStyle w:val="000000000000" w:firstRow="0" w:lastRow="0" w:firstColumn="0" w:lastColumn="0" w:oddVBand="0" w:evenVBand="0" w:oddHBand="0" w:evenHBand="0" w:firstRowFirstColumn="0" w:firstRowLastColumn="0" w:lastRowFirstColumn="0" w:lastRowLastColumn="0"/>
            </w:pPr>
            <w:r>
              <w:t>20</w:t>
            </w:r>
          </w:p>
        </w:tc>
        <w:tc>
          <w:tcPr>
            <w:tcW w:w="1205" w:type="dxa"/>
            <w:tcBorders>
              <w:right w:val="single" w:sz="4" w:space="0" w:color="auto"/>
            </w:tcBorders>
          </w:tcPr>
          <w:p w14:paraId="3230AB67" w14:textId="77777777" w:rsidR="00F8141A" w:rsidRDefault="00F8141A" w:rsidP="00F8141A">
            <w:pPr>
              <w:jc w:val="right"/>
              <w:cnfStyle w:val="000000000000" w:firstRow="0" w:lastRow="0" w:firstColumn="0" w:lastColumn="0" w:oddVBand="0" w:evenVBand="0" w:oddHBand="0" w:evenHBand="0" w:firstRowFirstColumn="0" w:firstRowLastColumn="0" w:lastRowFirstColumn="0" w:lastRowLastColumn="0"/>
            </w:pPr>
            <w:r>
              <w:t>3%</w:t>
            </w:r>
          </w:p>
        </w:tc>
        <w:tc>
          <w:tcPr>
            <w:tcW w:w="2481" w:type="dxa"/>
          </w:tcPr>
          <w:p w14:paraId="102C6B2F" w14:textId="77777777" w:rsidR="00F8141A" w:rsidRDefault="00F8141A" w:rsidP="00F8141A">
            <w:pPr>
              <w:spacing w:before="50" w:line="260" w:lineRule="atLeast"/>
              <w:cnfStyle w:val="000000000000" w:firstRow="0" w:lastRow="0" w:firstColumn="0" w:lastColumn="0" w:oddVBand="0" w:evenVBand="0" w:oddHBand="0" w:evenHBand="0" w:firstRowFirstColumn="0" w:firstRowLastColumn="0" w:lastRowFirstColumn="0" w:lastRowLastColumn="0"/>
            </w:pPr>
            <w:r w:rsidRPr="00A147CB">
              <w:rPr>
                <w:b/>
                <w:color w:val="007586" w:themeColor="text2"/>
              </w:rPr>
              <w:t>Checklist list/</w:t>
            </w:r>
            <w:r w:rsidR="00B36A1B">
              <w:rPr>
                <w:b/>
                <w:color w:val="007586" w:themeColor="text2"/>
              </w:rPr>
              <w:t>c</w:t>
            </w:r>
            <w:r w:rsidRPr="00A147CB">
              <w:rPr>
                <w:b/>
                <w:color w:val="007586" w:themeColor="text2"/>
              </w:rPr>
              <w:t>ognitive aid</w:t>
            </w:r>
            <w:r>
              <w:rPr>
                <w:b/>
                <w:color w:val="007586" w:themeColor="text2"/>
              </w:rPr>
              <w:t xml:space="preserve"> </w:t>
            </w:r>
          </w:p>
        </w:tc>
        <w:tc>
          <w:tcPr>
            <w:tcW w:w="1205" w:type="dxa"/>
          </w:tcPr>
          <w:p w14:paraId="1318989C" w14:textId="77777777" w:rsidR="00F8141A" w:rsidRDefault="00F8141A" w:rsidP="00F8141A">
            <w:pPr>
              <w:jc w:val="right"/>
              <w:cnfStyle w:val="000000000000" w:firstRow="0" w:lastRow="0" w:firstColumn="0" w:lastColumn="0" w:oddVBand="0" w:evenVBand="0" w:oddHBand="0" w:evenHBand="0" w:firstRowFirstColumn="0" w:firstRowLastColumn="0" w:lastRowFirstColumn="0" w:lastRowLastColumn="0"/>
            </w:pPr>
            <w:r>
              <w:t>35</w:t>
            </w:r>
          </w:p>
        </w:tc>
        <w:tc>
          <w:tcPr>
            <w:tcW w:w="1205" w:type="dxa"/>
            <w:tcBorders>
              <w:right w:val="nil"/>
            </w:tcBorders>
          </w:tcPr>
          <w:p w14:paraId="31A3446E" w14:textId="77777777" w:rsidR="00F8141A" w:rsidRDefault="00F8141A" w:rsidP="00F8141A">
            <w:pPr>
              <w:jc w:val="right"/>
              <w:cnfStyle w:val="000000000000" w:firstRow="0" w:lastRow="0" w:firstColumn="0" w:lastColumn="0" w:oddVBand="0" w:evenVBand="0" w:oddHBand="0" w:evenHBand="0" w:firstRowFirstColumn="0" w:firstRowLastColumn="0" w:lastRowFirstColumn="0" w:lastRowLastColumn="0"/>
            </w:pPr>
            <w:r>
              <w:t>6%</w:t>
            </w:r>
          </w:p>
        </w:tc>
      </w:tr>
      <w:tr w:rsidR="00F8141A" w14:paraId="33D34326" w14:textId="77777777" w:rsidTr="00F8141A">
        <w:tc>
          <w:tcPr>
            <w:cnfStyle w:val="001000000000" w:firstRow="0" w:lastRow="0" w:firstColumn="1" w:lastColumn="0" w:oddVBand="0" w:evenVBand="0" w:oddHBand="0" w:evenHBand="0" w:firstRowFirstColumn="0" w:firstRowLastColumn="0" w:lastRowFirstColumn="0" w:lastRowLastColumn="0"/>
            <w:tcW w:w="2552" w:type="dxa"/>
          </w:tcPr>
          <w:p w14:paraId="0E48C9FA" w14:textId="77777777" w:rsidR="00F8141A" w:rsidRDefault="00F8141A" w:rsidP="00F8141A">
            <w:r>
              <w:t>Remove look</w:t>
            </w:r>
            <w:r w:rsidR="00CF4B3C">
              <w:t>-</w:t>
            </w:r>
            <w:r>
              <w:t>alike</w:t>
            </w:r>
            <w:r w:rsidR="00CF4B3C">
              <w:t>/</w:t>
            </w:r>
            <w:r>
              <w:t>sound</w:t>
            </w:r>
            <w:r w:rsidR="00CF4B3C">
              <w:t>-</w:t>
            </w:r>
            <w:r>
              <w:t>alike</w:t>
            </w:r>
          </w:p>
        </w:tc>
        <w:tc>
          <w:tcPr>
            <w:tcW w:w="992" w:type="dxa"/>
          </w:tcPr>
          <w:p w14:paraId="19792376" w14:textId="77777777" w:rsidR="00F8141A" w:rsidRDefault="00F8141A" w:rsidP="00F8141A">
            <w:pPr>
              <w:jc w:val="right"/>
              <w:cnfStyle w:val="000000000000" w:firstRow="0" w:lastRow="0" w:firstColumn="0" w:lastColumn="0" w:oddVBand="0" w:evenVBand="0" w:oddHBand="0" w:evenHBand="0" w:firstRowFirstColumn="0" w:firstRowLastColumn="0" w:lastRowFirstColumn="0" w:lastRowLastColumn="0"/>
            </w:pPr>
            <w:r>
              <w:t>1</w:t>
            </w:r>
          </w:p>
        </w:tc>
        <w:tc>
          <w:tcPr>
            <w:tcW w:w="1205" w:type="dxa"/>
            <w:tcBorders>
              <w:right w:val="single" w:sz="4" w:space="0" w:color="auto"/>
            </w:tcBorders>
          </w:tcPr>
          <w:p w14:paraId="57521CB7" w14:textId="77777777" w:rsidR="00F8141A" w:rsidRDefault="00F8141A" w:rsidP="00F8141A">
            <w:pPr>
              <w:jc w:val="right"/>
              <w:cnfStyle w:val="000000000000" w:firstRow="0" w:lastRow="0" w:firstColumn="0" w:lastColumn="0" w:oddVBand="0" w:evenVBand="0" w:oddHBand="0" w:evenHBand="0" w:firstRowFirstColumn="0" w:firstRowLastColumn="0" w:lastRowFirstColumn="0" w:lastRowLastColumn="0"/>
            </w:pPr>
            <w:r>
              <w:t>&gt;1%</w:t>
            </w:r>
          </w:p>
        </w:tc>
        <w:tc>
          <w:tcPr>
            <w:tcW w:w="2481" w:type="dxa"/>
          </w:tcPr>
          <w:p w14:paraId="042470D3" w14:textId="77777777" w:rsidR="00F8141A" w:rsidRPr="00A147CB" w:rsidRDefault="00F8141A" w:rsidP="00F8141A">
            <w:pPr>
              <w:spacing w:before="50" w:line="260" w:lineRule="atLeast"/>
              <w:cnfStyle w:val="000000000000" w:firstRow="0" w:lastRow="0" w:firstColumn="0" w:lastColumn="0" w:oddVBand="0" w:evenVBand="0" w:oddHBand="0" w:evenHBand="0" w:firstRowFirstColumn="0" w:firstRowLastColumn="0" w:lastRowFirstColumn="0" w:lastRowLastColumn="0"/>
              <w:rPr>
                <w:b/>
                <w:color w:val="007586" w:themeColor="text2"/>
              </w:rPr>
            </w:pPr>
            <w:r>
              <w:rPr>
                <w:b/>
                <w:color w:val="007586" w:themeColor="text2"/>
              </w:rPr>
              <w:t>Warnings</w:t>
            </w:r>
          </w:p>
        </w:tc>
        <w:tc>
          <w:tcPr>
            <w:tcW w:w="1205" w:type="dxa"/>
          </w:tcPr>
          <w:p w14:paraId="0509080D" w14:textId="77777777" w:rsidR="00F8141A" w:rsidRDefault="00F8141A" w:rsidP="00F8141A">
            <w:pPr>
              <w:jc w:val="right"/>
              <w:cnfStyle w:val="000000000000" w:firstRow="0" w:lastRow="0" w:firstColumn="0" w:lastColumn="0" w:oddVBand="0" w:evenVBand="0" w:oddHBand="0" w:evenHBand="0" w:firstRowFirstColumn="0" w:firstRowLastColumn="0" w:lastRowFirstColumn="0" w:lastRowLastColumn="0"/>
            </w:pPr>
            <w:r>
              <w:t>1</w:t>
            </w:r>
          </w:p>
        </w:tc>
        <w:tc>
          <w:tcPr>
            <w:tcW w:w="1205" w:type="dxa"/>
            <w:tcBorders>
              <w:right w:val="nil"/>
            </w:tcBorders>
          </w:tcPr>
          <w:p w14:paraId="46869371" w14:textId="77777777" w:rsidR="00F8141A" w:rsidRDefault="00F8141A" w:rsidP="00F8141A">
            <w:pPr>
              <w:jc w:val="right"/>
              <w:cnfStyle w:val="000000000000" w:firstRow="0" w:lastRow="0" w:firstColumn="0" w:lastColumn="0" w:oddVBand="0" w:evenVBand="0" w:oddHBand="0" w:evenHBand="0" w:firstRowFirstColumn="0" w:firstRowLastColumn="0" w:lastRowFirstColumn="0" w:lastRowLastColumn="0"/>
            </w:pPr>
            <w:r>
              <w:t>&gt;1%</w:t>
            </w:r>
          </w:p>
        </w:tc>
      </w:tr>
    </w:tbl>
    <w:p w14:paraId="4AC3CE43" w14:textId="77777777" w:rsidR="00F8141A" w:rsidRDefault="00F9160E" w:rsidP="00F9160E">
      <w:pPr>
        <w:pStyle w:val="Heading3"/>
      </w:pPr>
      <w:r w:rsidRPr="00F9160E">
        <w:t>Improving the quality of recommendations</w:t>
      </w:r>
    </w:p>
    <w:p w14:paraId="54CCC8CA" w14:textId="77777777" w:rsidR="00F8141A" w:rsidRDefault="00F8141A" w:rsidP="00F8141A">
      <w:pPr>
        <w:pStyle w:val="Normalfollowingheading"/>
      </w:pPr>
      <w:r>
        <w:t>Whil</w:t>
      </w:r>
      <w:r w:rsidR="001D17D1">
        <w:t>e</w:t>
      </w:r>
      <w:r>
        <w:t xml:space="preserve"> the total number of recommendations has increased this year</w:t>
      </w:r>
      <w:r w:rsidR="001D17D1">
        <w:t>,</w:t>
      </w:r>
      <w:r>
        <w:t xml:space="preserve"> the strength of th</w:t>
      </w:r>
      <w:r w:rsidR="001D17D1">
        <w:t xml:space="preserve">ose </w:t>
      </w:r>
      <w:r>
        <w:t>recommendations is importan</w:t>
      </w:r>
      <w:r w:rsidR="001D17D1">
        <w:t>t</w:t>
      </w:r>
      <w:r>
        <w:t>.</w:t>
      </w:r>
    </w:p>
    <w:p w14:paraId="4F3FCF2A" w14:textId="3431BFF9" w:rsidR="00F8141A" w:rsidRDefault="00F8141A" w:rsidP="00F8141A">
      <w:r>
        <w:t>Since 2017</w:t>
      </w:r>
      <w:r w:rsidR="00E00E73">
        <w:t>,</w:t>
      </w:r>
      <w:r>
        <w:t xml:space="preserve"> SCV has been working </w:t>
      </w:r>
      <w:r w:rsidR="00B36A1B">
        <w:t>to</w:t>
      </w:r>
      <w:r>
        <w:t xml:space="preserve"> improv</w:t>
      </w:r>
      <w:r w:rsidR="00B36A1B">
        <w:t xml:space="preserve">e </w:t>
      </w:r>
      <w:r>
        <w:t>the quality of recommendations from health services. For example,</w:t>
      </w:r>
      <w:r w:rsidR="001D17D1">
        <w:t xml:space="preserve"> we</w:t>
      </w:r>
      <w:r>
        <w:t xml:space="preserve"> extend</w:t>
      </w:r>
      <w:r w:rsidR="001D17D1">
        <w:t xml:space="preserve">ed </w:t>
      </w:r>
      <w:r>
        <w:t>the time allowed to submit recommendations</w:t>
      </w:r>
      <w:r w:rsidR="001D17D1">
        <w:t xml:space="preserve">, </w:t>
      </w:r>
      <w:r>
        <w:t>encourag</w:t>
      </w:r>
      <w:r w:rsidR="001D17D1">
        <w:t>ed</w:t>
      </w:r>
      <w:r>
        <w:t xml:space="preserve"> consultation with experts, consumers, clinicians and management</w:t>
      </w:r>
      <w:r w:rsidR="001D17D1">
        <w:t xml:space="preserve">, and </w:t>
      </w:r>
      <w:r>
        <w:t>ex</w:t>
      </w:r>
      <w:r w:rsidR="001D17D1">
        <w:t>panded</w:t>
      </w:r>
      <w:r>
        <w:t xml:space="preserve"> our incident review training. We also actively engage with health services through our quality assurance process to make sure reviews result in recommendations that are more effective in addressing</w:t>
      </w:r>
      <w:r w:rsidR="00B36A1B">
        <w:t xml:space="preserve"> any identified</w:t>
      </w:r>
      <w:r>
        <w:t xml:space="preserve"> systems problems.</w:t>
      </w:r>
    </w:p>
    <w:p w14:paraId="5DFB59AB" w14:textId="77777777" w:rsidR="00F8141A" w:rsidRDefault="00F8141A" w:rsidP="00F8141A">
      <w:r>
        <w:t xml:space="preserve">Some examples of strong recommendations in </w:t>
      </w:r>
      <w:r w:rsidR="00B36A1B">
        <w:t>2018–19</w:t>
      </w:r>
      <w:r>
        <w:t xml:space="preserve"> include</w:t>
      </w:r>
      <w:r w:rsidR="001D17D1">
        <w:t>:</w:t>
      </w:r>
    </w:p>
    <w:p w14:paraId="0EABE60B" w14:textId="77777777" w:rsidR="00F8141A" w:rsidRDefault="00F8141A" w:rsidP="00F8141A">
      <w:pPr>
        <w:pStyle w:val="Bullet1"/>
      </w:pPr>
      <w:r w:rsidRPr="00003AE9">
        <w:t>install</w:t>
      </w:r>
      <w:r w:rsidR="001D17D1" w:rsidRPr="00003AE9">
        <w:t>ing</w:t>
      </w:r>
      <w:r w:rsidRPr="00003AE9">
        <w:t xml:space="preserve"> anti-ligature handrails</w:t>
      </w:r>
      <w:r>
        <w:t xml:space="preserve"> which are suitable for older patients</w:t>
      </w:r>
    </w:p>
    <w:p w14:paraId="73A4DD34" w14:textId="77777777" w:rsidR="00F8141A" w:rsidRDefault="00F8141A" w:rsidP="00F8141A">
      <w:pPr>
        <w:pStyle w:val="Bullet1"/>
      </w:pPr>
      <w:r>
        <w:t>provi</w:t>
      </w:r>
      <w:r w:rsidR="001D17D1">
        <w:t>ding</w:t>
      </w:r>
      <w:r>
        <w:t xml:space="preserve"> cordless equipment in wards to reduce trip hazards</w:t>
      </w:r>
    </w:p>
    <w:p w14:paraId="16C71059" w14:textId="77777777" w:rsidR="00F8141A" w:rsidRDefault="00F8141A" w:rsidP="00F8141A">
      <w:pPr>
        <w:pStyle w:val="Bullet1"/>
      </w:pPr>
      <w:r>
        <w:t>adjust</w:t>
      </w:r>
      <w:r w:rsidR="001D17D1">
        <w:t>ing</w:t>
      </w:r>
      <w:r>
        <w:t xml:space="preserve"> bathroom doors to allow easier access and reduce the likelihood of falls</w:t>
      </w:r>
    </w:p>
    <w:p w14:paraId="6DCAF4EE" w14:textId="77777777" w:rsidR="00F8141A" w:rsidRDefault="00F8141A" w:rsidP="00F8141A">
      <w:pPr>
        <w:pStyle w:val="Bullet1"/>
      </w:pPr>
      <w:r>
        <w:t>diver</w:t>
      </w:r>
      <w:r w:rsidR="001D17D1">
        <w:t xml:space="preserve">ting </w:t>
      </w:r>
      <w:r>
        <w:t>after-hours phone calls to a 1800 service to ensure continuity of access to important information.</w:t>
      </w:r>
    </w:p>
    <w:p w14:paraId="1E233D0F" w14:textId="77777777" w:rsidR="00F8141A" w:rsidRDefault="00F8141A" w:rsidP="00F8141A">
      <w:pPr>
        <w:pStyle w:val="Heading2"/>
      </w:pPr>
      <w:r>
        <w:lastRenderedPageBreak/>
        <w:t>The year ahead</w:t>
      </w:r>
    </w:p>
    <w:p w14:paraId="48EA1FD2" w14:textId="77777777" w:rsidR="00F8141A" w:rsidRDefault="00F8141A" w:rsidP="00F8141A">
      <w:pPr>
        <w:pStyle w:val="Heading3"/>
      </w:pPr>
      <w:r>
        <w:t xml:space="preserve">Adverse patient safety event framework </w:t>
      </w:r>
    </w:p>
    <w:p w14:paraId="58D39E0B" w14:textId="03A38BA7" w:rsidR="00F8141A" w:rsidRDefault="00F8141A" w:rsidP="00F8141A">
      <w:pPr>
        <w:pStyle w:val="Normalfollowingheading"/>
      </w:pPr>
      <w:r>
        <w:t>In 2020</w:t>
      </w:r>
      <w:r w:rsidR="00E00E73">
        <w:t>,</w:t>
      </w:r>
      <w:r>
        <w:t xml:space="preserve"> SCV </w:t>
      </w:r>
      <w:r w:rsidR="00F9160E">
        <w:t>will progressively</w:t>
      </w:r>
      <w:r>
        <w:t xml:space="preserve"> release an </w:t>
      </w:r>
      <w:r w:rsidR="005B0178">
        <w:t>‘</w:t>
      </w:r>
      <w:r w:rsidRPr="005B0178">
        <w:t>Adverse Patient Safety Event Framework</w:t>
      </w:r>
      <w:r w:rsidR="005B0178">
        <w:t>’</w:t>
      </w:r>
      <w:r>
        <w:t xml:space="preserve"> designed to support the </w:t>
      </w:r>
      <w:r w:rsidR="005B0178">
        <w:t>‘</w:t>
      </w:r>
      <w:r w:rsidRPr="005B0178">
        <w:t>Adverse Patient Safety Event Policy</w:t>
      </w:r>
      <w:r w:rsidR="005B0178">
        <w:t>’</w:t>
      </w:r>
      <w:r>
        <w:t xml:space="preserve"> published in August 2019. The framework will provide information</w:t>
      </w:r>
      <w:r w:rsidR="001D17D1">
        <w:t xml:space="preserve"> and</w:t>
      </w:r>
      <w:r>
        <w:t xml:space="preserve"> templates </w:t>
      </w:r>
      <w:r w:rsidR="001D17D1">
        <w:t>to guide health services in</w:t>
      </w:r>
      <w:r>
        <w:t>:</w:t>
      </w:r>
    </w:p>
    <w:p w14:paraId="4962F545" w14:textId="77777777" w:rsidR="00F8141A" w:rsidRDefault="00F8141A" w:rsidP="00F8141A">
      <w:pPr>
        <w:pStyle w:val="Bullet1"/>
      </w:pPr>
      <w:r>
        <w:t>reviewing adverse events in a robust, transparent and systems-oriented way</w:t>
      </w:r>
    </w:p>
    <w:p w14:paraId="746839C5" w14:textId="77777777" w:rsidR="00F8141A" w:rsidRDefault="00F8141A" w:rsidP="00F8141A">
      <w:pPr>
        <w:pStyle w:val="Bullet1"/>
      </w:pPr>
      <w:r>
        <w:t>choosing from a wider range of updated and contemporary review methodologies, including RCA</w:t>
      </w:r>
      <w:r w:rsidRPr="00B32F85">
        <w:rPr>
          <w:vertAlign w:val="superscript"/>
        </w:rPr>
        <w:t>2</w:t>
      </w:r>
      <w:r>
        <w:t xml:space="preserve">, London Protocol and </w:t>
      </w:r>
      <w:proofErr w:type="spellStart"/>
      <w:r>
        <w:t>Accimap</w:t>
      </w:r>
      <w:proofErr w:type="spellEnd"/>
    </w:p>
    <w:p w14:paraId="5D7D355F" w14:textId="77777777" w:rsidR="00F8141A" w:rsidRDefault="00F8141A" w:rsidP="00F8141A">
      <w:pPr>
        <w:pStyle w:val="Bullet1"/>
      </w:pPr>
      <w:r>
        <w:t>applying human factors and systems thinking to design improvements that prevent sentinel events from recurring</w:t>
      </w:r>
    </w:p>
    <w:p w14:paraId="277572A0" w14:textId="77777777" w:rsidR="00F8141A" w:rsidRDefault="00F8141A" w:rsidP="00F8141A">
      <w:pPr>
        <w:pStyle w:val="Bullet1"/>
      </w:pPr>
      <w:r>
        <w:t>conducting open disclosure when an adverse event may have affected numerous patients</w:t>
      </w:r>
    </w:p>
    <w:p w14:paraId="5FBB3A4A" w14:textId="184F5FC0" w:rsidR="00F8141A" w:rsidRDefault="00F8141A" w:rsidP="00F8141A">
      <w:pPr>
        <w:pStyle w:val="Bullet1"/>
      </w:pPr>
      <w:r>
        <w:t>creating a safer environment for reporting sentinel events through a just culture approach</w:t>
      </w:r>
      <w:r w:rsidR="00B36A1B">
        <w:t xml:space="preserve"> (page </w:t>
      </w:r>
      <w:r w:rsidR="004D4180">
        <w:t>2</w:t>
      </w:r>
      <w:r w:rsidR="00336C16">
        <w:t>3</w:t>
      </w:r>
      <w:r w:rsidR="00B36A1B">
        <w:t>)</w:t>
      </w:r>
      <w:r w:rsidR="001D17D1">
        <w:t>.</w:t>
      </w:r>
    </w:p>
    <w:p w14:paraId="2CB824BE" w14:textId="77777777" w:rsidR="00F8141A" w:rsidRDefault="00F8141A" w:rsidP="00F8141A">
      <w:pPr>
        <w:pStyle w:val="Heading3"/>
      </w:pPr>
      <w:r>
        <w:t xml:space="preserve">Including consumer representatives on PEER </w:t>
      </w:r>
    </w:p>
    <w:p w14:paraId="2F664A2B" w14:textId="77777777" w:rsidR="00F8141A" w:rsidRDefault="00F8141A" w:rsidP="00F8141A">
      <w:pPr>
        <w:pStyle w:val="Normalfollowingheading"/>
      </w:pPr>
      <w:r>
        <w:t>Following the successful launch of the PEER platform to provide external experts for review panels, the service will be ex</w:t>
      </w:r>
      <w:r w:rsidR="001D17D1">
        <w:t>panded</w:t>
      </w:r>
      <w:r>
        <w:t xml:space="preserve"> in 2019</w:t>
      </w:r>
      <w:r w:rsidR="001D17D1">
        <w:t>–</w:t>
      </w:r>
      <w:r>
        <w:t xml:space="preserve">20 to include consumer representatives. This </w:t>
      </w:r>
      <w:r w:rsidR="001D17D1">
        <w:t>will help</w:t>
      </w:r>
      <w:r>
        <w:t xml:space="preserve"> health services who are still developing systems to support the role of consumers in sentinel event reviews. It may also </w:t>
      </w:r>
      <w:r w:rsidR="001D17D1">
        <w:t>help</w:t>
      </w:r>
      <w:r>
        <w:t xml:space="preserve"> rural health services that face different challenges associated with small and often close communities by making consumer representatives available from other geographic areas.</w:t>
      </w:r>
    </w:p>
    <w:p w14:paraId="02380F7E" w14:textId="77777777" w:rsidR="00F8141A" w:rsidRDefault="00F8141A" w:rsidP="00F8141A">
      <w:pPr>
        <w:pStyle w:val="Heading3"/>
      </w:pPr>
      <w:r>
        <w:t>Allowing more time to develop stronger recommendations</w:t>
      </w:r>
    </w:p>
    <w:p w14:paraId="3BB70D45" w14:textId="2243F4B1" w:rsidR="001D17D1" w:rsidRDefault="00F8141A" w:rsidP="00F8141A">
      <w:pPr>
        <w:pStyle w:val="Normalfollowingheading"/>
      </w:pPr>
      <w:r>
        <w:t xml:space="preserve">From July 2019, SCV changed the timeframes and process for submitting RCA reports to provide additional time to develop stronger, more effective recommendations. Health services are now required to submit RCA reports in two sections. </w:t>
      </w:r>
      <w:r w:rsidR="00B36A1B">
        <w:t>Parts</w:t>
      </w:r>
      <w:r>
        <w:t xml:space="preserve"> A and B provide the RCA analysis and the </w:t>
      </w:r>
      <w:proofErr w:type="gramStart"/>
      <w:r>
        <w:t>findings</w:t>
      </w:r>
      <w:r w:rsidR="001600CB">
        <w:t>,</w:t>
      </w:r>
      <w:r>
        <w:t xml:space="preserve"> and</w:t>
      </w:r>
      <w:proofErr w:type="gramEnd"/>
      <w:r>
        <w:t xml:space="preserve"> are still due within 30 business days (six weeks) of the sentinel event notification. Health services now have an additional 20 business days (four weeks) to submit part C, which </w:t>
      </w:r>
      <w:r w:rsidR="00B36A1B">
        <w:t xml:space="preserve">includes </w:t>
      </w:r>
      <w:r>
        <w:t xml:space="preserve">the recommendations and an action plan. </w:t>
      </w:r>
    </w:p>
    <w:p w14:paraId="7884E842" w14:textId="77777777" w:rsidR="008B3C35" w:rsidRDefault="00F8141A" w:rsidP="00F8141A">
      <w:pPr>
        <w:pStyle w:val="Normalfollowingheading"/>
      </w:pPr>
      <w:r>
        <w:t>This means RCA teams can share their findings with relevant groups such as frontline clinicians, consumer representative</w:t>
      </w:r>
      <w:r w:rsidR="00B36A1B">
        <w:t>s</w:t>
      </w:r>
      <w:r>
        <w:t xml:space="preserve"> and other expert groups </w:t>
      </w:r>
      <w:r w:rsidR="00B36A1B">
        <w:t>to gain</w:t>
      </w:r>
      <w:r>
        <w:t xml:space="preserve"> input into what would work (and not work) to address </w:t>
      </w:r>
      <w:r w:rsidR="00B36A1B">
        <w:t xml:space="preserve">any identified </w:t>
      </w:r>
      <w:r>
        <w:t xml:space="preserve">systems issues. This reflects a more contemporary safety approach (Safety II) by ensuring recommendations (or work-as-imagined) are informed by those who provide and experience healthcare (or work-as-done). </w:t>
      </w:r>
      <w:r w:rsidR="00F9160E">
        <w:t>Hopefully the resultant</w:t>
      </w:r>
      <w:r>
        <w:t xml:space="preserve"> recommendations </w:t>
      </w:r>
      <w:r w:rsidR="00F9160E">
        <w:t>will</w:t>
      </w:r>
      <w:r>
        <w:t xml:space="preserve"> be stronger and more effective in improving safety in complex systems of healthcare.</w:t>
      </w:r>
    </w:p>
    <w:p w14:paraId="1DCF14CE" w14:textId="77777777" w:rsidR="00F8141A" w:rsidRDefault="00F8141A">
      <w:r>
        <w:br w:type="page"/>
      </w:r>
    </w:p>
    <w:p w14:paraId="2C5DDACF" w14:textId="77777777" w:rsidR="008B3C35" w:rsidRDefault="00F8141A" w:rsidP="008B3C35">
      <w:r>
        <w:rPr>
          <w:noProof/>
        </w:rPr>
        <w:lastRenderedPageBreak/>
        <mc:AlternateContent>
          <mc:Choice Requires="wps">
            <w:drawing>
              <wp:inline distT="0" distB="0" distL="0" distR="0" wp14:anchorId="23CECB99" wp14:editId="621ACC6C">
                <wp:extent cx="6300000" cy="7049069"/>
                <wp:effectExtent l="0" t="0" r="24765" b="19050"/>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0000" cy="7049069"/>
                        </a:xfrm>
                        <a:prstGeom prst="rect">
                          <a:avLst/>
                        </a:prstGeom>
                        <a:solidFill>
                          <a:schemeClr val="bg2"/>
                        </a:solidFill>
                        <a:ln w="6350">
                          <a:solidFill>
                            <a:schemeClr val="bg2"/>
                          </a:solidFill>
                          <a:miter lim="800000"/>
                          <a:headEnd/>
                          <a:tailEnd/>
                        </a:ln>
                      </wps:spPr>
                      <wps:txbx>
                        <w:txbxContent>
                          <w:p w14:paraId="2D43B755" w14:textId="6A30A6D9" w:rsidR="00D14F54" w:rsidRDefault="00D14F54" w:rsidP="00F8141A">
                            <w:pPr>
                              <w:pStyle w:val="PulloutHeading"/>
                            </w:pPr>
                            <w:r>
                              <w:t>Case study – how a health service became safer after a sentinel event</w:t>
                            </w:r>
                          </w:p>
                          <w:p w14:paraId="19DCF027" w14:textId="3B137B82" w:rsidR="00D14F54" w:rsidRPr="001D17D1" w:rsidRDefault="00D14F54" w:rsidP="00F8141A">
                            <w:pPr>
                              <w:pStyle w:val="PulloutText"/>
                              <w:rPr>
                                <w:rFonts w:ascii="VIC Medium" w:hAnsi="VIC Medium"/>
                              </w:rPr>
                            </w:pPr>
                            <w:r>
                              <w:rPr>
                                <w:rFonts w:ascii="VIC Medium" w:hAnsi="VIC Medium"/>
                              </w:rPr>
                              <w:t>The</w:t>
                            </w:r>
                            <w:r w:rsidRPr="001D17D1">
                              <w:rPr>
                                <w:rFonts w:ascii="VIC Medium" w:hAnsi="VIC Medium"/>
                              </w:rPr>
                              <w:t xml:space="preserve"> mis-interpretation of the position of a naso</w:t>
                            </w:r>
                            <w:r>
                              <w:rPr>
                                <w:rFonts w:ascii="VIC Medium" w:hAnsi="VIC Medium"/>
                              </w:rPr>
                              <w:t>-</w:t>
                            </w:r>
                            <w:r w:rsidRPr="001D17D1">
                              <w:rPr>
                                <w:rFonts w:ascii="VIC Medium" w:hAnsi="VIC Medium"/>
                              </w:rPr>
                              <w:t xml:space="preserve">gastric tube (NGT) on </w:t>
                            </w:r>
                            <w:r>
                              <w:rPr>
                                <w:rFonts w:ascii="VIC Medium" w:hAnsi="VIC Medium"/>
                              </w:rPr>
                              <w:t xml:space="preserve">a </w:t>
                            </w:r>
                            <w:r w:rsidRPr="001D17D1">
                              <w:rPr>
                                <w:rFonts w:ascii="VIC Medium" w:hAnsi="VIC Medium"/>
                              </w:rPr>
                              <w:t xml:space="preserve">chest X-ray </w:t>
                            </w:r>
                            <w:r>
                              <w:rPr>
                                <w:rFonts w:ascii="VIC Medium" w:hAnsi="VIC Medium"/>
                              </w:rPr>
                              <w:t>and</w:t>
                            </w:r>
                            <w:r w:rsidRPr="001D17D1">
                              <w:rPr>
                                <w:rFonts w:ascii="VIC Medium" w:hAnsi="VIC Medium"/>
                              </w:rPr>
                              <w:t xml:space="preserve"> the unexpected deterioration and death of a patient triggered a sentinel event at a health service.</w:t>
                            </w:r>
                          </w:p>
                          <w:p w14:paraId="4BF5CB74" w14:textId="77777777" w:rsidR="00D14F54" w:rsidRDefault="00D14F54" w:rsidP="00F8141A">
                            <w:pPr>
                              <w:pStyle w:val="PulloutText"/>
                            </w:pPr>
                            <w:r>
                              <w:t>“NGTs are an invasive medical intervention associated with a range of serious risks and all staff should maintain a high index of suspicion for complications in any patient with a NGT,” the Director Quality, Safety and Patient Experience at the health service said.</w:t>
                            </w:r>
                          </w:p>
                          <w:p w14:paraId="2F8AFF54" w14:textId="77777777" w:rsidR="00D14F54" w:rsidRDefault="00D14F54" w:rsidP="00F8141A">
                            <w:pPr>
                              <w:pStyle w:val="PulloutText"/>
                            </w:pPr>
                            <w:r>
                              <w:t xml:space="preserve">Reflective of the risks and available safety strategies associated with this procedure, the Australian Commission on Safety and Quality in Healthcare updated sentinel event categories to include </w:t>
                            </w:r>
                            <w:r w:rsidRPr="001D17D1">
                              <w:rPr>
                                <w:rFonts w:ascii="VIC Medium" w:hAnsi="VIC Medium"/>
                              </w:rPr>
                              <w:t>Category 10. Use of an incorrectly positioned oro- or naso-gastric tube resulting in serious harm or death</w:t>
                            </w:r>
                            <w:r>
                              <w:t>.</w:t>
                            </w:r>
                          </w:p>
                          <w:p w14:paraId="0271F95C" w14:textId="77777777" w:rsidR="00D14F54" w:rsidRDefault="00D14F54" w:rsidP="00F8141A">
                            <w:pPr>
                              <w:pStyle w:val="PulloutText"/>
                            </w:pPr>
                            <w:r>
                              <w:t>“Through the RCA process, it was identified the organisational 'Adult NGT Insertion and Management' procedure in place at the time of the sentinel event did not adequately support early recognition of patient deterioration following commencement of naso-gastric feeds. The procedure did not specify how medical staff should document confirmation of NGT placement or confirm suitability for commencement of NGT feeding in the patient’s medical record.</w:t>
                            </w:r>
                          </w:p>
                          <w:p w14:paraId="6977E89B" w14:textId="77777777" w:rsidR="00D14F54" w:rsidRDefault="00D14F54" w:rsidP="00F8141A">
                            <w:pPr>
                              <w:pStyle w:val="PulloutText"/>
                            </w:pPr>
                            <w:r>
                              <w:t>“At the time of this incident, there was no standardised organisational risk assessment of patient or environmental factors in relation to the timing of commencement of NGT feeds, or requirements for enhanced observation once NGT feeds commence.”</w:t>
                            </w:r>
                          </w:p>
                          <w:p w14:paraId="38236644" w14:textId="77777777" w:rsidR="00D14F54" w:rsidRDefault="00D14F54" w:rsidP="00F8141A">
                            <w:pPr>
                              <w:pStyle w:val="PulloutText"/>
                            </w:pPr>
                            <w:r>
                              <w:t>Once the RCA was completed, the relevant Divisional Director and Clinical Services Director presented the case to the Serious Adverse Events Committee, chaired by the Chief Medical Officer. The committee discussed approval of the recommendations arising from the RCA investigation process.</w:t>
                            </w:r>
                          </w:p>
                          <w:p w14:paraId="41171505" w14:textId="77777777" w:rsidR="00D14F54" w:rsidRDefault="00D14F54" w:rsidP="00F8141A">
                            <w:pPr>
                              <w:pStyle w:val="PulloutText"/>
                            </w:pPr>
                            <w:r>
                              <w:t>The RCA review has ultimately led to better practice being adopted across the service.</w:t>
                            </w:r>
                          </w:p>
                          <w:p w14:paraId="2D8E443F" w14:textId="77777777" w:rsidR="00D14F54" w:rsidRDefault="00D14F54" w:rsidP="00F8141A">
                            <w:pPr>
                              <w:pStyle w:val="PulloutText"/>
                            </w:pPr>
                            <w:r>
                              <w:t>“The Adult NGT Insertion and Management procedure was updated, specifically addressing the gaps the RCA investigation identified in the previous version. The updated Adult NGT Insertion and Management procedure was formally endorsed by the internal Safe Care Committee in September 2019.”</w:t>
                            </w:r>
                          </w:p>
                          <w:p w14:paraId="45DD0026" w14:textId="77777777" w:rsidR="00D14F54" w:rsidRDefault="00D14F54" w:rsidP="00F8141A">
                            <w:pPr>
                              <w:pStyle w:val="PulloutText"/>
                            </w:pPr>
                            <w:r>
                              <w:t xml:space="preserve">It has also resulted in improvements in staff education, and ultimately patient outcomes. </w:t>
                            </w:r>
                          </w:p>
                          <w:p w14:paraId="4A5B94C9" w14:textId="77777777" w:rsidR="00D14F54" w:rsidRDefault="00D14F54" w:rsidP="00F8141A">
                            <w:pPr>
                              <w:pStyle w:val="PulloutText"/>
                            </w:pPr>
                            <w:r>
                              <w:t>“To facilitate adoption of practices outlined in this procedure, education has been given at intern orientation, and medical Grand Round education sessions. The updated procedure is accessible to all staff on the organisational intranet site. Online education modules are currently under development for medical and nursing staff. The Serious Adverse Events Committee, and the Division of Quality, Safety and Patient Experience have provided oversight and assisted with completion of the recommendations from the RCA.”</w:t>
                            </w:r>
                          </w:p>
                        </w:txbxContent>
                      </wps:txbx>
                      <wps:bodyPr rot="0" vert="horz" wrap="square" lIns="180000" tIns="180000" rIns="144000" bIns="36000" anchor="t" anchorCtr="0">
                        <a:noAutofit/>
                      </wps:bodyPr>
                    </wps:wsp>
                  </a:graphicData>
                </a:graphic>
              </wp:inline>
            </w:drawing>
          </mc:Choice>
          <mc:Fallback>
            <w:pict>
              <v:shape w14:anchorId="23CECB99" id="_x0000_s1035" type="#_x0000_t202" style="width:496.05pt;height:55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3h8IAIAAE4EAAAOAAAAZHJzL2Uyb0RvYy54bWysVM1u2zAMvg/YOwi6L3bSLGuNOEWXrsOA&#10;7gdo9wCKLMfCJFGTlNjZ05ei07TdThvmg0BK5EfyI+nl5WAN26sQNbiaTyclZ8pJaLTb1vz7/c2b&#10;c85iEq4RBpyq+UFFfrl6/WrZ+0rNoAPTqMAQxMWq9zXvUvJVUUTZKSviBLxy+NhCsCKhGrZFE0SP&#10;6NYUs7JcFD2ExgeQKka8vR4f+Yrw21bJ9LVto0rM1BxzS3QGOjf5LFZLUW2D8J2WxzTEP2RhhXYY&#10;9AR1LZJgu6D/gLJaBojQpokEW0DbaqmoBqxmWv5WzV0nvKJakJzoTzTF/wcrv+y/Baabms9mnDlh&#10;sUf3akjsPQxslunpfazQ6s6jXRrwGttMpUZ/C/JHZA7WnXBbdRUC9J0SDaY3zZ7FM9cRJ2aQTf8Z&#10;GgwjdgkIaGiDzdwhGwzRsU2HU2tyKhIvF2dl/jiT+PaunF+UiwuKIapHdx9i+qjAsizUPGDvCV7s&#10;b2PK6Yjq0SRHi2B0c6ONISXPm1qbwPYCJ2WzpdLR44WVcazPqbwtRwL+HsHqhONutK35+VgQDWBm&#10;7YNrSE5Cm1HG8MYdaczMjRymYTNQw6j+TPEGmgPyGmCcbtxGFDoIvzjrcbJrHn/uRFCcmU8u94Yi&#10;4y680MKozefE8oa0swUpwklEq3nibBTXiTYoE+fgCtvYaiL4KZlj1ji0xPtxwfJWPNfJ6uk3sHoA&#10;AAD//wMAUEsDBBQABgAIAAAAIQCoEBAf2gAAAAYBAAAPAAAAZHJzL2Rvd25yZXYueG1sTI/BasJA&#10;EIbvhb7DMoVepG5WoZg0GwnSXAtaH2DNjkk0Oxuyq6Zv36kXexkY/p9vvsnXk+vFFcfQedKg5gkI&#10;pNrbjhoN++/qbQUiREPW9J5Qww8GWBfPT7nJrL/RFq+72AiGUMiMhjbGIZMy1C06E+Z+QOLs6Edn&#10;Iq9jI+1obgx3vVwkybt0piO+0JoBNy3W593FMaUpq9nRztL6a79U9lR15afaaP36MpUfICJO8VGG&#10;P31Wh4KdDv5CNoheAz8S75OzNF0oEAcuKZUokEUu/+sXvwAAAP//AwBQSwECLQAUAAYACAAAACEA&#10;toM4kv4AAADhAQAAEwAAAAAAAAAAAAAAAAAAAAAAW0NvbnRlbnRfVHlwZXNdLnhtbFBLAQItABQA&#10;BgAIAAAAIQA4/SH/1gAAAJQBAAALAAAAAAAAAAAAAAAAAC8BAABfcmVscy8ucmVsc1BLAQItABQA&#10;BgAIAAAAIQCxD3h8IAIAAE4EAAAOAAAAAAAAAAAAAAAAAC4CAABkcnMvZTJvRG9jLnhtbFBLAQIt&#10;ABQABgAIAAAAIQCoEBAf2gAAAAYBAAAPAAAAAAAAAAAAAAAAAHoEAABkcnMvZG93bnJldi54bWxQ&#10;SwUGAAAAAAQABADzAAAAgQUAAAAA&#10;" fillcolor="#edf5f7 [3214]" strokecolor="#edf5f7 [3214]" strokeweight=".5pt">
                <v:textbox inset="5mm,5mm,4mm,1mm">
                  <w:txbxContent>
                    <w:p w14:paraId="2D43B755" w14:textId="6A30A6D9" w:rsidR="00D14F54" w:rsidRDefault="00D14F54" w:rsidP="00F8141A">
                      <w:pPr>
                        <w:pStyle w:val="PulloutHeading"/>
                      </w:pPr>
                      <w:r>
                        <w:t>Case study – how a health service became safer after a sentinel event</w:t>
                      </w:r>
                    </w:p>
                    <w:p w14:paraId="19DCF027" w14:textId="3B137B82" w:rsidR="00D14F54" w:rsidRPr="001D17D1" w:rsidRDefault="00D14F54" w:rsidP="00F8141A">
                      <w:pPr>
                        <w:pStyle w:val="PulloutText"/>
                        <w:rPr>
                          <w:rFonts w:ascii="VIC Medium" w:hAnsi="VIC Medium"/>
                        </w:rPr>
                      </w:pPr>
                      <w:r>
                        <w:rPr>
                          <w:rFonts w:ascii="VIC Medium" w:hAnsi="VIC Medium"/>
                        </w:rPr>
                        <w:t>The</w:t>
                      </w:r>
                      <w:r w:rsidRPr="001D17D1">
                        <w:rPr>
                          <w:rFonts w:ascii="VIC Medium" w:hAnsi="VIC Medium"/>
                        </w:rPr>
                        <w:t xml:space="preserve"> mis-interpretation of the position of a naso</w:t>
                      </w:r>
                      <w:r>
                        <w:rPr>
                          <w:rFonts w:ascii="VIC Medium" w:hAnsi="VIC Medium"/>
                        </w:rPr>
                        <w:t>-</w:t>
                      </w:r>
                      <w:r w:rsidRPr="001D17D1">
                        <w:rPr>
                          <w:rFonts w:ascii="VIC Medium" w:hAnsi="VIC Medium"/>
                        </w:rPr>
                        <w:t xml:space="preserve">gastric tube (NGT) on </w:t>
                      </w:r>
                      <w:r>
                        <w:rPr>
                          <w:rFonts w:ascii="VIC Medium" w:hAnsi="VIC Medium"/>
                        </w:rPr>
                        <w:t xml:space="preserve">a </w:t>
                      </w:r>
                      <w:r w:rsidRPr="001D17D1">
                        <w:rPr>
                          <w:rFonts w:ascii="VIC Medium" w:hAnsi="VIC Medium"/>
                        </w:rPr>
                        <w:t xml:space="preserve">chest X-ray </w:t>
                      </w:r>
                      <w:r>
                        <w:rPr>
                          <w:rFonts w:ascii="VIC Medium" w:hAnsi="VIC Medium"/>
                        </w:rPr>
                        <w:t>and</w:t>
                      </w:r>
                      <w:r w:rsidRPr="001D17D1">
                        <w:rPr>
                          <w:rFonts w:ascii="VIC Medium" w:hAnsi="VIC Medium"/>
                        </w:rPr>
                        <w:t xml:space="preserve"> the unexpected deterioration and death of a patient triggered a sentinel event at a health service.</w:t>
                      </w:r>
                    </w:p>
                    <w:p w14:paraId="4BF5CB74" w14:textId="77777777" w:rsidR="00D14F54" w:rsidRDefault="00D14F54" w:rsidP="00F8141A">
                      <w:pPr>
                        <w:pStyle w:val="PulloutText"/>
                      </w:pPr>
                      <w:r>
                        <w:t>“NGTs are an invasive medical intervention associated with a range of serious risks and all staff should maintain a high index of suspicion for complications in any patient with a NGT,” the Director Quality, Safety and Patient Experience at the health service said.</w:t>
                      </w:r>
                    </w:p>
                    <w:p w14:paraId="2F8AFF54" w14:textId="77777777" w:rsidR="00D14F54" w:rsidRDefault="00D14F54" w:rsidP="00F8141A">
                      <w:pPr>
                        <w:pStyle w:val="PulloutText"/>
                      </w:pPr>
                      <w:r>
                        <w:t xml:space="preserve">Reflective of the risks and available safety strategies associated with this procedure, the Australian Commission on Safety and Quality in Healthcare updated sentinel event categories to include </w:t>
                      </w:r>
                      <w:r w:rsidRPr="001D17D1">
                        <w:rPr>
                          <w:rFonts w:ascii="VIC Medium" w:hAnsi="VIC Medium"/>
                        </w:rPr>
                        <w:t>Category 10. Use of an incorrectly positioned oro- or naso-gastric tube resulting in serious harm or death</w:t>
                      </w:r>
                      <w:r>
                        <w:t>.</w:t>
                      </w:r>
                    </w:p>
                    <w:p w14:paraId="0271F95C" w14:textId="77777777" w:rsidR="00D14F54" w:rsidRDefault="00D14F54" w:rsidP="00F8141A">
                      <w:pPr>
                        <w:pStyle w:val="PulloutText"/>
                      </w:pPr>
                      <w:r>
                        <w:t>“Through the RCA process, it was identified the organisational 'Adult NGT Insertion and Management' procedure in place at the time of the sentinel event did not adequately support early recognition of patient deterioration following commencement of naso-gastric feeds. The procedure did not specify how medical staff should document confirmation of NGT placement or confirm suitability for commencement of NGT feeding in the patient’s medical record.</w:t>
                      </w:r>
                    </w:p>
                    <w:p w14:paraId="6977E89B" w14:textId="77777777" w:rsidR="00D14F54" w:rsidRDefault="00D14F54" w:rsidP="00F8141A">
                      <w:pPr>
                        <w:pStyle w:val="PulloutText"/>
                      </w:pPr>
                      <w:r>
                        <w:t>“At the time of this incident, there was no standardised organisational risk assessment of patient or environmental factors in relation to the timing of commencement of NGT feeds, or requirements for enhanced observation once NGT feeds commence.”</w:t>
                      </w:r>
                    </w:p>
                    <w:p w14:paraId="38236644" w14:textId="77777777" w:rsidR="00D14F54" w:rsidRDefault="00D14F54" w:rsidP="00F8141A">
                      <w:pPr>
                        <w:pStyle w:val="PulloutText"/>
                      </w:pPr>
                      <w:r>
                        <w:t>Once the RCA was completed, the relevant Divisional Director and Clinical Services Director presented the case to the Serious Adverse Events Committee, chaired by the Chief Medical Officer. The committee discussed approval of the recommendations arising from the RCA investigation process.</w:t>
                      </w:r>
                    </w:p>
                    <w:p w14:paraId="41171505" w14:textId="77777777" w:rsidR="00D14F54" w:rsidRDefault="00D14F54" w:rsidP="00F8141A">
                      <w:pPr>
                        <w:pStyle w:val="PulloutText"/>
                      </w:pPr>
                      <w:r>
                        <w:t>The RCA review has ultimately led to better practice being adopted across the service.</w:t>
                      </w:r>
                    </w:p>
                    <w:p w14:paraId="2D8E443F" w14:textId="77777777" w:rsidR="00D14F54" w:rsidRDefault="00D14F54" w:rsidP="00F8141A">
                      <w:pPr>
                        <w:pStyle w:val="PulloutText"/>
                      </w:pPr>
                      <w:r>
                        <w:t>“The Adult NGT Insertion and Management procedure was updated, specifically addressing the gaps the RCA investigation identified in the previous version. The updated Adult NGT Insertion and Management procedure was formally endorsed by the internal Safe Care Committee in September 2019.”</w:t>
                      </w:r>
                    </w:p>
                    <w:p w14:paraId="45DD0026" w14:textId="77777777" w:rsidR="00D14F54" w:rsidRDefault="00D14F54" w:rsidP="00F8141A">
                      <w:pPr>
                        <w:pStyle w:val="PulloutText"/>
                      </w:pPr>
                      <w:r>
                        <w:t xml:space="preserve">It has also resulted in improvements in staff education, and ultimately patient outcomes. </w:t>
                      </w:r>
                    </w:p>
                    <w:p w14:paraId="4A5B94C9" w14:textId="77777777" w:rsidR="00D14F54" w:rsidRDefault="00D14F54" w:rsidP="00F8141A">
                      <w:pPr>
                        <w:pStyle w:val="PulloutText"/>
                      </w:pPr>
                      <w:r>
                        <w:t>“To facilitate adoption of practices outlined in this procedure, education has been given at intern orientation, and medical Grand Round education sessions. The updated procedure is accessible to all staff on the organisational intranet site. Online education modules are currently under development for medical and nursing staff. The Serious Adverse Events Committee, and the Division of Quality, Safety and Patient Experience have provided oversight and assisted with completion of the recommendations from the RCA.”</w:t>
                      </w:r>
                    </w:p>
                  </w:txbxContent>
                </v:textbox>
                <w10:anchorlock/>
              </v:shape>
            </w:pict>
          </mc:Fallback>
        </mc:AlternateContent>
      </w:r>
    </w:p>
    <w:p w14:paraId="3667BAD6" w14:textId="77777777" w:rsidR="00F8141A" w:rsidRDefault="00F8141A">
      <w:r>
        <w:br w:type="page"/>
      </w:r>
    </w:p>
    <w:p w14:paraId="44777916" w14:textId="77777777" w:rsidR="00F8141A" w:rsidRDefault="00F8141A" w:rsidP="00E821C7">
      <w:pPr>
        <w:pStyle w:val="Heading1"/>
        <w:framePr w:wrap="around"/>
      </w:pPr>
      <w:r>
        <w:lastRenderedPageBreak/>
        <w:t>3. Improving</w:t>
      </w:r>
    </w:p>
    <w:p w14:paraId="366D1690" w14:textId="6EB759E1" w:rsidR="00F8141A" w:rsidRDefault="00F8141A" w:rsidP="00F8141A">
      <w:pPr>
        <w:pStyle w:val="IntroductoryText"/>
      </w:pPr>
      <w:r w:rsidRPr="00F8141A">
        <w:t xml:space="preserve">SCV has changed the way </w:t>
      </w:r>
      <w:r w:rsidR="00B36A1B">
        <w:t xml:space="preserve">it </w:t>
      </w:r>
      <w:r w:rsidRPr="00F8141A">
        <w:t>work</w:t>
      </w:r>
      <w:r w:rsidR="00B36A1B">
        <w:t>s</w:t>
      </w:r>
      <w:r w:rsidRPr="00F8141A">
        <w:t xml:space="preserve"> with health services to </w:t>
      </w:r>
      <w:r w:rsidR="00F9160E">
        <w:t>support their</w:t>
      </w:r>
      <w:r w:rsidRPr="00F8141A">
        <w:t xml:space="preserve"> progres</w:t>
      </w:r>
      <w:r w:rsidR="00F9160E">
        <w:t>s</w:t>
      </w:r>
      <w:r w:rsidRPr="00F8141A">
        <w:t xml:space="preserve"> after </w:t>
      </w:r>
      <w:r w:rsidR="00D83750">
        <w:t xml:space="preserve">a </w:t>
      </w:r>
      <w:r w:rsidRPr="00F8141A">
        <w:t xml:space="preserve">sentinel event review. After setting clear expectations, </w:t>
      </w:r>
      <w:r w:rsidR="00B36A1B">
        <w:t>we</w:t>
      </w:r>
      <w:r w:rsidRPr="00F8141A">
        <w:t xml:space="preserve"> received significantly </w:t>
      </w:r>
      <w:r w:rsidR="00B36A1B">
        <w:t xml:space="preserve">more </w:t>
      </w:r>
      <w:r w:rsidR="00F97854">
        <w:t>r</w:t>
      </w:r>
      <w:r w:rsidRPr="00F8141A">
        <w:t xml:space="preserve">isk </w:t>
      </w:r>
      <w:r w:rsidR="00F97854">
        <w:t>r</w:t>
      </w:r>
      <w:r w:rsidRPr="00F8141A">
        <w:t xml:space="preserve">eduction </w:t>
      </w:r>
      <w:r w:rsidR="00F97854">
        <w:t>a</w:t>
      </w:r>
      <w:r w:rsidRPr="00F8141A">
        <w:t xml:space="preserve">ction </w:t>
      </w:r>
      <w:r w:rsidR="00F97854">
        <w:t>p</w:t>
      </w:r>
      <w:r w:rsidRPr="00F8141A">
        <w:t xml:space="preserve">lan (RRAP) feedback reports this year. While this is encouraging, we will work to increase </w:t>
      </w:r>
      <w:r w:rsidR="00B43903">
        <w:t xml:space="preserve">this number further – </w:t>
      </w:r>
      <w:r w:rsidRPr="00F8141A">
        <w:t>using what has been learned from sentinel events and making the changes needed to prevent reoccurrence.</w:t>
      </w:r>
    </w:p>
    <w:p w14:paraId="1207566D" w14:textId="77777777" w:rsidR="00F8141A" w:rsidRDefault="00F8141A" w:rsidP="008B3C35">
      <w:r>
        <w:rPr>
          <w:noProof/>
        </w:rPr>
        <mc:AlternateContent>
          <mc:Choice Requires="wps">
            <w:drawing>
              <wp:inline distT="0" distB="0" distL="0" distR="0" wp14:anchorId="5B087744" wp14:editId="6ED455B9">
                <wp:extent cx="6300000" cy="1764000"/>
                <wp:effectExtent l="0" t="0" r="24765" b="25400"/>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0000" cy="1764000"/>
                        </a:xfrm>
                        <a:prstGeom prst="rect">
                          <a:avLst/>
                        </a:prstGeom>
                        <a:solidFill>
                          <a:schemeClr val="bg2"/>
                        </a:solidFill>
                        <a:ln w="6350">
                          <a:solidFill>
                            <a:schemeClr val="bg2"/>
                          </a:solidFill>
                          <a:miter lim="800000"/>
                          <a:headEnd/>
                          <a:tailEnd/>
                        </a:ln>
                      </wps:spPr>
                      <wps:txbx>
                        <w:txbxContent>
                          <w:p w14:paraId="3882F58F" w14:textId="77777777" w:rsidR="00D14F54" w:rsidRDefault="00D14F54" w:rsidP="00F8141A">
                            <w:pPr>
                              <w:pStyle w:val="PulloutText"/>
                            </w:pPr>
                            <w:r>
                              <w:t xml:space="preserve">Health services must submit a RRAP feedback report to SCV </w:t>
                            </w:r>
                            <w:r w:rsidRPr="00B43903">
                              <w:rPr>
                                <w:b/>
                              </w:rPr>
                              <w:t>three months</w:t>
                            </w:r>
                            <w:r>
                              <w:t xml:space="preserve"> after the RCA report was submitted.</w:t>
                            </w:r>
                          </w:p>
                          <w:p w14:paraId="13135288" w14:textId="77777777" w:rsidR="00D14F54" w:rsidRDefault="00D14F54" w:rsidP="00F8141A">
                            <w:pPr>
                              <w:pStyle w:val="PulloutText"/>
                            </w:pPr>
                            <w:r>
                              <w:t>This report includes:</w:t>
                            </w:r>
                          </w:p>
                          <w:p w14:paraId="6751F9B4" w14:textId="77777777" w:rsidR="00D14F54" w:rsidRDefault="00D14F54" w:rsidP="00B36A1B">
                            <w:pPr>
                              <w:pStyle w:val="PulloutText"/>
                              <w:numPr>
                                <w:ilvl w:val="0"/>
                                <w:numId w:val="12"/>
                              </w:numPr>
                            </w:pPr>
                            <w:r>
                              <w:t>progress in implementing the recommendations made in RCA reports</w:t>
                            </w:r>
                          </w:p>
                          <w:p w14:paraId="4EE56779" w14:textId="77777777" w:rsidR="00D14F54" w:rsidRDefault="00D14F54" w:rsidP="00B36A1B">
                            <w:pPr>
                              <w:pStyle w:val="PulloutText"/>
                              <w:numPr>
                                <w:ilvl w:val="0"/>
                                <w:numId w:val="12"/>
                              </w:numPr>
                            </w:pPr>
                            <w:r>
                              <w:t>evaluation of their impact on quality and safety.</w:t>
                            </w:r>
                          </w:p>
                          <w:p w14:paraId="51BF7B2D" w14:textId="1B9B8FB2" w:rsidR="00D14F54" w:rsidRDefault="00D14F54" w:rsidP="00F8141A">
                            <w:pPr>
                              <w:pStyle w:val="PulloutText"/>
                            </w:pPr>
                            <w:r>
                              <w:t>This is often referred to as ‘closing the loop’. It is an important opportunity for health services to share how they are providing safer, better healthcare as a result of lessons from a sentinel event.</w:t>
                            </w:r>
                          </w:p>
                          <w:p w14:paraId="39E54E9B" w14:textId="77777777" w:rsidR="00D14F54" w:rsidRDefault="00D14F54" w:rsidP="00F8141A">
                            <w:pPr>
                              <w:pStyle w:val="PulloutText"/>
                            </w:pPr>
                            <w:r>
                              <w:t>Occasionally, health services find some recommendations are ineffective or have unintended consequences. Finding out what doesn’t work is also important. RRAP feedback reports are an opportunity for health services to tell us what has worked and hasn’t worked, so that SCV can share these with other health services, where appropriate.</w:t>
                            </w:r>
                          </w:p>
                        </w:txbxContent>
                      </wps:txbx>
                      <wps:bodyPr rot="0" vert="horz" wrap="square" lIns="180000" tIns="180000" rIns="144000" bIns="36000" anchor="t" anchorCtr="0">
                        <a:spAutoFit/>
                      </wps:bodyPr>
                    </wps:wsp>
                  </a:graphicData>
                </a:graphic>
              </wp:inline>
            </w:drawing>
          </mc:Choice>
          <mc:Fallback>
            <w:pict>
              <v:shape w14:anchorId="5B087744" id="_x0000_s1036" type="#_x0000_t202" style="width:496.05pt;height:138.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1dkHwIAAE8EAAAOAAAAZHJzL2Uyb0RvYy54bWysVFFv0zAQfkfiP1h+p0nbUaao6TQ6ipDG&#10;QNr4AVfHaSxsn7HdJuXXc3a6boMnEHmw7uzzd999d87yajCaHaQPCm3Np5OSM2kFNsruav7tYfPm&#10;krMQwTag0cqaH2XgV6vXr5a9q+QMO9SN9IxAbKh6V/MuRlcVRRCdNBAm6KSlwxa9gUiu3xWNh57Q&#10;jS5mZbkoevSN8yhkCLR7Mx7yVcZvWynil7YNMjJdc+IW8+rzuk1rsVpCtfPgOiVONOAfWBhQlpKe&#10;oW4gAtt79QeUUcJjwDZOBJoC21YJmWugaqblb9Xcd+BkroXECe4sU/h/sOLu8NUz1dR8NufMgqEe&#10;Pcghsvc4sFmSp3ehoqh7R3FxoG1qcy41uFsU3wOzuO7A7uS199h3EhqiN003i2dXR5yQQLb9Z2wo&#10;DewjZqCh9SZpR2owQqc2Hc+tSVQEbS7mZfo4E3Q2fbe4SE7KAdXjdedD/CjRsGTU3FPvMzwcbkMc&#10;Qx9DUraAWjUbpXV20rzJtfbsADQp210uncBfRGnL+kTlbTkK8PcIRkUad61MzS/HgogYVEm1D7bJ&#10;dgSlR5vSa3uSMSk3ahiH7ZAbNs0CJI232BxJWI/jeNNzJKND/5Oznka75uHHHrzkTH+yqTk5NT2G&#10;F54fvYusLNtmb77ImoMVhFbzyNlormN+Qlk5d0193Kis8BOZE22a2tyj0wtLz+K5n6Oe/gOrXwAA&#10;AP//AwBQSwMEFAAGAAgAAAAhAA/HtjTcAAAABQEAAA8AAABkcnMvZG93bnJldi54bWxMj0FLw0AQ&#10;he+C/2EZwZvdNGDbxGyKCMWiIKSK5212TEJ3Z0N2msR/7+qlXgYe7/HeN8V2dlaMOITOk4LlIgGB&#10;VHvTUaPg4313twERWJPR1hMq+MYA2/L6qtC58RNVOB64EbGEQq4VtMx9LmWoW3Q6LHyPFL0vPzjN&#10;UQ6NNIOeYrmzMk2SlXS6o7jQ6h6fWqxPh7NT8DlWz9VLuj/tpv2rvV9NGb+xUer2Zn58AME48yUM&#10;v/gRHcrIdPRnMkFYBfER/rvRy7J0CeKoIF2vNyDLQv6nL38AAAD//wMAUEsBAi0AFAAGAAgAAAAh&#10;ALaDOJL+AAAA4QEAABMAAAAAAAAAAAAAAAAAAAAAAFtDb250ZW50X1R5cGVzXS54bWxQSwECLQAU&#10;AAYACAAAACEAOP0h/9YAAACUAQAACwAAAAAAAAAAAAAAAAAvAQAAX3JlbHMvLnJlbHNQSwECLQAU&#10;AAYACAAAACEAYKtXZB8CAABPBAAADgAAAAAAAAAAAAAAAAAuAgAAZHJzL2Uyb0RvYy54bWxQSwEC&#10;LQAUAAYACAAAACEAD8e2NNwAAAAFAQAADwAAAAAAAAAAAAAAAAB5BAAAZHJzL2Rvd25yZXYueG1s&#10;UEsFBgAAAAAEAAQA8wAAAIIFAAAAAA==&#10;" fillcolor="#edf5f7 [3214]" strokecolor="#edf5f7 [3214]" strokeweight=".5pt">
                <v:textbox style="mso-fit-shape-to-text:t" inset="5mm,5mm,4mm,1mm">
                  <w:txbxContent>
                    <w:p w14:paraId="3882F58F" w14:textId="77777777" w:rsidR="00D14F54" w:rsidRDefault="00D14F54" w:rsidP="00F8141A">
                      <w:pPr>
                        <w:pStyle w:val="PulloutText"/>
                      </w:pPr>
                      <w:r>
                        <w:t xml:space="preserve">Health services must submit a RRAP feedback report to SCV </w:t>
                      </w:r>
                      <w:r w:rsidRPr="00B43903">
                        <w:rPr>
                          <w:b/>
                        </w:rPr>
                        <w:t>three months</w:t>
                      </w:r>
                      <w:r>
                        <w:t xml:space="preserve"> after the RCA report was submitted.</w:t>
                      </w:r>
                    </w:p>
                    <w:p w14:paraId="13135288" w14:textId="77777777" w:rsidR="00D14F54" w:rsidRDefault="00D14F54" w:rsidP="00F8141A">
                      <w:pPr>
                        <w:pStyle w:val="PulloutText"/>
                      </w:pPr>
                      <w:r>
                        <w:t>This report includes:</w:t>
                      </w:r>
                    </w:p>
                    <w:p w14:paraId="6751F9B4" w14:textId="77777777" w:rsidR="00D14F54" w:rsidRDefault="00D14F54" w:rsidP="00B36A1B">
                      <w:pPr>
                        <w:pStyle w:val="PulloutText"/>
                        <w:numPr>
                          <w:ilvl w:val="0"/>
                          <w:numId w:val="12"/>
                        </w:numPr>
                      </w:pPr>
                      <w:r>
                        <w:t>progress in implementing the recommendations made in RCA reports</w:t>
                      </w:r>
                    </w:p>
                    <w:p w14:paraId="4EE56779" w14:textId="77777777" w:rsidR="00D14F54" w:rsidRDefault="00D14F54" w:rsidP="00B36A1B">
                      <w:pPr>
                        <w:pStyle w:val="PulloutText"/>
                        <w:numPr>
                          <w:ilvl w:val="0"/>
                          <w:numId w:val="12"/>
                        </w:numPr>
                      </w:pPr>
                      <w:r>
                        <w:t>evaluation of their impact on quality and safety.</w:t>
                      </w:r>
                    </w:p>
                    <w:p w14:paraId="51BF7B2D" w14:textId="1B9B8FB2" w:rsidR="00D14F54" w:rsidRDefault="00D14F54" w:rsidP="00F8141A">
                      <w:pPr>
                        <w:pStyle w:val="PulloutText"/>
                      </w:pPr>
                      <w:r>
                        <w:t>This is often referred to as ‘closing the loop’. It is an important opportunity for health services to share how they are providing safer, better healthcare as a result of lessons from a sentinel event.</w:t>
                      </w:r>
                    </w:p>
                    <w:p w14:paraId="39E54E9B" w14:textId="77777777" w:rsidR="00D14F54" w:rsidRDefault="00D14F54" w:rsidP="00F8141A">
                      <w:pPr>
                        <w:pStyle w:val="PulloutText"/>
                      </w:pPr>
                      <w:r>
                        <w:t>Occasionally, health services find some recommendations are ineffective or have unintended consequences. Finding out what doesn’t work is also important. RRAP feedback reports are an opportunity for health services to tell us what has worked and hasn’t worked, so that SCV can share these with other health services, where appropriate.</w:t>
                      </w:r>
                    </w:p>
                  </w:txbxContent>
                </v:textbox>
                <w10:anchorlock/>
              </v:shape>
            </w:pict>
          </mc:Fallback>
        </mc:AlternateContent>
      </w:r>
    </w:p>
    <w:p w14:paraId="2D05614F" w14:textId="77777777" w:rsidR="00F8141A" w:rsidRDefault="00F8141A" w:rsidP="00F8141A">
      <w:pPr>
        <w:pStyle w:val="Heading2"/>
      </w:pPr>
      <w:r>
        <w:t>How health services improved</w:t>
      </w:r>
    </w:p>
    <w:p w14:paraId="4272D4BD" w14:textId="0F0E5D40" w:rsidR="00F8141A" w:rsidRDefault="00F8141A" w:rsidP="00F8141A">
      <w:pPr>
        <w:pStyle w:val="Normalfollowingheading"/>
      </w:pPr>
      <w:r>
        <w:t>During 2016–17</w:t>
      </w:r>
      <w:r w:rsidR="00D83750">
        <w:t>,</w:t>
      </w:r>
      <w:r>
        <w:t xml:space="preserve"> SCV received just two RRAP feedback reports (3</w:t>
      </w:r>
      <w:r w:rsidR="00D83750">
        <w:t xml:space="preserve"> per cent</w:t>
      </w:r>
      <w:r>
        <w:t>). In 2017–18 that increased to 42 (35</w:t>
      </w:r>
      <w:r w:rsidR="00D83750">
        <w:t xml:space="preserve"> per cent</w:t>
      </w:r>
      <w:r>
        <w:t xml:space="preserve">). This year we received 65 </w:t>
      </w:r>
      <w:r w:rsidR="00F9160E">
        <w:t>(53</w:t>
      </w:r>
      <w:r w:rsidR="00D83750">
        <w:t xml:space="preserve"> per cent</w:t>
      </w:r>
      <w:r w:rsidR="00F9160E">
        <w:t xml:space="preserve">) </w:t>
      </w:r>
      <w:r>
        <w:t>reports.</w:t>
      </w:r>
    </w:p>
    <w:p w14:paraId="4A58239C" w14:textId="77777777" w:rsidR="00F8141A" w:rsidRDefault="00F8141A" w:rsidP="00F8141A">
      <w:r>
        <w:t>Although this is a significant improvement</w:t>
      </w:r>
      <w:r w:rsidR="00F9160E">
        <w:t xml:space="preserve"> over time</w:t>
      </w:r>
      <w:r>
        <w:t xml:space="preserve">, we still don’t know the outcome of half the recommendations made from RCA reviews. This is not to say </w:t>
      </w:r>
      <w:r w:rsidR="00F9160E">
        <w:t xml:space="preserve">that </w:t>
      </w:r>
      <w:r>
        <w:t xml:space="preserve">recommendations were not implemented or that the subsequent safety improvements were not effective. However, </w:t>
      </w:r>
      <w:r w:rsidR="00B43903">
        <w:t xml:space="preserve">we are </w:t>
      </w:r>
      <w:r>
        <w:t>miss</w:t>
      </w:r>
      <w:r w:rsidR="00B43903">
        <w:t>ing</w:t>
      </w:r>
      <w:r>
        <w:t xml:space="preserve"> opportunit</w:t>
      </w:r>
      <w:r w:rsidR="00B43903">
        <w:t xml:space="preserve">ies </w:t>
      </w:r>
      <w:r>
        <w:t>to understand which recommendations are effective (or ineffective) in improving safety. It also means we have fewer opportunities to shar</w:t>
      </w:r>
      <w:r w:rsidR="00B36A1B">
        <w:t>e</w:t>
      </w:r>
      <w:r>
        <w:t xml:space="preserve"> patient safety initiatives with other health services. We will continue to work with health services to improve the number and quality of RRAP feedback reports submitted.</w:t>
      </w:r>
    </w:p>
    <w:p w14:paraId="325B066B" w14:textId="77777777" w:rsidR="00B43903" w:rsidRDefault="00B43903">
      <w:pPr>
        <w:rPr>
          <w:rFonts w:ascii="VIC SemiBold" w:eastAsiaTheme="majorEastAsia" w:hAnsi="VIC SemiBold" w:cstheme="majorBidi"/>
          <w:bCs/>
          <w:color w:val="000000" w:themeColor="text1"/>
          <w:sz w:val="24"/>
          <w:szCs w:val="22"/>
        </w:rPr>
      </w:pPr>
      <w:r>
        <w:br w:type="page"/>
      </w:r>
    </w:p>
    <w:p w14:paraId="6911FC2D" w14:textId="77777777" w:rsidR="00F8141A" w:rsidRDefault="00F8141A" w:rsidP="00F8141A">
      <w:pPr>
        <w:pStyle w:val="Heading3"/>
      </w:pPr>
      <w:r>
        <w:lastRenderedPageBreak/>
        <w:t>Improving the quality of reviews and reports</w:t>
      </w:r>
    </w:p>
    <w:p w14:paraId="72044B39" w14:textId="55592D3A" w:rsidR="00F8141A" w:rsidRDefault="00F8141A" w:rsidP="00F8141A">
      <w:pPr>
        <w:pStyle w:val="Normalfollowingheading"/>
      </w:pPr>
      <w:r>
        <w:t>Of 120 RCA reports submitted, SCV completed a quality assurance assessment on 116 (98</w:t>
      </w:r>
      <w:r w:rsidR="00F9160E">
        <w:t xml:space="preserve"> per cent</w:t>
      </w:r>
      <w:r>
        <w:t xml:space="preserve">). Only two reports </w:t>
      </w:r>
      <w:r w:rsidR="00F9160E">
        <w:t xml:space="preserve">did not meet the minimum standard so </w:t>
      </w:r>
      <w:r>
        <w:t>required further review</w:t>
      </w:r>
      <w:r w:rsidR="00B43903">
        <w:t xml:space="preserve">, compared </w:t>
      </w:r>
      <w:r>
        <w:t>to 14</w:t>
      </w:r>
      <w:r w:rsidR="00F9160E">
        <w:t xml:space="preserve"> (2 per cent)</w:t>
      </w:r>
      <w:r>
        <w:t xml:space="preserve"> the previous year. This suggests that health services are </w:t>
      </w:r>
      <w:r w:rsidR="0007217A">
        <w:t xml:space="preserve">getting better, </w:t>
      </w:r>
      <w:r>
        <w:t>undertaking more robust reviews that result in safer systems of care.</w:t>
      </w:r>
    </w:p>
    <w:p w14:paraId="29C6B3BB" w14:textId="77777777" w:rsidR="00F8141A" w:rsidRDefault="00F8141A" w:rsidP="00F8141A">
      <w:r>
        <w:t xml:space="preserve">This process also gives us the opportunity to provide feedback to health services about their strengths and how they can improve future reviews. We provided this feedback within an average of eight weeks </w:t>
      </w:r>
      <w:r w:rsidR="0007217A">
        <w:t>of</w:t>
      </w:r>
      <w:r>
        <w:t xml:space="preserve"> health services submitt</w:t>
      </w:r>
      <w:r w:rsidR="0007217A">
        <w:t>ing</w:t>
      </w:r>
      <w:r>
        <w:t xml:space="preserve"> their RCA reports.</w:t>
      </w:r>
    </w:p>
    <w:p w14:paraId="46E9E7AC" w14:textId="77777777" w:rsidR="00F8141A" w:rsidRDefault="00F8141A" w:rsidP="00F8141A">
      <w:pPr>
        <w:pStyle w:val="Heading3"/>
      </w:pPr>
      <w:r>
        <w:t>Reviewing sentinel events in private health services</w:t>
      </w:r>
    </w:p>
    <w:p w14:paraId="16698A0D" w14:textId="77777777" w:rsidR="00F8141A" w:rsidRDefault="00B43903" w:rsidP="00F8141A">
      <w:pPr>
        <w:pStyle w:val="Normalfollowingheading"/>
      </w:pPr>
      <w:r>
        <w:t>Corresponding with legislative changes that mandated sentinel event notifications</w:t>
      </w:r>
      <w:r w:rsidR="0007217A">
        <w:t xml:space="preserve"> for all health services</w:t>
      </w:r>
      <w:r>
        <w:t>, t</w:t>
      </w:r>
      <w:r w:rsidR="00F8141A">
        <w:t>he number of sentinel events reported from private health services increased significantly this year.</w:t>
      </w:r>
    </w:p>
    <w:p w14:paraId="69E1E305" w14:textId="77777777" w:rsidR="00384FA4" w:rsidRPr="00F9160E" w:rsidRDefault="00F8141A" w:rsidP="00384FA4">
      <w:pPr>
        <w:pStyle w:val="Tablechartdiagramheading"/>
        <w:spacing w:before="0"/>
      </w:pPr>
      <w:r>
        <w:t>Figure 12: Number of sentinel events reported public compared with private health services</w:t>
      </w:r>
      <w:r w:rsidR="00B36A1B">
        <w:t xml:space="preserve"> </w:t>
      </w:r>
    </w:p>
    <w:p w14:paraId="19CF2FE7" w14:textId="77777777" w:rsidR="00384FA4" w:rsidRDefault="00384FA4" w:rsidP="008B3C35">
      <w:r>
        <w:rPr>
          <w:noProof/>
        </w:rPr>
        <w:drawing>
          <wp:inline distT="0" distB="0" distL="0" distR="0" wp14:anchorId="296E76F5" wp14:editId="0DD67058">
            <wp:extent cx="6300000" cy="2484000"/>
            <wp:effectExtent l="0" t="0" r="5715" b="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3C6D78C6" w14:textId="77777777" w:rsidR="00F8141A" w:rsidRDefault="00F8141A" w:rsidP="00F8141A">
      <w:r>
        <w:t>There was no obvious difference in the pattern of events reported from the private sector. Only two sentinel event reviews had a consumer on the RCA panel</w:t>
      </w:r>
      <w:r w:rsidR="00B36A1B">
        <w:t>. A</w:t>
      </w:r>
      <w:r>
        <w:t>nd there were some delays in preparing reports, with only three being submitted within the required timeframe.</w:t>
      </w:r>
    </w:p>
    <w:p w14:paraId="4EBF2530" w14:textId="77777777" w:rsidR="00F8141A" w:rsidRDefault="00F8141A" w:rsidP="00F8141A">
      <w:r>
        <w:t>There was no apparent difference in the sentinel event types reported. The admitting specialty was more likely to be a surgical specialty, which may reflect the skew towards procedural work in the private sector.</w:t>
      </w:r>
    </w:p>
    <w:p w14:paraId="16027370" w14:textId="77777777" w:rsidR="00B43903" w:rsidRDefault="00F8141A">
      <w:pPr>
        <w:rPr>
          <w:rFonts w:ascii="VIC SemiBold" w:eastAsiaTheme="majorEastAsia" w:hAnsi="VIC SemiBold" w:cstheme="majorBidi"/>
          <w:bCs/>
          <w:caps/>
          <w:color w:val="007586" w:themeColor="text2"/>
          <w:sz w:val="24"/>
          <w:szCs w:val="26"/>
        </w:rPr>
      </w:pPr>
      <w:r>
        <w:t xml:space="preserve">Most private hospitals have well established and robust systems of reviewing sentinel events, which are generally consistent with </w:t>
      </w:r>
      <w:r w:rsidR="00B36A1B">
        <w:t>SCV</w:t>
      </w:r>
      <w:r>
        <w:t xml:space="preserve"> requirements, and some have the support of national quality and safety teams. With support </w:t>
      </w:r>
      <w:r w:rsidR="00B36A1B">
        <w:t xml:space="preserve">from </w:t>
      </w:r>
      <w:r>
        <w:t xml:space="preserve">the Department of Health and Human Services Private Hospitals Unit, we will continue to remind private health services of their obligation to notify sentinel events to SCV. </w:t>
      </w:r>
      <w:r w:rsidR="00B43903">
        <w:t xml:space="preserve">We </w:t>
      </w:r>
      <w:r>
        <w:t>offer the same support and advice regarding sentinel events to all health services, regardless of whether they are public or private.</w:t>
      </w:r>
      <w:r w:rsidR="00B43903">
        <w:br w:type="page"/>
      </w:r>
    </w:p>
    <w:p w14:paraId="771350B9" w14:textId="77777777" w:rsidR="00F8141A" w:rsidRDefault="00F8141A" w:rsidP="00F8141A">
      <w:pPr>
        <w:pStyle w:val="Heading2"/>
      </w:pPr>
      <w:r>
        <w:lastRenderedPageBreak/>
        <w:t>The year ahead</w:t>
      </w:r>
    </w:p>
    <w:p w14:paraId="3B0CBC86" w14:textId="225D26D2" w:rsidR="0007217A" w:rsidRPr="0007217A" w:rsidRDefault="0007217A" w:rsidP="0007217A">
      <w:pPr>
        <w:pStyle w:val="Normalfollowingheading"/>
      </w:pPr>
      <w:r>
        <w:t xml:space="preserve">Throughout </w:t>
      </w:r>
      <w:r w:rsidR="00A81709">
        <w:t>2018-19,</w:t>
      </w:r>
      <w:r>
        <w:t xml:space="preserve"> we have been listening carefully to patients and their families, clinicians and health services. In response to what they have said</w:t>
      </w:r>
      <w:r w:rsidR="00A81709">
        <w:t>,</w:t>
      </w:r>
      <w:r>
        <w:t xml:space="preserve"> we will implement </w:t>
      </w:r>
      <w:proofErr w:type="gramStart"/>
      <w:r>
        <w:t>a number of</w:t>
      </w:r>
      <w:proofErr w:type="gramEnd"/>
      <w:r>
        <w:t xml:space="preserve"> improvements.</w:t>
      </w:r>
    </w:p>
    <w:p w14:paraId="72A92922" w14:textId="77777777" w:rsidR="00F8141A" w:rsidRDefault="00F8141A" w:rsidP="00F8141A">
      <w:pPr>
        <w:pStyle w:val="Heading3"/>
      </w:pPr>
      <w:r>
        <w:t xml:space="preserve">Incident review training </w:t>
      </w:r>
    </w:p>
    <w:p w14:paraId="5E9BEFFE" w14:textId="77777777" w:rsidR="00B43903" w:rsidRDefault="00F8141A" w:rsidP="00F8141A">
      <w:pPr>
        <w:pStyle w:val="Normalfollowingheading"/>
      </w:pPr>
      <w:r>
        <w:t>SCV is diversifying its incident review training in 2020</w:t>
      </w:r>
      <w:r w:rsidR="0007217A">
        <w:t>,</w:t>
      </w:r>
      <w:r>
        <w:t xml:space="preserve"> with updated and contemporary adverse event review </w:t>
      </w:r>
      <w:r w:rsidRPr="00B32F85">
        <w:t>methodologies, including RCA</w:t>
      </w:r>
      <w:r w:rsidRPr="00B32F85">
        <w:rPr>
          <w:rFonts w:ascii="Cambria" w:hAnsi="Cambria" w:cs="Cambria"/>
        </w:rPr>
        <w:t>²</w:t>
      </w:r>
      <w:r w:rsidRPr="00B32F85">
        <w:t>, London</w:t>
      </w:r>
      <w:r>
        <w:t xml:space="preserve"> Protocol and </w:t>
      </w:r>
      <w:proofErr w:type="spellStart"/>
      <w:r>
        <w:t>AcciMap</w:t>
      </w:r>
      <w:proofErr w:type="spellEnd"/>
      <w:r>
        <w:t>. We will offer training in managing cognitive bias and cognitive interviewing method</w:t>
      </w:r>
      <w:r w:rsidR="0007217A">
        <w:t>s</w:t>
      </w:r>
      <w:r>
        <w:t xml:space="preserve">. </w:t>
      </w:r>
      <w:r w:rsidR="008B2C83">
        <w:t>We</w:t>
      </w:r>
      <w:r w:rsidR="0007217A">
        <w:t xml:space="preserve"> </w:t>
      </w:r>
      <w:r>
        <w:t xml:space="preserve">will also pilot a train-the-trainer program in just culture to </w:t>
      </w:r>
      <w:r w:rsidR="0007217A">
        <w:t>better support</w:t>
      </w:r>
      <w:r>
        <w:t xml:space="preserve"> health services to deliver their own training on this important topic. </w:t>
      </w:r>
    </w:p>
    <w:p w14:paraId="1F52B9D1" w14:textId="77777777" w:rsidR="00F8141A" w:rsidRDefault="00F8141A" w:rsidP="00F8141A">
      <w:pPr>
        <w:pStyle w:val="Normalfollowingheading"/>
      </w:pPr>
      <w:r>
        <w:t xml:space="preserve">This diversified training </w:t>
      </w:r>
      <w:r w:rsidR="0007217A">
        <w:t>is aimed at</w:t>
      </w:r>
      <w:r w:rsidR="00B43903">
        <w:t>:</w:t>
      </w:r>
    </w:p>
    <w:p w14:paraId="43AF58E6" w14:textId="77777777" w:rsidR="00F8141A" w:rsidRDefault="00F8141A" w:rsidP="00F8141A">
      <w:pPr>
        <w:pStyle w:val="Bullet1"/>
      </w:pPr>
      <w:r>
        <w:t>enhanc</w:t>
      </w:r>
      <w:r w:rsidR="0007217A">
        <w:t>ing</w:t>
      </w:r>
      <w:r>
        <w:t xml:space="preserve"> the capability of health services to conduct robust reviews of sentinel events and other adverse patient safety events</w:t>
      </w:r>
    </w:p>
    <w:p w14:paraId="38F23E74" w14:textId="77777777" w:rsidR="00F8141A" w:rsidRDefault="00F8141A" w:rsidP="00F8141A">
      <w:pPr>
        <w:pStyle w:val="Bullet1"/>
      </w:pPr>
      <w:r>
        <w:t>provid</w:t>
      </w:r>
      <w:r w:rsidR="0007217A">
        <w:t>ing</w:t>
      </w:r>
      <w:r>
        <w:t xml:space="preserve"> health services with a choice of review methods that may provide a more effective approach to reviewing specific types of sentinel events</w:t>
      </w:r>
    </w:p>
    <w:p w14:paraId="4052CC3F" w14:textId="77777777" w:rsidR="00F8141A" w:rsidRDefault="00B43903" w:rsidP="00F8141A">
      <w:pPr>
        <w:pStyle w:val="Bullet1"/>
      </w:pPr>
      <w:r>
        <w:t>help</w:t>
      </w:r>
      <w:r w:rsidR="0007217A">
        <w:t>ing</w:t>
      </w:r>
      <w:r w:rsidR="00F8141A">
        <w:t xml:space="preserve"> review teams</w:t>
      </w:r>
      <w:r>
        <w:t xml:space="preserve"> understand</w:t>
      </w:r>
      <w:r w:rsidR="00F8141A">
        <w:t xml:space="preserve"> the role of cognitive bias as a contributing factor to sentinel events, as well as helping to manage their own bias in review processes</w:t>
      </w:r>
    </w:p>
    <w:p w14:paraId="43725A23" w14:textId="77777777" w:rsidR="00F8141A" w:rsidRDefault="00F8141A" w:rsidP="00F8141A">
      <w:pPr>
        <w:pStyle w:val="Bullet1"/>
      </w:pPr>
      <w:r>
        <w:t>help</w:t>
      </w:r>
      <w:r w:rsidR="0007217A">
        <w:t>ing</w:t>
      </w:r>
      <w:r>
        <w:t xml:space="preserve"> ensure interviews conducted during review processes better capture the memory, perceptions and understanding of those involved in the sentinel event and minimise the influence of the interviewer</w:t>
      </w:r>
    </w:p>
    <w:p w14:paraId="14F8D4F9" w14:textId="5475498D" w:rsidR="00F8141A" w:rsidRDefault="00F8141A" w:rsidP="00F8141A">
      <w:pPr>
        <w:pStyle w:val="Bullet1"/>
      </w:pPr>
      <w:r>
        <w:t>promot</w:t>
      </w:r>
      <w:r w:rsidR="0007217A">
        <w:t>ing</w:t>
      </w:r>
      <w:r>
        <w:t xml:space="preserve"> a more balanced, systems-oriented approach to reviewing sentinel events and tackl</w:t>
      </w:r>
      <w:r w:rsidR="005C2A04">
        <w:t>ing</w:t>
      </w:r>
      <w:r>
        <w:t xml:space="preserve"> the problem of blame when sentinel events occur</w:t>
      </w:r>
    </w:p>
    <w:p w14:paraId="290F0949" w14:textId="77777777" w:rsidR="00F8141A" w:rsidRDefault="00F8141A" w:rsidP="00F8141A">
      <w:pPr>
        <w:pStyle w:val="Bullet1"/>
      </w:pPr>
      <w:r>
        <w:t>contribut</w:t>
      </w:r>
      <w:r w:rsidR="0007217A">
        <w:t>ing</w:t>
      </w:r>
      <w:r>
        <w:t xml:space="preserve"> to a safer environment for reporting adverse events for health service staff and consumers.</w:t>
      </w:r>
    </w:p>
    <w:p w14:paraId="40E3EB2B" w14:textId="77777777" w:rsidR="00F8141A" w:rsidRDefault="00F8141A" w:rsidP="00F8141A">
      <w:r>
        <w:t xml:space="preserve">By strengthening knowledge and skills in these areas, we believe there will be an even stronger focus </w:t>
      </w:r>
      <w:r w:rsidR="00B43903">
        <w:t>on continually improving</w:t>
      </w:r>
      <w:r>
        <w:t xml:space="preserve"> the quality and safety of healthcare provided to patients, carers and their families.</w:t>
      </w:r>
    </w:p>
    <w:p w14:paraId="02C1AC90" w14:textId="77777777" w:rsidR="00F8141A" w:rsidRDefault="00F8141A" w:rsidP="00F8141A">
      <w:pPr>
        <w:pStyle w:val="Heading3"/>
      </w:pPr>
      <w:r>
        <w:t>Revised recommendation monitoring</w:t>
      </w:r>
    </w:p>
    <w:p w14:paraId="5B05BEEB" w14:textId="77777777" w:rsidR="00F8141A" w:rsidRDefault="00F8141A" w:rsidP="00F8141A">
      <w:pPr>
        <w:pStyle w:val="Normalfollowingheading"/>
      </w:pPr>
      <w:r>
        <w:t xml:space="preserve">SCV is launching a new process for monitoring the implementation of recommendations. This will help provide greater transparency of follow through on recommended actions from sentinel event reviews and assurance of safer systems of care as a result. </w:t>
      </w:r>
    </w:p>
    <w:p w14:paraId="067A1678" w14:textId="77777777" w:rsidR="00F8141A" w:rsidRDefault="00F8141A" w:rsidP="00F8141A">
      <w:r>
        <w:t>Based on their feedback and the challenges they face in implementing change in complex systems, health services will be given more time (120 business days or six months) from the date of sentinel event notification to submit a recommendation monitoring report. This has replaced the RRAP feedback report and has been designed to better capture the lessons learned from implementing RCA report recommendations, including what worked, what didn’t work and what had to be done differently.</w:t>
      </w:r>
    </w:p>
    <w:p w14:paraId="14BC9C97" w14:textId="77777777" w:rsidR="00F8141A" w:rsidRDefault="00F8141A">
      <w:r>
        <w:t>SCV will also pilot a program in which a random sample of recommendation monitoring reports will be audited for evidence that the recommendations have been implemented and their impact on quality and safety evaluated.</w:t>
      </w:r>
      <w:r w:rsidR="00B43903">
        <w:t xml:space="preserve"> </w:t>
      </w:r>
      <w:r>
        <w:br w:type="page"/>
      </w:r>
    </w:p>
    <w:p w14:paraId="22CFF9AA" w14:textId="77777777" w:rsidR="00F8141A" w:rsidRDefault="00F8141A" w:rsidP="00F8141A">
      <w:pPr>
        <w:spacing w:before="0" w:after="0" w:line="240" w:lineRule="auto"/>
      </w:pPr>
      <w:r>
        <w:rPr>
          <w:noProof/>
        </w:rPr>
        <w:lastRenderedPageBreak/>
        <mc:AlternateContent>
          <mc:Choice Requires="wps">
            <w:drawing>
              <wp:inline distT="0" distB="0" distL="0" distR="0" wp14:anchorId="433A68B3" wp14:editId="76F729AB">
                <wp:extent cx="6300000" cy="7799695"/>
                <wp:effectExtent l="0" t="0" r="24765" b="11430"/>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0000" cy="7799695"/>
                        </a:xfrm>
                        <a:prstGeom prst="rect">
                          <a:avLst/>
                        </a:prstGeom>
                        <a:solidFill>
                          <a:schemeClr val="bg2"/>
                        </a:solidFill>
                        <a:ln w="6350">
                          <a:solidFill>
                            <a:schemeClr val="bg2"/>
                          </a:solidFill>
                          <a:miter lim="800000"/>
                          <a:headEnd/>
                          <a:tailEnd/>
                        </a:ln>
                      </wps:spPr>
                      <wps:txbx>
                        <w:txbxContent>
                          <w:p w14:paraId="2106C337" w14:textId="77777777" w:rsidR="00D14F54" w:rsidRDefault="00D14F54" w:rsidP="00F8141A">
                            <w:pPr>
                              <w:pStyle w:val="PulloutHeading"/>
                            </w:pPr>
                            <w:r>
                              <w:t>Spotlight on just culture</w:t>
                            </w:r>
                          </w:p>
                          <w:p w14:paraId="1B7BE741" w14:textId="77777777" w:rsidR="00D14F54" w:rsidRDefault="00D14F54" w:rsidP="00F8141A">
                            <w:pPr>
                              <w:pStyle w:val="PulloutText"/>
                            </w:pPr>
                            <w:r>
                              <w:t>Reviews of sentinel events and other adverse patient safety events in healthcare are often hampered by a subtle but pervasive culture of blame. This includes naming, shaming, blaming, re-training and sometimes even firing individuals thought to be responsible for the occurrence of the event. Consequently, any system factors that contributed to the adverse event often remain hidden. They are not addressed and potentially put future patients at risk. A culture of blame also means that important opportunities to learn, improve and restore trust in our healthcare system are missed. As evident in Anthony’s experience (page 1), trust in our systems of care and in each other are often shaken or damaged.</w:t>
                            </w:r>
                          </w:p>
                          <w:p w14:paraId="7B636D05" w14:textId="77777777" w:rsidR="00D14F54" w:rsidRDefault="00D14F54" w:rsidP="00F8141A">
                            <w:pPr>
                              <w:pStyle w:val="PulloutText"/>
                            </w:pPr>
                            <w:r>
                              <w:t>Just culture offers a very different perspective. Often viewed as a key component of safety culture, just culture balances accountability between the organisation and individuals:</w:t>
                            </w:r>
                          </w:p>
                          <w:p w14:paraId="305A52CD" w14:textId="3BA2D43F" w:rsidR="00D14F54" w:rsidRDefault="00D14F54" w:rsidP="00CF4B3C">
                            <w:pPr>
                              <w:pStyle w:val="PulloutText"/>
                              <w:numPr>
                                <w:ilvl w:val="0"/>
                                <w:numId w:val="16"/>
                              </w:numPr>
                            </w:pPr>
                            <w:r>
                              <w:t>The organisation is accountable to provide systems and processes that set clinical care up for success</w:t>
                            </w:r>
                          </w:p>
                          <w:p w14:paraId="1427513A" w14:textId="773DDFDE" w:rsidR="00D14F54" w:rsidRDefault="00D14F54" w:rsidP="00CF4B3C">
                            <w:pPr>
                              <w:pStyle w:val="PulloutText"/>
                              <w:numPr>
                                <w:ilvl w:val="0"/>
                                <w:numId w:val="16"/>
                              </w:numPr>
                            </w:pPr>
                            <w:r>
                              <w:t>Senior leaders are accountable for making safety a priority and ensuring adverse events are reviewed fairly</w:t>
                            </w:r>
                          </w:p>
                          <w:p w14:paraId="4363CDE0" w14:textId="77777777" w:rsidR="00D14F54" w:rsidRDefault="00D14F54" w:rsidP="00CF4B3C">
                            <w:pPr>
                              <w:pStyle w:val="PulloutText"/>
                              <w:numPr>
                                <w:ilvl w:val="0"/>
                                <w:numId w:val="16"/>
                              </w:numPr>
                            </w:pPr>
                            <w:r>
                              <w:t xml:space="preserve">Individuals are expected to come to work with good intention and fit for duty. </w:t>
                            </w:r>
                          </w:p>
                          <w:p w14:paraId="66DDDFDE" w14:textId="77777777" w:rsidR="00D14F54" w:rsidRDefault="00D14F54" w:rsidP="00CF4B3C">
                            <w:pPr>
                              <w:pStyle w:val="PulloutText"/>
                            </w:pPr>
                            <w:r>
                              <w:t>Most importantly, a just culture emphasises that making mistakes is a normal and expected part of being human. We all make mistakes.</w:t>
                            </w:r>
                          </w:p>
                          <w:p w14:paraId="68E22B27" w14:textId="77777777" w:rsidR="00D14F54" w:rsidRDefault="00D14F54" w:rsidP="00F8141A">
                            <w:pPr>
                              <w:pStyle w:val="PulloutText"/>
                            </w:pPr>
                            <w:r>
                              <w:t>When applying a just culture approach to reviewing sentinel events, subtle expression of blame culture can be avoided by asking different types of questions: ‘what are my biases?’, ‘what made sense to those involved at the time?’, ‘were staff in the event set up for success by the system?’, ‘what needs to be done to improve?’ and ‘how do we share our lessons and restore trust?‘</w:t>
                            </w:r>
                          </w:p>
                          <w:p w14:paraId="479E5966" w14:textId="03068733" w:rsidR="00D14F54" w:rsidRDefault="00D14F54" w:rsidP="00F8141A">
                            <w:pPr>
                              <w:pStyle w:val="PulloutText"/>
                            </w:pPr>
                            <w:r>
                              <w:t>Consciously managing each other’s biases is critical to limit the influence of unspoken assumptions, avoid blame, and keep an open mind. It requires systems thinking that emphasises that adverse events are usually the result of multiple coincidental system deficiencies, not solely from individual failure.</w:t>
                            </w:r>
                          </w:p>
                          <w:p w14:paraId="20D87CEB" w14:textId="77777777" w:rsidR="00D14F54" w:rsidRDefault="00D14F54" w:rsidP="00F8141A">
                            <w:pPr>
                              <w:pStyle w:val="PulloutText"/>
                            </w:pPr>
                            <w:r>
                              <w:t>There is a specific focus on those affected by an adverse event: patients and their family/carers, clinical staff, the broader organisation and community. It requires practical attention to meeting their needs and undertaking the work needed to restore their trust in the health service and the broader healthcare system.</w:t>
                            </w:r>
                          </w:p>
                          <w:p w14:paraId="2C3CF533" w14:textId="2C7D6F98" w:rsidR="00D14F54" w:rsidRDefault="00D14F54" w:rsidP="00F8141A">
                            <w:pPr>
                              <w:pStyle w:val="PulloutText"/>
                            </w:pPr>
                            <w:r>
                              <w:t>A just culture promotes an environment where both staff and consumers feel safer to speak up, report errors and help the organisation to learn from mistakes. It can give consumers like Anthony and his family greater confidence that, when a sentinel event occurs, what went wrong and why is understood and communicated openly, and effective changes are made to prevent it from happening to someone else.</w:t>
                            </w:r>
                          </w:p>
                          <w:p w14:paraId="3997775A" w14:textId="77777777" w:rsidR="00D14F54" w:rsidRDefault="00D14F54" w:rsidP="00F8141A">
                            <w:pPr>
                              <w:pStyle w:val="PulloutText"/>
                            </w:pPr>
                            <w:r>
                              <w:t>Just culture is central to SCV’s sentinel event program. Taking a just culture approach is not easy, but it is necessary if we want to get the most out of sentinel event reviews and improve the safety of care.</w:t>
                            </w:r>
                          </w:p>
                        </w:txbxContent>
                      </wps:txbx>
                      <wps:bodyPr rot="0" vert="horz" wrap="square" lIns="180000" tIns="180000" rIns="144000" bIns="36000" anchor="t" anchorCtr="0">
                        <a:noAutofit/>
                      </wps:bodyPr>
                    </wps:wsp>
                  </a:graphicData>
                </a:graphic>
              </wp:inline>
            </w:drawing>
          </mc:Choice>
          <mc:Fallback>
            <w:pict>
              <v:shape w14:anchorId="433A68B3" id="_x0000_s1037" type="#_x0000_t202" style="width:496.05pt;height:6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0wIgIAAE8EAAAOAAAAZHJzL2Uyb0RvYy54bWysVM1u2zAMvg/YOwi6L3bSNG2MOEWXrsOA&#10;7gdo9wCyJMfCJFGTlNjZ05eS07TdThvmg0BK5EfyI+nV1WA02UsfFNiaTiclJdJyEMpua/r94fbd&#10;JSUhMiuYBitrepCBXq3fvln1rpIz6EAL6QmC2FD1rqZdjK4qisA7aViYgJMWH1vwhkVU/bYQnvWI&#10;bnQxK8tF0YMXzgOXIeDtzfhI1xm/bSWPX9s2yEh0TTG3mE+fzyadxXrFqq1nrlP8mAb7hywMUxaD&#10;nqBuWGRk59UfUEZxDwHaOOFgCmhbxWWuAauZlr9Vc98xJ3MtSE5wJ5rC/4PlX/bfPFGiprM5JZYZ&#10;7NGDHCJ5DwOZJXp6Fyq0undoFwe8xjbnUoO7A/4jEAubjtmtvPYe+k4ygelNk2fxwnXECQmk6T+D&#10;wDBsFyEDDa03iTtkgyA6tulwak1KhePl4qxMHyUc3y4ulsvF8jzHYNWTu/MhfpRgSBJq6rH3GZ7t&#10;70JM6bDqySRFC6CVuFVaZyXNm9xoT/YMJ6XZ5tLR45WVtqRPqZyXIwF/j2BUxHHXytT0ciwoD2Bi&#10;7YMVWY5M6VHG8NoeaUzMjRzGoRlyw6aZ5MRxA+KAxHoYxxvXEYUO/C9KehztmoafO+YlJfqTTc3J&#10;oXEZXml+1ObzTHOTtbNFVpjliFbTSMkobmJeocSchWvsY6syw8/JHNPGqc3EHzcsrcVLPVs9/wfW&#10;jwAAAP//AwBQSwMEFAAGAAgAAAAhAEjvGbTaAAAABgEAAA8AAABkcnMvZG93bnJldi54bWxMj8Fq&#10;wkAQhu8F32EZoRfRTSIUk2YjQcy1UOsDrNkxSc3Ohuyq6dt36sVeBob/55tv8u1ke3HD0XeOFMSr&#10;CARS7UxHjYLjV7XcgPBBk9G9I1Twgx62xewl15lxd/rE2yE0giHkM62gDWHIpPR1i1b7lRuQODu7&#10;0erA69hIM+o7w20vkyh6k1Z3xBdaPeCuxfpyuFqmNGW1OJtFWn8c17H5rrpyH++Uep1P5TuIgFN4&#10;luFPn9WhYKeTu5LxolfAj4TH5CxNkxjEiUtJslmDLHL5X7/4BQAA//8DAFBLAQItABQABgAIAAAA&#10;IQC2gziS/gAAAOEBAAATAAAAAAAAAAAAAAAAAAAAAABbQ29udGVudF9UeXBlc10ueG1sUEsBAi0A&#10;FAAGAAgAAAAhADj9If/WAAAAlAEAAAsAAAAAAAAAAAAAAAAALwEAAF9yZWxzLy5yZWxzUEsBAi0A&#10;FAAGAAgAAAAhAE77PTAiAgAATwQAAA4AAAAAAAAAAAAAAAAALgIAAGRycy9lMm9Eb2MueG1sUEsB&#10;Ai0AFAAGAAgAAAAhAEjvGbTaAAAABgEAAA8AAAAAAAAAAAAAAAAAfAQAAGRycy9kb3ducmV2Lnht&#10;bFBLBQYAAAAABAAEAPMAAACDBQAAAAA=&#10;" fillcolor="#edf5f7 [3214]" strokecolor="#edf5f7 [3214]" strokeweight=".5pt">
                <v:textbox inset="5mm,5mm,4mm,1mm">
                  <w:txbxContent>
                    <w:p w14:paraId="2106C337" w14:textId="77777777" w:rsidR="00D14F54" w:rsidRDefault="00D14F54" w:rsidP="00F8141A">
                      <w:pPr>
                        <w:pStyle w:val="PulloutHeading"/>
                      </w:pPr>
                      <w:r>
                        <w:t>Spotlight on just culture</w:t>
                      </w:r>
                    </w:p>
                    <w:p w14:paraId="1B7BE741" w14:textId="77777777" w:rsidR="00D14F54" w:rsidRDefault="00D14F54" w:rsidP="00F8141A">
                      <w:pPr>
                        <w:pStyle w:val="PulloutText"/>
                      </w:pPr>
                      <w:r>
                        <w:t>Reviews of sentinel events and other adverse patient safety events in healthcare are often hampered by a subtle but pervasive culture of blame. This includes naming, shaming, blaming, re-training and sometimes even firing individuals thought to be responsible for the occurrence of the event. Consequently, any system factors that contributed to the adverse event often remain hidden. They are not addressed and potentially put future patients at risk. A culture of blame also means that important opportunities to learn, improve and restore trust in our healthcare system are missed. As evident in Anthony’s experience (page 1), trust in our systems of care and in each other are often shaken or damaged.</w:t>
                      </w:r>
                    </w:p>
                    <w:p w14:paraId="7B636D05" w14:textId="77777777" w:rsidR="00D14F54" w:rsidRDefault="00D14F54" w:rsidP="00F8141A">
                      <w:pPr>
                        <w:pStyle w:val="PulloutText"/>
                      </w:pPr>
                      <w:r>
                        <w:t>Just culture offers a very different perspective. Often viewed as a key component of safety culture, just culture balances accountability between the organisation and individuals:</w:t>
                      </w:r>
                    </w:p>
                    <w:p w14:paraId="305A52CD" w14:textId="3BA2D43F" w:rsidR="00D14F54" w:rsidRDefault="00D14F54" w:rsidP="00CF4B3C">
                      <w:pPr>
                        <w:pStyle w:val="PulloutText"/>
                        <w:numPr>
                          <w:ilvl w:val="0"/>
                          <w:numId w:val="16"/>
                        </w:numPr>
                      </w:pPr>
                      <w:r>
                        <w:t>The organisation is accountable to provide systems and processes that set clinical care up for success</w:t>
                      </w:r>
                    </w:p>
                    <w:p w14:paraId="1427513A" w14:textId="773DDFDE" w:rsidR="00D14F54" w:rsidRDefault="00D14F54" w:rsidP="00CF4B3C">
                      <w:pPr>
                        <w:pStyle w:val="PulloutText"/>
                        <w:numPr>
                          <w:ilvl w:val="0"/>
                          <w:numId w:val="16"/>
                        </w:numPr>
                      </w:pPr>
                      <w:r>
                        <w:t>Senior leaders are accountable for making safety a priority and ensuring adverse events are reviewed fairly</w:t>
                      </w:r>
                    </w:p>
                    <w:p w14:paraId="4363CDE0" w14:textId="77777777" w:rsidR="00D14F54" w:rsidRDefault="00D14F54" w:rsidP="00CF4B3C">
                      <w:pPr>
                        <w:pStyle w:val="PulloutText"/>
                        <w:numPr>
                          <w:ilvl w:val="0"/>
                          <w:numId w:val="16"/>
                        </w:numPr>
                      </w:pPr>
                      <w:r>
                        <w:t xml:space="preserve">Individuals are expected to come to work with good intention and fit for duty. </w:t>
                      </w:r>
                    </w:p>
                    <w:p w14:paraId="66DDDFDE" w14:textId="77777777" w:rsidR="00D14F54" w:rsidRDefault="00D14F54" w:rsidP="00CF4B3C">
                      <w:pPr>
                        <w:pStyle w:val="PulloutText"/>
                      </w:pPr>
                      <w:r>
                        <w:t>Most importantly, a just culture emphasises that making mistakes is a normal and expected part of being human. We all make mistakes.</w:t>
                      </w:r>
                    </w:p>
                    <w:p w14:paraId="68E22B27" w14:textId="77777777" w:rsidR="00D14F54" w:rsidRDefault="00D14F54" w:rsidP="00F8141A">
                      <w:pPr>
                        <w:pStyle w:val="PulloutText"/>
                      </w:pPr>
                      <w:r>
                        <w:t>When applying a just culture approach to reviewing sentinel events, subtle expression of blame culture can be avoided by asking different types of questions: ‘what are my biases?’, ‘what made sense to those involved at the time?’, ‘were staff in the event set up for success by the system?’, ‘what needs to be done to improve?’ and ‘how do we share our lessons and restore trust?‘</w:t>
                      </w:r>
                    </w:p>
                    <w:p w14:paraId="479E5966" w14:textId="03068733" w:rsidR="00D14F54" w:rsidRDefault="00D14F54" w:rsidP="00F8141A">
                      <w:pPr>
                        <w:pStyle w:val="PulloutText"/>
                      </w:pPr>
                      <w:r>
                        <w:t>Consciously managing each other’s biases is critical to limit the influence of unspoken assumptions, avoid blame, and keep an open mind. It requires systems thinking that emphasises that adverse events are usually the result of multiple coincidental system deficiencies, not solely from individual failure.</w:t>
                      </w:r>
                    </w:p>
                    <w:p w14:paraId="20D87CEB" w14:textId="77777777" w:rsidR="00D14F54" w:rsidRDefault="00D14F54" w:rsidP="00F8141A">
                      <w:pPr>
                        <w:pStyle w:val="PulloutText"/>
                      </w:pPr>
                      <w:r>
                        <w:t>There is a specific focus on those affected by an adverse event: patients and their family/carers, clinical staff, the broader organisation and community. It requires practical attention to meeting their needs and undertaking the work needed to restore their trust in the health service and the broader healthcare system.</w:t>
                      </w:r>
                    </w:p>
                    <w:p w14:paraId="2C3CF533" w14:textId="2C7D6F98" w:rsidR="00D14F54" w:rsidRDefault="00D14F54" w:rsidP="00F8141A">
                      <w:pPr>
                        <w:pStyle w:val="PulloutText"/>
                      </w:pPr>
                      <w:r>
                        <w:t>A just culture promotes an environment where both staff and consumers feel safer to speak up, report errors and help the organisation to learn from mistakes. It can give consumers like Anthony and his family greater confidence that, when a sentinel event occurs, what went wrong and why is understood and communicated openly, and effective changes are made to prevent it from happening to someone else.</w:t>
                      </w:r>
                    </w:p>
                    <w:p w14:paraId="3997775A" w14:textId="77777777" w:rsidR="00D14F54" w:rsidRDefault="00D14F54" w:rsidP="00F8141A">
                      <w:pPr>
                        <w:pStyle w:val="PulloutText"/>
                      </w:pPr>
                      <w:r>
                        <w:t>Just culture is central to SCV’s sentinel event program. Taking a just culture approach is not easy, but it is necessary if we want to get the most out of sentinel event reviews and improve the safety of care.</w:t>
                      </w:r>
                    </w:p>
                  </w:txbxContent>
                </v:textbox>
                <w10:anchorlock/>
              </v:shape>
            </w:pict>
          </mc:Fallback>
        </mc:AlternateContent>
      </w:r>
      <w:r>
        <w:br w:type="page"/>
      </w:r>
    </w:p>
    <w:p w14:paraId="02CA78AA" w14:textId="49A6C9F4" w:rsidR="00F8141A" w:rsidRDefault="00F8141A" w:rsidP="00E821C7">
      <w:pPr>
        <w:pStyle w:val="Heading1"/>
        <w:framePr w:wrap="around"/>
      </w:pPr>
      <w:r w:rsidRPr="00F8141A">
        <w:lastRenderedPageBreak/>
        <w:t xml:space="preserve">Appendix 1 </w:t>
      </w:r>
      <w:r w:rsidR="009B0336">
        <w:t xml:space="preserve">– </w:t>
      </w:r>
      <w:r w:rsidRPr="00F8141A">
        <w:t>International Classification for Patient Safety (ICPS) incident types</w:t>
      </w:r>
    </w:p>
    <w:tbl>
      <w:tblPr>
        <w:tblStyle w:val="TableGrid"/>
        <w:tblW w:w="10206" w:type="dxa"/>
        <w:tblLook w:val="04A0" w:firstRow="1" w:lastRow="0" w:firstColumn="1" w:lastColumn="0" w:noHBand="0" w:noVBand="1"/>
      </w:tblPr>
      <w:tblGrid>
        <w:gridCol w:w="2943"/>
        <w:gridCol w:w="7263"/>
      </w:tblGrid>
      <w:tr w:rsidR="00F8141A" w:rsidRPr="00C34617" w14:paraId="3EC82EF6" w14:textId="77777777" w:rsidTr="00F8141A">
        <w:trPr>
          <w:cnfStyle w:val="100000000000" w:firstRow="1" w:lastRow="0" w:firstColumn="0" w:lastColumn="0" w:oddVBand="0" w:evenVBand="0" w:oddHBand="0"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2943" w:type="dxa"/>
            <w:vAlign w:val="center"/>
          </w:tcPr>
          <w:p w14:paraId="2C83B161" w14:textId="77777777" w:rsidR="00F8141A" w:rsidRPr="00C34617" w:rsidRDefault="00F8141A" w:rsidP="00F8141A">
            <w:pPr>
              <w:pStyle w:val="Tableheader"/>
              <w:rPr>
                <w:b/>
              </w:rPr>
            </w:pPr>
            <w:r w:rsidRPr="00C34617">
              <w:t>Sub-theme</w:t>
            </w:r>
          </w:p>
        </w:tc>
        <w:tc>
          <w:tcPr>
            <w:tcW w:w="7263" w:type="dxa"/>
            <w:vAlign w:val="center"/>
          </w:tcPr>
          <w:p w14:paraId="5338A2BE" w14:textId="77777777" w:rsidR="00F8141A" w:rsidRPr="00C34617" w:rsidRDefault="00F8141A" w:rsidP="00F8141A">
            <w:pPr>
              <w:pStyle w:val="Tableheader"/>
              <w:cnfStyle w:val="100000000000" w:firstRow="1" w:lastRow="0" w:firstColumn="0" w:lastColumn="0" w:oddVBand="0" w:evenVBand="0" w:oddHBand="0" w:evenHBand="0" w:firstRowFirstColumn="0" w:firstRowLastColumn="0" w:lastRowFirstColumn="0" w:lastRowLastColumn="0"/>
              <w:rPr>
                <w:b/>
              </w:rPr>
            </w:pPr>
            <w:r w:rsidRPr="00C34617">
              <w:t>Description</w:t>
            </w:r>
          </w:p>
        </w:tc>
      </w:tr>
      <w:tr w:rsidR="00F8141A" w14:paraId="52E8FE27" w14:textId="77777777" w:rsidTr="00F8141A">
        <w:tc>
          <w:tcPr>
            <w:cnfStyle w:val="001000000000" w:firstRow="0" w:lastRow="0" w:firstColumn="1" w:lastColumn="0" w:oddVBand="0" w:evenVBand="0" w:oddHBand="0" w:evenHBand="0" w:firstRowFirstColumn="0" w:firstRowLastColumn="0" w:lastRowFirstColumn="0" w:lastRowLastColumn="0"/>
            <w:tcW w:w="2943" w:type="dxa"/>
          </w:tcPr>
          <w:p w14:paraId="20BE6857" w14:textId="77777777" w:rsidR="00F8141A" w:rsidRDefault="00F8141A" w:rsidP="00F8141A">
            <w:pPr>
              <w:spacing w:before="40" w:after="40"/>
            </w:pPr>
            <w:r>
              <w:t>Clinical process/procedure</w:t>
            </w:r>
          </w:p>
        </w:tc>
        <w:tc>
          <w:tcPr>
            <w:tcW w:w="7263" w:type="dxa"/>
          </w:tcPr>
          <w:p w14:paraId="43B58455" w14:textId="77777777" w:rsidR="00F8141A" w:rsidRPr="007A1C35" w:rsidRDefault="00F8141A" w:rsidP="00F8141A">
            <w:pPr>
              <w:spacing w:before="40" w:after="40"/>
              <w:ind w:left="34"/>
              <w:cnfStyle w:val="000000000000" w:firstRow="0" w:lastRow="0" w:firstColumn="0" w:lastColumn="0" w:oddVBand="0" w:evenVBand="0" w:oddHBand="0" w:evenHBand="0" w:firstRowFirstColumn="0" w:firstRowLastColumn="0" w:lastRowFirstColumn="0" w:lastRowLastColumn="0"/>
            </w:pPr>
            <w:r w:rsidRPr="0098632B">
              <w:t>Diagnosis/</w:t>
            </w:r>
            <w:r w:rsidR="00CF4B3C">
              <w:t>a</w:t>
            </w:r>
            <w:r w:rsidRPr="0098632B">
              <w:t>ssessment</w:t>
            </w:r>
            <w:r w:rsidRPr="007A1C35">
              <w:t xml:space="preserve"> (not performed when indicated, incomplete/inadequate, other)</w:t>
            </w:r>
          </w:p>
          <w:p w14:paraId="25A28999" w14:textId="77777777" w:rsidR="00F8141A" w:rsidRPr="007A1C35" w:rsidRDefault="00F8141A" w:rsidP="00F8141A">
            <w:pPr>
              <w:spacing w:before="40" w:after="40"/>
              <w:ind w:left="34"/>
              <w:cnfStyle w:val="000000000000" w:firstRow="0" w:lastRow="0" w:firstColumn="0" w:lastColumn="0" w:oddVBand="0" w:evenVBand="0" w:oddHBand="0" w:evenHBand="0" w:firstRowFirstColumn="0" w:firstRowLastColumn="0" w:lastRowFirstColumn="0" w:lastRowLastColumn="0"/>
            </w:pPr>
            <w:r w:rsidRPr="0098632B">
              <w:t>Procedure/treatment/intervention</w:t>
            </w:r>
            <w:r w:rsidRPr="007A1C35">
              <w:t xml:space="preserve"> (not performed when indicated, incomplete/inadequate, wrong body part/side/site, other)</w:t>
            </w:r>
          </w:p>
          <w:p w14:paraId="67856874" w14:textId="77777777" w:rsidR="00F8141A" w:rsidRPr="007A1C35" w:rsidRDefault="00F8141A" w:rsidP="00F8141A">
            <w:pPr>
              <w:spacing w:before="40" w:after="40"/>
              <w:ind w:left="34"/>
              <w:cnfStyle w:val="000000000000" w:firstRow="0" w:lastRow="0" w:firstColumn="0" w:lastColumn="0" w:oddVBand="0" w:evenVBand="0" w:oddHBand="0" w:evenHBand="0" w:firstRowFirstColumn="0" w:firstRowLastColumn="0" w:lastRowFirstColumn="0" w:lastRowLastColumn="0"/>
            </w:pPr>
            <w:r w:rsidRPr="0098632B">
              <w:t>Tests/investigations</w:t>
            </w:r>
            <w:r w:rsidRPr="007A1C35">
              <w:t xml:space="preserve"> (not performed when indicated, wrong patient)</w:t>
            </w:r>
          </w:p>
          <w:p w14:paraId="04051AFD" w14:textId="77777777" w:rsidR="00F8141A" w:rsidRPr="007A1C35" w:rsidRDefault="00F8141A" w:rsidP="00F8141A">
            <w:pPr>
              <w:spacing w:before="40" w:after="40"/>
              <w:ind w:left="34"/>
              <w:cnfStyle w:val="000000000000" w:firstRow="0" w:lastRow="0" w:firstColumn="0" w:lastColumn="0" w:oddVBand="0" w:evenVBand="0" w:oddHBand="0" w:evenHBand="0" w:firstRowFirstColumn="0" w:firstRowLastColumn="0" w:lastRowFirstColumn="0" w:lastRowLastColumn="0"/>
            </w:pPr>
            <w:r w:rsidRPr="0098632B">
              <w:t>Specimens/results</w:t>
            </w:r>
            <w:r w:rsidRPr="007A1C35">
              <w:t xml:space="preserve"> (wrong patient, mislabelling)</w:t>
            </w:r>
          </w:p>
        </w:tc>
      </w:tr>
      <w:tr w:rsidR="00F8141A" w14:paraId="072934A8" w14:textId="77777777" w:rsidTr="00F8141A">
        <w:tc>
          <w:tcPr>
            <w:cnfStyle w:val="001000000000" w:firstRow="0" w:lastRow="0" w:firstColumn="1" w:lastColumn="0" w:oddVBand="0" w:evenVBand="0" w:oddHBand="0" w:evenHBand="0" w:firstRowFirstColumn="0" w:firstRowLastColumn="0" w:lastRowFirstColumn="0" w:lastRowLastColumn="0"/>
            <w:tcW w:w="2943" w:type="dxa"/>
          </w:tcPr>
          <w:p w14:paraId="4F6AF862" w14:textId="77777777" w:rsidR="00F8141A" w:rsidRDefault="00F8141A" w:rsidP="00F8141A">
            <w:pPr>
              <w:spacing w:before="40" w:after="40"/>
            </w:pPr>
            <w:r>
              <w:t>Falls</w:t>
            </w:r>
          </w:p>
        </w:tc>
        <w:tc>
          <w:tcPr>
            <w:tcW w:w="7263" w:type="dxa"/>
          </w:tcPr>
          <w:p w14:paraId="55C795C0" w14:textId="77777777" w:rsidR="00F8141A" w:rsidRPr="005D741C" w:rsidRDefault="00F8141A" w:rsidP="00F8141A">
            <w:pPr>
              <w:spacing w:before="40" w:after="40"/>
              <w:ind w:left="34"/>
              <w:cnfStyle w:val="000000000000" w:firstRow="0" w:lastRow="0" w:firstColumn="0" w:lastColumn="0" w:oddVBand="0" w:evenVBand="0" w:oddHBand="0" w:evenHBand="0" w:firstRowFirstColumn="0" w:firstRowLastColumn="0" w:lastRowFirstColumn="0" w:lastRowLastColumn="0"/>
            </w:pPr>
            <w:r w:rsidRPr="005D741C">
              <w:t>Mortality or permanent harm relating to a fall</w:t>
            </w:r>
          </w:p>
          <w:p w14:paraId="64C8D1E5" w14:textId="77777777" w:rsidR="00F8141A" w:rsidRPr="005D741C" w:rsidRDefault="00F8141A" w:rsidP="00F8141A">
            <w:pPr>
              <w:spacing w:before="40" w:after="40"/>
              <w:ind w:left="34"/>
              <w:cnfStyle w:val="000000000000" w:firstRow="0" w:lastRow="0" w:firstColumn="0" w:lastColumn="0" w:oddVBand="0" w:evenVBand="0" w:oddHBand="0" w:evenHBand="0" w:firstRowFirstColumn="0" w:firstRowLastColumn="0" w:lastRowFirstColumn="0" w:lastRowLastColumn="0"/>
            </w:pPr>
            <w:r w:rsidRPr="005D741C">
              <w:t>i.e. slip with head strike resulting in death</w:t>
            </w:r>
          </w:p>
        </w:tc>
      </w:tr>
      <w:tr w:rsidR="00F8141A" w14:paraId="2F38A137" w14:textId="77777777" w:rsidTr="00F8141A">
        <w:tc>
          <w:tcPr>
            <w:cnfStyle w:val="001000000000" w:firstRow="0" w:lastRow="0" w:firstColumn="1" w:lastColumn="0" w:oddVBand="0" w:evenVBand="0" w:oddHBand="0" w:evenHBand="0" w:firstRowFirstColumn="0" w:firstRowLastColumn="0" w:lastRowFirstColumn="0" w:lastRowLastColumn="0"/>
            <w:tcW w:w="2943" w:type="dxa"/>
          </w:tcPr>
          <w:p w14:paraId="52D5CB2D" w14:textId="77777777" w:rsidR="00F8141A" w:rsidRDefault="00F8141A" w:rsidP="00F8141A">
            <w:pPr>
              <w:spacing w:before="40" w:after="40"/>
            </w:pPr>
            <w:r>
              <w:t>Deteriorating patient</w:t>
            </w:r>
          </w:p>
        </w:tc>
        <w:tc>
          <w:tcPr>
            <w:tcW w:w="7263" w:type="dxa"/>
          </w:tcPr>
          <w:p w14:paraId="6EE05563" w14:textId="77777777" w:rsidR="00F8141A" w:rsidRPr="005D741C" w:rsidRDefault="00F8141A" w:rsidP="00F8141A">
            <w:pPr>
              <w:spacing w:before="40" w:after="40"/>
              <w:ind w:left="34"/>
              <w:cnfStyle w:val="000000000000" w:firstRow="0" w:lastRow="0" w:firstColumn="0" w:lastColumn="0" w:oddVBand="0" w:evenVBand="0" w:oddHBand="0" w:evenHBand="0" w:firstRowFirstColumn="0" w:firstRowLastColumn="0" w:lastRowFirstColumn="0" w:lastRowLastColumn="0"/>
            </w:pPr>
            <w:r w:rsidRPr="005D741C">
              <w:t>Recognition, escalation or re</w:t>
            </w:r>
            <w:r>
              <w:t>sponse to patient deterioration</w:t>
            </w:r>
          </w:p>
        </w:tc>
      </w:tr>
      <w:tr w:rsidR="00F8141A" w14:paraId="72B64717" w14:textId="77777777" w:rsidTr="00F8141A">
        <w:tc>
          <w:tcPr>
            <w:cnfStyle w:val="001000000000" w:firstRow="0" w:lastRow="0" w:firstColumn="1" w:lastColumn="0" w:oddVBand="0" w:evenVBand="0" w:oddHBand="0" w:evenHBand="0" w:firstRowFirstColumn="0" w:firstRowLastColumn="0" w:lastRowFirstColumn="0" w:lastRowLastColumn="0"/>
            <w:tcW w:w="2943" w:type="dxa"/>
          </w:tcPr>
          <w:p w14:paraId="2A8D8456" w14:textId="77777777" w:rsidR="00F8141A" w:rsidRDefault="00F8141A" w:rsidP="00F8141A">
            <w:pPr>
              <w:spacing w:before="40" w:after="40"/>
            </w:pPr>
            <w:r>
              <w:t>Behaviour</w:t>
            </w:r>
          </w:p>
        </w:tc>
        <w:tc>
          <w:tcPr>
            <w:tcW w:w="7263" w:type="dxa"/>
          </w:tcPr>
          <w:p w14:paraId="121AAA6A" w14:textId="77777777" w:rsidR="00F8141A" w:rsidRPr="005D741C" w:rsidRDefault="00F8141A" w:rsidP="00F8141A">
            <w:pPr>
              <w:spacing w:before="40" w:after="40"/>
              <w:ind w:left="34"/>
              <w:cnfStyle w:val="000000000000" w:firstRow="0" w:lastRow="0" w:firstColumn="0" w:lastColumn="0" w:oddVBand="0" w:evenVBand="0" w:oddHBand="0" w:evenHBand="0" w:firstRowFirstColumn="0" w:firstRowLastColumn="0" w:lastRowFirstColumn="0" w:lastRowLastColumn="0"/>
            </w:pPr>
            <w:r w:rsidRPr="005D741C">
              <w:t>Behaviour that is associated with temporary or permanent harm</w:t>
            </w:r>
          </w:p>
          <w:p w14:paraId="24086FD0" w14:textId="5D917D10" w:rsidR="00F8141A" w:rsidRPr="005D741C" w:rsidRDefault="00F8141A" w:rsidP="00F8141A">
            <w:pPr>
              <w:spacing w:before="40" w:after="40"/>
              <w:ind w:left="34"/>
              <w:cnfStyle w:val="000000000000" w:firstRow="0" w:lastRow="0" w:firstColumn="0" w:lastColumn="0" w:oddVBand="0" w:evenVBand="0" w:oddHBand="0" w:evenHBand="0" w:firstRowFirstColumn="0" w:firstRowLastColumn="0" w:lastRowFirstColumn="0" w:lastRowLastColumn="0"/>
            </w:pPr>
            <w:r w:rsidRPr="005D741C">
              <w:t>i.e. intended self</w:t>
            </w:r>
            <w:r w:rsidR="00610560">
              <w:t>-</w:t>
            </w:r>
            <w:r w:rsidRPr="005D741C">
              <w:t xml:space="preserve">harm or suicide </w:t>
            </w:r>
          </w:p>
        </w:tc>
      </w:tr>
      <w:tr w:rsidR="00F8141A" w14:paraId="0047FF98" w14:textId="77777777" w:rsidTr="00F8141A">
        <w:tc>
          <w:tcPr>
            <w:cnfStyle w:val="001000000000" w:firstRow="0" w:lastRow="0" w:firstColumn="1" w:lastColumn="0" w:oddVBand="0" w:evenVBand="0" w:oddHBand="0" w:evenHBand="0" w:firstRowFirstColumn="0" w:firstRowLastColumn="0" w:lastRowFirstColumn="0" w:lastRowLastColumn="0"/>
            <w:tcW w:w="2943" w:type="dxa"/>
          </w:tcPr>
          <w:p w14:paraId="55D236F7" w14:textId="77777777" w:rsidR="00F8141A" w:rsidRDefault="00F8141A" w:rsidP="00F8141A">
            <w:pPr>
              <w:spacing w:before="40" w:after="40"/>
            </w:pPr>
            <w:r>
              <w:t>Clinical administration</w:t>
            </w:r>
          </w:p>
        </w:tc>
        <w:tc>
          <w:tcPr>
            <w:tcW w:w="7263" w:type="dxa"/>
          </w:tcPr>
          <w:p w14:paraId="7C937413" w14:textId="77777777" w:rsidR="00F8141A" w:rsidRPr="005D741C" w:rsidRDefault="00F8141A" w:rsidP="00F8141A">
            <w:pPr>
              <w:spacing w:before="40" w:after="40"/>
              <w:ind w:left="34"/>
              <w:cnfStyle w:val="000000000000" w:firstRow="0" w:lastRow="0" w:firstColumn="0" w:lastColumn="0" w:oddVBand="0" w:evenVBand="0" w:oddHBand="0" w:evenHBand="0" w:firstRowFirstColumn="0" w:firstRowLastColumn="0" w:lastRowFirstColumn="0" w:lastRowLastColumn="0"/>
              <w:rPr>
                <w:iCs/>
              </w:rPr>
            </w:pPr>
            <w:r w:rsidRPr="005D741C">
              <w:rPr>
                <w:iCs/>
              </w:rPr>
              <w:t>Incident involving a process or problems with the administration of clinical information</w:t>
            </w:r>
          </w:p>
          <w:p w14:paraId="3FD8EEA5" w14:textId="77777777" w:rsidR="00F8141A" w:rsidRPr="005D741C" w:rsidRDefault="00F8141A" w:rsidP="00F8141A">
            <w:pPr>
              <w:spacing w:before="40" w:after="40"/>
              <w:ind w:left="34"/>
              <w:cnfStyle w:val="000000000000" w:firstRow="0" w:lastRow="0" w:firstColumn="0" w:lastColumn="0" w:oddVBand="0" w:evenVBand="0" w:oddHBand="0" w:evenHBand="0" w:firstRowFirstColumn="0" w:firstRowLastColumn="0" w:lastRowFirstColumn="0" w:lastRowLastColumn="0"/>
            </w:pPr>
            <w:r w:rsidRPr="005D741C">
              <w:rPr>
                <w:iCs/>
              </w:rPr>
              <w:t xml:space="preserve">i.e. </w:t>
            </w:r>
            <w:r>
              <w:rPr>
                <w:iCs/>
              </w:rPr>
              <w:t>waitlist delay, inter</w:t>
            </w:r>
            <w:r w:rsidR="00CF4B3C">
              <w:rPr>
                <w:iCs/>
              </w:rPr>
              <w:t>-</w:t>
            </w:r>
            <w:r>
              <w:rPr>
                <w:iCs/>
              </w:rPr>
              <w:t>hospital transfer delay, delay to ultrasound</w:t>
            </w:r>
            <w:r w:rsidRPr="005D741C">
              <w:rPr>
                <w:iCs/>
              </w:rPr>
              <w:t>, delay to referral</w:t>
            </w:r>
          </w:p>
        </w:tc>
      </w:tr>
      <w:tr w:rsidR="00F8141A" w14:paraId="30C93FF7" w14:textId="77777777" w:rsidTr="00F8141A">
        <w:tc>
          <w:tcPr>
            <w:cnfStyle w:val="001000000000" w:firstRow="0" w:lastRow="0" w:firstColumn="1" w:lastColumn="0" w:oddVBand="0" w:evenVBand="0" w:oddHBand="0" w:evenHBand="0" w:firstRowFirstColumn="0" w:firstRowLastColumn="0" w:lastRowFirstColumn="0" w:lastRowLastColumn="0"/>
            <w:tcW w:w="2943" w:type="dxa"/>
          </w:tcPr>
          <w:p w14:paraId="652520EA" w14:textId="77777777" w:rsidR="00F8141A" w:rsidRDefault="00F8141A" w:rsidP="00F8141A">
            <w:pPr>
              <w:spacing w:before="40" w:after="40"/>
            </w:pPr>
            <w:r>
              <w:t>Medical device/equipment</w:t>
            </w:r>
          </w:p>
        </w:tc>
        <w:tc>
          <w:tcPr>
            <w:tcW w:w="7263" w:type="dxa"/>
          </w:tcPr>
          <w:p w14:paraId="5C6CA1C6" w14:textId="77777777" w:rsidR="00F8141A" w:rsidRPr="005D741C" w:rsidRDefault="00F8141A" w:rsidP="00F8141A">
            <w:pPr>
              <w:spacing w:before="40" w:after="40"/>
              <w:ind w:left="34"/>
              <w:cnfStyle w:val="000000000000" w:firstRow="0" w:lastRow="0" w:firstColumn="0" w:lastColumn="0" w:oddVBand="0" w:evenVBand="0" w:oddHBand="0" w:evenHBand="0" w:firstRowFirstColumn="0" w:firstRowLastColumn="0" w:lastRowFirstColumn="0" w:lastRowLastColumn="0"/>
            </w:pPr>
            <w:r w:rsidRPr="005D741C">
              <w:t>An error associated with a medical device/equipment or property</w:t>
            </w:r>
          </w:p>
          <w:p w14:paraId="4E871F51" w14:textId="77777777" w:rsidR="00F8141A" w:rsidRPr="005D741C" w:rsidRDefault="00F8141A" w:rsidP="00F8141A">
            <w:pPr>
              <w:spacing w:before="40" w:after="40"/>
              <w:ind w:left="34"/>
              <w:cnfStyle w:val="000000000000" w:firstRow="0" w:lastRow="0" w:firstColumn="0" w:lastColumn="0" w:oddVBand="0" w:evenVBand="0" w:oddHBand="0" w:evenHBand="0" w:firstRowFirstColumn="0" w:firstRowLastColumn="0" w:lastRowFirstColumn="0" w:lastRowLastColumn="0"/>
            </w:pPr>
            <w:r w:rsidRPr="005D741C">
              <w:t>i.e. dislodgement or misconnection of a device, equipment t</w:t>
            </w:r>
            <w:r>
              <w:t>h</w:t>
            </w:r>
            <w:r w:rsidR="00CF4B3C">
              <w:t xml:space="preserve">at </w:t>
            </w:r>
            <w:r w:rsidRPr="005D741C">
              <w:t>is inappropriate for the task</w:t>
            </w:r>
          </w:p>
        </w:tc>
      </w:tr>
      <w:tr w:rsidR="00F8141A" w14:paraId="5D79C4BC" w14:textId="77777777" w:rsidTr="00F8141A">
        <w:tc>
          <w:tcPr>
            <w:cnfStyle w:val="001000000000" w:firstRow="0" w:lastRow="0" w:firstColumn="1" w:lastColumn="0" w:oddVBand="0" w:evenVBand="0" w:oddHBand="0" w:evenHBand="0" w:firstRowFirstColumn="0" w:firstRowLastColumn="0" w:lastRowFirstColumn="0" w:lastRowLastColumn="0"/>
            <w:tcW w:w="2943" w:type="dxa"/>
          </w:tcPr>
          <w:p w14:paraId="33A7C2E5" w14:textId="77777777" w:rsidR="00F8141A" w:rsidRDefault="00F8141A" w:rsidP="00F8141A">
            <w:pPr>
              <w:spacing w:before="40" w:after="40"/>
            </w:pPr>
            <w:r>
              <w:t>Medication</w:t>
            </w:r>
          </w:p>
        </w:tc>
        <w:tc>
          <w:tcPr>
            <w:tcW w:w="7263" w:type="dxa"/>
          </w:tcPr>
          <w:p w14:paraId="45EC8EB4" w14:textId="77777777" w:rsidR="00F8141A" w:rsidRDefault="00F8141A" w:rsidP="00F8141A">
            <w:pPr>
              <w:spacing w:before="40" w:after="40"/>
              <w:ind w:left="34"/>
              <w:cnfStyle w:val="000000000000" w:firstRow="0" w:lastRow="0" w:firstColumn="0" w:lastColumn="0" w:oddVBand="0" w:evenVBand="0" w:oddHBand="0" w:evenHBand="0" w:firstRowFirstColumn="0" w:firstRowLastColumn="0" w:lastRowFirstColumn="0" w:lastRowLastColumn="0"/>
            </w:pPr>
            <w:r w:rsidRPr="005D741C">
              <w:t xml:space="preserve">An error with the process of delivering a medication to a patient that causes harm </w:t>
            </w:r>
          </w:p>
          <w:p w14:paraId="1F2B5C1F" w14:textId="77777777" w:rsidR="00F8141A" w:rsidRPr="005D741C" w:rsidRDefault="00F8141A" w:rsidP="00F8141A">
            <w:pPr>
              <w:spacing w:before="40" w:after="40"/>
              <w:ind w:left="34"/>
              <w:cnfStyle w:val="000000000000" w:firstRow="0" w:lastRow="0" w:firstColumn="0" w:lastColumn="0" w:oddVBand="0" w:evenVBand="0" w:oddHBand="0" w:evenHBand="0" w:firstRowFirstColumn="0" w:firstRowLastColumn="0" w:lastRowFirstColumn="0" w:lastRowLastColumn="0"/>
            </w:pPr>
            <w:r w:rsidRPr="005D741C">
              <w:t>i.e. incorrect prescription, dispensing, administration, packing or monitoring of a medication</w:t>
            </w:r>
          </w:p>
        </w:tc>
      </w:tr>
      <w:tr w:rsidR="00F8141A" w14:paraId="1D05F800" w14:textId="77777777" w:rsidTr="00F8141A">
        <w:tc>
          <w:tcPr>
            <w:cnfStyle w:val="001000000000" w:firstRow="0" w:lastRow="0" w:firstColumn="1" w:lastColumn="0" w:oddVBand="0" w:evenVBand="0" w:oddHBand="0" w:evenHBand="0" w:firstRowFirstColumn="0" w:firstRowLastColumn="0" w:lastRowFirstColumn="0" w:lastRowLastColumn="0"/>
            <w:tcW w:w="2943" w:type="dxa"/>
          </w:tcPr>
          <w:p w14:paraId="237D5856" w14:textId="77777777" w:rsidR="00F8141A" w:rsidRDefault="00F8141A" w:rsidP="00F8141A">
            <w:pPr>
              <w:spacing w:before="40" w:after="40"/>
            </w:pPr>
            <w:r>
              <w:t>Nutrition</w:t>
            </w:r>
          </w:p>
        </w:tc>
        <w:tc>
          <w:tcPr>
            <w:tcW w:w="7263" w:type="dxa"/>
          </w:tcPr>
          <w:p w14:paraId="1AB28E45" w14:textId="77777777" w:rsidR="00F8141A" w:rsidRPr="005D741C" w:rsidRDefault="00F8141A" w:rsidP="00F8141A">
            <w:pPr>
              <w:spacing w:before="40" w:after="40"/>
              <w:ind w:left="34"/>
              <w:cnfStyle w:val="000000000000" w:firstRow="0" w:lastRow="0" w:firstColumn="0" w:lastColumn="0" w:oddVBand="0" w:evenVBand="0" w:oddHBand="0" w:evenHBand="0" w:firstRowFirstColumn="0" w:firstRowLastColumn="0" w:lastRowFirstColumn="0" w:lastRowLastColumn="0"/>
            </w:pPr>
            <w:r w:rsidRPr="005D741C">
              <w:t xml:space="preserve">Related to an error with a process involving nutrition </w:t>
            </w:r>
          </w:p>
          <w:p w14:paraId="4F08BB4A" w14:textId="77777777" w:rsidR="00F8141A" w:rsidRPr="005D741C" w:rsidRDefault="00F8141A" w:rsidP="00F8141A">
            <w:pPr>
              <w:spacing w:before="40" w:after="40"/>
              <w:ind w:left="34"/>
              <w:cnfStyle w:val="000000000000" w:firstRow="0" w:lastRow="0" w:firstColumn="0" w:lastColumn="0" w:oddVBand="0" w:evenVBand="0" w:oddHBand="0" w:evenHBand="0" w:firstRowFirstColumn="0" w:firstRowLastColumn="0" w:lastRowFirstColumn="0" w:lastRowLastColumn="0"/>
            </w:pPr>
            <w:r w:rsidRPr="005D741C">
              <w:t>i.e. choking, incorrect diet ordered or delivered</w:t>
            </w:r>
          </w:p>
        </w:tc>
      </w:tr>
      <w:tr w:rsidR="00F8141A" w14:paraId="3E53F74A" w14:textId="77777777" w:rsidTr="00F8141A">
        <w:tc>
          <w:tcPr>
            <w:cnfStyle w:val="001000000000" w:firstRow="0" w:lastRow="0" w:firstColumn="1" w:lastColumn="0" w:oddVBand="0" w:evenVBand="0" w:oddHBand="0" w:evenHBand="0" w:firstRowFirstColumn="0" w:firstRowLastColumn="0" w:lastRowFirstColumn="0" w:lastRowLastColumn="0"/>
            <w:tcW w:w="2943" w:type="dxa"/>
          </w:tcPr>
          <w:p w14:paraId="0907E3FB" w14:textId="77777777" w:rsidR="00F8141A" w:rsidRDefault="00F8141A" w:rsidP="00F8141A">
            <w:pPr>
              <w:spacing w:before="40" w:after="40"/>
            </w:pPr>
            <w:r>
              <w:t>Resources/organisational management</w:t>
            </w:r>
          </w:p>
        </w:tc>
        <w:tc>
          <w:tcPr>
            <w:tcW w:w="7263" w:type="dxa"/>
          </w:tcPr>
          <w:p w14:paraId="0EC1CEB5" w14:textId="77777777" w:rsidR="00F8141A" w:rsidRPr="005D741C" w:rsidRDefault="00F8141A" w:rsidP="00F8141A">
            <w:pPr>
              <w:spacing w:before="40" w:after="40"/>
              <w:ind w:left="34"/>
              <w:cnfStyle w:val="000000000000" w:firstRow="0" w:lastRow="0" w:firstColumn="0" w:lastColumn="0" w:oddVBand="0" w:evenVBand="0" w:oddHBand="0" w:evenHBand="0" w:firstRowFirstColumn="0" w:firstRowLastColumn="0" w:lastRowFirstColumn="0" w:lastRowLastColumn="0"/>
            </w:pPr>
            <w:r>
              <w:t>Event</w:t>
            </w:r>
            <w:r w:rsidRPr="005D741C">
              <w:t>s where lack of resources and deficiencies in organisational management contribute to error</w:t>
            </w:r>
          </w:p>
          <w:p w14:paraId="3C23A3E9" w14:textId="77777777" w:rsidR="00F8141A" w:rsidRPr="005D741C" w:rsidRDefault="00F8141A" w:rsidP="00F8141A">
            <w:pPr>
              <w:spacing w:before="40" w:after="40"/>
              <w:ind w:left="34"/>
              <w:cnfStyle w:val="000000000000" w:firstRow="0" w:lastRow="0" w:firstColumn="0" w:lastColumn="0" w:oddVBand="0" w:evenVBand="0" w:oddHBand="0" w:evenHBand="0" w:firstRowFirstColumn="0" w:firstRowLastColumn="0" w:lastRowFirstColumn="0" w:lastRowLastColumn="0"/>
            </w:pPr>
            <w:r w:rsidRPr="005D741C">
              <w:t>i.e. workload mismanagement, staff availability, bed availability</w:t>
            </w:r>
          </w:p>
        </w:tc>
      </w:tr>
      <w:tr w:rsidR="00F8141A" w14:paraId="27646645" w14:textId="77777777" w:rsidTr="00F8141A">
        <w:tc>
          <w:tcPr>
            <w:cnfStyle w:val="001000000000" w:firstRow="0" w:lastRow="0" w:firstColumn="1" w:lastColumn="0" w:oddVBand="0" w:evenVBand="0" w:oddHBand="0" w:evenHBand="0" w:firstRowFirstColumn="0" w:firstRowLastColumn="0" w:lastRowFirstColumn="0" w:lastRowLastColumn="0"/>
            <w:tcW w:w="2943" w:type="dxa"/>
          </w:tcPr>
          <w:p w14:paraId="36429CF6" w14:textId="77777777" w:rsidR="00F8141A" w:rsidRDefault="00F8141A" w:rsidP="00F8141A">
            <w:pPr>
              <w:spacing w:before="40" w:after="40"/>
            </w:pPr>
            <w:r>
              <w:t>Documentation</w:t>
            </w:r>
          </w:p>
        </w:tc>
        <w:tc>
          <w:tcPr>
            <w:tcW w:w="7263" w:type="dxa"/>
          </w:tcPr>
          <w:p w14:paraId="348C635B" w14:textId="77777777" w:rsidR="00F8141A" w:rsidRPr="005D741C" w:rsidRDefault="00F8141A" w:rsidP="00F8141A">
            <w:pPr>
              <w:spacing w:before="40" w:after="40"/>
              <w:ind w:left="34"/>
              <w:cnfStyle w:val="000000000000" w:firstRow="0" w:lastRow="0" w:firstColumn="0" w:lastColumn="0" w:oddVBand="0" w:evenVBand="0" w:oddHBand="0" w:evenHBand="0" w:firstRowFirstColumn="0" w:firstRowLastColumn="0" w:lastRowFirstColumn="0" w:lastRowLastColumn="0"/>
            </w:pPr>
            <w:r w:rsidRPr="005D741C">
              <w:t>Error associated with documentation</w:t>
            </w:r>
          </w:p>
          <w:p w14:paraId="08CC79AC" w14:textId="77777777" w:rsidR="00F8141A" w:rsidRPr="005D741C" w:rsidRDefault="00F8141A" w:rsidP="00F8141A">
            <w:pPr>
              <w:spacing w:before="40" w:after="40"/>
              <w:ind w:left="34"/>
              <w:cnfStyle w:val="000000000000" w:firstRow="0" w:lastRow="0" w:firstColumn="0" w:lastColumn="0" w:oddVBand="0" w:evenVBand="0" w:oddHBand="0" w:evenHBand="0" w:firstRowFirstColumn="0" w:firstRowLastColumn="0" w:lastRowFirstColumn="0" w:lastRowLastColumn="0"/>
            </w:pPr>
            <w:r w:rsidRPr="005D741C">
              <w:t>i.e. incorrect labelling, diagnostic reports, procedures/guidelines, ambiguous or illegible information</w:t>
            </w:r>
          </w:p>
        </w:tc>
      </w:tr>
      <w:tr w:rsidR="00F8141A" w14:paraId="1AD648BC" w14:textId="77777777" w:rsidTr="00F8141A">
        <w:tc>
          <w:tcPr>
            <w:cnfStyle w:val="001000000000" w:firstRow="0" w:lastRow="0" w:firstColumn="1" w:lastColumn="0" w:oddVBand="0" w:evenVBand="0" w:oddHBand="0" w:evenHBand="0" w:firstRowFirstColumn="0" w:firstRowLastColumn="0" w:lastRowFirstColumn="0" w:lastRowLastColumn="0"/>
            <w:tcW w:w="2943" w:type="dxa"/>
          </w:tcPr>
          <w:p w14:paraId="51B4340A" w14:textId="77777777" w:rsidR="00F8141A" w:rsidRDefault="00F8141A" w:rsidP="00F8141A">
            <w:pPr>
              <w:spacing w:before="40" w:after="40"/>
            </w:pPr>
            <w:r>
              <w:t>Healthcare associated infection</w:t>
            </w:r>
          </w:p>
        </w:tc>
        <w:tc>
          <w:tcPr>
            <w:tcW w:w="7263" w:type="dxa"/>
          </w:tcPr>
          <w:p w14:paraId="093D4EB6" w14:textId="77777777" w:rsidR="00F8141A" w:rsidRPr="005D741C" w:rsidRDefault="00F8141A" w:rsidP="00F8141A">
            <w:pPr>
              <w:spacing w:before="40" w:after="40"/>
              <w:ind w:left="34"/>
              <w:cnfStyle w:val="000000000000" w:firstRow="0" w:lastRow="0" w:firstColumn="0" w:lastColumn="0" w:oddVBand="0" w:evenVBand="0" w:oddHBand="0" w:evenHBand="0" w:firstRowFirstColumn="0" w:firstRowLastColumn="0" w:lastRowFirstColumn="0" w:lastRowLastColumn="0"/>
            </w:pPr>
            <w:r w:rsidRPr="005D741C">
              <w:t xml:space="preserve">An infection acquired in the </w:t>
            </w:r>
            <w:r w:rsidR="00CF4B3C">
              <w:t>h</w:t>
            </w:r>
            <w:r w:rsidRPr="005D741C">
              <w:t>ealthcare setting</w:t>
            </w:r>
          </w:p>
          <w:p w14:paraId="10013EE3" w14:textId="77777777" w:rsidR="00F8141A" w:rsidRPr="005D741C" w:rsidRDefault="00F8141A" w:rsidP="00F8141A">
            <w:pPr>
              <w:spacing w:before="40" w:after="40"/>
              <w:ind w:left="34"/>
              <w:cnfStyle w:val="000000000000" w:firstRow="0" w:lastRow="0" w:firstColumn="0" w:lastColumn="0" w:oddVBand="0" w:evenVBand="0" w:oddHBand="0" w:evenHBand="0" w:firstRowFirstColumn="0" w:firstRowLastColumn="0" w:lastRowFirstColumn="0" w:lastRowLastColumn="0"/>
            </w:pPr>
            <w:r w:rsidRPr="005D741C">
              <w:t>i.e. bacterial blood stream infection, surgical site infection, intravascular device</w:t>
            </w:r>
          </w:p>
        </w:tc>
      </w:tr>
      <w:tr w:rsidR="00F8141A" w14:paraId="4541FC96" w14:textId="77777777" w:rsidTr="00F8141A">
        <w:tc>
          <w:tcPr>
            <w:cnfStyle w:val="001000000000" w:firstRow="0" w:lastRow="0" w:firstColumn="1" w:lastColumn="0" w:oddVBand="0" w:evenVBand="0" w:oddHBand="0" w:evenHBand="0" w:firstRowFirstColumn="0" w:firstRowLastColumn="0" w:lastRowFirstColumn="0" w:lastRowLastColumn="0"/>
            <w:tcW w:w="2943" w:type="dxa"/>
          </w:tcPr>
          <w:p w14:paraId="29B1059A" w14:textId="77777777" w:rsidR="00F8141A" w:rsidRDefault="00F8141A" w:rsidP="00F8141A">
            <w:pPr>
              <w:spacing w:before="40" w:after="40"/>
            </w:pPr>
            <w:r>
              <w:t>Patient accidents</w:t>
            </w:r>
          </w:p>
        </w:tc>
        <w:tc>
          <w:tcPr>
            <w:tcW w:w="7263" w:type="dxa"/>
          </w:tcPr>
          <w:p w14:paraId="0730AC5B" w14:textId="77777777" w:rsidR="00F8141A" w:rsidRPr="005D741C" w:rsidRDefault="00F8141A" w:rsidP="00F8141A">
            <w:pPr>
              <w:spacing w:before="40" w:after="40"/>
              <w:ind w:left="34"/>
              <w:cnfStyle w:val="000000000000" w:firstRow="0" w:lastRow="0" w:firstColumn="0" w:lastColumn="0" w:oddVBand="0" w:evenVBand="0" w:oddHBand="0" w:evenHBand="0" w:firstRowFirstColumn="0" w:firstRowLastColumn="0" w:lastRowFirstColumn="0" w:lastRowLastColumn="0"/>
            </w:pPr>
            <w:r>
              <w:t>Patient</w:t>
            </w:r>
            <w:r w:rsidRPr="005D741C">
              <w:t xml:space="preserve"> harmed in care by accident</w:t>
            </w:r>
          </w:p>
          <w:p w14:paraId="7150D681" w14:textId="77777777" w:rsidR="00F8141A" w:rsidRPr="005D741C" w:rsidRDefault="00F8141A" w:rsidP="00F8141A">
            <w:pPr>
              <w:spacing w:before="40" w:after="40"/>
              <w:ind w:left="34"/>
              <w:cnfStyle w:val="000000000000" w:firstRow="0" w:lastRow="0" w:firstColumn="0" w:lastColumn="0" w:oddVBand="0" w:evenVBand="0" w:oddHBand="0" w:evenHBand="0" w:firstRowFirstColumn="0" w:firstRowLastColumn="0" w:lastRowFirstColumn="0" w:lastRowLastColumn="0"/>
            </w:pPr>
            <w:r>
              <w:t>i.e. b</w:t>
            </w:r>
            <w:r w:rsidRPr="005D741C">
              <w:t>ed entrapment, drowning</w:t>
            </w:r>
          </w:p>
        </w:tc>
      </w:tr>
    </w:tbl>
    <w:p w14:paraId="0F83EBB9" w14:textId="77777777" w:rsidR="00F8141A" w:rsidRDefault="00F8141A" w:rsidP="00F8141A">
      <w:r>
        <w:br w:type="page"/>
      </w:r>
    </w:p>
    <w:p w14:paraId="52F6DAE4" w14:textId="3D86C61C" w:rsidR="00F8141A" w:rsidRDefault="00F8141A" w:rsidP="00E821C7">
      <w:pPr>
        <w:pStyle w:val="Heading1"/>
        <w:framePr w:wrap="around"/>
      </w:pPr>
      <w:r w:rsidRPr="00F8141A">
        <w:lastRenderedPageBreak/>
        <w:t xml:space="preserve">Appendix 2 </w:t>
      </w:r>
      <w:r w:rsidR="009B0336">
        <w:t xml:space="preserve">– </w:t>
      </w:r>
      <w:r w:rsidRPr="00F8141A">
        <w:t>Recommendation hierarchy</w:t>
      </w:r>
    </w:p>
    <w:tbl>
      <w:tblPr>
        <w:tblStyle w:val="TableGrid"/>
        <w:tblW w:w="0" w:type="auto"/>
        <w:tblLook w:val="04A0" w:firstRow="1" w:lastRow="0" w:firstColumn="1" w:lastColumn="0" w:noHBand="0" w:noVBand="1"/>
      </w:tblPr>
      <w:tblGrid>
        <w:gridCol w:w="1701"/>
        <w:gridCol w:w="3686"/>
        <w:gridCol w:w="4817"/>
      </w:tblGrid>
      <w:tr w:rsidR="00F8141A" w:rsidRPr="0023511F" w14:paraId="1EAEC97B" w14:textId="77777777" w:rsidTr="00F8141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63384FFE" w14:textId="77777777" w:rsidR="00F8141A" w:rsidRPr="0023511F" w:rsidRDefault="00F8141A" w:rsidP="00F8141A">
            <w:pPr>
              <w:pStyle w:val="Tableheader"/>
            </w:pPr>
            <w:r w:rsidRPr="0023511F">
              <w:t>Recommendation strength</w:t>
            </w:r>
          </w:p>
        </w:tc>
        <w:tc>
          <w:tcPr>
            <w:tcW w:w="3686" w:type="dxa"/>
            <w:vAlign w:val="center"/>
          </w:tcPr>
          <w:p w14:paraId="0261A416" w14:textId="77777777" w:rsidR="00F8141A" w:rsidRPr="0023511F" w:rsidRDefault="00F8141A" w:rsidP="00F8141A">
            <w:pPr>
              <w:pStyle w:val="Tableheader"/>
              <w:cnfStyle w:val="100000000000" w:firstRow="1" w:lastRow="0" w:firstColumn="0" w:lastColumn="0" w:oddVBand="0" w:evenVBand="0" w:oddHBand="0" w:evenHBand="0" w:firstRowFirstColumn="0" w:firstRowLastColumn="0" w:lastRowFirstColumn="0" w:lastRowLastColumn="0"/>
            </w:pPr>
            <w:r w:rsidRPr="0023511F">
              <w:t>Recommendation category</w:t>
            </w:r>
          </w:p>
        </w:tc>
        <w:tc>
          <w:tcPr>
            <w:tcW w:w="4817" w:type="dxa"/>
            <w:vAlign w:val="center"/>
          </w:tcPr>
          <w:p w14:paraId="76E0872D" w14:textId="77777777" w:rsidR="00F8141A" w:rsidRPr="0023511F" w:rsidRDefault="00F8141A" w:rsidP="00F8141A">
            <w:pPr>
              <w:pStyle w:val="Tableheader"/>
              <w:cnfStyle w:val="100000000000" w:firstRow="1" w:lastRow="0" w:firstColumn="0" w:lastColumn="0" w:oddVBand="0" w:evenVBand="0" w:oddHBand="0" w:evenHBand="0" w:firstRowFirstColumn="0" w:firstRowLastColumn="0" w:lastRowFirstColumn="0" w:lastRowLastColumn="0"/>
            </w:pPr>
            <w:r w:rsidRPr="0023511F">
              <w:t>Example</w:t>
            </w:r>
          </w:p>
        </w:tc>
      </w:tr>
      <w:tr w:rsidR="00F8141A" w:rsidRPr="0023511F" w14:paraId="216E3CE5" w14:textId="77777777" w:rsidTr="00F8141A">
        <w:tc>
          <w:tcPr>
            <w:cnfStyle w:val="001000000000" w:firstRow="0" w:lastRow="0" w:firstColumn="1" w:lastColumn="0" w:oddVBand="0" w:evenVBand="0" w:oddHBand="0" w:evenHBand="0" w:firstRowFirstColumn="0" w:firstRowLastColumn="0" w:lastRowFirstColumn="0" w:lastRowLastColumn="0"/>
            <w:tcW w:w="1701" w:type="dxa"/>
          </w:tcPr>
          <w:p w14:paraId="32742F1A" w14:textId="77777777" w:rsidR="00F8141A" w:rsidRPr="0013529D" w:rsidRDefault="00F8141A" w:rsidP="00F8141A">
            <w:pPr>
              <w:pStyle w:val="Tabletext"/>
              <w:rPr>
                <w:rStyle w:val="Strong"/>
                <w:rFonts w:eastAsiaTheme="majorEastAsia"/>
                <w:szCs w:val="16"/>
              </w:rPr>
            </w:pPr>
            <w:r w:rsidRPr="0013529D">
              <w:rPr>
                <w:rStyle w:val="Strong"/>
                <w:rFonts w:eastAsiaTheme="majorEastAsia"/>
                <w:szCs w:val="16"/>
              </w:rPr>
              <w:t>Strong actions</w:t>
            </w:r>
          </w:p>
        </w:tc>
        <w:tc>
          <w:tcPr>
            <w:tcW w:w="3686" w:type="dxa"/>
          </w:tcPr>
          <w:p w14:paraId="2E3FD3DC" w14:textId="77777777" w:rsidR="00F8141A" w:rsidRPr="0023511F" w:rsidRDefault="00F8141A" w:rsidP="00F8141A">
            <w:pPr>
              <w:pStyle w:val="Tabletext"/>
              <w:cnfStyle w:val="000000000000" w:firstRow="0" w:lastRow="0" w:firstColumn="0" w:lastColumn="0" w:oddVBand="0" w:evenVBand="0" w:oddHBand="0" w:evenHBand="0" w:firstRowFirstColumn="0" w:firstRowLastColumn="0" w:lastRowFirstColumn="0" w:lastRowLastColumn="0"/>
            </w:pPr>
            <w:r w:rsidRPr="0023511F">
              <w:t>Architectural/physical changes in surroundings</w:t>
            </w:r>
          </w:p>
        </w:tc>
        <w:tc>
          <w:tcPr>
            <w:tcW w:w="4817" w:type="dxa"/>
          </w:tcPr>
          <w:p w14:paraId="61AF6979" w14:textId="77777777" w:rsidR="00F8141A" w:rsidRPr="0023511F" w:rsidRDefault="00F8141A" w:rsidP="00F8141A">
            <w:pPr>
              <w:pStyle w:val="Tabletext"/>
              <w:cnfStyle w:val="000000000000" w:firstRow="0" w:lastRow="0" w:firstColumn="0" w:lastColumn="0" w:oddVBand="0" w:evenVBand="0" w:oddHBand="0" w:evenHBand="0" w:firstRowFirstColumn="0" w:firstRowLastColumn="0" w:lastRowFirstColumn="0" w:lastRowLastColumn="0"/>
            </w:pPr>
            <w:r w:rsidRPr="0023511F">
              <w:t>Replace revolving doors at the main entrance into the building with powered sliding or swinging doors to reduce patient falls</w:t>
            </w:r>
          </w:p>
        </w:tc>
      </w:tr>
      <w:tr w:rsidR="00F8141A" w:rsidRPr="0023511F" w14:paraId="0F8AA49F" w14:textId="77777777" w:rsidTr="00F8141A">
        <w:tc>
          <w:tcPr>
            <w:cnfStyle w:val="001000000000" w:firstRow="0" w:lastRow="0" w:firstColumn="1" w:lastColumn="0" w:oddVBand="0" w:evenVBand="0" w:oddHBand="0" w:evenHBand="0" w:firstRowFirstColumn="0" w:firstRowLastColumn="0" w:lastRowFirstColumn="0" w:lastRowLastColumn="0"/>
            <w:tcW w:w="1701" w:type="dxa"/>
          </w:tcPr>
          <w:p w14:paraId="1D22F349" w14:textId="77777777" w:rsidR="00F8141A" w:rsidRPr="0013529D" w:rsidRDefault="00F8141A" w:rsidP="00F8141A">
            <w:pPr>
              <w:pStyle w:val="Tabletext"/>
              <w:rPr>
                <w:rStyle w:val="Strong"/>
                <w:rFonts w:eastAsiaTheme="majorEastAsia"/>
                <w:szCs w:val="16"/>
              </w:rPr>
            </w:pPr>
            <w:r w:rsidRPr="0013529D">
              <w:rPr>
                <w:rStyle w:val="Strong"/>
                <w:rFonts w:eastAsiaTheme="majorEastAsia"/>
                <w:szCs w:val="16"/>
              </w:rPr>
              <w:t>Strong actions</w:t>
            </w:r>
          </w:p>
        </w:tc>
        <w:tc>
          <w:tcPr>
            <w:tcW w:w="3686" w:type="dxa"/>
          </w:tcPr>
          <w:p w14:paraId="60DC060B" w14:textId="77777777" w:rsidR="00F8141A" w:rsidRPr="0023511F" w:rsidRDefault="00F8141A" w:rsidP="00F8141A">
            <w:pPr>
              <w:pStyle w:val="Tabletext"/>
              <w:cnfStyle w:val="000000000000" w:firstRow="0" w:lastRow="0" w:firstColumn="0" w:lastColumn="0" w:oddVBand="0" w:evenVBand="0" w:oddHBand="0" w:evenHBand="0" w:firstRowFirstColumn="0" w:firstRowLastColumn="0" w:lastRowFirstColumn="0" w:lastRowLastColumn="0"/>
            </w:pPr>
            <w:r w:rsidRPr="0023511F">
              <w:t>New devices with usability testing</w:t>
            </w:r>
          </w:p>
        </w:tc>
        <w:tc>
          <w:tcPr>
            <w:tcW w:w="4817" w:type="dxa"/>
          </w:tcPr>
          <w:p w14:paraId="73E0BB9E" w14:textId="77777777" w:rsidR="00F8141A" w:rsidRPr="0023511F" w:rsidRDefault="00F8141A" w:rsidP="00F8141A">
            <w:pPr>
              <w:pStyle w:val="Tabletext"/>
              <w:cnfStyle w:val="000000000000" w:firstRow="0" w:lastRow="0" w:firstColumn="0" w:lastColumn="0" w:oddVBand="0" w:evenVBand="0" w:oddHBand="0" w:evenHBand="0" w:firstRowFirstColumn="0" w:firstRowLastColumn="0" w:lastRowFirstColumn="0" w:lastRowLastColumn="0"/>
            </w:pPr>
            <w:r w:rsidRPr="0023511F">
              <w:t>Perform pre-purchase testing of blood glucose monitors and test strips to select the most appropriate for the patient population</w:t>
            </w:r>
          </w:p>
        </w:tc>
      </w:tr>
      <w:tr w:rsidR="00F8141A" w:rsidRPr="0023511F" w14:paraId="3192C350" w14:textId="77777777" w:rsidTr="00F8141A">
        <w:tc>
          <w:tcPr>
            <w:cnfStyle w:val="001000000000" w:firstRow="0" w:lastRow="0" w:firstColumn="1" w:lastColumn="0" w:oddVBand="0" w:evenVBand="0" w:oddHBand="0" w:evenHBand="0" w:firstRowFirstColumn="0" w:firstRowLastColumn="0" w:lastRowFirstColumn="0" w:lastRowLastColumn="0"/>
            <w:tcW w:w="1701" w:type="dxa"/>
          </w:tcPr>
          <w:p w14:paraId="54DA23EE" w14:textId="77777777" w:rsidR="00F8141A" w:rsidRPr="0013529D" w:rsidRDefault="00F8141A" w:rsidP="00F8141A">
            <w:pPr>
              <w:pStyle w:val="Tabletext"/>
              <w:rPr>
                <w:rStyle w:val="Strong"/>
                <w:rFonts w:eastAsiaTheme="majorEastAsia"/>
                <w:szCs w:val="16"/>
              </w:rPr>
            </w:pPr>
            <w:r w:rsidRPr="0013529D">
              <w:rPr>
                <w:rStyle w:val="Strong"/>
                <w:rFonts w:eastAsiaTheme="majorEastAsia"/>
                <w:szCs w:val="16"/>
              </w:rPr>
              <w:t>Strong actions</w:t>
            </w:r>
          </w:p>
        </w:tc>
        <w:tc>
          <w:tcPr>
            <w:tcW w:w="3686" w:type="dxa"/>
          </w:tcPr>
          <w:p w14:paraId="4FA135D4" w14:textId="77777777" w:rsidR="00F8141A" w:rsidRPr="0023511F" w:rsidRDefault="00F8141A" w:rsidP="00F8141A">
            <w:pPr>
              <w:pStyle w:val="Tabletext"/>
              <w:cnfStyle w:val="000000000000" w:firstRow="0" w:lastRow="0" w:firstColumn="0" w:lastColumn="0" w:oddVBand="0" w:evenVBand="0" w:oddHBand="0" w:evenHBand="0" w:firstRowFirstColumn="0" w:firstRowLastColumn="0" w:lastRowFirstColumn="0" w:lastRowLastColumn="0"/>
            </w:pPr>
            <w:r w:rsidRPr="0023511F">
              <w:t>Engineering control (forcing functions which force the user to complete the action)</w:t>
            </w:r>
          </w:p>
        </w:tc>
        <w:tc>
          <w:tcPr>
            <w:tcW w:w="4817" w:type="dxa"/>
          </w:tcPr>
          <w:p w14:paraId="769AF415" w14:textId="77777777" w:rsidR="00F8141A" w:rsidRPr="0023511F" w:rsidRDefault="00F8141A" w:rsidP="00F8141A">
            <w:pPr>
              <w:pStyle w:val="Tabletext"/>
              <w:cnfStyle w:val="000000000000" w:firstRow="0" w:lastRow="0" w:firstColumn="0" w:lastColumn="0" w:oddVBand="0" w:evenVBand="0" w:oddHBand="0" w:evenHBand="0" w:firstRowFirstColumn="0" w:firstRowLastColumn="0" w:lastRowFirstColumn="0" w:lastRowLastColumn="0"/>
            </w:pPr>
            <w:r w:rsidRPr="0023511F">
              <w:t>Eliminate the use of universal adapters and peripheral devices for medical equipment; use tubing/fittings that can only be connected the correct way</w:t>
            </w:r>
          </w:p>
        </w:tc>
      </w:tr>
      <w:tr w:rsidR="00F8141A" w:rsidRPr="0023511F" w14:paraId="04D6977E" w14:textId="77777777" w:rsidTr="00F8141A">
        <w:tc>
          <w:tcPr>
            <w:cnfStyle w:val="001000000000" w:firstRow="0" w:lastRow="0" w:firstColumn="1" w:lastColumn="0" w:oddVBand="0" w:evenVBand="0" w:oddHBand="0" w:evenHBand="0" w:firstRowFirstColumn="0" w:firstRowLastColumn="0" w:lastRowFirstColumn="0" w:lastRowLastColumn="0"/>
            <w:tcW w:w="1701" w:type="dxa"/>
            <w:tcBorders>
              <w:bottom w:val="single" w:sz="4" w:space="0" w:color="auto"/>
            </w:tcBorders>
          </w:tcPr>
          <w:p w14:paraId="665BAD4D" w14:textId="77777777" w:rsidR="00F8141A" w:rsidRPr="0013529D" w:rsidRDefault="00F8141A" w:rsidP="00F8141A">
            <w:pPr>
              <w:pStyle w:val="Tabletext"/>
              <w:rPr>
                <w:rStyle w:val="Strong"/>
                <w:rFonts w:eastAsiaTheme="majorEastAsia"/>
                <w:szCs w:val="16"/>
              </w:rPr>
            </w:pPr>
            <w:r w:rsidRPr="0013529D">
              <w:rPr>
                <w:rStyle w:val="Strong"/>
                <w:rFonts w:eastAsiaTheme="majorEastAsia"/>
                <w:szCs w:val="16"/>
              </w:rPr>
              <w:t>Strong actions</w:t>
            </w:r>
          </w:p>
        </w:tc>
        <w:tc>
          <w:tcPr>
            <w:tcW w:w="3686" w:type="dxa"/>
            <w:tcBorders>
              <w:bottom w:val="single" w:sz="4" w:space="0" w:color="auto"/>
            </w:tcBorders>
          </w:tcPr>
          <w:p w14:paraId="6614499F" w14:textId="77777777" w:rsidR="00F8141A" w:rsidRPr="0023511F" w:rsidRDefault="00F8141A" w:rsidP="00F8141A">
            <w:pPr>
              <w:pStyle w:val="Tabletext"/>
              <w:cnfStyle w:val="000000000000" w:firstRow="0" w:lastRow="0" w:firstColumn="0" w:lastColumn="0" w:oddVBand="0" w:evenVBand="0" w:oddHBand="0" w:evenHBand="0" w:firstRowFirstColumn="0" w:firstRowLastColumn="0" w:lastRowFirstColumn="0" w:lastRowLastColumn="0"/>
            </w:pPr>
            <w:r w:rsidRPr="0023511F">
              <w:t>Simplify process and remove unnecessary steps</w:t>
            </w:r>
          </w:p>
        </w:tc>
        <w:tc>
          <w:tcPr>
            <w:tcW w:w="4817" w:type="dxa"/>
            <w:tcBorders>
              <w:bottom w:val="single" w:sz="4" w:space="0" w:color="auto"/>
            </w:tcBorders>
          </w:tcPr>
          <w:p w14:paraId="3359531F" w14:textId="77777777" w:rsidR="00F8141A" w:rsidRPr="0023511F" w:rsidRDefault="00F8141A" w:rsidP="00F8141A">
            <w:pPr>
              <w:pStyle w:val="Tabletext"/>
              <w:cnfStyle w:val="000000000000" w:firstRow="0" w:lastRow="0" w:firstColumn="0" w:lastColumn="0" w:oddVBand="0" w:evenVBand="0" w:oddHBand="0" w:evenHBand="0" w:firstRowFirstColumn="0" w:firstRowLastColumn="0" w:lastRowFirstColumn="0" w:lastRowLastColumn="0"/>
            </w:pPr>
            <w:r w:rsidRPr="0023511F">
              <w:t xml:space="preserve">Remove unnecessary steps in a process; standardise the make and model of medication pumps used throughout the </w:t>
            </w:r>
            <w:r w:rsidR="00CF4B3C">
              <w:t>service</w:t>
            </w:r>
            <w:r w:rsidRPr="0023511F">
              <w:t>; use barcoding for medication administration</w:t>
            </w:r>
          </w:p>
        </w:tc>
      </w:tr>
      <w:tr w:rsidR="00F8141A" w:rsidRPr="0023511F" w14:paraId="242252F9" w14:textId="77777777" w:rsidTr="00F8141A">
        <w:tc>
          <w:tcPr>
            <w:cnfStyle w:val="001000000000" w:firstRow="0" w:lastRow="0" w:firstColumn="1" w:lastColumn="0" w:oddVBand="0" w:evenVBand="0" w:oddHBand="0" w:evenHBand="0" w:firstRowFirstColumn="0" w:firstRowLastColumn="0" w:lastRowFirstColumn="0" w:lastRowLastColumn="0"/>
            <w:tcW w:w="1701" w:type="dxa"/>
            <w:tcBorders>
              <w:bottom w:val="single" w:sz="12" w:space="0" w:color="auto"/>
            </w:tcBorders>
          </w:tcPr>
          <w:p w14:paraId="377E7E56" w14:textId="77777777" w:rsidR="00F8141A" w:rsidRPr="0013529D" w:rsidRDefault="00F8141A" w:rsidP="00F8141A">
            <w:pPr>
              <w:pStyle w:val="Tabletext"/>
              <w:rPr>
                <w:rStyle w:val="Strong"/>
                <w:rFonts w:eastAsiaTheme="majorEastAsia"/>
                <w:szCs w:val="16"/>
              </w:rPr>
            </w:pPr>
            <w:r w:rsidRPr="0013529D">
              <w:rPr>
                <w:rStyle w:val="Strong"/>
                <w:rFonts w:eastAsiaTheme="majorEastAsia"/>
                <w:szCs w:val="16"/>
              </w:rPr>
              <w:t>Strong actions</w:t>
            </w:r>
          </w:p>
        </w:tc>
        <w:tc>
          <w:tcPr>
            <w:tcW w:w="3686" w:type="dxa"/>
            <w:tcBorders>
              <w:bottom w:val="single" w:sz="12" w:space="0" w:color="auto"/>
            </w:tcBorders>
          </w:tcPr>
          <w:p w14:paraId="0AC1809D" w14:textId="77777777" w:rsidR="00F8141A" w:rsidRPr="0023511F" w:rsidRDefault="00F8141A" w:rsidP="00F8141A">
            <w:pPr>
              <w:pStyle w:val="Tabletext"/>
              <w:cnfStyle w:val="000000000000" w:firstRow="0" w:lastRow="0" w:firstColumn="0" w:lastColumn="0" w:oddVBand="0" w:evenVBand="0" w:oddHBand="0" w:evenHBand="0" w:firstRowFirstColumn="0" w:firstRowLastColumn="0" w:lastRowFirstColumn="0" w:lastRowLastColumn="0"/>
            </w:pPr>
            <w:r w:rsidRPr="0023511F">
              <w:t>Tangible involvement by leadership</w:t>
            </w:r>
          </w:p>
        </w:tc>
        <w:tc>
          <w:tcPr>
            <w:tcW w:w="4817" w:type="dxa"/>
            <w:tcBorders>
              <w:bottom w:val="single" w:sz="12" w:space="0" w:color="auto"/>
            </w:tcBorders>
          </w:tcPr>
          <w:p w14:paraId="3C6FB292" w14:textId="77777777" w:rsidR="00F8141A" w:rsidRPr="0023511F" w:rsidRDefault="00F8141A" w:rsidP="00F8141A">
            <w:pPr>
              <w:pStyle w:val="Tabletext"/>
              <w:cnfStyle w:val="000000000000" w:firstRow="0" w:lastRow="0" w:firstColumn="0" w:lastColumn="0" w:oddVBand="0" w:evenVBand="0" w:oddHBand="0" w:evenHBand="0" w:firstRowFirstColumn="0" w:firstRowLastColumn="0" w:lastRowFirstColumn="0" w:lastRowLastColumn="0"/>
            </w:pPr>
            <w:r w:rsidRPr="0023511F">
              <w:t>Participate in unit patient safety evaluations and interact with staff; support the RCA process; purchase needed equipment; ensure staffing and workload is balanced</w:t>
            </w:r>
          </w:p>
        </w:tc>
      </w:tr>
      <w:tr w:rsidR="00F8141A" w:rsidRPr="0023511F" w14:paraId="6B762032" w14:textId="77777777" w:rsidTr="00F8141A">
        <w:tc>
          <w:tcPr>
            <w:cnfStyle w:val="001000000000" w:firstRow="0" w:lastRow="0" w:firstColumn="1" w:lastColumn="0" w:oddVBand="0" w:evenVBand="0" w:oddHBand="0" w:evenHBand="0" w:firstRowFirstColumn="0" w:firstRowLastColumn="0" w:lastRowFirstColumn="0" w:lastRowLastColumn="0"/>
            <w:tcW w:w="1701" w:type="dxa"/>
            <w:tcBorders>
              <w:top w:val="single" w:sz="12" w:space="0" w:color="auto"/>
            </w:tcBorders>
          </w:tcPr>
          <w:p w14:paraId="53D5DC51" w14:textId="77777777" w:rsidR="00F8141A" w:rsidRPr="0013529D" w:rsidRDefault="00F8141A" w:rsidP="00F8141A">
            <w:pPr>
              <w:pStyle w:val="Tabletext"/>
              <w:rPr>
                <w:rStyle w:val="Strong"/>
                <w:rFonts w:eastAsiaTheme="majorEastAsia"/>
                <w:szCs w:val="16"/>
              </w:rPr>
            </w:pPr>
            <w:r w:rsidRPr="0013529D">
              <w:rPr>
                <w:rStyle w:val="Strong"/>
                <w:rFonts w:eastAsiaTheme="majorEastAsia"/>
                <w:szCs w:val="16"/>
              </w:rPr>
              <w:t>Moderate actions</w:t>
            </w:r>
          </w:p>
        </w:tc>
        <w:tc>
          <w:tcPr>
            <w:tcW w:w="3686" w:type="dxa"/>
            <w:tcBorders>
              <w:top w:val="single" w:sz="12" w:space="0" w:color="auto"/>
            </w:tcBorders>
          </w:tcPr>
          <w:p w14:paraId="4E7202AA" w14:textId="77777777" w:rsidR="00F8141A" w:rsidRPr="0023511F" w:rsidRDefault="00F8141A" w:rsidP="00F8141A">
            <w:pPr>
              <w:pStyle w:val="Tabletext"/>
              <w:cnfStyle w:val="000000000000" w:firstRow="0" w:lastRow="0" w:firstColumn="0" w:lastColumn="0" w:oddVBand="0" w:evenVBand="0" w:oddHBand="0" w:evenHBand="0" w:firstRowFirstColumn="0" w:firstRowLastColumn="0" w:lastRowFirstColumn="0" w:lastRowLastColumn="0"/>
            </w:pPr>
            <w:r w:rsidRPr="0023511F">
              <w:t>Redundancy</w:t>
            </w:r>
          </w:p>
        </w:tc>
        <w:tc>
          <w:tcPr>
            <w:tcW w:w="4817" w:type="dxa"/>
            <w:tcBorders>
              <w:top w:val="single" w:sz="12" w:space="0" w:color="auto"/>
            </w:tcBorders>
          </w:tcPr>
          <w:p w14:paraId="06DD1B8A" w14:textId="77777777" w:rsidR="00F8141A" w:rsidRPr="0023511F" w:rsidRDefault="00F8141A" w:rsidP="00F8141A">
            <w:pPr>
              <w:pStyle w:val="Tabletext"/>
              <w:cnfStyle w:val="000000000000" w:firstRow="0" w:lastRow="0" w:firstColumn="0" w:lastColumn="0" w:oddVBand="0" w:evenVBand="0" w:oddHBand="0" w:evenHBand="0" w:firstRowFirstColumn="0" w:firstRowLastColumn="0" w:lastRowFirstColumn="0" w:lastRowLastColumn="0"/>
            </w:pPr>
            <w:r w:rsidRPr="0023511F">
              <w:t xml:space="preserve">Use two </w:t>
            </w:r>
            <w:r>
              <w:t xml:space="preserve">registered nurses </w:t>
            </w:r>
            <w:r w:rsidRPr="0023511F">
              <w:t>to independently calculate high-risk medication dosages</w:t>
            </w:r>
          </w:p>
        </w:tc>
      </w:tr>
      <w:tr w:rsidR="00F8141A" w:rsidRPr="0023511F" w14:paraId="2D8EEE4A" w14:textId="77777777" w:rsidTr="00F8141A">
        <w:tc>
          <w:tcPr>
            <w:cnfStyle w:val="001000000000" w:firstRow="0" w:lastRow="0" w:firstColumn="1" w:lastColumn="0" w:oddVBand="0" w:evenVBand="0" w:oddHBand="0" w:evenHBand="0" w:firstRowFirstColumn="0" w:firstRowLastColumn="0" w:lastRowFirstColumn="0" w:lastRowLastColumn="0"/>
            <w:tcW w:w="1701" w:type="dxa"/>
          </w:tcPr>
          <w:p w14:paraId="2DBE1EAB" w14:textId="77777777" w:rsidR="00F8141A" w:rsidRPr="0013529D" w:rsidRDefault="00F8141A" w:rsidP="00F8141A">
            <w:pPr>
              <w:pStyle w:val="Tabletext"/>
              <w:rPr>
                <w:rStyle w:val="Strong"/>
                <w:rFonts w:eastAsiaTheme="majorEastAsia"/>
                <w:szCs w:val="16"/>
              </w:rPr>
            </w:pPr>
            <w:r w:rsidRPr="0013529D">
              <w:rPr>
                <w:rStyle w:val="Strong"/>
                <w:rFonts w:eastAsiaTheme="majorEastAsia"/>
                <w:szCs w:val="16"/>
              </w:rPr>
              <w:t>Moderate actions</w:t>
            </w:r>
          </w:p>
        </w:tc>
        <w:tc>
          <w:tcPr>
            <w:tcW w:w="3686" w:type="dxa"/>
          </w:tcPr>
          <w:p w14:paraId="71AB4D60" w14:textId="77777777" w:rsidR="00F8141A" w:rsidRPr="0023511F" w:rsidRDefault="00F8141A" w:rsidP="00F8141A">
            <w:pPr>
              <w:pStyle w:val="Tabletext"/>
              <w:cnfStyle w:val="000000000000" w:firstRow="0" w:lastRow="0" w:firstColumn="0" w:lastColumn="0" w:oddVBand="0" w:evenVBand="0" w:oddHBand="0" w:evenHBand="0" w:firstRowFirstColumn="0" w:firstRowLastColumn="0" w:lastRowFirstColumn="0" w:lastRowLastColumn="0"/>
            </w:pPr>
            <w:r w:rsidRPr="0023511F">
              <w:t>Increase in staffing/decrease in workload</w:t>
            </w:r>
          </w:p>
        </w:tc>
        <w:tc>
          <w:tcPr>
            <w:tcW w:w="4817" w:type="dxa"/>
          </w:tcPr>
          <w:p w14:paraId="53C4521C" w14:textId="77777777" w:rsidR="00F8141A" w:rsidRPr="0023511F" w:rsidRDefault="00F8141A" w:rsidP="00F8141A">
            <w:pPr>
              <w:pStyle w:val="Tabletext"/>
              <w:cnfStyle w:val="000000000000" w:firstRow="0" w:lastRow="0" w:firstColumn="0" w:lastColumn="0" w:oddVBand="0" w:evenVBand="0" w:oddHBand="0" w:evenHBand="0" w:firstRowFirstColumn="0" w:firstRowLastColumn="0" w:lastRowFirstColumn="0" w:lastRowLastColumn="0"/>
            </w:pPr>
            <w:r w:rsidRPr="0023511F">
              <w:t>Make float staff available to assist when workloads peak during the day</w:t>
            </w:r>
          </w:p>
        </w:tc>
      </w:tr>
      <w:tr w:rsidR="00F8141A" w:rsidRPr="0023511F" w14:paraId="377CCFB4" w14:textId="77777777" w:rsidTr="00F8141A">
        <w:tc>
          <w:tcPr>
            <w:cnfStyle w:val="001000000000" w:firstRow="0" w:lastRow="0" w:firstColumn="1" w:lastColumn="0" w:oddVBand="0" w:evenVBand="0" w:oddHBand="0" w:evenHBand="0" w:firstRowFirstColumn="0" w:firstRowLastColumn="0" w:lastRowFirstColumn="0" w:lastRowLastColumn="0"/>
            <w:tcW w:w="1701" w:type="dxa"/>
          </w:tcPr>
          <w:p w14:paraId="5F5858DC" w14:textId="77777777" w:rsidR="00F8141A" w:rsidRPr="0013529D" w:rsidRDefault="00F8141A" w:rsidP="00F8141A">
            <w:pPr>
              <w:pStyle w:val="Tabletext"/>
              <w:rPr>
                <w:rStyle w:val="Strong"/>
                <w:rFonts w:eastAsiaTheme="majorEastAsia"/>
                <w:szCs w:val="16"/>
              </w:rPr>
            </w:pPr>
            <w:r w:rsidRPr="0013529D">
              <w:rPr>
                <w:rStyle w:val="Strong"/>
                <w:rFonts w:eastAsiaTheme="majorEastAsia"/>
                <w:szCs w:val="16"/>
              </w:rPr>
              <w:t>Moderate actions</w:t>
            </w:r>
          </w:p>
        </w:tc>
        <w:tc>
          <w:tcPr>
            <w:tcW w:w="3686" w:type="dxa"/>
          </w:tcPr>
          <w:p w14:paraId="5B55D0CE" w14:textId="77777777" w:rsidR="00F8141A" w:rsidRPr="0023511F" w:rsidRDefault="00F8141A" w:rsidP="00F8141A">
            <w:pPr>
              <w:pStyle w:val="Tabletext"/>
              <w:cnfStyle w:val="000000000000" w:firstRow="0" w:lastRow="0" w:firstColumn="0" w:lastColumn="0" w:oddVBand="0" w:evenVBand="0" w:oddHBand="0" w:evenHBand="0" w:firstRowFirstColumn="0" w:firstRowLastColumn="0" w:lastRowFirstColumn="0" w:lastRowLastColumn="0"/>
            </w:pPr>
            <w:r w:rsidRPr="0023511F">
              <w:t>Software enhancements or modifications</w:t>
            </w:r>
          </w:p>
        </w:tc>
        <w:tc>
          <w:tcPr>
            <w:tcW w:w="4817" w:type="dxa"/>
          </w:tcPr>
          <w:p w14:paraId="0638435C" w14:textId="77777777" w:rsidR="00F8141A" w:rsidRPr="0023511F" w:rsidRDefault="00F8141A" w:rsidP="00F8141A">
            <w:pPr>
              <w:pStyle w:val="Tabletext"/>
              <w:cnfStyle w:val="000000000000" w:firstRow="0" w:lastRow="0" w:firstColumn="0" w:lastColumn="0" w:oddVBand="0" w:evenVBand="0" w:oddHBand="0" w:evenHBand="0" w:firstRowFirstColumn="0" w:firstRowLastColumn="0" w:lastRowFirstColumn="0" w:lastRowLastColumn="0"/>
            </w:pPr>
            <w:r w:rsidRPr="0023511F">
              <w:t>Use computer alerts for drug–drug interactions</w:t>
            </w:r>
          </w:p>
        </w:tc>
      </w:tr>
      <w:tr w:rsidR="00F8141A" w:rsidRPr="0023511F" w14:paraId="330FBACF" w14:textId="77777777" w:rsidTr="00F8141A">
        <w:tc>
          <w:tcPr>
            <w:cnfStyle w:val="001000000000" w:firstRow="0" w:lastRow="0" w:firstColumn="1" w:lastColumn="0" w:oddVBand="0" w:evenVBand="0" w:oddHBand="0" w:evenHBand="0" w:firstRowFirstColumn="0" w:firstRowLastColumn="0" w:lastRowFirstColumn="0" w:lastRowLastColumn="0"/>
            <w:tcW w:w="1701" w:type="dxa"/>
          </w:tcPr>
          <w:p w14:paraId="4A38F778" w14:textId="77777777" w:rsidR="00F8141A" w:rsidRPr="0013529D" w:rsidRDefault="00F8141A" w:rsidP="00F8141A">
            <w:pPr>
              <w:pStyle w:val="Tabletext"/>
              <w:rPr>
                <w:rStyle w:val="Strong"/>
                <w:rFonts w:eastAsiaTheme="majorEastAsia"/>
                <w:szCs w:val="16"/>
              </w:rPr>
            </w:pPr>
            <w:r w:rsidRPr="0013529D">
              <w:rPr>
                <w:rStyle w:val="Strong"/>
                <w:rFonts w:eastAsiaTheme="majorEastAsia"/>
                <w:szCs w:val="16"/>
              </w:rPr>
              <w:t>Moderate actions</w:t>
            </w:r>
          </w:p>
        </w:tc>
        <w:tc>
          <w:tcPr>
            <w:tcW w:w="3686" w:type="dxa"/>
          </w:tcPr>
          <w:p w14:paraId="067A9096" w14:textId="77777777" w:rsidR="00F8141A" w:rsidRPr="0023511F" w:rsidRDefault="00F8141A" w:rsidP="00F8141A">
            <w:pPr>
              <w:pStyle w:val="Tabletext"/>
              <w:cnfStyle w:val="000000000000" w:firstRow="0" w:lastRow="0" w:firstColumn="0" w:lastColumn="0" w:oddVBand="0" w:evenVBand="0" w:oddHBand="0" w:evenHBand="0" w:firstRowFirstColumn="0" w:firstRowLastColumn="0" w:lastRowFirstColumn="0" w:lastRowLastColumn="0"/>
            </w:pPr>
            <w:r w:rsidRPr="0023511F">
              <w:t>Eliminate/reduce distractions</w:t>
            </w:r>
          </w:p>
        </w:tc>
        <w:tc>
          <w:tcPr>
            <w:tcW w:w="4817" w:type="dxa"/>
          </w:tcPr>
          <w:p w14:paraId="270983BD" w14:textId="5785F8D2" w:rsidR="00F8141A" w:rsidRPr="0023511F" w:rsidRDefault="00F8141A" w:rsidP="00F8141A">
            <w:pPr>
              <w:pStyle w:val="Tabletext"/>
              <w:cnfStyle w:val="000000000000" w:firstRow="0" w:lastRow="0" w:firstColumn="0" w:lastColumn="0" w:oddVBand="0" w:evenVBand="0" w:oddHBand="0" w:evenHBand="0" w:firstRowFirstColumn="0" w:firstRowLastColumn="0" w:lastRowFirstColumn="0" w:lastRowLastColumn="0"/>
            </w:pPr>
            <w:r w:rsidRPr="0023511F">
              <w:t>Provide quiet rooms for programming</w:t>
            </w:r>
            <w:r>
              <w:t xml:space="preserve"> patient</w:t>
            </w:r>
            <w:r w:rsidR="00610560">
              <w:t>-</w:t>
            </w:r>
            <w:r>
              <w:t>controlled analgesia</w:t>
            </w:r>
            <w:r w:rsidRPr="0023511F">
              <w:t xml:space="preserve"> pumps; remove distractions for nurses when programming medication pumps</w:t>
            </w:r>
          </w:p>
        </w:tc>
      </w:tr>
      <w:tr w:rsidR="00F8141A" w:rsidRPr="0023511F" w14:paraId="56FCB357" w14:textId="77777777" w:rsidTr="00F8141A">
        <w:tc>
          <w:tcPr>
            <w:cnfStyle w:val="001000000000" w:firstRow="0" w:lastRow="0" w:firstColumn="1" w:lastColumn="0" w:oddVBand="0" w:evenVBand="0" w:oddHBand="0" w:evenHBand="0" w:firstRowFirstColumn="0" w:firstRowLastColumn="0" w:lastRowFirstColumn="0" w:lastRowLastColumn="0"/>
            <w:tcW w:w="1701" w:type="dxa"/>
          </w:tcPr>
          <w:p w14:paraId="7D7E662C" w14:textId="77777777" w:rsidR="00F8141A" w:rsidRPr="0013529D" w:rsidRDefault="00F8141A" w:rsidP="00F8141A">
            <w:pPr>
              <w:pStyle w:val="Tabletext"/>
              <w:rPr>
                <w:rStyle w:val="Strong"/>
                <w:rFonts w:eastAsiaTheme="majorEastAsia"/>
                <w:szCs w:val="16"/>
              </w:rPr>
            </w:pPr>
            <w:r w:rsidRPr="0013529D">
              <w:rPr>
                <w:rStyle w:val="Strong"/>
                <w:rFonts w:eastAsiaTheme="majorEastAsia"/>
                <w:szCs w:val="16"/>
              </w:rPr>
              <w:t>Moderate actions</w:t>
            </w:r>
          </w:p>
        </w:tc>
        <w:tc>
          <w:tcPr>
            <w:tcW w:w="3686" w:type="dxa"/>
          </w:tcPr>
          <w:p w14:paraId="7522910E" w14:textId="77777777" w:rsidR="00F8141A" w:rsidRPr="0023511F" w:rsidRDefault="00F8141A" w:rsidP="00F8141A">
            <w:pPr>
              <w:pStyle w:val="Tabletext"/>
              <w:cnfStyle w:val="000000000000" w:firstRow="0" w:lastRow="0" w:firstColumn="0" w:lastColumn="0" w:oddVBand="0" w:evenVBand="0" w:oddHBand="0" w:evenHBand="0" w:firstRowFirstColumn="0" w:firstRowLastColumn="0" w:lastRowFirstColumn="0" w:lastRowLastColumn="0"/>
            </w:pPr>
            <w:r w:rsidRPr="0023511F">
              <w:t>Education using simulation-based training with periodic refresher sessions/</w:t>
            </w:r>
            <w:r>
              <w:t xml:space="preserve"> </w:t>
            </w:r>
            <w:r w:rsidRPr="0023511F">
              <w:t>observations</w:t>
            </w:r>
          </w:p>
        </w:tc>
        <w:tc>
          <w:tcPr>
            <w:tcW w:w="4817" w:type="dxa"/>
          </w:tcPr>
          <w:p w14:paraId="4A23B5A7" w14:textId="77777777" w:rsidR="00F8141A" w:rsidRPr="0023511F" w:rsidRDefault="00F8141A" w:rsidP="00F8141A">
            <w:pPr>
              <w:pStyle w:val="Tabletext"/>
              <w:cnfStyle w:val="000000000000" w:firstRow="0" w:lastRow="0" w:firstColumn="0" w:lastColumn="0" w:oddVBand="0" w:evenVBand="0" w:oddHBand="0" w:evenHBand="0" w:firstRowFirstColumn="0" w:firstRowLastColumn="0" w:lastRowFirstColumn="0" w:lastRowLastColumn="0"/>
            </w:pPr>
            <w:r w:rsidRPr="0023511F">
              <w:t>Conduct patient handover in a simulation lab environment, with after-action critiques and debriefing</w:t>
            </w:r>
          </w:p>
        </w:tc>
      </w:tr>
      <w:tr w:rsidR="00F8141A" w:rsidRPr="0023511F" w14:paraId="1457B1A8" w14:textId="77777777" w:rsidTr="00F8141A">
        <w:tc>
          <w:tcPr>
            <w:cnfStyle w:val="001000000000" w:firstRow="0" w:lastRow="0" w:firstColumn="1" w:lastColumn="0" w:oddVBand="0" w:evenVBand="0" w:oddHBand="0" w:evenHBand="0" w:firstRowFirstColumn="0" w:firstRowLastColumn="0" w:lastRowFirstColumn="0" w:lastRowLastColumn="0"/>
            <w:tcW w:w="1701" w:type="dxa"/>
          </w:tcPr>
          <w:p w14:paraId="3778EB1F" w14:textId="77777777" w:rsidR="00F8141A" w:rsidRPr="0013529D" w:rsidRDefault="00F8141A" w:rsidP="00F8141A">
            <w:pPr>
              <w:pStyle w:val="Tabletext"/>
              <w:rPr>
                <w:rStyle w:val="Strong"/>
                <w:rFonts w:eastAsiaTheme="majorEastAsia"/>
                <w:szCs w:val="16"/>
              </w:rPr>
            </w:pPr>
            <w:r w:rsidRPr="0013529D">
              <w:rPr>
                <w:rStyle w:val="Strong"/>
                <w:rFonts w:eastAsiaTheme="majorEastAsia"/>
                <w:szCs w:val="16"/>
              </w:rPr>
              <w:t>Moderate actions</w:t>
            </w:r>
          </w:p>
        </w:tc>
        <w:tc>
          <w:tcPr>
            <w:tcW w:w="3686" w:type="dxa"/>
          </w:tcPr>
          <w:p w14:paraId="34E0C7EC" w14:textId="77777777" w:rsidR="00F8141A" w:rsidRPr="0023511F" w:rsidRDefault="00F8141A" w:rsidP="00F8141A">
            <w:pPr>
              <w:pStyle w:val="Tabletext"/>
              <w:cnfStyle w:val="000000000000" w:firstRow="0" w:lastRow="0" w:firstColumn="0" w:lastColumn="0" w:oddVBand="0" w:evenVBand="0" w:oddHBand="0" w:evenHBand="0" w:firstRowFirstColumn="0" w:firstRowLastColumn="0" w:lastRowFirstColumn="0" w:lastRowLastColumn="0"/>
            </w:pPr>
            <w:r w:rsidRPr="0023511F">
              <w:t>Checklist/cognitive aids</w:t>
            </w:r>
          </w:p>
        </w:tc>
        <w:tc>
          <w:tcPr>
            <w:tcW w:w="4817" w:type="dxa"/>
          </w:tcPr>
          <w:p w14:paraId="2E628366" w14:textId="77777777" w:rsidR="00F8141A" w:rsidRPr="0023511F" w:rsidRDefault="00F8141A" w:rsidP="00F8141A">
            <w:pPr>
              <w:pStyle w:val="Tabletext"/>
              <w:cnfStyle w:val="000000000000" w:firstRow="0" w:lastRow="0" w:firstColumn="0" w:lastColumn="0" w:oddVBand="0" w:evenVBand="0" w:oddHBand="0" w:evenHBand="0" w:firstRowFirstColumn="0" w:firstRowLastColumn="0" w:lastRowFirstColumn="0" w:lastRowLastColumn="0"/>
            </w:pPr>
            <w:r w:rsidRPr="0023511F">
              <w:t>Use pre-induction and pre-incision checklists in operating rooms; use a checklist when reprocessing flexible fibre optic endoscopes</w:t>
            </w:r>
          </w:p>
        </w:tc>
      </w:tr>
      <w:tr w:rsidR="00F8141A" w:rsidRPr="0023511F" w14:paraId="55C1C211" w14:textId="77777777" w:rsidTr="00F8141A">
        <w:tc>
          <w:tcPr>
            <w:cnfStyle w:val="001000000000" w:firstRow="0" w:lastRow="0" w:firstColumn="1" w:lastColumn="0" w:oddVBand="0" w:evenVBand="0" w:oddHBand="0" w:evenHBand="0" w:firstRowFirstColumn="0" w:firstRowLastColumn="0" w:lastRowFirstColumn="0" w:lastRowLastColumn="0"/>
            <w:tcW w:w="1701" w:type="dxa"/>
          </w:tcPr>
          <w:p w14:paraId="03472618" w14:textId="77777777" w:rsidR="00F8141A" w:rsidRPr="0013529D" w:rsidRDefault="00F8141A" w:rsidP="00F8141A">
            <w:pPr>
              <w:pStyle w:val="Tabletext"/>
              <w:rPr>
                <w:rStyle w:val="Strong"/>
                <w:rFonts w:eastAsiaTheme="majorEastAsia"/>
                <w:szCs w:val="16"/>
              </w:rPr>
            </w:pPr>
            <w:r w:rsidRPr="0013529D">
              <w:rPr>
                <w:rStyle w:val="Strong"/>
                <w:rFonts w:eastAsiaTheme="majorEastAsia"/>
                <w:szCs w:val="16"/>
              </w:rPr>
              <w:t>Moderate actions</w:t>
            </w:r>
          </w:p>
        </w:tc>
        <w:tc>
          <w:tcPr>
            <w:tcW w:w="3686" w:type="dxa"/>
          </w:tcPr>
          <w:p w14:paraId="5B8D12B3" w14:textId="77777777" w:rsidR="00F8141A" w:rsidRPr="0023511F" w:rsidRDefault="00F8141A" w:rsidP="00F8141A">
            <w:pPr>
              <w:pStyle w:val="Tabletext"/>
              <w:cnfStyle w:val="000000000000" w:firstRow="0" w:lastRow="0" w:firstColumn="0" w:lastColumn="0" w:oddVBand="0" w:evenVBand="0" w:oddHBand="0" w:evenHBand="0" w:firstRowFirstColumn="0" w:firstRowLastColumn="0" w:lastRowFirstColumn="0" w:lastRowLastColumn="0"/>
            </w:pPr>
            <w:r w:rsidRPr="0023511F">
              <w:t>Eliminate look- and sound-alikes</w:t>
            </w:r>
          </w:p>
        </w:tc>
        <w:tc>
          <w:tcPr>
            <w:tcW w:w="4817" w:type="dxa"/>
          </w:tcPr>
          <w:p w14:paraId="4E134EC5" w14:textId="77777777" w:rsidR="00F8141A" w:rsidRPr="0023511F" w:rsidRDefault="00F8141A" w:rsidP="00F8141A">
            <w:pPr>
              <w:pStyle w:val="Tabletext"/>
              <w:cnfStyle w:val="000000000000" w:firstRow="0" w:lastRow="0" w:firstColumn="0" w:lastColumn="0" w:oddVBand="0" w:evenVBand="0" w:oddHBand="0" w:evenHBand="0" w:firstRowFirstColumn="0" w:firstRowLastColumn="0" w:lastRowFirstColumn="0" w:lastRowLastColumn="0"/>
            </w:pPr>
            <w:r w:rsidRPr="0023511F">
              <w:t>Do not store look-alikes next to one another in the medication room</w:t>
            </w:r>
          </w:p>
        </w:tc>
      </w:tr>
      <w:tr w:rsidR="00F8141A" w:rsidRPr="0023511F" w14:paraId="14A46DF8" w14:textId="77777777" w:rsidTr="00F8141A">
        <w:tc>
          <w:tcPr>
            <w:cnfStyle w:val="001000000000" w:firstRow="0" w:lastRow="0" w:firstColumn="1" w:lastColumn="0" w:oddVBand="0" w:evenVBand="0" w:oddHBand="0" w:evenHBand="0" w:firstRowFirstColumn="0" w:firstRowLastColumn="0" w:lastRowFirstColumn="0" w:lastRowLastColumn="0"/>
            <w:tcW w:w="1701" w:type="dxa"/>
            <w:tcBorders>
              <w:bottom w:val="single" w:sz="12" w:space="0" w:color="auto"/>
            </w:tcBorders>
          </w:tcPr>
          <w:p w14:paraId="053EF29A" w14:textId="77777777" w:rsidR="00F8141A" w:rsidRPr="0013529D" w:rsidRDefault="00F8141A" w:rsidP="00F8141A">
            <w:pPr>
              <w:pStyle w:val="Tabletext"/>
              <w:rPr>
                <w:rStyle w:val="Strong"/>
                <w:rFonts w:eastAsiaTheme="majorEastAsia"/>
                <w:szCs w:val="16"/>
              </w:rPr>
            </w:pPr>
            <w:r w:rsidRPr="0013529D">
              <w:rPr>
                <w:rStyle w:val="Strong"/>
                <w:rFonts w:eastAsiaTheme="majorEastAsia"/>
                <w:szCs w:val="16"/>
              </w:rPr>
              <w:t>Moderate actions</w:t>
            </w:r>
          </w:p>
        </w:tc>
        <w:tc>
          <w:tcPr>
            <w:tcW w:w="3686" w:type="dxa"/>
            <w:tcBorders>
              <w:bottom w:val="single" w:sz="12" w:space="0" w:color="auto"/>
            </w:tcBorders>
          </w:tcPr>
          <w:p w14:paraId="5AEDAB0D" w14:textId="77777777" w:rsidR="00F8141A" w:rsidRPr="0023511F" w:rsidRDefault="00F8141A" w:rsidP="00F8141A">
            <w:pPr>
              <w:pStyle w:val="Tabletext"/>
              <w:cnfStyle w:val="000000000000" w:firstRow="0" w:lastRow="0" w:firstColumn="0" w:lastColumn="0" w:oddVBand="0" w:evenVBand="0" w:oddHBand="0" w:evenHBand="0" w:firstRowFirstColumn="0" w:firstRowLastColumn="0" w:lastRowFirstColumn="0" w:lastRowLastColumn="0"/>
            </w:pPr>
            <w:r w:rsidRPr="0023511F">
              <w:t>Standardised communication tools</w:t>
            </w:r>
          </w:p>
        </w:tc>
        <w:tc>
          <w:tcPr>
            <w:tcW w:w="4817" w:type="dxa"/>
            <w:tcBorders>
              <w:bottom w:val="single" w:sz="12" w:space="0" w:color="auto"/>
            </w:tcBorders>
          </w:tcPr>
          <w:p w14:paraId="6AC7F8E6" w14:textId="77777777" w:rsidR="00F8141A" w:rsidRPr="0023511F" w:rsidRDefault="00F8141A" w:rsidP="00F8141A">
            <w:pPr>
              <w:pStyle w:val="Tabletext"/>
              <w:cnfStyle w:val="000000000000" w:firstRow="0" w:lastRow="0" w:firstColumn="0" w:lastColumn="0" w:oddVBand="0" w:evenVBand="0" w:oddHBand="0" w:evenHBand="0" w:firstRowFirstColumn="0" w:firstRowLastColumn="0" w:lastRowFirstColumn="0" w:lastRowLastColumn="0"/>
            </w:pPr>
            <w:r w:rsidRPr="0023511F">
              <w:t>Use read-back for all critical lab values; use read-back or repeat-back for all verbal medication orders; use a standardised patient handover format</w:t>
            </w:r>
          </w:p>
        </w:tc>
      </w:tr>
      <w:tr w:rsidR="00F8141A" w:rsidRPr="0023511F" w14:paraId="0C6965AC" w14:textId="77777777" w:rsidTr="00F8141A">
        <w:tc>
          <w:tcPr>
            <w:cnfStyle w:val="001000000000" w:firstRow="0" w:lastRow="0" w:firstColumn="1" w:lastColumn="0" w:oddVBand="0" w:evenVBand="0" w:oddHBand="0" w:evenHBand="0" w:firstRowFirstColumn="0" w:firstRowLastColumn="0" w:lastRowFirstColumn="0" w:lastRowLastColumn="0"/>
            <w:tcW w:w="1701" w:type="dxa"/>
            <w:tcBorders>
              <w:top w:val="single" w:sz="12" w:space="0" w:color="auto"/>
            </w:tcBorders>
          </w:tcPr>
          <w:p w14:paraId="031B717A" w14:textId="77777777" w:rsidR="00F8141A" w:rsidRPr="0013529D" w:rsidRDefault="00F8141A" w:rsidP="00F8141A">
            <w:pPr>
              <w:pStyle w:val="Tabletext"/>
              <w:rPr>
                <w:rStyle w:val="Strong"/>
                <w:rFonts w:eastAsiaTheme="majorEastAsia"/>
                <w:szCs w:val="16"/>
              </w:rPr>
            </w:pPr>
            <w:r w:rsidRPr="0013529D">
              <w:rPr>
                <w:rStyle w:val="Strong"/>
                <w:rFonts w:eastAsiaTheme="majorEastAsia"/>
                <w:szCs w:val="16"/>
              </w:rPr>
              <w:t>Weak actions</w:t>
            </w:r>
          </w:p>
        </w:tc>
        <w:tc>
          <w:tcPr>
            <w:tcW w:w="3686" w:type="dxa"/>
            <w:tcBorders>
              <w:top w:val="single" w:sz="12" w:space="0" w:color="auto"/>
            </w:tcBorders>
          </w:tcPr>
          <w:p w14:paraId="4EDD1981" w14:textId="77777777" w:rsidR="00F8141A" w:rsidRPr="0023511F" w:rsidRDefault="00F8141A" w:rsidP="00F8141A">
            <w:pPr>
              <w:pStyle w:val="Tabletext"/>
              <w:cnfStyle w:val="000000000000" w:firstRow="0" w:lastRow="0" w:firstColumn="0" w:lastColumn="0" w:oddVBand="0" w:evenVBand="0" w:oddHBand="0" w:evenHBand="0" w:firstRowFirstColumn="0" w:firstRowLastColumn="0" w:lastRowFirstColumn="0" w:lastRowLastColumn="0"/>
            </w:pPr>
            <w:r w:rsidRPr="0023511F">
              <w:t>Double checks</w:t>
            </w:r>
          </w:p>
        </w:tc>
        <w:tc>
          <w:tcPr>
            <w:tcW w:w="4817" w:type="dxa"/>
            <w:tcBorders>
              <w:top w:val="single" w:sz="12" w:space="0" w:color="auto"/>
            </w:tcBorders>
          </w:tcPr>
          <w:p w14:paraId="13284EF2" w14:textId="77777777" w:rsidR="00F8141A" w:rsidRPr="0023511F" w:rsidRDefault="00F8141A" w:rsidP="00F8141A">
            <w:pPr>
              <w:pStyle w:val="Tabletext"/>
              <w:cnfStyle w:val="000000000000" w:firstRow="0" w:lastRow="0" w:firstColumn="0" w:lastColumn="0" w:oddVBand="0" w:evenVBand="0" w:oddHBand="0" w:evenHBand="0" w:firstRowFirstColumn="0" w:firstRowLastColumn="0" w:lastRowFirstColumn="0" w:lastRowLastColumn="0"/>
            </w:pPr>
            <w:r w:rsidRPr="0023511F">
              <w:t>One person calculates dosage, another person reviews their calculation</w:t>
            </w:r>
          </w:p>
        </w:tc>
      </w:tr>
      <w:tr w:rsidR="00F8141A" w:rsidRPr="0023511F" w14:paraId="42804CE5" w14:textId="77777777" w:rsidTr="00F8141A">
        <w:tc>
          <w:tcPr>
            <w:cnfStyle w:val="001000000000" w:firstRow="0" w:lastRow="0" w:firstColumn="1" w:lastColumn="0" w:oddVBand="0" w:evenVBand="0" w:oddHBand="0" w:evenHBand="0" w:firstRowFirstColumn="0" w:firstRowLastColumn="0" w:lastRowFirstColumn="0" w:lastRowLastColumn="0"/>
            <w:tcW w:w="1701" w:type="dxa"/>
          </w:tcPr>
          <w:p w14:paraId="426E1D19" w14:textId="77777777" w:rsidR="00F8141A" w:rsidRPr="0013529D" w:rsidRDefault="00F8141A" w:rsidP="00F8141A">
            <w:pPr>
              <w:pStyle w:val="Tabletext"/>
              <w:rPr>
                <w:rStyle w:val="Strong"/>
                <w:rFonts w:eastAsiaTheme="majorEastAsia"/>
                <w:szCs w:val="16"/>
              </w:rPr>
            </w:pPr>
            <w:r w:rsidRPr="0013529D">
              <w:rPr>
                <w:rStyle w:val="Strong"/>
                <w:rFonts w:eastAsiaTheme="majorEastAsia"/>
                <w:szCs w:val="16"/>
              </w:rPr>
              <w:t>Weak actions</w:t>
            </w:r>
          </w:p>
        </w:tc>
        <w:tc>
          <w:tcPr>
            <w:tcW w:w="3686" w:type="dxa"/>
          </w:tcPr>
          <w:p w14:paraId="155F28F8" w14:textId="77777777" w:rsidR="00F8141A" w:rsidRPr="0023511F" w:rsidRDefault="00F8141A" w:rsidP="00F8141A">
            <w:pPr>
              <w:pStyle w:val="Tabletext"/>
              <w:cnfStyle w:val="000000000000" w:firstRow="0" w:lastRow="0" w:firstColumn="0" w:lastColumn="0" w:oddVBand="0" w:evenVBand="0" w:oddHBand="0" w:evenHBand="0" w:firstRowFirstColumn="0" w:firstRowLastColumn="0" w:lastRowFirstColumn="0" w:lastRowLastColumn="0"/>
            </w:pPr>
            <w:r w:rsidRPr="0023511F">
              <w:t>Warnings</w:t>
            </w:r>
          </w:p>
        </w:tc>
        <w:tc>
          <w:tcPr>
            <w:tcW w:w="4817" w:type="dxa"/>
          </w:tcPr>
          <w:p w14:paraId="7EB3603F" w14:textId="77777777" w:rsidR="00F8141A" w:rsidRPr="0023511F" w:rsidRDefault="00F8141A" w:rsidP="00F8141A">
            <w:pPr>
              <w:pStyle w:val="Tabletext"/>
              <w:cnfStyle w:val="000000000000" w:firstRow="0" w:lastRow="0" w:firstColumn="0" w:lastColumn="0" w:oddVBand="0" w:evenVBand="0" w:oddHBand="0" w:evenHBand="0" w:firstRowFirstColumn="0" w:firstRowLastColumn="0" w:lastRowFirstColumn="0" w:lastRowLastColumn="0"/>
            </w:pPr>
            <w:r w:rsidRPr="0023511F">
              <w:t>Add audible alarms or caution labels</w:t>
            </w:r>
          </w:p>
        </w:tc>
      </w:tr>
      <w:tr w:rsidR="00F8141A" w:rsidRPr="0023511F" w14:paraId="7233F703" w14:textId="77777777" w:rsidTr="00F8141A">
        <w:tc>
          <w:tcPr>
            <w:cnfStyle w:val="001000000000" w:firstRow="0" w:lastRow="0" w:firstColumn="1" w:lastColumn="0" w:oddVBand="0" w:evenVBand="0" w:oddHBand="0" w:evenHBand="0" w:firstRowFirstColumn="0" w:firstRowLastColumn="0" w:lastRowFirstColumn="0" w:lastRowLastColumn="0"/>
            <w:tcW w:w="1701" w:type="dxa"/>
          </w:tcPr>
          <w:p w14:paraId="4F12B858" w14:textId="77777777" w:rsidR="00F8141A" w:rsidRPr="0013529D" w:rsidRDefault="00F8141A" w:rsidP="00F8141A">
            <w:pPr>
              <w:pStyle w:val="Tabletext"/>
              <w:rPr>
                <w:rStyle w:val="Strong"/>
                <w:rFonts w:eastAsiaTheme="majorEastAsia"/>
                <w:szCs w:val="16"/>
              </w:rPr>
            </w:pPr>
            <w:r w:rsidRPr="0013529D">
              <w:rPr>
                <w:rStyle w:val="Strong"/>
                <w:rFonts w:eastAsiaTheme="majorEastAsia"/>
                <w:szCs w:val="16"/>
              </w:rPr>
              <w:t>Weak actions</w:t>
            </w:r>
          </w:p>
        </w:tc>
        <w:tc>
          <w:tcPr>
            <w:tcW w:w="3686" w:type="dxa"/>
          </w:tcPr>
          <w:p w14:paraId="1C36E8EE" w14:textId="77777777" w:rsidR="00F8141A" w:rsidRPr="0023511F" w:rsidRDefault="00F8141A" w:rsidP="00F8141A">
            <w:pPr>
              <w:pStyle w:val="Tabletext"/>
              <w:cnfStyle w:val="000000000000" w:firstRow="0" w:lastRow="0" w:firstColumn="0" w:lastColumn="0" w:oddVBand="0" w:evenVBand="0" w:oddHBand="0" w:evenHBand="0" w:firstRowFirstColumn="0" w:firstRowLastColumn="0" w:lastRowFirstColumn="0" w:lastRowLastColumn="0"/>
            </w:pPr>
            <w:r w:rsidRPr="0023511F">
              <w:t>New procedure/memorandum/policy</w:t>
            </w:r>
          </w:p>
        </w:tc>
        <w:tc>
          <w:tcPr>
            <w:tcW w:w="4817" w:type="dxa"/>
          </w:tcPr>
          <w:p w14:paraId="0192A797" w14:textId="77777777" w:rsidR="00F8141A" w:rsidRPr="0023511F" w:rsidRDefault="00F8141A" w:rsidP="00F8141A">
            <w:pPr>
              <w:pStyle w:val="Tabletext"/>
              <w:cnfStyle w:val="000000000000" w:firstRow="0" w:lastRow="0" w:firstColumn="0" w:lastColumn="0" w:oddVBand="0" w:evenVBand="0" w:oddHBand="0" w:evenHBand="0" w:firstRowFirstColumn="0" w:firstRowLastColumn="0" w:lastRowFirstColumn="0" w:lastRowLastColumn="0"/>
            </w:pPr>
            <w:r w:rsidRPr="0023511F">
              <w:t>Remember to check IV sites every two hours</w:t>
            </w:r>
          </w:p>
        </w:tc>
      </w:tr>
      <w:tr w:rsidR="00F8141A" w:rsidRPr="0023511F" w14:paraId="3A87B130" w14:textId="77777777" w:rsidTr="00F8141A">
        <w:tc>
          <w:tcPr>
            <w:cnfStyle w:val="001000000000" w:firstRow="0" w:lastRow="0" w:firstColumn="1" w:lastColumn="0" w:oddVBand="0" w:evenVBand="0" w:oddHBand="0" w:evenHBand="0" w:firstRowFirstColumn="0" w:firstRowLastColumn="0" w:lastRowFirstColumn="0" w:lastRowLastColumn="0"/>
            <w:tcW w:w="1701" w:type="dxa"/>
          </w:tcPr>
          <w:p w14:paraId="4E981FE8" w14:textId="77777777" w:rsidR="00F8141A" w:rsidRPr="0013529D" w:rsidRDefault="00F8141A" w:rsidP="00F8141A">
            <w:pPr>
              <w:pStyle w:val="Tabletext"/>
              <w:rPr>
                <w:rStyle w:val="Strong"/>
                <w:rFonts w:eastAsiaTheme="majorEastAsia"/>
                <w:szCs w:val="16"/>
              </w:rPr>
            </w:pPr>
            <w:r w:rsidRPr="0013529D">
              <w:rPr>
                <w:rStyle w:val="Strong"/>
                <w:rFonts w:eastAsiaTheme="majorEastAsia"/>
                <w:szCs w:val="16"/>
              </w:rPr>
              <w:t>Weak actions</w:t>
            </w:r>
          </w:p>
        </w:tc>
        <w:tc>
          <w:tcPr>
            <w:tcW w:w="3686" w:type="dxa"/>
          </w:tcPr>
          <w:p w14:paraId="3D0CE95D" w14:textId="77777777" w:rsidR="00F8141A" w:rsidRPr="0023511F" w:rsidRDefault="00F8141A" w:rsidP="00F8141A">
            <w:pPr>
              <w:pStyle w:val="Tabletext"/>
              <w:cnfStyle w:val="000000000000" w:firstRow="0" w:lastRow="0" w:firstColumn="0" w:lastColumn="0" w:oddVBand="0" w:evenVBand="0" w:oddHBand="0" w:evenHBand="0" w:firstRowFirstColumn="0" w:firstRowLastColumn="0" w:lastRowFirstColumn="0" w:lastRowLastColumn="0"/>
            </w:pPr>
            <w:r w:rsidRPr="0023511F">
              <w:t>Training</w:t>
            </w:r>
          </w:p>
        </w:tc>
        <w:tc>
          <w:tcPr>
            <w:tcW w:w="4817" w:type="dxa"/>
          </w:tcPr>
          <w:p w14:paraId="336165B5" w14:textId="77777777" w:rsidR="00F8141A" w:rsidRPr="0023511F" w:rsidRDefault="00F8141A" w:rsidP="00F8141A">
            <w:pPr>
              <w:pStyle w:val="Tabletext"/>
              <w:cnfStyle w:val="000000000000" w:firstRow="0" w:lastRow="0" w:firstColumn="0" w:lastColumn="0" w:oddVBand="0" w:evenVBand="0" w:oddHBand="0" w:evenHBand="0" w:firstRowFirstColumn="0" w:firstRowLastColumn="0" w:lastRowFirstColumn="0" w:lastRowLastColumn="0"/>
            </w:pPr>
            <w:r w:rsidRPr="0023511F">
              <w:t>Demonstrate the defibrillator during an in-service training</w:t>
            </w:r>
          </w:p>
        </w:tc>
      </w:tr>
    </w:tbl>
    <w:p w14:paraId="02A54F84" w14:textId="77777777" w:rsidR="00F8141A" w:rsidRDefault="00F8141A" w:rsidP="00F8141A">
      <w:r>
        <w:br w:type="page"/>
      </w:r>
    </w:p>
    <w:p w14:paraId="1AE81C99" w14:textId="77777777" w:rsidR="00F8141A" w:rsidRDefault="005620E9" w:rsidP="00E821C7">
      <w:pPr>
        <w:pStyle w:val="Heading1"/>
        <w:framePr w:wrap="around"/>
      </w:pPr>
      <w:r>
        <w:lastRenderedPageBreak/>
        <w:t>Terminology used</w:t>
      </w:r>
    </w:p>
    <w:p w14:paraId="559DE26A" w14:textId="77777777" w:rsidR="00EE283F" w:rsidRPr="00EE283F" w:rsidRDefault="00EE283F" w:rsidP="00EE283F">
      <w:pPr>
        <w:spacing w:before="0" w:after="0" w:line="240" w:lineRule="auto"/>
        <w:rPr>
          <w:b/>
          <w:sz w:val="2"/>
          <w:szCs w:val="2"/>
        </w:rPr>
        <w:sectPr w:rsidR="00EE283F" w:rsidRPr="00EE283F" w:rsidSect="008D633E">
          <w:type w:val="continuous"/>
          <w:pgSz w:w="11906" w:h="16838" w:code="9"/>
          <w:pgMar w:top="2977" w:right="851" w:bottom="1361" w:left="851" w:header="539" w:footer="624" w:gutter="0"/>
          <w:pgNumType w:start="1"/>
          <w:cols w:space="284"/>
          <w:docGrid w:linePitch="360"/>
        </w:sectPr>
      </w:pPr>
    </w:p>
    <w:p w14:paraId="2503DC45" w14:textId="77777777" w:rsidR="005620E9" w:rsidRPr="00EE283F" w:rsidRDefault="005620E9" w:rsidP="00EE283F">
      <w:pPr>
        <w:spacing w:before="80" w:after="80" w:line="260" w:lineRule="atLeast"/>
        <w:rPr>
          <w:sz w:val="18"/>
        </w:rPr>
      </w:pPr>
      <w:r w:rsidRPr="00EE283F">
        <w:rPr>
          <w:b/>
          <w:sz w:val="18"/>
        </w:rPr>
        <w:t>Adverse event</w:t>
      </w:r>
      <w:r w:rsidRPr="00EE283F">
        <w:rPr>
          <w:sz w:val="18"/>
        </w:rPr>
        <w:t xml:space="preserve"> </w:t>
      </w:r>
      <w:proofErr w:type="gramStart"/>
      <w:r w:rsidRPr="00EE283F">
        <w:rPr>
          <w:sz w:val="18"/>
        </w:rPr>
        <w:t>An</w:t>
      </w:r>
      <w:proofErr w:type="gramEnd"/>
      <w:r w:rsidRPr="00EE283F">
        <w:rPr>
          <w:sz w:val="18"/>
        </w:rPr>
        <w:t xml:space="preserve"> incident in which a person receiving healthcare was harmed</w:t>
      </w:r>
    </w:p>
    <w:p w14:paraId="2025FBCA" w14:textId="77777777" w:rsidR="005620E9" w:rsidRPr="00EE283F" w:rsidRDefault="005620E9" w:rsidP="00EE283F">
      <w:pPr>
        <w:spacing w:before="80" w:after="80" w:line="260" w:lineRule="atLeast"/>
        <w:rPr>
          <w:sz w:val="18"/>
        </w:rPr>
      </w:pPr>
      <w:r w:rsidRPr="00EE283F">
        <w:rPr>
          <w:b/>
          <w:sz w:val="18"/>
        </w:rPr>
        <w:t>Australian Commission on Safety and Quality in Health Care (ACSQHC)</w:t>
      </w:r>
      <w:r w:rsidRPr="00EE283F">
        <w:rPr>
          <w:sz w:val="18"/>
        </w:rPr>
        <w:t xml:space="preserve"> Leads national improvements in safety and quality in healthcare</w:t>
      </w:r>
    </w:p>
    <w:p w14:paraId="6A9DB35B" w14:textId="77777777" w:rsidR="005620E9" w:rsidRPr="00EE283F" w:rsidRDefault="005620E9" w:rsidP="00EE283F">
      <w:pPr>
        <w:spacing w:before="80" w:after="80" w:line="260" w:lineRule="atLeast"/>
        <w:rPr>
          <w:sz w:val="18"/>
        </w:rPr>
      </w:pPr>
      <w:r w:rsidRPr="00EE283F">
        <w:rPr>
          <w:b/>
          <w:sz w:val="18"/>
        </w:rPr>
        <w:t xml:space="preserve">Consumers </w:t>
      </w:r>
      <w:r w:rsidRPr="00EE283F">
        <w:rPr>
          <w:sz w:val="18"/>
        </w:rPr>
        <w:t>Patients and potential patients, their families, carers and organisations representing consumer interests</w:t>
      </w:r>
    </w:p>
    <w:p w14:paraId="3EF69295" w14:textId="77777777" w:rsidR="005620E9" w:rsidRPr="00EE283F" w:rsidRDefault="005620E9" w:rsidP="00EE283F">
      <w:pPr>
        <w:spacing w:before="80" w:after="80" w:line="260" w:lineRule="atLeast"/>
        <w:rPr>
          <w:sz w:val="18"/>
        </w:rPr>
      </w:pPr>
      <w:r w:rsidRPr="00EE283F">
        <w:rPr>
          <w:b/>
          <w:sz w:val="18"/>
        </w:rPr>
        <w:t xml:space="preserve">Delirium </w:t>
      </w:r>
      <w:r w:rsidRPr="00EE283F">
        <w:rPr>
          <w:sz w:val="18"/>
        </w:rPr>
        <w:t>A sudden onset of fluctuating consciousness, attention, cognition and perception in a person</w:t>
      </w:r>
    </w:p>
    <w:p w14:paraId="146246E2" w14:textId="77777777" w:rsidR="005620E9" w:rsidRPr="00EE283F" w:rsidRDefault="005620E9" w:rsidP="00EE283F">
      <w:pPr>
        <w:spacing w:before="80" w:after="80" w:line="260" w:lineRule="atLeast"/>
        <w:rPr>
          <w:sz w:val="18"/>
        </w:rPr>
      </w:pPr>
      <w:r w:rsidRPr="00EE283F">
        <w:rPr>
          <w:b/>
          <w:sz w:val="18"/>
        </w:rPr>
        <w:t>Department of Health and Human Services</w:t>
      </w:r>
      <w:r w:rsidRPr="00EE283F">
        <w:rPr>
          <w:sz w:val="18"/>
        </w:rPr>
        <w:t xml:space="preserve"> Leads policy development, service and funding design, and system management in Victoria</w:t>
      </w:r>
    </w:p>
    <w:p w14:paraId="1945FD08" w14:textId="77777777" w:rsidR="005620E9" w:rsidRPr="00EE283F" w:rsidRDefault="005620E9" w:rsidP="00EE283F">
      <w:pPr>
        <w:spacing w:before="80" w:after="80" w:line="260" w:lineRule="atLeast"/>
        <w:rPr>
          <w:sz w:val="18"/>
        </w:rPr>
      </w:pPr>
      <w:r w:rsidRPr="00EE283F">
        <w:rPr>
          <w:b/>
          <w:sz w:val="18"/>
        </w:rPr>
        <w:t>Emergency department</w:t>
      </w:r>
      <w:r w:rsidRPr="00EE283F">
        <w:rPr>
          <w:sz w:val="18"/>
        </w:rPr>
        <w:t xml:space="preserve"> </w:t>
      </w:r>
      <w:proofErr w:type="gramStart"/>
      <w:r w:rsidRPr="00EE283F">
        <w:rPr>
          <w:sz w:val="18"/>
        </w:rPr>
        <w:t>An</w:t>
      </w:r>
      <w:proofErr w:type="gramEnd"/>
      <w:r w:rsidRPr="00EE283F">
        <w:rPr>
          <w:sz w:val="18"/>
        </w:rPr>
        <w:t xml:space="preserve"> area of a hospital that provides emergency care for the community</w:t>
      </w:r>
    </w:p>
    <w:p w14:paraId="2D08E6D6" w14:textId="77777777" w:rsidR="005620E9" w:rsidRPr="00EE283F" w:rsidRDefault="005620E9" w:rsidP="00EE283F">
      <w:pPr>
        <w:spacing w:before="80" w:after="80" w:line="260" w:lineRule="atLeast"/>
        <w:rPr>
          <w:sz w:val="18"/>
        </w:rPr>
      </w:pPr>
      <w:r w:rsidRPr="00EE283F">
        <w:rPr>
          <w:b/>
          <w:sz w:val="18"/>
        </w:rPr>
        <w:t xml:space="preserve">Governance </w:t>
      </w:r>
      <w:r w:rsidRPr="00EE283F">
        <w:rPr>
          <w:sz w:val="18"/>
        </w:rPr>
        <w:t>The system by which an organisation is controlled and operates, and the mechanisms by which it, and its people, are held to account</w:t>
      </w:r>
    </w:p>
    <w:p w14:paraId="498C6BCB" w14:textId="77777777" w:rsidR="005620E9" w:rsidRPr="00EE283F" w:rsidRDefault="005620E9" w:rsidP="00EE283F">
      <w:pPr>
        <w:spacing w:before="80" w:after="80" w:line="260" w:lineRule="atLeast"/>
        <w:rPr>
          <w:sz w:val="18"/>
        </w:rPr>
      </w:pPr>
      <w:r w:rsidRPr="00EE283F">
        <w:rPr>
          <w:b/>
          <w:sz w:val="18"/>
        </w:rPr>
        <w:t>Haemolytic blood transfusion reaction</w:t>
      </w:r>
      <w:r w:rsidRPr="00EE283F">
        <w:rPr>
          <w:sz w:val="18"/>
        </w:rPr>
        <w:t xml:space="preserve"> A complication that occurs when blood given during a transfusion </w:t>
      </w:r>
      <w:r w:rsidR="00CF4B3C">
        <w:rPr>
          <w:sz w:val="18"/>
        </w:rPr>
        <w:t>is</w:t>
      </w:r>
      <w:r w:rsidRPr="00EE283F">
        <w:rPr>
          <w:sz w:val="18"/>
        </w:rPr>
        <w:t xml:space="preserve"> destroyed by the patient’s immune system</w:t>
      </w:r>
    </w:p>
    <w:p w14:paraId="2B103299" w14:textId="77777777" w:rsidR="005620E9" w:rsidRPr="00EE283F" w:rsidRDefault="005620E9" w:rsidP="00EE283F">
      <w:pPr>
        <w:spacing w:before="80" w:after="80" w:line="260" w:lineRule="atLeast"/>
        <w:rPr>
          <w:sz w:val="18"/>
        </w:rPr>
      </w:pPr>
      <w:r w:rsidRPr="00EE283F">
        <w:rPr>
          <w:b/>
          <w:sz w:val="18"/>
        </w:rPr>
        <w:t>Human factors</w:t>
      </w:r>
      <w:r w:rsidRPr="00EE283F">
        <w:rPr>
          <w:sz w:val="18"/>
        </w:rPr>
        <w:t xml:space="preserve"> A science focused on the interaction between humans and systems in complex environments (like healthcare)</w:t>
      </w:r>
    </w:p>
    <w:p w14:paraId="2771E7FB" w14:textId="77777777" w:rsidR="005620E9" w:rsidRPr="00EE283F" w:rsidRDefault="005620E9" w:rsidP="00EE283F">
      <w:pPr>
        <w:spacing w:before="80" w:after="80" w:line="260" w:lineRule="atLeast"/>
        <w:rPr>
          <w:sz w:val="18"/>
        </w:rPr>
      </w:pPr>
      <w:r w:rsidRPr="00EE283F">
        <w:rPr>
          <w:b/>
          <w:sz w:val="18"/>
        </w:rPr>
        <w:t>Incident severity rating (ISR)</w:t>
      </w:r>
      <w:r w:rsidRPr="00EE283F">
        <w:rPr>
          <w:sz w:val="18"/>
        </w:rPr>
        <w:t xml:space="preserve"> The severity of impact to a patient when an incident occurs. ISR is measured on a scale of 1 to 4 (with 1 being catastrophic)</w:t>
      </w:r>
    </w:p>
    <w:p w14:paraId="57DD5E33" w14:textId="77777777" w:rsidR="005620E9" w:rsidRPr="00EE283F" w:rsidRDefault="005620E9" w:rsidP="00EE283F">
      <w:pPr>
        <w:spacing w:before="80" w:after="80" w:line="260" w:lineRule="atLeast"/>
        <w:rPr>
          <w:sz w:val="18"/>
        </w:rPr>
      </w:pPr>
      <w:r w:rsidRPr="00EE283F">
        <w:rPr>
          <w:b/>
          <w:sz w:val="18"/>
        </w:rPr>
        <w:t>International Classification for Patient Safety (ICPS)</w:t>
      </w:r>
      <w:r w:rsidRPr="00EE283F">
        <w:rPr>
          <w:sz w:val="18"/>
        </w:rPr>
        <w:t xml:space="preserve"> A World Health Organization (WHO) approach to grouping patient safety information</w:t>
      </w:r>
    </w:p>
    <w:p w14:paraId="6273B872" w14:textId="77777777" w:rsidR="005620E9" w:rsidRPr="00EE283F" w:rsidRDefault="005620E9" w:rsidP="00EE283F">
      <w:pPr>
        <w:spacing w:before="80" w:after="80" w:line="260" w:lineRule="atLeast"/>
        <w:rPr>
          <w:sz w:val="18"/>
        </w:rPr>
      </w:pPr>
      <w:r w:rsidRPr="00EE283F">
        <w:rPr>
          <w:b/>
          <w:sz w:val="18"/>
        </w:rPr>
        <w:t>Intravascular gas embolism</w:t>
      </w:r>
      <w:r w:rsidRPr="00EE283F">
        <w:rPr>
          <w:sz w:val="18"/>
        </w:rPr>
        <w:t xml:space="preserve"> A situation in which air or gas bubbles enter a blood vessel</w:t>
      </w:r>
    </w:p>
    <w:p w14:paraId="0C77D92A" w14:textId="77777777" w:rsidR="005620E9" w:rsidRPr="00EE283F" w:rsidRDefault="005620E9" w:rsidP="00EE283F">
      <w:pPr>
        <w:spacing w:before="80" w:after="80" w:line="260" w:lineRule="atLeast"/>
        <w:rPr>
          <w:sz w:val="18"/>
        </w:rPr>
      </w:pPr>
      <w:proofErr w:type="spellStart"/>
      <w:r w:rsidRPr="00EE283F">
        <w:rPr>
          <w:b/>
          <w:sz w:val="18"/>
        </w:rPr>
        <w:t>Na</w:t>
      </w:r>
      <w:r w:rsidR="00CF4B3C">
        <w:rPr>
          <w:b/>
          <w:sz w:val="18"/>
        </w:rPr>
        <w:t>s</w:t>
      </w:r>
      <w:r w:rsidRPr="00EE283F">
        <w:rPr>
          <w:b/>
          <w:sz w:val="18"/>
        </w:rPr>
        <w:t>o</w:t>
      </w:r>
      <w:proofErr w:type="spellEnd"/>
      <w:r w:rsidR="00CF4B3C">
        <w:rPr>
          <w:b/>
          <w:sz w:val="18"/>
        </w:rPr>
        <w:t>-</w:t>
      </w:r>
      <w:r w:rsidRPr="00EE283F">
        <w:rPr>
          <w:b/>
          <w:sz w:val="18"/>
        </w:rPr>
        <w:t>gastric tube</w:t>
      </w:r>
      <w:r w:rsidRPr="00CF4B3C">
        <w:rPr>
          <w:b/>
          <w:sz w:val="18"/>
        </w:rPr>
        <w:t xml:space="preserve"> </w:t>
      </w:r>
      <w:r w:rsidR="00CF4B3C" w:rsidRPr="00CF4B3C">
        <w:rPr>
          <w:b/>
          <w:sz w:val="18"/>
        </w:rPr>
        <w:t>(NGT)</w:t>
      </w:r>
      <w:r w:rsidR="00CF4B3C">
        <w:rPr>
          <w:sz w:val="18"/>
        </w:rPr>
        <w:t xml:space="preserve"> A</w:t>
      </w:r>
      <w:r w:rsidRPr="00EE283F">
        <w:rPr>
          <w:sz w:val="18"/>
        </w:rPr>
        <w:t xml:space="preserve"> special tube that carries food and medicine to the stomach through the nose</w:t>
      </w:r>
    </w:p>
    <w:p w14:paraId="6CD2DB60" w14:textId="77777777" w:rsidR="005620E9" w:rsidRPr="00EE283F" w:rsidRDefault="005620E9" w:rsidP="00EE283F">
      <w:pPr>
        <w:spacing w:before="80" w:after="80" w:line="260" w:lineRule="atLeast"/>
        <w:rPr>
          <w:sz w:val="18"/>
        </w:rPr>
      </w:pPr>
      <w:r w:rsidRPr="00EE283F">
        <w:rPr>
          <w:b/>
          <w:sz w:val="18"/>
        </w:rPr>
        <w:t>Open disclosure</w:t>
      </w:r>
      <w:r w:rsidRPr="00EE283F">
        <w:rPr>
          <w:sz w:val="18"/>
        </w:rPr>
        <w:t xml:space="preserve"> </w:t>
      </w:r>
      <w:proofErr w:type="gramStart"/>
      <w:r w:rsidRPr="00EE283F">
        <w:rPr>
          <w:sz w:val="18"/>
        </w:rPr>
        <w:t>The</w:t>
      </w:r>
      <w:proofErr w:type="gramEnd"/>
      <w:r w:rsidRPr="00EE283F">
        <w:rPr>
          <w:sz w:val="18"/>
        </w:rPr>
        <w:t xml:space="preserve"> way clinicians communicate with and support patients, and their family and carers, who have experienced harm during healthcare</w:t>
      </w:r>
    </w:p>
    <w:p w14:paraId="7036D7C6" w14:textId="77777777" w:rsidR="005620E9" w:rsidRPr="00EE283F" w:rsidRDefault="005620E9" w:rsidP="00EE283F">
      <w:pPr>
        <w:spacing w:before="80" w:after="80" w:line="260" w:lineRule="atLeast"/>
        <w:rPr>
          <w:sz w:val="18"/>
        </w:rPr>
      </w:pPr>
      <w:r w:rsidRPr="00EE283F">
        <w:rPr>
          <w:b/>
          <w:sz w:val="18"/>
        </w:rPr>
        <w:t>PEER (Panel of external expert reviewers)</w:t>
      </w:r>
      <w:r w:rsidRPr="00EE283F">
        <w:rPr>
          <w:sz w:val="18"/>
        </w:rPr>
        <w:t xml:space="preserve"> An online platform to connect Victorian health services with independent experts that can participate in RCA reviews</w:t>
      </w:r>
    </w:p>
    <w:p w14:paraId="0300C856" w14:textId="77777777" w:rsidR="005620E9" w:rsidRPr="00EE283F" w:rsidRDefault="005620E9" w:rsidP="00EE283F">
      <w:pPr>
        <w:spacing w:before="80" w:after="80" w:line="260" w:lineRule="atLeast"/>
        <w:rPr>
          <w:sz w:val="18"/>
        </w:rPr>
      </w:pPr>
      <w:r w:rsidRPr="00EE283F">
        <w:rPr>
          <w:b/>
          <w:sz w:val="18"/>
        </w:rPr>
        <w:t>Quality assurance</w:t>
      </w:r>
      <w:r w:rsidRPr="00EE283F">
        <w:rPr>
          <w:sz w:val="18"/>
        </w:rPr>
        <w:t xml:space="preserve"> Part of quality management focused on providing confidence that quality requirements will be fulfilled</w:t>
      </w:r>
    </w:p>
    <w:p w14:paraId="50123307" w14:textId="77777777" w:rsidR="005620E9" w:rsidRPr="00EE283F" w:rsidRDefault="005620E9" w:rsidP="00EE283F">
      <w:pPr>
        <w:spacing w:before="80" w:after="80" w:line="260" w:lineRule="atLeast"/>
        <w:rPr>
          <w:sz w:val="18"/>
        </w:rPr>
      </w:pPr>
      <w:r w:rsidRPr="00EE283F">
        <w:rPr>
          <w:b/>
          <w:sz w:val="18"/>
        </w:rPr>
        <w:t>Root cause analysis (RCA)</w:t>
      </w:r>
      <w:r w:rsidRPr="00EE283F">
        <w:rPr>
          <w:sz w:val="18"/>
        </w:rPr>
        <w:t xml:space="preserve"> A method of problem solving that can be used to review serious events</w:t>
      </w:r>
    </w:p>
    <w:p w14:paraId="653C7EB1" w14:textId="77777777" w:rsidR="005620E9" w:rsidRPr="00EE283F" w:rsidRDefault="005620E9" w:rsidP="00EE283F">
      <w:pPr>
        <w:spacing w:before="80" w:after="80" w:line="260" w:lineRule="atLeast"/>
        <w:rPr>
          <w:sz w:val="18"/>
        </w:rPr>
      </w:pPr>
      <w:r w:rsidRPr="00EE283F">
        <w:rPr>
          <w:b/>
          <w:sz w:val="18"/>
        </w:rPr>
        <w:t xml:space="preserve">Risk reduction action plan (RRAP) feedback report </w:t>
      </w:r>
      <w:r w:rsidRPr="00EE283F">
        <w:rPr>
          <w:sz w:val="18"/>
        </w:rPr>
        <w:t>A report health services submit to SCV that monitors the implementation of RCA recommendations</w:t>
      </w:r>
    </w:p>
    <w:p w14:paraId="5CD53367" w14:textId="77777777" w:rsidR="005620E9" w:rsidRPr="00EE283F" w:rsidRDefault="005620E9" w:rsidP="00EE283F">
      <w:pPr>
        <w:spacing w:before="80" w:after="80" w:line="260" w:lineRule="atLeast"/>
        <w:rPr>
          <w:sz w:val="18"/>
        </w:rPr>
      </w:pPr>
      <w:r w:rsidRPr="00EE283F">
        <w:rPr>
          <w:b/>
          <w:sz w:val="18"/>
        </w:rPr>
        <w:t>Safety II</w:t>
      </w:r>
      <w:r w:rsidRPr="00EE283F">
        <w:rPr>
          <w:sz w:val="18"/>
        </w:rPr>
        <w:t xml:space="preserve"> An emerging view of safety in which our ability to adapt to varying conditions is the reason why everyday work is safe most of the time</w:t>
      </w:r>
    </w:p>
    <w:p w14:paraId="7A21CDDB" w14:textId="77777777" w:rsidR="005620E9" w:rsidRPr="00EE283F" w:rsidRDefault="005620E9" w:rsidP="00EE283F">
      <w:pPr>
        <w:spacing w:before="80" w:after="80" w:line="260" w:lineRule="atLeast"/>
        <w:rPr>
          <w:sz w:val="18"/>
        </w:rPr>
      </w:pPr>
      <w:r w:rsidRPr="00EE283F">
        <w:rPr>
          <w:b/>
          <w:sz w:val="18"/>
        </w:rPr>
        <w:t>Sentinel event</w:t>
      </w:r>
      <w:r w:rsidR="00CF4B3C">
        <w:rPr>
          <w:b/>
          <w:sz w:val="18"/>
        </w:rPr>
        <w:t xml:space="preserve"> categorie</w:t>
      </w:r>
      <w:r w:rsidRPr="00EE283F">
        <w:rPr>
          <w:b/>
          <w:sz w:val="18"/>
        </w:rPr>
        <w:t>s</w:t>
      </w:r>
      <w:r w:rsidRPr="00EE283F">
        <w:rPr>
          <w:sz w:val="18"/>
        </w:rPr>
        <w:t xml:space="preserve"> A national list of eight adverse events that result in death or serious harm to a patient. The Australian sentinel events list was endorsed by Australian health ministers in 2002. Victoria also follows a ninth category</w:t>
      </w:r>
    </w:p>
    <w:p w14:paraId="13928E59" w14:textId="77777777" w:rsidR="005620E9" w:rsidRPr="00EE283F" w:rsidRDefault="005620E9" w:rsidP="00EE283F">
      <w:pPr>
        <w:spacing w:before="80" w:after="80" w:line="260" w:lineRule="atLeast"/>
        <w:rPr>
          <w:sz w:val="18"/>
        </w:rPr>
      </w:pPr>
      <w:r w:rsidRPr="00EE283F">
        <w:rPr>
          <w:b/>
          <w:sz w:val="18"/>
        </w:rPr>
        <w:t>Work-as-imagined</w:t>
      </w:r>
      <w:r w:rsidRPr="00EE283F">
        <w:rPr>
          <w:sz w:val="18"/>
        </w:rPr>
        <w:t xml:space="preserve"> </w:t>
      </w:r>
      <w:proofErr w:type="gramStart"/>
      <w:r w:rsidRPr="00EE283F">
        <w:rPr>
          <w:sz w:val="18"/>
        </w:rPr>
        <w:t>An</w:t>
      </w:r>
      <w:proofErr w:type="gramEnd"/>
      <w:r w:rsidRPr="00EE283F">
        <w:rPr>
          <w:sz w:val="18"/>
        </w:rPr>
        <w:t xml:space="preserve"> idealised view of work under normal conditions that disregards the need to adjust task performance to match changing work conditions</w:t>
      </w:r>
    </w:p>
    <w:p w14:paraId="786B9637" w14:textId="77777777" w:rsidR="005620E9" w:rsidRPr="00EE283F" w:rsidRDefault="005620E9" w:rsidP="00EE283F">
      <w:pPr>
        <w:spacing w:before="80" w:after="80" w:line="260" w:lineRule="atLeast"/>
        <w:rPr>
          <w:sz w:val="18"/>
        </w:rPr>
      </w:pPr>
      <w:r w:rsidRPr="00EE283F">
        <w:rPr>
          <w:b/>
          <w:sz w:val="18"/>
        </w:rPr>
        <w:t>Work-as-done</w:t>
      </w:r>
      <w:r w:rsidRPr="00EE283F">
        <w:rPr>
          <w:sz w:val="18"/>
        </w:rPr>
        <w:t xml:space="preserve"> Describes how work </w:t>
      </w:r>
      <w:proofErr w:type="gramStart"/>
      <w:r w:rsidRPr="00EE283F">
        <w:rPr>
          <w:sz w:val="18"/>
        </w:rPr>
        <w:t>actually happens</w:t>
      </w:r>
      <w:proofErr w:type="gramEnd"/>
      <w:r w:rsidRPr="00EE283F">
        <w:rPr>
          <w:sz w:val="18"/>
        </w:rPr>
        <w:t xml:space="preserve"> in complex context</w:t>
      </w:r>
    </w:p>
    <w:p w14:paraId="526EAA6D" w14:textId="77777777" w:rsidR="00EE283F" w:rsidRDefault="00EE283F">
      <w:pPr>
        <w:sectPr w:rsidR="00EE283F" w:rsidSect="00EE283F">
          <w:type w:val="continuous"/>
          <w:pgSz w:w="11906" w:h="16838" w:code="9"/>
          <w:pgMar w:top="3402" w:right="851" w:bottom="1361" w:left="851" w:header="539" w:footer="624" w:gutter="0"/>
          <w:pgNumType w:start="1"/>
          <w:cols w:num="2" w:space="284"/>
          <w:docGrid w:linePitch="360"/>
        </w:sectPr>
      </w:pPr>
    </w:p>
    <w:p w14:paraId="7A8CE78B" w14:textId="77777777" w:rsidR="005620E9" w:rsidRDefault="005620E9">
      <w:r>
        <w:br w:type="page"/>
      </w:r>
    </w:p>
    <w:p w14:paraId="0A9BB86F" w14:textId="77777777" w:rsidR="00B03B2E" w:rsidRDefault="00B03B2E" w:rsidP="00B03B2E">
      <w:pPr>
        <w:pStyle w:val="Heading3"/>
      </w:pPr>
      <w:r>
        <w:lastRenderedPageBreak/>
        <w:t>Support and advice</w:t>
      </w:r>
    </w:p>
    <w:p w14:paraId="12FF3466" w14:textId="77777777" w:rsidR="005620E9" w:rsidRDefault="005620E9" w:rsidP="00B03B2E">
      <w:pPr>
        <w:pStyle w:val="Normalfollowingheading"/>
      </w:pPr>
      <w:r>
        <w:t>As the state’s lead agency for healthcare quality and safety, SCV assumed responsibility for the Victorian sentinel events program when it was established in January 2017.</w:t>
      </w:r>
    </w:p>
    <w:p w14:paraId="6389D7C3" w14:textId="77777777" w:rsidR="005620E9" w:rsidRDefault="005620E9" w:rsidP="00B03B2E">
      <w:r>
        <w:t>For advice on sentinel event notification, review and improving systems of healthcare, please contact the incident response team at sentinel.events@safercare.vic.gov.au.</w:t>
      </w:r>
    </w:p>
    <w:p w14:paraId="3A274236" w14:textId="41B3F84C" w:rsidR="00B03B2E" w:rsidRDefault="00B03B2E" w:rsidP="00B03B2E">
      <w:r>
        <w:t xml:space="preserve">For more information, please go to </w:t>
      </w:r>
      <w:r w:rsidRPr="00B03B2E">
        <w:rPr>
          <w:b/>
        </w:rPr>
        <w:t>safercare.vic.gov.au</w:t>
      </w:r>
    </w:p>
    <w:p w14:paraId="0F23DA73" w14:textId="77777777" w:rsidR="005620E9" w:rsidRDefault="005620E9" w:rsidP="005620E9">
      <w:pPr>
        <w:pStyle w:val="Heading3"/>
      </w:pPr>
      <w:r>
        <w:t>Subscribe for updates</w:t>
      </w:r>
    </w:p>
    <w:p w14:paraId="6D803688" w14:textId="77777777" w:rsidR="005620E9" w:rsidRDefault="005620E9" w:rsidP="005620E9">
      <w:pPr>
        <w:pStyle w:val="Normalfollowingheading"/>
      </w:pPr>
      <w:r>
        <w:t xml:space="preserve">We share sentinel event case studies, resources, examples of high-quality reviews and procedural tips and advice through our SCV </w:t>
      </w:r>
      <w:r w:rsidR="00CF4B3C">
        <w:t>newsletter</w:t>
      </w:r>
      <w:r>
        <w:t>.</w:t>
      </w:r>
    </w:p>
    <w:p w14:paraId="6AB8E78E" w14:textId="67963D2B" w:rsidR="00F8141A" w:rsidRDefault="005620E9" w:rsidP="005620E9">
      <w:r>
        <w:t xml:space="preserve">Subscribe at </w:t>
      </w:r>
      <w:r w:rsidRPr="00B03B2E">
        <w:rPr>
          <w:b/>
        </w:rPr>
        <w:t>bettersafercare.vic.gov.au/newsletter</w:t>
      </w:r>
    </w:p>
    <w:p w14:paraId="52981F02" w14:textId="77777777" w:rsidR="005620E9" w:rsidRPr="008B3C35" w:rsidRDefault="005620E9" w:rsidP="005620E9"/>
    <w:p w14:paraId="30EA6333" w14:textId="77777777" w:rsidR="0064798F" w:rsidRDefault="0064798F" w:rsidP="00B35ADC">
      <w:pPr>
        <w:pStyle w:val="Normalfollowingheading"/>
        <w:sectPr w:rsidR="0064798F" w:rsidSect="00EE283F">
          <w:type w:val="continuous"/>
          <w:pgSz w:w="11906" w:h="16838" w:code="9"/>
          <w:pgMar w:top="3402" w:right="851" w:bottom="1361" w:left="851" w:header="539" w:footer="624" w:gutter="0"/>
          <w:pgNumType w:start="1"/>
          <w:cols w:space="284"/>
          <w:docGrid w:linePitch="360"/>
        </w:sectPr>
      </w:pPr>
    </w:p>
    <w:p w14:paraId="2AEC5C58" w14:textId="77777777" w:rsidR="0064798F" w:rsidRDefault="00CF4B3C" w:rsidP="0064798F">
      <w:pPr>
        <w:pStyle w:val="NoSpacing"/>
      </w:pPr>
      <w:r>
        <w:rPr>
          <w:noProof/>
        </w:rPr>
        <mc:AlternateContent>
          <mc:Choice Requires="wps">
            <w:drawing>
              <wp:anchor distT="0" distB="0" distL="114300" distR="114300" simplePos="0" relativeHeight="251665408" behindDoc="0" locked="0" layoutInCell="1" allowOverlap="1" wp14:anchorId="76A0A38D" wp14:editId="0BAF5249">
                <wp:simplePos x="0" y="0"/>
                <wp:positionH relativeFrom="column">
                  <wp:posOffset>-293895</wp:posOffset>
                </wp:positionH>
                <wp:positionV relativeFrom="paragraph">
                  <wp:posOffset>4963767</wp:posOffset>
                </wp:positionV>
                <wp:extent cx="2910178" cy="572494"/>
                <wp:effectExtent l="0" t="0" r="5080" b="0"/>
                <wp:wrapNone/>
                <wp:docPr id="26" name="Rectangle 26"/>
                <wp:cNvGraphicFramePr/>
                <a:graphic xmlns:a="http://schemas.openxmlformats.org/drawingml/2006/main">
                  <a:graphicData uri="http://schemas.microsoft.com/office/word/2010/wordprocessingShape">
                    <wps:wsp>
                      <wps:cNvSpPr/>
                      <wps:spPr>
                        <a:xfrm>
                          <a:off x="0" y="0"/>
                          <a:ext cx="2910178" cy="57249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3F71D7" id="Rectangle 26" o:spid="_x0000_s1026" style="position:absolute;margin-left:-23.15pt;margin-top:390.85pt;width:229.15pt;height:45.1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iTGkQIAAIYFAAAOAAAAZHJzL2Uyb0RvYy54bWysVN9P2zAQfp+0/8Hy+0hSFRgVKapATJMQ&#10;Q8DEs+vYTSTb59lu0+6v39lOUsbQHqb1wfX57r77ke/u8mqvFdkJ5zswNa1OSkqE4dB0ZlPT78+3&#10;nz5T4gMzDVNgRE0PwtOr5ccPl71diBm0oBrhCIIYv+htTdsQ7KIoPG+FZv4ErDColOA0Cyi6TdE4&#10;1iO6VsWsLM+KHlxjHXDhPb7eZCVdJnwpBQ/fpPQiEFVTzC2k06VzHc9ieckWG8ds2/EhDfYPWWjW&#10;GQw6Qd2wwMjWdX9A6Y478CDDCQddgJQdF6kGrKYq31Tz1DIrUi3YHG+nNvn/B8vvdw+OdE1NZ2eU&#10;GKbxGz1i15jZKEHwDRvUW79Auyf74AbJ4zVWu5dOx3+sg+xTUw9TU8U+EI6Ps4uqrM6RBhx1p+ez&#10;+cU8ghZHb+t8+CJAk3ipqcPwqZdsd+dDNh1NYjAPqmtuO6WSEIkirpUjO4afeL2pBvDfrJSJtgai&#10;VwaML0UsLJeSbuGgRLRT5lFI7ElMPiWS2HgMwjgXJlRZ1bJG5NinJf7G6GNaqdAEGJElxp+wB4DR&#10;MoOM2DnLwT66ikTmybn8W2LZefJIkcGEyVl3Btx7AAqrGiJn+7FJuTWxS2toDsgYB3mUvOW3HX62&#10;O+bDA3M4OzhluA/CNzykgr6mMNwoacH9fO892iOlUUtJj7NYU/9jy5ygRH01SPaLaj6Pw5uEOXII&#10;Bfdas36tMVt9DciFCjeP5eka7YMar9KBfsG1sYpRUcUMx9g15cGNwnXIOwIXDxerVTLDgbUs3Jkn&#10;yyN47Gqk5fP+hTk7cDcg6+9hnFu2eEPhbBs9Day2AWSX+H3s69BvHPZEnGExxW3yWk5Wx/W5/AUA&#10;AP//AwBQSwMEFAAGAAgAAAAhAG0gnuXgAAAACwEAAA8AAABkcnMvZG93bnJldi54bWxMj8tOwzAQ&#10;RfdI/IM1SOxaJ305hEwqhKCi7CiEtRubJMKPEDtt+HuGFSxHc3TvucV2soad9BA67xDSeQJMu9qr&#10;zjUIb6+PswxYiNIpabzTCN86wLa8vChkrvzZvejTITaMQlzIJUIbY59zHupWWxnmvteOfh9+sDLS&#10;OTRcDfJM4dbwRZJsuJWdo4ZW9vq+1fXnYbQI41rsH6b3r92ySirxXJn1U9z1iNdX090tsKin+AfD&#10;rz6pQ0lORz86FZhBmK02S0IRRJYKYESs0gWtOyJkIr0BXhb8/4byBwAA//8DAFBLAQItABQABgAI&#10;AAAAIQC2gziS/gAAAOEBAAATAAAAAAAAAAAAAAAAAAAAAABbQ29udGVudF9UeXBlc10ueG1sUEsB&#10;Ai0AFAAGAAgAAAAhADj9If/WAAAAlAEAAAsAAAAAAAAAAAAAAAAALwEAAF9yZWxzLy5yZWxzUEsB&#10;Ai0AFAAGAAgAAAAhAInmJMaRAgAAhgUAAA4AAAAAAAAAAAAAAAAALgIAAGRycy9lMm9Eb2MueG1s&#10;UEsBAi0AFAAGAAgAAAAhAG0gnuXgAAAACwEAAA8AAAAAAAAAAAAAAAAA6wQAAGRycy9kb3ducmV2&#10;LnhtbFBLBQYAAAAABAAEAPMAAAD4BQAAAAA=&#10;" fillcolor="white [3212]" stroked="f" strokeweight="2pt"/>
            </w:pict>
          </mc:Fallback>
        </mc:AlternateContent>
      </w:r>
    </w:p>
    <w:p w14:paraId="489F5404" w14:textId="6D899817" w:rsidR="00782D0A" w:rsidRDefault="00782D0A" w:rsidP="002912F1">
      <w:pPr>
        <w:pStyle w:val="Tablechartdiagramheading"/>
      </w:pPr>
    </w:p>
    <w:p w14:paraId="529C944E" w14:textId="77777777" w:rsidR="00782D0A" w:rsidRDefault="00782D0A">
      <w:pPr>
        <w:rPr>
          <w:rFonts w:ascii="VIC SemiBold" w:hAnsi="VIC SemiBold"/>
          <w:bCs/>
          <w:color w:val="007586" w:themeColor="text2"/>
          <w:spacing w:val="2"/>
          <w:szCs w:val="18"/>
        </w:rPr>
      </w:pPr>
      <w:r>
        <w:br w:type="page"/>
      </w:r>
    </w:p>
    <w:p w14:paraId="18F441B6" w14:textId="2AF0EFF4" w:rsidR="00782D0A" w:rsidRDefault="00782D0A" w:rsidP="002912F1">
      <w:pPr>
        <w:pStyle w:val="Tablechartdiagramheading"/>
      </w:pPr>
      <w:r>
        <w:rPr>
          <w:noProof/>
        </w:rPr>
        <mc:AlternateContent>
          <mc:Choice Requires="wps">
            <w:drawing>
              <wp:anchor distT="0" distB="0" distL="114300" distR="114300" simplePos="0" relativeHeight="251666432" behindDoc="0" locked="0" layoutInCell="1" allowOverlap="1" wp14:anchorId="78322919" wp14:editId="39FAC8D4">
                <wp:simplePos x="0" y="0"/>
                <wp:positionH relativeFrom="column">
                  <wp:posOffset>-286385</wp:posOffset>
                </wp:positionH>
                <wp:positionV relativeFrom="paragraph">
                  <wp:posOffset>7733030</wp:posOffset>
                </wp:positionV>
                <wp:extent cx="2692400" cy="431800"/>
                <wp:effectExtent l="0" t="0" r="0" b="6350"/>
                <wp:wrapNone/>
                <wp:docPr id="21" name="Rectangle 21"/>
                <wp:cNvGraphicFramePr/>
                <a:graphic xmlns:a="http://schemas.openxmlformats.org/drawingml/2006/main">
                  <a:graphicData uri="http://schemas.microsoft.com/office/word/2010/wordprocessingShape">
                    <wps:wsp>
                      <wps:cNvSpPr/>
                      <wps:spPr>
                        <a:xfrm>
                          <a:off x="0" y="0"/>
                          <a:ext cx="2692400" cy="4318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F8D9DC" id="Rectangle 21" o:spid="_x0000_s1026" style="position:absolute;margin-left:-22.55pt;margin-top:608.9pt;width:212pt;height:34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JIakQIAAIYFAAAOAAAAZHJzL2Uyb0RvYy54bWysVE1v2zAMvQ/YfxB0X+1kadcGdYogRYYB&#10;RVv0Az0rshQLkEVNUuJkv36U5DhtV+wwLAeFEslH8pnk5dWu1WQrnFdgKjo6KSkRhkOtzLqiz0/L&#10;L+eU+MBMzTQYUdG98PRq9vnTZWenYgwN6Fo4giDGTztb0SYEOy0KzxvRMn8CVhhUSnAtC3h166J2&#10;rEP0VhfjsjwrOnC1dcCF9/h6nZV0lvClFDzcSelFILqimFtIp0vnKp7F7JJN147ZRvE+DfYPWbRM&#10;GQw6QF2zwMjGqT+gWsUdeJDhhENbgJSKi1QDVjMq31Xz2DArUi1IjrcDTf7/wfLb7b0jqq7oeESJ&#10;YS1+owdkjZm1FgTfkKDO+inaPdp71988irHanXRt/Mc6yC6Ruh9IFbtAOD6Ozy7GkxK556ibfB2d&#10;o4wwxdHbOh++C2hJFCrqMHzikm1vfMimB5MYzINW9VJpnS6xUcRCO7Jl+IlX65Qxgr+x0ibaGohe&#10;GTC+FLGwXEqSwl6LaKfNg5DISUw+JZK68RiEcS5MGGVVw2qRY5+W+OtLGzxSoQkwIkuMP2D3AG8L&#10;OGDnLHv76CpSMw/O5d8Sy86DR4oMJgzOrTLgPgLQWFUfOdsfSMrURJZWUO+xYxzkUfKWLxV+thvm&#10;wz1zODv4pXEfhDs8pIauotBLlDTgfn30Hu2xpVFLSYezWFH/c8OcoET/MNjsF6PJJA5vukxOv43x&#10;4l5rVq81ZtMuAHsB+xmzS2K0D/ogSgftC66NeYyKKmY4xq4oD+5wWYS8I3DxcDGfJzMcWMvCjXm0&#10;PIJHVmNbPu1emLN97wbs+ls4zC2bvmvhbBs9Dcw3AaRK/X3ktecbhz01Tr+Y4jZ5fU9Wx/U5+w0A&#10;AP//AwBQSwMEFAAGAAgAAAAhAF+zbkvhAAAADQEAAA8AAABkcnMvZG93bnJldi54bWxMj0FPg0AQ&#10;he8m/ofNmHhrF1oRRJbGGG3Um1U8b2EE4u4sskuL/97pSY/z3pc37xWb2RpxwNH3jhTEywgEUu2a&#10;nloF72+PiwyED5oabRyhgh/0sCnPzwqdN+5Ir3jYhVZwCPlcK+hCGHIpfd2h1X7pBiT2Pt1odeBz&#10;bGUz6iOHWyNXUXQtre6JP3R6wPsO66/dZBVMSfr8MH98b9dVVKUvlUmewnZQ6vJivrsFEXAOfzCc&#10;6nN1KLnT3k3UeGEULK6SmFE2VnHKIxhZp9kNiP1JypIMZFnI/yvKXwAAAP//AwBQSwECLQAUAAYA&#10;CAAAACEAtoM4kv4AAADhAQAAEwAAAAAAAAAAAAAAAAAAAAAAW0NvbnRlbnRfVHlwZXNdLnhtbFBL&#10;AQItABQABgAIAAAAIQA4/SH/1gAAAJQBAAALAAAAAAAAAAAAAAAAAC8BAABfcmVscy8ucmVsc1BL&#10;AQItABQABgAIAAAAIQCEzJIakQIAAIYFAAAOAAAAAAAAAAAAAAAAAC4CAABkcnMvZTJvRG9jLnht&#10;bFBLAQItABQABgAIAAAAIQBfs25L4QAAAA0BAAAPAAAAAAAAAAAAAAAAAOsEAABkcnMvZG93bnJl&#10;di54bWxQSwUGAAAAAAQABADzAAAA+QUAAAAA&#10;" fillcolor="white [3212]" stroked="f" strokeweight="2pt"/>
            </w:pict>
          </mc:Fallback>
        </mc:AlternateContent>
      </w:r>
    </w:p>
    <w:p w14:paraId="3079CECA" w14:textId="77777777" w:rsidR="00782D0A" w:rsidRDefault="00782D0A">
      <w:pPr>
        <w:rPr>
          <w:rFonts w:ascii="VIC SemiBold" w:hAnsi="VIC SemiBold"/>
          <w:bCs/>
          <w:color w:val="007586" w:themeColor="text2"/>
          <w:spacing w:val="2"/>
          <w:szCs w:val="18"/>
        </w:rPr>
      </w:pPr>
      <w:r>
        <w:br w:type="page"/>
      </w:r>
    </w:p>
    <w:p w14:paraId="295D0FF4" w14:textId="77777777" w:rsidR="0064798F" w:rsidRDefault="0064798F" w:rsidP="002912F1">
      <w:pPr>
        <w:pStyle w:val="Tablechartdiagramheading"/>
        <w:sectPr w:rsidR="0064798F" w:rsidSect="00265EC8">
          <w:type w:val="continuous"/>
          <w:pgSz w:w="11906" w:h="16838" w:code="9"/>
          <w:pgMar w:top="3402" w:right="851" w:bottom="1361" w:left="851" w:header="539" w:footer="624" w:gutter="0"/>
          <w:pgNumType w:start="1"/>
          <w:cols w:num="2" w:space="284"/>
          <w:docGrid w:linePitch="360"/>
        </w:sectPr>
      </w:pPr>
    </w:p>
    <w:p w14:paraId="2366F233" w14:textId="77777777" w:rsidR="00727C45" w:rsidRDefault="00727C45" w:rsidP="00B35ADC">
      <w:r>
        <w:rPr>
          <w:noProof/>
        </w:rPr>
        <w:lastRenderedPageBreak/>
        <w:drawing>
          <wp:anchor distT="0" distB="0" distL="114300" distR="114300" simplePos="0" relativeHeight="251663360" behindDoc="1" locked="0" layoutInCell="1" allowOverlap="1" wp14:anchorId="6933FCD5" wp14:editId="0A776800">
            <wp:simplePos x="0" y="0"/>
            <wp:positionH relativeFrom="page">
              <wp:posOffset>0</wp:posOffset>
            </wp:positionH>
            <wp:positionV relativeFrom="page">
              <wp:posOffset>0</wp:posOffset>
            </wp:positionV>
            <wp:extent cx="7559675" cy="10691495"/>
            <wp:effectExtent l="0" t="0" r="3175" b="0"/>
            <wp:wrapTopAndBottom/>
            <wp:docPr id="4" name="back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ck cover.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7559675" cy="10691495"/>
                    </a:xfrm>
                    <a:prstGeom prst="rect">
                      <a:avLst/>
                    </a:prstGeom>
                  </pic:spPr>
                </pic:pic>
              </a:graphicData>
            </a:graphic>
            <wp14:sizeRelH relativeFrom="margin">
              <wp14:pctWidth>0</wp14:pctWidth>
            </wp14:sizeRelH>
            <wp14:sizeRelV relativeFrom="margin">
              <wp14:pctHeight>0</wp14:pctHeight>
            </wp14:sizeRelV>
          </wp:anchor>
        </w:drawing>
      </w:r>
    </w:p>
    <w:sectPr w:rsidR="00727C45" w:rsidSect="00265EC8">
      <w:type w:val="continuous"/>
      <w:pgSz w:w="11906" w:h="16838" w:code="9"/>
      <w:pgMar w:top="3402" w:right="851" w:bottom="1361" w:left="851" w:header="539" w:footer="624" w:gutter="0"/>
      <w:cols w:num="2" w:space="284"/>
      <w:docGrid w:linePitch="360"/>
      <w15:footnoteColumns w:val="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F72B89" w14:textId="77777777" w:rsidR="00D14F54" w:rsidRDefault="00D14F54" w:rsidP="00B35ADC">
      <w:r>
        <w:separator/>
      </w:r>
    </w:p>
  </w:endnote>
  <w:endnote w:type="continuationSeparator" w:id="0">
    <w:p w14:paraId="6C27EF0B" w14:textId="77777777" w:rsidR="00D14F54" w:rsidRDefault="00D14F54" w:rsidP="00B35A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VIC">
    <w:panose1 w:val="00000500000000000000"/>
    <w:charset w:val="00"/>
    <w:family w:val="auto"/>
    <w:pitch w:val="variable"/>
    <w:sig w:usb0="00000007" w:usb1="00000000" w:usb2="00000000" w:usb3="00000000" w:csb0="00000093" w:csb1="00000000"/>
  </w:font>
  <w:font w:name="Arial">
    <w:panose1 w:val="020B0604020202020204"/>
    <w:charset w:val="00"/>
    <w:family w:val="swiss"/>
    <w:pitch w:val="variable"/>
    <w:sig w:usb0="E0002AFF" w:usb1="C0007843" w:usb2="00000009" w:usb3="00000000" w:csb0="000001FF" w:csb1="00000000"/>
  </w:font>
  <w:font w:name="VIC SemiBold">
    <w:panose1 w:val="00000700000000000000"/>
    <w:charset w:val="00"/>
    <w:family w:val="auto"/>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IC Medium">
    <w:panose1 w:val="00000600000000000000"/>
    <w:charset w:val="00"/>
    <w:family w:val="auto"/>
    <w:pitch w:val="variable"/>
    <w:sig w:usb0="00000007" w:usb1="00000000" w:usb2="00000000" w:usb3="00000000" w:csb0="0000009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B5A0CC" w14:textId="77777777" w:rsidR="00D14F54" w:rsidRDefault="00D14F54" w:rsidP="00B35ADC">
    <w:pPr>
      <w:pStyle w:val="FooterEven"/>
      <w:framePr w:wrap="around"/>
    </w:pPr>
    <w:r>
      <w:rPr>
        <w:noProof w:val="0"/>
      </w:rPr>
      <w:fldChar w:fldCharType="begin"/>
    </w:r>
    <w:r>
      <w:instrText xml:space="preserve"> PAGE   \* MERGEFORMAT </w:instrText>
    </w:r>
    <w:r>
      <w:rPr>
        <w:noProof w:val="0"/>
      </w:rPr>
      <w:fldChar w:fldCharType="separate"/>
    </w:r>
    <w:r>
      <w:t>4</w:t>
    </w:r>
    <w:r>
      <w:fldChar w:fldCharType="end"/>
    </w:r>
    <w:r>
      <w:t> </w:t>
    </w:r>
    <w:r>
      <w:t> </w:t>
    </w:r>
    <w:r w:rsidRPr="00724F74">
      <w:rPr>
        <w:b/>
      </w:rPr>
      <w:t>Safer Care Victoria</w:t>
    </w:r>
    <w:r>
      <w:t> </w:t>
    </w:r>
    <w:r>
      <w:t> </w:t>
    </w:r>
    <w:sdt>
      <w:sdtPr>
        <w:alias w:val="Title"/>
        <w:tag w:val=""/>
        <w:id w:val="-270466633"/>
        <w:dataBinding w:prefixMappings="xmlns:ns0='http://purl.org/dc/elements/1.1/' xmlns:ns1='http://schemas.openxmlformats.org/package/2006/metadata/core-properties' " w:xpath="/ns1:coreProperties[1]/ns0:title[1]" w:storeItemID="{6C3C8BC8-F283-45AE-878A-BAB7291924A1}"/>
        <w:text/>
      </w:sdtPr>
      <w:sdtEndPr/>
      <w:sdtContent>
        <w:r>
          <w:t>Putting patient safety first</w:t>
        </w:r>
      </w:sdtContent>
    </w:sdt>
    <w:r>
      <w:t xml:space="preserve"> </w:t>
    </w:r>
    <w:r>
      <w:drawing>
        <wp:anchor distT="0" distB="0" distL="114300" distR="114300" simplePos="0" relativeHeight="251675648" behindDoc="0" locked="0" layoutInCell="1" allowOverlap="1" wp14:anchorId="65014E1F" wp14:editId="7E1EF22B">
          <wp:simplePos x="0" y="0"/>
          <wp:positionH relativeFrom="column">
            <wp:posOffset>4256126</wp:posOffset>
          </wp:positionH>
          <wp:positionV relativeFrom="page">
            <wp:posOffset>9493250</wp:posOffset>
          </wp:positionV>
          <wp:extent cx="1956435" cy="582930"/>
          <wp:effectExtent l="0" t="0" r="5715" b="7620"/>
          <wp:wrapNone/>
          <wp:docPr id="18"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toria State Gov DTF right reverse 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56435" cy="582930"/>
                  </a:xfrm>
                  <a:prstGeom prst="rect">
                    <a:avLst/>
                  </a:prstGeom>
                </pic:spPr>
              </pic:pic>
            </a:graphicData>
          </a:graphic>
          <wp14:sizeRelH relativeFrom="margin">
            <wp14:pctWidth>0</wp14:pctWidth>
          </wp14:sizeRelH>
          <wp14:sizeRelV relativeFrom="margin">
            <wp14:pctHeight>0</wp14:pctHeight>
          </wp14:sizeRelV>
        </wp:anchor>
      </w:drawing>
    </w:r>
  </w:p>
  <w:p w14:paraId="26E69E75" w14:textId="77777777" w:rsidR="00D14F54" w:rsidRPr="002A5891" w:rsidRDefault="00D14F54" w:rsidP="00B35AD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6800AA" w14:textId="77777777" w:rsidR="00D14F54" w:rsidRDefault="001F4FFB" w:rsidP="00B35ADC">
    <w:pPr>
      <w:pStyle w:val="FooterOdd"/>
      <w:framePr w:wrap="around"/>
    </w:pPr>
    <w:sdt>
      <w:sdtPr>
        <w:alias w:val="Title"/>
        <w:tag w:val=""/>
        <w:id w:val="1181776495"/>
        <w:dataBinding w:prefixMappings="xmlns:ns0='http://purl.org/dc/elements/1.1/' xmlns:ns1='http://schemas.openxmlformats.org/package/2006/metadata/core-properties' " w:xpath="/ns1:coreProperties[1]/ns0:title[1]" w:storeItemID="{6C3C8BC8-F283-45AE-878A-BAB7291924A1}"/>
        <w:text/>
      </w:sdtPr>
      <w:sdtEndPr/>
      <w:sdtContent>
        <w:r w:rsidR="00D14F54">
          <w:t>Putting patient safety first</w:t>
        </w:r>
      </w:sdtContent>
    </w:sdt>
    <w:r w:rsidR="00D14F54">
      <w:t> </w:t>
    </w:r>
    <w:r w:rsidR="00D14F54">
      <w:t> </w:t>
    </w:r>
    <w:r w:rsidR="00D14F54" w:rsidRPr="0097403D">
      <w:rPr>
        <w:b/>
      </w:rPr>
      <w:t>Safer Care Victoria</w:t>
    </w:r>
    <w:r w:rsidR="00D14F54">
      <w:t> </w:t>
    </w:r>
    <w:r w:rsidR="00D14F54">
      <w:t> </w:t>
    </w:r>
    <w:r w:rsidR="00D14F54">
      <w:rPr>
        <w:noProof w:val="0"/>
      </w:rPr>
      <w:fldChar w:fldCharType="begin"/>
    </w:r>
    <w:r w:rsidR="00D14F54">
      <w:instrText xml:space="preserve"> PAGE   \* MERGEFORMAT </w:instrText>
    </w:r>
    <w:r w:rsidR="00D14F54">
      <w:rPr>
        <w:noProof w:val="0"/>
      </w:rPr>
      <w:fldChar w:fldCharType="separate"/>
    </w:r>
    <w:r w:rsidR="00D14F54">
      <w:t>5</w:t>
    </w:r>
    <w:r w:rsidR="00D14F54">
      <w:fldChar w:fldCharType="end"/>
    </w:r>
  </w:p>
  <w:p w14:paraId="21EE316F" w14:textId="77777777" w:rsidR="00D14F54" w:rsidRPr="002A5891" w:rsidRDefault="00D14F54" w:rsidP="00B35AD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D5685C" w14:textId="77777777" w:rsidR="00D14F54" w:rsidRDefault="00D14F54" w:rsidP="00B35AD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E8F25F" w14:textId="77777777" w:rsidR="00D14F54" w:rsidRDefault="00D14F54" w:rsidP="00B35ADC"/>
  </w:footnote>
  <w:footnote w:type="continuationSeparator" w:id="0">
    <w:p w14:paraId="30CC6A31" w14:textId="77777777" w:rsidR="00D14F54" w:rsidRDefault="00D14F54" w:rsidP="00B35AD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0C1E37" w14:textId="77777777" w:rsidR="00D14F54" w:rsidRDefault="00D14F54" w:rsidP="00B35ADC">
    <w:pPr>
      <w:pStyle w:val="Header"/>
    </w:pPr>
    <w:r>
      <w:rPr>
        <w:noProof/>
      </w:rPr>
      <w:drawing>
        <wp:anchor distT="0" distB="0" distL="114300" distR="114300" simplePos="0" relativeHeight="251673600" behindDoc="1" locked="0" layoutInCell="1" allowOverlap="1" wp14:anchorId="33A25C35" wp14:editId="76B839F0">
          <wp:simplePos x="0" y="0"/>
          <wp:positionH relativeFrom="column">
            <wp:posOffset>-914400</wp:posOffset>
          </wp:positionH>
          <wp:positionV relativeFrom="page">
            <wp:posOffset>0</wp:posOffset>
          </wp:positionV>
          <wp:extent cx="7562088" cy="10698480"/>
          <wp:effectExtent l="0" t="0" r="1270" b="7620"/>
          <wp:wrapNone/>
          <wp:docPr id="5" name="Alternative back cover"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TION PAGE_9545 DTF Covers A4 Final_Blue3 copy.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7562088" cy="1069848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6686DC" w14:textId="77777777" w:rsidR="00D14F54" w:rsidRDefault="00D14F54" w:rsidP="0023694D">
    <w:pPr>
      <w:pStyle w:val="NoSpacing"/>
    </w:pPr>
    <w:r>
      <w:rPr>
        <w:noProof/>
      </w:rPr>
      <w:drawing>
        <wp:anchor distT="0" distB="0" distL="114300" distR="114300" simplePos="0" relativeHeight="251676672" behindDoc="1" locked="0" layoutInCell="1" allowOverlap="1" wp14:anchorId="5FF469F3" wp14:editId="3E91684B">
          <wp:simplePos x="542925" y="342900"/>
          <wp:positionH relativeFrom="page">
            <wp:align>left</wp:align>
          </wp:positionH>
          <wp:positionV relativeFrom="page">
            <wp:align>top</wp:align>
          </wp:positionV>
          <wp:extent cx="7560000" cy="10691587"/>
          <wp:effectExtent l="0" t="0" r="317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ront cover artwor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691587"/>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0E2C3B" w14:textId="77777777" w:rsidR="00D14F54" w:rsidRDefault="00D14F54" w:rsidP="0086277A">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FF5E85"/>
    <w:multiLevelType w:val="hybridMultilevel"/>
    <w:tmpl w:val="7018BD2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26456FFD"/>
    <w:multiLevelType w:val="multilevel"/>
    <w:tmpl w:val="47D41E60"/>
    <w:lvl w:ilvl="0">
      <w:start w:val="1"/>
      <w:numFmt w:val="bullet"/>
      <w:pStyle w:val="Tablebullet"/>
      <w:lvlText w:val=""/>
      <w:lvlJc w:val="left"/>
      <w:pPr>
        <w:ind w:left="284" w:hanging="284"/>
      </w:pPr>
      <w:rPr>
        <w:rFonts w:ascii="Symbol" w:hAnsi="Symbol" w:hint="default"/>
        <w:color w:val="4D92C0"/>
      </w:rPr>
    </w:lvl>
    <w:lvl w:ilvl="1">
      <w:start w:val="1"/>
      <w:numFmt w:val="bullet"/>
      <w:pStyle w:val="Tabledash"/>
      <w:lvlText w:val="–"/>
      <w:lvlJc w:val="left"/>
      <w:pPr>
        <w:ind w:left="568" w:hanging="284"/>
      </w:pPr>
      <w:rPr>
        <w:rFonts w:ascii="Calibri" w:hAnsi="Calibri" w:hint="default"/>
        <w:color w:val="auto"/>
      </w:rPr>
    </w:lvl>
    <w:lvl w:ilvl="2">
      <w:start w:val="1"/>
      <w:numFmt w:val="decimal"/>
      <w:pStyle w:val="Tablenum1"/>
      <w:lvlText w:val="%3."/>
      <w:lvlJc w:val="left"/>
      <w:pPr>
        <w:tabs>
          <w:tab w:val="num" w:pos="284"/>
        </w:tabs>
        <w:ind w:left="284" w:hanging="284"/>
      </w:pPr>
      <w:rPr>
        <w:rFonts w:hint="default"/>
      </w:rPr>
    </w:lvl>
    <w:lvl w:ilvl="3">
      <w:start w:val="1"/>
      <w:numFmt w:val="lowerLetter"/>
      <w:pStyle w:val="Tablenum2"/>
      <w:lvlText w:val="(%4)"/>
      <w:lvlJc w:val="left"/>
      <w:pPr>
        <w:tabs>
          <w:tab w:val="num" w:pos="567"/>
        </w:tabs>
        <w:ind w:left="567" w:hanging="283"/>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 w15:restartNumberingAfterBreak="0">
    <w:nsid w:val="393615B0"/>
    <w:multiLevelType w:val="multilevel"/>
    <w:tmpl w:val="F27293EC"/>
    <w:name w:val="List num2"/>
    <w:lvl w:ilvl="0">
      <w:start w:val="1"/>
      <w:numFmt w:val="decimal"/>
      <w:pStyle w:val="Heading1numbered"/>
      <w:suff w:val="space"/>
      <w:lvlText w:val="Section %1.0"/>
      <w:lvlJc w:val="left"/>
      <w:pPr>
        <w:ind w:left="0" w:firstLine="0"/>
      </w:pPr>
      <w:rPr>
        <w:rFonts w:hint="default"/>
      </w:rPr>
    </w:lvl>
    <w:lvl w:ilvl="1">
      <w:start w:val="1"/>
      <w:numFmt w:val="decimal"/>
      <w:pStyle w:val="Heading2numbered"/>
      <w:suff w:val="space"/>
      <w:lvlText w:val="%1.%2"/>
      <w:lvlJc w:val="left"/>
      <w:pPr>
        <w:ind w:left="4962" w:firstLine="0"/>
      </w:pPr>
      <w:rPr>
        <w:rFonts w:hint="default"/>
      </w:rPr>
    </w:lvl>
    <w:lvl w:ilvl="2">
      <w:start w:val="1"/>
      <w:numFmt w:val="decimal"/>
      <w:pStyle w:val="Heading3numbered"/>
      <w:suff w:val="space"/>
      <w:lvlText w:val="%1.%2.%3"/>
      <w:lvlJc w:val="left"/>
      <w:pPr>
        <w:ind w:left="0" w:firstLine="0"/>
      </w:pPr>
      <w:rPr>
        <w:rFonts w:hint="default"/>
      </w:rPr>
    </w:lvl>
    <w:lvl w:ilvl="3">
      <w:start w:val="1"/>
      <w:numFmt w:val="decimal"/>
      <w:pStyle w:val="Heading4numbered"/>
      <w:suff w:val="space"/>
      <w:lvlText w:val="%1.%2.%3.%4"/>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right"/>
      <w:pPr>
        <w:ind w:left="0" w:firstLine="0"/>
      </w:pPr>
      <w:rPr>
        <w:rFonts w:hint="default"/>
      </w:rPr>
    </w:lvl>
  </w:abstractNum>
  <w:abstractNum w:abstractNumId="3" w15:restartNumberingAfterBreak="0">
    <w:nsid w:val="393A12AA"/>
    <w:multiLevelType w:val="multilevel"/>
    <w:tmpl w:val="D950837A"/>
    <w:lvl w:ilvl="0">
      <w:start w:val="1"/>
      <w:numFmt w:val="bullet"/>
      <w:pStyle w:val="Bullet1"/>
      <w:lvlText w:val=""/>
      <w:lvlJc w:val="left"/>
      <w:pPr>
        <w:ind w:left="284" w:hanging="284"/>
      </w:pPr>
      <w:rPr>
        <w:rFonts w:ascii="Wingdings 2" w:hAnsi="Wingdings 2" w:hint="default"/>
        <w:color w:val="4D92C0"/>
        <w:position w:val="2"/>
        <w:sz w:val="16"/>
      </w:rPr>
    </w:lvl>
    <w:lvl w:ilvl="1">
      <w:start w:val="1"/>
      <w:numFmt w:val="bullet"/>
      <w:pStyle w:val="Bullet2"/>
      <w:lvlText w:val="–"/>
      <w:lvlJc w:val="left"/>
      <w:pPr>
        <w:ind w:left="568" w:hanging="284"/>
      </w:pPr>
      <w:rPr>
        <w:rFonts w:ascii="Arial Black" w:hAnsi="Arial Black" w:hint="default"/>
      </w:rPr>
    </w:lvl>
    <w:lvl w:ilvl="2">
      <w:start w:val="1"/>
      <w:numFmt w:val="bullet"/>
      <w:lvlText w:val=""/>
      <w:lvlJc w:val="left"/>
      <w:pPr>
        <w:ind w:left="852" w:hanging="284"/>
      </w:pPr>
      <w:rPr>
        <w:rFonts w:ascii="Wingdings" w:hAnsi="Wingdings" w:hint="default"/>
      </w:rPr>
    </w:lvl>
    <w:lvl w:ilvl="3">
      <w:start w:val="1"/>
      <w:numFmt w:val="bullet"/>
      <w:lvlText w:val=""/>
      <w:lvlJc w:val="left"/>
      <w:pPr>
        <w:ind w:left="1136" w:hanging="284"/>
      </w:pPr>
      <w:rPr>
        <w:rFonts w:ascii="Symbol" w:hAnsi="Symbol" w:hint="default"/>
      </w:rPr>
    </w:lvl>
    <w:lvl w:ilvl="4">
      <w:start w:val="1"/>
      <w:numFmt w:val="bullet"/>
      <w:lvlText w:val="o"/>
      <w:lvlJc w:val="left"/>
      <w:pPr>
        <w:ind w:left="1420" w:hanging="284"/>
      </w:pPr>
      <w:rPr>
        <w:rFonts w:ascii="Courier New" w:hAnsi="Courier New" w:cs="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4" w15:restartNumberingAfterBreak="0">
    <w:nsid w:val="40344D30"/>
    <w:multiLevelType w:val="hybridMultilevel"/>
    <w:tmpl w:val="E0AA5B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3BF2BD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446D3A6A"/>
    <w:multiLevelType w:val="multilevel"/>
    <w:tmpl w:val="F58A407A"/>
    <w:lvl w:ilvl="0">
      <w:start w:val="1"/>
      <w:numFmt w:val="bullet"/>
      <w:lvlText w:val=""/>
      <w:lvlJc w:val="left"/>
      <w:pPr>
        <w:tabs>
          <w:tab w:val="num" w:pos="360"/>
        </w:tabs>
        <w:ind w:left="360" w:hanging="360"/>
      </w:pPr>
      <w:rPr>
        <w:rFonts w:ascii="Symbol" w:hAnsi="Symbol" w:hint="default"/>
        <w:b w:val="0"/>
        <w:i w:val="0"/>
        <w:vanish w:val="0"/>
        <w:color w:val="auto"/>
        <w:sz w:val="22"/>
      </w:rPr>
    </w:lvl>
    <w:lvl w:ilvl="1">
      <w:start w:val="1"/>
      <w:numFmt w:val="bullet"/>
      <w:lvlText w:val="–"/>
      <w:lvlJc w:val="left"/>
      <w:pPr>
        <w:tabs>
          <w:tab w:val="num" w:pos="720"/>
        </w:tabs>
        <w:ind w:left="720" w:hanging="360"/>
      </w:pPr>
      <w:rPr>
        <w:rFonts w:ascii="Calibri" w:hAnsi="Calibri" w:hint="default"/>
        <w:b w:val="0"/>
        <w:i w:val="0"/>
        <w:vanish w:val="0"/>
        <w:color w:val="auto"/>
        <w:sz w:val="22"/>
      </w:rPr>
    </w:lvl>
    <w:lvl w:ilvl="2">
      <w:start w:val="1"/>
      <w:numFmt w:val="bullet"/>
      <w:lvlText w:val=""/>
      <w:lvlJc w:val="left"/>
      <w:pPr>
        <w:tabs>
          <w:tab w:val="num" w:pos="1152"/>
        </w:tabs>
        <w:ind w:left="1152" w:hanging="360"/>
      </w:pPr>
      <w:rPr>
        <w:rFonts w:ascii="Symbol" w:hAnsi="Symbol" w:hint="default"/>
        <w:b w:val="0"/>
        <w:i w:val="0"/>
        <w:vanish w:val="0"/>
        <w:color w:val="auto"/>
        <w:sz w:val="22"/>
      </w:rPr>
    </w:lvl>
    <w:lvl w:ilvl="3">
      <w:start w:val="1"/>
      <w:numFmt w:val="bullet"/>
      <w:lvlText w:val="–"/>
      <w:lvlJc w:val="left"/>
      <w:pPr>
        <w:tabs>
          <w:tab w:val="num" w:pos="1512"/>
        </w:tabs>
        <w:ind w:left="1512" w:hanging="360"/>
      </w:pPr>
      <w:rPr>
        <w:rFonts w:ascii="Calibri" w:hAnsi="Calibri" w:hint="default"/>
        <w:b w:val="0"/>
        <w:i w:val="0"/>
        <w:vanish w:val="0"/>
        <w:color w:val="auto"/>
        <w:sz w:val="22"/>
      </w:rPr>
    </w:lvl>
    <w:lvl w:ilvl="4">
      <w:start w:val="1"/>
      <w:numFmt w:val="bullet"/>
      <w:lvlText w:val=""/>
      <w:lvlJc w:val="left"/>
      <w:pPr>
        <w:tabs>
          <w:tab w:val="num" w:pos="2211"/>
        </w:tabs>
        <w:ind w:left="2211" w:hanging="283"/>
      </w:pPr>
      <w:rPr>
        <w:rFonts w:ascii="Symbol" w:hAnsi="Symbol" w:hint="default"/>
        <w:b w:val="0"/>
        <w:i w:val="0"/>
        <w:vanish w:val="0"/>
        <w:color w:val="auto"/>
        <w:sz w:val="22"/>
      </w:rPr>
    </w:lvl>
    <w:lvl w:ilvl="5">
      <w:start w:val="1"/>
      <w:numFmt w:val="bullet"/>
      <w:lvlText w:val=""/>
      <w:lvlJc w:val="left"/>
      <w:pPr>
        <w:tabs>
          <w:tab w:val="num" w:pos="2495"/>
        </w:tabs>
        <w:ind w:left="2495" w:hanging="284"/>
      </w:pPr>
      <w:rPr>
        <w:rFonts w:ascii="Symbol" w:hAnsi="Symbol" w:hint="default"/>
        <w:b w:val="0"/>
        <w:i w:val="0"/>
        <w:vanish w:val="0"/>
        <w:color w:val="auto"/>
        <w:sz w:val="22"/>
      </w:rPr>
    </w:lvl>
    <w:lvl w:ilvl="6">
      <w:start w:val="1"/>
      <w:numFmt w:val="bullet"/>
      <w:lvlText w:val=""/>
      <w:lvlJc w:val="left"/>
      <w:pPr>
        <w:tabs>
          <w:tab w:val="num" w:pos="2778"/>
        </w:tabs>
        <w:ind w:left="2778" w:hanging="283"/>
      </w:pPr>
      <w:rPr>
        <w:rFonts w:ascii="Symbol" w:hAnsi="Symbol" w:hint="default"/>
        <w:b w:val="0"/>
        <w:i w:val="0"/>
        <w:vanish w:val="0"/>
        <w:color w:val="auto"/>
        <w:sz w:val="22"/>
      </w:rPr>
    </w:lvl>
    <w:lvl w:ilvl="7">
      <w:start w:val="1"/>
      <w:numFmt w:val="bullet"/>
      <w:lvlText w:val=""/>
      <w:lvlJc w:val="left"/>
      <w:pPr>
        <w:tabs>
          <w:tab w:val="num" w:pos="3062"/>
        </w:tabs>
        <w:ind w:left="3062" w:hanging="284"/>
      </w:pPr>
      <w:rPr>
        <w:rFonts w:ascii="Symbol" w:hAnsi="Symbol" w:hint="default"/>
        <w:b w:val="0"/>
        <w:i w:val="0"/>
        <w:vanish w:val="0"/>
        <w:color w:val="auto"/>
        <w:sz w:val="22"/>
      </w:rPr>
    </w:lvl>
    <w:lvl w:ilvl="8">
      <w:start w:val="1"/>
      <w:numFmt w:val="bullet"/>
      <w:lvlText w:val=""/>
      <w:lvlJc w:val="left"/>
      <w:pPr>
        <w:tabs>
          <w:tab w:val="num" w:pos="3345"/>
        </w:tabs>
        <w:ind w:left="3345" w:hanging="283"/>
      </w:pPr>
      <w:rPr>
        <w:rFonts w:ascii="Symbol" w:hAnsi="Symbol" w:hint="default"/>
        <w:b w:val="0"/>
        <w:i w:val="0"/>
        <w:vanish w:val="0"/>
        <w:color w:val="auto"/>
        <w:sz w:val="22"/>
      </w:rPr>
    </w:lvl>
  </w:abstractNum>
  <w:abstractNum w:abstractNumId="7" w15:restartNumberingAfterBreak="0">
    <w:nsid w:val="47F264C4"/>
    <w:multiLevelType w:val="hybridMultilevel"/>
    <w:tmpl w:val="CB26EEE6"/>
    <w:lvl w:ilvl="0" w:tplc="859EA2DE">
      <w:numFmt w:val="bullet"/>
      <w:lvlText w:val="•"/>
      <w:lvlJc w:val="left"/>
      <w:pPr>
        <w:ind w:left="1080" w:hanging="720"/>
      </w:pPr>
      <w:rPr>
        <w:rFonts w:ascii="VIC" w:eastAsiaTheme="minorEastAsia" w:hAnsi="VIC"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56443DFE"/>
    <w:multiLevelType w:val="hybridMultilevel"/>
    <w:tmpl w:val="E7EE14BE"/>
    <w:lvl w:ilvl="0" w:tplc="859EA2DE">
      <w:numFmt w:val="bullet"/>
      <w:lvlText w:val="•"/>
      <w:lvlJc w:val="left"/>
      <w:pPr>
        <w:ind w:left="720" w:hanging="720"/>
      </w:pPr>
      <w:rPr>
        <w:rFonts w:ascii="VIC" w:eastAsiaTheme="minorEastAsia" w:hAnsi="VIC" w:cstheme="minorBid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5F7B43C7"/>
    <w:multiLevelType w:val="hybridMultilevel"/>
    <w:tmpl w:val="E1586F4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73431438"/>
    <w:multiLevelType w:val="hybridMultilevel"/>
    <w:tmpl w:val="D63EAE0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7A7E12E5"/>
    <w:multiLevelType w:val="multilevel"/>
    <w:tmpl w:val="F74E2CE0"/>
    <w:lvl w:ilvl="0">
      <w:start w:val="1"/>
      <w:numFmt w:val="decimal"/>
      <w:pStyle w:val="Numpara"/>
      <w:lvlText w:val="%1."/>
      <w:lvlJc w:val="left"/>
      <w:pPr>
        <w:ind w:left="397" w:hanging="397"/>
      </w:pPr>
      <w:rPr>
        <w:rFonts w:hint="default"/>
      </w:rPr>
    </w:lvl>
    <w:lvl w:ilvl="1">
      <w:start w:val="1"/>
      <w:numFmt w:val="lowerLetter"/>
      <w:lvlText w:val="%2."/>
      <w:lvlJc w:val="left"/>
      <w:pPr>
        <w:ind w:left="568" w:hanging="284"/>
      </w:pPr>
      <w:rPr>
        <w:rFonts w:hint="default"/>
      </w:rPr>
    </w:lvl>
    <w:lvl w:ilvl="2">
      <w:start w:val="1"/>
      <w:numFmt w:val="lowerRoman"/>
      <w:lvlText w:val="%3."/>
      <w:lvlJc w:val="righ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12" w15:restartNumberingAfterBreak="0">
    <w:nsid w:val="7FD44514"/>
    <w:multiLevelType w:val="multilevel"/>
    <w:tmpl w:val="457635A8"/>
    <w:name w:val="List num"/>
    <w:lvl w:ilvl="0">
      <w:start w:val="1"/>
      <w:numFmt w:val="lowerLetter"/>
      <w:pStyle w:val="Listnum"/>
      <w:lvlText w:val="(%1)"/>
      <w:lvlJc w:val="left"/>
      <w:pPr>
        <w:ind w:left="397" w:hanging="397"/>
      </w:pPr>
      <w:rPr>
        <w:rFonts w:hint="default"/>
      </w:rPr>
    </w:lvl>
    <w:lvl w:ilvl="1">
      <w:start w:val="1"/>
      <w:numFmt w:val="lowerRoman"/>
      <w:pStyle w:val="Listnum2"/>
      <w:lvlText w:val="(%2)"/>
      <w:lvlJc w:val="left"/>
      <w:pPr>
        <w:ind w:left="794" w:hanging="397"/>
      </w:pPr>
      <w:rPr>
        <w:rFonts w:hint="default"/>
      </w:rPr>
    </w:lvl>
    <w:lvl w:ilvl="2">
      <w:start w:val="1"/>
      <w:numFmt w:val="decimal"/>
      <w:lvlText w:val="(%3)"/>
      <w:lvlJc w:val="left"/>
      <w:pPr>
        <w:ind w:left="1191" w:hanging="397"/>
      </w:pPr>
      <w:rPr>
        <w:rFonts w:hint="default"/>
      </w:rPr>
    </w:lvl>
    <w:lvl w:ilvl="3">
      <w:start w:val="1"/>
      <w:numFmt w:val="upperLetter"/>
      <w:lvlText w:val="(%4)"/>
      <w:lvlJc w:val="left"/>
      <w:pPr>
        <w:ind w:left="1588" w:hanging="397"/>
      </w:pPr>
      <w:rPr>
        <w:rFonts w:hint="default"/>
      </w:rPr>
    </w:lvl>
    <w:lvl w:ilvl="4">
      <w:start w:val="1"/>
      <w:numFmt w:val="upperRoman"/>
      <w:lvlRestart w:val="1"/>
      <w:lvlText w:val="(%5)"/>
      <w:lvlJc w:val="left"/>
      <w:pPr>
        <w:ind w:left="1985" w:hanging="397"/>
      </w:pPr>
      <w:rPr>
        <w:rFonts w:hint="default"/>
      </w:rPr>
    </w:lvl>
    <w:lvl w:ilvl="5">
      <w:start w:val="1"/>
      <w:numFmt w:val="decimal"/>
      <w:lvlText w:val="%3.%4.%5.%6"/>
      <w:lvlJc w:val="left"/>
      <w:pPr>
        <w:tabs>
          <w:tab w:val="num" w:pos="2345"/>
        </w:tabs>
        <w:ind w:left="2382" w:hanging="397"/>
      </w:pPr>
      <w:rPr>
        <w:rFonts w:hint="default"/>
      </w:rPr>
    </w:lvl>
    <w:lvl w:ilvl="6">
      <w:start w:val="1"/>
      <w:numFmt w:val="lowerLetter"/>
      <w:lvlText w:val="(%7)"/>
      <w:lvlJc w:val="left"/>
      <w:pPr>
        <w:tabs>
          <w:tab w:val="num" w:pos="2742"/>
        </w:tabs>
        <w:ind w:left="2779" w:hanging="397"/>
      </w:pPr>
      <w:rPr>
        <w:rFonts w:hint="default"/>
      </w:rPr>
    </w:lvl>
    <w:lvl w:ilvl="7">
      <w:start w:val="1"/>
      <w:numFmt w:val="lowerRoman"/>
      <w:lvlText w:val="(%8)"/>
      <w:lvlJc w:val="left"/>
      <w:pPr>
        <w:tabs>
          <w:tab w:val="num" w:pos="3139"/>
        </w:tabs>
        <w:ind w:left="3176" w:hanging="397"/>
      </w:pPr>
      <w:rPr>
        <w:rFonts w:hint="default"/>
      </w:rPr>
    </w:lvl>
    <w:lvl w:ilvl="8">
      <w:start w:val="1"/>
      <w:numFmt w:val="decimal"/>
      <w:lvlText w:val="%9."/>
      <w:lvlJc w:val="left"/>
      <w:pPr>
        <w:tabs>
          <w:tab w:val="num" w:pos="3536"/>
        </w:tabs>
        <w:ind w:left="3573" w:hanging="397"/>
      </w:pPr>
      <w:rPr>
        <w:rFonts w:hint="default"/>
      </w:rPr>
    </w:lvl>
  </w:abstractNum>
  <w:num w:numId="1">
    <w:abstractNumId w:val="6"/>
  </w:num>
  <w:num w:numId="2">
    <w:abstractNumId w:val="6"/>
  </w:num>
  <w:num w:numId="3">
    <w:abstractNumId w:val="6"/>
  </w:num>
  <w:num w:numId="4">
    <w:abstractNumId w:val="12"/>
  </w:num>
  <w:num w:numId="5">
    <w:abstractNumId w:val="1"/>
  </w:num>
  <w:num w:numId="6">
    <w:abstractNumId w:val="5"/>
  </w:num>
  <w:num w:numId="7">
    <w:abstractNumId w:val="11"/>
  </w:num>
  <w:num w:numId="8">
    <w:abstractNumId w:val="3"/>
  </w:num>
  <w:num w:numId="9">
    <w:abstractNumId w:val="3"/>
  </w:num>
  <w:num w:numId="10">
    <w:abstractNumId w:val="2"/>
  </w:num>
  <w:num w:numId="11">
    <w:abstractNumId w:val="0"/>
  </w:num>
  <w:num w:numId="12">
    <w:abstractNumId w:val="9"/>
  </w:num>
  <w:num w:numId="13">
    <w:abstractNumId w:val="4"/>
  </w:num>
  <w:num w:numId="14">
    <w:abstractNumId w:val="7"/>
  </w:num>
  <w:num w:numId="15">
    <w:abstractNumId w:val="8"/>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displayBackgroundShape/>
  <w:proofState w:spelling="clean" w:grammar="clean"/>
  <w:attachedTemplate r:id="rId1"/>
  <w:defaultTabStop w:val="720"/>
  <w:evenAndOddHeaders/>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5ADC"/>
    <w:rsid w:val="00003AE9"/>
    <w:rsid w:val="00012F6F"/>
    <w:rsid w:val="00014213"/>
    <w:rsid w:val="00014B55"/>
    <w:rsid w:val="00020E3E"/>
    <w:rsid w:val="00023BF3"/>
    <w:rsid w:val="00026811"/>
    <w:rsid w:val="00033C6C"/>
    <w:rsid w:val="0004185E"/>
    <w:rsid w:val="000442F0"/>
    <w:rsid w:val="00053A27"/>
    <w:rsid w:val="00056988"/>
    <w:rsid w:val="0007217A"/>
    <w:rsid w:val="00072279"/>
    <w:rsid w:val="00073407"/>
    <w:rsid w:val="00075E6C"/>
    <w:rsid w:val="00081C12"/>
    <w:rsid w:val="00087D42"/>
    <w:rsid w:val="000B29AD"/>
    <w:rsid w:val="000C5273"/>
    <w:rsid w:val="000C6372"/>
    <w:rsid w:val="000D7841"/>
    <w:rsid w:val="000E392D"/>
    <w:rsid w:val="000E39B6"/>
    <w:rsid w:val="000E3D05"/>
    <w:rsid w:val="000E7687"/>
    <w:rsid w:val="000F4288"/>
    <w:rsid w:val="000F61ED"/>
    <w:rsid w:val="000F7165"/>
    <w:rsid w:val="00102379"/>
    <w:rsid w:val="00103722"/>
    <w:rsid w:val="001065D6"/>
    <w:rsid w:val="001068D5"/>
    <w:rsid w:val="00111425"/>
    <w:rsid w:val="00121252"/>
    <w:rsid w:val="00122FFA"/>
    <w:rsid w:val="00124609"/>
    <w:rsid w:val="001254CE"/>
    <w:rsid w:val="00137E6F"/>
    <w:rsid w:val="001422CC"/>
    <w:rsid w:val="00145346"/>
    <w:rsid w:val="001553D2"/>
    <w:rsid w:val="001600CB"/>
    <w:rsid w:val="001617B6"/>
    <w:rsid w:val="00165E66"/>
    <w:rsid w:val="0018610E"/>
    <w:rsid w:val="001960C5"/>
    <w:rsid w:val="00196143"/>
    <w:rsid w:val="001A24FC"/>
    <w:rsid w:val="001B7A4A"/>
    <w:rsid w:val="001C7BAE"/>
    <w:rsid w:val="001D17D1"/>
    <w:rsid w:val="001E31FA"/>
    <w:rsid w:val="001E48F9"/>
    <w:rsid w:val="001E5732"/>
    <w:rsid w:val="001E5A1D"/>
    <w:rsid w:val="001E64F6"/>
    <w:rsid w:val="001E7AEB"/>
    <w:rsid w:val="001F4FFB"/>
    <w:rsid w:val="00201B01"/>
    <w:rsid w:val="00204B82"/>
    <w:rsid w:val="0021222B"/>
    <w:rsid w:val="00222BEB"/>
    <w:rsid w:val="00225E60"/>
    <w:rsid w:val="00226233"/>
    <w:rsid w:val="00230BBB"/>
    <w:rsid w:val="0023202C"/>
    <w:rsid w:val="00234619"/>
    <w:rsid w:val="0023694D"/>
    <w:rsid w:val="00241D27"/>
    <w:rsid w:val="00245043"/>
    <w:rsid w:val="00255DD0"/>
    <w:rsid w:val="00257461"/>
    <w:rsid w:val="0026028E"/>
    <w:rsid w:val="00263221"/>
    <w:rsid w:val="00265EC8"/>
    <w:rsid w:val="00273BE0"/>
    <w:rsid w:val="00284FA2"/>
    <w:rsid w:val="0028779C"/>
    <w:rsid w:val="002912F1"/>
    <w:rsid w:val="00292AFD"/>
    <w:rsid w:val="00292D36"/>
    <w:rsid w:val="00294A5A"/>
    <w:rsid w:val="00297281"/>
    <w:rsid w:val="00297A47"/>
    <w:rsid w:val="002A5891"/>
    <w:rsid w:val="002B03F1"/>
    <w:rsid w:val="002B3E06"/>
    <w:rsid w:val="002B5E2B"/>
    <w:rsid w:val="002B6DAA"/>
    <w:rsid w:val="002D35BB"/>
    <w:rsid w:val="002D70F7"/>
    <w:rsid w:val="002D711A"/>
    <w:rsid w:val="002D7336"/>
    <w:rsid w:val="002E3396"/>
    <w:rsid w:val="002E65C2"/>
    <w:rsid w:val="002F2953"/>
    <w:rsid w:val="002F4AB2"/>
    <w:rsid w:val="0031149C"/>
    <w:rsid w:val="00335062"/>
    <w:rsid w:val="00336C16"/>
    <w:rsid w:val="00340EEC"/>
    <w:rsid w:val="0036258C"/>
    <w:rsid w:val="0036778F"/>
    <w:rsid w:val="003756F2"/>
    <w:rsid w:val="00384FA4"/>
    <w:rsid w:val="0038771C"/>
    <w:rsid w:val="003936D8"/>
    <w:rsid w:val="00394F69"/>
    <w:rsid w:val="003A194A"/>
    <w:rsid w:val="003A430B"/>
    <w:rsid w:val="003A50B3"/>
    <w:rsid w:val="003A541A"/>
    <w:rsid w:val="003A6923"/>
    <w:rsid w:val="003B7B6F"/>
    <w:rsid w:val="003C2C67"/>
    <w:rsid w:val="003C2D4C"/>
    <w:rsid w:val="003C3B3A"/>
    <w:rsid w:val="003C5BA4"/>
    <w:rsid w:val="003C7395"/>
    <w:rsid w:val="003C7A12"/>
    <w:rsid w:val="003D27D1"/>
    <w:rsid w:val="003E3E26"/>
    <w:rsid w:val="003E5DFC"/>
    <w:rsid w:val="003E608A"/>
    <w:rsid w:val="003F1295"/>
    <w:rsid w:val="003F5102"/>
    <w:rsid w:val="003F76FC"/>
    <w:rsid w:val="004002EB"/>
    <w:rsid w:val="00407A79"/>
    <w:rsid w:val="00422DDC"/>
    <w:rsid w:val="004231B5"/>
    <w:rsid w:val="004236C8"/>
    <w:rsid w:val="00427681"/>
    <w:rsid w:val="00433DB7"/>
    <w:rsid w:val="00442E4E"/>
    <w:rsid w:val="00453750"/>
    <w:rsid w:val="00456941"/>
    <w:rsid w:val="0046039E"/>
    <w:rsid w:val="004616E2"/>
    <w:rsid w:val="00465BF2"/>
    <w:rsid w:val="004702EA"/>
    <w:rsid w:val="00471271"/>
    <w:rsid w:val="0048259C"/>
    <w:rsid w:val="00482D02"/>
    <w:rsid w:val="00484326"/>
    <w:rsid w:val="00490369"/>
    <w:rsid w:val="004A7519"/>
    <w:rsid w:val="004B3DBC"/>
    <w:rsid w:val="004B64B1"/>
    <w:rsid w:val="004C6C48"/>
    <w:rsid w:val="004D01AC"/>
    <w:rsid w:val="004D3518"/>
    <w:rsid w:val="004D4180"/>
    <w:rsid w:val="004D62D6"/>
    <w:rsid w:val="004D6898"/>
    <w:rsid w:val="004D730E"/>
    <w:rsid w:val="004E171A"/>
    <w:rsid w:val="004E251D"/>
    <w:rsid w:val="004F3F4E"/>
    <w:rsid w:val="0050356B"/>
    <w:rsid w:val="00510167"/>
    <w:rsid w:val="0051226C"/>
    <w:rsid w:val="00513E86"/>
    <w:rsid w:val="0052022B"/>
    <w:rsid w:val="005306A2"/>
    <w:rsid w:val="0053416C"/>
    <w:rsid w:val="00540588"/>
    <w:rsid w:val="00541C2F"/>
    <w:rsid w:val="00551B95"/>
    <w:rsid w:val="00552DE4"/>
    <w:rsid w:val="00555D82"/>
    <w:rsid w:val="005620E9"/>
    <w:rsid w:val="00563527"/>
    <w:rsid w:val="00572C0C"/>
    <w:rsid w:val="0057407A"/>
    <w:rsid w:val="00574E67"/>
    <w:rsid w:val="00577FC2"/>
    <w:rsid w:val="0058124E"/>
    <w:rsid w:val="005828F2"/>
    <w:rsid w:val="005875A3"/>
    <w:rsid w:val="00587659"/>
    <w:rsid w:val="0059001E"/>
    <w:rsid w:val="005953EA"/>
    <w:rsid w:val="005A3416"/>
    <w:rsid w:val="005A6325"/>
    <w:rsid w:val="005B0178"/>
    <w:rsid w:val="005B27FE"/>
    <w:rsid w:val="005B2C8F"/>
    <w:rsid w:val="005B7420"/>
    <w:rsid w:val="005B76DF"/>
    <w:rsid w:val="005B79CB"/>
    <w:rsid w:val="005C2A04"/>
    <w:rsid w:val="005E08D7"/>
    <w:rsid w:val="005E2B6E"/>
    <w:rsid w:val="005E4C16"/>
    <w:rsid w:val="005E5947"/>
    <w:rsid w:val="005F15F1"/>
    <w:rsid w:val="005F61DF"/>
    <w:rsid w:val="0060163A"/>
    <w:rsid w:val="006023F9"/>
    <w:rsid w:val="00610559"/>
    <w:rsid w:val="00610560"/>
    <w:rsid w:val="00614076"/>
    <w:rsid w:val="00626385"/>
    <w:rsid w:val="00632F2E"/>
    <w:rsid w:val="006332F6"/>
    <w:rsid w:val="006413F2"/>
    <w:rsid w:val="0064798F"/>
    <w:rsid w:val="006534B2"/>
    <w:rsid w:val="0065615D"/>
    <w:rsid w:val="00657011"/>
    <w:rsid w:val="006650B5"/>
    <w:rsid w:val="006651B1"/>
    <w:rsid w:val="00665778"/>
    <w:rsid w:val="00676E5F"/>
    <w:rsid w:val="0069041D"/>
    <w:rsid w:val="006945CA"/>
    <w:rsid w:val="006A3309"/>
    <w:rsid w:val="006A3A5A"/>
    <w:rsid w:val="006A5B34"/>
    <w:rsid w:val="006C77A9"/>
    <w:rsid w:val="006D4720"/>
    <w:rsid w:val="006E6CDF"/>
    <w:rsid w:val="006E6F9A"/>
    <w:rsid w:val="006F37F2"/>
    <w:rsid w:val="006F6693"/>
    <w:rsid w:val="00707FE8"/>
    <w:rsid w:val="00714AAE"/>
    <w:rsid w:val="00716066"/>
    <w:rsid w:val="00724962"/>
    <w:rsid w:val="00724A0F"/>
    <w:rsid w:val="00725CCE"/>
    <w:rsid w:val="00726D2F"/>
    <w:rsid w:val="00727C45"/>
    <w:rsid w:val="00735654"/>
    <w:rsid w:val="00736732"/>
    <w:rsid w:val="00740019"/>
    <w:rsid w:val="00746426"/>
    <w:rsid w:val="00750BF9"/>
    <w:rsid w:val="00750CBE"/>
    <w:rsid w:val="0076456B"/>
    <w:rsid w:val="007650D2"/>
    <w:rsid w:val="00766B5A"/>
    <w:rsid w:val="00772209"/>
    <w:rsid w:val="007770A5"/>
    <w:rsid w:val="00782D0A"/>
    <w:rsid w:val="007834F2"/>
    <w:rsid w:val="00791020"/>
    <w:rsid w:val="007A04D2"/>
    <w:rsid w:val="007A5F82"/>
    <w:rsid w:val="007B3D23"/>
    <w:rsid w:val="007B5334"/>
    <w:rsid w:val="007C4073"/>
    <w:rsid w:val="007D5F9E"/>
    <w:rsid w:val="007E098F"/>
    <w:rsid w:val="007E3BA2"/>
    <w:rsid w:val="007F05A8"/>
    <w:rsid w:val="007F1A4C"/>
    <w:rsid w:val="007F723F"/>
    <w:rsid w:val="008022C3"/>
    <w:rsid w:val="008041E6"/>
    <w:rsid w:val="008065D2"/>
    <w:rsid w:val="008116D8"/>
    <w:rsid w:val="008136B4"/>
    <w:rsid w:val="00815A8A"/>
    <w:rsid w:val="0082194C"/>
    <w:rsid w:val="008222FF"/>
    <w:rsid w:val="008241FF"/>
    <w:rsid w:val="008310C7"/>
    <w:rsid w:val="00837D31"/>
    <w:rsid w:val="0084029E"/>
    <w:rsid w:val="008411E9"/>
    <w:rsid w:val="00841617"/>
    <w:rsid w:val="0084200F"/>
    <w:rsid w:val="00843B2C"/>
    <w:rsid w:val="00844F16"/>
    <w:rsid w:val="00855FF9"/>
    <w:rsid w:val="00860ABC"/>
    <w:rsid w:val="0086277A"/>
    <w:rsid w:val="008668A8"/>
    <w:rsid w:val="008768AD"/>
    <w:rsid w:val="0087745B"/>
    <w:rsid w:val="00880AC4"/>
    <w:rsid w:val="00897447"/>
    <w:rsid w:val="008A39CF"/>
    <w:rsid w:val="008A4900"/>
    <w:rsid w:val="008A55FE"/>
    <w:rsid w:val="008B146D"/>
    <w:rsid w:val="008B2C83"/>
    <w:rsid w:val="008B3C35"/>
    <w:rsid w:val="008B42AD"/>
    <w:rsid w:val="008B5666"/>
    <w:rsid w:val="008C4E38"/>
    <w:rsid w:val="008D0281"/>
    <w:rsid w:val="008D5066"/>
    <w:rsid w:val="008D5BA3"/>
    <w:rsid w:val="008D633E"/>
    <w:rsid w:val="008E2348"/>
    <w:rsid w:val="008E5C7B"/>
    <w:rsid w:val="008F6D45"/>
    <w:rsid w:val="00922944"/>
    <w:rsid w:val="00924138"/>
    <w:rsid w:val="00936479"/>
    <w:rsid w:val="00937A10"/>
    <w:rsid w:val="00966115"/>
    <w:rsid w:val="00981ACB"/>
    <w:rsid w:val="009834C0"/>
    <w:rsid w:val="00986AAC"/>
    <w:rsid w:val="00990259"/>
    <w:rsid w:val="009945B6"/>
    <w:rsid w:val="00995526"/>
    <w:rsid w:val="009A1DA2"/>
    <w:rsid w:val="009A3704"/>
    <w:rsid w:val="009A4739"/>
    <w:rsid w:val="009A674F"/>
    <w:rsid w:val="009A6D22"/>
    <w:rsid w:val="009B0336"/>
    <w:rsid w:val="009B199C"/>
    <w:rsid w:val="009B61F1"/>
    <w:rsid w:val="009B62E0"/>
    <w:rsid w:val="009C3D88"/>
    <w:rsid w:val="009D11D3"/>
    <w:rsid w:val="009D159B"/>
    <w:rsid w:val="009D1E1C"/>
    <w:rsid w:val="009E1651"/>
    <w:rsid w:val="009E3858"/>
    <w:rsid w:val="009E467D"/>
    <w:rsid w:val="009E70DD"/>
    <w:rsid w:val="009F0015"/>
    <w:rsid w:val="009F2ED9"/>
    <w:rsid w:val="009F3231"/>
    <w:rsid w:val="009F5C58"/>
    <w:rsid w:val="00A023A0"/>
    <w:rsid w:val="00A05EBC"/>
    <w:rsid w:val="00A14B92"/>
    <w:rsid w:val="00A1562B"/>
    <w:rsid w:val="00A170F4"/>
    <w:rsid w:val="00A21408"/>
    <w:rsid w:val="00A21CFD"/>
    <w:rsid w:val="00A24A37"/>
    <w:rsid w:val="00A25B78"/>
    <w:rsid w:val="00A420DD"/>
    <w:rsid w:val="00A4495B"/>
    <w:rsid w:val="00A46288"/>
    <w:rsid w:val="00A46BA8"/>
    <w:rsid w:val="00A47634"/>
    <w:rsid w:val="00A57D67"/>
    <w:rsid w:val="00A612FE"/>
    <w:rsid w:val="00A70B49"/>
    <w:rsid w:val="00A81709"/>
    <w:rsid w:val="00A86C07"/>
    <w:rsid w:val="00A906B4"/>
    <w:rsid w:val="00A92D94"/>
    <w:rsid w:val="00AA26B8"/>
    <w:rsid w:val="00AC0B87"/>
    <w:rsid w:val="00AC2624"/>
    <w:rsid w:val="00AC32A8"/>
    <w:rsid w:val="00AD7E4E"/>
    <w:rsid w:val="00AE1FF9"/>
    <w:rsid w:val="00AE3714"/>
    <w:rsid w:val="00AF4D58"/>
    <w:rsid w:val="00AF6666"/>
    <w:rsid w:val="00AF701F"/>
    <w:rsid w:val="00AF7BC5"/>
    <w:rsid w:val="00B03B2E"/>
    <w:rsid w:val="00B32F85"/>
    <w:rsid w:val="00B35ADC"/>
    <w:rsid w:val="00B36A1B"/>
    <w:rsid w:val="00B43903"/>
    <w:rsid w:val="00B43990"/>
    <w:rsid w:val="00B52E35"/>
    <w:rsid w:val="00B553F7"/>
    <w:rsid w:val="00B71270"/>
    <w:rsid w:val="00B81B44"/>
    <w:rsid w:val="00B9053B"/>
    <w:rsid w:val="00B91AC8"/>
    <w:rsid w:val="00BA0C37"/>
    <w:rsid w:val="00BA3782"/>
    <w:rsid w:val="00BB4D98"/>
    <w:rsid w:val="00BB4EBF"/>
    <w:rsid w:val="00BB59E0"/>
    <w:rsid w:val="00BC3422"/>
    <w:rsid w:val="00BC6E19"/>
    <w:rsid w:val="00BD11C2"/>
    <w:rsid w:val="00BD5018"/>
    <w:rsid w:val="00BE0CFD"/>
    <w:rsid w:val="00BE5ADC"/>
    <w:rsid w:val="00BF3854"/>
    <w:rsid w:val="00BF4F96"/>
    <w:rsid w:val="00C015B9"/>
    <w:rsid w:val="00C022F9"/>
    <w:rsid w:val="00C031AD"/>
    <w:rsid w:val="00C032EA"/>
    <w:rsid w:val="00C06EB5"/>
    <w:rsid w:val="00C1145F"/>
    <w:rsid w:val="00C11CD1"/>
    <w:rsid w:val="00C14D63"/>
    <w:rsid w:val="00C17ADC"/>
    <w:rsid w:val="00C32D49"/>
    <w:rsid w:val="00C33AD3"/>
    <w:rsid w:val="00C41B3C"/>
    <w:rsid w:val="00C43F06"/>
    <w:rsid w:val="00C51C01"/>
    <w:rsid w:val="00C537BE"/>
    <w:rsid w:val="00C637E1"/>
    <w:rsid w:val="00C67EAC"/>
    <w:rsid w:val="00C70D50"/>
    <w:rsid w:val="00C72252"/>
    <w:rsid w:val="00C801ED"/>
    <w:rsid w:val="00C907D7"/>
    <w:rsid w:val="00C92338"/>
    <w:rsid w:val="00C954FA"/>
    <w:rsid w:val="00CA05DC"/>
    <w:rsid w:val="00CA7671"/>
    <w:rsid w:val="00CA7B47"/>
    <w:rsid w:val="00CB3976"/>
    <w:rsid w:val="00CB5275"/>
    <w:rsid w:val="00CD0307"/>
    <w:rsid w:val="00CD3D1B"/>
    <w:rsid w:val="00CF4B3C"/>
    <w:rsid w:val="00D02663"/>
    <w:rsid w:val="00D02967"/>
    <w:rsid w:val="00D0633E"/>
    <w:rsid w:val="00D12E74"/>
    <w:rsid w:val="00D14F54"/>
    <w:rsid w:val="00D17E8A"/>
    <w:rsid w:val="00D22A6D"/>
    <w:rsid w:val="00D2312F"/>
    <w:rsid w:val="00D23B04"/>
    <w:rsid w:val="00D25A1F"/>
    <w:rsid w:val="00D269C1"/>
    <w:rsid w:val="00D31FA9"/>
    <w:rsid w:val="00D41B2F"/>
    <w:rsid w:val="00D42F1E"/>
    <w:rsid w:val="00D44953"/>
    <w:rsid w:val="00D542F3"/>
    <w:rsid w:val="00D54513"/>
    <w:rsid w:val="00D54AAE"/>
    <w:rsid w:val="00D5644B"/>
    <w:rsid w:val="00D56E25"/>
    <w:rsid w:val="00D57E89"/>
    <w:rsid w:val="00D620B7"/>
    <w:rsid w:val="00D6560D"/>
    <w:rsid w:val="00D65D77"/>
    <w:rsid w:val="00D718D7"/>
    <w:rsid w:val="00D7314C"/>
    <w:rsid w:val="00D74E6E"/>
    <w:rsid w:val="00D775D4"/>
    <w:rsid w:val="00D814B7"/>
    <w:rsid w:val="00D83750"/>
    <w:rsid w:val="00D9025A"/>
    <w:rsid w:val="00D90688"/>
    <w:rsid w:val="00D94FAF"/>
    <w:rsid w:val="00DA3AAD"/>
    <w:rsid w:val="00DA482F"/>
    <w:rsid w:val="00DB1478"/>
    <w:rsid w:val="00DB312B"/>
    <w:rsid w:val="00DB33D2"/>
    <w:rsid w:val="00DC5654"/>
    <w:rsid w:val="00DC60E3"/>
    <w:rsid w:val="00DC658F"/>
    <w:rsid w:val="00DC674A"/>
    <w:rsid w:val="00DD5046"/>
    <w:rsid w:val="00DE60CC"/>
    <w:rsid w:val="00E00E73"/>
    <w:rsid w:val="00E213A3"/>
    <w:rsid w:val="00E26B32"/>
    <w:rsid w:val="00E31CD4"/>
    <w:rsid w:val="00E31E60"/>
    <w:rsid w:val="00E33E08"/>
    <w:rsid w:val="00E407B6"/>
    <w:rsid w:val="00E41EF1"/>
    <w:rsid w:val="00E42942"/>
    <w:rsid w:val="00E56623"/>
    <w:rsid w:val="00E63564"/>
    <w:rsid w:val="00E65A0A"/>
    <w:rsid w:val="00E71BDF"/>
    <w:rsid w:val="00E75CCB"/>
    <w:rsid w:val="00E77E60"/>
    <w:rsid w:val="00E821C7"/>
    <w:rsid w:val="00E8245B"/>
    <w:rsid w:val="00E82C21"/>
    <w:rsid w:val="00E82F59"/>
    <w:rsid w:val="00E83CA7"/>
    <w:rsid w:val="00E86609"/>
    <w:rsid w:val="00E92192"/>
    <w:rsid w:val="00E95A71"/>
    <w:rsid w:val="00EB7014"/>
    <w:rsid w:val="00EC5CDE"/>
    <w:rsid w:val="00ED222A"/>
    <w:rsid w:val="00ED3077"/>
    <w:rsid w:val="00ED487E"/>
    <w:rsid w:val="00ED64F1"/>
    <w:rsid w:val="00EE283F"/>
    <w:rsid w:val="00EE33A1"/>
    <w:rsid w:val="00EE7A0D"/>
    <w:rsid w:val="00F0222C"/>
    <w:rsid w:val="00F12312"/>
    <w:rsid w:val="00F17CE1"/>
    <w:rsid w:val="00F2115C"/>
    <w:rsid w:val="00F22ABA"/>
    <w:rsid w:val="00F25F4B"/>
    <w:rsid w:val="00F34440"/>
    <w:rsid w:val="00F36B12"/>
    <w:rsid w:val="00F42DA6"/>
    <w:rsid w:val="00F47895"/>
    <w:rsid w:val="00F60F9F"/>
    <w:rsid w:val="00F64F08"/>
    <w:rsid w:val="00F70055"/>
    <w:rsid w:val="00F734F5"/>
    <w:rsid w:val="00F73B5B"/>
    <w:rsid w:val="00F8141A"/>
    <w:rsid w:val="00F90EA5"/>
    <w:rsid w:val="00F9160E"/>
    <w:rsid w:val="00F91F5A"/>
    <w:rsid w:val="00F966B1"/>
    <w:rsid w:val="00F97854"/>
    <w:rsid w:val="00F97D48"/>
    <w:rsid w:val="00FA0311"/>
    <w:rsid w:val="00FA1489"/>
    <w:rsid w:val="00FB3BF4"/>
    <w:rsid w:val="00FB5172"/>
    <w:rsid w:val="00FC4A21"/>
    <w:rsid w:val="00FD50F0"/>
    <w:rsid w:val="00FD5381"/>
    <w:rsid w:val="00FD640F"/>
    <w:rsid w:val="00FD6B4C"/>
    <w:rsid w:val="00FE0553"/>
    <w:rsid w:val="00FE1442"/>
    <w:rsid w:val="00FE257D"/>
    <w:rsid w:val="00FE25D0"/>
    <w:rsid w:val="00FE6CB3"/>
    <w:rsid w:val="00FF21ED"/>
    <w:rsid w:val="00FF4E99"/>
    <w:rsid w:val="00FF6AB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2B20B525"/>
  <w15:docId w15:val="{C046EB70-136E-4C37-ACC3-F6C0F71966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AU" w:eastAsia="en-AU" w:bidi="ar-SA"/>
      </w:rPr>
    </w:rPrDefault>
    <w:pPrDefault>
      <w:pPr>
        <w:spacing w:before="160" w:after="160" w:line="280" w:lineRule="atLeast"/>
      </w:pPr>
    </w:pPrDefault>
  </w:docDefaults>
  <w:latentStyles w:defLockedState="0" w:defUIPriority="1"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qFormat="1"/>
    <w:lsdException w:name="heading 6" w:semiHidden="1" w:qFormat="1"/>
    <w:lsdException w:name="heading 7" w:semiHidden="1" w:unhideWhenUsed="1" w:qFormat="1"/>
    <w:lsdException w:name="heading 8" w:semiHidden="1" w:unhideWhenUsed="1" w:qFormat="1"/>
    <w:lsdException w:name="heading 9" w:semiHidden="1" w:unhideWhenUsed="1" w:qFormat="1"/>
    <w:lsdException w:name="index 1" w:uiPriority="99" w:unhideWhenUsed="1"/>
    <w:lsdException w:name="index 2"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semiHidden="1" w:uiPriority="39"/>
    <w:lsdException w:name="toc 5" w:semiHidden="1"/>
    <w:lsdException w:name="toc 6" w:semiHidden="1"/>
    <w:lsdException w:name="toc 7" w:semiHidden="1" w:unhideWhenUsed="1"/>
    <w:lsdException w:name="toc 8" w:semiHidden="1" w:unhideWhenUsed="1"/>
    <w:lsdException w:name="toc 9" w:semiHidden="1" w:unhideWhenUsed="1"/>
    <w:lsdException w:name="Normal Indent" w:uiPriority="0" w:unhideWhenUsed="1" w:qFormat="1"/>
    <w:lsdException w:name="footnote text" w:semiHidden="1" w:uiPriority="99" w:unhideWhenUsed="1"/>
    <w:lsdException w:name="annotation text" w:semiHidden="1" w:unhideWhenUsed="1"/>
    <w:lsdException w:name="header" w:uiPriority="99" w:unhideWhenUsed="1"/>
    <w:lsdException w:name="footer" w:uiPriority="99" w:unhideWhenUsed="1"/>
    <w:lsdException w:name="index heading" w:uiPriority="99" w:unhideWhenUsed="1"/>
    <w:lsdException w:name="caption" w:uiPriority="35" w:unhideWhenUsed="1"/>
    <w:lsdException w:name="table of figures" w:semiHidden="1" w:uiPriority="2"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uiPriority="49" w:unhideWhenUsed="1"/>
    <w:lsdException w:name="endnote reference" w:semiHidden="1" w:unhideWhenUsed="1"/>
    <w:lsdException w:name="endnote text" w:semiHidden="1" w:unhideWhenUsed="1"/>
    <w:lsdException w:name="table of authorities" w:semiHidden="1" w:uiPriority="2" w:unhideWhenUsed="1"/>
    <w:lsdException w:name="macro" w:semiHidden="1" w:unhideWhenUsed="1"/>
    <w:lsdException w:name="toa heading" w:semiHidden="1" w:uiPriority="99"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nhideWhenUsed="1"/>
    <w:lsdException w:name="Body Text" w:semiHidden="1" w:uiPriority="4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Salutation"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lsdException w:name="FollowedHyperlink" w:semiHidden="1" w:unhideWhenUsed="1"/>
    <w:lsdException w:name="Strong" w:semiHidden="1" w:uiPriority="22" w:qFormat="1"/>
    <w:lsdException w:name="Emphasis" w:semiHidden="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lsdException w:name="Table Grid" w:uiPriority="39"/>
    <w:lsdException w:name="Table Theme" w:semiHidden="1" w:uiPriority="99" w:unhideWhenUsed="1"/>
    <w:lsdException w:name="Placeholder Text" w:semiHidden="1"/>
    <w:lsdException w:name="No Spacing" w:semiHidden="1"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lsdException w:name="Subtle Reference" w:semiHidden="1" w:qFormat="1"/>
    <w:lsdException w:name="Intense Reference" w:semiHidden="1"/>
    <w:lsdException w:name="Book Title" w:semiHidden="1" w:qFormat="1"/>
    <w:lsdException w:name="Bibliography" w:semiHidden="1"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uiPriority w:val="1"/>
    <w:qFormat/>
    <w:rsid w:val="00B35ADC"/>
    <w:rPr>
      <w:rFonts w:ascii="VIC" w:hAnsi="VIC"/>
    </w:rPr>
  </w:style>
  <w:style w:type="paragraph" w:styleId="Heading1">
    <w:name w:val="heading 1"/>
    <w:basedOn w:val="Normal"/>
    <w:next w:val="Normalfollowingheading"/>
    <w:link w:val="Heading1Char"/>
    <w:qFormat/>
    <w:rsid w:val="00E821C7"/>
    <w:pPr>
      <w:keepNext/>
      <w:keepLines/>
      <w:framePr w:wrap="around" w:vAnchor="page" w:hAnchor="margin" w:y="1022"/>
      <w:spacing w:before="0" w:after="120" w:line="240" w:lineRule="auto"/>
      <w:outlineLvl w:val="0"/>
    </w:pPr>
    <w:rPr>
      <w:rFonts w:ascii="VIC SemiBold" w:eastAsiaTheme="majorEastAsia" w:hAnsi="VIC SemiBold" w:cstheme="majorBidi"/>
      <w:bCs/>
      <w:color w:val="007586" w:themeColor="text2"/>
      <w:spacing w:val="-1"/>
      <w:sz w:val="48"/>
      <w:szCs w:val="28"/>
    </w:rPr>
  </w:style>
  <w:style w:type="paragraph" w:styleId="Heading2">
    <w:name w:val="heading 2"/>
    <w:basedOn w:val="Normal"/>
    <w:next w:val="Normalfollowingheading"/>
    <w:link w:val="Heading2Char"/>
    <w:qFormat/>
    <w:rsid w:val="002912F1"/>
    <w:pPr>
      <w:keepNext/>
      <w:keepLines/>
      <w:spacing w:before="280" w:after="60" w:line="240" w:lineRule="auto"/>
      <w:outlineLvl w:val="1"/>
    </w:pPr>
    <w:rPr>
      <w:rFonts w:ascii="VIC SemiBold" w:eastAsiaTheme="majorEastAsia" w:hAnsi="VIC SemiBold" w:cstheme="majorBidi"/>
      <w:bCs/>
      <w:caps/>
      <w:color w:val="007586" w:themeColor="text2"/>
      <w:sz w:val="24"/>
      <w:szCs w:val="26"/>
    </w:rPr>
  </w:style>
  <w:style w:type="paragraph" w:styleId="Heading3">
    <w:name w:val="heading 3"/>
    <w:basedOn w:val="Normal"/>
    <w:next w:val="Normalfollowingheading"/>
    <w:link w:val="Heading3Char"/>
    <w:qFormat/>
    <w:rsid w:val="00B35ADC"/>
    <w:pPr>
      <w:keepNext/>
      <w:keepLines/>
      <w:spacing w:before="240" w:after="50" w:line="240" w:lineRule="auto"/>
      <w:outlineLvl w:val="2"/>
    </w:pPr>
    <w:rPr>
      <w:rFonts w:ascii="VIC SemiBold" w:eastAsiaTheme="majorEastAsia" w:hAnsi="VIC SemiBold" w:cstheme="majorBidi"/>
      <w:bCs/>
      <w:color w:val="000000" w:themeColor="text1"/>
      <w:sz w:val="24"/>
      <w:szCs w:val="22"/>
    </w:rPr>
  </w:style>
  <w:style w:type="paragraph" w:styleId="Heading4">
    <w:name w:val="heading 4"/>
    <w:basedOn w:val="Normal"/>
    <w:next w:val="Normalfollowingheading"/>
    <w:link w:val="Heading4Char"/>
    <w:qFormat/>
    <w:rsid w:val="0026028E"/>
    <w:pPr>
      <w:keepNext/>
      <w:keepLines/>
      <w:spacing w:before="320" w:after="70" w:line="240" w:lineRule="auto"/>
      <w:outlineLvl w:val="3"/>
    </w:pPr>
    <w:rPr>
      <w:rFonts w:asciiTheme="majorHAnsi" w:eastAsiaTheme="majorEastAsia" w:hAnsiTheme="majorHAnsi" w:cstheme="majorBidi"/>
      <w:b/>
      <w:bCs/>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ghtShading">
    <w:name w:val="Light Shading"/>
    <w:basedOn w:val="TableNormal"/>
    <w:uiPriority w:val="60"/>
    <w:semiHidden/>
    <w:rsid w:val="0082194C"/>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Grid">
    <w:name w:val="Table Grid"/>
    <w:basedOn w:val="TableNormal"/>
    <w:uiPriority w:val="39"/>
    <w:rsid w:val="009E1651"/>
    <w:pPr>
      <w:spacing w:before="60" w:after="60" w:line="192" w:lineRule="atLeast"/>
    </w:pPr>
    <w:rPr>
      <w:rFonts w:eastAsiaTheme="minorHAnsi"/>
      <w:sz w:val="16"/>
      <w:szCs w:val="21"/>
      <w:lang w:eastAsia="en-US"/>
    </w:rPr>
    <w:tblPr>
      <w:tblStyleColBandSize w:val="1"/>
      <w:tblBorders>
        <w:top w:val="single" w:sz="2" w:space="0" w:color="80808B" w:themeColor="accent5"/>
        <w:bottom w:val="single" w:sz="2" w:space="0" w:color="80808B" w:themeColor="accent5"/>
        <w:insideH w:val="single" w:sz="2" w:space="0" w:color="80808B" w:themeColor="accent5"/>
      </w:tblBorders>
      <w:tblCellMar>
        <w:left w:w="113" w:type="dxa"/>
        <w:right w:w="113" w:type="dxa"/>
      </w:tblCellMar>
    </w:tblPr>
    <w:tblStylePr w:type="firstRow">
      <w:pPr>
        <w:keepNext/>
        <w:keepLines/>
        <w:widowControl/>
        <w:wordWrap/>
        <w:spacing w:beforeLines="0" w:before="0" w:beforeAutospacing="0" w:afterLines="0" w:after="0" w:afterAutospacing="0" w:line="260" w:lineRule="atLeast"/>
        <w:ind w:leftChars="0" w:left="0"/>
        <w:jc w:val="left"/>
      </w:pPr>
      <w:rPr>
        <w:b/>
        <w:i w:val="0"/>
        <w:color w:val="007586" w:themeColor="text2"/>
        <w:sz w:val="16"/>
      </w:rPr>
      <w:tblPr/>
      <w:tcPr>
        <w:tcBorders>
          <w:top w:val="single" w:sz="2" w:space="0" w:color="EDF5F7" w:themeColor="background2"/>
          <w:left w:val="nil"/>
          <w:bottom w:val="single" w:sz="24" w:space="0" w:color="CCCCD0" w:themeColor="accent6"/>
          <w:right w:val="nil"/>
          <w:insideH w:val="nil"/>
          <w:insideV w:val="nil"/>
          <w:tl2br w:val="nil"/>
          <w:tr2bl w:val="nil"/>
        </w:tcBorders>
        <w:shd w:val="clear" w:color="auto" w:fill="EDF5F7"/>
        <w:tcMar>
          <w:top w:w="80" w:type="dxa"/>
          <w:left w:w="113" w:type="dxa"/>
          <w:bottom w:w="80" w:type="dxa"/>
          <w:right w:w="113" w:type="dxa"/>
        </w:tcMar>
      </w:tcPr>
    </w:tblStylePr>
    <w:tblStylePr w:type="lastRow">
      <w:rPr>
        <w:b w:val="0"/>
      </w:rPr>
      <w:tblPr/>
      <w:tcPr>
        <w:tcBorders>
          <w:top w:val="nil"/>
          <w:left w:val="nil"/>
          <w:bottom w:val="nil"/>
          <w:right w:val="nil"/>
          <w:insideH w:val="nil"/>
          <w:insideV w:val="nil"/>
          <w:tl2br w:val="nil"/>
          <w:tr2bl w:val="nil"/>
        </w:tcBorders>
      </w:tcPr>
    </w:tblStylePr>
    <w:tblStylePr w:type="firstCol">
      <w:pPr>
        <w:wordWrap/>
        <w:spacing w:beforeLines="0" w:before="50" w:beforeAutospacing="0" w:line="260" w:lineRule="atLeast"/>
        <w:ind w:leftChars="0" w:left="0"/>
        <w:jc w:val="left"/>
      </w:pPr>
      <w:rPr>
        <w:b/>
        <w:color w:val="007586" w:themeColor="text2"/>
        <w:sz w:val="16"/>
      </w:rPr>
    </w:tblStylePr>
    <w:tblStylePr w:type="band1Vert">
      <w:pPr>
        <w:jc w:val="right"/>
      </w:pPr>
    </w:tblStylePr>
    <w:tblStylePr w:type="band2Vert">
      <w:pPr>
        <w:jc w:val="right"/>
      </w:pPr>
    </w:tblStylePr>
  </w:style>
  <w:style w:type="table" w:styleId="LightList-Accent4">
    <w:name w:val="Light List Accent 4"/>
    <w:basedOn w:val="TableNormal"/>
    <w:uiPriority w:val="61"/>
    <w:semiHidden/>
    <w:rsid w:val="009A674F"/>
    <w:pPr>
      <w:spacing w:after="0" w:line="240" w:lineRule="auto"/>
    </w:pPr>
    <w:tblPr>
      <w:tblStyleRowBandSize w:val="1"/>
      <w:tblStyleColBandSize w:val="1"/>
      <w:tblBorders>
        <w:top w:val="single" w:sz="8" w:space="0" w:color="404050" w:themeColor="accent4"/>
        <w:left w:val="single" w:sz="8" w:space="0" w:color="404050" w:themeColor="accent4"/>
        <w:bottom w:val="single" w:sz="8" w:space="0" w:color="404050" w:themeColor="accent4"/>
        <w:right w:val="single" w:sz="8" w:space="0" w:color="404050" w:themeColor="accent4"/>
      </w:tblBorders>
    </w:tblPr>
    <w:tblStylePr w:type="firstRow">
      <w:pPr>
        <w:spacing w:before="0" w:after="0" w:line="240" w:lineRule="auto"/>
      </w:pPr>
      <w:rPr>
        <w:b/>
        <w:bCs/>
        <w:color w:val="FFFFFF" w:themeColor="background1"/>
      </w:rPr>
      <w:tblPr/>
      <w:tcPr>
        <w:shd w:val="clear" w:color="auto" w:fill="404050" w:themeFill="accent4"/>
      </w:tcPr>
    </w:tblStylePr>
    <w:tblStylePr w:type="lastRow">
      <w:pPr>
        <w:spacing w:before="0" w:after="0" w:line="240" w:lineRule="auto"/>
      </w:pPr>
      <w:rPr>
        <w:b/>
        <w:bCs/>
      </w:rPr>
      <w:tblPr/>
      <w:tcPr>
        <w:tcBorders>
          <w:top w:val="double" w:sz="6" w:space="0" w:color="404050" w:themeColor="accent4"/>
          <w:left w:val="single" w:sz="8" w:space="0" w:color="404050" w:themeColor="accent4"/>
          <w:bottom w:val="single" w:sz="8" w:space="0" w:color="404050" w:themeColor="accent4"/>
          <w:right w:val="single" w:sz="8" w:space="0" w:color="404050" w:themeColor="accent4"/>
        </w:tcBorders>
      </w:tcPr>
    </w:tblStylePr>
    <w:tblStylePr w:type="firstCol">
      <w:rPr>
        <w:b/>
        <w:bCs/>
      </w:rPr>
    </w:tblStylePr>
    <w:tblStylePr w:type="lastCol">
      <w:rPr>
        <w:b/>
        <w:bCs/>
      </w:rPr>
    </w:tblStylePr>
    <w:tblStylePr w:type="band1Vert">
      <w:tblPr/>
      <w:tcPr>
        <w:tcBorders>
          <w:top w:val="single" w:sz="8" w:space="0" w:color="404050" w:themeColor="accent4"/>
          <w:left w:val="single" w:sz="8" w:space="0" w:color="404050" w:themeColor="accent4"/>
          <w:bottom w:val="single" w:sz="8" w:space="0" w:color="404050" w:themeColor="accent4"/>
          <w:right w:val="single" w:sz="8" w:space="0" w:color="404050" w:themeColor="accent4"/>
        </w:tcBorders>
      </w:tcPr>
    </w:tblStylePr>
    <w:tblStylePr w:type="band1Horz">
      <w:tblPr/>
      <w:tcPr>
        <w:tcBorders>
          <w:top w:val="single" w:sz="8" w:space="0" w:color="404050" w:themeColor="accent4"/>
          <w:left w:val="single" w:sz="8" w:space="0" w:color="404050" w:themeColor="accent4"/>
          <w:bottom w:val="single" w:sz="8" w:space="0" w:color="404050" w:themeColor="accent4"/>
          <w:right w:val="single" w:sz="8" w:space="0" w:color="404050" w:themeColor="accent4"/>
        </w:tcBorders>
      </w:tcPr>
    </w:tblStylePr>
  </w:style>
  <w:style w:type="table" w:styleId="LightList-Accent1">
    <w:name w:val="Light List Accent 1"/>
    <w:basedOn w:val="TableNormal"/>
    <w:uiPriority w:val="61"/>
    <w:semiHidden/>
    <w:rsid w:val="009A674F"/>
    <w:pPr>
      <w:spacing w:after="0" w:line="240" w:lineRule="auto"/>
    </w:pPr>
    <w:tblPr>
      <w:tblStyleRowBandSize w:val="1"/>
      <w:tblStyleColBandSize w:val="1"/>
      <w:tblBorders>
        <w:top w:val="single" w:sz="8" w:space="0" w:color="4098A4" w:themeColor="accent1"/>
        <w:left w:val="single" w:sz="8" w:space="0" w:color="4098A4" w:themeColor="accent1"/>
        <w:bottom w:val="single" w:sz="8" w:space="0" w:color="4098A4" w:themeColor="accent1"/>
        <w:right w:val="single" w:sz="8" w:space="0" w:color="4098A4" w:themeColor="accent1"/>
      </w:tblBorders>
    </w:tblPr>
    <w:tblStylePr w:type="firstRow">
      <w:pPr>
        <w:spacing w:before="0" w:after="0" w:line="240" w:lineRule="auto"/>
      </w:pPr>
      <w:rPr>
        <w:b/>
        <w:bCs/>
        <w:color w:val="FFFFFF" w:themeColor="background1"/>
      </w:rPr>
      <w:tblPr/>
      <w:tcPr>
        <w:shd w:val="clear" w:color="auto" w:fill="4098A4" w:themeFill="accent1"/>
      </w:tcPr>
    </w:tblStylePr>
    <w:tblStylePr w:type="lastRow">
      <w:pPr>
        <w:spacing w:before="0" w:after="0" w:line="240" w:lineRule="auto"/>
      </w:pPr>
      <w:rPr>
        <w:b/>
        <w:bCs/>
      </w:rPr>
      <w:tblPr/>
      <w:tcPr>
        <w:tcBorders>
          <w:top w:val="double" w:sz="6" w:space="0" w:color="4098A4" w:themeColor="accent1"/>
          <w:left w:val="single" w:sz="8" w:space="0" w:color="4098A4" w:themeColor="accent1"/>
          <w:bottom w:val="single" w:sz="8" w:space="0" w:color="4098A4" w:themeColor="accent1"/>
          <w:right w:val="single" w:sz="8" w:space="0" w:color="4098A4" w:themeColor="accent1"/>
        </w:tcBorders>
      </w:tcPr>
    </w:tblStylePr>
    <w:tblStylePr w:type="firstCol">
      <w:rPr>
        <w:b/>
        <w:bCs/>
      </w:rPr>
    </w:tblStylePr>
    <w:tblStylePr w:type="lastCol">
      <w:rPr>
        <w:b/>
        <w:bCs/>
      </w:rPr>
    </w:tblStylePr>
    <w:tblStylePr w:type="band1Vert">
      <w:tblPr/>
      <w:tcPr>
        <w:tcBorders>
          <w:top w:val="single" w:sz="8" w:space="0" w:color="4098A4" w:themeColor="accent1"/>
          <w:left w:val="single" w:sz="8" w:space="0" w:color="4098A4" w:themeColor="accent1"/>
          <w:bottom w:val="single" w:sz="8" w:space="0" w:color="4098A4" w:themeColor="accent1"/>
          <w:right w:val="single" w:sz="8" w:space="0" w:color="4098A4" w:themeColor="accent1"/>
        </w:tcBorders>
      </w:tcPr>
    </w:tblStylePr>
    <w:tblStylePr w:type="band1Horz">
      <w:tblPr/>
      <w:tcPr>
        <w:tcBorders>
          <w:top w:val="single" w:sz="8" w:space="0" w:color="4098A4" w:themeColor="accent1"/>
          <w:left w:val="single" w:sz="8" w:space="0" w:color="4098A4" w:themeColor="accent1"/>
          <w:bottom w:val="single" w:sz="8" w:space="0" w:color="4098A4" w:themeColor="accent1"/>
          <w:right w:val="single" w:sz="8" w:space="0" w:color="4098A4" w:themeColor="accent1"/>
        </w:tcBorders>
      </w:tcPr>
    </w:tblStylePr>
  </w:style>
  <w:style w:type="paragraph" w:styleId="TOC1">
    <w:name w:val="toc 1"/>
    <w:basedOn w:val="Normal"/>
    <w:next w:val="Normal"/>
    <w:uiPriority w:val="39"/>
    <w:rsid w:val="00ED64F1"/>
    <w:pPr>
      <w:pBdr>
        <w:bottom w:val="single" w:sz="2" w:space="4" w:color="000016"/>
        <w:between w:val="single" w:sz="2" w:space="1" w:color="000000" w:themeColor="text1"/>
      </w:pBdr>
      <w:tabs>
        <w:tab w:val="right" w:pos="10206"/>
      </w:tabs>
      <w:spacing w:before="0" w:after="0"/>
      <w:ind w:right="57"/>
    </w:pPr>
    <w:rPr>
      <w:b/>
      <w:noProof/>
      <w:lang w:eastAsia="en-US"/>
    </w:rPr>
  </w:style>
  <w:style w:type="paragraph" w:styleId="TOC2">
    <w:name w:val="toc 2"/>
    <w:basedOn w:val="Normal"/>
    <w:next w:val="Normal"/>
    <w:uiPriority w:val="39"/>
    <w:rsid w:val="009E1651"/>
    <w:pPr>
      <w:pBdr>
        <w:bottom w:val="single" w:sz="2" w:space="4" w:color="000000" w:themeColor="text1"/>
        <w:between w:val="single" w:sz="2" w:space="0" w:color="000000" w:themeColor="text1"/>
      </w:pBdr>
      <w:tabs>
        <w:tab w:val="left" w:pos="340"/>
        <w:tab w:val="right" w:pos="10206"/>
      </w:tabs>
      <w:spacing w:after="60" w:line="240" w:lineRule="auto"/>
      <w:ind w:right="57"/>
    </w:pPr>
    <w:rPr>
      <w:b/>
      <w:noProof/>
      <w:color w:val="007586" w:themeColor="text2"/>
    </w:rPr>
  </w:style>
  <w:style w:type="paragraph" w:styleId="TOC3">
    <w:name w:val="toc 3"/>
    <w:basedOn w:val="TOC2"/>
    <w:next w:val="Normal"/>
    <w:uiPriority w:val="39"/>
    <w:rsid w:val="009E1651"/>
  </w:style>
  <w:style w:type="paragraph" w:styleId="Index1">
    <w:name w:val="index 1"/>
    <w:basedOn w:val="Normal"/>
    <w:next w:val="Normal"/>
    <w:uiPriority w:val="1"/>
    <w:semiHidden/>
    <w:rsid w:val="00DA3AAD"/>
    <w:pPr>
      <w:spacing w:after="60" w:line="240" w:lineRule="auto"/>
    </w:pPr>
    <w:rPr>
      <w:sz w:val="16"/>
    </w:rPr>
  </w:style>
  <w:style w:type="paragraph" w:styleId="Index2">
    <w:name w:val="index 2"/>
    <w:basedOn w:val="Normal"/>
    <w:next w:val="Normal"/>
    <w:uiPriority w:val="1"/>
    <w:semiHidden/>
    <w:rsid w:val="00014B55"/>
    <w:pPr>
      <w:spacing w:after="0" w:line="240" w:lineRule="auto"/>
      <w:ind w:left="216"/>
    </w:pPr>
    <w:rPr>
      <w:sz w:val="16"/>
      <w:szCs w:val="16"/>
    </w:rPr>
  </w:style>
  <w:style w:type="character" w:styleId="Hyperlink">
    <w:name w:val="Hyperlink"/>
    <w:basedOn w:val="DefaultParagraphFont"/>
    <w:uiPriority w:val="99"/>
    <w:rsid w:val="00F966B1"/>
    <w:rPr>
      <w:color w:val="000000" w:themeColor="hyperlink"/>
      <w:u w:val="none"/>
    </w:rPr>
  </w:style>
  <w:style w:type="character" w:customStyle="1" w:styleId="Heading1Char">
    <w:name w:val="Heading 1 Char"/>
    <w:basedOn w:val="DefaultParagraphFont"/>
    <w:link w:val="Heading1"/>
    <w:rsid w:val="00E821C7"/>
    <w:rPr>
      <w:rFonts w:ascii="VIC SemiBold" w:eastAsiaTheme="majorEastAsia" w:hAnsi="VIC SemiBold" w:cstheme="majorBidi"/>
      <w:bCs/>
      <w:color w:val="007586" w:themeColor="text2"/>
      <w:spacing w:val="-1"/>
      <w:sz w:val="48"/>
      <w:szCs w:val="28"/>
    </w:rPr>
  </w:style>
  <w:style w:type="character" w:customStyle="1" w:styleId="Heading2Char">
    <w:name w:val="Heading 2 Char"/>
    <w:basedOn w:val="DefaultParagraphFont"/>
    <w:link w:val="Heading2"/>
    <w:rsid w:val="002912F1"/>
    <w:rPr>
      <w:rFonts w:ascii="VIC SemiBold" w:eastAsiaTheme="majorEastAsia" w:hAnsi="VIC SemiBold" w:cstheme="majorBidi"/>
      <w:bCs/>
      <w:caps/>
      <w:color w:val="007586" w:themeColor="text2"/>
      <w:sz w:val="24"/>
      <w:szCs w:val="26"/>
    </w:rPr>
  </w:style>
  <w:style w:type="paragraph" w:customStyle="1" w:styleId="Bullet1">
    <w:name w:val="Bullet 1"/>
    <w:uiPriority w:val="1"/>
    <w:qFormat/>
    <w:rsid w:val="00D94FAF"/>
    <w:pPr>
      <w:numPr>
        <w:numId w:val="9"/>
      </w:numPr>
      <w:spacing w:before="60" w:after="60"/>
    </w:pPr>
    <w:rPr>
      <w:rFonts w:ascii="VIC" w:eastAsia="Times New Roman" w:hAnsi="VIC" w:cs="Calibri"/>
      <w:spacing w:val="2"/>
    </w:rPr>
  </w:style>
  <w:style w:type="paragraph" w:customStyle="1" w:styleId="Bullet2">
    <w:name w:val="Bullet 2"/>
    <w:basedOn w:val="Bullet1"/>
    <w:uiPriority w:val="1"/>
    <w:qFormat/>
    <w:rsid w:val="00294A5A"/>
    <w:pPr>
      <w:numPr>
        <w:ilvl w:val="1"/>
      </w:numPr>
    </w:pPr>
  </w:style>
  <w:style w:type="paragraph" w:styleId="Quote">
    <w:name w:val="Quote"/>
    <w:basedOn w:val="Normal"/>
    <w:next w:val="Normal"/>
    <w:link w:val="QuoteChar"/>
    <w:uiPriority w:val="1"/>
    <w:qFormat/>
    <w:rsid w:val="00A05EBC"/>
    <w:pPr>
      <w:ind w:left="567" w:right="567"/>
      <w:jc w:val="center"/>
    </w:pPr>
    <w:rPr>
      <w:i/>
      <w:iCs/>
      <w:color w:val="000000" w:themeColor="text1"/>
    </w:rPr>
  </w:style>
  <w:style w:type="paragraph" w:customStyle="1" w:styleId="Heading1numbered">
    <w:name w:val="Heading 1 numbered"/>
    <w:basedOn w:val="Heading1"/>
    <w:next w:val="NormalIndent"/>
    <w:qFormat/>
    <w:rsid w:val="00BD5018"/>
    <w:pPr>
      <w:framePr w:wrap="around"/>
      <w:numPr>
        <w:numId w:val="10"/>
      </w:numPr>
    </w:pPr>
  </w:style>
  <w:style w:type="paragraph" w:customStyle="1" w:styleId="Heading2numbered">
    <w:name w:val="Heading 2 numbered"/>
    <w:basedOn w:val="Heading2"/>
    <w:next w:val="NormalIndent"/>
    <w:qFormat/>
    <w:rsid w:val="00BD5018"/>
    <w:pPr>
      <w:numPr>
        <w:ilvl w:val="1"/>
        <w:numId w:val="10"/>
      </w:numPr>
    </w:pPr>
  </w:style>
  <w:style w:type="paragraph" w:customStyle="1" w:styleId="Heading3numbered">
    <w:name w:val="Heading 3 numbered"/>
    <w:basedOn w:val="Heading3"/>
    <w:next w:val="NormalIndent"/>
    <w:qFormat/>
    <w:rsid w:val="00BD5018"/>
    <w:pPr>
      <w:numPr>
        <w:ilvl w:val="2"/>
        <w:numId w:val="10"/>
      </w:numPr>
    </w:pPr>
  </w:style>
  <w:style w:type="character" w:customStyle="1" w:styleId="Heading3Char">
    <w:name w:val="Heading 3 Char"/>
    <w:basedOn w:val="DefaultParagraphFont"/>
    <w:link w:val="Heading3"/>
    <w:rsid w:val="00B35ADC"/>
    <w:rPr>
      <w:rFonts w:ascii="VIC SemiBold" w:eastAsiaTheme="majorEastAsia" w:hAnsi="VIC SemiBold" w:cstheme="majorBidi"/>
      <w:bCs/>
      <w:color w:val="000000" w:themeColor="text1"/>
      <w:sz w:val="24"/>
      <w:szCs w:val="22"/>
    </w:rPr>
  </w:style>
  <w:style w:type="paragraph" w:customStyle="1" w:styleId="Heading4numbered">
    <w:name w:val="Heading 4 numbered"/>
    <w:basedOn w:val="Heading4"/>
    <w:next w:val="NormalIndent"/>
    <w:qFormat/>
    <w:rsid w:val="00BD5018"/>
    <w:pPr>
      <w:numPr>
        <w:ilvl w:val="3"/>
        <w:numId w:val="10"/>
      </w:numPr>
    </w:pPr>
  </w:style>
  <w:style w:type="character" w:customStyle="1" w:styleId="Heading4Char">
    <w:name w:val="Heading 4 Char"/>
    <w:basedOn w:val="DefaultParagraphFont"/>
    <w:link w:val="Heading4"/>
    <w:rsid w:val="00A05EBC"/>
    <w:rPr>
      <w:rFonts w:asciiTheme="majorHAnsi" w:eastAsiaTheme="majorEastAsia" w:hAnsiTheme="majorHAnsi" w:cstheme="majorBidi"/>
      <w:b/>
      <w:bCs/>
      <w:iCs/>
      <w:color w:val="000000" w:themeColor="text1"/>
    </w:rPr>
  </w:style>
  <w:style w:type="paragraph" w:styleId="NormalIndent">
    <w:name w:val="Normal Indent"/>
    <w:basedOn w:val="Normal"/>
    <w:uiPriority w:val="1"/>
    <w:qFormat/>
    <w:rsid w:val="009B62E0"/>
    <w:pPr>
      <w:spacing w:line="252" w:lineRule="auto"/>
      <w:ind w:left="792"/>
    </w:pPr>
  </w:style>
  <w:style w:type="paragraph" w:customStyle="1" w:styleId="NoteNormal">
    <w:name w:val="Note Normal"/>
    <w:basedOn w:val="Normal"/>
    <w:next w:val="Normal"/>
    <w:uiPriority w:val="1"/>
    <w:rsid w:val="00297A47"/>
    <w:pPr>
      <w:spacing w:line="240" w:lineRule="atLeast"/>
      <w:contextualSpacing/>
    </w:pPr>
    <w:rPr>
      <w:sz w:val="16"/>
    </w:rPr>
  </w:style>
  <w:style w:type="paragraph" w:customStyle="1" w:styleId="Spacer">
    <w:name w:val="Spacer"/>
    <w:basedOn w:val="Normal"/>
    <w:uiPriority w:val="1"/>
    <w:semiHidden/>
    <w:qFormat/>
    <w:rsid w:val="00165E66"/>
    <w:pPr>
      <w:spacing w:before="0" w:after="0" w:line="120" w:lineRule="atLeast"/>
    </w:pPr>
    <w:rPr>
      <w:rFonts w:eastAsia="Times New Roman" w:cs="Calibri"/>
      <w:sz w:val="10"/>
      <w:szCs w:val="22"/>
    </w:rPr>
  </w:style>
  <w:style w:type="paragraph" w:styleId="Subtitle">
    <w:name w:val="Subtitle"/>
    <w:next w:val="Normal"/>
    <w:link w:val="SubtitleChar"/>
    <w:uiPriority w:val="99"/>
    <w:rsid w:val="0050356B"/>
    <w:pPr>
      <w:framePr w:hSpace="5670" w:wrap="around" w:vAnchor="page" w:hAnchor="page" w:x="852" w:y="4254"/>
      <w:spacing w:before="0" w:after="0" w:line="240" w:lineRule="auto"/>
      <w:suppressOverlap/>
    </w:pPr>
    <w:rPr>
      <w:rFonts w:asciiTheme="majorHAnsi" w:eastAsia="Times New Roman" w:hAnsiTheme="majorHAnsi" w:cstheme="majorHAnsi"/>
      <w:color w:val="000000" w:themeColor="text1"/>
      <w:sz w:val="40"/>
      <w:szCs w:val="24"/>
    </w:rPr>
  </w:style>
  <w:style w:type="character" w:customStyle="1" w:styleId="SubtitleChar">
    <w:name w:val="Subtitle Char"/>
    <w:basedOn w:val="DefaultParagraphFont"/>
    <w:link w:val="Subtitle"/>
    <w:uiPriority w:val="99"/>
    <w:rsid w:val="0050356B"/>
    <w:rPr>
      <w:rFonts w:asciiTheme="majorHAnsi" w:eastAsia="Times New Roman" w:hAnsiTheme="majorHAnsi" w:cstheme="majorHAnsi"/>
      <w:color w:val="000000" w:themeColor="text1"/>
      <w:sz w:val="40"/>
      <w:szCs w:val="24"/>
    </w:rPr>
  </w:style>
  <w:style w:type="paragraph" w:styleId="TOC4">
    <w:name w:val="toc 4"/>
    <w:basedOn w:val="Normal"/>
    <w:next w:val="Normal"/>
    <w:autoRedefine/>
    <w:uiPriority w:val="99"/>
    <w:rsid w:val="00ED64F1"/>
    <w:pPr>
      <w:spacing w:after="100"/>
      <w:ind w:left="600"/>
    </w:pPr>
  </w:style>
  <w:style w:type="paragraph" w:styleId="Title">
    <w:name w:val="Title"/>
    <w:next w:val="Subtitle"/>
    <w:link w:val="TitleChar"/>
    <w:uiPriority w:val="99"/>
    <w:rsid w:val="0050356B"/>
    <w:pPr>
      <w:framePr w:hSpace="5670" w:wrap="around" w:vAnchor="page" w:hAnchor="page" w:x="852" w:y="4310"/>
      <w:spacing w:before="0" w:after="200" w:line="192" w:lineRule="auto"/>
      <w:ind w:right="284"/>
      <w:contextualSpacing/>
      <w:suppressOverlap/>
    </w:pPr>
    <w:rPr>
      <w:rFonts w:asciiTheme="majorHAnsi" w:eastAsia="Times New Roman" w:hAnsiTheme="majorHAnsi" w:cstheme="majorHAnsi"/>
      <w:b/>
      <w:color w:val="007586" w:themeColor="text2"/>
      <w:spacing w:val="-4"/>
      <w:sz w:val="76"/>
      <w:szCs w:val="22"/>
    </w:rPr>
  </w:style>
  <w:style w:type="character" w:customStyle="1" w:styleId="TitleChar">
    <w:name w:val="Title Char"/>
    <w:basedOn w:val="DefaultParagraphFont"/>
    <w:link w:val="Title"/>
    <w:uiPriority w:val="99"/>
    <w:rsid w:val="0050356B"/>
    <w:rPr>
      <w:rFonts w:asciiTheme="majorHAnsi" w:eastAsia="Times New Roman" w:hAnsiTheme="majorHAnsi" w:cstheme="majorHAnsi"/>
      <w:b/>
      <w:color w:val="007586" w:themeColor="text2"/>
      <w:spacing w:val="-4"/>
      <w:sz w:val="76"/>
      <w:szCs w:val="22"/>
    </w:rPr>
  </w:style>
  <w:style w:type="paragraph" w:styleId="BalloonText">
    <w:name w:val="Balloon Text"/>
    <w:basedOn w:val="Normal"/>
    <w:link w:val="BalloonTextChar"/>
    <w:uiPriority w:val="1"/>
    <w:semiHidden/>
    <w:rsid w:val="002320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1"/>
    <w:semiHidden/>
    <w:rsid w:val="00A05EBC"/>
    <w:rPr>
      <w:rFonts w:ascii="Tahoma" w:hAnsi="Tahoma" w:cs="Tahoma"/>
      <w:sz w:val="16"/>
      <w:szCs w:val="16"/>
    </w:rPr>
  </w:style>
  <w:style w:type="character" w:customStyle="1" w:styleId="QuoteChar">
    <w:name w:val="Quote Char"/>
    <w:basedOn w:val="DefaultParagraphFont"/>
    <w:link w:val="Quote"/>
    <w:uiPriority w:val="1"/>
    <w:rsid w:val="00A05EBC"/>
    <w:rPr>
      <w:i/>
      <w:iCs/>
      <w:color w:val="000000" w:themeColor="text1"/>
    </w:rPr>
  </w:style>
  <w:style w:type="paragraph" w:styleId="IndexHeading">
    <w:name w:val="index heading"/>
    <w:basedOn w:val="Normal"/>
    <w:next w:val="Index1"/>
    <w:uiPriority w:val="1"/>
    <w:semiHidden/>
    <w:rsid w:val="00014B55"/>
    <w:rPr>
      <w:rFonts w:asciiTheme="majorHAnsi" w:eastAsiaTheme="majorEastAsia" w:hAnsiTheme="majorHAnsi" w:cstheme="majorBidi"/>
      <w:b/>
      <w:bCs/>
    </w:rPr>
  </w:style>
  <w:style w:type="paragraph" w:styleId="Header">
    <w:name w:val="header"/>
    <w:basedOn w:val="Normal"/>
    <w:link w:val="HeaderChar"/>
    <w:uiPriority w:val="99"/>
    <w:rsid w:val="00F25F4B"/>
    <w:pPr>
      <w:pBdr>
        <w:bottom w:val="single" w:sz="24" w:space="1" w:color="CCCCD0" w:themeColor="accent6"/>
      </w:pBdr>
      <w:tabs>
        <w:tab w:val="center" w:pos="4513"/>
        <w:tab w:val="right" w:pos="9026"/>
      </w:tabs>
      <w:spacing w:before="0" w:line="240" w:lineRule="auto"/>
    </w:pPr>
  </w:style>
  <w:style w:type="character" w:customStyle="1" w:styleId="HeaderChar">
    <w:name w:val="Header Char"/>
    <w:basedOn w:val="DefaultParagraphFont"/>
    <w:link w:val="Header"/>
    <w:uiPriority w:val="99"/>
    <w:rsid w:val="00F25F4B"/>
  </w:style>
  <w:style w:type="paragraph" w:styleId="Footer">
    <w:name w:val="footer"/>
    <w:basedOn w:val="Normal"/>
    <w:link w:val="FooterChar"/>
    <w:uiPriority w:val="99"/>
    <w:rsid w:val="0026028E"/>
    <w:pPr>
      <w:tabs>
        <w:tab w:val="left" w:pos="1304"/>
      </w:tabs>
      <w:spacing w:before="0" w:after="0" w:line="156" w:lineRule="exact"/>
    </w:pPr>
    <w:rPr>
      <w:noProof/>
      <w:sz w:val="13"/>
      <w:szCs w:val="18"/>
    </w:rPr>
  </w:style>
  <w:style w:type="character" w:customStyle="1" w:styleId="FooterChar">
    <w:name w:val="Footer Char"/>
    <w:basedOn w:val="DefaultParagraphFont"/>
    <w:link w:val="Footer"/>
    <w:uiPriority w:val="99"/>
    <w:rsid w:val="00A05EBC"/>
    <w:rPr>
      <w:noProof/>
      <w:sz w:val="13"/>
      <w:szCs w:val="18"/>
    </w:rPr>
  </w:style>
  <w:style w:type="character" w:styleId="PageNumber">
    <w:name w:val="page number"/>
    <w:uiPriority w:val="1"/>
    <w:semiHidden/>
    <w:rsid w:val="00BB59E0"/>
    <w:rPr>
      <w:rFonts w:asciiTheme="minorHAnsi" w:hAnsiTheme="minorHAnsi"/>
      <w:b w:val="0"/>
      <w:color w:val="000000" w:themeColor="text1"/>
    </w:rPr>
  </w:style>
  <w:style w:type="paragraph" w:styleId="TOCHeading">
    <w:name w:val="TOC Heading"/>
    <w:basedOn w:val="Heading1"/>
    <w:next w:val="Normal"/>
    <w:uiPriority w:val="99"/>
    <w:rsid w:val="0026028E"/>
    <w:pPr>
      <w:framePr w:vSpace="1418" w:wrap="around"/>
      <w:outlineLvl w:val="9"/>
    </w:pPr>
    <w:rPr>
      <w:spacing w:val="2"/>
    </w:rPr>
  </w:style>
  <w:style w:type="paragraph" w:customStyle="1" w:styleId="NormalTight">
    <w:name w:val="Normal Tight"/>
    <w:uiPriority w:val="1"/>
    <w:semiHidden/>
    <w:rsid w:val="008D0281"/>
    <w:pPr>
      <w:spacing w:after="0" w:line="240" w:lineRule="auto"/>
      <w:ind w:right="2366"/>
    </w:pPr>
    <w:rPr>
      <w:rFonts w:eastAsia="Times New Roman" w:cs="Calibri"/>
      <w:sz w:val="18"/>
      <w:szCs w:val="19"/>
      <w:lang w:eastAsia="en-US"/>
    </w:rPr>
  </w:style>
  <w:style w:type="paragraph" w:styleId="BodyText">
    <w:name w:val="Body Text"/>
    <w:basedOn w:val="Normal"/>
    <w:link w:val="BodyTextChar"/>
    <w:uiPriority w:val="1"/>
    <w:semiHidden/>
    <w:rsid w:val="00750CBE"/>
    <w:pPr>
      <w:spacing w:before="100" w:line="240" w:lineRule="auto"/>
      <w:ind w:left="794"/>
    </w:pPr>
    <w:rPr>
      <w:rFonts w:ascii="Calibri" w:eastAsia="Times New Roman" w:hAnsi="Calibri" w:cs="Calibri"/>
      <w:sz w:val="22"/>
      <w:szCs w:val="22"/>
    </w:rPr>
  </w:style>
  <w:style w:type="character" w:customStyle="1" w:styleId="BodyTextChar">
    <w:name w:val="Body Text Char"/>
    <w:basedOn w:val="DefaultParagraphFont"/>
    <w:link w:val="BodyText"/>
    <w:uiPriority w:val="1"/>
    <w:semiHidden/>
    <w:rsid w:val="00A05EBC"/>
    <w:rPr>
      <w:rFonts w:ascii="Calibri" w:eastAsia="Times New Roman" w:hAnsi="Calibri" w:cs="Calibri"/>
      <w:sz w:val="22"/>
      <w:szCs w:val="22"/>
    </w:rPr>
  </w:style>
  <w:style w:type="paragraph" w:customStyle="1" w:styleId="Insidecoverspacer">
    <w:name w:val="Inside cover spacer"/>
    <w:basedOn w:val="NormalTight"/>
    <w:uiPriority w:val="1"/>
    <w:semiHidden/>
    <w:qFormat/>
    <w:rsid w:val="00E26B32"/>
    <w:pPr>
      <w:spacing w:before="5800"/>
      <w:ind w:right="1382"/>
    </w:pPr>
  </w:style>
  <w:style w:type="table" w:styleId="ColorfulGrid">
    <w:name w:val="Colorful Grid"/>
    <w:basedOn w:val="TableNormal"/>
    <w:uiPriority w:val="73"/>
    <w:semiHidden/>
    <w:rsid w:val="00294A5A"/>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rsid w:val="00294A5A"/>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6ECEF" w:themeFill="accent1" w:themeFillTint="33"/>
    </w:tcPr>
    <w:tblStylePr w:type="firstRow">
      <w:rPr>
        <w:b/>
        <w:bCs/>
      </w:rPr>
      <w:tblPr/>
      <w:tcPr>
        <w:shd w:val="clear" w:color="auto" w:fill="ADD9DF" w:themeFill="accent1" w:themeFillTint="66"/>
      </w:tcPr>
    </w:tblStylePr>
    <w:tblStylePr w:type="lastRow">
      <w:rPr>
        <w:b/>
        <w:bCs/>
        <w:color w:val="000000" w:themeColor="text1"/>
      </w:rPr>
      <w:tblPr/>
      <w:tcPr>
        <w:shd w:val="clear" w:color="auto" w:fill="ADD9DF" w:themeFill="accent1" w:themeFillTint="66"/>
      </w:tcPr>
    </w:tblStylePr>
    <w:tblStylePr w:type="firstCol">
      <w:rPr>
        <w:color w:val="FFFFFF" w:themeColor="background1"/>
      </w:rPr>
      <w:tblPr/>
      <w:tcPr>
        <w:shd w:val="clear" w:color="auto" w:fill="30717A" w:themeFill="accent1" w:themeFillShade="BF"/>
      </w:tcPr>
    </w:tblStylePr>
    <w:tblStylePr w:type="lastCol">
      <w:rPr>
        <w:color w:val="FFFFFF" w:themeColor="background1"/>
      </w:rPr>
      <w:tblPr/>
      <w:tcPr>
        <w:shd w:val="clear" w:color="auto" w:fill="30717A" w:themeFill="accent1" w:themeFillShade="BF"/>
      </w:tcPr>
    </w:tblStylePr>
    <w:tblStylePr w:type="band1Vert">
      <w:tblPr/>
      <w:tcPr>
        <w:shd w:val="clear" w:color="auto" w:fill="99D0D7" w:themeFill="accent1" w:themeFillTint="7F"/>
      </w:tcPr>
    </w:tblStylePr>
    <w:tblStylePr w:type="band1Horz">
      <w:tblPr/>
      <w:tcPr>
        <w:shd w:val="clear" w:color="auto" w:fill="99D0D7" w:themeFill="accent1" w:themeFillTint="7F"/>
      </w:tcPr>
    </w:tblStylePr>
  </w:style>
  <w:style w:type="paragraph" w:customStyle="1" w:styleId="Tabletext">
    <w:name w:val="Table text"/>
    <w:basedOn w:val="Normal"/>
    <w:uiPriority w:val="2"/>
    <w:qFormat/>
    <w:rsid w:val="009E1651"/>
    <w:pPr>
      <w:spacing w:before="60" w:after="60" w:line="192" w:lineRule="atLeast"/>
    </w:pPr>
    <w:rPr>
      <w:rFonts w:eastAsiaTheme="minorHAnsi"/>
      <w:sz w:val="16"/>
      <w:szCs w:val="21"/>
      <w:lang w:eastAsia="en-US"/>
    </w:rPr>
  </w:style>
  <w:style w:type="paragraph" w:customStyle="1" w:styleId="Tabletextright">
    <w:name w:val="Table text right"/>
    <w:basedOn w:val="Tabletext"/>
    <w:uiPriority w:val="2"/>
    <w:qFormat/>
    <w:rsid w:val="00B9053B"/>
    <w:pPr>
      <w:jc w:val="right"/>
    </w:pPr>
  </w:style>
  <w:style w:type="paragraph" w:customStyle="1" w:styleId="Listnum">
    <w:name w:val="List num"/>
    <w:basedOn w:val="Normal"/>
    <w:uiPriority w:val="1"/>
    <w:qFormat/>
    <w:rsid w:val="004A7519"/>
    <w:pPr>
      <w:numPr>
        <w:numId w:val="4"/>
      </w:numPr>
    </w:pPr>
  </w:style>
  <w:style w:type="paragraph" w:customStyle="1" w:styleId="Listnum2">
    <w:name w:val="List num 2"/>
    <w:basedOn w:val="Normal"/>
    <w:uiPriority w:val="1"/>
    <w:qFormat/>
    <w:rsid w:val="004A7519"/>
    <w:pPr>
      <w:numPr>
        <w:ilvl w:val="1"/>
        <w:numId w:val="4"/>
      </w:numPr>
    </w:pPr>
  </w:style>
  <w:style w:type="paragraph" w:customStyle="1" w:styleId="Tabletextcentred">
    <w:name w:val="Table text centred"/>
    <w:basedOn w:val="Tabletext"/>
    <w:uiPriority w:val="2"/>
    <w:qFormat/>
    <w:rsid w:val="00B9053B"/>
    <w:pPr>
      <w:jc w:val="center"/>
    </w:pPr>
  </w:style>
  <w:style w:type="paragraph" w:customStyle="1" w:styleId="Tableheader">
    <w:name w:val="Table header"/>
    <w:basedOn w:val="Normal"/>
    <w:uiPriority w:val="2"/>
    <w:qFormat/>
    <w:rsid w:val="009E1651"/>
    <w:pPr>
      <w:keepNext/>
      <w:keepLines/>
      <w:spacing w:before="0" w:after="0" w:line="260" w:lineRule="atLeast"/>
    </w:pPr>
    <w:rPr>
      <w:rFonts w:eastAsiaTheme="minorHAnsi"/>
      <w:b/>
      <w:color w:val="007586" w:themeColor="text2"/>
      <w:sz w:val="16"/>
      <w:szCs w:val="21"/>
      <w:lang w:eastAsia="en-US"/>
    </w:rPr>
  </w:style>
  <w:style w:type="paragraph" w:customStyle="1" w:styleId="Tablebullet">
    <w:name w:val="Table bullet"/>
    <w:basedOn w:val="Tabletext"/>
    <w:uiPriority w:val="2"/>
    <w:rsid w:val="00937A10"/>
    <w:pPr>
      <w:numPr>
        <w:numId w:val="5"/>
      </w:numPr>
    </w:pPr>
  </w:style>
  <w:style w:type="paragraph" w:customStyle="1" w:styleId="Tabledash">
    <w:name w:val="Table dash"/>
    <w:basedOn w:val="Tablebullet"/>
    <w:uiPriority w:val="2"/>
    <w:rsid w:val="00937A10"/>
    <w:pPr>
      <w:numPr>
        <w:ilvl w:val="1"/>
      </w:numPr>
    </w:pPr>
  </w:style>
  <w:style w:type="paragraph" w:customStyle="1" w:styleId="Tabletextindent">
    <w:name w:val="Table text indent"/>
    <w:basedOn w:val="Tabletext"/>
    <w:uiPriority w:val="2"/>
    <w:qFormat/>
    <w:rsid w:val="00C11CD1"/>
    <w:pPr>
      <w:ind w:left="288"/>
    </w:pPr>
  </w:style>
  <w:style w:type="paragraph" w:styleId="ListParagraph">
    <w:name w:val="List Paragraph"/>
    <w:basedOn w:val="Normal"/>
    <w:uiPriority w:val="34"/>
    <w:qFormat/>
    <w:rsid w:val="004231B5"/>
    <w:pPr>
      <w:ind w:left="720"/>
      <w:contextualSpacing/>
    </w:pPr>
  </w:style>
  <w:style w:type="paragraph" w:customStyle="1" w:styleId="Numpara">
    <w:name w:val="Num para"/>
    <w:basedOn w:val="ListParagraph"/>
    <w:uiPriority w:val="1"/>
    <w:qFormat/>
    <w:rsid w:val="00C72252"/>
    <w:pPr>
      <w:numPr>
        <w:numId w:val="7"/>
      </w:numPr>
      <w:tabs>
        <w:tab w:val="left" w:pos="540"/>
      </w:tabs>
    </w:pPr>
  </w:style>
  <w:style w:type="paragraph" w:styleId="FootnoteText">
    <w:name w:val="footnote text"/>
    <w:basedOn w:val="Normal"/>
    <w:link w:val="FootnoteTextChar"/>
    <w:uiPriority w:val="99"/>
    <w:rsid w:val="006945CA"/>
    <w:pPr>
      <w:spacing w:before="57" w:after="0" w:line="160" w:lineRule="atLeast"/>
    </w:pPr>
    <w:rPr>
      <w:sz w:val="13"/>
    </w:rPr>
  </w:style>
  <w:style w:type="character" w:customStyle="1" w:styleId="FootnoteTextChar">
    <w:name w:val="Footnote Text Char"/>
    <w:basedOn w:val="DefaultParagraphFont"/>
    <w:link w:val="FootnoteText"/>
    <w:uiPriority w:val="99"/>
    <w:rsid w:val="00A05EBC"/>
    <w:rPr>
      <w:sz w:val="13"/>
    </w:rPr>
  </w:style>
  <w:style w:type="character" w:styleId="FootnoteReference">
    <w:name w:val="footnote reference"/>
    <w:basedOn w:val="DefaultParagraphFont"/>
    <w:uiPriority w:val="99"/>
    <w:rsid w:val="00726D2F"/>
    <w:rPr>
      <w:vertAlign w:val="superscript"/>
    </w:rPr>
  </w:style>
  <w:style w:type="table" w:styleId="ColorfulGrid-Accent2">
    <w:name w:val="Colorful Grid Accent 2"/>
    <w:basedOn w:val="TableNormal"/>
    <w:uiPriority w:val="73"/>
    <w:semiHidden/>
    <w:rsid w:val="00294A5A"/>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F1F3" w:themeFill="accent2" w:themeFillTint="33"/>
    </w:tcPr>
    <w:tblStylePr w:type="firstRow">
      <w:rPr>
        <w:b/>
        <w:bCs/>
      </w:rPr>
      <w:tblPr/>
      <w:tcPr>
        <w:shd w:val="clear" w:color="auto" w:fill="CCE3E7" w:themeFill="accent2" w:themeFillTint="66"/>
      </w:tcPr>
    </w:tblStylePr>
    <w:tblStylePr w:type="lastRow">
      <w:rPr>
        <w:b/>
        <w:bCs/>
        <w:color w:val="000000" w:themeColor="text1"/>
      </w:rPr>
      <w:tblPr/>
      <w:tcPr>
        <w:shd w:val="clear" w:color="auto" w:fill="CCE3E7" w:themeFill="accent2" w:themeFillTint="66"/>
      </w:tcPr>
    </w:tblStylePr>
    <w:tblStylePr w:type="firstCol">
      <w:rPr>
        <w:color w:val="FFFFFF" w:themeColor="background1"/>
      </w:rPr>
      <w:tblPr/>
      <w:tcPr>
        <w:shd w:val="clear" w:color="auto" w:fill="4D98A4" w:themeFill="accent2" w:themeFillShade="BF"/>
      </w:tcPr>
    </w:tblStylePr>
    <w:tblStylePr w:type="lastCol">
      <w:rPr>
        <w:color w:val="FFFFFF" w:themeColor="background1"/>
      </w:rPr>
      <w:tblPr/>
      <w:tcPr>
        <w:shd w:val="clear" w:color="auto" w:fill="4D98A4" w:themeFill="accent2" w:themeFillShade="BF"/>
      </w:tcPr>
    </w:tblStylePr>
    <w:tblStylePr w:type="band1Vert">
      <w:tblPr/>
      <w:tcPr>
        <w:shd w:val="clear" w:color="auto" w:fill="BFDCE1" w:themeFill="accent2" w:themeFillTint="7F"/>
      </w:tcPr>
    </w:tblStylePr>
    <w:tblStylePr w:type="band1Horz">
      <w:tblPr/>
      <w:tcPr>
        <w:shd w:val="clear" w:color="auto" w:fill="BFDCE1" w:themeFill="accent2" w:themeFillTint="7F"/>
      </w:tcPr>
    </w:tblStylePr>
  </w:style>
  <w:style w:type="table" w:styleId="ColorfulGrid-Accent3">
    <w:name w:val="Colorful Grid Accent 3"/>
    <w:basedOn w:val="TableNormal"/>
    <w:uiPriority w:val="73"/>
    <w:semiHidden/>
    <w:rsid w:val="00294A5A"/>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F8F9" w:themeFill="accent3" w:themeFillTint="33"/>
    </w:tcPr>
    <w:tblStylePr w:type="firstRow">
      <w:rPr>
        <w:b/>
        <w:bCs/>
      </w:rPr>
      <w:tblPr/>
      <w:tcPr>
        <w:shd w:val="clear" w:color="auto" w:fill="E5F1F3" w:themeFill="accent3" w:themeFillTint="66"/>
      </w:tcPr>
    </w:tblStylePr>
    <w:tblStylePr w:type="lastRow">
      <w:rPr>
        <w:b/>
        <w:bCs/>
        <w:color w:val="000000" w:themeColor="text1"/>
      </w:rPr>
      <w:tblPr/>
      <w:tcPr>
        <w:shd w:val="clear" w:color="auto" w:fill="E5F1F3" w:themeFill="accent3" w:themeFillTint="66"/>
      </w:tcPr>
    </w:tblStylePr>
    <w:tblStylePr w:type="firstCol">
      <w:rPr>
        <w:color w:val="FFFFFF" w:themeColor="background1"/>
      </w:rPr>
      <w:tblPr/>
      <w:tcPr>
        <w:shd w:val="clear" w:color="auto" w:fill="77B7BF" w:themeFill="accent3" w:themeFillShade="BF"/>
      </w:tcPr>
    </w:tblStylePr>
    <w:tblStylePr w:type="lastCol">
      <w:rPr>
        <w:color w:val="FFFFFF" w:themeColor="background1"/>
      </w:rPr>
      <w:tblPr/>
      <w:tcPr>
        <w:shd w:val="clear" w:color="auto" w:fill="77B7BF" w:themeFill="accent3" w:themeFillShade="BF"/>
      </w:tcPr>
    </w:tblStylePr>
    <w:tblStylePr w:type="band1Vert">
      <w:tblPr/>
      <w:tcPr>
        <w:shd w:val="clear" w:color="auto" w:fill="DFEEF0" w:themeFill="accent3" w:themeFillTint="7F"/>
      </w:tcPr>
    </w:tblStylePr>
    <w:tblStylePr w:type="band1Horz">
      <w:tblPr/>
      <w:tcPr>
        <w:shd w:val="clear" w:color="auto" w:fill="DFEEF0" w:themeFill="accent3" w:themeFillTint="7F"/>
      </w:tcPr>
    </w:tblStylePr>
  </w:style>
  <w:style w:type="paragraph" w:customStyle="1" w:styleId="Tablenum1">
    <w:name w:val="Table num 1"/>
    <w:basedOn w:val="Normal"/>
    <w:uiPriority w:val="2"/>
    <w:rsid w:val="007F723F"/>
    <w:pPr>
      <w:numPr>
        <w:ilvl w:val="2"/>
        <w:numId w:val="5"/>
      </w:numPr>
      <w:spacing w:before="60" w:after="60"/>
    </w:pPr>
    <w:rPr>
      <w:sz w:val="17"/>
    </w:rPr>
  </w:style>
  <w:style w:type="paragraph" w:customStyle="1" w:styleId="Tablenum2">
    <w:name w:val="Table num 2"/>
    <w:basedOn w:val="Normal"/>
    <w:uiPriority w:val="2"/>
    <w:rsid w:val="007F723F"/>
    <w:pPr>
      <w:numPr>
        <w:ilvl w:val="3"/>
        <w:numId w:val="5"/>
      </w:numPr>
      <w:spacing w:before="60" w:after="60"/>
    </w:pPr>
    <w:rPr>
      <w:sz w:val="17"/>
    </w:rPr>
  </w:style>
  <w:style w:type="paragraph" w:styleId="Caption">
    <w:name w:val="caption"/>
    <w:basedOn w:val="Normal"/>
    <w:next w:val="Normal"/>
    <w:uiPriority w:val="1"/>
    <w:rsid w:val="00A92D94"/>
    <w:pPr>
      <w:spacing w:before="280" w:after="210" w:line="260" w:lineRule="atLeast"/>
    </w:pPr>
    <w:rPr>
      <w:b/>
      <w:bCs/>
      <w:color w:val="007586" w:themeColor="text2"/>
      <w:szCs w:val="18"/>
    </w:rPr>
  </w:style>
  <w:style w:type="paragraph" w:customStyle="1" w:styleId="Tablechartdiagramheading">
    <w:name w:val="Table/chart/diagram heading"/>
    <w:next w:val="Normal"/>
    <w:uiPriority w:val="2"/>
    <w:qFormat/>
    <w:rsid w:val="002912F1"/>
    <w:pPr>
      <w:tabs>
        <w:tab w:val="left" w:pos="1080"/>
      </w:tabs>
      <w:spacing w:before="280" w:after="210" w:line="260" w:lineRule="atLeast"/>
    </w:pPr>
    <w:rPr>
      <w:rFonts w:ascii="VIC SemiBold" w:hAnsi="VIC SemiBold"/>
      <w:bCs/>
      <w:color w:val="007586" w:themeColor="text2"/>
      <w:spacing w:val="2"/>
      <w:szCs w:val="18"/>
    </w:rPr>
  </w:style>
  <w:style w:type="character" w:styleId="PlaceholderText">
    <w:name w:val="Placeholder Text"/>
    <w:basedOn w:val="DefaultParagraphFont"/>
    <w:uiPriority w:val="1"/>
    <w:semiHidden/>
    <w:rsid w:val="00966115"/>
    <w:rPr>
      <w:color w:val="808080"/>
    </w:rPr>
  </w:style>
  <w:style w:type="paragraph" w:customStyle="1" w:styleId="FooterOdd">
    <w:name w:val="Footer Odd"/>
    <w:basedOn w:val="Footer"/>
    <w:uiPriority w:val="99"/>
    <w:qFormat/>
    <w:rsid w:val="002A5891"/>
    <w:pPr>
      <w:framePr w:hSpace="17010" w:wrap="around" w:vAnchor="text" w:hAnchor="margin" w:xAlign="right" w:y="1"/>
      <w:pBdr>
        <w:top w:val="single" w:sz="8" w:space="6" w:color="CCCCD0" w:themeColor="accent6"/>
      </w:pBdr>
      <w:jc w:val="right"/>
    </w:pPr>
  </w:style>
  <w:style w:type="paragraph" w:customStyle="1" w:styleId="FooterEven">
    <w:name w:val="Footer Even"/>
    <w:basedOn w:val="Footer"/>
    <w:uiPriority w:val="99"/>
    <w:qFormat/>
    <w:rsid w:val="002A5891"/>
    <w:pPr>
      <w:framePr w:hSpace="17010" w:wrap="around" w:vAnchor="text" w:hAnchor="margin" w:y="1"/>
      <w:pBdr>
        <w:top w:val="single" w:sz="8" w:space="6" w:color="CCCCD0" w:themeColor="accent6"/>
      </w:pBdr>
    </w:pPr>
  </w:style>
  <w:style w:type="paragraph" w:customStyle="1" w:styleId="IntroductoryText">
    <w:name w:val="Introductory Text"/>
    <w:basedOn w:val="Normal"/>
    <w:uiPriority w:val="1"/>
    <w:qFormat/>
    <w:rsid w:val="00B35ADC"/>
    <w:pPr>
      <w:spacing w:before="280" w:after="60"/>
    </w:pPr>
    <w:rPr>
      <w:rFonts w:ascii="VIC Medium" w:hAnsi="VIC Medium"/>
      <w:color w:val="007586" w:themeColor="text2"/>
      <w:sz w:val="22"/>
    </w:rPr>
  </w:style>
  <w:style w:type="paragraph" w:styleId="NoSpacing">
    <w:name w:val="No Spacing"/>
    <w:uiPriority w:val="1"/>
    <w:qFormat/>
    <w:rsid w:val="00294A5A"/>
    <w:pPr>
      <w:spacing w:before="0" w:after="0" w:line="240" w:lineRule="auto"/>
    </w:pPr>
  </w:style>
  <w:style w:type="paragraph" w:customStyle="1" w:styleId="Normalfollowingheading">
    <w:name w:val="Normal following heading"/>
    <w:basedOn w:val="Normal"/>
    <w:next w:val="Normal"/>
    <w:uiPriority w:val="1"/>
    <w:qFormat/>
    <w:rsid w:val="00B35ADC"/>
    <w:pPr>
      <w:spacing w:before="0"/>
    </w:pPr>
  </w:style>
  <w:style w:type="table" w:styleId="ColorfulGrid-Accent4">
    <w:name w:val="Colorful Grid Accent 4"/>
    <w:basedOn w:val="TableNormal"/>
    <w:uiPriority w:val="73"/>
    <w:semiHidden/>
    <w:rsid w:val="00294A5A"/>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6D6DE" w:themeFill="accent4" w:themeFillTint="33"/>
    </w:tcPr>
    <w:tblStylePr w:type="firstRow">
      <w:rPr>
        <w:b/>
        <w:bCs/>
      </w:rPr>
      <w:tblPr/>
      <w:tcPr>
        <w:shd w:val="clear" w:color="auto" w:fill="ADADBD" w:themeFill="accent4" w:themeFillTint="66"/>
      </w:tcPr>
    </w:tblStylePr>
    <w:tblStylePr w:type="lastRow">
      <w:rPr>
        <w:b/>
        <w:bCs/>
        <w:color w:val="000000" w:themeColor="text1"/>
      </w:rPr>
      <w:tblPr/>
      <w:tcPr>
        <w:shd w:val="clear" w:color="auto" w:fill="ADADBD" w:themeFill="accent4" w:themeFillTint="66"/>
      </w:tcPr>
    </w:tblStylePr>
    <w:tblStylePr w:type="firstCol">
      <w:rPr>
        <w:color w:val="FFFFFF" w:themeColor="background1"/>
      </w:rPr>
      <w:tblPr/>
      <w:tcPr>
        <w:shd w:val="clear" w:color="auto" w:fill="30303B" w:themeFill="accent4" w:themeFillShade="BF"/>
      </w:tcPr>
    </w:tblStylePr>
    <w:tblStylePr w:type="lastCol">
      <w:rPr>
        <w:color w:val="FFFFFF" w:themeColor="background1"/>
      </w:rPr>
      <w:tblPr/>
      <w:tcPr>
        <w:shd w:val="clear" w:color="auto" w:fill="30303B" w:themeFill="accent4" w:themeFillShade="BF"/>
      </w:tcPr>
    </w:tblStylePr>
    <w:tblStylePr w:type="band1Vert">
      <w:tblPr/>
      <w:tcPr>
        <w:shd w:val="clear" w:color="auto" w:fill="9999AE" w:themeFill="accent4" w:themeFillTint="7F"/>
      </w:tcPr>
    </w:tblStylePr>
    <w:tblStylePr w:type="band1Horz">
      <w:tblPr/>
      <w:tcPr>
        <w:shd w:val="clear" w:color="auto" w:fill="9999AE" w:themeFill="accent4" w:themeFillTint="7F"/>
      </w:tcPr>
    </w:tblStylePr>
  </w:style>
  <w:style w:type="table" w:styleId="ColorfulGrid-Accent5">
    <w:name w:val="Colorful Grid Accent 5"/>
    <w:basedOn w:val="TableNormal"/>
    <w:uiPriority w:val="73"/>
    <w:semiHidden/>
    <w:rsid w:val="00294A5A"/>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E5E7" w:themeFill="accent5" w:themeFillTint="33"/>
    </w:tcPr>
    <w:tblStylePr w:type="firstRow">
      <w:rPr>
        <w:b/>
        <w:bCs/>
      </w:rPr>
      <w:tblPr/>
      <w:tcPr>
        <w:shd w:val="clear" w:color="auto" w:fill="CCCCD0" w:themeFill="accent5" w:themeFillTint="66"/>
      </w:tcPr>
    </w:tblStylePr>
    <w:tblStylePr w:type="lastRow">
      <w:rPr>
        <w:b/>
        <w:bCs/>
        <w:color w:val="000000" w:themeColor="text1"/>
      </w:rPr>
      <w:tblPr/>
      <w:tcPr>
        <w:shd w:val="clear" w:color="auto" w:fill="CCCCD0" w:themeFill="accent5" w:themeFillTint="66"/>
      </w:tcPr>
    </w:tblStylePr>
    <w:tblStylePr w:type="firstCol">
      <w:rPr>
        <w:color w:val="FFFFFF" w:themeColor="background1"/>
      </w:rPr>
      <w:tblPr/>
      <w:tcPr>
        <w:shd w:val="clear" w:color="auto" w:fill="5F5F68" w:themeFill="accent5" w:themeFillShade="BF"/>
      </w:tcPr>
    </w:tblStylePr>
    <w:tblStylePr w:type="lastCol">
      <w:rPr>
        <w:color w:val="FFFFFF" w:themeColor="background1"/>
      </w:rPr>
      <w:tblPr/>
      <w:tcPr>
        <w:shd w:val="clear" w:color="auto" w:fill="5F5F68" w:themeFill="accent5" w:themeFillShade="BF"/>
      </w:tcPr>
    </w:tblStylePr>
    <w:tblStylePr w:type="band1Vert">
      <w:tblPr/>
      <w:tcPr>
        <w:shd w:val="clear" w:color="auto" w:fill="BFBFC5" w:themeFill="accent5" w:themeFillTint="7F"/>
      </w:tcPr>
    </w:tblStylePr>
    <w:tblStylePr w:type="band1Horz">
      <w:tblPr/>
      <w:tcPr>
        <w:shd w:val="clear" w:color="auto" w:fill="BFBFC5" w:themeFill="accent5" w:themeFillTint="7F"/>
      </w:tcPr>
    </w:tblStylePr>
  </w:style>
  <w:style w:type="table" w:styleId="ColorfulGrid-Accent6">
    <w:name w:val="Colorful Grid Accent 6"/>
    <w:basedOn w:val="TableNormal"/>
    <w:uiPriority w:val="73"/>
    <w:semiHidden/>
    <w:rsid w:val="00294A5A"/>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4F4F5" w:themeFill="accent6" w:themeFillTint="33"/>
    </w:tcPr>
    <w:tblStylePr w:type="firstRow">
      <w:rPr>
        <w:b/>
        <w:bCs/>
      </w:rPr>
      <w:tblPr/>
      <w:tcPr>
        <w:shd w:val="clear" w:color="auto" w:fill="EAEAEC" w:themeFill="accent6" w:themeFillTint="66"/>
      </w:tcPr>
    </w:tblStylePr>
    <w:tblStylePr w:type="lastRow">
      <w:rPr>
        <w:b/>
        <w:bCs/>
        <w:color w:val="000000" w:themeColor="text1"/>
      </w:rPr>
      <w:tblPr/>
      <w:tcPr>
        <w:shd w:val="clear" w:color="auto" w:fill="EAEAEC" w:themeFill="accent6" w:themeFillTint="66"/>
      </w:tcPr>
    </w:tblStylePr>
    <w:tblStylePr w:type="firstCol">
      <w:rPr>
        <w:color w:val="FFFFFF" w:themeColor="background1"/>
      </w:rPr>
      <w:tblPr/>
      <w:tcPr>
        <w:shd w:val="clear" w:color="auto" w:fill="96969E" w:themeFill="accent6" w:themeFillShade="BF"/>
      </w:tcPr>
    </w:tblStylePr>
    <w:tblStylePr w:type="lastCol">
      <w:rPr>
        <w:color w:val="FFFFFF" w:themeColor="background1"/>
      </w:rPr>
      <w:tblPr/>
      <w:tcPr>
        <w:shd w:val="clear" w:color="auto" w:fill="96969E" w:themeFill="accent6" w:themeFillShade="BF"/>
      </w:tcPr>
    </w:tblStylePr>
    <w:tblStylePr w:type="band1Vert">
      <w:tblPr/>
      <w:tcPr>
        <w:shd w:val="clear" w:color="auto" w:fill="E5E5E7" w:themeFill="accent6" w:themeFillTint="7F"/>
      </w:tcPr>
    </w:tblStylePr>
    <w:tblStylePr w:type="band1Horz">
      <w:tblPr/>
      <w:tcPr>
        <w:shd w:val="clear" w:color="auto" w:fill="E5E5E7" w:themeFill="accent6" w:themeFillTint="7F"/>
      </w:tcPr>
    </w:tblStylePr>
  </w:style>
  <w:style w:type="table" w:styleId="ColorfulList">
    <w:name w:val="Colorful List"/>
    <w:basedOn w:val="TableNormal"/>
    <w:uiPriority w:val="72"/>
    <w:semiHidden/>
    <w:rsid w:val="00294A5A"/>
    <w:pPr>
      <w:spacing w:before="0"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54A1AE" w:themeFill="accent2" w:themeFillShade="CC"/>
      </w:tcPr>
    </w:tblStylePr>
    <w:tblStylePr w:type="lastRow">
      <w:rPr>
        <w:b/>
        <w:bCs/>
        <w:color w:val="54A1A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rsid w:val="00294A5A"/>
    <w:pPr>
      <w:spacing w:before="0" w:after="0" w:line="240" w:lineRule="auto"/>
    </w:pPr>
    <w:rPr>
      <w:color w:val="000000" w:themeColor="text1"/>
    </w:rPr>
    <w:tblPr>
      <w:tblStyleRowBandSize w:val="1"/>
      <w:tblStyleColBandSize w:val="1"/>
    </w:tblPr>
    <w:tcPr>
      <w:shd w:val="clear" w:color="auto" w:fill="EBF5F7" w:themeFill="accent1" w:themeFillTint="19"/>
    </w:tcPr>
    <w:tblStylePr w:type="firstRow">
      <w:rPr>
        <w:b/>
        <w:bCs/>
        <w:color w:val="FFFFFF" w:themeColor="background1"/>
      </w:rPr>
      <w:tblPr/>
      <w:tcPr>
        <w:tcBorders>
          <w:bottom w:val="single" w:sz="12" w:space="0" w:color="FFFFFF" w:themeColor="background1"/>
        </w:tcBorders>
        <w:shd w:val="clear" w:color="auto" w:fill="54A1AE" w:themeFill="accent2" w:themeFillShade="CC"/>
      </w:tcPr>
    </w:tblStylePr>
    <w:tblStylePr w:type="lastRow">
      <w:rPr>
        <w:b/>
        <w:bCs/>
        <w:color w:val="54A1A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CE7EB" w:themeFill="accent1" w:themeFillTint="3F"/>
      </w:tcPr>
    </w:tblStylePr>
    <w:tblStylePr w:type="band1Horz">
      <w:tblPr/>
      <w:tcPr>
        <w:shd w:val="clear" w:color="auto" w:fill="D6ECEF" w:themeFill="accent1" w:themeFillTint="33"/>
      </w:tcPr>
    </w:tblStylePr>
  </w:style>
  <w:style w:type="table" w:styleId="ColorfulList-Accent2">
    <w:name w:val="Colorful List Accent 2"/>
    <w:basedOn w:val="TableNormal"/>
    <w:uiPriority w:val="72"/>
    <w:semiHidden/>
    <w:rsid w:val="00294A5A"/>
    <w:pPr>
      <w:spacing w:before="0" w:after="0" w:line="240" w:lineRule="auto"/>
    </w:pPr>
    <w:rPr>
      <w:color w:val="000000" w:themeColor="text1"/>
    </w:rPr>
    <w:tblPr>
      <w:tblStyleRowBandSize w:val="1"/>
      <w:tblStyleColBandSize w:val="1"/>
    </w:tblPr>
    <w:tcPr>
      <w:shd w:val="clear" w:color="auto" w:fill="F2F8F9" w:themeFill="accent2" w:themeFillTint="19"/>
    </w:tcPr>
    <w:tblStylePr w:type="firstRow">
      <w:rPr>
        <w:b/>
        <w:bCs/>
        <w:color w:val="FFFFFF" w:themeColor="background1"/>
      </w:rPr>
      <w:tblPr/>
      <w:tcPr>
        <w:tcBorders>
          <w:bottom w:val="single" w:sz="12" w:space="0" w:color="FFFFFF" w:themeColor="background1"/>
        </w:tcBorders>
        <w:shd w:val="clear" w:color="auto" w:fill="54A1AE" w:themeFill="accent2" w:themeFillShade="CC"/>
      </w:tcPr>
    </w:tblStylePr>
    <w:tblStylePr w:type="lastRow">
      <w:rPr>
        <w:b/>
        <w:bCs/>
        <w:color w:val="54A1A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EDF0" w:themeFill="accent2" w:themeFillTint="3F"/>
      </w:tcPr>
    </w:tblStylePr>
    <w:tblStylePr w:type="band1Horz">
      <w:tblPr/>
      <w:tcPr>
        <w:shd w:val="clear" w:color="auto" w:fill="E5F1F3" w:themeFill="accent2" w:themeFillTint="33"/>
      </w:tcPr>
    </w:tblStylePr>
  </w:style>
  <w:style w:type="table" w:styleId="ColorfulList-Accent3">
    <w:name w:val="Colorful List Accent 3"/>
    <w:basedOn w:val="TableNormal"/>
    <w:uiPriority w:val="72"/>
    <w:semiHidden/>
    <w:rsid w:val="00294A5A"/>
    <w:pPr>
      <w:spacing w:before="0" w:after="0" w:line="240" w:lineRule="auto"/>
    </w:pPr>
    <w:rPr>
      <w:color w:val="000000" w:themeColor="text1"/>
    </w:rPr>
    <w:tblPr>
      <w:tblStyleRowBandSize w:val="1"/>
      <w:tblStyleColBandSize w:val="1"/>
    </w:tblPr>
    <w:tcPr>
      <w:shd w:val="clear" w:color="auto" w:fill="F8FBFC" w:themeFill="accent3" w:themeFillTint="19"/>
    </w:tcPr>
    <w:tblStylePr w:type="firstRow">
      <w:rPr>
        <w:b/>
        <w:bCs/>
        <w:color w:val="FFFFFF" w:themeColor="background1"/>
      </w:rPr>
      <w:tblPr/>
      <w:tcPr>
        <w:tcBorders>
          <w:bottom w:val="single" w:sz="12" w:space="0" w:color="FFFFFF" w:themeColor="background1"/>
        </w:tcBorders>
        <w:shd w:val="clear" w:color="auto" w:fill="33333F" w:themeFill="accent4" w:themeFillShade="CC"/>
      </w:tcPr>
    </w:tblStylePr>
    <w:tblStylePr w:type="lastRow">
      <w:rPr>
        <w:b/>
        <w:bCs/>
        <w:color w:val="33333F"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F6F7" w:themeFill="accent3" w:themeFillTint="3F"/>
      </w:tcPr>
    </w:tblStylePr>
    <w:tblStylePr w:type="band1Horz">
      <w:tblPr/>
      <w:tcPr>
        <w:shd w:val="clear" w:color="auto" w:fill="F2F8F9" w:themeFill="accent3" w:themeFillTint="33"/>
      </w:tcPr>
    </w:tblStylePr>
  </w:style>
  <w:style w:type="table" w:styleId="ColorfulList-Accent4">
    <w:name w:val="Colorful List Accent 4"/>
    <w:basedOn w:val="TableNormal"/>
    <w:uiPriority w:val="72"/>
    <w:semiHidden/>
    <w:rsid w:val="00294A5A"/>
    <w:pPr>
      <w:spacing w:before="0" w:after="0" w:line="240" w:lineRule="auto"/>
    </w:pPr>
    <w:rPr>
      <w:color w:val="000000" w:themeColor="text1"/>
    </w:rPr>
    <w:tblPr>
      <w:tblStyleRowBandSize w:val="1"/>
      <w:tblStyleColBandSize w:val="1"/>
    </w:tblPr>
    <w:tcPr>
      <w:shd w:val="clear" w:color="auto" w:fill="EBEBEF" w:themeFill="accent4" w:themeFillTint="19"/>
    </w:tcPr>
    <w:tblStylePr w:type="firstRow">
      <w:rPr>
        <w:b/>
        <w:bCs/>
        <w:color w:val="FFFFFF" w:themeColor="background1"/>
      </w:rPr>
      <w:tblPr/>
      <w:tcPr>
        <w:tcBorders>
          <w:bottom w:val="single" w:sz="12" w:space="0" w:color="FFFFFF" w:themeColor="background1"/>
        </w:tcBorders>
        <w:shd w:val="clear" w:color="auto" w:fill="86BEC6" w:themeFill="accent3" w:themeFillShade="CC"/>
      </w:tcPr>
    </w:tblStylePr>
    <w:tblStylePr w:type="lastRow">
      <w:rPr>
        <w:b/>
        <w:bCs/>
        <w:color w:val="86BEC6"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CCCD6" w:themeFill="accent4" w:themeFillTint="3F"/>
      </w:tcPr>
    </w:tblStylePr>
    <w:tblStylePr w:type="band1Horz">
      <w:tblPr/>
      <w:tcPr>
        <w:shd w:val="clear" w:color="auto" w:fill="D6D6DE" w:themeFill="accent4" w:themeFillTint="33"/>
      </w:tcPr>
    </w:tblStylePr>
  </w:style>
  <w:style w:type="table" w:styleId="ColorfulList-Accent5">
    <w:name w:val="Colorful List Accent 5"/>
    <w:basedOn w:val="TableNormal"/>
    <w:uiPriority w:val="72"/>
    <w:semiHidden/>
    <w:rsid w:val="00294A5A"/>
    <w:pPr>
      <w:spacing w:before="0" w:after="0" w:line="240" w:lineRule="auto"/>
    </w:pPr>
    <w:rPr>
      <w:color w:val="000000" w:themeColor="text1"/>
    </w:rPr>
    <w:tblPr>
      <w:tblStyleRowBandSize w:val="1"/>
      <w:tblStyleColBandSize w:val="1"/>
    </w:tblPr>
    <w:tcPr>
      <w:shd w:val="clear" w:color="auto" w:fill="F2F2F3" w:themeFill="accent5" w:themeFillTint="19"/>
    </w:tcPr>
    <w:tblStylePr w:type="firstRow">
      <w:rPr>
        <w:b/>
        <w:bCs/>
        <w:color w:val="FFFFFF" w:themeColor="background1"/>
      </w:rPr>
      <w:tblPr/>
      <w:tcPr>
        <w:tcBorders>
          <w:bottom w:val="single" w:sz="12" w:space="0" w:color="FFFFFF" w:themeColor="background1"/>
        </w:tcBorders>
        <w:shd w:val="clear" w:color="auto" w:fill="A1A1A8" w:themeFill="accent6" w:themeFillShade="CC"/>
      </w:tcPr>
    </w:tblStylePr>
    <w:tblStylePr w:type="lastRow">
      <w:rPr>
        <w:b/>
        <w:bCs/>
        <w:color w:val="A1A1A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E2" w:themeFill="accent5" w:themeFillTint="3F"/>
      </w:tcPr>
    </w:tblStylePr>
    <w:tblStylePr w:type="band1Horz">
      <w:tblPr/>
      <w:tcPr>
        <w:shd w:val="clear" w:color="auto" w:fill="E5E5E7" w:themeFill="accent5" w:themeFillTint="33"/>
      </w:tcPr>
    </w:tblStylePr>
  </w:style>
  <w:style w:type="table" w:styleId="ColorfulList-Accent6">
    <w:name w:val="Colorful List Accent 6"/>
    <w:basedOn w:val="TableNormal"/>
    <w:uiPriority w:val="72"/>
    <w:semiHidden/>
    <w:rsid w:val="00294A5A"/>
    <w:pPr>
      <w:spacing w:before="0" w:after="0" w:line="240" w:lineRule="auto"/>
    </w:pPr>
    <w:rPr>
      <w:color w:val="000000" w:themeColor="text1"/>
    </w:rPr>
    <w:tblPr>
      <w:tblStyleRowBandSize w:val="1"/>
      <w:tblStyleColBandSize w:val="1"/>
    </w:tblPr>
    <w:tcPr>
      <w:shd w:val="clear" w:color="auto" w:fill="F9F9FA" w:themeFill="accent6" w:themeFillTint="19"/>
    </w:tcPr>
    <w:tblStylePr w:type="firstRow">
      <w:rPr>
        <w:b/>
        <w:bCs/>
        <w:color w:val="FFFFFF" w:themeColor="background1"/>
      </w:rPr>
      <w:tblPr/>
      <w:tcPr>
        <w:tcBorders>
          <w:bottom w:val="single" w:sz="12" w:space="0" w:color="FFFFFF" w:themeColor="background1"/>
        </w:tcBorders>
        <w:shd w:val="clear" w:color="auto" w:fill="66666F" w:themeFill="accent5" w:themeFillShade="CC"/>
      </w:tcPr>
    </w:tblStylePr>
    <w:tblStylePr w:type="lastRow">
      <w:rPr>
        <w:b/>
        <w:bCs/>
        <w:color w:val="66666F"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F2F3" w:themeFill="accent6" w:themeFillTint="3F"/>
      </w:tcPr>
    </w:tblStylePr>
    <w:tblStylePr w:type="band1Horz">
      <w:tblPr/>
      <w:tcPr>
        <w:shd w:val="clear" w:color="auto" w:fill="F4F4F5" w:themeFill="accent6" w:themeFillTint="33"/>
      </w:tcPr>
    </w:tblStylePr>
  </w:style>
  <w:style w:type="table" w:styleId="ColorfulShading">
    <w:name w:val="Colorful Shading"/>
    <w:basedOn w:val="TableNormal"/>
    <w:uiPriority w:val="71"/>
    <w:semiHidden/>
    <w:rsid w:val="00294A5A"/>
    <w:pPr>
      <w:spacing w:before="0" w:after="0" w:line="240" w:lineRule="auto"/>
    </w:pPr>
    <w:rPr>
      <w:color w:val="000000" w:themeColor="text1"/>
    </w:rPr>
    <w:tblPr>
      <w:tblStyleRowBandSize w:val="1"/>
      <w:tblStyleColBandSize w:val="1"/>
      <w:tblBorders>
        <w:top w:val="single" w:sz="24" w:space="0" w:color="80BAC3"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80BAC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rsid w:val="00294A5A"/>
    <w:pPr>
      <w:spacing w:before="0" w:after="0" w:line="240" w:lineRule="auto"/>
    </w:pPr>
    <w:rPr>
      <w:color w:val="000000" w:themeColor="text1"/>
    </w:rPr>
    <w:tblPr>
      <w:tblStyleRowBandSize w:val="1"/>
      <w:tblStyleColBandSize w:val="1"/>
      <w:tblBorders>
        <w:top w:val="single" w:sz="24" w:space="0" w:color="80BAC3" w:themeColor="accent2"/>
        <w:left w:val="single" w:sz="4" w:space="0" w:color="4098A4" w:themeColor="accent1"/>
        <w:bottom w:val="single" w:sz="4" w:space="0" w:color="4098A4" w:themeColor="accent1"/>
        <w:right w:val="single" w:sz="4" w:space="0" w:color="4098A4" w:themeColor="accent1"/>
        <w:insideH w:val="single" w:sz="4" w:space="0" w:color="FFFFFF" w:themeColor="background1"/>
        <w:insideV w:val="single" w:sz="4" w:space="0" w:color="FFFFFF" w:themeColor="background1"/>
      </w:tblBorders>
    </w:tblPr>
    <w:tcPr>
      <w:shd w:val="clear" w:color="auto" w:fill="EBF5F7" w:themeFill="accent1" w:themeFillTint="19"/>
    </w:tcPr>
    <w:tblStylePr w:type="firstRow">
      <w:rPr>
        <w:b/>
        <w:bCs/>
      </w:rPr>
      <w:tblPr/>
      <w:tcPr>
        <w:tcBorders>
          <w:top w:val="nil"/>
          <w:left w:val="nil"/>
          <w:bottom w:val="single" w:sz="24" w:space="0" w:color="80BAC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5A62" w:themeFill="accent1" w:themeFillShade="99"/>
      </w:tcPr>
    </w:tblStylePr>
    <w:tblStylePr w:type="firstCol">
      <w:rPr>
        <w:color w:val="FFFFFF" w:themeColor="background1"/>
      </w:rPr>
      <w:tblPr/>
      <w:tcPr>
        <w:tcBorders>
          <w:top w:val="nil"/>
          <w:left w:val="nil"/>
          <w:bottom w:val="nil"/>
          <w:right w:val="nil"/>
          <w:insideH w:val="single" w:sz="4" w:space="0" w:color="265A62" w:themeColor="accent1" w:themeShade="99"/>
          <w:insideV w:val="nil"/>
        </w:tcBorders>
        <w:shd w:val="clear" w:color="auto" w:fill="265A62"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65A62" w:themeFill="accent1" w:themeFillShade="99"/>
      </w:tcPr>
    </w:tblStylePr>
    <w:tblStylePr w:type="band1Vert">
      <w:tblPr/>
      <w:tcPr>
        <w:shd w:val="clear" w:color="auto" w:fill="ADD9DF" w:themeFill="accent1" w:themeFillTint="66"/>
      </w:tcPr>
    </w:tblStylePr>
    <w:tblStylePr w:type="band1Horz">
      <w:tblPr/>
      <w:tcPr>
        <w:shd w:val="clear" w:color="auto" w:fill="99D0D7"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rsid w:val="00294A5A"/>
    <w:pPr>
      <w:spacing w:before="0" w:after="0" w:line="240" w:lineRule="auto"/>
    </w:pPr>
    <w:rPr>
      <w:color w:val="000000" w:themeColor="text1"/>
    </w:rPr>
    <w:tblPr>
      <w:tblStyleRowBandSize w:val="1"/>
      <w:tblStyleColBandSize w:val="1"/>
      <w:tblBorders>
        <w:top w:val="single" w:sz="24" w:space="0" w:color="80BAC3" w:themeColor="accent2"/>
        <w:left w:val="single" w:sz="4" w:space="0" w:color="80BAC3" w:themeColor="accent2"/>
        <w:bottom w:val="single" w:sz="4" w:space="0" w:color="80BAC3" w:themeColor="accent2"/>
        <w:right w:val="single" w:sz="4" w:space="0" w:color="80BAC3" w:themeColor="accent2"/>
        <w:insideH w:val="single" w:sz="4" w:space="0" w:color="FFFFFF" w:themeColor="background1"/>
        <w:insideV w:val="single" w:sz="4" w:space="0" w:color="FFFFFF" w:themeColor="background1"/>
      </w:tblBorders>
    </w:tblPr>
    <w:tcPr>
      <w:shd w:val="clear" w:color="auto" w:fill="F2F8F9" w:themeFill="accent2" w:themeFillTint="19"/>
    </w:tcPr>
    <w:tblStylePr w:type="firstRow">
      <w:rPr>
        <w:b/>
        <w:bCs/>
      </w:rPr>
      <w:tblPr/>
      <w:tcPr>
        <w:tcBorders>
          <w:top w:val="nil"/>
          <w:left w:val="nil"/>
          <w:bottom w:val="single" w:sz="24" w:space="0" w:color="80BAC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E7983" w:themeFill="accent2" w:themeFillShade="99"/>
      </w:tcPr>
    </w:tblStylePr>
    <w:tblStylePr w:type="firstCol">
      <w:rPr>
        <w:color w:val="FFFFFF" w:themeColor="background1"/>
      </w:rPr>
      <w:tblPr/>
      <w:tcPr>
        <w:tcBorders>
          <w:top w:val="nil"/>
          <w:left w:val="nil"/>
          <w:bottom w:val="nil"/>
          <w:right w:val="nil"/>
          <w:insideH w:val="single" w:sz="4" w:space="0" w:color="3E7983" w:themeColor="accent2" w:themeShade="99"/>
          <w:insideV w:val="nil"/>
        </w:tcBorders>
        <w:shd w:val="clear" w:color="auto" w:fill="3E7983"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3E7983" w:themeFill="accent2" w:themeFillShade="99"/>
      </w:tcPr>
    </w:tblStylePr>
    <w:tblStylePr w:type="band1Vert">
      <w:tblPr/>
      <w:tcPr>
        <w:shd w:val="clear" w:color="auto" w:fill="CCE3E7" w:themeFill="accent2" w:themeFillTint="66"/>
      </w:tcPr>
    </w:tblStylePr>
    <w:tblStylePr w:type="band1Horz">
      <w:tblPr/>
      <w:tcPr>
        <w:shd w:val="clear" w:color="auto" w:fill="BFDCE1"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rsid w:val="00294A5A"/>
    <w:pPr>
      <w:spacing w:before="0" w:after="0" w:line="240" w:lineRule="auto"/>
    </w:pPr>
    <w:rPr>
      <w:color w:val="000000" w:themeColor="text1"/>
    </w:rPr>
    <w:tblPr>
      <w:tblStyleRowBandSize w:val="1"/>
      <w:tblStyleColBandSize w:val="1"/>
      <w:tblBorders>
        <w:top w:val="single" w:sz="24" w:space="0" w:color="404050" w:themeColor="accent4"/>
        <w:left w:val="single" w:sz="4" w:space="0" w:color="BFDDE1" w:themeColor="accent3"/>
        <w:bottom w:val="single" w:sz="4" w:space="0" w:color="BFDDE1" w:themeColor="accent3"/>
        <w:right w:val="single" w:sz="4" w:space="0" w:color="BFDDE1" w:themeColor="accent3"/>
        <w:insideH w:val="single" w:sz="4" w:space="0" w:color="FFFFFF" w:themeColor="background1"/>
        <w:insideV w:val="single" w:sz="4" w:space="0" w:color="FFFFFF" w:themeColor="background1"/>
      </w:tblBorders>
    </w:tblPr>
    <w:tcPr>
      <w:shd w:val="clear" w:color="auto" w:fill="F8FBFC" w:themeFill="accent3" w:themeFillTint="19"/>
    </w:tcPr>
    <w:tblStylePr w:type="firstRow">
      <w:rPr>
        <w:b/>
        <w:bCs/>
      </w:rPr>
      <w:tblPr/>
      <w:tcPr>
        <w:tcBorders>
          <w:top w:val="nil"/>
          <w:left w:val="nil"/>
          <w:bottom w:val="single" w:sz="24" w:space="0" w:color="40405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F9FA9" w:themeFill="accent3" w:themeFillShade="99"/>
      </w:tcPr>
    </w:tblStylePr>
    <w:tblStylePr w:type="firstCol">
      <w:rPr>
        <w:color w:val="FFFFFF" w:themeColor="background1"/>
      </w:rPr>
      <w:tblPr/>
      <w:tcPr>
        <w:tcBorders>
          <w:top w:val="nil"/>
          <w:left w:val="nil"/>
          <w:bottom w:val="nil"/>
          <w:right w:val="nil"/>
          <w:insideH w:val="single" w:sz="4" w:space="0" w:color="4F9FA9" w:themeColor="accent3" w:themeShade="99"/>
          <w:insideV w:val="nil"/>
        </w:tcBorders>
        <w:shd w:val="clear" w:color="auto" w:fill="4F9FA9"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4F9FA9" w:themeFill="accent3" w:themeFillShade="99"/>
      </w:tcPr>
    </w:tblStylePr>
    <w:tblStylePr w:type="band1Vert">
      <w:tblPr/>
      <w:tcPr>
        <w:shd w:val="clear" w:color="auto" w:fill="E5F1F3" w:themeFill="accent3" w:themeFillTint="66"/>
      </w:tcPr>
    </w:tblStylePr>
    <w:tblStylePr w:type="band1Horz">
      <w:tblPr/>
      <w:tcPr>
        <w:shd w:val="clear" w:color="auto" w:fill="DFEEF0" w:themeFill="accent3" w:themeFillTint="7F"/>
      </w:tcPr>
    </w:tblStylePr>
  </w:style>
  <w:style w:type="table" w:styleId="ColorfulShading-Accent4">
    <w:name w:val="Colorful Shading Accent 4"/>
    <w:basedOn w:val="TableNormal"/>
    <w:uiPriority w:val="71"/>
    <w:semiHidden/>
    <w:rsid w:val="00294A5A"/>
    <w:pPr>
      <w:spacing w:before="0" w:after="0" w:line="240" w:lineRule="auto"/>
    </w:pPr>
    <w:rPr>
      <w:color w:val="000000" w:themeColor="text1"/>
    </w:rPr>
    <w:tblPr>
      <w:tblStyleRowBandSize w:val="1"/>
      <w:tblStyleColBandSize w:val="1"/>
      <w:tblBorders>
        <w:top w:val="single" w:sz="24" w:space="0" w:color="BFDDE1" w:themeColor="accent3"/>
        <w:left w:val="single" w:sz="4" w:space="0" w:color="404050" w:themeColor="accent4"/>
        <w:bottom w:val="single" w:sz="4" w:space="0" w:color="404050" w:themeColor="accent4"/>
        <w:right w:val="single" w:sz="4" w:space="0" w:color="404050" w:themeColor="accent4"/>
        <w:insideH w:val="single" w:sz="4" w:space="0" w:color="FFFFFF" w:themeColor="background1"/>
        <w:insideV w:val="single" w:sz="4" w:space="0" w:color="FFFFFF" w:themeColor="background1"/>
      </w:tblBorders>
    </w:tblPr>
    <w:tcPr>
      <w:shd w:val="clear" w:color="auto" w:fill="EBEBEF" w:themeFill="accent4" w:themeFillTint="19"/>
    </w:tcPr>
    <w:tblStylePr w:type="firstRow">
      <w:rPr>
        <w:b/>
        <w:bCs/>
      </w:rPr>
      <w:tblPr/>
      <w:tcPr>
        <w:tcBorders>
          <w:top w:val="nil"/>
          <w:left w:val="nil"/>
          <w:bottom w:val="single" w:sz="24" w:space="0" w:color="BFDDE1"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262F" w:themeFill="accent4" w:themeFillShade="99"/>
      </w:tcPr>
    </w:tblStylePr>
    <w:tblStylePr w:type="firstCol">
      <w:rPr>
        <w:color w:val="FFFFFF" w:themeColor="background1"/>
      </w:rPr>
      <w:tblPr/>
      <w:tcPr>
        <w:tcBorders>
          <w:top w:val="nil"/>
          <w:left w:val="nil"/>
          <w:bottom w:val="nil"/>
          <w:right w:val="nil"/>
          <w:insideH w:val="single" w:sz="4" w:space="0" w:color="26262F" w:themeColor="accent4" w:themeShade="99"/>
          <w:insideV w:val="nil"/>
        </w:tcBorders>
        <w:shd w:val="clear" w:color="auto" w:fill="26262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26262F" w:themeFill="accent4" w:themeFillShade="99"/>
      </w:tcPr>
    </w:tblStylePr>
    <w:tblStylePr w:type="band1Vert">
      <w:tblPr/>
      <w:tcPr>
        <w:shd w:val="clear" w:color="auto" w:fill="ADADBD" w:themeFill="accent4" w:themeFillTint="66"/>
      </w:tcPr>
    </w:tblStylePr>
    <w:tblStylePr w:type="band1Horz">
      <w:tblPr/>
      <w:tcPr>
        <w:shd w:val="clear" w:color="auto" w:fill="9999AE"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rsid w:val="00294A5A"/>
    <w:pPr>
      <w:spacing w:before="0" w:after="0" w:line="240" w:lineRule="auto"/>
    </w:pPr>
    <w:rPr>
      <w:color w:val="000000" w:themeColor="text1"/>
    </w:rPr>
    <w:tblPr>
      <w:tblStyleRowBandSize w:val="1"/>
      <w:tblStyleColBandSize w:val="1"/>
      <w:tblBorders>
        <w:top w:val="single" w:sz="24" w:space="0" w:color="CCCCD0" w:themeColor="accent6"/>
        <w:left w:val="single" w:sz="4" w:space="0" w:color="80808B" w:themeColor="accent5"/>
        <w:bottom w:val="single" w:sz="4" w:space="0" w:color="80808B" w:themeColor="accent5"/>
        <w:right w:val="single" w:sz="4" w:space="0" w:color="80808B" w:themeColor="accent5"/>
        <w:insideH w:val="single" w:sz="4" w:space="0" w:color="FFFFFF" w:themeColor="background1"/>
        <w:insideV w:val="single" w:sz="4" w:space="0" w:color="FFFFFF" w:themeColor="background1"/>
      </w:tblBorders>
    </w:tblPr>
    <w:tcPr>
      <w:shd w:val="clear" w:color="auto" w:fill="F2F2F3" w:themeFill="accent5" w:themeFillTint="19"/>
    </w:tcPr>
    <w:tblStylePr w:type="firstRow">
      <w:rPr>
        <w:b/>
        <w:bCs/>
      </w:rPr>
      <w:tblPr/>
      <w:tcPr>
        <w:tcBorders>
          <w:top w:val="nil"/>
          <w:left w:val="nil"/>
          <w:bottom w:val="single" w:sz="24" w:space="0" w:color="CCCCD0"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53" w:themeFill="accent5" w:themeFillShade="99"/>
      </w:tcPr>
    </w:tblStylePr>
    <w:tblStylePr w:type="firstCol">
      <w:rPr>
        <w:color w:val="FFFFFF" w:themeColor="background1"/>
      </w:rPr>
      <w:tblPr/>
      <w:tcPr>
        <w:tcBorders>
          <w:top w:val="nil"/>
          <w:left w:val="nil"/>
          <w:bottom w:val="nil"/>
          <w:right w:val="nil"/>
          <w:insideH w:val="single" w:sz="4" w:space="0" w:color="4C4C53" w:themeColor="accent5" w:themeShade="99"/>
          <w:insideV w:val="nil"/>
        </w:tcBorders>
        <w:shd w:val="clear" w:color="auto" w:fill="4C4C53"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4C4C53" w:themeFill="accent5" w:themeFillShade="99"/>
      </w:tcPr>
    </w:tblStylePr>
    <w:tblStylePr w:type="band1Vert">
      <w:tblPr/>
      <w:tcPr>
        <w:shd w:val="clear" w:color="auto" w:fill="CCCCD0" w:themeFill="accent5" w:themeFillTint="66"/>
      </w:tcPr>
    </w:tblStylePr>
    <w:tblStylePr w:type="band1Horz">
      <w:tblPr/>
      <w:tcPr>
        <w:shd w:val="clear" w:color="auto" w:fill="BFBFC5"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rsid w:val="00294A5A"/>
    <w:pPr>
      <w:spacing w:before="0" w:after="0" w:line="240" w:lineRule="auto"/>
    </w:pPr>
    <w:rPr>
      <w:color w:val="000000" w:themeColor="text1"/>
    </w:rPr>
    <w:tblPr>
      <w:tblStyleRowBandSize w:val="1"/>
      <w:tblStyleColBandSize w:val="1"/>
      <w:tblBorders>
        <w:top w:val="single" w:sz="24" w:space="0" w:color="80808B" w:themeColor="accent5"/>
        <w:left w:val="single" w:sz="4" w:space="0" w:color="CCCCD0" w:themeColor="accent6"/>
        <w:bottom w:val="single" w:sz="4" w:space="0" w:color="CCCCD0" w:themeColor="accent6"/>
        <w:right w:val="single" w:sz="4" w:space="0" w:color="CCCCD0" w:themeColor="accent6"/>
        <w:insideH w:val="single" w:sz="4" w:space="0" w:color="FFFFFF" w:themeColor="background1"/>
        <w:insideV w:val="single" w:sz="4" w:space="0" w:color="FFFFFF" w:themeColor="background1"/>
      </w:tblBorders>
    </w:tblPr>
    <w:tcPr>
      <w:shd w:val="clear" w:color="auto" w:fill="F9F9FA" w:themeFill="accent6" w:themeFillTint="19"/>
    </w:tcPr>
    <w:tblStylePr w:type="firstRow">
      <w:rPr>
        <w:b/>
        <w:bCs/>
      </w:rPr>
      <w:tblPr/>
      <w:tcPr>
        <w:tcBorders>
          <w:top w:val="nil"/>
          <w:left w:val="nil"/>
          <w:bottom w:val="single" w:sz="24" w:space="0" w:color="80808B"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67680" w:themeFill="accent6" w:themeFillShade="99"/>
      </w:tcPr>
    </w:tblStylePr>
    <w:tblStylePr w:type="firstCol">
      <w:rPr>
        <w:color w:val="FFFFFF" w:themeColor="background1"/>
      </w:rPr>
      <w:tblPr/>
      <w:tcPr>
        <w:tcBorders>
          <w:top w:val="nil"/>
          <w:left w:val="nil"/>
          <w:bottom w:val="nil"/>
          <w:right w:val="nil"/>
          <w:insideH w:val="single" w:sz="4" w:space="0" w:color="767680" w:themeColor="accent6" w:themeShade="99"/>
          <w:insideV w:val="nil"/>
        </w:tcBorders>
        <w:shd w:val="clear" w:color="auto" w:fill="76768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767680" w:themeFill="accent6" w:themeFillShade="99"/>
      </w:tcPr>
    </w:tblStylePr>
    <w:tblStylePr w:type="band1Vert">
      <w:tblPr/>
      <w:tcPr>
        <w:shd w:val="clear" w:color="auto" w:fill="EAEAEC" w:themeFill="accent6" w:themeFillTint="66"/>
      </w:tcPr>
    </w:tblStylePr>
    <w:tblStylePr w:type="band1Horz">
      <w:tblPr/>
      <w:tcPr>
        <w:shd w:val="clear" w:color="auto" w:fill="E5E5E7"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rsid w:val="00294A5A"/>
    <w:pPr>
      <w:spacing w:before="0"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rsid w:val="00294A5A"/>
    <w:pPr>
      <w:spacing w:before="0" w:after="0" w:line="240" w:lineRule="auto"/>
    </w:pPr>
    <w:rPr>
      <w:color w:val="FFFFFF" w:themeColor="background1"/>
    </w:rPr>
    <w:tblPr>
      <w:tblStyleRowBandSize w:val="1"/>
      <w:tblStyleColBandSize w:val="1"/>
    </w:tblPr>
    <w:tcPr>
      <w:shd w:val="clear" w:color="auto" w:fill="4098A4"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B51"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0717A"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0717A" w:themeFill="accent1" w:themeFillShade="BF"/>
      </w:tcPr>
    </w:tblStylePr>
    <w:tblStylePr w:type="band1Vert">
      <w:tblPr/>
      <w:tcPr>
        <w:tcBorders>
          <w:top w:val="nil"/>
          <w:left w:val="nil"/>
          <w:bottom w:val="nil"/>
          <w:right w:val="nil"/>
          <w:insideH w:val="nil"/>
          <w:insideV w:val="nil"/>
        </w:tcBorders>
        <w:shd w:val="clear" w:color="auto" w:fill="30717A" w:themeFill="accent1" w:themeFillShade="BF"/>
      </w:tcPr>
    </w:tblStylePr>
    <w:tblStylePr w:type="band1Horz">
      <w:tblPr/>
      <w:tcPr>
        <w:tcBorders>
          <w:top w:val="nil"/>
          <w:left w:val="nil"/>
          <w:bottom w:val="nil"/>
          <w:right w:val="nil"/>
          <w:insideH w:val="nil"/>
          <w:insideV w:val="nil"/>
        </w:tcBorders>
        <w:shd w:val="clear" w:color="auto" w:fill="30717A" w:themeFill="accent1" w:themeFillShade="BF"/>
      </w:tcPr>
    </w:tblStylePr>
  </w:style>
  <w:style w:type="table" w:styleId="DarkList-Accent2">
    <w:name w:val="Dark List Accent 2"/>
    <w:basedOn w:val="TableNormal"/>
    <w:uiPriority w:val="70"/>
    <w:semiHidden/>
    <w:rsid w:val="00294A5A"/>
    <w:pPr>
      <w:spacing w:before="0" w:after="0" w:line="240" w:lineRule="auto"/>
    </w:pPr>
    <w:rPr>
      <w:color w:val="FFFFFF" w:themeColor="background1"/>
    </w:rPr>
    <w:tblPr>
      <w:tblStyleRowBandSize w:val="1"/>
      <w:tblStyleColBandSize w:val="1"/>
    </w:tblPr>
    <w:tcPr>
      <w:shd w:val="clear" w:color="auto" w:fill="80BAC3"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3656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4D98A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4D98A4" w:themeFill="accent2" w:themeFillShade="BF"/>
      </w:tcPr>
    </w:tblStylePr>
    <w:tblStylePr w:type="band1Vert">
      <w:tblPr/>
      <w:tcPr>
        <w:tcBorders>
          <w:top w:val="nil"/>
          <w:left w:val="nil"/>
          <w:bottom w:val="nil"/>
          <w:right w:val="nil"/>
          <w:insideH w:val="nil"/>
          <w:insideV w:val="nil"/>
        </w:tcBorders>
        <w:shd w:val="clear" w:color="auto" w:fill="4D98A4" w:themeFill="accent2" w:themeFillShade="BF"/>
      </w:tcPr>
    </w:tblStylePr>
    <w:tblStylePr w:type="band1Horz">
      <w:tblPr/>
      <w:tcPr>
        <w:tcBorders>
          <w:top w:val="nil"/>
          <w:left w:val="nil"/>
          <w:bottom w:val="nil"/>
          <w:right w:val="nil"/>
          <w:insideH w:val="nil"/>
          <w:insideV w:val="nil"/>
        </w:tcBorders>
        <w:shd w:val="clear" w:color="auto" w:fill="4D98A4" w:themeFill="accent2" w:themeFillShade="BF"/>
      </w:tcPr>
    </w:tblStylePr>
  </w:style>
  <w:style w:type="table" w:styleId="DarkList-Accent3">
    <w:name w:val="Dark List Accent 3"/>
    <w:basedOn w:val="TableNormal"/>
    <w:uiPriority w:val="70"/>
    <w:semiHidden/>
    <w:rsid w:val="00294A5A"/>
    <w:pPr>
      <w:spacing w:before="0" w:after="0" w:line="240" w:lineRule="auto"/>
    </w:pPr>
    <w:rPr>
      <w:color w:val="FFFFFF" w:themeColor="background1"/>
    </w:rPr>
    <w:tblPr>
      <w:tblStyleRowBandSize w:val="1"/>
      <w:tblStyleColBandSize w:val="1"/>
    </w:tblPr>
    <w:tcPr>
      <w:shd w:val="clear" w:color="auto" w:fill="BFDDE1"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2848C"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7B7B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7B7BF" w:themeFill="accent3" w:themeFillShade="BF"/>
      </w:tcPr>
    </w:tblStylePr>
    <w:tblStylePr w:type="band1Vert">
      <w:tblPr/>
      <w:tcPr>
        <w:tcBorders>
          <w:top w:val="nil"/>
          <w:left w:val="nil"/>
          <w:bottom w:val="nil"/>
          <w:right w:val="nil"/>
          <w:insideH w:val="nil"/>
          <w:insideV w:val="nil"/>
        </w:tcBorders>
        <w:shd w:val="clear" w:color="auto" w:fill="77B7BF" w:themeFill="accent3" w:themeFillShade="BF"/>
      </w:tcPr>
    </w:tblStylePr>
    <w:tblStylePr w:type="band1Horz">
      <w:tblPr/>
      <w:tcPr>
        <w:tcBorders>
          <w:top w:val="nil"/>
          <w:left w:val="nil"/>
          <w:bottom w:val="nil"/>
          <w:right w:val="nil"/>
          <w:insideH w:val="nil"/>
          <w:insideV w:val="nil"/>
        </w:tcBorders>
        <w:shd w:val="clear" w:color="auto" w:fill="77B7BF" w:themeFill="accent3" w:themeFillShade="BF"/>
      </w:tcPr>
    </w:tblStylePr>
  </w:style>
  <w:style w:type="table" w:styleId="DarkList-Accent4">
    <w:name w:val="Dark List Accent 4"/>
    <w:basedOn w:val="TableNormal"/>
    <w:uiPriority w:val="70"/>
    <w:semiHidden/>
    <w:rsid w:val="00294A5A"/>
    <w:pPr>
      <w:spacing w:before="0" w:after="0" w:line="240" w:lineRule="auto"/>
    </w:pPr>
    <w:rPr>
      <w:color w:val="FFFFFF" w:themeColor="background1"/>
    </w:rPr>
    <w:tblPr>
      <w:tblStyleRowBandSize w:val="1"/>
      <w:tblStyleColBandSize w:val="1"/>
    </w:tblPr>
    <w:tcPr>
      <w:shd w:val="clear" w:color="auto" w:fill="40405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2027"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30303B"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30303B" w:themeFill="accent4" w:themeFillShade="BF"/>
      </w:tcPr>
    </w:tblStylePr>
    <w:tblStylePr w:type="band1Vert">
      <w:tblPr/>
      <w:tcPr>
        <w:tcBorders>
          <w:top w:val="nil"/>
          <w:left w:val="nil"/>
          <w:bottom w:val="nil"/>
          <w:right w:val="nil"/>
          <w:insideH w:val="nil"/>
          <w:insideV w:val="nil"/>
        </w:tcBorders>
        <w:shd w:val="clear" w:color="auto" w:fill="30303B" w:themeFill="accent4" w:themeFillShade="BF"/>
      </w:tcPr>
    </w:tblStylePr>
    <w:tblStylePr w:type="band1Horz">
      <w:tblPr/>
      <w:tcPr>
        <w:tcBorders>
          <w:top w:val="nil"/>
          <w:left w:val="nil"/>
          <w:bottom w:val="nil"/>
          <w:right w:val="nil"/>
          <w:insideH w:val="nil"/>
          <w:insideV w:val="nil"/>
        </w:tcBorders>
        <w:shd w:val="clear" w:color="auto" w:fill="30303B" w:themeFill="accent4" w:themeFillShade="BF"/>
      </w:tcPr>
    </w:tblStylePr>
  </w:style>
  <w:style w:type="table" w:styleId="DarkList-Accent5">
    <w:name w:val="Dark List Accent 5"/>
    <w:basedOn w:val="TableNormal"/>
    <w:uiPriority w:val="70"/>
    <w:semiHidden/>
    <w:rsid w:val="00294A5A"/>
    <w:pPr>
      <w:spacing w:before="0" w:after="0" w:line="240" w:lineRule="auto"/>
    </w:pPr>
    <w:rPr>
      <w:color w:val="FFFFFF" w:themeColor="background1"/>
    </w:rPr>
    <w:tblPr>
      <w:tblStyleRowBandSize w:val="1"/>
      <w:tblStyleColBandSize w:val="1"/>
    </w:tblPr>
    <w:tcPr>
      <w:shd w:val="clear" w:color="auto" w:fill="80808B"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45"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5F5F68"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5F5F68" w:themeFill="accent5" w:themeFillShade="BF"/>
      </w:tcPr>
    </w:tblStylePr>
    <w:tblStylePr w:type="band1Vert">
      <w:tblPr/>
      <w:tcPr>
        <w:tcBorders>
          <w:top w:val="nil"/>
          <w:left w:val="nil"/>
          <w:bottom w:val="nil"/>
          <w:right w:val="nil"/>
          <w:insideH w:val="nil"/>
          <w:insideV w:val="nil"/>
        </w:tcBorders>
        <w:shd w:val="clear" w:color="auto" w:fill="5F5F68" w:themeFill="accent5" w:themeFillShade="BF"/>
      </w:tcPr>
    </w:tblStylePr>
    <w:tblStylePr w:type="band1Horz">
      <w:tblPr/>
      <w:tcPr>
        <w:tcBorders>
          <w:top w:val="nil"/>
          <w:left w:val="nil"/>
          <w:bottom w:val="nil"/>
          <w:right w:val="nil"/>
          <w:insideH w:val="nil"/>
          <w:insideV w:val="nil"/>
        </w:tcBorders>
        <w:shd w:val="clear" w:color="auto" w:fill="5F5F68" w:themeFill="accent5" w:themeFillShade="BF"/>
      </w:tcPr>
    </w:tblStylePr>
  </w:style>
  <w:style w:type="table" w:styleId="DarkList-Accent6">
    <w:name w:val="Dark List Accent 6"/>
    <w:basedOn w:val="TableNormal"/>
    <w:uiPriority w:val="70"/>
    <w:semiHidden/>
    <w:rsid w:val="00294A5A"/>
    <w:pPr>
      <w:spacing w:before="0" w:after="0" w:line="240" w:lineRule="auto"/>
    </w:pPr>
    <w:rPr>
      <w:color w:val="FFFFFF" w:themeColor="background1"/>
    </w:rPr>
    <w:tblPr>
      <w:tblStyleRowBandSize w:val="1"/>
      <w:tblStyleColBandSize w:val="1"/>
    </w:tblPr>
    <w:tcPr>
      <w:shd w:val="clear" w:color="auto" w:fill="CCCCD0"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626A"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96969E"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96969E" w:themeFill="accent6" w:themeFillShade="BF"/>
      </w:tcPr>
    </w:tblStylePr>
    <w:tblStylePr w:type="band1Vert">
      <w:tblPr/>
      <w:tcPr>
        <w:tcBorders>
          <w:top w:val="nil"/>
          <w:left w:val="nil"/>
          <w:bottom w:val="nil"/>
          <w:right w:val="nil"/>
          <w:insideH w:val="nil"/>
          <w:insideV w:val="nil"/>
        </w:tcBorders>
        <w:shd w:val="clear" w:color="auto" w:fill="96969E" w:themeFill="accent6" w:themeFillShade="BF"/>
      </w:tcPr>
    </w:tblStylePr>
    <w:tblStylePr w:type="band1Horz">
      <w:tblPr/>
      <w:tcPr>
        <w:tcBorders>
          <w:top w:val="nil"/>
          <w:left w:val="nil"/>
          <w:bottom w:val="nil"/>
          <w:right w:val="nil"/>
          <w:insideH w:val="nil"/>
          <w:insideV w:val="nil"/>
        </w:tcBorders>
        <w:shd w:val="clear" w:color="auto" w:fill="96969E" w:themeFill="accent6" w:themeFillShade="BF"/>
      </w:tcPr>
    </w:tblStylePr>
  </w:style>
  <w:style w:type="table" w:styleId="GridTable1Light">
    <w:name w:val="Grid Table 1 Light"/>
    <w:basedOn w:val="TableNormal"/>
    <w:uiPriority w:val="46"/>
    <w:semiHidden/>
    <w:rsid w:val="00294A5A"/>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294A5A"/>
    <w:pPr>
      <w:spacing w:after="0" w:line="240" w:lineRule="auto"/>
    </w:pPr>
    <w:tblPr>
      <w:tblStyleRowBandSize w:val="1"/>
      <w:tblStyleColBandSize w:val="1"/>
      <w:tblBorders>
        <w:top w:val="single" w:sz="4" w:space="0" w:color="ADD9DF" w:themeColor="accent1" w:themeTint="66"/>
        <w:left w:val="single" w:sz="4" w:space="0" w:color="ADD9DF" w:themeColor="accent1" w:themeTint="66"/>
        <w:bottom w:val="single" w:sz="4" w:space="0" w:color="ADD9DF" w:themeColor="accent1" w:themeTint="66"/>
        <w:right w:val="single" w:sz="4" w:space="0" w:color="ADD9DF" w:themeColor="accent1" w:themeTint="66"/>
        <w:insideH w:val="single" w:sz="4" w:space="0" w:color="ADD9DF" w:themeColor="accent1" w:themeTint="66"/>
        <w:insideV w:val="single" w:sz="4" w:space="0" w:color="ADD9DF" w:themeColor="accent1" w:themeTint="66"/>
      </w:tblBorders>
    </w:tblPr>
    <w:tblStylePr w:type="firstRow">
      <w:rPr>
        <w:b/>
        <w:bCs/>
      </w:rPr>
      <w:tblPr/>
      <w:tcPr>
        <w:tcBorders>
          <w:bottom w:val="single" w:sz="12" w:space="0" w:color="85C6CF" w:themeColor="accent1" w:themeTint="99"/>
        </w:tcBorders>
      </w:tcPr>
    </w:tblStylePr>
    <w:tblStylePr w:type="lastRow">
      <w:rPr>
        <w:b/>
        <w:bCs/>
      </w:rPr>
      <w:tblPr/>
      <w:tcPr>
        <w:tcBorders>
          <w:top w:val="double" w:sz="2" w:space="0" w:color="85C6CF"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294A5A"/>
    <w:pPr>
      <w:spacing w:after="0" w:line="240" w:lineRule="auto"/>
    </w:pPr>
    <w:tblPr>
      <w:tblStyleRowBandSize w:val="1"/>
      <w:tblStyleColBandSize w:val="1"/>
      <w:tblBorders>
        <w:top w:val="single" w:sz="4" w:space="0" w:color="CCE3E7" w:themeColor="accent2" w:themeTint="66"/>
        <w:left w:val="single" w:sz="4" w:space="0" w:color="CCE3E7" w:themeColor="accent2" w:themeTint="66"/>
        <w:bottom w:val="single" w:sz="4" w:space="0" w:color="CCE3E7" w:themeColor="accent2" w:themeTint="66"/>
        <w:right w:val="single" w:sz="4" w:space="0" w:color="CCE3E7" w:themeColor="accent2" w:themeTint="66"/>
        <w:insideH w:val="single" w:sz="4" w:space="0" w:color="CCE3E7" w:themeColor="accent2" w:themeTint="66"/>
        <w:insideV w:val="single" w:sz="4" w:space="0" w:color="CCE3E7" w:themeColor="accent2" w:themeTint="66"/>
      </w:tblBorders>
    </w:tblPr>
    <w:tblStylePr w:type="firstRow">
      <w:rPr>
        <w:b/>
        <w:bCs/>
      </w:rPr>
      <w:tblPr/>
      <w:tcPr>
        <w:tcBorders>
          <w:bottom w:val="single" w:sz="12" w:space="0" w:color="B2D5DB" w:themeColor="accent2" w:themeTint="99"/>
        </w:tcBorders>
      </w:tcPr>
    </w:tblStylePr>
    <w:tblStylePr w:type="lastRow">
      <w:rPr>
        <w:b/>
        <w:bCs/>
      </w:rPr>
      <w:tblPr/>
      <w:tcPr>
        <w:tcBorders>
          <w:top w:val="double" w:sz="2" w:space="0" w:color="B2D5DB"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294A5A"/>
    <w:pPr>
      <w:spacing w:after="0" w:line="240" w:lineRule="auto"/>
    </w:pPr>
    <w:tblPr>
      <w:tblStyleRowBandSize w:val="1"/>
      <w:tblStyleColBandSize w:val="1"/>
      <w:tblBorders>
        <w:top w:val="single" w:sz="4" w:space="0" w:color="E5F1F3" w:themeColor="accent3" w:themeTint="66"/>
        <w:left w:val="single" w:sz="4" w:space="0" w:color="E5F1F3" w:themeColor="accent3" w:themeTint="66"/>
        <w:bottom w:val="single" w:sz="4" w:space="0" w:color="E5F1F3" w:themeColor="accent3" w:themeTint="66"/>
        <w:right w:val="single" w:sz="4" w:space="0" w:color="E5F1F3" w:themeColor="accent3" w:themeTint="66"/>
        <w:insideH w:val="single" w:sz="4" w:space="0" w:color="E5F1F3" w:themeColor="accent3" w:themeTint="66"/>
        <w:insideV w:val="single" w:sz="4" w:space="0" w:color="E5F1F3" w:themeColor="accent3" w:themeTint="66"/>
      </w:tblBorders>
    </w:tblPr>
    <w:tblStylePr w:type="firstRow">
      <w:rPr>
        <w:b/>
        <w:bCs/>
      </w:rPr>
      <w:tblPr/>
      <w:tcPr>
        <w:tcBorders>
          <w:bottom w:val="single" w:sz="12" w:space="0" w:color="D8EAED" w:themeColor="accent3" w:themeTint="99"/>
        </w:tcBorders>
      </w:tcPr>
    </w:tblStylePr>
    <w:tblStylePr w:type="lastRow">
      <w:rPr>
        <w:b/>
        <w:bCs/>
      </w:rPr>
      <w:tblPr/>
      <w:tcPr>
        <w:tcBorders>
          <w:top w:val="double" w:sz="2" w:space="0" w:color="D8EAED"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294A5A"/>
    <w:pPr>
      <w:spacing w:after="0" w:line="240" w:lineRule="auto"/>
    </w:pPr>
    <w:tblPr>
      <w:tblStyleRowBandSize w:val="1"/>
      <w:tblStyleColBandSize w:val="1"/>
      <w:tblBorders>
        <w:top w:val="single" w:sz="4" w:space="0" w:color="ADADBD" w:themeColor="accent4" w:themeTint="66"/>
        <w:left w:val="single" w:sz="4" w:space="0" w:color="ADADBD" w:themeColor="accent4" w:themeTint="66"/>
        <w:bottom w:val="single" w:sz="4" w:space="0" w:color="ADADBD" w:themeColor="accent4" w:themeTint="66"/>
        <w:right w:val="single" w:sz="4" w:space="0" w:color="ADADBD" w:themeColor="accent4" w:themeTint="66"/>
        <w:insideH w:val="single" w:sz="4" w:space="0" w:color="ADADBD" w:themeColor="accent4" w:themeTint="66"/>
        <w:insideV w:val="single" w:sz="4" w:space="0" w:color="ADADBD" w:themeColor="accent4" w:themeTint="66"/>
      </w:tblBorders>
    </w:tblPr>
    <w:tblStylePr w:type="firstRow">
      <w:rPr>
        <w:b/>
        <w:bCs/>
      </w:rPr>
      <w:tblPr/>
      <w:tcPr>
        <w:tcBorders>
          <w:bottom w:val="single" w:sz="12" w:space="0" w:color="84849D" w:themeColor="accent4" w:themeTint="99"/>
        </w:tcBorders>
      </w:tcPr>
    </w:tblStylePr>
    <w:tblStylePr w:type="lastRow">
      <w:rPr>
        <w:b/>
        <w:bCs/>
      </w:rPr>
      <w:tblPr/>
      <w:tcPr>
        <w:tcBorders>
          <w:top w:val="double" w:sz="2" w:space="0" w:color="84849D"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294A5A"/>
    <w:pPr>
      <w:spacing w:after="0" w:line="240" w:lineRule="auto"/>
    </w:pPr>
    <w:tblPr>
      <w:tblStyleRowBandSize w:val="1"/>
      <w:tblStyleColBandSize w:val="1"/>
      <w:tblBorders>
        <w:top w:val="single" w:sz="4" w:space="0" w:color="CCCCD0" w:themeColor="accent5" w:themeTint="66"/>
        <w:left w:val="single" w:sz="4" w:space="0" w:color="CCCCD0" w:themeColor="accent5" w:themeTint="66"/>
        <w:bottom w:val="single" w:sz="4" w:space="0" w:color="CCCCD0" w:themeColor="accent5" w:themeTint="66"/>
        <w:right w:val="single" w:sz="4" w:space="0" w:color="CCCCD0" w:themeColor="accent5" w:themeTint="66"/>
        <w:insideH w:val="single" w:sz="4" w:space="0" w:color="CCCCD0" w:themeColor="accent5" w:themeTint="66"/>
        <w:insideV w:val="single" w:sz="4" w:space="0" w:color="CCCCD0" w:themeColor="accent5" w:themeTint="66"/>
      </w:tblBorders>
    </w:tblPr>
    <w:tblStylePr w:type="firstRow">
      <w:rPr>
        <w:b/>
        <w:bCs/>
      </w:rPr>
      <w:tblPr/>
      <w:tcPr>
        <w:tcBorders>
          <w:bottom w:val="single" w:sz="12" w:space="0" w:color="B2B2B9" w:themeColor="accent5" w:themeTint="99"/>
        </w:tcBorders>
      </w:tcPr>
    </w:tblStylePr>
    <w:tblStylePr w:type="lastRow">
      <w:rPr>
        <w:b/>
        <w:bCs/>
      </w:rPr>
      <w:tblPr/>
      <w:tcPr>
        <w:tcBorders>
          <w:top w:val="double" w:sz="2" w:space="0" w:color="B2B2B9"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294A5A"/>
    <w:pPr>
      <w:spacing w:after="0" w:line="240" w:lineRule="auto"/>
    </w:pPr>
    <w:tblPr>
      <w:tblStyleRowBandSize w:val="1"/>
      <w:tblStyleColBandSize w:val="1"/>
      <w:tblBorders>
        <w:top w:val="single" w:sz="4" w:space="0" w:color="EAEAEC" w:themeColor="accent6" w:themeTint="66"/>
        <w:left w:val="single" w:sz="4" w:space="0" w:color="EAEAEC" w:themeColor="accent6" w:themeTint="66"/>
        <w:bottom w:val="single" w:sz="4" w:space="0" w:color="EAEAEC" w:themeColor="accent6" w:themeTint="66"/>
        <w:right w:val="single" w:sz="4" w:space="0" w:color="EAEAEC" w:themeColor="accent6" w:themeTint="66"/>
        <w:insideH w:val="single" w:sz="4" w:space="0" w:color="EAEAEC" w:themeColor="accent6" w:themeTint="66"/>
        <w:insideV w:val="single" w:sz="4" w:space="0" w:color="EAEAEC" w:themeColor="accent6" w:themeTint="66"/>
      </w:tblBorders>
    </w:tblPr>
    <w:tblStylePr w:type="firstRow">
      <w:rPr>
        <w:b/>
        <w:bCs/>
      </w:rPr>
      <w:tblPr/>
      <w:tcPr>
        <w:tcBorders>
          <w:bottom w:val="single" w:sz="12" w:space="0" w:color="E0E0E2" w:themeColor="accent6" w:themeTint="99"/>
        </w:tcBorders>
      </w:tcPr>
    </w:tblStylePr>
    <w:tblStylePr w:type="lastRow">
      <w:rPr>
        <w:b/>
        <w:bCs/>
      </w:rPr>
      <w:tblPr/>
      <w:tcPr>
        <w:tcBorders>
          <w:top w:val="double" w:sz="2" w:space="0" w:color="E0E0E2"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294A5A"/>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semiHidden/>
    <w:rsid w:val="00294A5A"/>
    <w:pPr>
      <w:spacing w:after="0" w:line="240" w:lineRule="auto"/>
    </w:pPr>
    <w:tblPr>
      <w:tblStyleRowBandSize w:val="1"/>
      <w:tblStyleColBandSize w:val="1"/>
      <w:tblBorders>
        <w:top w:val="single" w:sz="2" w:space="0" w:color="85C6CF" w:themeColor="accent1" w:themeTint="99"/>
        <w:bottom w:val="single" w:sz="2" w:space="0" w:color="85C6CF" w:themeColor="accent1" w:themeTint="99"/>
        <w:insideH w:val="single" w:sz="2" w:space="0" w:color="85C6CF" w:themeColor="accent1" w:themeTint="99"/>
        <w:insideV w:val="single" w:sz="2" w:space="0" w:color="85C6CF" w:themeColor="accent1" w:themeTint="99"/>
      </w:tblBorders>
    </w:tblPr>
    <w:tblStylePr w:type="firstRow">
      <w:rPr>
        <w:b/>
        <w:bCs/>
      </w:rPr>
      <w:tblPr/>
      <w:tcPr>
        <w:tcBorders>
          <w:top w:val="nil"/>
          <w:bottom w:val="single" w:sz="12" w:space="0" w:color="85C6CF" w:themeColor="accent1" w:themeTint="99"/>
          <w:insideH w:val="nil"/>
          <w:insideV w:val="nil"/>
        </w:tcBorders>
        <w:shd w:val="clear" w:color="auto" w:fill="FFFFFF" w:themeFill="background1"/>
      </w:tcPr>
    </w:tblStylePr>
    <w:tblStylePr w:type="lastRow">
      <w:rPr>
        <w:b/>
        <w:bCs/>
      </w:rPr>
      <w:tblPr/>
      <w:tcPr>
        <w:tcBorders>
          <w:top w:val="double" w:sz="2" w:space="0" w:color="85C6C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6ECEF" w:themeFill="accent1" w:themeFillTint="33"/>
      </w:tcPr>
    </w:tblStylePr>
    <w:tblStylePr w:type="band1Horz">
      <w:tblPr/>
      <w:tcPr>
        <w:shd w:val="clear" w:color="auto" w:fill="D6ECEF" w:themeFill="accent1" w:themeFillTint="33"/>
      </w:tcPr>
    </w:tblStylePr>
  </w:style>
  <w:style w:type="table" w:styleId="GridTable2-Accent2">
    <w:name w:val="Grid Table 2 Accent 2"/>
    <w:basedOn w:val="TableNormal"/>
    <w:uiPriority w:val="47"/>
    <w:semiHidden/>
    <w:rsid w:val="00294A5A"/>
    <w:pPr>
      <w:spacing w:after="0" w:line="240" w:lineRule="auto"/>
    </w:pPr>
    <w:tblPr>
      <w:tblStyleRowBandSize w:val="1"/>
      <w:tblStyleColBandSize w:val="1"/>
      <w:tblBorders>
        <w:top w:val="single" w:sz="2" w:space="0" w:color="B2D5DB" w:themeColor="accent2" w:themeTint="99"/>
        <w:bottom w:val="single" w:sz="2" w:space="0" w:color="B2D5DB" w:themeColor="accent2" w:themeTint="99"/>
        <w:insideH w:val="single" w:sz="2" w:space="0" w:color="B2D5DB" w:themeColor="accent2" w:themeTint="99"/>
        <w:insideV w:val="single" w:sz="2" w:space="0" w:color="B2D5DB" w:themeColor="accent2" w:themeTint="99"/>
      </w:tblBorders>
    </w:tblPr>
    <w:tblStylePr w:type="firstRow">
      <w:rPr>
        <w:b/>
        <w:bCs/>
      </w:rPr>
      <w:tblPr/>
      <w:tcPr>
        <w:tcBorders>
          <w:top w:val="nil"/>
          <w:bottom w:val="single" w:sz="12" w:space="0" w:color="B2D5DB" w:themeColor="accent2" w:themeTint="99"/>
          <w:insideH w:val="nil"/>
          <w:insideV w:val="nil"/>
        </w:tcBorders>
        <w:shd w:val="clear" w:color="auto" w:fill="FFFFFF" w:themeFill="background1"/>
      </w:tcPr>
    </w:tblStylePr>
    <w:tblStylePr w:type="lastRow">
      <w:rPr>
        <w:b/>
        <w:bCs/>
      </w:rPr>
      <w:tblPr/>
      <w:tcPr>
        <w:tcBorders>
          <w:top w:val="double" w:sz="2" w:space="0" w:color="B2D5DB"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F1F3" w:themeFill="accent2" w:themeFillTint="33"/>
      </w:tcPr>
    </w:tblStylePr>
    <w:tblStylePr w:type="band1Horz">
      <w:tblPr/>
      <w:tcPr>
        <w:shd w:val="clear" w:color="auto" w:fill="E5F1F3" w:themeFill="accent2" w:themeFillTint="33"/>
      </w:tcPr>
    </w:tblStylePr>
  </w:style>
  <w:style w:type="table" w:styleId="GridTable2-Accent3">
    <w:name w:val="Grid Table 2 Accent 3"/>
    <w:basedOn w:val="TableNormal"/>
    <w:uiPriority w:val="47"/>
    <w:semiHidden/>
    <w:rsid w:val="00294A5A"/>
    <w:pPr>
      <w:spacing w:after="0" w:line="240" w:lineRule="auto"/>
    </w:pPr>
    <w:tblPr>
      <w:tblStyleRowBandSize w:val="1"/>
      <w:tblStyleColBandSize w:val="1"/>
      <w:tblBorders>
        <w:top w:val="single" w:sz="2" w:space="0" w:color="D8EAED" w:themeColor="accent3" w:themeTint="99"/>
        <w:bottom w:val="single" w:sz="2" w:space="0" w:color="D8EAED" w:themeColor="accent3" w:themeTint="99"/>
        <w:insideH w:val="single" w:sz="2" w:space="0" w:color="D8EAED" w:themeColor="accent3" w:themeTint="99"/>
        <w:insideV w:val="single" w:sz="2" w:space="0" w:color="D8EAED" w:themeColor="accent3" w:themeTint="99"/>
      </w:tblBorders>
    </w:tblPr>
    <w:tblStylePr w:type="firstRow">
      <w:rPr>
        <w:b/>
        <w:bCs/>
      </w:rPr>
      <w:tblPr/>
      <w:tcPr>
        <w:tcBorders>
          <w:top w:val="nil"/>
          <w:bottom w:val="single" w:sz="12" w:space="0" w:color="D8EAED" w:themeColor="accent3" w:themeTint="99"/>
          <w:insideH w:val="nil"/>
          <w:insideV w:val="nil"/>
        </w:tcBorders>
        <w:shd w:val="clear" w:color="auto" w:fill="FFFFFF" w:themeFill="background1"/>
      </w:tcPr>
    </w:tblStylePr>
    <w:tblStylePr w:type="lastRow">
      <w:rPr>
        <w:b/>
        <w:bCs/>
      </w:rPr>
      <w:tblPr/>
      <w:tcPr>
        <w:tcBorders>
          <w:top w:val="double" w:sz="2" w:space="0" w:color="D8EAED"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F8F9" w:themeFill="accent3" w:themeFillTint="33"/>
      </w:tcPr>
    </w:tblStylePr>
    <w:tblStylePr w:type="band1Horz">
      <w:tblPr/>
      <w:tcPr>
        <w:shd w:val="clear" w:color="auto" w:fill="F2F8F9" w:themeFill="accent3" w:themeFillTint="33"/>
      </w:tcPr>
    </w:tblStylePr>
  </w:style>
  <w:style w:type="table" w:styleId="GridTable2-Accent4">
    <w:name w:val="Grid Table 2 Accent 4"/>
    <w:basedOn w:val="TableNormal"/>
    <w:uiPriority w:val="47"/>
    <w:semiHidden/>
    <w:rsid w:val="00294A5A"/>
    <w:pPr>
      <w:spacing w:after="0" w:line="240" w:lineRule="auto"/>
    </w:pPr>
    <w:tblPr>
      <w:tblStyleRowBandSize w:val="1"/>
      <w:tblStyleColBandSize w:val="1"/>
      <w:tblBorders>
        <w:top w:val="single" w:sz="2" w:space="0" w:color="84849D" w:themeColor="accent4" w:themeTint="99"/>
        <w:bottom w:val="single" w:sz="2" w:space="0" w:color="84849D" w:themeColor="accent4" w:themeTint="99"/>
        <w:insideH w:val="single" w:sz="2" w:space="0" w:color="84849D" w:themeColor="accent4" w:themeTint="99"/>
        <w:insideV w:val="single" w:sz="2" w:space="0" w:color="84849D" w:themeColor="accent4" w:themeTint="99"/>
      </w:tblBorders>
    </w:tblPr>
    <w:tblStylePr w:type="firstRow">
      <w:rPr>
        <w:b/>
        <w:bCs/>
      </w:rPr>
      <w:tblPr/>
      <w:tcPr>
        <w:tcBorders>
          <w:top w:val="nil"/>
          <w:bottom w:val="single" w:sz="12" w:space="0" w:color="84849D" w:themeColor="accent4" w:themeTint="99"/>
          <w:insideH w:val="nil"/>
          <w:insideV w:val="nil"/>
        </w:tcBorders>
        <w:shd w:val="clear" w:color="auto" w:fill="FFFFFF" w:themeFill="background1"/>
      </w:tcPr>
    </w:tblStylePr>
    <w:tblStylePr w:type="lastRow">
      <w:rPr>
        <w:b/>
        <w:bCs/>
      </w:rPr>
      <w:tblPr/>
      <w:tcPr>
        <w:tcBorders>
          <w:top w:val="double" w:sz="2" w:space="0" w:color="84849D"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6D6DE" w:themeFill="accent4" w:themeFillTint="33"/>
      </w:tcPr>
    </w:tblStylePr>
    <w:tblStylePr w:type="band1Horz">
      <w:tblPr/>
      <w:tcPr>
        <w:shd w:val="clear" w:color="auto" w:fill="D6D6DE" w:themeFill="accent4" w:themeFillTint="33"/>
      </w:tcPr>
    </w:tblStylePr>
  </w:style>
  <w:style w:type="table" w:styleId="GridTable2-Accent5">
    <w:name w:val="Grid Table 2 Accent 5"/>
    <w:basedOn w:val="TableNormal"/>
    <w:uiPriority w:val="47"/>
    <w:semiHidden/>
    <w:rsid w:val="00294A5A"/>
    <w:pPr>
      <w:spacing w:after="0" w:line="240" w:lineRule="auto"/>
    </w:pPr>
    <w:tblPr>
      <w:tblStyleRowBandSize w:val="1"/>
      <w:tblStyleColBandSize w:val="1"/>
      <w:tblBorders>
        <w:top w:val="single" w:sz="2" w:space="0" w:color="B2B2B9" w:themeColor="accent5" w:themeTint="99"/>
        <w:bottom w:val="single" w:sz="2" w:space="0" w:color="B2B2B9" w:themeColor="accent5" w:themeTint="99"/>
        <w:insideH w:val="single" w:sz="2" w:space="0" w:color="B2B2B9" w:themeColor="accent5" w:themeTint="99"/>
        <w:insideV w:val="single" w:sz="2" w:space="0" w:color="B2B2B9" w:themeColor="accent5" w:themeTint="99"/>
      </w:tblBorders>
    </w:tblPr>
    <w:tblStylePr w:type="firstRow">
      <w:rPr>
        <w:b/>
        <w:bCs/>
      </w:rPr>
      <w:tblPr/>
      <w:tcPr>
        <w:tcBorders>
          <w:top w:val="nil"/>
          <w:bottom w:val="single" w:sz="12" w:space="0" w:color="B2B2B9" w:themeColor="accent5" w:themeTint="99"/>
          <w:insideH w:val="nil"/>
          <w:insideV w:val="nil"/>
        </w:tcBorders>
        <w:shd w:val="clear" w:color="auto" w:fill="FFFFFF" w:themeFill="background1"/>
      </w:tcPr>
    </w:tblStylePr>
    <w:tblStylePr w:type="lastRow">
      <w:rPr>
        <w:b/>
        <w:bCs/>
      </w:rPr>
      <w:tblPr/>
      <w:tcPr>
        <w:tcBorders>
          <w:top w:val="double" w:sz="2" w:space="0" w:color="B2B2B9"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E5E7" w:themeFill="accent5" w:themeFillTint="33"/>
      </w:tcPr>
    </w:tblStylePr>
    <w:tblStylePr w:type="band1Horz">
      <w:tblPr/>
      <w:tcPr>
        <w:shd w:val="clear" w:color="auto" w:fill="E5E5E7" w:themeFill="accent5" w:themeFillTint="33"/>
      </w:tcPr>
    </w:tblStylePr>
  </w:style>
  <w:style w:type="table" w:styleId="GridTable2-Accent6">
    <w:name w:val="Grid Table 2 Accent 6"/>
    <w:basedOn w:val="TableNormal"/>
    <w:uiPriority w:val="47"/>
    <w:semiHidden/>
    <w:rsid w:val="00294A5A"/>
    <w:pPr>
      <w:spacing w:after="0" w:line="240" w:lineRule="auto"/>
    </w:pPr>
    <w:tblPr>
      <w:tblStyleRowBandSize w:val="1"/>
      <w:tblStyleColBandSize w:val="1"/>
      <w:tblBorders>
        <w:top w:val="single" w:sz="2" w:space="0" w:color="E0E0E2" w:themeColor="accent6" w:themeTint="99"/>
        <w:bottom w:val="single" w:sz="2" w:space="0" w:color="E0E0E2" w:themeColor="accent6" w:themeTint="99"/>
        <w:insideH w:val="single" w:sz="2" w:space="0" w:color="E0E0E2" w:themeColor="accent6" w:themeTint="99"/>
        <w:insideV w:val="single" w:sz="2" w:space="0" w:color="E0E0E2" w:themeColor="accent6" w:themeTint="99"/>
      </w:tblBorders>
    </w:tblPr>
    <w:tblStylePr w:type="firstRow">
      <w:rPr>
        <w:b/>
        <w:bCs/>
      </w:rPr>
      <w:tblPr/>
      <w:tcPr>
        <w:tcBorders>
          <w:top w:val="nil"/>
          <w:bottom w:val="single" w:sz="12" w:space="0" w:color="E0E0E2" w:themeColor="accent6" w:themeTint="99"/>
          <w:insideH w:val="nil"/>
          <w:insideV w:val="nil"/>
        </w:tcBorders>
        <w:shd w:val="clear" w:color="auto" w:fill="FFFFFF" w:themeFill="background1"/>
      </w:tcPr>
    </w:tblStylePr>
    <w:tblStylePr w:type="lastRow">
      <w:rPr>
        <w:b/>
        <w:bCs/>
      </w:rPr>
      <w:tblPr/>
      <w:tcPr>
        <w:tcBorders>
          <w:top w:val="double" w:sz="2" w:space="0" w:color="E0E0E2"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F4F5" w:themeFill="accent6" w:themeFillTint="33"/>
      </w:tcPr>
    </w:tblStylePr>
    <w:tblStylePr w:type="band1Horz">
      <w:tblPr/>
      <w:tcPr>
        <w:shd w:val="clear" w:color="auto" w:fill="F4F4F5" w:themeFill="accent6" w:themeFillTint="33"/>
      </w:tcPr>
    </w:tblStylePr>
  </w:style>
  <w:style w:type="table" w:styleId="GridTable3">
    <w:name w:val="Grid Table 3"/>
    <w:basedOn w:val="TableNormal"/>
    <w:uiPriority w:val="48"/>
    <w:semiHidden/>
    <w:rsid w:val="00294A5A"/>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semiHidden/>
    <w:rsid w:val="00294A5A"/>
    <w:pPr>
      <w:spacing w:after="0" w:line="240" w:lineRule="auto"/>
    </w:pPr>
    <w:tblPr>
      <w:tblStyleRowBandSize w:val="1"/>
      <w:tblStyleColBandSize w:val="1"/>
      <w:tblBorders>
        <w:top w:val="single" w:sz="4" w:space="0" w:color="85C6CF" w:themeColor="accent1" w:themeTint="99"/>
        <w:left w:val="single" w:sz="4" w:space="0" w:color="85C6CF" w:themeColor="accent1" w:themeTint="99"/>
        <w:bottom w:val="single" w:sz="4" w:space="0" w:color="85C6CF" w:themeColor="accent1" w:themeTint="99"/>
        <w:right w:val="single" w:sz="4" w:space="0" w:color="85C6CF" w:themeColor="accent1" w:themeTint="99"/>
        <w:insideH w:val="single" w:sz="4" w:space="0" w:color="85C6CF" w:themeColor="accent1" w:themeTint="99"/>
        <w:insideV w:val="single" w:sz="4" w:space="0" w:color="85C6C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6ECEF" w:themeFill="accent1" w:themeFillTint="33"/>
      </w:tcPr>
    </w:tblStylePr>
    <w:tblStylePr w:type="band1Horz">
      <w:tblPr/>
      <w:tcPr>
        <w:shd w:val="clear" w:color="auto" w:fill="D6ECEF" w:themeFill="accent1" w:themeFillTint="33"/>
      </w:tcPr>
    </w:tblStylePr>
    <w:tblStylePr w:type="neCell">
      <w:tblPr/>
      <w:tcPr>
        <w:tcBorders>
          <w:bottom w:val="single" w:sz="4" w:space="0" w:color="85C6CF" w:themeColor="accent1" w:themeTint="99"/>
        </w:tcBorders>
      </w:tcPr>
    </w:tblStylePr>
    <w:tblStylePr w:type="nwCell">
      <w:tblPr/>
      <w:tcPr>
        <w:tcBorders>
          <w:bottom w:val="single" w:sz="4" w:space="0" w:color="85C6CF" w:themeColor="accent1" w:themeTint="99"/>
        </w:tcBorders>
      </w:tcPr>
    </w:tblStylePr>
    <w:tblStylePr w:type="seCell">
      <w:tblPr/>
      <w:tcPr>
        <w:tcBorders>
          <w:top w:val="single" w:sz="4" w:space="0" w:color="85C6CF" w:themeColor="accent1" w:themeTint="99"/>
        </w:tcBorders>
      </w:tcPr>
    </w:tblStylePr>
    <w:tblStylePr w:type="swCell">
      <w:tblPr/>
      <w:tcPr>
        <w:tcBorders>
          <w:top w:val="single" w:sz="4" w:space="0" w:color="85C6CF" w:themeColor="accent1" w:themeTint="99"/>
        </w:tcBorders>
      </w:tcPr>
    </w:tblStylePr>
  </w:style>
  <w:style w:type="table" w:styleId="GridTable3-Accent2">
    <w:name w:val="Grid Table 3 Accent 2"/>
    <w:basedOn w:val="TableNormal"/>
    <w:uiPriority w:val="48"/>
    <w:semiHidden/>
    <w:rsid w:val="00294A5A"/>
    <w:pPr>
      <w:spacing w:after="0" w:line="240" w:lineRule="auto"/>
    </w:pPr>
    <w:tblPr>
      <w:tblStyleRowBandSize w:val="1"/>
      <w:tblStyleColBandSize w:val="1"/>
      <w:tblBorders>
        <w:top w:val="single" w:sz="4" w:space="0" w:color="B2D5DB" w:themeColor="accent2" w:themeTint="99"/>
        <w:left w:val="single" w:sz="4" w:space="0" w:color="B2D5DB" w:themeColor="accent2" w:themeTint="99"/>
        <w:bottom w:val="single" w:sz="4" w:space="0" w:color="B2D5DB" w:themeColor="accent2" w:themeTint="99"/>
        <w:right w:val="single" w:sz="4" w:space="0" w:color="B2D5DB" w:themeColor="accent2" w:themeTint="99"/>
        <w:insideH w:val="single" w:sz="4" w:space="0" w:color="B2D5DB" w:themeColor="accent2" w:themeTint="99"/>
        <w:insideV w:val="single" w:sz="4" w:space="0" w:color="B2D5DB"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F1F3" w:themeFill="accent2" w:themeFillTint="33"/>
      </w:tcPr>
    </w:tblStylePr>
    <w:tblStylePr w:type="band1Horz">
      <w:tblPr/>
      <w:tcPr>
        <w:shd w:val="clear" w:color="auto" w:fill="E5F1F3" w:themeFill="accent2" w:themeFillTint="33"/>
      </w:tcPr>
    </w:tblStylePr>
    <w:tblStylePr w:type="neCell">
      <w:tblPr/>
      <w:tcPr>
        <w:tcBorders>
          <w:bottom w:val="single" w:sz="4" w:space="0" w:color="B2D5DB" w:themeColor="accent2" w:themeTint="99"/>
        </w:tcBorders>
      </w:tcPr>
    </w:tblStylePr>
    <w:tblStylePr w:type="nwCell">
      <w:tblPr/>
      <w:tcPr>
        <w:tcBorders>
          <w:bottom w:val="single" w:sz="4" w:space="0" w:color="B2D5DB" w:themeColor="accent2" w:themeTint="99"/>
        </w:tcBorders>
      </w:tcPr>
    </w:tblStylePr>
    <w:tblStylePr w:type="seCell">
      <w:tblPr/>
      <w:tcPr>
        <w:tcBorders>
          <w:top w:val="single" w:sz="4" w:space="0" w:color="B2D5DB" w:themeColor="accent2" w:themeTint="99"/>
        </w:tcBorders>
      </w:tcPr>
    </w:tblStylePr>
    <w:tblStylePr w:type="swCell">
      <w:tblPr/>
      <w:tcPr>
        <w:tcBorders>
          <w:top w:val="single" w:sz="4" w:space="0" w:color="B2D5DB" w:themeColor="accent2" w:themeTint="99"/>
        </w:tcBorders>
      </w:tcPr>
    </w:tblStylePr>
  </w:style>
  <w:style w:type="table" w:styleId="GridTable3-Accent3">
    <w:name w:val="Grid Table 3 Accent 3"/>
    <w:basedOn w:val="TableNormal"/>
    <w:uiPriority w:val="48"/>
    <w:semiHidden/>
    <w:rsid w:val="00294A5A"/>
    <w:pPr>
      <w:spacing w:after="0" w:line="240" w:lineRule="auto"/>
    </w:pPr>
    <w:tblPr>
      <w:tblStyleRowBandSize w:val="1"/>
      <w:tblStyleColBandSize w:val="1"/>
      <w:tblBorders>
        <w:top w:val="single" w:sz="4" w:space="0" w:color="D8EAED" w:themeColor="accent3" w:themeTint="99"/>
        <w:left w:val="single" w:sz="4" w:space="0" w:color="D8EAED" w:themeColor="accent3" w:themeTint="99"/>
        <w:bottom w:val="single" w:sz="4" w:space="0" w:color="D8EAED" w:themeColor="accent3" w:themeTint="99"/>
        <w:right w:val="single" w:sz="4" w:space="0" w:color="D8EAED" w:themeColor="accent3" w:themeTint="99"/>
        <w:insideH w:val="single" w:sz="4" w:space="0" w:color="D8EAED" w:themeColor="accent3" w:themeTint="99"/>
        <w:insideV w:val="single" w:sz="4" w:space="0" w:color="D8EAED"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F8F9" w:themeFill="accent3" w:themeFillTint="33"/>
      </w:tcPr>
    </w:tblStylePr>
    <w:tblStylePr w:type="band1Horz">
      <w:tblPr/>
      <w:tcPr>
        <w:shd w:val="clear" w:color="auto" w:fill="F2F8F9" w:themeFill="accent3" w:themeFillTint="33"/>
      </w:tcPr>
    </w:tblStylePr>
    <w:tblStylePr w:type="neCell">
      <w:tblPr/>
      <w:tcPr>
        <w:tcBorders>
          <w:bottom w:val="single" w:sz="4" w:space="0" w:color="D8EAED" w:themeColor="accent3" w:themeTint="99"/>
        </w:tcBorders>
      </w:tcPr>
    </w:tblStylePr>
    <w:tblStylePr w:type="nwCell">
      <w:tblPr/>
      <w:tcPr>
        <w:tcBorders>
          <w:bottom w:val="single" w:sz="4" w:space="0" w:color="D8EAED" w:themeColor="accent3" w:themeTint="99"/>
        </w:tcBorders>
      </w:tcPr>
    </w:tblStylePr>
    <w:tblStylePr w:type="seCell">
      <w:tblPr/>
      <w:tcPr>
        <w:tcBorders>
          <w:top w:val="single" w:sz="4" w:space="0" w:color="D8EAED" w:themeColor="accent3" w:themeTint="99"/>
        </w:tcBorders>
      </w:tcPr>
    </w:tblStylePr>
    <w:tblStylePr w:type="swCell">
      <w:tblPr/>
      <w:tcPr>
        <w:tcBorders>
          <w:top w:val="single" w:sz="4" w:space="0" w:color="D8EAED" w:themeColor="accent3" w:themeTint="99"/>
        </w:tcBorders>
      </w:tcPr>
    </w:tblStylePr>
  </w:style>
  <w:style w:type="table" w:styleId="GridTable3-Accent4">
    <w:name w:val="Grid Table 3 Accent 4"/>
    <w:basedOn w:val="TableNormal"/>
    <w:uiPriority w:val="48"/>
    <w:semiHidden/>
    <w:rsid w:val="00294A5A"/>
    <w:pPr>
      <w:spacing w:after="0" w:line="240" w:lineRule="auto"/>
    </w:pPr>
    <w:tblPr>
      <w:tblStyleRowBandSize w:val="1"/>
      <w:tblStyleColBandSize w:val="1"/>
      <w:tblBorders>
        <w:top w:val="single" w:sz="4" w:space="0" w:color="84849D" w:themeColor="accent4" w:themeTint="99"/>
        <w:left w:val="single" w:sz="4" w:space="0" w:color="84849D" w:themeColor="accent4" w:themeTint="99"/>
        <w:bottom w:val="single" w:sz="4" w:space="0" w:color="84849D" w:themeColor="accent4" w:themeTint="99"/>
        <w:right w:val="single" w:sz="4" w:space="0" w:color="84849D" w:themeColor="accent4" w:themeTint="99"/>
        <w:insideH w:val="single" w:sz="4" w:space="0" w:color="84849D" w:themeColor="accent4" w:themeTint="99"/>
        <w:insideV w:val="single" w:sz="4" w:space="0" w:color="84849D"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6D6DE" w:themeFill="accent4" w:themeFillTint="33"/>
      </w:tcPr>
    </w:tblStylePr>
    <w:tblStylePr w:type="band1Horz">
      <w:tblPr/>
      <w:tcPr>
        <w:shd w:val="clear" w:color="auto" w:fill="D6D6DE" w:themeFill="accent4" w:themeFillTint="33"/>
      </w:tcPr>
    </w:tblStylePr>
    <w:tblStylePr w:type="neCell">
      <w:tblPr/>
      <w:tcPr>
        <w:tcBorders>
          <w:bottom w:val="single" w:sz="4" w:space="0" w:color="84849D" w:themeColor="accent4" w:themeTint="99"/>
        </w:tcBorders>
      </w:tcPr>
    </w:tblStylePr>
    <w:tblStylePr w:type="nwCell">
      <w:tblPr/>
      <w:tcPr>
        <w:tcBorders>
          <w:bottom w:val="single" w:sz="4" w:space="0" w:color="84849D" w:themeColor="accent4" w:themeTint="99"/>
        </w:tcBorders>
      </w:tcPr>
    </w:tblStylePr>
    <w:tblStylePr w:type="seCell">
      <w:tblPr/>
      <w:tcPr>
        <w:tcBorders>
          <w:top w:val="single" w:sz="4" w:space="0" w:color="84849D" w:themeColor="accent4" w:themeTint="99"/>
        </w:tcBorders>
      </w:tcPr>
    </w:tblStylePr>
    <w:tblStylePr w:type="swCell">
      <w:tblPr/>
      <w:tcPr>
        <w:tcBorders>
          <w:top w:val="single" w:sz="4" w:space="0" w:color="84849D" w:themeColor="accent4" w:themeTint="99"/>
        </w:tcBorders>
      </w:tcPr>
    </w:tblStylePr>
  </w:style>
  <w:style w:type="table" w:styleId="GridTable3-Accent5">
    <w:name w:val="Grid Table 3 Accent 5"/>
    <w:basedOn w:val="TableNormal"/>
    <w:uiPriority w:val="48"/>
    <w:semiHidden/>
    <w:rsid w:val="00294A5A"/>
    <w:pPr>
      <w:spacing w:after="0" w:line="240" w:lineRule="auto"/>
    </w:pPr>
    <w:tblPr>
      <w:tblStyleRowBandSize w:val="1"/>
      <w:tblStyleColBandSize w:val="1"/>
      <w:tblBorders>
        <w:top w:val="single" w:sz="4" w:space="0" w:color="B2B2B9" w:themeColor="accent5" w:themeTint="99"/>
        <w:left w:val="single" w:sz="4" w:space="0" w:color="B2B2B9" w:themeColor="accent5" w:themeTint="99"/>
        <w:bottom w:val="single" w:sz="4" w:space="0" w:color="B2B2B9" w:themeColor="accent5" w:themeTint="99"/>
        <w:right w:val="single" w:sz="4" w:space="0" w:color="B2B2B9" w:themeColor="accent5" w:themeTint="99"/>
        <w:insideH w:val="single" w:sz="4" w:space="0" w:color="B2B2B9" w:themeColor="accent5" w:themeTint="99"/>
        <w:insideV w:val="single" w:sz="4" w:space="0" w:color="B2B2B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5E7" w:themeFill="accent5" w:themeFillTint="33"/>
      </w:tcPr>
    </w:tblStylePr>
    <w:tblStylePr w:type="band1Horz">
      <w:tblPr/>
      <w:tcPr>
        <w:shd w:val="clear" w:color="auto" w:fill="E5E5E7" w:themeFill="accent5" w:themeFillTint="33"/>
      </w:tcPr>
    </w:tblStylePr>
    <w:tblStylePr w:type="neCell">
      <w:tblPr/>
      <w:tcPr>
        <w:tcBorders>
          <w:bottom w:val="single" w:sz="4" w:space="0" w:color="B2B2B9" w:themeColor="accent5" w:themeTint="99"/>
        </w:tcBorders>
      </w:tcPr>
    </w:tblStylePr>
    <w:tblStylePr w:type="nwCell">
      <w:tblPr/>
      <w:tcPr>
        <w:tcBorders>
          <w:bottom w:val="single" w:sz="4" w:space="0" w:color="B2B2B9" w:themeColor="accent5" w:themeTint="99"/>
        </w:tcBorders>
      </w:tcPr>
    </w:tblStylePr>
    <w:tblStylePr w:type="seCell">
      <w:tblPr/>
      <w:tcPr>
        <w:tcBorders>
          <w:top w:val="single" w:sz="4" w:space="0" w:color="B2B2B9" w:themeColor="accent5" w:themeTint="99"/>
        </w:tcBorders>
      </w:tcPr>
    </w:tblStylePr>
    <w:tblStylePr w:type="swCell">
      <w:tblPr/>
      <w:tcPr>
        <w:tcBorders>
          <w:top w:val="single" w:sz="4" w:space="0" w:color="B2B2B9" w:themeColor="accent5" w:themeTint="99"/>
        </w:tcBorders>
      </w:tcPr>
    </w:tblStylePr>
  </w:style>
  <w:style w:type="table" w:styleId="GridTable3-Accent6">
    <w:name w:val="Grid Table 3 Accent 6"/>
    <w:basedOn w:val="TableNormal"/>
    <w:uiPriority w:val="48"/>
    <w:semiHidden/>
    <w:rsid w:val="00294A5A"/>
    <w:pPr>
      <w:spacing w:after="0" w:line="240" w:lineRule="auto"/>
    </w:pPr>
    <w:tblPr>
      <w:tblStyleRowBandSize w:val="1"/>
      <w:tblStyleColBandSize w:val="1"/>
      <w:tblBorders>
        <w:top w:val="single" w:sz="4" w:space="0" w:color="E0E0E2" w:themeColor="accent6" w:themeTint="99"/>
        <w:left w:val="single" w:sz="4" w:space="0" w:color="E0E0E2" w:themeColor="accent6" w:themeTint="99"/>
        <w:bottom w:val="single" w:sz="4" w:space="0" w:color="E0E0E2" w:themeColor="accent6" w:themeTint="99"/>
        <w:right w:val="single" w:sz="4" w:space="0" w:color="E0E0E2" w:themeColor="accent6" w:themeTint="99"/>
        <w:insideH w:val="single" w:sz="4" w:space="0" w:color="E0E0E2" w:themeColor="accent6" w:themeTint="99"/>
        <w:insideV w:val="single" w:sz="4" w:space="0" w:color="E0E0E2"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4F5" w:themeFill="accent6" w:themeFillTint="33"/>
      </w:tcPr>
    </w:tblStylePr>
    <w:tblStylePr w:type="band1Horz">
      <w:tblPr/>
      <w:tcPr>
        <w:shd w:val="clear" w:color="auto" w:fill="F4F4F5" w:themeFill="accent6" w:themeFillTint="33"/>
      </w:tcPr>
    </w:tblStylePr>
    <w:tblStylePr w:type="neCell">
      <w:tblPr/>
      <w:tcPr>
        <w:tcBorders>
          <w:bottom w:val="single" w:sz="4" w:space="0" w:color="E0E0E2" w:themeColor="accent6" w:themeTint="99"/>
        </w:tcBorders>
      </w:tcPr>
    </w:tblStylePr>
    <w:tblStylePr w:type="nwCell">
      <w:tblPr/>
      <w:tcPr>
        <w:tcBorders>
          <w:bottom w:val="single" w:sz="4" w:space="0" w:color="E0E0E2" w:themeColor="accent6" w:themeTint="99"/>
        </w:tcBorders>
      </w:tcPr>
    </w:tblStylePr>
    <w:tblStylePr w:type="seCell">
      <w:tblPr/>
      <w:tcPr>
        <w:tcBorders>
          <w:top w:val="single" w:sz="4" w:space="0" w:color="E0E0E2" w:themeColor="accent6" w:themeTint="99"/>
        </w:tcBorders>
      </w:tcPr>
    </w:tblStylePr>
    <w:tblStylePr w:type="swCell">
      <w:tblPr/>
      <w:tcPr>
        <w:tcBorders>
          <w:top w:val="single" w:sz="4" w:space="0" w:color="E0E0E2" w:themeColor="accent6" w:themeTint="99"/>
        </w:tcBorders>
      </w:tcPr>
    </w:tblStylePr>
  </w:style>
  <w:style w:type="table" w:styleId="GridTable4">
    <w:name w:val="Grid Table 4"/>
    <w:basedOn w:val="TableNormal"/>
    <w:uiPriority w:val="49"/>
    <w:semiHidden/>
    <w:rsid w:val="00294A5A"/>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semiHidden/>
    <w:rsid w:val="00294A5A"/>
    <w:pPr>
      <w:spacing w:after="0" w:line="240" w:lineRule="auto"/>
    </w:pPr>
    <w:tblPr>
      <w:tblStyleRowBandSize w:val="1"/>
      <w:tblStyleColBandSize w:val="1"/>
      <w:tblBorders>
        <w:top w:val="single" w:sz="4" w:space="0" w:color="85C6CF" w:themeColor="accent1" w:themeTint="99"/>
        <w:left w:val="single" w:sz="4" w:space="0" w:color="85C6CF" w:themeColor="accent1" w:themeTint="99"/>
        <w:bottom w:val="single" w:sz="4" w:space="0" w:color="85C6CF" w:themeColor="accent1" w:themeTint="99"/>
        <w:right w:val="single" w:sz="4" w:space="0" w:color="85C6CF" w:themeColor="accent1" w:themeTint="99"/>
        <w:insideH w:val="single" w:sz="4" w:space="0" w:color="85C6CF" w:themeColor="accent1" w:themeTint="99"/>
        <w:insideV w:val="single" w:sz="4" w:space="0" w:color="85C6CF" w:themeColor="accent1" w:themeTint="99"/>
      </w:tblBorders>
    </w:tblPr>
    <w:tblStylePr w:type="firstRow">
      <w:rPr>
        <w:b/>
        <w:bCs/>
        <w:color w:val="FFFFFF" w:themeColor="background1"/>
      </w:rPr>
      <w:tblPr/>
      <w:tcPr>
        <w:tcBorders>
          <w:top w:val="single" w:sz="4" w:space="0" w:color="4098A4" w:themeColor="accent1"/>
          <w:left w:val="single" w:sz="4" w:space="0" w:color="4098A4" w:themeColor="accent1"/>
          <w:bottom w:val="single" w:sz="4" w:space="0" w:color="4098A4" w:themeColor="accent1"/>
          <w:right w:val="single" w:sz="4" w:space="0" w:color="4098A4" w:themeColor="accent1"/>
          <w:insideH w:val="nil"/>
          <w:insideV w:val="nil"/>
        </w:tcBorders>
        <w:shd w:val="clear" w:color="auto" w:fill="4098A4" w:themeFill="accent1"/>
      </w:tcPr>
    </w:tblStylePr>
    <w:tblStylePr w:type="lastRow">
      <w:rPr>
        <w:b/>
        <w:bCs/>
      </w:rPr>
      <w:tblPr/>
      <w:tcPr>
        <w:tcBorders>
          <w:top w:val="double" w:sz="4" w:space="0" w:color="4098A4" w:themeColor="accent1"/>
        </w:tcBorders>
      </w:tcPr>
    </w:tblStylePr>
    <w:tblStylePr w:type="firstCol">
      <w:rPr>
        <w:b/>
        <w:bCs/>
      </w:rPr>
    </w:tblStylePr>
    <w:tblStylePr w:type="lastCol">
      <w:rPr>
        <w:b/>
        <w:bCs/>
      </w:rPr>
    </w:tblStylePr>
    <w:tblStylePr w:type="band1Vert">
      <w:tblPr/>
      <w:tcPr>
        <w:shd w:val="clear" w:color="auto" w:fill="D6ECEF" w:themeFill="accent1" w:themeFillTint="33"/>
      </w:tcPr>
    </w:tblStylePr>
    <w:tblStylePr w:type="band1Horz">
      <w:tblPr/>
      <w:tcPr>
        <w:shd w:val="clear" w:color="auto" w:fill="D6ECEF" w:themeFill="accent1" w:themeFillTint="33"/>
      </w:tcPr>
    </w:tblStylePr>
  </w:style>
  <w:style w:type="table" w:styleId="GridTable4-Accent2">
    <w:name w:val="Grid Table 4 Accent 2"/>
    <w:basedOn w:val="TableNormal"/>
    <w:uiPriority w:val="49"/>
    <w:semiHidden/>
    <w:rsid w:val="00294A5A"/>
    <w:pPr>
      <w:spacing w:after="0" w:line="240" w:lineRule="auto"/>
    </w:pPr>
    <w:tblPr>
      <w:tblStyleRowBandSize w:val="1"/>
      <w:tblStyleColBandSize w:val="1"/>
      <w:tblBorders>
        <w:top w:val="single" w:sz="4" w:space="0" w:color="B2D5DB" w:themeColor="accent2" w:themeTint="99"/>
        <w:left w:val="single" w:sz="4" w:space="0" w:color="B2D5DB" w:themeColor="accent2" w:themeTint="99"/>
        <w:bottom w:val="single" w:sz="4" w:space="0" w:color="B2D5DB" w:themeColor="accent2" w:themeTint="99"/>
        <w:right w:val="single" w:sz="4" w:space="0" w:color="B2D5DB" w:themeColor="accent2" w:themeTint="99"/>
        <w:insideH w:val="single" w:sz="4" w:space="0" w:color="B2D5DB" w:themeColor="accent2" w:themeTint="99"/>
        <w:insideV w:val="single" w:sz="4" w:space="0" w:color="B2D5DB" w:themeColor="accent2" w:themeTint="99"/>
      </w:tblBorders>
    </w:tblPr>
    <w:tblStylePr w:type="firstRow">
      <w:rPr>
        <w:b/>
        <w:bCs/>
        <w:color w:val="FFFFFF" w:themeColor="background1"/>
      </w:rPr>
      <w:tblPr/>
      <w:tcPr>
        <w:tcBorders>
          <w:top w:val="single" w:sz="4" w:space="0" w:color="80BAC3" w:themeColor="accent2"/>
          <w:left w:val="single" w:sz="4" w:space="0" w:color="80BAC3" w:themeColor="accent2"/>
          <w:bottom w:val="single" w:sz="4" w:space="0" w:color="80BAC3" w:themeColor="accent2"/>
          <w:right w:val="single" w:sz="4" w:space="0" w:color="80BAC3" w:themeColor="accent2"/>
          <w:insideH w:val="nil"/>
          <w:insideV w:val="nil"/>
        </w:tcBorders>
        <w:shd w:val="clear" w:color="auto" w:fill="80BAC3" w:themeFill="accent2"/>
      </w:tcPr>
    </w:tblStylePr>
    <w:tblStylePr w:type="lastRow">
      <w:rPr>
        <w:b/>
        <w:bCs/>
      </w:rPr>
      <w:tblPr/>
      <w:tcPr>
        <w:tcBorders>
          <w:top w:val="double" w:sz="4" w:space="0" w:color="80BAC3" w:themeColor="accent2"/>
        </w:tcBorders>
      </w:tcPr>
    </w:tblStylePr>
    <w:tblStylePr w:type="firstCol">
      <w:rPr>
        <w:b/>
        <w:bCs/>
      </w:rPr>
    </w:tblStylePr>
    <w:tblStylePr w:type="lastCol">
      <w:rPr>
        <w:b/>
        <w:bCs/>
      </w:rPr>
    </w:tblStylePr>
    <w:tblStylePr w:type="band1Vert">
      <w:tblPr/>
      <w:tcPr>
        <w:shd w:val="clear" w:color="auto" w:fill="E5F1F3" w:themeFill="accent2" w:themeFillTint="33"/>
      </w:tcPr>
    </w:tblStylePr>
    <w:tblStylePr w:type="band1Horz">
      <w:tblPr/>
      <w:tcPr>
        <w:shd w:val="clear" w:color="auto" w:fill="E5F1F3" w:themeFill="accent2" w:themeFillTint="33"/>
      </w:tcPr>
    </w:tblStylePr>
  </w:style>
  <w:style w:type="table" w:styleId="GridTable4-Accent3">
    <w:name w:val="Grid Table 4 Accent 3"/>
    <w:basedOn w:val="TableNormal"/>
    <w:uiPriority w:val="49"/>
    <w:semiHidden/>
    <w:rsid w:val="00294A5A"/>
    <w:pPr>
      <w:spacing w:after="0" w:line="240" w:lineRule="auto"/>
    </w:pPr>
    <w:tblPr>
      <w:tblStyleRowBandSize w:val="1"/>
      <w:tblStyleColBandSize w:val="1"/>
      <w:tblBorders>
        <w:top w:val="single" w:sz="4" w:space="0" w:color="D8EAED" w:themeColor="accent3" w:themeTint="99"/>
        <w:left w:val="single" w:sz="4" w:space="0" w:color="D8EAED" w:themeColor="accent3" w:themeTint="99"/>
        <w:bottom w:val="single" w:sz="4" w:space="0" w:color="D8EAED" w:themeColor="accent3" w:themeTint="99"/>
        <w:right w:val="single" w:sz="4" w:space="0" w:color="D8EAED" w:themeColor="accent3" w:themeTint="99"/>
        <w:insideH w:val="single" w:sz="4" w:space="0" w:color="D8EAED" w:themeColor="accent3" w:themeTint="99"/>
        <w:insideV w:val="single" w:sz="4" w:space="0" w:color="D8EAED" w:themeColor="accent3" w:themeTint="99"/>
      </w:tblBorders>
    </w:tblPr>
    <w:tblStylePr w:type="firstRow">
      <w:rPr>
        <w:b/>
        <w:bCs/>
        <w:color w:val="FFFFFF" w:themeColor="background1"/>
      </w:rPr>
      <w:tblPr/>
      <w:tcPr>
        <w:tcBorders>
          <w:top w:val="single" w:sz="4" w:space="0" w:color="BFDDE1" w:themeColor="accent3"/>
          <w:left w:val="single" w:sz="4" w:space="0" w:color="BFDDE1" w:themeColor="accent3"/>
          <w:bottom w:val="single" w:sz="4" w:space="0" w:color="BFDDE1" w:themeColor="accent3"/>
          <w:right w:val="single" w:sz="4" w:space="0" w:color="BFDDE1" w:themeColor="accent3"/>
          <w:insideH w:val="nil"/>
          <w:insideV w:val="nil"/>
        </w:tcBorders>
        <w:shd w:val="clear" w:color="auto" w:fill="BFDDE1" w:themeFill="accent3"/>
      </w:tcPr>
    </w:tblStylePr>
    <w:tblStylePr w:type="lastRow">
      <w:rPr>
        <w:b/>
        <w:bCs/>
      </w:rPr>
      <w:tblPr/>
      <w:tcPr>
        <w:tcBorders>
          <w:top w:val="double" w:sz="4" w:space="0" w:color="BFDDE1" w:themeColor="accent3"/>
        </w:tcBorders>
      </w:tcPr>
    </w:tblStylePr>
    <w:tblStylePr w:type="firstCol">
      <w:rPr>
        <w:b/>
        <w:bCs/>
      </w:rPr>
    </w:tblStylePr>
    <w:tblStylePr w:type="lastCol">
      <w:rPr>
        <w:b/>
        <w:bCs/>
      </w:rPr>
    </w:tblStylePr>
    <w:tblStylePr w:type="band1Vert">
      <w:tblPr/>
      <w:tcPr>
        <w:shd w:val="clear" w:color="auto" w:fill="F2F8F9" w:themeFill="accent3" w:themeFillTint="33"/>
      </w:tcPr>
    </w:tblStylePr>
    <w:tblStylePr w:type="band1Horz">
      <w:tblPr/>
      <w:tcPr>
        <w:shd w:val="clear" w:color="auto" w:fill="F2F8F9" w:themeFill="accent3" w:themeFillTint="33"/>
      </w:tcPr>
    </w:tblStylePr>
  </w:style>
  <w:style w:type="table" w:styleId="GridTable4-Accent4">
    <w:name w:val="Grid Table 4 Accent 4"/>
    <w:basedOn w:val="TableNormal"/>
    <w:uiPriority w:val="49"/>
    <w:semiHidden/>
    <w:rsid w:val="00294A5A"/>
    <w:pPr>
      <w:spacing w:after="0" w:line="240" w:lineRule="auto"/>
    </w:pPr>
    <w:tblPr>
      <w:tblStyleRowBandSize w:val="1"/>
      <w:tblStyleColBandSize w:val="1"/>
      <w:tblBorders>
        <w:top w:val="single" w:sz="4" w:space="0" w:color="84849D" w:themeColor="accent4" w:themeTint="99"/>
        <w:left w:val="single" w:sz="4" w:space="0" w:color="84849D" w:themeColor="accent4" w:themeTint="99"/>
        <w:bottom w:val="single" w:sz="4" w:space="0" w:color="84849D" w:themeColor="accent4" w:themeTint="99"/>
        <w:right w:val="single" w:sz="4" w:space="0" w:color="84849D" w:themeColor="accent4" w:themeTint="99"/>
        <w:insideH w:val="single" w:sz="4" w:space="0" w:color="84849D" w:themeColor="accent4" w:themeTint="99"/>
        <w:insideV w:val="single" w:sz="4" w:space="0" w:color="84849D" w:themeColor="accent4" w:themeTint="99"/>
      </w:tblBorders>
    </w:tblPr>
    <w:tblStylePr w:type="firstRow">
      <w:rPr>
        <w:b/>
        <w:bCs/>
        <w:color w:val="FFFFFF" w:themeColor="background1"/>
      </w:rPr>
      <w:tblPr/>
      <w:tcPr>
        <w:tcBorders>
          <w:top w:val="single" w:sz="4" w:space="0" w:color="404050" w:themeColor="accent4"/>
          <w:left w:val="single" w:sz="4" w:space="0" w:color="404050" w:themeColor="accent4"/>
          <w:bottom w:val="single" w:sz="4" w:space="0" w:color="404050" w:themeColor="accent4"/>
          <w:right w:val="single" w:sz="4" w:space="0" w:color="404050" w:themeColor="accent4"/>
          <w:insideH w:val="nil"/>
          <w:insideV w:val="nil"/>
        </w:tcBorders>
        <w:shd w:val="clear" w:color="auto" w:fill="404050" w:themeFill="accent4"/>
      </w:tcPr>
    </w:tblStylePr>
    <w:tblStylePr w:type="lastRow">
      <w:rPr>
        <w:b/>
        <w:bCs/>
      </w:rPr>
      <w:tblPr/>
      <w:tcPr>
        <w:tcBorders>
          <w:top w:val="double" w:sz="4" w:space="0" w:color="404050" w:themeColor="accent4"/>
        </w:tcBorders>
      </w:tcPr>
    </w:tblStylePr>
    <w:tblStylePr w:type="firstCol">
      <w:rPr>
        <w:b/>
        <w:bCs/>
      </w:rPr>
    </w:tblStylePr>
    <w:tblStylePr w:type="lastCol">
      <w:rPr>
        <w:b/>
        <w:bCs/>
      </w:rPr>
    </w:tblStylePr>
    <w:tblStylePr w:type="band1Vert">
      <w:tblPr/>
      <w:tcPr>
        <w:shd w:val="clear" w:color="auto" w:fill="D6D6DE" w:themeFill="accent4" w:themeFillTint="33"/>
      </w:tcPr>
    </w:tblStylePr>
    <w:tblStylePr w:type="band1Horz">
      <w:tblPr/>
      <w:tcPr>
        <w:shd w:val="clear" w:color="auto" w:fill="D6D6DE" w:themeFill="accent4" w:themeFillTint="33"/>
      </w:tcPr>
    </w:tblStylePr>
  </w:style>
  <w:style w:type="table" w:styleId="GridTable4-Accent5">
    <w:name w:val="Grid Table 4 Accent 5"/>
    <w:basedOn w:val="TableNormal"/>
    <w:uiPriority w:val="49"/>
    <w:semiHidden/>
    <w:rsid w:val="00294A5A"/>
    <w:pPr>
      <w:spacing w:after="0" w:line="240" w:lineRule="auto"/>
    </w:pPr>
    <w:tblPr>
      <w:tblStyleRowBandSize w:val="1"/>
      <w:tblStyleColBandSize w:val="1"/>
      <w:tblBorders>
        <w:top w:val="single" w:sz="4" w:space="0" w:color="B2B2B9" w:themeColor="accent5" w:themeTint="99"/>
        <w:left w:val="single" w:sz="4" w:space="0" w:color="B2B2B9" w:themeColor="accent5" w:themeTint="99"/>
        <w:bottom w:val="single" w:sz="4" w:space="0" w:color="B2B2B9" w:themeColor="accent5" w:themeTint="99"/>
        <w:right w:val="single" w:sz="4" w:space="0" w:color="B2B2B9" w:themeColor="accent5" w:themeTint="99"/>
        <w:insideH w:val="single" w:sz="4" w:space="0" w:color="B2B2B9" w:themeColor="accent5" w:themeTint="99"/>
        <w:insideV w:val="single" w:sz="4" w:space="0" w:color="B2B2B9" w:themeColor="accent5" w:themeTint="99"/>
      </w:tblBorders>
    </w:tblPr>
    <w:tblStylePr w:type="firstRow">
      <w:rPr>
        <w:b/>
        <w:bCs/>
        <w:color w:val="FFFFFF" w:themeColor="background1"/>
      </w:rPr>
      <w:tblPr/>
      <w:tcPr>
        <w:tcBorders>
          <w:top w:val="single" w:sz="4" w:space="0" w:color="80808B" w:themeColor="accent5"/>
          <w:left w:val="single" w:sz="4" w:space="0" w:color="80808B" w:themeColor="accent5"/>
          <w:bottom w:val="single" w:sz="4" w:space="0" w:color="80808B" w:themeColor="accent5"/>
          <w:right w:val="single" w:sz="4" w:space="0" w:color="80808B" w:themeColor="accent5"/>
          <w:insideH w:val="nil"/>
          <w:insideV w:val="nil"/>
        </w:tcBorders>
        <w:shd w:val="clear" w:color="auto" w:fill="80808B" w:themeFill="accent5"/>
      </w:tcPr>
    </w:tblStylePr>
    <w:tblStylePr w:type="lastRow">
      <w:rPr>
        <w:b/>
        <w:bCs/>
      </w:rPr>
      <w:tblPr/>
      <w:tcPr>
        <w:tcBorders>
          <w:top w:val="double" w:sz="4" w:space="0" w:color="80808B" w:themeColor="accent5"/>
        </w:tcBorders>
      </w:tcPr>
    </w:tblStylePr>
    <w:tblStylePr w:type="firstCol">
      <w:rPr>
        <w:b/>
        <w:bCs/>
      </w:rPr>
    </w:tblStylePr>
    <w:tblStylePr w:type="lastCol">
      <w:rPr>
        <w:b/>
        <w:bCs/>
      </w:rPr>
    </w:tblStylePr>
    <w:tblStylePr w:type="band1Vert">
      <w:tblPr/>
      <w:tcPr>
        <w:shd w:val="clear" w:color="auto" w:fill="E5E5E7" w:themeFill="accent5" w:themeFillTint="33"/>
      </w:tcPr>
    </w:tblStylePr>
    <w:tblStylePr w:type="band1Horz">
      <w:tblPr/>
      <w:tcPr>
        <w:shd w:val="clear" w:color="auto" w:fill="E5E5E7" w:themeFill="accent5" w:themeFillTint="33"/>
      </w:tcPr>
    </w:tblStylePr>
  </w:style>
  <w:style w:type="table" w:styleId="GridTable4-Accent6">
    <w:name w:val="Grid Table 4 Accent 6"/>
    <w:basedOn w:val="TableNormal"/>
    <w:uiPriority w:val="49"/>
    <w:semiHidden/>
    <w:rsid w:val="00294A5A"/>
    <w:pPr>
      <w:spacing w:after="0" w:line="240" w:lineRule="auto"/>
    </w:pPr>
    <w:tblPr>
      <w:tblStyleRowBandSize w:val="1"/>
      <w:tblStyleColBandSize w:val="1"/>
      <w:tblBorders>
        <w:top w:val="single" w:sz="4" w:space="0" w:color="E0E0E2" w:themeColor="accent6" w:themeTint="99"/>
        <w:left w:val="single" w:sz="4" w:space="0" w:color="E0E0E2" w:themeColor="accent6" w:themeTint="99"/>
        <w:bottom w:val="single" w:sz="4" w:space="0" w:color="E0E0E2" w:themeColor="accent6" w:themeTint="99"/>
        <w:right w:val="single" w:sz="4" w:space="0" w:color="E0E0E2" w:themeColor="accent6" w:themeTint="99"/>
        <w:insideH w:val="single" w:sz="4" w:space="0" w:color="E0E0E2" w:themeColor="accent6" w:themeTint="99"/>
        <w:insideV w:val="single" w:sz="4" w:space="0" w:color="E0E0E2" w:themeColor="accent6" w:themeTint="99"/>
      </w:tblBorders>
    </w:tblPr>
    <w:tblStylePr w:type="firstRow">
      <w:rPr>
        <w:b/>
        <w:bCs/>
        <w:color w:val="FFFFFF" w:themeColor="background1"/>
      </w:rPr>
      <w:tblPr/>
      <w:tcPr>
        <w:tcBorders>
          <w:top w:val="single" w:sz="4" w:space="0" w:color="CCCCD0" w:themeColor="accent6"/>
          <w:left w:val="single" w:sz="4" w:space="0" w:color="CCCCD0" w:themeColor="accent6"/>
          <w:bottom w:val="single" w:sz="4" w:space="0" w:color="CCCCD0" w:themeColor="accent6"/>
          <w:right w:val="single" w:sz="4" w:space="0" w:color="CCCCD0" w:themeColor="accent6"/>
          <w:insideH w:val="nil"/>
          <w:insideV w:val="nil"/>
        </w:tcBorders>
        <w:shd w:val="clear" w:color="auto" w:fill="CCCCD0" w:themeFill="accent6"/>
      </w:tcPr>
    </w:tblStylePr>
    <w:tblStylePr w:type="lastRow">
      <w:rPr>
        <w:b/>
        <w:bCs/>
      </w:rPr>
      <w:tblPr/>
      <w:tcPr>
        <w:tcBorders>
          <w:top w:val="double" w:sz="4" w:space="0" w:color="CCCCD0" w:themeColor="accent6"/>
        </w:tcBorders>
      </w:tcPr>
    </w:tblStylePr>
    <w:tblStylePr w:type="firstCol">
      <w:rPr>
        <w:b/>
        <w:bCs/>
      </w:rPr>
    </w:tblStylePr>
    <w:tblStylePr w:type="lastCol">
      <w:rPr>
        <w:b/>
        <w:bCs/>
      </w:rPr>
    </w:tblStylePr>
    <w:tblStylePr w:type="band1Vert">
      <w:tblPr/>
      <w:tcPr>
        <w:shd w:val="clear" w:color="auto" w:fill="F4F4F5" w:themeFill="accent6" w:themeFillTint="33"/>
      </w:tcPr>
    </w:tblStylePr>
    <w:tblStylePr w:type="band1Horz">
      <w:tblPr/>
      <w:tcPr>
        <w:shd w:val="clear" w:color="auto" w:fill="F4F4F5" w:themeFill="accent6" w:themeFillTint="33"/>
      </w:tcPr>
    </w:tblStylePr>
  </w:style>
  <w:style w:type="table" w:styleId="GridTable5Dark">
    <w:name w:val="Grid Table 5 Dark"/>
    <w:basedOn w:val="TableNormal"/>
    <w:uiPriority w:val="50"/>
    <w:semiHidden/>
    <w:rsid w:val="00294A5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semiHidden/>
    <w:rsid w:val="00294A5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6ECE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098A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098A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098A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098A4" w:themeFill="accent1"/>
      </w:tcPr>
    </w:tblStylePr>
    <w:tblStylePr w:type="band1Vert">
      <w:tblPr/>
      <w:tcPr>
        <w:shd w:val="clear" w:color="auto" w:fill="ADD9DF" w:themeFill="accent1" w:themeFillTint="66"/>
      </w:tcPr>
    </w:tblStylePr>
    <w:tblStylePr w:type="band1Horz">
      <w:tblPr/>
      <w:tcPr>
        <w:shd w:val="clear" w:color="auto" w:fill="ADD9DF" w:themeFill="accent1" w:themeFillTint="66"/>
      </w:tcPr>
    </w:tblStylePr>
  </w:style>
  <w:style w:type="table" w:styleId="GridTable5Dark-Accent2">
    <w:name w:val="Grid Table 5 Dark Accent 2"/>
    <w:basedOn w:val="TableNormal"/>
    <w:uiPriority w:val="50"/>
    <w:semiHidden/>
    <w:rsid w:val="00294A5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F1F3"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BAC3"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BAC3"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BAC3"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BAC3" w:themeFill="accent2"/>
      </w:tcPr>
    </w:tblStylePr>
    <w:tblStylePr w:type="band1Vert">
      <w:tblPr/>
      <w:tcPr>
        <w:shd w:val="clear" w:color="auto" w:fill="CCE3E7" w:themeFill="accent2" w:themeFillTint="66"/>
      </w:tcPr>
    </w:tblStylePr>
    <w:tblStylePr w:type="band1Horz">
      <w:tblPr/>
      <w:tcPr>
        <w:shd w:val="clear" w:color="auto" w:fill="CCE3E7" w:themeFill="accent2" w:themeFillTint="66"/>
      </w:tcPr>
    </w:tblStylePr>
  </w:style>
  <w:style w:type="table" w:styleId="GridTable5Dark-Accent3">
    <w:name w:val="Grid Table 5 Dark Accent 3"/>
    <w:basedOn w:val="TableNormal"/>
    <w:uiPriority w:val="50"/>
    <w:semiHidden/>
    <w:rsid w:val="00294A5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8F9"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FDDE1"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FDDE1"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FDDE1"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FDDE1" w:themeFill="accent3"/>
      </w:tcPr>
    </w:tblStylePr>
    <w:tblStylePr w:type="band1Vert">
      <w:tblPr/>
      <w:tcPr>
        <w:shd w:val="clear" w:color="auto" w:fill="E5F1F3" w:themeFill="accent3" w:themeFillTint="66"/>
      </w:tcPr>
    </w:tblStylePr>
    <w:tblStylePr w:type="band1Horz">
      <w:tblPr/>
      <w:tcPr>
        <w:shd w:val="clear" w:color="auto" w:fill="E5F1F3" w:themeFill="accent3" w:themeFillTint="66"/>
      </w:tcPr>
    </w:tblStylePr>
  </w:style>
  <w:style w:type="table" w:styleId="GridTable5Dark-Accent4">
    <w:name w:val="Grid Table 5 Dark Accent 4"/>
    <w:basedOn w:val="TableNormal"/>
    <w:uiPriority w:val="50"/>
    <w:semiHidden/>
    <w:rsid w:val="00294A5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6D6DE"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0405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0405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0405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04050" w:themeFill="accent4"/>
      </w:tcPr>
    </w:tblStylePr>
    <w:tblStylePr w:type="band1Vert">
      <w:tblPr/>
      <w:tcPr>
        <w:shd w:val="clear" w:color="auto" w:fill="ADADBD" w:themeFill="accent4" w:themeFillTint="66"/>
      </w:tcPr>
    </w:tblStylePr>
    <w:tblStylePr w:type="band1Horz">
      <w:tblPr/>
      <w:tcPr>
        <w:shd w:val="clear" w:color="auto" w:fill="ADADBD" w:themeFill="accent4" w:themeFillTint="66"/>
      </w:tcPr>
    </w:tblStylePr>
  </w:style>
  <w:style w:type="table" w:styleId="GridTable5Dark-Accent5">
    <w:name w:val="Grid Table 5 Dark Accent 5"/>
    <w:basedOn w:val="TableNormal"/>
    <w:uiPriority w:val="50"/>
    <w:semiHidden/>
    <w:rsid w:val="00294A5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E5E7"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808B"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808B"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808B"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808B" w:themeFill="accent5"/>
      </w:tcPr>
    </w:tblStylePr>
    <w:tblStylePr w:type="band1Vert">
      <w:tblPr/>
      <w:tcPr>
        <w:shd w:val="clear" w:color="auto" w:fill="CCCCD0" w:themeFill="accent5" w:themeFillTint="66"/>
      </w:tcPr>
    </w:tblStylePr>
    <w:tblStylePr w:type="band1Horz">
      <w:tblPr/>
      <w:tcPr>
        <w:shd w:val="clear" w:color="auto" w:fill="CCCCD0" w:themeFill="accent5" w:themeFillTint="66"/>
      </w:tcPr>
    </w:tblStylePr>
  </w:style>
  <w:style w:type="table" w:styleId="GridTable5Dark-Accent6">
    <w:name w:val="Grid Table 5 Dark Accent 6"/>
    <w:basedOn w:val="TableNormal"/>
    <w:uiPriority w:val="50"/>
    <w:semiHidden/>
    <w:rsid w:val="00294A5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4F4F5"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CCCD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CCCD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CCCD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CCCD0" w:themeFill="accent6"/>
      </w:tcPr>
    </w:tblStylePr>
    <w:tblStylePr w:type="band1Vert">
      <w:tblPr/>
      <w:tcPr>
        <w:shd w:val="clear" w:color="auto" w:fill="EAEAEC" w:themeFill="accent6" w:themeFillTint="66"/>
      </w:tcPr>
    </w:tblStylePr>
    <w:tblStylePr w:type="band1Horz">
      <w:tblPr/>
      <w:tcPr>
        <w:shd w:val="clear" w:color="auto" w:fill="EAEAEC" w:themeFill="accent6" w:themeFillTint="66"/>
      </w:tcPr>
    </w:tblStylePr>
  </w:style>
  <w:style w:type="table" w:styleId="GridTable6Colorful">
    <w:name w:val="Grid Table 6 Colorful"/>
    <w:basedOn w:val="TableNormal"/>
    <w:uiPriority w:val="51"/>
    <w:semiHidden/>
    <w:rsid w:val="00294A5A"/>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semiHidden/>
    <w:rsid w:val="00294A5A"/>
    <w:pPr>
      <w:spacing w:after="0" w:line="240" w:lineRule="auto"/>
    </w:pPr>
    <w:rPr>
      <w:color w:val="30717A" w:themeColor="accent1" w:themeShade="BF"/>
    </w:rPr>
    <w:tblPr>
      <w:tblStyleRowBandSize w:val="1"/>
      <w:tblStyleColBandSize w:val="1"/>
      <w:tblBorders>
        <w:top w:val="single" w:sz="4" w:space="0" w:color="85C6CF" w:themeColor="accent1" w:themeTint="99"/>
        <w:left w:val="single" w:sz="4" w:space="0" w:color="85C6CF" w:themeColor="accent1" w:themeTint="99"/>
        <w:bottom w:val="single" w:sz="4" w:space="0" w:color="85C6CF" w:themeColor="accent1" w:themeTint="99"/>
        <w:right w:val="single" w:sz="4" w:space="0" w:color="85C6CF" w:themeColor="accent1" w:themeTint="99"/>
        <w:insideH w:val="single" w:sz="4" w:space="0" w:color="85C6CF" w:themeColor="accent1" w:themeTint="99"/>
        <w:insideV w:val="single" w:sz="4" w:space="0" w:color="85C6CF" w:themeColor="accent1" w:themeTint="99"/>
      </w:tblBorders>
    </w:tblPr>
    <w:tblStylePr w:type="firstRow">
      <w:rPr>
        <w:b/>
        <w:bCs/>
      </w:rPr>
      <w:tblPr/>
      <w:tcPr>
        <w:tcBorders>
          <w:bottom w:val="single" w:sz="12" w:space="0" w:color="85C6CF" w:themeColor="accent1" w:themeTint="99"/>
        </w:tcBorders>
      </w:tcPr>
    </w:tblStylePr>
    <w:tblStylePr w:type="lastRow">
      <w:rPr>
        <w:b/>
        <w:bCs/>
      </w:rPr>
      <w:tblPr/>
      <w:tcPr>
        <w:tcBorders>
          <w:top w:val="double" w:sz="4" w:space="0" w:color="85C6CF" w:themeColor="accent1" w:themeTint="99"/>
        </w:tcBorders>
      </w:tcPr>
    </w:tblStylePr>
    <w:tblStylePr w:type="firstCol">
      <w:rPr>
        <w:b/>
        <w:bCs/>
      </w:rPr>
    </w:tblStylePr>
    <w:tblStylePr w:type="lastCol">
      <w:rPr>
        <w:b/>
        <w:bCs/>
      </w:rPr>
    </w:tblStylePr>
    <w:tblStylePr w:type="band1Vert">
      <w:tblPr/>
      <w:tcPr>
        <w:shd w:val="clear" w:color="auto" w:fill="D6ECEF" w:themeFill="accent1" w:themeFillTint="33"/>
      </w:tcPr>
    </w:tblStylePr>
    <w:tblStylePr w:type="band1Horz">
      <w:tblPr/>
      <w:tcPr>
        <w:shd w:val="clear" w:color="auto" w:fill="D6ECEF" w:themeFill="accent1" w:themeFillTint="33"/>
      </w:tcPr>
    </w:tblStylePr>
  </w:style>
  <w:style w:type="table" w:styleId="GridTable6Colorful-Accent2">
    <w:name w:val="Grid Table 6 Colorful Accent 2"/>
    <w:basedOn w:val="TableNormal"/>
    <w:uiPriority w:val="51"/>
    <w:semiHidden/>
    <w:rsid w:val="00294A5A"/>
    <w:pPr>
      <w:spacing w:after="0" w:line="240" w:lineRule="auto"/>
    </w:pPr>
    <w:rPr>
      <w:color w:val="4D98A4" w:themeColor="accent2" w:themeShade="BF"/>
    </w:rPr>
    <w:tblPr>
      <w:tblStyleRowBandSize w:val="1"/>
      <w:tblStyleColBandSize w:val="1"/>
      <w:tblBorders>
        <w:top w:val="single" w:sz="4" w:space="0" w:color="B2D5DB" w:themeColor="accent2" w:themeTint="99"/>
        <w:left w:val="single" w:sz="4" w:space="0" w:color="B2D5DB" w:themeColor="accent2" w:themeTint="99"/>
        <w:bottom w:val="single" w:sz="4" w:space="0" w:color="B2D5DB" w:themeColor="accent2" w:themeTint="99"/>
        <w:right w:val="single" w:sz="4" w:space="0" w:color="B2D5DB" w:themeColor="accent2" w:themeTint="99"/>
        <w:insideH w:val="single" w:sz="4" w:space="0" w:color="B2D5DB" w:themeColor="accent2" w:themeTint="99"/>
        <w:insideV w:val="single" w:sz="4" w:space="0" w:color="B2D5DB" w:themeColor="accent2" w:themeTint="99"/>
      </w:tblBorders>
    </w:tblPr>
    <w:tblStylePr w:type="firstRow">
      <w:rPr>
        <w:b/>
        <w:bCs/>
      </w:rPr>
      <w:tblPr/>
      <w:tcPr>
        <w:tcBorders>
          <w:bottom w:val="single" w:sz="12" w:space="0" w:color="B2D5DB" w:themeColor="accent2" w:themeTint="99"/>
        </w:tcBorders>
      </w:tcPr>
    </w:tblStylePr>
    <w:tblStylePr w:type="lastRow">
      <w:rPr>
        <w:b/>
        <w:bCs/>
      </w:rPr>
      <w:tblPr/>
      <w:tcPr>
        <w:tcBorders>
          <w:top w:val="double" w:sz="4" w:space="0" w:color="B2D5DB" w:themeColor="accent2" w:themeTint="99"/>
        </w:tcBorders>
      </w:tcPr>
    </w:tblStylePr>
    <w:tblStylePr w:type="firstCol">
      <w:rPr>
        <w:b/>
        <w:bCs/>
      </w:rPr>
    </w:tblStylePr>
    <w:tblStylePr w:type="lastCol">
      <w:rPr>
        <w:b/>
        <w:bCs/>
      </w:rPr>
    </w:tblStylePr>
    <w:tblStylePr w:type="band1Vert">
      <w:tblPr/>
      <w:tcPr>
        <w:shd w:val="clear" w:color="auto" w:fill="E5F1F3" w:themeFill="accent2" w:themeFillTint="33"/>
      </w:tcPr>
    </w:tblStylePr>
    <w:tblStylePr w:type="band1Horz">
      <w:tblPr/>
      <w:tcPr>
        <w:shd w:val="clear" w:color="auto" w:fill="E5F1F3" w:themeFill="accent2" w:themeFillTint="33"/>
      </w:tcPr>
    </w:tblStylePr>
  </w:style>
  <w:style w:type="table" w:styleId="GridTable6Colorful-Accent3">
    <w:name w:val="Grid Table 6 Colorful Accent 3"/>
    <w:basedOn w:val="TableNormal"/>
    <w:uiPriority w:val="51"/>
    <w:semiHidden/>
    <w:rsid w:val="00294A5A"/>
    <w:pPr>
      <w:spacing w:after="0" w:line="240" w:lineRule="auto"/>
    </w:pPr>
    <w:rPr>
      <w:color w:val="77B7BF" w:themeColor="accent3" w:themeShade="BF"/>
    </w:rPr>
    <w:tblPr>
      <w:tblStyleRowBandSize w:val="1"/>
      <w:tblStyleColBandSize w:val="1"/>
      <w:tblBorders>
        <w:top w:val="single" w:sz="4" w:space="0" w:color="D8EAED" w:themeColor="accent3" w:themeTint="99"/>
        <w:left w:val="single" w:sz="4" w:space="0" w:color="D8EAED" w:themeColor="accent3" w:themeTint="99"/>
        <w:bottom w:val="single" w:sz="4" w:space="0" w:color="D8EAED" w:themeColor="accent3" w:themeTint="99"/>
        <w:right w:val="single" w:sz="4" w:space="0" w:color="D8EAED" w:themeColor="accent3" w:themeTint="99"/>
        <w:insideH w:val="single" w:sz="4" w:space="0" w:color="D8EAED" w:themeColor="accent3" w:themeTint="99"/>
        <w:insideV w:val="single" w:sz="4" w:space="0" w:color="D8EAED" w:themeColor="accent3" w:themeTint="99"/>
      </w:tblBorders>
    </w:tblPr>
    <w:tblStylePr w:type="firstRow">
      <w:rPr>
        <w:b/>
        <w:bCs/>
      </w:rPr>
      <w:tblPr/>
      <w:tcPr>
        <w:tcBorders>
          <w:bottom w:val="single" w:sz="12" w:space="0" w:color="D8EAED" w:themeColor="accent3" w:themeTint="99"/>
        </w:tcBorders>
      </w:tcPr>
    </w:tblStylePr>
    <w:tblStylePr w:type="lastRow">
      <w:rPr>
        <w:b/>
        <w:bCs/>
      </w:rPr>
      <w:tblPr/>
      <w:tcPr>
        <w:tcBorders>
          <w:top w:val="double" w:sz="4" w:space="0" w:color="D8EAED" w:themeColor="accent3" w:themeTint="99"/>
        </w:tcBorders>
      </w:tcPr>
    </w:tblStylePr>
    <w:tblStylePr w:type="firstCol">
      <w:rPr>
        <w:b/>
        <w:bCs/>
      </w:rPr>
    </w:tblStylePr>
    <w:tblStylePr w:type="lastCol">
      <w:rPr>
        <w:b/>
        <w:bCs/>
      </w:rPr>
    </w:tblStylePr>
    <w:tblStylePr w:type="band1Vert">
      <w:tblPr/>
      <w:tcPr>
        <w:shd w:val="clear" w:color="auto" w:fill="F2F8F9" w:themeFill="accent3" w:themeFillTint="33"/>
      </w:tcPr>
    </w:tblStylePr>
    <w:tblStylePr w:type="band1Horz">
      <w:tblPr/>
      <w:tcPr>
        <w:shd w:val="clear" w:color="auto" w:fill="F2F8F9" w:themeFill="accent3" w:themeFillTint="33"/>
      </w:tcPr>
    </w:tblStylePr>
  </w:style>
  <w:style w:type="table" w:styleId="GridTable6Colorful-Accent4">
    <w:name w:val="Grid Table 6 Colorful Accent 4"/>
    <w:basedOn w:val="TableNormal"/>
    <w:uiPriority w:val="51"/>
    <w:semiHidden/>
    <w:rsid w:val="00294A5A"/>
    <w:pPr>
      <w:spacing w:after="0" w:line="240" w:lineRule="auto"/>
    </w:pPr>
    <w:rPr>
      <w:color w:val="30303B" w:themeColor="accent4" w:themeShade="BF"/>
    </w:rPr>
    <w:tblPr>
      <w:tblStyleRowBandSize w:val="1"/>
      <w:tblStyleColBandSize w:val="1"/>
      <w:tblBorders>
        <w:top w:val="single" w:sz="4" w:space="0" w:color="84849D" w:themeColor="accent4" w:themeTint="99"/>
        <w:left w:val="single" w:sz="4" w:space="0" w:color="84849D" w:themeColor="accent4" w:themeTint="99"/>
        <w:bottom w:val="single" w:sz="4" w:space="0" w:color="84849D" w:themeColor="accent4" w:themeTint="99"/>
        <w:right w:val="single" w:sz="4" w:space="0" w:color="84849D" w:themeColor="accent4" w:themeTint="99"/>
        <w:insideH w:val="single" w:sz="4" w:space="0" w:color="84849D" w:themeColor="accent4" w:themeTint="99"/>
        <w:insideV w:val="single" w:sz="4" w:space="0" w:color="84849D" w:themeColor="accent4" w:themeTint="99"/>
      </w:tblBorders>
    </w:tblPr>
    <w:tblStylePr w:type="firstRow">
      <w:rPr>
        <w:b/>
        <w:bCs/>
      </w:rPr>
      <w:tblPr/>
      <w:tcPr>
        <w:tcBorders>
          <w:bottom w:val="single" w:sz="12" w:space="0" w:color="84849D" w:themeColor="accent4" w:themeTint="99"/>
        </w:tcBorders>
      </w:tcPr>
    </w:tblStylePr>
    <w:tblStylePr w:type="lastRow">
      <w:rPr>
        <w:b/>
        <w:bCs/>
      </w:rPr>
      <w:tblPr/>
      <w:tcPr>
        <w:tcBorders>
          <w:top w:val="double" w:sz="4" w:space="0" w:color="84849D" w:themeColor="accent4" w:themeTint="99"/>
        </w:tcBorders>
      </w:tcPr>
    </w:tblStylePr>
    <w:tblStylePr w:type="firstCol">
      <w:rPr>
        <w:b/>
        <w:bCs/>
      </w:rPr>
    </w:tblStylePr>
    <w:tblStylePr w:type="lastCol">
      <w:rPr>
        <w:b/>
        <w:bCs/>
      </w:rPr>
    </w:tblStylePr>
    <w:tblStylePr w:type="band1Vert">
      <w:tblPr/>
      <w:tcPr>
        <w:shd w:val="clear" w:color="auto" w:fill="D6D6DE" w:themeFill="accent4" w:themeFillTint="33"/>
      </w:tcPr>
    </w:tblStylePr>
    <w:tblStylePr w:type="band1Horz">
      <w:tblPr/>
      <w:tcPr>
        <w:shd w:val="clear" w:color="auto" w:fill="D6D6DE" w:themeFill="accent4" w:themeFillTint="33"/>
      </w:tcPr>
    </w:tblStylePr>
  </w:style>
  <w:style w:type="table" w:styleId="GridTable6Colorful-Accent5">
    <w:name w:val="Grid Table 6 Colorful Accent 5"/>
    <w:basedOn w:val="TableNormal"/>
    <w:uiPriority w:val="51"/>
    <w:semiHidden/>
    <w:rsid w:val="00294A5A"/>
    <w:pPr>
      <w:spacing w:after="0" w:line="240" w:lineRule="auto"/>
    </w:pPr>
    <w:rPr>
      <w:color w:val="5F5F68" w:themeColor="accent5" w:themeShade="BF"/>
    </w:rPr>
    <w:tblPr>
      <w:tblStyleRowBandSize w:val="1"/>
      <w:tblStyleColBandSize w:val="1"/>
      <w:tblBorders>
        <w:top w:val="single" w:sz="4" w:space="0" w:color="B2B2B9" w:themeColor="accent5" w:themeTint="99"/>
        <w:left w:val="single" w:sz="4" w:space="0" w:color="B2B2B9" w:themeColor="accent5" w:themeTint="99"/>
        <w:bottom w:val="single" w:sz="4" w:space="0" w:color="B2B2B9" w:themeColor="accent5" w:themeTint="99"/>
        <w:right w:val="single" w:sz="4" w:space="0" w:color="B2B2B9" w:themeColor="accent5" w:themeTint="99"/>
        <w:insideH w:val="single" w:sz="4" w:space="0" w:color="B2B2B9" w:themeColor="accent5" w:themeTint="99"/>
        <w:insideV w:val="single" w:sz="4" w:space="0" w:color="B2B2B9" w:themeColor="accent5" w:themeTint="99"/>
      </w:tblBorders>
    </w:tblPr>
    <w:tblStylePr w:type="firstRow">
      <w:rPr>
        <w:b/>
        <w:bCs/>
      </w:rPr>
      <w:tblPr/>
      <w:tcPr>
        <w:tcBorders>
          <w:bottom w:val="single" w:sz="12" w:space="0" w:color="B2B2B9" w:themeColor="accent5" w:themeTint="99"/>
        </w:tcBorders>
      </w:tcPr>
    </w:tblStylePr>
    <w:tblStylePr w:type="lastRow">
      <w:rPr>
        <w:b/>
        <w:bCs/>
      </w:rPr>
      <w:tblPr/>
      <w:tcPr>
        <w:tcBorders>
          <w:top w:val="double" w:sz="4" w:space="0" w:color="B2B2B9" w:themeColor="accent5" w:themeTint="99"/>
        </w:tcBorders>
      </w:tcPr>
    </w:tblStylePr>
    <w:tblStylePr w:type="firstCol">
      <w:rPr>
        <w:b/>
        <w:bCs/>
      </w:rPr>
    </w:tblStylePr>
    <w:tblStylePr w:type="lastCol">
      <w:rPr>
        <w:b/>
        <w:bCs/>
      </w:rPr>
    </w:tblStylePr>
    <w:tblStylePr w:type="band1Vert">
      <w:tblPr/>
      <w:tcPr>
        <w:shd w:val="clear" w:color="auto" w:fill="E5E5E7" w:themeFill="accent5" w:themeFillTint="33"/>
      </w:tcPr>
    </w:tblStylePr>
    <w:tblStylePr w:type="band1Horz">
      <w:tblPr/>
      <w:tcPr>
        <w:shd w:val="clear" w:color="auto" w:fill="E5E5E7" w:themeFill="accent5" w:themeFillTint="33"/>
      </w:tcPr>
    </w:tblStylePr>
  </w:style>
  <w:style w:type="table" w:styleId="GridTable6Colorful-Accent6">
    <w:name w:val="Grid Table 6 Colorful Accent 6"/>
    <w:basedOn w:val="TableNormal"/>
    <w:uiPriority w:val="51"/>
    <w:semiHidden/>
    <w:rsid w:val="00294A5A"/>
    <w:pPr>
      <w:spacing w:after="0" w:line="240" w:lineRule="auto"/>
    </w:pPr>
    <w:rPr>
      <w:color w:val="96969E" w:themeColor="accent6" w:themeShade="BF"/>
    </w:rPr>
    <w:tblPr>
      <w:tblStyleRowBandSize w:val="1"/>
      <w:tblStyleColBandSize w:val="1"/>
      <w:tblBorders>
        <w:top w:val="single" w:sz="4" w:space="0" w:color="E0E0E2" w:themeColor="accent6" w:themeTint="99"/>
        <w:left w:val="single" w:sz="4" w:space="0" w:color="E0E0E2" w:themeColor="accent6" w:themeTint="99"/>
        <w:bottom w:val="single" w:sz="4" w:space="0" w:color="E0E0E2" w:themeColor="accent6" w:themeTint="99"/>
        <w:right w:val="single" w:sz="4" w:space="0" w:color="E0E0E2" w:themeColor="accent6" w:themeTint="99"/>
        <w:insideH w:val="single" w:sz="4" w:space="0" w:color="E0E0E2" w:themeColor="accent6" w:themeTint="99"/>
        <w:insideV w:val="single" w:sz="4" w:space="0" w:color="E0E0E2" w:themeColor="accent6" w:themeTint="99"/>
      </w:tblBorders>
    </w:tblPr>
    <w:tblStylePr w:type="firstRow">
      <w:rPr>
        <w:b/>
        <w:bCs/>
      </w:rPr>
      <w:tblPr/>
      <w:tcPr>
        <w:tcBorders>
          <w:bottom w:val="single" w:sz="12" w:space="0" w:color="E0E0E2" w:themeColor="accent6" w:themeTint="99"/>
        </w:tcBorders>
      </w:tcPr>
    </w:tblStylePr>
    <w:tblStylePr w:type="lastRow">
      <w:rPr>
        <w:b/>
        <w:bCs/>
      </w:rPr>
      <w:tblPr/>
      <w:tcPr>
        <w:tcBorders>
          <w:top w:val="double" w:sz="4" w:space="0" w:color="E0E0E2" w:themeColor="accent6" w:themeTint="99"/>
        </w:tcBorders>
      </w:tcPr>
    </w:tblStylePr>
    <w:tblStylePr w:type="firstCol">
      <w:rPr>
        <w:b/>
        <w:bCs/>
      </w:rPr>
    </w:tblStylePr>
    <w:tblStylePr w:type="lastCol">
      <w:rPr>
        <w:b/>
        <w:bCs/>
      </w:rPr>
    </w:tblStylePr>
    <w:tblStylePr w:type="band1Vert">
      <w:tblPr/>
      <w:tcPr>
        <w:shd w:val="clear" w:color="auto" w:fill="F4F4F5" w:themeFill="accent6" w:themeFillTint="33"/>
      </w:tcPr>
    </w:tblStylePr>
    <w:tblStylePr w:type="band1Horz">
      <w:tblPr/>
      <w:tcPr>
        <w:shd w:val="clear" w:color="auto" w:fill="F4F4F5" w:themeFill="accent6" w:themeFillTint="33"/>
      </w:tcPr>
    </w:tblStylePr>
  </w:style>
  <w:style w:type="table" w:styleId="GridTable7Colorful">
    <w:name w:val="Grid Table 7 Colorful"/>
    <w:basedOn w:val="TableNormal"/>
    <w:uiPriority w:val="52"/>
    <w:semiHidden/>
    <w:rsid w:val="00294A5A"/>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semiHidden/>
    <w:rsid w:val="00294A5A"/>
    <w:pPr>
      <w:spacing w:after="0" w:line="240" w:lineRule="auto"/>
    </w:pPr>
    <w:rPr>
      <w:color w:val="30717A" w:themeColor="accent1" w:themeShade="BF"/>
    </w:rPr>
    <w:tblPr>
      <w:tblStyleRowBandSize w:val="1"/>
      <w:tblStyleColBandSize w:val="1"/>
      <w:tblBorders>
        <w:top w:val="single" w:sz="4" w:space="0" w:color="85C6CF" w:themeColor="accent1" w:themeTint="99"/>
        <w:left w:val="single" w:sz="4" w:space="0" w:color="85C6CF" w:themeColor="accent1" w:themeTint="99"/>
        <w:bottom w:val="single" w:sz="4" w:space="0" w:color="85C6CF" w:themeColor="accent1" w:themeTint="99"/>
        <w:right w:val="single" w:sz="4" w:space="0" w:color="85C6CF" w:themeColor="accent1" w:themeTint="99"/>
        <w:insideH w:val="single" w:sz="4" w:space="0" w:color="85C6CF" w:themeColor="accent1" w:themeTint="99"/>
        <w:insideV w:val="single" w:sz="4" w:space="0" w:color="85C6C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6ECEF" w:themeFill="accent1" w:themeFillTint="33"/>
      </w:tcPr>
    </w:tblStylePr>
    <w:tblStylePr w:type="band1Horz">
      <w:tblPr/>
      <w:tcPr>
        <w:shd w:val="clear" w:color="auto" w:fill="D6ECEF" w:themeFill="accent1" w:themeFillTint="33"/>
      </w:tcPr>
    </w:tblStylePr>
    <w:tblStylePr w:type="neCell">
      <w:tblPr/>
      <w:tcPr>
        <w:tcBorders>
          <w:bottom w:val="single" w:sz="4" w:space="0" w:color="85C6CF" w:themeColor="accent1" w:themeTint="99"/>
        </w:tcBorders>
      </w:tcPr>
    </w:tblStylePr>
    <w:tblStylePr w:type="nwCell">
      <w:tblPr/>
      <w:tcPr>
        <w:tcBorders>
          <w:bottom w:val="single" w:sz="4" w:space="0" w:color="85C6CF" w:themeColor="accent1" w:themeTint="99"/>
        </w:tcBorders>
      </w:tcPr>
    </w:tblStylePr>
    <w:tblStylePr w:type="seCell">
      <w:tblPr/>
      <w:tcPr>
        <w:tcBorders>
          <w:top w:val="single" w:sz="4" w:space="0" w:color="85C6CF" w:themeColor="accent1" w:themeTint="99"/>
        </w:tcBorders>
      </w:tcPr>
    </w:tblStylePr>
    <w:tblStylePr w:type="swCell">
      <w:tblPr/>
      <w:tcPr>
        <w:tcBorders>
          <w:top w:val="single" w:sz="4" w:space="0" w:color="85C6CF" w:themeColor="accent1" w:themeTint="99"/>
        </w:tcBorders>
      </w:tcPr>
    </w:tblStylePr>
  </w:style>
  <w:style w:type="table" w:styleId="GridTable7Colorful-Accent2">
    <w:name w:val="Grid Table 7 Colorful Accent 2"/>
    <w:basedOn w:val="TableNormal"/>
    <w:uiPriority w:val="52"/>
    <w:semiHidden/>
    <w:rsid w:val="00294A5A"/>
    <w:pPr>
      <w:spacing w:after="0" w:line="240" w:lineRule="auto"/>
    </w:pPr>
    <w:rPr>
      <w:color w:val="4D98A4" w:themeColor="accent2" w:themeShade="BF"/>
    </w:rPr>
    <w:tblPr>
      <w:tblStyleRowBandSize w:val="1"/>
      <w:tblStyleColBandSize w:val="1"/>
      <w:tblBorders>
        <w:top w:val="single" w:sz="4" w:space="0" w:color="B2D5DB" w:themeColor="accent2" w:themeTint="99"/>
        <w:left w:val="single" w:sz="4" w:space="0" w:color="B2D5DB" w:themeColor="accent2" w:themeTint="99"/>
        <w:bottom w:val="single" w:sz="4" w:space="0" w:color="B2D5DB" w:themeColor="accent2" w:themeTint="99"/>
        <w:right w:val="single" w:sz="4" w:space="0" w:color="B2D5DB" w:themeColor="accent2" w:themeTint="99"/>
        <w:insideH w:val="single" w:sz="4" w:space="0" w:color="B2D5DB" w:themeColor="accent2" w:themeTint="99"/>
        <w:insideV w:val="single" w:sz="4" w:space="0" w:color="B2D5DB"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F1F3" w:themeFill="accent2" w:themeFillTint="33"/>
      </w:tcPr>
    </w:tblStylePr>
    <w:tblStylePr w:type="band1Horz">
      <w:tblPr/>
      <w:tcPr>
        <w:shd w:val="clear" w:color="auto" w:fill="E5F1F3" w:themeFill="accent2" w:themeFillTint="33"/>
      </w:tcPr>
    </w:tblStylePr>
    <w:tblStylePr w:type="neCell">
      <w:tblPr/>
      <w:tcPr>
        <w:tcBorders>
          <w:bottom w:val="single" w:sz="4" w:space="0" w:color="B2D5DB" w:themeColor="accent2" w:themeTint="99"/>
        </w:tcBorders>
      </w:tcPr>
    </w:tblStylePr>
    <w:tblStylePr w:type="nwCell">
      <w:tblPr/>
      <w:tcPr>
        <w:tcBorders>
          <w:bottom w:val="single" w:sz="4" w:space="0" w:color="B2D5DB" w:themeColor="accent2" w:themeTint="99"/>
        </w:tcBorders>
      </w:tcPr>
    </w:tblStylePr>
    <w:tblStylePr w:type="seCell">
      <w:tblPr/>
      <w:tcPr>
        <w:tcBorders>
          <w:top w:val="single" w:sz="4" w:space="0" w:color="B2D5DB" w:themeColor="accent2" w:themeTint="99"/>
        </w:tcBorders>
      </w:tcPr>
    </w:tblStylePr>
    <w:tblStylePr w:type="swCell">
      <w:tblPr/>
      <w:tcPr>
        <w:tcBorders>
          <w:top w:val="single" w:sz="4" w:space="0" w:color="B2D5DB" w:themeColor="accent2" w:themeTint="99"/>
        </w:tcBorders>
      </w:tcPr>
    </w:tblStylePr>
  </w:style>
  <w:style w:type="table" w:styleId="GridTable7Colorful-Accent3">
    <w:name w:val="Grid Table 7 Colorful Accent 3"/>
    <w:basedOn w:val="TableNormal"/>
    <w:uiPriority w:val="52"/>
    <w:semiHidden/>
    <w:rsid w:val="00294A5A"/>
    <w:pPr>
      <w:spacing w:after="0" w:line="240" w:lineRule="auto"/>
    </w:pPr>
    <w:rPr>
      <w:color w:val="77B7BF" w:themeColor="accent3" w:themeShade="BF"/>
    </w:rPr>
    <w:tblPr>
      <w:tblStyleRowBandSize w:val="1"/>
      <w:tblStyleColBandSize w:val="1"/>
      <w:tblBorders>
        <w:top w:val="single" w:sz="4" w:space="0" w:color="D8EAED" w:themeColor="accent3" w:themeTint="99"/>
        <w:left w:val="single" w:sz="4" w:space="0" w:color="D8EAED" w:themeColor="accent3" w:themeTint="99"/>
        <w:bottom w:val="single" w:sz="4" w:space="0" w:color="D8EAED" w:themeColor="accent3" w:themeTint="99"/>
        <w:right w:val="single" w:sz="4" w:space="0" w:color="D8EAED" w:themeColor="accent3" w:themeTint="99"/>
        <w:insideH w:val="single" w:sz="4" w:space="0" w:color="D8EAED" w:themeColor="accent3" w:themeTint="99"/>
        <w:insideV w:val="single" w:sz="4" w:space="0" w:color="D8EAED"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F8F9" w:themeFill="accent3" w:themeFillTint="33"/>
      </w:tcPr>
    </w:tblStylePr>
    <w:tblStylePr w:type="band1Horz">
      <w:tblPr/>
      <w:tcPr>
        <w:shd w:val="clear" w:color="auto" w:fill="F2F8F9" w:themeFill="accent3" w:themeFillTint="33"/>
      </w:tcPr>
    </w:tblStylePr>
    <w:tblStylePr w:type="neCell">
      <w:tblPr/>
      <w:tcPr>
        <w:tcBorders>
          <w:bottom w:val="single" w:sz="4" w:space="0" w:color="D8EAED" w:themeColor="accent3" w:themeTint="99"/>
        </w:tcBorders>
      </w:tcPr>
    </w:tblStylePr>
    <w:tblStylePr w:type="nwCell">
      <w:tblPr/>
      <w:tcPr>
        <w:tcBorders>
          <w:bottom w:val="single" w:sz="4" w:space="0" w:color="D8EAED" w:themeColor="accent3" w:themeTint="99"/>
        </w:tcBorders>
      </w:tcPr>
    </w:tblStylePr>
    <w:tblStylePr w:type="seCell">
      <w:tblPr/>
      <w:tcPr>
        <w:tcBorders>
          <w:top w:val="single" w:sz="4" w:space="0" w:color="D8EAED" w:themeColor="accent3" w:themeTint="99"/>
        </w:tcBorders>
      </w:tcPr>
    </w:tblStylePr>
    <w:tblStylePr w:type="swCell">
      <w:tblPr/>
      <w:tcPr>
        <w:tcBorders>
          <w:top w:val="single" w:sz="4" w:space="0" w:color="D8EAED" w:themeColor="accent3" w:themeTint="99"/>
        </w:tcBorders>
      </w:tcPr>
    </w:tblStylePr>
  </w:style>
  <w:style w:type="table" w:styleId="GridTable7Colorful-Accent4">
    <w:name w:val="Grid Table 7 Colorful Accent 4"/>
    <w:basedOn w:val="TableNormal"/>
    <w:uiPriority w:val="52"/>
    <w:semiHidden/>
    <w:rsid w:val="00294A5A"/>
    <w:pPr>
      <w:spacing w:after="0" w:line="240" w:lineRule="auto"/>
    </w:pPr>
    <w:rPr>
      <w:color w:val="30303B" w:themeColor="accent4" w:themeShade="BF"/>
    </w:rPr>
    <w:tblPr>
      <w:tblStyleRowBandSize w:val="1"/>
      <w:tblStyleColBandSize w:val="1"/>
      <w:tblBorders>
        <w:top w:val="single" w:sz="4" w:space="0" w:color="84849D" w:themeColor="accent4" w:themeTint="99"/>
        <w:left w:val="single" w:sz="4" w:space="0" w:color="84849D" w:themeColor="accent4" w:themeTint="99"/>
        <w:bottom w:val="single" w:sz="4" w:space="0" w:color="84849D" w:themeColor="accent4" w:themeTint="99"/>
        <w:right w:val="single" w:sz="4" w:space="0" w:color="84849D" w:themeColor="accent4" w:themeTint="99"/>
        <w:insideH w:val="single" w:sz="4" w:space="0" w:color="84849D" w:themeColor="accent4" w:themeTint="99"/>
        <w:insideV w:val="single" w:sz="4" w:space="0" w:color="84849D"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6D6DE" w:themeFill="accent4" w:themeFillTint="33"/>
      </w:tcPr>
    </w:tblStylePr>
    <w:tblStylePr w:type="band1Horz">
      <w:tblPr/>
      <w:tcPr>
        <w:shd w:val="clear" w:color="auto" w:fill="D6D6DE" w:themeFill="accent4" w:themeFillTint="33"/>
      </w:tcPr>
    </w:tblStylePr>
    <w:tblStylePr w:type="neCell">
      <w:tblPr/>
      <w:tcPr>
        <w:tcBorders>
          <w:bottom w:val="single" w:sz="4" w:space="0" w:color="84849D" w:themeColor="accent4" w:themeTint="99"/>
        </w:tcBorders>
      </w:tcPr>
    </w:tblStylePr>
    <w:tblStylePr w:type="nwCell">
      <w:tblPr/>
      <w:tcPr>
        <w:tcBorders>
          <w:bottom w:val="single" w:sz="4" w:space="0" w:color="84849D" w:themeColor="accent4" w:themeTint="99"/>
        </w:tcBorders>
      </w:tcPr>
    </w:tblStylePr>
    <w:tblStylePr w:type="seCell">
      <w:tblPr/>
      <w:tcPr>
        <w:tcBorders>
          <w:top w:val="single" w:sz="4" w:space="0" w:color="84849D" w:themeColor="accent4" w:themeTint="99"/>
        </w:tcBorders>
      </w:tcPr>
    </w:tblStylePr>
    <w:tblStylePr w:type="swCell">
      <w:tblPr/>
      <w:tcPr>
        <w:tcBorders>
          <w:top w:val="single" w:sz="4" w:space="0" w:color="84849D" w:themeColor="accent4" w:themeTint="99"/>
        </w:tcBorders>
      </w:tcPr>
    </w:tblStylePr>
  </w:style>
  <w:style w:type="table" w:styleId="GridTable7Colorful-Accent5">
    <w:name w:val="Grid Table 7 Colorful Accent 5"/>
    <w:basedOn w:val="TableNormal"/>
    <w:uiPriority w:val="52"/>
    <w:semiHidden/>
    <w:rsid w:val="00294A5A"/>
    <w:pPr>
      <w:spacing w:after="0" w:line="240" w:lineRule="auto"/>
    </w:pPr>
    <w:rPr>
      <w:color w:val="5F5F68" w:themeColor="accent5" w:themeShade="BF"/>
    </w:rPr>
    <w:tblPr>
      <w:tblStyleRowBandSize w:val="1"/>
      <w:tblStyleColBandSize w:val="1"/>
      <w:tblBorders>
        <w:top w:val="single" w:sz="4" w:space="0" w:color="B2B2B9" w:themeColor="accent5" w:themeTint="99"/>
        <w:left w:val="single" w:sz="4" w:space="0" w:color="B2B2B9" w:themeColor="accent5" w:themeTint="99"/>
        <w:bottom w:val="single" w:sz="4" w:space="0" w:color="B2B2B9" w:themeColor="accent5" w:themeTint="99"/>
        <w:right w:val="single" w:sz="4" w:space="0" w:color="B2B2B9" w:themeColor="accent5" w:themeTint="99"/>
        <w:insideH w:val="single" w:sz="4" w:space="0" w:color="B2B2B9" w:themeColor="accent5" w:themeTint="99"/>
        <w:insideV w:val="single" w:sz="4" w:space="0" w:color="B2B2B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5E7" w:themeFill="accent5" w:themeFillTint="33"/>
      </w:tcPr>
    </w:tblStylePr>
    <w:tblStylePr w:type="band1Horz">
      <w:tblPr/>
      <w:tcPr>
        <w:shd w:val="clear" w:color="auto" w:fill="E5E5E7" w:themeFill="accent5" w:themeFillTint="33"/>
      </w:tcPr>
    </w:tblStylePr>
    <w:tblStylePr w:type="neCell">
      <w:tblPr/>
      <w:tcPr>
        <w:tcBorders>
          <w:bottom w:val="single" w:sz="4" w:space="0" w:color="B2B2B9" w:themeColor="accent5" w:themeTint="99"/>
        </w:tcBorders>
      </w:tcPr>
    </w:tblStylePr>
    <w:tblStylePr w:type="nwCell">
      <w:tblPr/>
      <w:tcPr>
        <w:tcBorders>
          <w:bottom w:val="single" w:sz="4" w:space="0" w:color="B2B2B9" w:themeColor="accent5" w:themeTint="99"/>
        </w:tcBorders>
      </w:tcPr>
    </w:tblStylePr>
    <w:tblStylePr w:type="seCell">
      <w:tblPr/>
      <w:tcPr>
        <w:tcBorders>
          <w:top w:val="single" w:sz="4" w:space="0" w:color="B2B2B9" w:themeColor="accent5" w:themeTint="99"/>
        </w:tcBorders>
      </w:tcPr>
    </w:tblStylePr>
    <w:tblStylePr w:type="swCell">
      <w:tblPr/>
      <w:tcPr>
        <w:tcBorders>
          <w:top w:val="single" w:sz="4" w:space="0" w:color="B2B2B9" w:themeColor="accent5" w:themeTint="99"/>
        </w:tcBorders>
      </w:tcPr>
    </w:tblStylePr>
  </w:style>
  <w:style w:type="table" w:styleId="GridTable7Colorful-Accent6">
    <w:name w:val="Grid Table 7 Colorful Accent 6"/>
    <w:basedOn w:val="TableNormal"/>
    <w:uiPriority w:val="52"/>
    <w:semiHidden/>
    <w:rsid w:val="00294A5A"/>
    <w:pPr>
      <w:spacing w:after="0" w:line="240" w:lineRule="auto"/>
    </w:pPr>
    <w:rPr>
      <w:color w:val="96969E" w:themeColor="accent6" w:themeShade="BF"/>
    </w:rPr>
    <w:tblPr>
      <w:tblStyleRowBandSize w:val="1"/>
      <w:tblStyleColBandSize w:val="1"/>
      <w:tblBorders>
        <w:top w:val="single" w:sz="4" w:space="0" w:color="E0E0E2" w:themeColor="accent6" w:themeTint="99"/>
        <w:left w:val="single" w:sz="4" w:space="0" w:color="E0E0E2" w:themeColor="accent6" w:themeTint="99"/>
        <w:bottom w:val="single" w:sz="4" w:space="0" w:color="E0E0E2" w:themeColor="accent6" w:themeTint="99"/>
        <w:right w:val="single" w:sz="4" w:space="0" w:color="E0E0E2" w:themeColor="accent6" w:themeTint="99"/>
        <w:insideH w:val="single" w:sz="4" w:space="0" w:color="E0E0E2" w:themeColor="accent6" w:themeTint="99"/>
        <w:insideV w:val="single" w:sz="4" w:space="0" w:color="E0E0E2"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4F5" w:themeFill="accent6" w:themeFillTint="33"/>
      </w:tcPr>
    </w:tblStylePr>
    <w:tblStylePr w:type="band1Horz">
      <w:tblPr/>
      <w:tcPr>
        <w:shd w:val="clear" w:color="auto" w:fill="F4F4F5" w:themeFill="accent6" w:themeFillTint="33"/>
      </w:tcPr>
    </w:tblStylePr>
    <w:tblStylePr w:type="neCell">
      <w:tblPr/>
      <w:tcPr>
        <w:tcBorders>
          <w:bottom w:val="single" w:sz="4" w:space="0" w:color="E0E0E2" w:themeColor="accent6" w:themeTint="99"/>
        </w:tcBorders>
      </w:tcPr>
    </w:tblStylePr>
    <w:tblStylePr w:type="nwCell">
      <w:tblPr/>
      <w:tcPr>
        <w:tcBorders>
          <w:bottom w:val="single" w:sz="4" w:space="0" w:color="E0E0E2" w:themeColor="accent6" w:themeTint="99"/>
        </w:tcBorders>
      </w:tcPr>
    </w:tblStylePr>
    <w:tblStylePr w:type="seCell">
      <w:tblPr/>
      <w:tcPr>
        <w:tcBorders>
          <w:top w:val="single" w:sz="4" w:space="0" w:color="E0E0E2" w:themeColor="accent6" w:themeTint="99"/>
        </w:tcBorders>
      </w:tcPr>
    </w:tblStylePr>
    <w:tblStylePr w:type="swCell">
      <w:tblPr/>
      <w:tcPr>
        <w:tcBorders>
          <w:top w:val="single" w:sz="4" w:space="0" w:color="E0E0E2" w:themeColor="accent6" w:themeTint="99"/>
        </w:tcBorders>
      </w:tcPr>
    </w:tblStylePr>
  </w:style>
  <w:style w:type="table" w:styleId="LightGrid">
    <w:name w:val="Light Grid"/>
    <w:basedOn w:val="TableNormal"/>
    <w:uiPriority w:val="62"/>
    <w:semiHidden/>
    <w:rsid w:val="00294A5A"/>
    <w:pPr>
      <w:spacing w:before="0"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rsid w:val="00294A5A"/>
    <w:pPr>
      <w:spacing w:before="0" w:after="0" w:line="240" w:lineRule="auto"/>
    </w:pPr>
    <w:tblPr>
      <w:tblStyleRowBandSize w:val="1"/>
      <w:tblStyleColBandSize w:val="1"/>
      <w:tblBorders>
        <w:top w:val="single" w:sz="8" w:space="0" w:color="4098A4" w:themeColor="accent1"/>
        <w:left w:val="single" w:sz="8" w:space="0" w:color="4098A4" w:themeColor="accent1"/>
        <w:bottom w:val="single" w:sz="8" w:space="0" w:color="4098A4" w:themeColor="accent1"/>
        <w:right w:val="single" w:sz="8" w:space="0" w:color="4098A4" w:themeColor="accent1"/>
        <w:insideH w:val="single" w:sz="8" w:space="0" w:color="4098A4" w:themeColor="accent1"/>
        <w:insideV w:val="single" w:sz="8" w:space="0" w:color="4098A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098A4" w:themeColor="accent1"/>
          <w:left w:val="single" w:sz="8" w:space="0" w:color="4098A4" w:themeColor="accent1"/>
          <w:bottom w:val="single" w:sz="18" w:space="0" w:color="4098A4" w:themeColor="accent1"/>
          <w:right w:val="single" w:sz="8" w:space="0" w:color="4098A4" w:themeColor="accent1"/>
          <w:insideH w:val="nil"/>
          <w:insideV w:val="single" w:sz="8" w:space="0" w:color="4098A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098A4" w:themeColor="accent1"/>
          <w:left w:val="single" w:sz="8" w:space="0" w:color="4098A4" w:themeColor="accent1"/>
          <w:bottom w:val="single" w:sz="8" w:space="0" w:color="4098A4" w:themeColor="accent1"/>
          <w:right w:val="single" w:sz="8" w:space="0" w:color="4098A4" w:themeColor="accent1"/>
          <w:insideH w:val="nil"/>
          <w:insideV w:val="single" w:sz="8" w:space="0" w:color="4098A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098A4" w:themeColor="accent1"/>
          <w:left w:val="single" w:sz="8" w:space="0" w:color="4098A4" w:themeColor="accent1"/>
          <w:bottom w:val="single" w:sz="8" w:space="0" w:color="4098A4" w:themeColor="accent1"/>
          <w:right w:val="single" w:sz="8" w:space="0" w:color="4098A4" w:themeColor="accent1"/>
        </w:tcBorders>
      </w:tcPr>
    </w:tblStylePr>
    <w:tblStylePr w:type="band1Vert">
      <w:tblPr/>
      <w:tcPr>
        <w:tcBorders>
          <w:top w:val="single" w:sz="8" w:space="0" w:color="4098A4" w:themeColor="accent1"/>
          <w:left w:val="single" w:sz="8" w:space="0" w:color="4098A4" w:themeColor="accent1"/>
          <w:bottom w:val="single" w:sz="8" w:space="0" w:color="4098A4" w:themeColor="accent1"/>
          <w:right w:val="single" w:sz="8" w:space="0" w:color="4098A4" w:themeColor="accent1"/>
        </w:tcBorders>
        <w:shd w:val="clear" w:color="auto" w:fill="CCE7EB" w:themeFill="accent1" w:themeFillTint="3F"/>
      </w:tcPr>
    </w:tblStylePr>
    <w:tblStylePr w:type="band1Horz">
      <w:tblPr/>
      <w:tcPr>
        <w:tcBorders>
          <w:top w:val="single" w:sz="8" w:space="0" w:color="4098A4" w:themeColor="accent1"/>
          <w:left w:val="single" w:sz="8" w:space="0" w:color="4098A4" w:themeColor="accent1"/>
          <w:bottom w:val="single" w:sz="8" w:space="0" w:color="4098A4" w:themeColor="accent1"/>
          <w:right w:val="single" w:sz="8" w:space="0" w:color="4098A4" w:themeColor="accent1"/>
          <w:insideV w:val="single" w:sz="8" w:space="0" w:color="4098A4" w:themeColor="accent1"/>
        </w:tcBorders>
        <w:shd w:val="clear" w:color="auto" w:fill="CCE7EB" w:themeFill="accent1" w:themeFillTint="3F"/>
      </w:tcPr>
    </w:tblStylePr>
    <w:tblStylePr w:type="band2Horz">
      <w:tblPr/>
      <w:tcPr>
        <w:tcBorders>
          <w:top w:val="single" w:sz="8" w:space="0" w:color="4098A4" w:themeColor="accent1"/>
          <w:left w:val="single" w:sz="8" w:space="0" w:color="4098A4" w:themeColor="accent1"/>
          <w:bottom w:val="single" w:sz="8" w:space="0" w:color="4098A4" w:themeColor="accent1"/>
          <w:right w:val="single" w:sz="8" w:space="0" w:color="4098A4" w:themeColor="accent1"/>
          <w:insideV w:val="single" w:sz="8" w:space="0" w:color="4098A4" w:themeColor="accent1"/>
        </w:tcBorders>
      </w:tcPr>
    </w:tblStylePr>
  </w:style>
  <w:style w:type="table" w:styleId="LightGrid-Accent2">
    <w:name w:val="Light Grid Accent 2"/>
    <w:basedOn w:val="TableNormal"/>
    <w:uiPriority w:val="62"/>
    <w:semiHidden/>
    <w:rsid w:val="00294A5A"/>
    <w:pPr>
      <w:spacing w:before="0" w:after="0" w:line="240" w:lineRule="auto"/>
    </w:pPr>
    <w:tblPr>
      <w:tblStyleRowBandSize w:val="1"/>
      <w:tblStyleColBandSize w:val="1"/>
      <w:tblBorders>
        <w:top w:val="single" w:sz="8" w:space="0" w:color="80BAC3" w:themeColor="accent2"/>
        <w:left w:val="single" w:sz="8" w:space="0" w:color="80BAC3" w:themeColor="accent2"/>
        <w:bottom w:val="single" w:sz="8" w:space="0" w:color="80BAC3" w:themeColor="accent2"/>
        <w:right w:val="single" w:sz="8" w:space="0" w:color="80BAC3" w:themeColor="accent2"/>
        <w:insideH w:val="single" w:sz="8" w:space="0" w:color="80BAC3" w:themeColor="accent2"/>
        <w:insideV w:val="single" w:sz="8" w:space="0" w:color="80BAC3"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BAC3" w:themeColor="accent2"/>
          <w:left w:val="single" w:sz="8" w:space="0" w:color="80BAC3" w:themeColor="accent2"/>
          <w:bottom w:val="single" w:sz="18" w:space="0" w:color="80BAC3" w:themeColor="accent2"/>
          <w:right w:val="single" w:sz="8" w:space="0" w:color="80BAC3" w:themeColor="accent2"/>
          <w:insideH w:val="nil"/>
          <w:insideV w:val="single" w:sz="8" w:space="0" w:color="80BAC3"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BAC3" w:themeColor="accent2"/>
          <w:left w:val="single" w:sz="8" w:space="0" w:color="80BAC3" w:themeColor="accent2"/>
          <w:bottom w:val="single" w:sz="8" w:space="0" w:color="80BAC3" w:themeColor="accent2"/>
          <w:right w:val="single" w:sz="8" w:space="0" w:color="80BAC3" w:themeColor="accent2"/>
          <w:insideH w:val="nil"/>
          <w:insideV w:val="single" w:sz="8" w:space="0" w:color="80BAC3"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BAC3" w:themeColor="accent2"/>
          <w:left w:val="single" w:sz="8" w:space="0" w:color="80BAC3" w:themeColor="accent2"/>
          <w:bottom w:val="single" w:sz="8" w:space="0" w:color="80BAC3" w:themeColor="accent2"/>
          <w:right w:val="single" w:sz="8" w:space="0" w:color="80BAC3" w:themeColor="accent2"/>
        </w:tcBorders>
      </w:tcPr>
    </w:tblStylePr>
    <w:tblStylePr w:type="band1Vert">
      <w:tblPr/>
      <w:tcPr>
        <w:tcBorders>
          <w:top w:val="single" w:sz="8" w:space="0" w:color="80BAC3" w:themeColor="accent2"/>
          <w:left w:val="single" w:sz="8" w:space="0" w:color="80BAC3" w:themeColor="accent2"/>
          <w:bottom w:val="single" w:sz="8" w:space="0" w:color="80BAC3" w:themeColor="accent2"/>
          <w:right w:val="single" w:sz="8" w:space="0" w:color="80BAC3" w:themeColor="accent2"/>
        </w:tcBorders>
        <w:shd w:val="clear" w:color="auto" w:fill="DFEDF0" w:themeFill="accent2" w:themeFillTint="3F"/>
      </w:tcPr>
    </w:tblStylePr>
    <w:tblStylePr w:type="band1Horz">
      <w:tblPr/>
      <w:tcPr>
        <w:tcBorders>
          <w:top w:val="single" w:sz="8" w:space="0" w:color="80BAC3" w:themeColor="accent2"/>
          <w:left w:val="single" w:sz="8" w:space="0" w:color="80BAC3" w:themeColor="accent2"/>
          <w:bottom w:val="single" w:sz="8" w:space="0" w:color="80BAC3" w:themeColor="accent2"/>
          <w:right w:val="single" w:sz="8" w:space="0" w:color="80BAC3" w:themeColor="accent2"/>
          <w:insideV w:val="single" w:sz="8" w:space="0" w:color="80BAC3" w:themeColor="accent2"/>
        </w:tcBorders>
        <w:shd w:val="clear" w:color="auto" w:fill="DFEDF0" w:themeFill="accent2" w:themeFillTint="3F"/>
      </w:tcPr>
    </w:tblStylePr>
    <w:tblStylePr w:type="band2Horz">
      <w:tblPr/>
      <w:tcPr>
        <w:tcBorders>
          <w:top w:val="single" w:sz="8" w:space="0" w:color="80BAC3" w:themeColor="accent2"/>
          <w:left w:val="single" w:sz="8" w:space="0" w:color="80BAC3" w:themeColor="accent2"/>
          <w:bottom w:val="single" w:sz="8" w:space="0" w:color="80BAC3" w:themeColor="accent2"/>
          <w:right w:val="single" w:sz="8" w:space="0" w:color="80BAC3" w:themeColor="accent2"/>
          <w:insideV w:val="single" w:sz="8" w:space="0" w:color="80BAC3" w:themeColor="accent2"/>
        </w:tcBorders>
      </w:tcPr>
    </w:tblStylePr>
  </w:style>
  <w:style w:type="table" w:styleId="LightGrid-Accent3">
    <w:name w:val="Light Grid Accent 3"/>
    <w:basedOn w:val="TableNormal"/>
    <w:uiPriority w:val="62"/>
    <w:semiHidden/>
    <w:rsid w:val="00294A5A"/>
    <w:pPr>
      <w:spacing w:before="0" w:after="0" w:line="240" w:lineRule="auto"/>
    </w:pPr>
    <w:tblPr>
      <w:tblStyleRowBandSize w:val="1"/>
      <w:tblStyleColBandSize w:val="1"/>
      <w:tblBorders>
        <w:top w:val="single" w:sz="8" w:space="0" w:color="BFDDE1" w:themeColor="accent3"/>
        <w:left w:val="single" w:sz="8" w:space="0" w:color="BFDDE1" w:themeColor="accent3"/>
        <w:bottom w:val="single" w:sz="8" w:space="0" w:color="BFDDE1" w:themeColor="accent3"/>
        <w:right w:val="single" w:sz="8" w:space="0" w:color="BFDDE1" w:themeColor="accent3"/>
        <w:insideH w:val="single" w:sz="8" w:space="0" w:color="BFDDE1" w:themeColor="accent3"/>
        <w:insideV w:val="single" w:sz="8" w:space="0" w:color="BFDDE1"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FDDE1" w:themeColor="accent3"/>
          <w:left w:val="single" w:sz="8" w:space="0" w:color="BFDDE1" w:themeColor="accent3"/>
          <w:bottom w:val="single" w:sz="18" w:space="0" w:color="BFDDE1" w:themeColor="accent3"/>
          <w:right w:val="single" w:sz="8" w:space="0" w:color="BFDDE1" w:themeColor="accent3"/>
          <w:insideH w:val="nil"/>
          <w:insideV w:val="single" w:sz="8" w:space="0" w:color="BFDDE1"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FDDE1" w:themeColor="accent3"/>
          <w:left w:val="single" w:sz="8" w:space="0" w:color="BFDDE1" w:themeColor="accent3"/>
          <w:bottom w:val="single" w:sz="8" w:space="0" w:color="BFDDE1" w:themeColor="accent3"/>
          <w:right w:val="single" w:sz="8" w:space="0" w:color="BFDDE1" w:themeColor="accent3"/>
          <w:insideH w:val="nil"/>
          <w:insideV w:val="single" w:sz="8" w:space="0" w:color="BFDDE1"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FDDE1" w:themeColor="accent3"/>
          <w:left w:val="single" w:sz="8" w:space="0" w:color="BFDDE1" w:themeColor="accent3"/>
          <w:bottom w:val="single" w:sz="8" w:space="0" w:color="BFDDE1" w:themeColor="accent3"/>
          <w:right w:val="single" w:sz="8" w:space="0" w:color="BFDDE1" w:themeColor="accent3"/>
        </w:tcBorders>
      </w:tcPr>
    </w:tblStylePr>
    <w:tblStylePr w:type="band1Vert">
      <w:tblPr/>
      <w:tcPr>
        <w:tcBorders>
          <w:top w:val="single" w:sz="8" w:space="0" w:color="BFDDE1" w:themeColor="accent3"/>
          <w:left w:val="single" w:sz="8" w:space="0" w:color="BFDDE1" w:themeColor="accent3"/>
          <w:bottom w:val="single" w:sz="8" w:space="0" w:color="BFDDE1" w:themeColor="accent3"/>
          <w:right w:val="single" w:sz="8" w:space="0" w:color="BFDDE1" w:themeColor="accent3"/>
        </w:tcBorders>
        <w:shd w:val="clear" w:color="auto" w:fill="EFF6F7" w:themeFill="accent3" w:themeFillTint="3F"/>
      </w:tcPr>
    </w:tblStylePr>
    <w:tblStylePr w:type="band1Horz">
      <w:tblPr/>
      <w:tcPr>
        <w:tcBorders>
          <w:top w:val="single" w:sz="8" w:space="0" w:color="BFDDE1" w:themeColor="accent3"/>
          <w:left w:val="single" w:sz="8" w:space="0" w:color="BFDDE1" w:themeColor="accent3"/>
          <w:bottom w:val="single" w:sz="8" w:space="0" w:color="BFDDE1" w:themeColor="accent3"/>
          <w:right w:val="single" w:sz="8" w:space="0" w:color="BFDDE1" w:themeColor="accent3"/>
          <w:insideV w:val="single" w:sz="8" w:space="0" w:color="BFDDE1" w:themeColor="accent3"/>
        </w:tcBorders>
        <w:shd w:val="clear" w:color="auto" w:fill="EFF6F7" w:themeFill="accent3" w:themeFillTint="3F"/>
      </w:tcPr>
    </w:tblStylePr>
    <w:tblStylePr w:type="band2Horz">
      <w:tblPr/>
      <w:tcPr>
        <w:tcBorders>
          <w:top w:val="single" w:sz="8" w:space="0" w:color="BFDDE1" w:themeColor="accent3"/>
          <w:left w:val="single" w:sz="8" w:space="0" w:color="BFDDE1" w:themeColor="accent3"/>
          <w:bottom w:val="single" w:sz="8" w:space="0" w:color="BFDDE1" w:themeColor="accent3"/>
          <w:right w:val="single" w:sz="8" w:space="0" w:color="BFDDE1" w:themeColor="accent3"/>
          <w:insideV w:val="single" w:sz="8" w:space="0" w:color="BFDDE1" w:themeColor="accent3"/>
        </w:tcBorders>
      </w:tcPr>
    </w:tblStylePr>
  </w:style>
  <w:style w:type="table" w:styleId="LightGrid-Accent4">
    <w:name w:val="Light Grid Accent 4"/>
    <w:basedOn w:val="TableNormal"/>
    <w:uiPriority w:val="62"/>
    <w:semiHidden/>
    <w:rsid w:val="00294A5A"/>
    <w:pPr>
      <w:spacing w:before="0" w:after="0" w:line="240" w:lineRule="auto"/>
    </w:pPr>
    <w:tblPr>
      <w:tblStyleRowBandSize w:val="1"/>
      <w:tblStyleColBandSize w:val="1"/>
      <w:tblBorders>
        <w:top w:val="single" w:sz="8" w:space="0" w:color="404050" w:themeColor="accent4"/>
        <w:left w:val="single" w:sz="8" w:space="0" w:color="404050" w:themeColor="accent4"/>
        <w:bottom w:val="single" w:sz="8" w:space="0" w:color="404050" w:themeColor="accent4"/>
        <w:right w:val="single" w:sz="8" w:space="0" w:color="404050" w:themeColor="accent4"/>
        <w:insideH w:val="single" w:sz="8" w:space="0" w:color="404050" w:themeColor="accent4"/>
        <w:insideV w:val="single" w:sz="8" w:space="0" w:color="40405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04050" w:themeColor="accent4"/>
          <w:left w:val="single" w:sz="8" w:space="0" w:color="404050" w:themeColor="accent4"/>
          <w:bottom w:val="single" w:sz="18" w:space="0" w:color="404050" w:themeColor="accent4"/>
          <w:right w:val="single" w:sz="8" w:space="0" w:color="404050" w:themeColor="accent4"/>
          <w:insideH w:val="nil"/>
          <w:insideV w:val="single" w:sz="8" w:space="0" w:color="40405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04050" w:themeColor="accent4"/>
          <w:left w:val="single" w:sz="8" w:space="0" w:color="404050" w:themeColor="accent4"/>
          <w:bottom w:val="single" w:sz="8" w:space="0" w:color="404050" w:themeColor="accent4"/>
          <w:right w:val="single" w:sz="8" w:space="0" w:color="404050" w:themeColor="accent4"/>
          <w:insideH w:val="nil"/>
          <w:insideV w:val="single" w:sz="8" w:space="0" w:color="40405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04050" w:themeColor="accent4"/>
          <w:left w:val="single" w:sz="8" w:space="0" w:color="404050" w:themeColor="accent4"/>
          <w:bottom w:val="single" w:sz="8" w:space="0" w:color="404050" w:themeColor="accent4"/>
          <w:right w:val="single" w:sz="8" w:space="0" w:color="404050" w:themeColor="accent4"/>
        </w:tcBorders>
      </w:tcPr>
    </w:tblStylePr>
    <w:tblStylePr w:type="band1Vert">
      <w:tblPr/>
      <w:tcPr>
        <w:tcBorders>
          <w:top w:val="single" w:sz="8" w:space="0" w:color="404050" w:themeColor="accent4"/>
          <w:left w:val="single" w:sz="8" w:space="0" w:color="404050" w:themeColor="accent4"/>
          <w:bottom w:val="single" w:sz="8" w:space="0" w:color="404050" w:themeColor="accent4"/>
          <w:right w:val="single" w:sz="8" w:space="0" w:color="404050" w:themeColor="accent4"/>
        </w:tcBorders>
        <w:shd w:val="clear" w:color="auto" w:fill="CCCCD6" w:themeFill="accent4" w:themeFillTint="3F"/>
      </w:tcPr>
    </w:tblStylePr>
    <w:tblStylePr w:type="band1Horz">
      <w:tblPr/>
      <w:tcPr>
        <w:tcBorders>
          <w:top w:val="single" w:sz="8" w:space="0" w:color="404050" w:themeColor="accent4"/>
          <w:left w:val="single" w:sz="8" w:space="0" w:color="404050" w:themeColor="accent4"/>
          <w:bottom w:val="single" w:sz="8" w:space="0" w:color="404050" w:themeColor="accent4"/>
          <w:right w:val="single" w:sz="8" w:space="0" w:color="404050" w:themeColor="accent4"/>
          <w:insideV w:val="single" w:sz="8" w:space="0" w:color="404050" w:themeColor="accent4"/>
        </w:tcBorders>
        <w:shd w:val="clear" w:color="auto" w:fill="CCCCD6" w:themeFill="accent4" w:themeFillTint="3F"/>
      </w:tcPr>
    </w:tblStylePr>
    <w:tblStylePr w:type="band2Horz">
      <w:tblPr/>
      <w:tcPr>
        <w:tcBorders>
          <w:top w:val="single" w:sz="8" w:space="0" w:color="404050" w:themeColor="accent4"/>
          <w:left w:val="single" w:sz="8" w:space="0" w:color="404050" w:themeColor="accent4"/>
          <w:bottom w:val="single" w:sz="8" w:space="0" w:color="404050" w:themeColor="accent4"/>
          <w:right w:val="single" w:sz="8" w:space="0" w:color="404050" w:themeColor="accent4"/>
          <w:insideV w:val="single" w:sz="8" w:space="0" w:color="404050" w:themeColor="accent4"/>
        </w:tcBorders>
      </w:tcPr>
    </w:tblStylePr>
  </w:style>
  <w:style w:type="table" w:styleId="LightGrid-Accent5">
    <w:name w:val="Light Grid Accent 5"/>
    <w:basedOn w:val="TableNormal"/>
    <w:uiPriority w:val="62"/>
    <w:semiHidden/>
    <w:rsid w:val="00294A5A"/>
    <w:pPr>
      <w:spacing w:before="0" w:after="0" w:line="240" w:lineRule="auto"/>
    </w:pPr>
    <w:tblPr>
      <w:tblStyleRowBandSize w:val="1"/>
      <w:tblStyleColBandSize w:val="1"/>
      <w:tblBorders>
        <w:top w:val="single" w:sz="8" w:space="0" w:color="80808B" w:themeColor="accent5"/>
        <w:left w:val="single" w:sz="8" w:space="0" w:color="80808B" w:themeColor="accent5"/>
        <w:bottom w:val="single" w:sz="8" w:space="0" w:color="80808B" w:themeColor="accent5"/>
        <w:right w:val="single" w:sz="8" w:space="0" w:color="80808B" w:themeColor="accent5"/>
        <w:insideH w:val="single" w:sz="8" w:space="0" w:color="80808B" w:themeColor="accent5"/>
        <w:insideV w:val="single" w:sz="8" w:space="0" w:color="80808B"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B" w:themeColor="accent5"/>
          <w:left w:val="single" w:sz="8" w:space="0" w:color="80808B" w:themeColor="accent5"/>
          <w:bottom w:val="single" w:sz="18" w:space="0" w:color="80808B" w:themeColor="accent5"/>
          <w:right w:val="single" w:sz="8" w:space="0" w:color="80808B" w:themeColor="accent5"/>
          <w:insideH w:val="nil"/>
          <w:insideV w:val="single" w:sz="8" w:space="0" w:color="80808B"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B" w:themeColor="accent5"/>
          <w:left w:val="single" w:sz="8" w:space="0" w:color="80808B" w:themeColor="accent5"/>
          <w:bottom w:val="single" w:sz="8" w:space="0" w:color="80808B" w:themeColor="accent5"/>
          <w:right w:val="single" w:sz="8" w:space="0" w:color="80808B" w:themeColor="accent5"/>
          <w:insideH w:val="nil"/>
          <w:insideV w:val="single" w:sz="8" w:space="0" w:color="80808B"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B" w:themeColor="accent5"/>
          <w:left w:val="single" w:sz="8" w:space="0" w:color="80808B" w:themeColor="accent5"/>
          <w:bottom w:val="single" w:sz="8" w:space="0" w:color="80808B" w:themeColor="accent5"/>
          <w:right w:val="single" w:sz="8" w:space="0" w:color="80808B" w:themeColor="accent5"/>
        </w:tcBorders>
      </w:tcPr>
    </w:tblStylePr>
    <w:tblStylePr w:type="band1Vert">
      <w:tblPr/>
      <w:tcPr>
        <w:tcBorders>
          <w:top w:val="single" w:sz="8" w:space="0" w:color="80808B" w:themeColor="accent5"/>
          <w:left w:val="single" w:sz="8" w:space="0" w:color="80808B" w:themeColor="accent5"/>
          <w:bottom w:val="single" w:sz="8" w:space="0" w:color="80808B" w:themeColor="accent5"/>
          <w:right w:val="single" w:sz="8" w:space="0" w:color="80808B" w:themeColor="accent5"/>
        </w:tcBorders>
        <w:shd w:val="clear" w:color="auto" w:fill="DFDFE2" w:themeFill="accent5" w:themeFillTint="3F"/>
      </w:tcPr>
    </w:tblStylePr>
    <w:tblStylePr w:type="band1Horz">
      <w:tblPr/>
      <w:tcPr>
        <w:tcBorders>
          <w:top w:val="single" w:sz="8" w:space="0" w:color="80808B" w:themeColor="accent5"/>
          <w:left w:val="single" w:sz="8" w:space="0" w:color="80808B" w:themeColor="accent5"/>
          <w:bottom w:val="single" w:sz="8" w:space="0" w:color="80808B" w:themeColor="accent5"/>
          <w:right w:val="single" w:sz="8" w:space="0" w:color="80808B" w:themeColor="accent5"/>
          <w:insideV w:val="single" w:sz="8" w:space="0" w:color="80808B" w:themeColor="accent5"/>
        </w:tcBorders>
        <w:shd w:val="clear" w:color="auto" w:fill="DFDFE2" w:themeFill="accent5" w:themeFillTint="3F"/>
      </w:tcPr>
    </w:tblStylePr>
    <w:tblStylePr w:type="band2Horz">
      <w:tblPr/>
      <w:tcPr>
        <w:tcBorders>
          <w:top w:val="single" w:sz="8" w:space="0" w:color="80808B" w:themeColor="accent5"/>
          <w:left w:val="single" w:sz="8" w:space="0" w:color="80808B" w:themeColor="accent5"/>
          <w:bottom w:val="single" w:sz="8" w:space="0" w:color="80808B" w:themeColor="accent5"/>
          <w:right w:val="single" w:sz="8" w:space="0" w:color="80808B" w:themeColor="accent5"/>
          <w:insideV w:val="single" w:sz="8" w:space="0" w:color="80808B" w:themeColor="accent5"/>
        </w:tcBorders>
      </w:tcPr>
    </w:tblStylePr>
  </w:style>
  <w:style w:type="table" w:styleId="LightGrid-Accent6">
    <w:name w:val="Light Grid Accent 6"/>
    <w:basedOn w:val="TableNormal"/>
    <w:uiPriority w:val="62"/>
    <w:semiHidden/>
    <w:rsid w:val="00294A5A"/>
    <w:pPr>
      <w:spacing w:before="0" w:after="0" w:line="240" w:lineRule="auto"/>
    </w:pPr>
    <w:tblPr>
      <w:tblStyleRowBandSize w:val="1"/>
      <w:tblStyleColBandSize w:val="1"/>
      <w:tblBorders>
        <w:top w:val="single" w:sz="8" w:space="0" w:color="CCCCD0" w:themeColor="accent6"/>
        <w:left w:val="single" w:sz="8" w:space="0" w:color="CCCCD0" w:themeColor="accent6"/>
        <w:bottom w:val="single" w:sz="8" w:space="0" w:color="CCCCD0" w:themeColor="accent6"/>
        <w:right w:val="single" w:sz="8" w:space="0" w:color="CCCCD0" w:themeColor="accent6"/>
        <w:insideH w:val="single" w:sz="8" w:space="0" w:color="CCCCD0" w:themeColor="accent6"/>
        <w:insideV w:val="single" w:sz="8" w:space="0" w:color="CCCCD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CCCD0" w:themeColor="accent6"/>
          <w:left w:val="single" w:sz="8" w:space="0" w:color="CCCCD0" w:themeColor="accent6"/>
          <w:bottom w:val="single" w:sz="18" w:space="0" w:color="CCCCD0" w:themeColor="accent6"/>
          <w:right w:val="single" w:sz="8" w:space="0" w:color="CCCCD0" w:themeColor="accent6"/>
          <w:insideH w:val="nil"/>
          <w:insideV w:val="single" w:sz="8" w:space="0" w:color="CCCCD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CCCD0" w:themeColor="accent6"/>
          <w:left w:val="single" w:sz="8" w:space="0" w:color="CCCCD0" w:themeColor="accent6"/>
          <w:bottom w:val="single" w:sz="8" w:space="0" w:color="CCCCD0" w:themeColor="accent6"/>
          <w:right w:val="single" w:sz="8" w:space="0" w:color="CCCCD0" w:themeColor="accent6"/>
          <w:insideH w:val="nil"/>
          <w:insideV w:val="single" w:sz="8" w:space="0" w:color="CCCCD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CCCD0" w:themeColor="accent6"/>
          <w:left w:val="single" w:sz="8" w:space="0" w:color="CCCCD0" w:themeColor="accent6"/>
          <w:bottom w:val="single" w:sz="8" w:space="0" w:color="CCCCD0" w:themeColor="accent6"/>
          <w:right w:val="single" w:sz="8" w:space="0" w:color="CCCCD0" w:themeColor="accent6"/>
        </w:tcBorders>
      </w:tcPr>
    </w:tblStylePr>
    <w:tblStylePr w:type="band1Vert">
      <w:tblPr/>
      <w:tcPr>
        <w:tcBorders>
          <w:top w:val="single" w:sz="8" w:space="0" w:color="CCCCD0" w:themeColor="accent6"/>
          <w:left w:val="single" w:sz="8" w:space="0" w:color="CCCCD0" w:themeColor="accent6"/>
          <w:bottom w:val="single" w:sz="8" w:space="0" w:color="CCCCD0" w:themeColor="accent6"/>
          <w:right w:val="single" w:sz="8" w:space="0" w:color="CCCCD0" w:themeColor="accent6"/>
        </w:tcBorders>
        <w:shd w:val="clear" w:color="auto" w:fill="F2F2F3" w:themeFill="accent6" w:themeFillTint="3F"/>
      </w:tcPr>
    </w:tblStylePr>
    <w:tblStylePr w:type="band1Horz">
      <w:tblPr/>
      <w:tcPr>
        <w:tcBorders>
          <w:top w:val="single" w:sz="8" w:space="0" w:color="CCCCD0" w:themeColor="accent6"/>
          <w:left w:val="single" w:sz="8" w:space="0" w:color="CCCCD0" w:themeColor="accent6"/>
          <w:bottom w:val="single" w:sz="8" w:space="0" w:color="CCCCD0" w:themeColor="accent6"/>
          <w:right w:val="single" w:sz="8" w:space="0" w:color="CCCCD0" w:themeColor="accent6"/>
          <w:insideV w:val="single" w:sz="8" w:space="0" w:color="CCCCD0" w:themeColor="accent6"/>
        </w:tcBorders>
        <w:shd w:val="clear" w:color="auto" w:fill="F2F2F3" w:themeFill="accent6" w:themeFillTint="3F"/>
      </w:tcPr>
    </w:tblStylePr>
    <w:tblStylePr w:type="band2Horz">
      <w:tblPr/>
      <w:tcPr>
        <w:tcBorders>
          <w:top w:val="single" w:sz="8" w:space="0" w:color="CCCCD0" w:themeColor="accent6"/>
          <w:left w:val="single" w:sz="8" w:space="0" w:color="CCCCD0" w:themeColor="accent6"/>
          <w:bottom w:val="single" w:sz="8" w:space="0" w:color="CCCCD0" w:themeColor="accent6"/>
          <w:right w:val="single" w:sz="8" w:space="0" w:color="CCCCD0" w:themeColor="accent6"/>
          <w:insideV w:val="single" w:sz="8" w:space="0" w:color="CCCCD0" w:themeColor="accent6"/>
        </w:tcBorders>
      </w:tcPr>
    </w:tblStylePr>
  </w:style>
  <w:style w:type="table" w:styleId="LightList">
    <w:name w:val="Light List"/>
    <w:basedOn w:val="TableNormal"/>
    <w:uiPriority w:val="61"/>
    <w:semiHidden/>
    <w:rsid w:val="00294A5A"/>
    <w:pPr>
      <w:spacing w:before="0"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2">
    <w:name w:val="Light List Accent 2"/>
    <w:basedOn w:val="TableNormal"/>
    <w:uiPriority w:val="61"/>
    <w:semiHidden/>
    <w:rsid w:val="00294A5A"/>
    <w:pPr>
      <w:spacing w:before="0" w:after="0" w:line="240" w:lineRule="auto"/>
    </w:pPr>
    <w:tblPr>
      <w:tblStyleRowBandSize w:val="1"/>
      <w:tblStyleColBandSize w:val="1"/>
      <w:tblBorders>
        <w:top w:val="single" w:sz="8" w:space="0" w:color="80BAC3" w:themeColor="accent2"/>
        <w:left w:val="single" w:sz="8" w:space="0" w:color="80BAC3" w:themeColor="accent2"/>
        <w:bottom w:val="single" w:sz="8" w:space="0" w:color="80BAC3" w:themeColor="accent2"/>
        <w:right w:val="single" w:sz="8" w:space="0" w:color="80BAC3" w:themeColor="accent2"/>
      </w:tblBorders>
    </w:tblPr>
    <w:tblStylePr w:type="firstRow">
      <w:pPr>
        <w:spacing w:before="0" w:after="0" w:line="240" w:lineRule="auto"/>
      </w:pPr>
      <w:rPr>
        <w:b/>
        <w:bCs/>
        <w:color w:val="FFFFFF" w:themeColor="background1"/>
      </w:rPr>
      <w:tblPr/>
      <w:tcPr>
        <w:shd w:val="clear" w:color="auto" w:fill="80BAC3" w:themeFill="accent2"/>
      </w:tcPr>
    </w:tblStylePr>
    <w:tblStylePr w:type="lastRow">
      <w:pPr>
        <w:spacing w:before="0" w:after="0" w:line="240" w:lineRule="auto"/>
      </w:pPr>
      <w:rPr>
        <w:b/>
        <w:bCs/>
      </w:rPr>
      <w:tblPr/>
      <w:tcPr>
        <w:tcBorders>
          <w:top w:val="double" w:sz="6" w:space="0" w:color="80BAC3" w:themeColor="accent2"/>
          <w:left w:val="single" w:sz="8" w:space="0" w:color="80BAC3" w:themeColor="accent2"/>
          <w:bottom w:val="single" w:sz="8" w:space="0" w:color="80BAC3" w:themeColor="accent2"/>
          <w:right w:val="single" w:sz="8" w:space="0" w:color="80BAC3" w:themeColor="accent2"/>
        </w:tcBorders>
      </w:tcPr>
    </w:tblStylePr>
    <w:tblStylePr w:type="firstCol">
      <w:rPr>
        <w:b/>
        <w:bCs/>
      </w:rPr>
    </w:tblStylePr>
    <w:tblStylePr w:type="lastCol">
      <w:rPr>
        <w:b/>
        <w:bCs/>
      </w:rPr>
    </w:tblStylePr>
    <w:tblStylePr w:type="band1Vert">
      <w:tblPr/>
      <w:tcPr>
        <w:tcBorders>
          <w:top w:val="single" w:sz="8" w:space="0" w:color="80BAC3" w:themeColor="accent2"/>
          <w:left w:val="single" w:sz="8" w:space="0" w:color="80BAC3" w:themeColor="accent2"/>
          <w:bottom w:val="single" w:sz="8" w:space="0" w:color="80BAC3" w:themeColor="accent2"/>
          <w:right w:val="single" w:sz="8" w:space="0" w:color="80BAC3" w:themeColor="accent2"/>
        </w:tcBorders>
      </w:tcPr>
    </w:tblStylePr>
    <w:tblStylePr w:type="band1Horz">
      <w:tblPr/>
      <w:tcPr>
        <w:tcBorders>
          <w:top w:val="single" w:sz="8" w:space="0" w:color="80BAC3" w:themeColor="accent2"/>
          <w:left w:val="single" w:sz="8" w:space="0" w:color="80BAC3" w:themeColor="accent2"/>
          <w:bottom w:val="single" w:sz="8" w:space="0" w:color="80BAC3" w:themeColor="accent2"/>
          <w:right w:val="single" w:sz="8" w:space="0" w:color="80BAC3" w:themeColor="accent2"/>
        </w:tcBorders>
      </w:tcPr>
    </w:tblStylePr>
  </w:style>
  <w:style w:type="table" w:styleId="LightList-Accent3">
    <w:name w:val="Light List Accent 3"/>
    <w:basedOn w:val="TableNormal"/>
    <w:uiPriority w:val="61"/>
    <w:semiHidden/>
    <w:rsid w:val="00294A5A"/>
    <w:pPr>
      <w:spacing w:before="0" w:after="0" w:line="240" w:lineRule="auto"/>
    </w:pPr>
    <w:tblPr>
      <w:tblStyleRowBandSize w:val="1"/>
      <w:tblStyleColBandSize w:val="1"/>
      <w:tblBorders>
        <w:top w:val="single" w:sz="8" w:space="0" w:color="BFDDE1" w:themeColor="accent3"/>
        <w:left w:val="single" w:sz="8" w:space="0" w:color="BFDDE1" w:themeColor="accent3"/>
        <w:bottom w:val="single" w:sz="8" w:space="0" w:color="BFDDE1" w:themeColor="accent3"/>
        <w:right w:val="single" w:sz="8" w:space="0" w:color="BFDDE1" w:themeColor="accent3"/>
      </w:tblBorders>
    </w:tblPr>
    <w:tblStylePr w:type="firstRow">
      <w:pPr>
        <w:spacing w:before="0" w:after="0" w:line="240" w:lineRule="auto"/>
      </w:pPr>
      <w:rPr>
        <w:b/>
        <w:bCs/>
        <w:color w:val="FFFFFF" w:themeColor="background1"/>
      </w:rPr>
      <w:tblPr/>
      <w:tcPr>
        <w:shd w:val="clear" w:color="auto" w:fill="BFDDE1" w:themeFill="accent3"/>
      </w:tcPr>
    </w:tblStylePr>
    <w:tblStylePr w:type="lastRow">
      <w:pPr>
        <w:spacing w:before="0" w:after="0" w:line="240" w:lineRule="auto"/>
      </w:pPr>
      <w:rPr>
        <w:b/>
        <w:bCs/>
      </w:rPr>
      <w:tblPr/>
      <w:tcPr>
        <w:tcBorders>
          <w:top w:val="double" w:sz="6" w:space="0" w:color="BFDDE1" w:themeColor="accent3"/>
          <w:left w:val="single" w:sz="8" w:space="0" w:color="BFDDE1" w:themeColor="accent3"/>
          <w:bottom w:val="single" w:sz="8" w:space="0" w:color="BFDDE1" w:themeColor="accent3"/>
          <w:right w:val="single" w:sz="8" w:space="0" w:color="BFDDE1" w:themeColor="accent3"/>
        </w:tcBorders>
      </w:tcPr>
    </w:tblStylePr>
    <w:tblStylePr w:type="firstCol">
      <w:rPr>
        <w:b/>
        <w:bCs/>
      </w:rPr>
    </w:tblStylePr>
    <w:tblStylePr w:type="lastCol">
      <w:rPr>
        <w:b/>
        <w:bCs/>
      </w:rPr>
    </w:tblStylePr>
    <w:tblStylePr w:type="band1Vert">
      <w:tblPr/>
      <w:tcPr>
        <w:tcBorders>
          <w:top w:val="single" w:sz="8" w:space="0" w:color="BFDDE1" w:themeColor="accent3"/>
          <w:left w:val="single" w:sz="8" w:space="0" w:color="BFDDE1" w:themeColor="accent3"/>
          <w:bottom w:val="single" w:sz="8" w:space="0" w:color="BFDDE1" w:themeColor="accent3"/>
          <w:right w:val="single" w:sz="8" w:space="0" w:color="BFDDE1" w:themeColor="accent3"/>
        </w:tcBorders>
      </w:tcPr>
    </w:tblStylePr>
    <w:tblStylePr w:type="band1Horz">
      <w:tblPr/>
      <w:tcPr>
        <w:tcBorders>
          <w:top w:val="single" w:sz="8" w:space="0" w:color="BFDDE1" w:themeColor="accent3"/>
          <w:left w:val="single" w:sz="8" w:space="0" w:color="BFDDE1" w:themeColor="accent3"/>
          <w:bottom w:val="single" w:sz="8" w:space="0" w:color="BFDDE1" w:themeColor="accent3"/>
          <w:right w:val="single" w:sz="8" w:space="0" w:color="BFDDE1" w:themeColor="accent3"/>
        </w:tcBorders>
      </w:tcPr>
    </w:tblStylePr>
  </w:style>
  <w:style w:type="table" w:styleId="LightList-Accent5">
    <w:name w:val="Light List Accent 5"/>
    <w:basedOn w:val="TableNormal"/>
    <w:uiPriority w:val="61"/>
    <w:semiHidden/>
    <w:rsid w:val="00294A5A"/>
    <w:pPr>
      <w:spacing w:before="0" w:after="0" w:line="240" w:lineRule="auto"/>
    </w:pPr>
    <w:tblPr>
      <w:tblStyleRowBandSize w:val="1"/>
      <w:tblStyleColBandSize w:val="1"/>
      <w:tblBorders>
        <w:top w:val="single" w:sz="8" w:space="0" w:color="80808B" w:themeColor="accent5"/>
        <w:left w:val="single" w:sz="8" w:space="0" w:color="80808B" w:themeColor="accent5"/>
        <w:bottom w:val="single" w:sz="8" w:space="0" w:color="80808B" w:themeColor="accent5"/>
        <w:right w:val="single" w:sz="8" w:space="0" w:color="80808B" w:themeColor="accent5"/>
      </w:tblBorders>
    </w:tblPr>
    <w:tblStylePr w:type="firstRow">
      <w:pPr>
        <w:spacing w:before="0" w:after="0" w:line="240" w:lineRule="auto"/>
      </w:pPr>
      <w:rPr>
        <w:b/>
        <w:bCs/>
        <w:color w:val="FFFFFF" w:themeColor="background1"/>
      </w:rPr>
      <w:tblPr/>
      <w:tcPr>
        <w:shd w:val="clear" w:color="auto" w:fill="80808B" w:themeFill="accent5"/>
      </w:tcPr>
    </w:tblStylePr>
    <w:tblStylePr w:type="lastRow">
      <w:pPr>
        <w:spacing w:before="0" w:after="0" w:line="240" w:lineRule="auto"/>
      </w:pPr>
      <w:rPr>
        <w:b/>
        <w:bCs/>
      </w:rPr>
      <w:tblPr/>
      <w:tcPr>
        <w:tcBorders>
          <w:top w:val="double" w:sz="6" w:space="0" w:color="80808B" w:themeColor="accent5"/>
          <w:left w:val="single" w:sz="8" w:space="0" w:color="80808B" w:themeColor="accent5"/>
          <w:bottom w:val="single" w:sz="8" w:space="0" w:color="80808B" w:themeColor="accent5"/>
          <w:right w:val="single" w:sz="8" w:space="0" w:color="80808B" w:themeColor="accent5"/>
        </w:tcBorders>
      </w:tcPr>
    </w:tblStylePr>
    <w:tblStylePr w:type="firstCol">
      <w:rPr>
        <w:b/>
        <w:bCs/>
      </w:rPr>
    </w:tblStylePr>
    <w:tblStylePr w:type="lastCol">
      <w:rPr>
        <w:b/>
        <w:bCs/>
      </w:rPr>
    </w:tblStylePr>
    <w:tblStylePr w:type="band1Vert">
      <w:tblPr/>
      <w:tcPr>
        <w:tcBorders>
          <w:top w:val="single" w:sz="8" w:space="0" w:color="80808B" w:themeColor="accent5"/>
          <w:left w:val="single" w:sz="8" w:space="0" w:color="80808B" w:themeColor="accent5"/>
          <w:bottom w:val="single" w:sz="8" w:space="0" w:color="80808B" w:themeColor="accent5"/>
          <w:right w:val="single" w:sz="8" w:space="0" w:color="80808B" w:themeColor="accent5"/>
        </w:tcBorders>
      </w:tcPr>
    </w:tblStylePr>
    <w:tblStylePr w:type="band1Horz">
      <w:tblPr/>
      <w:tcPr>
        <w:tcBorders>
          <w:top w:val="single" w:sz="8" w:space="0" w:color="80808B" w:themeColor="accent5"/>
          <w:left w:val="single" w:sz="8" w:space="0" w:color="80808B" w:themeColor="accent5"/>
          <w:bottom w:val="single" w:sz="8" w:space="0" w:color="80808B" w:themeColor="accent5"/>
          <w:right w:val="single" w:sz="8" w:space="0" w:color="80808B" w:themeColor="accent5"/>
        </w:tcBorders>
      </w:tcPr>
    </w:tblStylePr>
  </w:style>
  <w:style w:type="table" w:styleId="LightList-Accent6">
    <w:name w:val="Light List Accent 6"/>
    <w:basedOn w:val="TableNormal"/>
    <w:uiPriority w:val="61"/>
    <w:semiHidden/>
    <w:rsid w:val="00294A5A"/>
    <w:pPr>
      <w:spacing w:before="0" w:after="0" w:line="240" w:lineRule="auto"/>
    </w:pPr>
    <w:tblPr>
      <w:tblStyleRowBandSize w:val="1"/>
      <w:tblStyleColBandSize w:val="1"/>
      <w:tblBorders>
        <w:top w:val="single" w:sz="8" w:space="0" w:color="CCCCD0" w:themeColor="accent6"/>
        <w:left w:val="single" w:sz="8" w:space="0" w:color="CCCCD0" w:themeColor="accent6"/>
        <w:bottom w:val="single" w:sz="8" w:space="0" w:color="CCCCD0" w:themeColor="accent6"/>
        <w:right w:val="single" w:sz="8" w:space="0" w:color="CCCCD0" w:themeColor="accent6"/>
      </w:tblBorders>
    </w:tblPr>
    <w:tblStylePr w:type="firstRow">
      <w:pPr>
        <w:spacing w:before="0" w:after="0" w:line="240" w:lineRule="auto"/>
      </w:pPr>
      <w:rPr>
        <w:b/>
        <w:bCs/>
        <w:color w:val="FFFFFF" w:themeColor="background1"/>
      </w:rPr>
      <w:tblPr/>
      <w:tcPr>
        <w:shd w:val="clear" w:color="auto" w:fill="CCCCD0" w:themeFill="accent6"/>
      </w:tcPr>
    </w:tblStylePr>
    <w:tblStylePr w:type="lastRow">
      <w:pPr>
        <w:spacing w:before="0" w:after="0" w:line="240" w:lineRule="auto"/>
      </w:pPr>
      <w:rPr>
        <w:b/>
        <w:bCs/>
      </w:rPr>
      <w:tblPr/>
      <w:tcPr>
        <w:tcBorders>
          <w:top w:val="double" w:sz="6" w:space="0" w:color="CCCCD0" w:themeColor="accent6"/>
          <w:left w:val="single" w:sz="8" w:space="0" w:color="CCCCD0" w:themeColor="accent6"/>
          <w:bottom w:val="single" w:sz="8" w:space="0" w:color="CCCCD0" w:themeColor="accent6"/>
          <w:right w:val="single" w:sz="8" w:space="0" w:color="CCCCD0" w:themeColor="accent6"/>
        </w:tcBorders>
      </w:tcPr>
    </w:tblStylePr>
    <w:tblStylePr w:type="firstCol">
      <w:rPr>
        <w:b/>
        <w:bCs/>
      </w:rPr>
    </w:tblStylePr>
    <w:tblStylePr w:type="lastCol">
      <w:rPr>
        <w:b/>
        <w:bCs/>
      </w:rPr>
    </w:tblStylePr>
    <w:tblStylePr w:type="band1Vert">
      <w:tblPr/>
      <w:tcPr>
        <w:tcBorders>
          <w:top w:val="single" w:sz="8" w:space="0" w:color="CCCCD0" w:themeColor="accent6"/>
          <w:left w:val="single" w:sz="8" w:space="0" w:color="CCCCD0" w:themeColor="accent6"/>
          <w:bottom w:val="single" w:sz="8" w:space="0" w:color="CCCCD0" w:themeColor="accent6"/>
          <w:right w:val="single" w:sz="8" w:space="0" w:color="CCCCD0" w:themeColor="accent6"/>
        </w:tcBorders>
      </w:tcPr>
    </w:tblStylePr>
    <w:tblStylePr w:type="band1Horz">
      <w:tblPr/>
      <w:tcPr>
        <w:tcBorders>
          <w:top w:val="single" w:sz="8" w:space="0" w:color="CCCCD0" w:themeColor="accent6"/>
          <w:left w:val="single" w:sz="8" w:space="0" w:color="CCCCD0" w:themeColor="accent6"/>
          <w:bottom w:val="single" w:sz="8" w:space="0" w:color="CCCCD0" w:themeColor="accent6"/>
          <w:right w:val="single" w:sz="8" w:space="0" w:color="CCCCD0" w:themeColor="accent6"/>
        </w:tcBorders>
      </w:tcPr>
    </w:tblStylePr>
  </w:style>
  <w:style w:type="table" w:styleId="LightShading-Accent1">
    <w:name w:val="Light Shading Accent 1"/>
    <w:basedOn w:val="TableNormal"/>
    <w:uiPriority w:val="60"/>
    <w:semiHidden/>
    <w:rsid w:val="00294A5A"/>
    <w:pPr>
      <w:spacing w:before="0" w:after="0" w:line="240" w:lineRule="auto"/>
    </w:pPr>
    <w:rPr>
      <w:color w:val="30717A" w:themeColor="accent1" w:themeShade="BF"/>
    </w:rPr>
    <w:tblPr>
      <w:tblStyleRowBandSize w:val="1"/>
      <w:tblStyleColBandSize w:val="1"/>
      <w:tblBorders>
        <w:top w:val="single" w:sz="8" w:space="0" w:color="4098A4" w:themeColor="accent1"/>
        <w:bottom w:val="single" w:sz="8" w:space="0" w:color="4098A4" w:themeColor="accent1"/>
      </w:tblBorders>
    </w:tblPr>
    <w:tblStylePr w:type="firstRow">
      <w:pPr>
        <w:spacing w:before="0" w:after="0" w:line="240" w:lineRule="auto"/>
      </w:pPr>
      <w:rPr>
        <w:b/>
        <w:bCs/>
      </w:rPr>
      <w:tblPr/>
      <w:tcPr>
        <w:tcBorders>
          <w:top w:val="single" w:sz="8" w:space="0" w:color="4098A4" w:themeColor="accent1"/>
          <w:left w:val="nil"/>
          <w:bottom w:val="single" w:sz="8" w:space="0" w:color="4098A4" w:themeColor="accent1"/>
          <w:right w:val="nil"/>
          <w:insideH w:val="nil"/>
          <w:insideV w:val="nil"/>
        </w:tcBorders>
      </w:tcPr>
    </w:tblStylePr>
    <w:tblStylePr w:type="lastRow">
      <w:pPr>
        <w:spacing w:before="0" w:after="0" w:line="240" w:lineRule="auto"/>
      </w:pPr>
      <w:rPr>
        <w:b/>
        <w:bCs/>
      </w:rPr>
      <w:tblPr/>
      <w:tcPr>
        <w:tcBorders>
          <w:top w:val="single" w:sz="8" w:space="0" w:color="4098A4" w:themeColor="accent1"/>
          <w:left w:val="nil"/>
          <w:bottom w:val="single" w:sz="8" w:space="0" w:color="4098A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CE7EB" w:themeFill="accent1" w:themeFillTint="3F"/>
      </w:tcPr>
    </w:tblStylePr>
    <w:tblStylePr w:type="band1Horz">
      <w:tblPr/>
      <w:tcPr>
        <w:tcBorders>
          <w:left w:val="nil"/>
          <w:right w:val="nil"/>
          <w:insideH w:val="nil"/>
          <w:insideV w:val="nil"/>
        </w:tcBorders>
        <w:shd w:val="clear" w:color="auto" w:fill="CCE7EB" w:themeFill="accent1" w:themeFillTint="3F"/>
      </w:tcPr>
    </w:tblStylePr>
  </w:style>
  <w:style w:type="table" w:styleId="LightShading-Accent2">
    <w:name w:val="Light Shading Accent 2"/>
    <w:basedOn w:val="TableNormal"/>
    <w:uiPriority w:val="60"/>
    <w:semiHidden/>
    <w:rsid w:val="00294A5A"/>
    <w:pPr>
      <w:spacing w:before="0" w:after="0" w:line="240" w:lineRule="auto"/>
    </w:pPr>
    <w:rPr>
      <w:color w:val="4D98A4" w:themeColor="accent2" w:themeShade="BF"/>
    </w:rPr>
    <w:tblPr>
      <w:tblStyleRowBandSize w:val="1"/>
      <w:tblStyleColBandSize w:val="1"/>
      <w:tblBorders>
        <w:top w:val="single" w:sz="8" w:space="0" w:color="80BAC3" w:themeColor="accent2"/>
        <w:bottom w:val="single" w:sz="8" w:space="0" w:color="80BAC3" w:themeColor="accent2"/>
      </w:tblBorders>
    </w:tblPr>
    <w:tblStylePr w:type="firstRow">
      <w:pPr>
        <w:spacing w:before="0" w:after="0" w:line="240" w:lineRule="auto"/>
      </w:pPr>
      <w:rPr>
        <w:b/>
        <w:bCs/>
      </w:rPr>
      <w:tblPr/>
      <w:tcPr>
        <w:tcBorders>
          <w:top w:val="single" w:sz="8" w:space="0" w:color="80BAC3" w:themeColor="accent2"/>
          <w:left w:val="nil"/>
          <w:bottom w:val="single" w:sz="8" w:space="0" w:color="80BAC3" w:themeColor="accent2"/>
          <w:right w:val="nil"/>
          <w:insideH w:val="nil"/>
          <w:insideV w:val="nil"/>
        </w:tcBorders>
      </w:tcPr>
    </w:tblStylePr>
    <w:tblStylePr w:type="lastRow">
      <w:pPr>
        <w:spacing w:before="0" w:after="0" w:line="240" w:lineRule="auto"/>
      </w:pPr>
      <w:rPr>
        <w:b/>
        <w:bCs/>
      </w:rPr>
      <w:tblPr/>
      <w:tcPr>
        <w:tcBorders>
          <w:top w:val="single" w:sz="8" w:space="0" w:color="80BAC3" w:themeColor="accent2"/>
          <w:left w:val="nil"/>
          <w:bottom w:val="single" w:sz="8" w:space="0" w:color="80BAC3"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EDF0" w:themeFill="accent2" w:themeFillTint="3F"/>
      </w:tcPr>
    </w:tblStylePr>
    <w:tblStylePr w:type="band1Horz">
      <w:tblPr/>
      <w:tcPr>
        <w:tcBorders>
          <w:left w:val="nil"/>
          <w:right w:val="nil"/>
          <w:insideH w:val="nil"/>
          <w:insideV w:val="nil"/>
        </w:tcBorders>
        <w:shd w:val="clear" w:color="auto" w:fill="DFEDF0" w:themeFill="accent2" w:themeFillTint="3F"/>
      </w:tcPr>
    </w:tblStylePr>
  </w:style>
  <w:style w:type="table" w:styleId="LightShading-Accent3">
    <w:name w:val="Light Shading Accent 3"/>
    <w:basedOn w:val="TableNormal"/>
    <w:uiPriority w:val="60"/>
    <w:semiHidden/>
    <w:rsid w:val="00294A5A"/>
    <w:pPr>
      <w:spacing w:before="0" w:after="0" w:line="240" w:lineRule="auto"/>
    </w:pPr>
    <w:rPr>
      <w:color w:val="77B7BF" w:themeColor="accent3" w:themeShade="BF"/>
    </w:rPr>
    <w:tblPr>
      <w:tblStyleRowBandSize w:val="1"/>
      <w:tblStyleColBandSize w:val="1"/>
      <w:tblBorders>
        <w:top w:val="single" w:sz="8" w:space="0" w:color="BFDDE1" w:themeColor="accent3"/>
        <w:bottom w:val="single" w:sz="8" w:space="0" w:color="BFDDE1" w:themeColor="accent3"/>
      </w:tblBorders>
    </w:tblPr>
    <w:tblStylePr w:type="firstRow">
      <w:pPr>
        <w:spacing w:before="0" w:after="0" w:line="240" w:lineRule="auto"/>
      </w:pPr>
      <w:rPr>
        <w:b/>
        <w:bCs/>
      </w:rPr>
      <w:tblPr/>
      <w:tcPr>
        <w:tcBorders>
          <w:top w:val="single" w:sz="8" w:space="0" w:color="BFDDE1" w:themeColor="accent3"/>
          <w:left w:val="nil"/>
          <w:bottom w:val="single" w:sz="8" w:space="0" w:color="BFDDE1" w:themeColor="accent3"/>
          <w:right w:val="nil"/>
          <w:insideH w:val="nil"/>
          <w:insideV w:val="nil"/>
        </w:tcBorders>
      </w:tcPr>
    </w:tblStylePr>
    <w:tblStylePr w:type="lastRow">
      <w:pPr>
        <w:spacing w:before="0" w:after="0" w:line="240" w:lineRule="auto"/>
      </w:pPr>
      <w:rPr>
        <w:b/>
        <w:bCs/>
      </w:rPr>
      <w:tblPr/>
      <w:tcPr>
        <w:tcBorders>
          <w:top w:val="single" w:sz="8" w:space="0" w:color="BFDDE1" w:themeColor="accent3"/>
          <w:left w:val="nil"/>
          <w:bottom w:val="single" w:sz="8" w:space="0" w:color="BFDDE1"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F6F7" w:themeFill="accent3" w:themeFillTint="3F"/>
      </w:tcPr>
    </w:tblStylePr>
    <w:tblStylePr w:type="band1Horz">
      <w:tblPr/>
      <w:tcPr>
        <w:tcBorders>
          <w:left w:val="nil"/>
          <w:right w:val="nil"/>
          <w:insideH w:val="nil"/>
          <w:insideV w:val="nil"/>
        </w:tcBorders>
        <w:shd w:val="clear" w:color="auto" w:fill="EFF6F7" w:themeFill="accent3" w:themeFillTint="3F"/>
      </w:tcPr>
    </w:tblStylePr>
  </w:style>
  <w:style w:type="table" w:styleId="LightShading-Accent4">
    <w:name w:val="Light Shading Accent 4"/>
    <w:basedOn w:val="TableNormal"/>
    <w:uiPriority w:val="60"/>
    <w:semiHidden/>
    <w:rsid w:val="00294A5A"/>
    <w:pPr>
      <w:spacing w:before="0" w:after="0" w:line="240" w:lineRule="auto"/>
    </w:pPr>
    <w:rPr>
      <w:color w:val="30303B" w:themeColor="accent4" w:themeShade="BF"/>
    </w:rPr>
    <w:tblPr>
      <w:tblStyleRowBandSize w:val="1"/>
      <w:tblStyleColBandSize w:val="1"/>
      <w:tblBorders>
        <w:top w:val="single" w:sz="8" w:space="0" w:color="404050" w:themeColor="accent4"/>
        <w:bottom w:val="single" w:sz="8" w:space="0" w:color="404050" w:themeColor="accent4"/>
      </w:tblBorders>
    </w:tblPr>
    <w:tblStylePr w:type="firstRow">
      <w:pPr>
        <w:spacing w:before="0" w:after="0" w:line="240" w:lineRule="auto"/>
      </w:pPr>
      <w:rPr>
        <w:b/>
        <w:bCs/>
      </w:rPr>
      <w:tblPr/>
      <w:tcPr>
        <w:tcBorders>
          <w:top w:val="single" w:sz="8" w:space="0" w:color="404050" w:themeColor="accent4"/>
          <w:left w:val="nil"/>
          <w:bottom w:val="single" w:sz="8" w:space="0" w:color="404050" w:themeColor="accent4"/>
          <w:right w:val="nil"/>
          <w:insideH w:val="nil"/>
          <w:insideV w:val="nil"/>
        </w:tcBorders>
      </w:tcPr>
    </w:tblStylePr>
    <w:tblStylePr w:type="lastRow">
      <w:pPr>
        <w:spacing w:before="0" w:after="0" w:line="240" w:lineRule="auto"/>
      </w:pPr>
      <w:rPr>
        <w:b/>
        <w:bCs/>
      </w:rPr>
      <w:tblPr/>
      <w:tcPr>
        <w:tcBorders>
          <w:top w:val="single" w:sz="8" w:space="0" w:color="404050" w:themeColor="accent4"/>
          <w:left w:val="nil"/>
          <w:bottom w:val="single" w:sz="8" w:space="0" w:color="40405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CCCD6" w:themeFill="accent4" w:themeFillTint="3F"/>
      </w:tcPr>
    </w:tblStylePr>
    <w:tblStylePr w:type="band1Horz">
      <w:tblPr/>
      <w:tcPr>
        <w:tcBorders>
          <w:left w:val="nil"/>
          <w:right w:val="nil"/>
          <w:insideH w:val="nil"/>
          <w:insideV w:val="nil"/>
        </w:tcBorders>
        <w:shd w:val="clear" w:color="auto" w:fill="CCCCD6" w:themeFill="accent4" w:themeFillTint="3F"/>
      </w:tcPr>
    </w:tblStylePr>
  </w:style>
  <w:style w:type="table" w:styleId="LightShading-Accent5">
    <w:name w:val="Light Shading Accent 5"/>
    <w:basedOn w:val="TableNormal"/>
    <w:uiPriority w:val="60"/>
    <w:semiHidden/>
    <w:rsid w:val="00294A5A"/>
    <w:pPr>
      <w:spacing w:before="0" w:after="0" w:line="240" w:lineRule="auto"/>
    </w:pPr>
    <w:rPr>
      <w:color w:val="5F5F68" w:themeColor="accent5" w:themeShade="BF"/>
    </w:rPr>
    <w:tblPr>
      <w:tblStyleRowBandSize w:val="1"/>
      <w:tblStyleColBandSize w:val="1"/>
      <w:tblBorders>
        <w:top w:val="single" w:sz="8" w:space="0" w:color="80808B" w:themeColor="accent5"/>
        <w:bottom w:val="single" w:sz="8" w:space="0" w:color="80808B" w:themeColor="accent5"/>
      </w:tblBorders>
    </w:tblPr>
    <w:tblStylePr w:type="firstRow">
      <w:pPr>
        <w:spacing w:before="0" w:after="0" w:line="240" w:lineRule="auto"/>
      </w:pPr>
      <w:rPr>
        <w:b/>
        <w:bCs/>
      </w:rPr>
      <w:tblPr/>
      <w:tcPr>
        <w:tcBorders>
          <w:top w:val="single" w:sz="8" w:space="0" w:color="80808B" w:themeColor="accent5"/>
          <w:left w:val="nil"/>
          <w:bottom w:val="single" w:sz="8" w:space="0" w:color="80808B" w:themeColor="accent5"/>
          <w:right w:val="nil"/>
          <w:insideH w:val="nil"/>
          <w:insideV w:val="nil"/>
        </w:tcBorders>
      </w:tcPr>
    </w:tblStylePr>
    <w:tblStylePr w:type="lastRow">
      <w:pPr>
        <w:spacing w:before="0" w:after="0" w:line="240" w:lineRule="auto"/>
      </w:pPr>
      <w:rPr>
        <w:b/>
        <w:bCs/>
      </w:rPr>
      <w:tblPr/>
      <w:tcPr>
        <w:tcBorders>
          <w:top w:val="single" w:sz="8" w:space="0" w:color="80808B" w:themeColor="accent5"/>
          <w:left w:val="nil"/>
          <w:bottom w:val="single" w:sz="8" w:space="0" w:color="80808B"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E2" w:themeFill="accent5" w:themeFillTint="3F"/>
      </w:tcPr>
    </w:tblStylePr>
    <w:tblStylePr w:type="band1Horz">
      <w:tblPr/>
      <w:tcPr>
        <w:tcBorders>
          <w:left w:val="nil"/>
          <w:right w:val="nil"/>
          <w:insideH w:val="nil"/>
          <w:insideV w:val="nil"/>
        </w:tcBorders>
        <w:shd w:val="clear" w:color="auto" w:fill="DFDFE2" w:themeFill="accent5" w:themeFillTint="3F"/>
      </w:tcPr>
    </w:tblStylePr>
  </w:style>
  <w:style w:type="table" w:styleId="LightShading-Accent6">
    <w:name w:val="Light Shading Accent 6"/>
    <w:basedOn w:val="TableNormal"/>
    <w:uiPriority w:val="60"/>
    <w:semiHidden/>
    <w:rsid w:val="00294A5A"/>
    <w:pPr>
      <w:spacing w:before="0" w:after="0" w:line="240" w:lineRule="auto"/>
    </w:pPr>
    <w:rPr>
      <w:color w:val="96969E" w:themeColor="accent6" w:themeShade="BF"/>
    </w:rPr>
    <w:tblPr>
      <w:tblStyleRowBandSize w:val="1"/>
      <w:tblStyleColBandSize w:val="1"/>
      <w:tblBorders>
        <w:top w:val="single" w:sz="8" w:space="0" w:color="CCCCD0" w:themeColor="accent6"/>
        <w:bottom w:val="single" w:sz="8" w:space="0" w:color="CCCCD0" w:themeColor="accent6"/>
      </w:tblBorders>
    </w:tblPr>
    <w:tblStylePr w:type="firstRow">
      <w:pPr>
        <w:spacing w:before="0" w:after="0" w:line="240" w:lineRule="auto"/>
      </w:pPr>
      <w:rPr>
        <w:b/>
        <w:bCs/>
      </w:rPr>
      <w:tblPr/>
      <w:tcPr>
        <w:tcBorders>
          <w:top w:val="single" w:sz="8" w:space="0" w:color="CCCCD0" w:themeColor="accent6"/>
          <w:left w:val="nil"/>
          <w:bottom w:val="single" w:sz="8" w:space="0" w:color="CCCCD0" w:themeColor="accent6"/>
          <w:right w:val="nil"/>
          <w:insideH w:val="nil"/>
          <w:insideV w:val="nil"/>
        </w:tcBorders>
      </w:tcPr>
    </w:tblStylePr>
    <w:tblStylePr w:type="lastRow">
      <w:pPr>
        <w:spacing w:before="0" w:after="0" w:line="240" w:lineRule="auto"/>
      </w:pPr>
      <w:rPr>
        <w:b/>
        <w:bCs/>
      </w:rPr>
      <w:tblPr/>
      <w:tcPr>
        <w:tcBorders>
          <w:top w:val="single" w:sz="8" w:space="0" w:color="CCCCD0" w:themeColor="accent6"/>
          <w:left w:val="nil"/>
          <w:bottom w:val="single" w:sz="8" w:space="0" w:color="CCCCD0"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F2F3" w:themeFill="accent6" w:themeFillTint="3F"/>
      </w:tcPr>
    </w:tblStylePr>
    <w:tblStylePr w:type="band1Horz">
      <w:tblPr/>
      <w:tcPr>
        <w:tcBorders>
          <w:left w:val="nil"/>
          <w:right w:val="nil"/>
          <w:insideH w:val="nil"/>
          <w:insideV w:val="nil"/>
        </w:tcBorders>
        <w:shd w:val="clear" w:color="auto" w:fill="F2F2F3" w:themeFill="accent6" w:themeFillTint="3F"/>
      </w:tcPr>
    </w:tblStylePr>
  </w:style>
  <w:style w:type="table" w:styleId="ListTable1Light">
    <w:name w:val="List Table 1 Light"/>
    <w:basedOn w:val="TableNormal"/>
    <w:uiPriority w:val="46"/>
    <w:semiHidden/>
    <w:rsid w:val="00294A5A"/>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semiHidden/>
    <w:rsid w:val="00294A5A"/>
    <w:pPr>
      <w:spacing w:after="0" w:line="240" w:lineRule="auto"/>
    </w:pPr>
    <w:tblPr>
      <w:tblStyleRowBandSize w:val="1"/>
      <w:tblStyleColBandSize w:val="1"/>
    </w:tblPr>
    <w:tblStylePr w:type="firstRow">
      <w:rPr>
        <w:b/>
        <w:bCs/>
      </w:rPr>
      <w:tblPr/>
      <w:tcPr>
        <w:tcBorders>
          <w:bottom w:val="single" w:sz="4" w:space="0" w:color="85C6CF" w:themeColor="accent1" w:themeTint="99"/>
        </w:tcBorders>
      </w:tcPr>
    </w:tblStylePr>
    <w:tblStylePr w:type="lastRow">
      <w:rPr>
        <w:b/>
        <w:bCs/>
      </w:rPr>
      <w:tblPr/>
      <w:tcPr>
        <w:tcBorders>
          <w:top w:val="single" w:sz="4" w:space="0" w:color="85C6CF" w:themeColor="accent1" w:themeTint="99"/>
        </w:tcBorders>
      </w:tcPr>
    </w:tblStylePr>
    <w:tblStylePr w:type="firstCol">
      <w:rPr>
        <w:b/>
        <w:bCs/>
      </w:rPr>
    </w:tblStylePr>
    <w:tblStylePr w:type="lastCol">
      <w:rPr>
        <w:b/>
        <w:bCs/>
      </w:rPr>
    </w:tblStylePr>
    <w:tblStylePr w:type="band1Vert">
      <w:tblPr/>
      <w:tcPr>
        <w:shd w:val="clear" w:color="auto" w:fill="D6ECEF" w:themeFill="accent1" w:themeFillTint="33"/>
      </w:tcPr>
    </w:tblStylePr>
    <w:tblStylePr w:type="band1Horz">
      <w:tblPr/>
      <w:tcPr>
        <w:shd w:val="clear" w:color="auto" w:fill="D6ECEF" w:themeFill="accent1" w:themeFillTint="33"/>
      </w:tcPr>
    </w:tblStylePr>
  </w:style>
  <w:style w:type="table" w:styleId="ListTable1Light-Accent2">
    <w:name w:val="List Table 1 Light Accent 2"/>
    <w:basedOn w:val="TableNormal"/>
    <w:uiPriority w:val="46"/>
    <w:semiHidden/>
    <w:rsid w:val="00294A5A"/>
    <w:pPr>
      <w:spacing w:after="0" w:line="240" w:lineRule="auto"/>
    </w:pPr>
    <w:tblPr>
      <w:tblStyleRowBandSize w:val="1"/>
      <w:tblStyleColBandSize w:val="1"/>
    </w:tblPr>
    <w:tblStylePr w:type="firstRow">
      <w:rPr>
        <w:b/>
        <w:bCs/>
      </w:rPr>
      <w:tblPr/>
      <w:tcPr>
        <w:tcBorders>
          <w:bottom w:val="single" w:sz="4" w:space="0" w:color="B2D5DB" w:themeColor="accent2" w:themeTint="99"/>
        </w:tcBorders>
      </w:tcPr>
    </w:tblStylePr>
    <w:tblStylePr w:type="lastRow">
      <w:rPr>
        <w:b/>
        <w:bCs/>
      </w:rPr>
      <w:tblPr/>
      <w:tcPr>
        <w:tcBorders>
          <w:top w:val="single" w:sz="4" w:space="0" w:color="B2D5DB" w:themeColor="accent2" w:themeTint="99"/>
        </w:tcBorders>
      </w:tcPr>
    </w:tblStylePr>
    <w:tblStylePr w:type="firstCol">
      <w:rPr>
        <w:b/>
        <w:bCs/>
      </w:rPr>
    </w:tblStylePr>
    <w:tblStylePr w:type="lastCol">
      <w:rPr>
        <w:b/>
        <w:bCs/>
      </w:rPr>
    </w:tblStylePr>
    <w:tblStylePr w:type="band1Vert">
      <w:tblPr/>
      <w:tcPr>
        <w:shd w:val="clear" w:color="auto" w:fill="E5F1F3" w:themeFill="accent2" w:themeFillTint="33"/>
      </w:tcPr>
    </w:tblStylePr>
    <w:tblStylePr w:type="band1Horz">
      <w:tblPr/>
      <w:tcPr>
        <w:shd w:val="clear" w:color="auto" w:fill="E5F1F3" w:themeFill="accent2" w:themeFillTint="33"/>
      </w:tcPr>
    </w:tblStylePr>
  </w:style>
  <w:style w:type="table" w:styleId="ListTable1Light-Accent3">
    <w:name w:val="List Table 1 Light Accent 3"/>
    <w:basedOn w:val="TableNormal"/>
    <w:uiPriority w:val="46"/>
    <w:semiHidden/>
    <w:rsid w:val="00294A5A"/>
    <w:pPr>
      <w:spacing w:after="0" w:line="240" w:lineRule="auto"/>
    </w:pPr>
    <w:tblPr>
      <w:tblStyleRowBandSize w:val="1"/>
      <w:tblStyleColBandSize w:val="1"/>
    </w:tblPr>
    <w:tblStylePr w:type="firstRow">
      <w:rPr>
        <w:b/>
        <w:bCs/>
      </w:rPr>
      <w:tblPr/>
      <w:tcPr>
        <w:tcBorders>
          <w:bottom w:val="single" w:sz="4" w:space="0" w:color="D8EAED" w:themeColor="accent3" w:themeTint="99"/>
        </w:tcBorders>
      </w:tcPr>
    </w:tblStylePr>
    <w:tblStylePr w:type="lastRow">
      <w:rPr>
        <w:b/>
        <w:bCs/>
      </w:rPr>
      <w:tblPr/>
      <w:tcPr>
        <w:tcBorders>
          <w:top w:val="single" w:sz="4" w:space="0" w:color="D8EAED" w:themeColor="accent3" w:themeTint="99"/>
        </w:tcBorders>
      </w:tcPr>
    </w:tblStylePr>
    <w:tblStylePr w:type="firstCol">
      <w:rPr>
        <w:b/>
        <w:bCs/>
      </w:rPr>
    </w:tblStylePr>
    <w:tblStylePr w:type="lastCol">
      <w:rPr>
        <w:b/>
        <w:bCs/>
      </w:rPr>
    </w:tblStylePr>
    <w:tblStylePr w:type="band1Vert">
      <w:tblPr/>
      <w:tcPr>
        <w:shd w:val="clear" w:color="auto" w:fill="F2F8F9" w:themeFill="accent3" w:themeFillTint="33"/>
      </w:tcPr>
    </w:tblStylePr>
    <w:tblStylePr w:type="band1Horz">
      <w:tblPr/>
      <w:tcPr>
        <w:shd w:val="clear" w:color="auto" w:fill="F2F8F9" w:themeFill="accent3" w:themeFillTint="33"/>
      </w:tcPr>
    </w:tblStylePr>
  </w:style>
  <w:style w:type="table" w:styleId="ListTable1Light-Accent4">
    <w:name w:val="List Table 1 Light Accent 4"/>
    <w:basedOn w:val="TableNormal"/>
    <w:uiPriority w:val="46"/>
    <w:semiHidden/>
    <w:rsid w:val="00294A5A"/>
    <w:pPr>
      <w:spacing w:after="0" w:line="240" w:lineRule="auto"/>
    </w:pPr>
    <w:tblPr>
      <w:tblStyleRowBandSize w:val="1"/>
      <w:tblStyleColBandSize w:val="1"/>
    </w:tblPr>
    <w:tblStylePr w:type="firstRow">
      <w:rPr>
        <w:b/>
        <w:bCs/>
      </w:rPr>
      <w:tblPr/>
      <w:tcPr>
        <w:tcBorders>
          <w:bottom w:val="single" w:sz="4" w:space="0" w:color="84849D" w:themeColor="accent4" w:themeTint="99"/>
        </w:tcBorders>
      </w:tcPr>
    </w:tblStylePr>
    <w:tblStylePr w:type="lastRow">
      <w:rPr>
        <w:b/>
        <w:bCs/>
      </w:rPr>
      <w:tblPr/>
      <w:tcPr>
        <w:tcBorders>
          <w:top w:val="single" w:sz="4" w:space="0" w:color="84849D" w:themeColor="accent4" w:themeTint="99"/>
        </w:tcBorders>
      </w:tcPr>
    </w:tblStylePr>
    <w:tblStylePr w:type="firstCol">
      <w:rPr>
        <w:b/>
        <w:bCs/>
      </w:rPr>
    </w:tblStylePr>
    <w:tblStylePr w:type="lastCol">
      <w:rPr>
        <w:b/>
        <w:bCs/>
      </w:rPr>
    </w:tblStylePr>
    <w:tblStylePr w:type="band1Vert">
      <w:tblPr/>
      <w:tcPr>
        <w:shd w:val="clear" w:color="auto" w:fill="D6D6DE" w:themeFill="accent4" w:themeFillTint="33"/>
      </w:tcPr>
    </w:tblStylePr>
    <w:tblStylePr w:type="band1Horz">
      <w:tblPr/>
      <w:tcPr>
        <w:shd w:val="clear" w:color="auto" w:fill="D6D6DE" w:themeFill="accent4" w:themeFillTint="33"/>
      </w:tcPr>
    </w:tblStylePr>
  </w:style>
  <w:style w:type="table" w:styleId="ListTable1Light-Accent5">
    <w:name w:val="List Table 1 Light Accent 5"/>
    <w:basedOn w:val="TableNormal"/>
    <w:uiPriority w:val="46"/>
    <w:semiHidden/>
    <w:rsid w:val="00294A5A"/>
    <w:pPr>
      <w:spacing w:after="0" w:line="240" w:lineRule="auto"/>
    </w:pPr>
    <w:tblPr>
      <w:tblStyleRowBandSize w:val="1"/>
      <w:tblStyleColBandSize w:val="1"/>
    </w:tblPr>
    <w:tblStylePr w:type="firstRow">
      <w:rPr>
        <w:b/>
        <w:bCs/>
      </w:rPr>
      <w:tblPr/>
      <w:tcPr>
        <w:tcBorders>
          <w:bottom w:val="single" w:sz="4" w:space="0" w:color="B2B2B9" w:themeColor="accent5" w:themeTint="99"/>
        </w:tcBorders>
      </w:tcPr>
    </w:tblStylePr>
    <w:tblStylePr w:type="lastRow">
      <w:rPr>
        <w:b/>
        <w:bCs/>
      </w:rPr>
      <w:tblPr/>
      <w:tcPr>
        <w:tcBorders>
          <w:top w:val="single" w:sz="4" w:space="0" w:color="B2B2B9" w:themeColor="accent5" w:themeTint="99"/>
        </w:tcBorders>
      </w:tcPr>
    </w:tblStylePr>
    <w:tblStylePr w:type="firstCol">
      <w:rPr>
        <w:b/>
        <w:bCs/>
      </w:rPr>
    </w:tblStylePr>
    <w:tblStylePr w:type="lastCol">
      <w:rPr>
        <w:b/>
        <w:bCs/>
      </w:rPr>
    </w:tblStylePr>
    <w:tblStylePr w:type="band1Vert">
      <w:tblPr/>
      <w:tcPr>
        <w:shd w:val="clear" w:color="auto" w:fill="E5E5E7" w:themeFill="accent5" w:themeFillTint="33"/>
      </w:tcPr>
    </w:tblStylePr>
    <w:tblStylePr w:type="band1Horz">
      <w:tblPr/>
      <w:tcPr>
        <w:shd w:val="clear" w:color="auto" w:fill="E5E5E7" w:themeFill="accent5" w:themeFillTint="33"/>
      </w:tcPr>
    </w:tblStylePr>
  </w:style>
  <w:style w:type="table" w:styleId="ListTable1Light-Accent6">
    <w:name w:val="List Table 1 Light Accent 6"/>
    <w:basedOn w:val="TableNormal"/>
    <w:uiPriority w:val="46"/>
    <w:semiHidden/>
    <w:rsid w:val="00294A5A"/>
    <w:pPr>
      <w:spacing w:after="0" w:line="240" w:lineRule="auto"/>
    </w:pPr>
    <w:tblPr>
      <w:tblStyleRowBandSize w:val="1"/>
      <w:tblStyleColBandSize w:val="1"/>
    </w:tblPr>
    <w:tblStylePr w:type="firstRow">
      <w:rPr>
        <w:b/>
        <w:bCs/>
      </w:rPr>
      <w:tblPr/>
      <w:tcPr>
        <w:tcBorders>
          <w:bottom w:val="single" w:sz="4" w:space="0" w:color="E0E0E2" w:themeColor="accent6" w:themeTint="99"/>
        </w:tcBorders>
      </w:tcPr>
    </w:tblStylePr>
    <w:tblStylePr w:type="lastRow">
      <w:rPr>
        <w:b/>
        <w:bCs/>
      </w:rPr>
      <w:tblPr/>
      <w:tcPr>
        <w:tcBorders>
          <w:top w:val="single" w:sz="4" w:space="0" w:color="E0E0E2" w:themeColor="accent6" w:themeTint="99"/>
        </w:tcBorders>
      </w:tcPr>
    </w:tblStylePr>
    <w:tblStylePr w:type="firstCol">
      <w:rPr>
        <w:b/>
        <w:bCs/>
      </w:rPr>
    </w:tblStylePr>
    <w:tblStylePr w:type="lastCol">
      <w:rPr>
        <w:b/>
        <w:bCs/>
      </w:rPr>
    </w:tblStylePr>
    <w:tblStylePr w:type="band1Vert">
      <w:tblPr/>
      <w:tcPr>
        <w:shd w:val="clear" w:color="auto" w:fill="F4F4F5" w:themeFill="accent6" w:themeFillTint="33"/>
      </w:tcPr>
    </w:tblStylePr>
    <w:tblStylePr w:type="band1Horz">
      <w:tblPr/>
      <w:tcPr>
        <w:shd w:val="clear" w:color="auto" w:fill="F4F4F5" w:themeFill="accent6" w:themeFillTint="33"/>
      </w:tcPr>
    </w:tblStylePr>
  </w:style>
  <w:style w:type="table" w:styleId="ListTable2">
    <w:name w:val="List Table 2"/>
    <w:basedOn w:val="TableNormal"/>
    <w:uiPriority w:val="47"/>
    <w:semiHidden/>
    <w:rsid w:val="00294A5A"/>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semiHidden/>
    <w:rsid w:val="00294A5A"/>
    <w:pPr>
      <w:spacing w:after="0" w:line="240" w:lineRule="auto"/>
    </w:pPr>
    <w:tblPr>
      <w:tblStyleRowBandSize w:val="1"/>
      <w:tblStyleColBandSize w:val="1"/>
      <w:tblBorders>
        <w:top w:val="single" w:sz="4" w:space="0" w:color="85C6CF" w:themeColor="accent1" w:themeTint="99"/>
        <w:bottom w:val="single" w:sz="4" w:space="0" w:color="85C6CF" w:themeColor="accent1" w:themeTint="99"/>
        <w:insideH w:val="single" w:sz="4" w:space="0" w:color="85C6C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6ECEF" w:themeFill="accent1" w:themeFillTint="33"/>
      </w:tcPr>
    </w:tblStylePr>
    <w:tblStylePr w:type="band1Horz">
      <w:tblPr/>
      <w:tcPr>
        <w:shd w:val="clear" w:color="auto" w:fill="D6ECEF" w:themeFill="accent1" w:themeFillTint="33"/>
      </w:tcPr>
    </w:tblStylePr>
  </w:style>
  <w:style w:type="table" w:styleId="ListTable2-Accent2">
    <w:name w:val="List Table 2 Accent 2"/>
    <w:basedOn w:val="TableNormal"/>
    <w:uiPriority w:val="47"/>
    <w:semiHidden/>
    <w:rsid w:val="00294A5A"/>
    <w:pPr>
      <w:spacing w:after="0" w:line="240" w:lineRule="auto"/>
    </w:pPr>
    <w:tblPr>
      <w:tblStyleRowBandSize w:val="1"/>
      <w:tblStyleColBandSize w:val="1"/>
      <w:tblBorders>
        <w:top w:val="single" w:sz="4" w:space="0" w:color="B2D5DB" w:themeColor="accent2" w:themeTint="99"/>
        <w:bottom w:val="single" w:sz="4" w:space="0" w:color="B2D5DB" w:themeColor="accent2" w:themeTint="99"/>
        <w:insideH w:val="single" w:sz="4" w:space="0" w:color="B2D5DB"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F1F3" w:themeFill="accent2" w:themeFillTint="33"/>
      </w:tcPr>
    </w:tblStylePr>
    <w:tblStylePr w:type="band1Horz">
      <w:tblPr/>
      <w:tcPr>
        <w:shd w:val="clear" w:color="auto" w:fill="E5F1F3" w:themeFill="accent2" w:themeFillTint="33"/>
      </w:tcPr>
    </w:tblStylePr>
  </w:style>
  <w:style w:type="table" w:styleId="ListTable2-Accent3">
    <w:name w:val="List Table 2 Accent 3"/>
    <w:basedOn w:val="TableNormal"/>
    <w:uiPriority w:val="47"/>
    <w:semiHidden/>
    <w:rsid w:val="00294A5A"/>
    <w:pPr>
      <w:spacing w:after="0" w:line="240" w:lineRule="auto"/>
    </w:pPr>
    <w:tblPr>
      <w:tblStyleRowBandSize w:val="1"/>
      <w:tblStyleColBandSize w:val="1"/>
      <w:tblBorders>
        <w:top w:val="single" w:sz="4" w:space="0" w:color="D8EAED" w:themeColor="accent3" w:themeTint="99"/>
        <w:bottom w:val="single" w:sz="4" w:space="0" w:color="D8EAED" w:themeColor="accent3" w:themeTint="99"/>
        <w:insideH w:val="single" w:sz="4" w:space="0" w:color="D8EAED"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8F9" w:themeFill="accent3" w:themeFillTint="33"/>
      </w:tcPr>
    </w:tblStylePr>
    <w:tblStylePr w:type="band1Horz">
      <w:tblPr/>
      <w:tcPr>
        <w:shd w:val="clear" w:color="auto" w:fill="F2F8F9" w:themeFill="accent3" w:themeFillTint="33"/>
      </w:tcPr>
    </w:tblStylePr>
  </w:style>
  <w:style w:type="table" w:styleId="ListTable2-Accent4">
    <w:name w:val="List Table 2 Accent 4"/>
    <w:basedOn w:val="TableNormal"/>
    <w:uiPriority w:val="47"/>
    <w:semiHidden/>
    <w:rsid w:val="00294A5A"/>
    <w:pPr>
      <w:spacing w:after="0" w:line="240" w:lineRule="auto"/>
    </w:pPr>
    <w:tblPr>
      <w:tblStyleRowBandSize w:val="1"/>
      <w:tblStyleColBandSize w:val="1"/>
      <w:tblBorders>
        <w:top w:val="single" w:sz="4" w:space="0" w:color="84849D" w:themeColor="accent4" w:themeTint="99"/>
        <w:bottom w:val="single" w:sz="4" w:space="0" w:color="84849D" w:themeColor="accent4" w:themeTint="99"/>
        <w:insideH w:val="single" w:sz="4" w:space="0" w:color="84849D"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6D6DE" w:themeFill="accent4" w:themeFillTint="33"/>
      </w:tcPr>
    </w:tblStylePr>
    <w:tblStylePr w:type="band1Horz">
      <w:tblPr/>
      <w:tcPr>
        <w:shd w:val="clear" w:color="auto" w:fill="D6D6DE" w:themeFill="accent4" w:themeFillTint="33"/>
      </w:tcPr>
    </w:tblStylePr>
  </w:style>
  <w:style w:type="table" w:styleId="ListTable2-Accent5">
    <w:name w:val="List Table 2 Accent 5"/>
    <w:basedOn w:val="TableNormal"/>
    <w:uiPriority w:val="47"/>
    <w:semiHidden/>
    <w:rsid w:val="00294A5A"/>
    <w:pPr>
      <w:spacing w:after="0" w:line="240" w:lineRule="auto"/>
    </w:pPr>
    <w:tblPr>
      <w:tblStyleRowBandSize w:val="1"/>
      <w:tblStyleColBandSize w:val="1"/>
      <w:tblBorders>
        <w:top w:val="single" w:sz="4" w:space="0" w:color="B2B2B9" w:themeColor="accent5" w:themeTint="99"/>
        <w:bottom w:val="single" w:sz="4" w:space="0" w:color="B2B2B9" w:themeColor="accent5" w:themeTint="99"/>
        <w:insideH w:val="single" w:sz="4" w:space="0" w:color="B2B2B9"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E5E7" w:themeFill="accent5" w:themeFillTint="33"/>
      </w:tcPr>
    </w:tblStylePr>
    <w:tblStylePr w:type="band1Horz">
      <w:tblPr/>
      <w:tcPr>
        <w:shd w:val="clear" w:color="auto" w:fill="E5E5E7" w:themeFill="accent5" w:themeFillTint="33"/>
      </w:tcPr>
    </w:tblStylePr>
  </w:style>
  <w:style w:type="table" w:styleId="ListTable2-Accent6">
    <w:name w:val="List Table 2 Accent 6"/>
    <w:basedOn w:val="TableNormal"/>
    <w:uiPriority w:val="47"/>
    <w:semiHidden/>
    <w:rsid w:val="00294A5A"/>
    <w:pPr>
      <w:spacing w:after="0" w:line="240" w:lineRule="auto"/>
    </w:pPr>
    <w:tblPr>
      <w:tblStyleRowBandSize w:val="1"/>
      <w:tblStyleColBandSize w:val="1"/>
      <w:tblBorders>
        <w:top w:val="single" w:sz="4" w:space="0" w:color="E0E0E2" w:themeColor="accent6" w:themeTint="99"/>
        <w:bottom w:val="single" w:sz="4" w:space="0" w:color="E0E0E2" w:themeColor="accent6" w:themeTint="99"/>
        <w:insideH w:val="single" w:sz="4" w:space="0" w:color="E0E0E2"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4F4F5" w:themeFill="accent6" w:themeFillTint="33"/>
      </w:tcPr>
    </w:tblStylePr>
    <w:tblStylePr w:type="band1Horz">
      <w:tblPr/>
      <w:tcPr>
        <w:shd w:val="clear" w:color="auto" w:fill="F4F4F5" w:themeFill="accent6" w:themeFillTint="33"/>
      </w:tcPr>
    </w:tblStylePr>
  </w:style>
  <w:style w:type="table" w:styleId="ListTable3">
    <w:name w:val="List Table 3"/>
    <w:basedOn w:val="TableNormal"/>
    <w:uiPriority w:val="48"/>
    <w:semiHidden/>
    <w:rsid w:val="00294A5A"/>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semiHidden/>
    <w:rsid w:val="00294A5A"/>
    <w:pPr>
      <w:spacing w:after="0" w:line="240" w:lineRule="auto"/>
    </w:pPr>
    <w:tblPr>
      <w:tblStyleRowBandSize w:val="1"/>
      <w:tblStyleColBandSize w:val="1"/>
      <w:tblBorders>
        <w:top w:val="single" w:sz="4" w:space="0" w:color="4098A4" w:themeColor="accent1"/>
        <w:left w:val="single" w:sz="4" w:space="0" w:color="4098A4" w:themeColor="accent1"/>
        <w:bottom w:val="single" w:sz="4" w:space="0" w:color="4098A4" w:themeColor="accent1"/>
        <w:right w:val="single" w:sz="4" w:space="0" w:color="4098A4" w:themeColor="accent1"/>
      </w:tblBorders>
    </w:tblPr>
    <w:tblStylePr w:type="firstRow">
      <w:rPr>
        <w:b/>
        <w:bCs/>
        <w:color w:val="FFFFFF" w:themeColor="background1"/>
      </w:rPr>
      <w:tblPr/>
      <w:tcPr>
        <w:shd w:val="clear" w:color="auto" w:fill="4098A4" w:themeFill="accent1"/>
      </w:tcPr>
    </w:tblStylePr>
    <w:tblStylePr w:type="lastRow">
      <w:rPr>
        <w:b/>
        <w:bCs/>
      </w:rPr>
      <w:tblPr/>
      <w:tcPr>
        <w:tcBorders>
          <w:top w:val="double" w:sz="4" w:space="0" w:color="4098A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098A4" w:themeColor="accent1"/>
          <w:right w:val="single" w:sz="4" w:space="0" w:color="4098A4" w:themeColor="accent1"/>
        </w:tcBorders>
      </w:tcPr>
    </w:tblStylePr>
    <w:tblStylePr w:type="band1Horz">
      <w:tblPr/>
      <w:tcPr>
        <w:tcBorders>
          <w:top w:val="single" w:sz="4" w:space="0" w:color="4098A4" w:themeColor="accent1"/>
          <w:bottom w:val="single" w:sz="4" w:space="0" w:color="4098A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098A4" w:themeColor="accent1"/>
          <w:left w:val="nil"/>
        </w:tcBorders>
      </w:tcPr>
    </w:tblStylePr>
    <w:tblStylePr w:type="swCell">
      <w:tblPr/>
      <w:tcPr>
        <w:tcBorders>
          <w:top w:val="double" w:sz="4" w:space="0" w:color="4098A4" w:themeColor="accent1"/>
          <w:right w:val="nil"/>
        </w:tcBorders>
      </w:tcPr>
    </w:tblStylePr>
  </w:style>
  <w:style w:type="table" w:styleId="ListTable3-Accent2">
    <w:name w:val="List Table 3 Accent 2"/>
    <w:basedOn w:val="TableNormal"/>
    <w:uiPriority w:val="48"/>
    <w:semiHidden/>
    <w:rsid w:val="00294A5A"/>
    <w:pPr>
      <w:spacing w:after="0" w:line="240" w:lineRule="auto"/>
    </w:pPr>
    <w:tblPr>
      <w:tblStyleRowBandSize w:val="1"/>
      <w:tblStyleColBandSize w:val="1"/>
      <w:tblBorders>
        <w:top w:val="single" w:sz="4" w:space="0" w:color="80BAC3" w:themeColor="accent2"/>
        <w:left w:val="single" w:sz="4" w:space="0" w:color="80BAC3" w:themeColor="accent2"/>
        <w:bottom w:val="single" w:sz="4" w:space="0" w:color="80BAC3" w:themeColor="accent2"/>
        <w:right w:val="single" w:sz="4" w:space="0" w:color="80BAC3" w:themeColor="accent2"/>
      </w:tblBorders>
    </w:tblPr>
    <w:tblStylePr w:type="firstRow">
      <w:rPr>
        <w:b/>
        <w:bCs/>
        <w:color w:val="FFFFFF" w:themeColor="background1"/>
      </w:rPr>
      <w:tblPr/>
      <w:tcPr>
        <w:shd w:val="clear" w:color="auto" w:fill="80BAC3" w:themeFill="accent2"/>
      </w:tcPr>
    </w:tblStylePr>
    <w:tblStylePr w:type="lastRow">
      <w:rPr>
        <w:b/>
        <w:bCs/>
      </w:rPr>
      <w:tblPr/>
      <w:tcPr>
        <w:tcBorders>
          <w:top w:val="double" w:sz="4" w:space="0" w:color="80BAC3"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BAC3" w:themeColor="accent2"/>
          <w:right w:val="single" w:sz="4" w:space="0" w:color="80BAC3" w:themeColor="accent2"/>
        </w:tcBorders>
      </w:tcPr>
    </w:tblStylePr>
    <w:tblStylePr w:type="band1Horz">
      <w:tblPr/>
      <w:tcPr>
        <w:tcBorders>
          <w:top w:val="single" w:sz="4" w:space="0" w:color="80BAC3" w:themeColor="accent2"/>
          <w:bottom w:val="single" w:sz="4" w:space="0" w:color="80BAC3"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BAC3" w:themeColor="accent2"/>
          <w:left w:val="nil"/>
        </w:tcBorders>
      </w:tcPr>
    </w:tblStylePr>
    <w:tblStylePr w:type="swCell">
      <w:tblPr/>
      <w:tcPr>
        <w:tcBorders>
          <w:top w:val="double" w:sz="4" w:space="0" w:color="80BAC3" w:themeColor="accent2"/>
          <w:right w:val="nil"/>
        </w:tcBorders>
      </w:tcPr>
    </w:tblStylePr>
  </w:style>
  <w:style w:type="table" w:styleId="ListTable3-Accent3">
    <w:name w:val="List Table 3 Accent 3"/>
    <w:basedOn w:val="TableNormal"/>
    <w:uiPriority w:val="48"/>
    <w:semiHidden/>
    <w:rsid w:val="00294A5A"/>
    <w:pPr>
      <w:spacing w:after="0" w:line="240" w:lineRule="auto"/>
    </w:pPr>
    <w:tblPr>
      <w:tblStyleRowBandSize w:val="1"/>
      <w:tblStyleColBandSize w:val="1"/>
      <w:tblBorders>
        <w:top w:val="single" w:sz="4" w:space="0" w:color="BFDDE1" w:themeColor="accent3"/>
        <w:left w:val="single" w:sz="4" w:space="0" w:color="BFDDE1" w:themeColor="accent3"/>
        <w:bottom w:val="single" w:sz="4" w:space="0" w:color="BFDDE1" w:themeColor="accent3"/>
        <w:right w:val="single" w:sz="4" w:space="0" w:color="BFDDE1" w:themeColor="accent3"/>
      </w:tblBorders>
    </w:tblPr>
    <w:tblStylePr w:type="firstRow">
      <w:rPr>
        <w:b/>
        <w:bCs/>
        <w:color w:val="FFFFFF" w:themeColor="background1"/>
      </w:rPr>
      <w:tblPr/>
      <w:tcPr>
        <w:shd w:val="clear" w:color="auto" w:fill="BFDDE1" w:themeFill="accent3"/>
      </w:tcPr>
    </w:tblStylePr>
    <w:tblStylePr w:type="lastRow">
      <w:rPr>
        <w:b/>
        <w:bCs/>
      </w:rPr>
      <w:tblPr/>
      <w:tcPr>
        <w:tcBorders>
          <w:top w:val="double" w:sz="4" w:space="0" w:color="BFDDE1"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FDDE1" w:themeColor="accent3"/>
          <w:right w:val="single" w:sz="4" w:space="0" w:color="BFDDE1" w:themeColor="accent3"/>
        </w:tcBorders>
      </w:tcPr>
    </w:tblStylePr>
    <w:tblStylePr w:type="band1Horz">
      <w:tblPr/>
      <w:tcPr>
        <w:tcBorders>
          <w:top w:val="single" w:sz="4" w:space="0" w:color="BFDDE1" w:themeColor="accent3"/>
          <w:bottom w:val="single" w:sz="4" w:space="0" w:color="BFDDE1"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FDDE1" w:themeColor="accent3"/>
          <w:left w:val="nil"/>
        </w:tcBorders>
      </w:tcPr>
    </w:tblStylePr>
    <w:tblStylePr w:type="swCell">
      <w:tblPr/>
      <w:tcPr>
        <w:tcBorders>
          <w:top w:val="double" w:sz="4" w:space="0" w:color="BFDDE1" w:themeColor="accent3"/>
          <w:right w:val="nil"/>
        </w:tcBorders>
      </w:tcPr>
    </w:tblStylePr>
  </w:style>
  <w:style w:type="table" w:styleId="ListTable3-Accent4">
    <w:name w:val="List Table 3 Accent 4"/>
    <w:basedOn w:val="TableNormal"/>
    <w:uiPriority w:val="48"/>
    <w:semiHidden/>
    <w:rsid w:val="00294A5A"/>
    <w:pPr>
      <w:spacing w:after="0" w:line="240" w:lineRule="auto"/>
    </w:pPr>
    <w:tblPr>
      <w:tblStyleRowBandSize w:val="1"/>
      <w:tblStyleColBandSize w:val="1"/>
      <w:tblBorders>
        <w:top w:val="single" w:sz="4" w:space="0" w:color="404050" w:themeColor="accent4"/>
        <w:left w:val="single" w:sz="4" w:space="0" w:color="404050" w:themeColor="accent4"/>
        <w:bottom w:val="single" w:sz="4" w:space="0" w:color="404050" w:themeColor="accent4"/>
        <w:right w:val="single" w:sz="4" w:space="0" w:color="404050" w:themeColor="accent4"/>
      </w:tblBorders>
    </w:tblPr>
    <w:tblStylePr w:type="firstRow">
      <w:rPr>
        <w:b/>
        <w:bCs/>
        <w:color w:val="FFFFFF" w:themeColor="background1"/>
      </w:rPr>
      <w:tblPr/>
      <w:tcPr>
        <w:shd w:val="clear" w:color="auto" w:fill="404050" w:themeFill="accent4"/>
      </w:tcPr>
    </w:tblStylePr>
    <w:tblStylePr w:type="lastRow">
      <w:rPr>
        <w:b/>
        <w:bCs/>
      </w:rPr>
      <w:tblPr/>
      <w:tcPr>
        <w:tcBorders>
          <w:top w:val="double" w:sz="4" w:space="0" w:color="40405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04050" w:themeColor="accent4"/>
          <w:right w:val="single" w:sz="4" w:space="0" w:color="404050" w:themeColor="accent4"/>
        </w:tcBorders>
      </w:tcPr>
    </w:tblStylePr>
    <w:tblStylePr w:type="band1Horz">
      <w:tblPr/>
      <w:tcPr>
        <w:tcBorders>
          <w:top w:val="single" w:sz="4" w:space="0" w:color="404050" w:themeColor="accent4"/>
          <w:bottom w:val="single" w:sz="4" w:space="0" w:color="40405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04050" w:themeColor="accent4"/>
          <w:left w:val="nil"/>
        </w:tcBorders>
      </w:tcPr>
    </w:tblStylePr>
    <w:tblStylePr w:type="swCell">
      <w:tblPr/>
      <w:tcPr>
        <w:tcBorders>
          <w:top w:val="double" w:sz="4" w:space="0" w:color="404050" w:themeColor="accent4"/>
          <w:right w:val="nil"/>
        </w:tcBorders>
      </w:tcPr>
    </w:tblStylePr>
  </w:style>
  <w:style w:type="table" w:styleId="ListTable3-Accent5">
    <w:name w:val="List Table 3 Accent 5"/>
    <w:basedOn w:val="TableNormal"/>
    <w:uiPriority w:val="48"/>
    <w:semiHidden/>
    <w:rsid w:val="00294A5A"/>
    <w:pPr>
      <w:spacing w:after="0" w:line="240" w:lineRule="auto"/>
    </w:pPr>
    <w:tblPr>
      <w:tblStyleRowBandSize w:val="1"/>
      <w:tblStyleColBandSize w:val="1"/>
      <w:tblBorders>
        <w:top w:val="single" w:sz="4" w:space="0" w:color="80808B" w:themeColor="accent5"/>
        <w:left w:val="single" w:sz="4" w:space="0" w:color="80808B" w:themeColor="accent5"/>
        <w:bottom w:val="single" w:sz="4" w:space="0" w:color="80808B" w:themeColor="accent5"/>
        <w:right w:val="single" w:sz="4" w:space="0" w:color="80808B" w:themeColor="accent5"/>
      </w:tblBorders>
    </w:tblPr>
    <w:tblStylePr w:type="firstRow">
      <w:rPr>
        <w:b/>
        <w:bCs/>
        <w:color w:val="FFFFFF" w:themeColor="background1"/>
      </w:rPr>
      <w:tblPr/>
      <w:tcPr>
        <w:shd w:val="clear" w:color="auto" w:fill="80808B" w:themeFill="accent5"/>
      </w:tcPr>
    </w:tblStylePr>
    <w:tblStylePr w:type="lastRow">
      <w:rPr>
        <w:b/>
        <w:bCs/>
      </w:rPr>
      <w:tblPr/>
      <w:tcPr>
        <w:tcBorders>
          <w:top w:val="double" w:sz="4" w:space="0" w:color="80808B"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808B" w:themeColor="accent5"/>
          <w:right w:val="single" w:sz="4" w:space="0" w:color="80808B" w:themeColor="accent5"/>
        </w:tcBorders>
      </w:tcPr>
    </w:tblStylePr>
    <w:tblStylePr w:type="band1Horz">
      <w:tblPr/>
      <w:tcPr>
        <w:tcBorders>
          <w:top w:val="single" w:sz="4" w:space="0" w:color="80808B" w:themeColor="accent5"/>
          <w:bottom w:val="single" w:sz="4" w:space="0" w:color="80808B"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808B" w:themeColor="accent5"/>
          <w:left w:val="nil"/>
        </w:tcBorders>
      </w:tcPr>
    </w:tblStylePr>
    <w:tblStylePr w:type="swCell">
      <w:tblPr/>
      <w:tcPr>
        <w:tcBorders>
          <w:top w:val="double" w:sz="4" w:space="0" w:color="80808B" w:themeColor="accent5"/>
          <w:right w:val="nil"/>
        </w:tcBorders>
      </w:tcPr>
    </w:tblStylePr>
  </w:style>
  <w:style w:type="table" w:styleId="ListTable3-Accent6">
    <w:name w:val="List Table 3 Accent 6"/>
    <w:basedOn w:val="TableNormal"/>
    <w:uiPriority w:val="48"/>
    <w:semiHidden/>
    <w:rsid w:val="00294A5A"/>
    <w:pPr>
      <w:spacing w:after="0" w:line="240" w:lineRule="auto"/>
    </w:pPr>
    <w:tblPr>
      <w:tblStyleRowBandSize w:val="1"/>
      <w:tblStyleColBandSize w:val="1"/>
      <w:tblBorders>
        <w:top w:val="single" w:sz="4" w:space="0" w:color="CCCCD0" w:themeColor="accent6"/>
        <w:left w:val="single" w:sz="4" w:space="0" w:color="CCCCD0" w:themeColor="accent6"/>
        <w:bottom w:val="single" w:sz="4" w:space="0" w:color="CCCCD0" w:themeColor="accent6"/>
        <w:right w:val="single" w:sz="4" w:space="0" w:color="CCCCD0" w:themeColor="accent6"/>
      </w:tblBorders>
    </w:tblPr>
    <w:tblStylePr w:type="firstRow">
      <w:rPr>
        <w:b/>
        <w:bCs/>
        <w:color w:val="FFFFFF" w:themeColor="background1"/>
      </w:rPr>
      <w:tblPr/>
      <w:tcPr>
        <w:shd w:val="clear" w:color="auto" w:fill="CCCCD0" w:themeFill="accent6"/>
      </w:tcPr>
    </w:tblStylePr>
    <w:tblStylePr w:type="lastRow">
      <w:rPr>
        <w:b/>
        <w:bCs/>
      </w:rPr>
      <w:tblPr/>
      <w:tcPr>
        <w:tcBorders>
          <w:top w:val="double" w:sz="4" w:space="0" w:color="CCCCD0"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CCCD0" w:themeColor="accent6"/>
          <w:right w:val="single" w:sz="4" w:space="0" w:color="CCCCD0" w:themeColor="accent6"/>
        </w:tcBorders>
      </w:tcPr>
    </w:tblStylePr>
    <w:tblStylePr w:type="band1Horz">
      <w:tblPr/>
      <w:tcPr>
        <w:tcBorders>
          <w:top w:val="single" w:sz="4" w:space="0" w:color="CCCCD0" w:themeColor="accent6"/>
          <w:bottom w:val="single" w:sz="4" w:space="0" w:color="CCCCD0"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CCCD0" w:themeColor="accent6"/>
          <w:left w:val="nil"/>
        </w:tcBorders>
      </w:tcPr>
    </w:tblStylePr>
    <w:tblStylePr w:type="swCell">
      <w:tblPr/>
      <w:tcPr>
        <w:tcBorders>
          <w:top w:val="double" w:sz="4" w:space="0" w:color="CCCCD0" w:themeColor="accent6"/>
          <w:right w:val="nil"/>
        </w:tcBorders>
      </w:tcPr>
    </w:tblStylePr>
  </w:style>
  <w:style w:type="table" w:styleId="ListTable4">
    <w:name w:val="List Table 4"/>
    <w:basedOn w:val="TableNormal"/>
    <w:uiPriority w:val="49"/>
    <w:semiHidden/>
    <w:rsid w:val="00294A5A"/>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semiHidden/>
    <w:rsid w:val="00294A5A"/>
    <w:pPr>
      <w:spacing w:after="0" w:line="240" w:lineRule="auto"/>
    </w:pPr>
    <w:tblPr>
      <w:tblStyleRowBandSize w:val="1"/>
      <w:tblStyleColBandSize w:val="1"/>
      <w:tblBorders>
        <w:top w:val="single" w:sz="4" w:space="0" w:color="85C6CF" w:themeColor="accent1" w:themeTint="99"/>
        <w:left w:val="single" w:sz="4" w:space="0" w:color="85C6CF" w:themeColor="accent1" w:themeTint="99"/>
        <w:bottom w:val="single" w:sz="4" w:space="0" w:color="85C6CF" w:themeColor="accent1" w:themeTint="99"/>
        <w:right w:val="single" w:sz="4" w:space="0" w:color="85C6CF" w:themeColor="accent1" w:themeTint="99"/>
        <w:insideH w:val="single" w:sz="4" w:space="0" w:color="85C6CF" w:themeColor="accent1" w:themeTint="99"/>
      </w:tblBorders>
    </w:tblPr>
    <w:tblStylePr w:type="firstRow">
      <w:rPr>
        <w:b/>
        <w:bCs/>
        <w:color w:val="FFFFFF" w:themeColor="background1"/>
      </w:rPr>
      <w:tblPr/>
      <w:tcPr>
        <w:tcBorders>
          <w:top w:val="single" w:sz="4" w:space="0" w:color="4098A4" w:themeColor="accent1"/>
          <w:left w:val="single" w:sz="4" w:space="0" w:color="4098A4" w:themeColor="accent1"/>
          <w:bottom w:val="single" w:sz="4" w:space="0" w:color="4098A4" w:themeColor="accent1"/>
          <w:right w:val="single" w:sz="4" w:space="0" w:color="4098A4" w:themeColor="accent1"/>
          <w:insideH w:val="nil"/>
        </w:tcBorders>
        <w:shd w:val="clear" w:color="auto" w:fill="4098A4" w:themeFill="accent1"/>
      </w:tcPr>
    </w:tblStylePr>
    <w:tblStylePr w:type="lastRow">
      <w:rPr>
        <w:b/>
        <w:bCs/>
      </w:rPr>
      <w:tblPr/>
      <w:tcPr>
        <w:tcBorders>
          <w:top w:val="double" w:sz="4" w:space="0" w:color="85C6CF" w:themeColor="accent1" w:themeTint="99"/>
        </w:tcBorders>
      </w:tcPr>
    </w:tblStylePr>
    <w:tblStylePr w:type="firstCol">
      <w:rPr>
        <w:b/>
        <w:bCs/>
      </w:rPr>
    </w:tblStylePr>
    <w:tblStylePr w:type="lastCol">
      <w:rPr>
        <w:b/>
        <w:bCs/>
      </w:rPr>
    </w:tblStylePr>
    <w:tblStylePr w:type="band1Vert">
      <w:tblPr/>
      <w:tcPr>
        <w:shd w:val="clear" w:color="auto" w:fill="D6ECEF" w:themeFill="accent1" w:themeFillTint="33"/>
      </w:tcPr>
    </w:tblStylePr>
    <w:tblStylePr w:type="band1Horz">
      <w:tblPr/>
      <w:tcPr>
        <w:shd w:val="clear" w:color="auto" w:fill="D6ECEF" w:themeFill="accent1" w:themeFillTint="33"/>
      </w:tcPr>
    </w:tblStylePr>
  </w:style>
  <w:style w:type="table" w:styleId="ListTable4-Accent2">
    <w:name w:val="List Table 4 Accent 2"/>
    <w:basedOn w:val="TableNormal"/>
    <w:uiPriority w:val="49"/>
    <w:semiHidden/>
    <w:rsid w:val="00294A5A"/>
    <w:pPr>
      <w:spacing w:after="0" w:line="240" w:lineRule="auto"/>
    </w:pPr>
    <w:tblPr>
      <w:tblStyleRowBandSize w:val="1"/>
      <w:tblStyleColBandSize w:val="1"/>
      <w:tblBorders>
        <w:top w:val="single" w:sz="4" w:space="0" w:color="B2D5DB" w:themeColor="accent2" w:themeTint="99"/>
        <w:left w:val="single" w:sz="4" w:space="0" w:color="B2D5DB" w:themeColor="accent2" w:themeTint="99"/>
        <w:bottom w:val="single" w:sz="4" w:space="0" w:color="B2D5DB" w:themeColor="accent2" w:themeTint="99"/>
        <w:right w:val="single" w:sz="4" w:space="0" w:color="B2D5DB" w:themeColor="accent2" w:themeTint="99"/>
        <w:insideH w:val="single" w:sz="4" w:space="0" w:color="B2D5DB" w:themeColor="accent2" w:themeTint="99"/>
      </w:tblBorders>
    </w:tblPr>
    <w:tblStylePr w:type="firstRow">
      <w:rPr>
        <w:b/>
        <w:bCs/>
        <w:color w:val="FFFFFF" w:themeColor="background1"/>
      </w:rPr>
      <w:tblPr/>
      <w:tcPr>
        <w:tcBorders>
          <w:top w:val="single" w:sz="4" w:space="0" w:color="80BAC3" w:themeColor="accent2"/>
          <w:left w:val="single" w:sz="4" w:space="0" w:color="80BAC3" w:themeColor="accent2"/>
          <w:bottom w:val="single" w:sz="4" w:space="0" w:color="80BAC3" w:themeColor="accent2"/>
          <w:right w:val="single" w:sz="4" w:space="0" w:color="80BAC3" w:themeColor="accent2"/>
          <w:insideH w:val="nil"/>
        </w:tcBorders>
        <w:shd w:val="clear" w:color="auto" w:fill="80BAC3" w:themeFill="accent2"/>
      </w:tcPr>
    </w:tblStylePr>
    <w:tblStylePr w:type="lastRow">
      <w:rPr>
        <w:b/>
        <w:bCs/>
      </w:rPr>
      <w:tblPr/>
      <w:tcPr>
        <w:tcBorders>
          <w:top w:val="double" w:sz="4" w:space="0" w:color="B2D5DB" w:themeColor="accent2" w:themeTint="99"/>
        </w:tcBorders>
      </w:tcPr>
    </w:tblStylePr>
    <w:tblStylePr w:type="firstCol">
      <w:rPr>
        <w:b/>
        <w:bCs/>
      </w:rPr>
    </w:tblStylePr>
    <w:tblStylePr w:type="lastCol">
      <w:rPr>
        <w:b/>
        <w:bCs/>
      </w:rPr>
    </w:tblStylePr>
    <w:tblStylePr w:type="band1Vert">
      <w:tblPr/>
      <w:tcPr>
        <w:shd w:val="clear" w:color="auto" w:fill="E5F1F3" w:themeFill="accent2" w:themeFillTint="33"/>
      </w:tcPr>
    </w:tblStylePr>
    <w:tblStylePr w:type="band1Horz">
      <w:tblPr/>
      <w:tcPr>
        <w:shd w:val="clear" w:color="auto" w:fill="E5F1F3" w:themeFill="accent2" w:themeFillTint="33"/>
      </w:tcPr>
    </w:tblStylePr>
  </w:style>
  <w:style w:type="table" w:styleId="ListTable4-Accent3">
    <w:name w:val="List Table 4 Accent 3"/>
    <w:basedOn w:val="TableNormal"/>
    <w:uiPriority w:val="49"/>
    <w:semiHidden/>
    <w:rsid w:val="00294A5A"/>
    <w:pPr>
      <w:spacing w:after="0" w:line="240" w:lineRule="auto"/>
    </w:pPr>
    <w:tblPr>
      <w:tblStyleRowBandSize w:val="1"/>
      <w:tblStyleColBandSize w:val="1"/>
      <w:tblBorders>
        <w:top w:val="single" w:sz="4" w:space="0" w:color="D8EAED" w:themeColor="accent3" w:themeTint="99"/>
        <w:left w:val="single" w:sz="4" w:space="0" w:color="D8EAED" w:themeColor="accent3" w:themeTint="99"/>
        <w:bottom w:val="single" w:sz="4" w:space="0" w:color="D8EAED" w:themeColor="accent3" w:themeTint="99"/>
        <w:right w:val="single" w:sz="4" w:space="0" w:color="D8EAED" w:themeColor="accent3" w:themeTint="99"/>
        <w:insideH w:val="single" w:sz="4" w:space="0" w:color="D8EAED" w:themeColor="accent3" w:themeTint="99"/>
      </w:tblBorders>
    </w:tblPr>
    <w:tblStylePr w:type="firstRow">
      <w:rPr>
        <w:b/>
        <w:bCs/>
        <w:color w:val="FFFFFF" w:themeColor="background1"/>
      </w:rPr>
      <w:tblPr/>
      <w:tcPr>
        <w:tcBorders>
          <w:top w:val="single" w:sz="4" w:space="0" w:color="BFDDE1" w:themeColor="accent3"/>
          <w:left w:val="single" w:sz="4" w:space="0" w:color="BFDDE1" w:themeColor="accent3"/>
          <w:bottom w:val="single" w:sz="4" w:space="0" w:color="BFDDE1" w:themeColor="accent3"/>
          <w:right w:val="single" w:sz="4" w:space="0" w:color="BFDDE1" w:themeColor="accent3"/>
          <w:insideH w:val="nil"/>
        </w:tcBorders>
        <w:shd w:val="clear" w:color="auto" w:fill="BFDDE1" w:themeFill="accent3"/>
      </w:tcPr>
    </w:tblStylePr>
    <w:tblStylePr w:type="lastRow">
      <w:rPr>
        <w:b/>
        <w:bCs/>
      </w:rPr>
      <w:tblPr/>
      <w:tcPr>
        <w:tcBorders>
          <w:top w:val="double" w:sz="4" w:space="0" w:color="D8EAED" w:themeColor="accent3" w:themeTint="99"/>
        </w:tcBorders>
      </w:tcPr>
    </w:tblStylePr>
    <w:tblStylePr w:type="firstCol">
      <w:rPr>
        <w:b/>
        <w:bCs/>
      </w:rPr>
    </w:tblStylePr>
    <w:tblStylePr w:type="lastCol">
      <w:rPr>
        <w:b/>
        <w:bCs/>
      </w:rPr>
    </w:tblStylePr>
    <w:tblStylePr w:type="band1Vert">
      <w:tblPr/>
      <w:tcPr>
        <w:shd w:val="clear" w:color="auto" w:fill="F2F8F9" w:themeFill="accent3" w:themeFillTint="33"/>
      </w:tcPr>
    </w:tblStylePr>
    <w:tblStylePr w:type="band1Horz">
      <w:tblPr/>
      <w:tcPr>
        <w:shd w:val="clear" w:color="auto" w:fill="F2F8F9" w:themeFill="accent3" w:themeFillTint="33"/>
      </w:tcPr>
    </w:tblStylePr>
  </w:style>
  <w:style w:type="table" w:styleId="ListTable4-Accent4">
    <w:name w:val="List Table 4 Accent 4"/>
    <w:basedOn w:val="TableNormal"/>
    <w:uiPriority w:val="49"/>
    <w:semiHidden/>
    <w:rsid w:val="00294A5A"/>
    <w:pPr>
      <w:spacing w:after="0" w:line="240" w:lineRule="auto"/>
    </w:pPr>
    <w:tblPr>
      <w:tblStyleRowBandSize w:val="1"/>
      <w:tblStyleColBandSize w:val="1"/>
      <w:tblBorders>
        <w:top w:val="single" w:sz="4" w:space="0" w:color="84849D" w:themeColor="accent4" w:themeTint="99"/>
        <w:left w:val="single" w:sz="4" w:space="0" w:color="84849D" w:themeColor="accent4" w:themeTint="99"/>
        <w:bottom w:val="single" w:sz="4" w:space="0" w:color="84849D" w:themeColor="accent4" w:themeTint="99"/>
        <w:right w:val="single" w:sz="4" w:space="0" w:color="84849D" w:themeColor="accent4" w:themeTint="99"/>
        <w:insideH w:val="single" w:sz="4" w:space="0" w:color="84849D" w:themeColor="accent4" w:themeTint="99"/>
      </w:tblBorders>
    </w:tblPr>
    <w:tblStylePr w:type="firstRow">
      <w:rPr>
        <w:b/>
        <w:bCs/>
        <w:color w:val="FFFFFF" w:themeColor="background1"/>
      </w:rPr>
      <w:tblPr/>
      <w:tcPr>
        <w:tcBorders>
          <w:top w:val="single" w:sz="4" w:space="0" w:color="404050" w:themeColor="accent4"/>
          <w:left w:val="single" w:sz="4" w:space="0" w:color="404050" w:themeColor="accent4"/>
          <w:bottom w:val="single" w:sz="4" w:space="0" w:color="404050" w:themeColor="accent4"/>
          <w:right w:val="single" w:sz="4" w:space="0" w:color="404050" w:themeColor="accent4"/>
          <w:insideH w:val="nil"/>
        </w:tcBorders>
        <w:shd w:val="clear" w:color="auto" w:fill="404050" w:themeFill="accent4"/>
      </w:tcPr>
    </w:tblStylePr>
    <w:tblStylePr w:type="lastRow">
      <w:rPr>
        <w:b/>
        <w:bCs/>
      </w:rPr>
      <w:tblPr/>
      <w:tcPr>
        <w:tcBorders>
          <w:top w:val="double" w:sz="4" w:space="0" w:color="84849D" w:themeColor="accent4" w:themeTint="99"/>
        </w:tcBorders>
      </w:tcPr>
    </w:tblStylePr>
    <w:tblStylePr w:type="firstCol">
      <w:rPr>
        <w:b/>
        <w:bCs/>
      </w:rPr>
    </w:tblStylePr>
    <w:tblStylePr w:type="lastCol">
      <w:rPr>
        <w:b/>
        <w:bCs/>
      </w:rPr>
    </w:tblStylePr>
    <w:tblStylePr w:type="band1Vert">
      <w:tblPr/>
      <w:tcPr>
        <w:shd w:val="clear" w:color="auto" w:fill="D6D6DE" w:themeFill="accent4" w:themeFillTint="33"/>
      </w:tcPr>
    </w:tblStylePr>
    <w:tblStylePr w:type="band1Horz">
      <w:tblPr/>
      <w:tcPr>
        <w:shd w:val="clear" w:color="auto" w:fill="D6D6DE" w:themeFill="accent4" w:themeFillTint="33"/>
      </w:tcPr>
    </w:tblStylePr>
  </w:style>
  <w:style w:type="table" w:styleId="ListTable4-Accent5">
    <w:name w:val="List Table 4 Accent 5"/>
    <w:basedOn w:val="TableNormal"/>
    <w:uiPriority w:val="49"/>
    <w:semiHidden/>
    <w:rsid w:val="00294A5A"/>
    <w:pPr>
      <w:spacing w:after="0" w:line="240" w:lineRule="auto"/>
    </w:pPr>
    <w:tblPr>
      <w:tblStyleRowBandSize w:val="1"/>
      <w:tblStyleColBandSize w:val="1"/>
      <w:tblBorders>
        <w:top w:val="single" w:sz="4" w:space="0" w:color="B2B2B9" w:themeColor="accent5" w:themeTint="99"/>
        <w:left w:val="single" w:sz="4" w:space="0" w:color="B2B2B9" w:themeColor="accent5" w:themeTint="99"/>
        <w:bottom w:val="single" w:sz="4" w:space="0" w:color="B2B2B9" w:themeColor="accent5" w:themeTint="99"/>
        <w:right w:val="single" w:sz="4" w:space="0" w:color="B2B2B9" w:themeColor="accent5" w:themeTint="99"/>
        <w:insideH w:val="single" w:sz="4" w:space="0" w:color="B2B2B9" w:themeColor="accent5" w:themeTint="99"/>
      </w:tblBorders>
    </w:tblPr>
    <w:tblStylePr w:type="firstRow">
      <w:rPr>
        <w:b/>
        <w:bCs/>
        <w:color w:val="FFFFFF" w:themeColor="background1"/>
      </w:rPr>
      <w:tblPr/>
      <w:tcPr>
        <w:tcBorders>
          <w:top w:val="single" w:sz="4" w:space="0" w:color="80808B" w:themeColor="accent5"/>
          <w:left w:val="single" w:sz="4" w:space="0" w:color="80808B" w:themeColor="accent5"/>
          <w:bottom w:val="single" w:sz="4" w:space="0" w:color="80808B" w:themeColor="accent5"/>
          <w:right w:val="single" w:sz="4" w:space="0" w:color="80808B" w:themeColor="accent5"/>
          <w:insideH w:val="nil"/>
        </w:tcBorders>
        <w:shd w:val="clear" w:color="auto" w:fill="80808B" w:themeFill="accent5"/>
      </w:tcPr>
    </w:tblStylePr>
    <w:tblStylePr w:type="lastRow">
      <w:rPr>
        <w:b/>
        <w:bCs/>
      </w:rPr>
      <w:tblPr/>
      <w:tcPr>
        <w:tcBorders>
          <w:top w:val="double" w:sz="4" w:space="0" w:color="B2B2B9" w:themeColor="accent5" w:themeTint="99"/>
        </w:tcBorders>
      </w:tcPr>
    </w:tblStylePr>
    <w:tblStylePr w:type="firstCol">
      <w:rPr>
        <w:b/>
        <w:bCs/>
      </w:rPr>
    </w:tblStylePr>
    <w:tblStylePr w:type="lastCol">
      <w:rPr>
        <w:b/>
        <w:bCs/>
      </w:rPr>
    </w:tblStylePr>
    <w:tblStylePr w:type="band1Vert">
      <w:tblPr/>
      <w:tcPr>
        <w:shd w:val="clear" w:color="auto" w:fill="E5E5E7" w:themeFill="accent5" w:themeFillTint="33"/>
      </w:tcPr>
    </w:tblStylePr>
    <w:tblStylePr w:type="band1Horz">
      <w:tblPr/>
      <w:tcPr>
        <w:shd w:val="clear" w:color="auto" w:fill="E5E5E7" w:themeFill="accent5" w:themeFillTint="33"/>
      </w:tcPr>
    </w:tblStylePr>
  </w:style>
  <w:style w:type="table" w:styleId="ListTable4-Accent6">
    <w:name w:val="List Table 4 Accent 6"/>
    <w:basedOn w:val="TableNormal"/>
    <w:uiPriority w:val="49"/>
    <w:semiHidden/>
    <w:rsid w:val="00294A5A"/>
    <w:pPr>
      <w:spacing w:after="0" w:line="240" w:lineRule="auto"/>
    </w:pPr>
    <w:tblPr>
      <w:tblStyleRowBandSize w:val="1"/>
      <w:tblStyleColBandSize w:val="1"/>
      <w:tblBorders>
        <w:top w:val="single" w:sz="4" w:space="0" w:color="E0E0E2" w:themeColor="accent6" w:themeTint="99"/>
        <w:left w:val="single" w:sz="4" w:space="0" w:color="E0E0E2" w:themeColor="accent6" w:themeTint="99"/>
        <w:bottom w:val="single" w:sz="4" w:space="0" w:color="E0E0E2" w:themeColor="accent6" w:themeTint="99"/>
        <w:right w:val="single" w:sz="4" w:space="0" w:color="E0E0E2" w:themeColor="accent6" w:themeTint="99"/>
        <w:insideH w:val="single" w:sz="4" w:space="0" w:color="E0E0E2" w:themeColor="accent6" w:themeTint="99"/>
      </w:tblBorders>
    </w:tblPr>
    <w:tblStylePr w:type="firstRow">
      <w:rPr>
        <w:b/>
        <w:bCs/>
        <w:color w:val="FFFFFF" w:themeColor="background1"/>
      </w:rPr>
      <w:tblPr/>
      <w:tcPr>
        <w:tcBorders>
          <w:top w:val="single" w:sz="4" w:space="0" w:color="CCCCD0" w:themeColor="accent6"/>
          <w:left w:val="single" w:sz="4" w:space="0" w:color="CCCCD0" w:themeColor="accent6"/>
          <w:bottom w:val="single" w:sz="4" w:space="0" w:color="CCCCD0" w:themeColor="accent6"/>
          <w:right w:val="single" w:sz="4" w:space="0" w:color="CCCCD0" w:themeColor="accent6"/>
          <w:insideH w:val="nil"/>
        </w:tcBorders>
        <w:shd w:val="clear" w:color="auto" w:fill="CCCCD0" w:themeFill="accent6"/>
      </w:tcPr>
    </w:tblStylePr>
    <w:tblStylePr w:type="lastRow">
      <w:rPr>
        <w:b/>
        <w:bCs/>
      </w:rPr>
      <w:tblPr/>
      <w:tcPr>
        <w:tcBorders>
          <w:top w:val="double" w:sz="4" w:space="0" w:color="E0E0E2" w:themeColor="accent6" w:themeTint="99"/>
        </w:tcBorders>
      </w:tcPr>
    </w:tblStylePr>
    <w:tblStylePr w:type="firstCol">
      <w:rPr>
        <w:b/>
        <w:bCs/>
      </w:rPr>
    </w:tblStylePr>
    <w:tblStylePr w:type="lastCol">
      <w:rPr>
        <w:b/>
        <w:bCs/>
      </w:rPr>
    </w:tblStylePr>
    <w:tblStylePr w:type="band1Vert">
      <w:tblPr/>
      <w:tcPr>
        <w:shd w:val="clear" w:color="auto" w:fill="F4F4F5" w:themeFill="accent6" w:themeFillTint="33"/>
      </w:tcPr>
    </w:tblStylePr>
    <w:tblStylePr w:type="band1Horz">
      <w:tblPr/>
      <w:tcPr>
        <w:shd w:val="clear" w:color="auto" w:fill="F4F4F5" w:themeFill="accent6" w:themeFillTint="33"/>
      </w:tcPr>
    </w:tblStylePr>
  </w:style>
  <w:style w:type="table" w:styleId="ListTable5Dark">
    <w:name w:val="List Table 5 Dark"/>
    <w:basedOn w:val="TableNormal"/>
    <w:uiPriority w:val="50"/>
    <w:semiHidden/>
    <w:rsid w:val="00294A5A"/>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294A5A"/>
    <w:pPr>
      <w:spacing w:after="0" w:line="240" w:lineRule="auto"/>
    </w:pPr>
    <w:rPr>
      <w:color w:val="FFFFFF" w:themeColor="background1"/>
    </w:rPr>
    <w:tblPr>
      <w:tblStyleRowBandSize w:val="1"/>
      <w:tblStyleColBandSize w:val="1"/>
      <w:tblBorders>
        <w:top w:val="single" w:sz="24" w:space="0" w:color="4098A4" w:themeColor="accent1"/>
        <w:left w:val="single" w:sz="24" w:space="0" w:color="4098A4" w:themeColor="accent1"/>
        <w:bottom w:val="single" w:sz="24" w:space="0" w:color="4098A4" w:themeColor="accent1"/>
        <w:right w:val="single" w:sz="24" w:space="0" w:color="4098A4" w:themeColor="accent1"/>
      </w:tblBorders>
    </w:tblPr>
    <w:tcPr>
      <w:shd w:val="clear" w:color="auto" w:fill="4098A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294A5A"/>
    <w:pPr>
      <w:spacing w:after="0" w:line="240" w:lineRule="auto"/>
    </w:pPr>
    <w:rPr>
      <w:color w:val="FFFFFF" w:themeColor="background1"/>
    </w:rPr>
    <w:tblPr>
      <w:tblStyleRowBandSize w:val="1"/>
      <w:tblStyleColBandSize w:val="1"/>
      <w:tblBorders>
        <w:top w:val="single" w:sz="24" w:space="0" w:color="80BAC3" w:themeColor="accent2"/>
        <w:left w:val="single" w:sz="24" w:space="0" w:color="80BAC3" w:themeColor="accent2"/>
        <w:bottom w:val="single" w:sz="24" w:space="0" w:color="80BAC3" w:themeColor="accent2"/>
        <w:right w:val="single" w:sz="24" w:space="0" w:color="80BAC3" w:themeColor="accent2"/>
      </w:tblBorders>
    </w:tblPr>
    <w:tcPr>
      <w:shd w:val="clear" w:color="auto" w:fill="80BAC3"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294A5A"/>
    <w:pPr>
      <w:spacing w:after="0" w:line="240" w:lineRule="auto"/>
    </w:pPr>
    <w:rPr>
      <w:color w:val="FFFFFF" w:themeColor="background1"/>
    </w:rPr>
    <w:tblPr>
      <w:tblStyleRowBandSize w:val="1"/>
      <w:tblStyleColBandSize w:val="1"/>
      <w:tblBorders>
        <w:top w:val="single" w:sz="24" w:space="0" w:color="BFDDE1" w:themeColor="accent3"/>
        <w:left w:val="single" w:sz="24" w:space="0" w:color="BFDDE1" w:themeColor="accent3"/>
        <w:bottom w:val="single" w:sz="24" w:space="0" w:color="BFDDE1" w:themeColor="accent3"/>
        <w:right w:val="single" w:sz="24" w:space="0" w:color="BFDDE1" w:themeColor="accent3"/>
      </w:tblBorders>
    </w:tblPr>
    <w:tcPr>
      <w:shd w:val="clear" w:color="auto" w:fill="BFDDE1"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294A5A"/>
    <w:pPr>
      <w:spacing w:after="0" w:line="240" w:lineRule="auto"/>
    </w:pPr>
    <w:rPr>
      <w:color w:val="FFFFFF" w:themeColor="background1"/>
    </w:rPr>
    <w:tblPr>
      <w:tblStyleRowBandSize w:val="1"/>
      <w:tblStyleColBandSize w:val="1"/>
      <w:tblBorders>
        <w:top w:val="single" w:sz="24" w:space="0" w:color="404050" w:themeColor="accent4"/>
        <w:left w:val="single" w:sz="24" w:space="0" w:color="404050" w:themeColor="accent4"/>
        <w:bottom w:val="single" w:sz="24" w:space="0" w:color="404050" w:themeColor="accent4"/>
        <w:right w:val="single" w:sz="24" w:space="0" w:color="404050" w:themeColor="accent4"/>
      </w:tblBorders>
    </w:tblPr>
    <w:tcPr>
      <w:shd w:val="clear" w:color="auto" w:fill="40405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294A5A"/>
    <w:pPr>
      <w:spacing w:after="0" w:line="240" w:lineRule="auto"/>
    </w:pPr>
    <w:rPr>
      <w:color w:val="FFFFFF" w:themeColor="background1"/>
    </w:rPr>
    <w:tblPr>
      <w:tblStyleRowBandSize w:val="1"/>
      <w:tblStyleColBandSize w:val="1"/>
      <w:tblBorders>
        <w:top w:val="single" w:sz="24" w:space="0" w:color="80808B" w:themeColor="accent5"/>
        <w:left w:val="single" w:sz="24" w:space="0" w:color="80808B" w:themeColor="accent5"/>
        <w:bottom w:val="single" w:sz="24" w:space="0" w:color="80808B" w:themeColor="accent5"/>
        <w:right w:val="single" w:sz="24" w:space="0" w:color="80808B" w:themeColor="accent5"/>
      </w:tblBorders>
    </w:tblPr>
    <w:tcPr>
      <w:shd w:val="clear" w:color="auto" w:fill="80808B"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294A5A"/>
    <w:pPr>
      <w:spacing w:after="0" w:line="240" w:lineRule="auto"/>
    </w:pPr>
    <w:rPr>
      <w:color w:val="FFFFFF" w:themeColor="background1"/>
    </w:rPr>
    <w:tblPr>
      <w:tblStyleRowBandSize w:val="1"/>
      <w:tblStyleColBandSize w:val="1"/>
      <w:tblBorders>
        <w:top w:val="single" w:sz="24" w:space="0" w:color="CCCCD0" w:themeColor="accent6"/>
        <w:left w:val="single" w:sz="24" w:space="0" w:color="CCCCD0" w:themeColor="accent6"/>
        <w:bottom w:val="single" w:sz="24" w:space="0" w:color="CCCCD0" w:themeColor="accent6"/>
        <w:right w:val="single" w:sz="24" w:space="0" w:color="CCCCD0" w:themeColor="accent6"/>
      </w:tblBorders>
    </w:tblPr>
    <w:tcPr>
      <w:shd w:val="clear" w:color="auto" w:fill="CCCCD0"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294A5A"/>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semiHidden/>
    <w:rsid w:val="00294A5A"/>
    <w:pPr>
      <w:spacing w:after="0" w:line="240" w:lineRule="auto"/>
    </w:pPr>
    <w:rPr>
      <w:color w:val="30717A" w:themeColor="accent1" w:themeShade="BF"/>
    </w:rPr>
    <w:tblPr>
      <w:tblStyleRowBandSize w:val="1"/>
      <w:tblStyleColBandSize w:val="1"/>
      <w:tblBorders>
        <w:top w:val="single" w:sz="4" w:space="0" w:color="4098A4" w:themeColor="accent1"/>
        <w:bottom w:val="single" w:sz="4" w:space="0" w:color="4098A4" w:themeColor="accent1"/>
      </w:tblBorders>
    </w:tblPr>
    <w:tblStylePr w:type="firstRow">
      <w:rPr>
        <w:b/>
        <w:bCs/>
      </w:rPr>
      <w:tblPr/>
      <w:tcPr>
        <w:tcBorders>
          <w:bottom w:val="single" w:sz="4" w:space="0" w:color="4098A4" w:themeColor="accent1"/>
        </w:tcBorders>
      </w:tcPr>
    </w:tblStylePr>
    <w:tblStylePr w:type="lastRow">
      <w:rPr>
        <w:b/>
        <w:bCs/>
      </w:rPr>
      <w:tblPr/>
      <w:tcPr>
        <w:tcBorders>
          <w:top w:val="double" w:sz="4" w:space="0" w:color="4098A4" w:themeColor="accent1"/>
        </w:tcBorders>
      </w:tcPr>
    </w:tblStylePr>
    <w:tblStylePr w:type="firstCol">
      <w:rPr>
        <w:b/>
        <w:bCs/>
      </w:rPr>
    </w:tblStylePr>
    <w:tblStylePr w:type="lastCol">
      <w:rPr>
        <w:b/>
        <w:bCs/>
      </w:rPr>
    </w:tblStylePr>
    <w:tblStylePr w:type="band1Vert">
      <w:tblPr/>
      <w:tcPr>
        <w:shd w:val="clear" w:color="auto" w:fill="D6ECEF" w:themeFill="accent1" w:themeFillTint="33"/>
      </w:tcPr>
    </w:tblStylePr>
    <w:tblStylePr w:type="band1Horz">
      <w:tblPr/>
      <w:tcPr>
        <w:shd w:val="clear" w:color="auto" w:fill="D6ECEF" w:themeFill="accent1" w:themeFillTint="33"/>
      </w:tcPr>
    </w:tblStylePr>
  </w:style>
  <w:style w:type="table" w:styleId="ListTable6Colorful-Accent2">
    <w:name w:val="List Table 6 Colorful Accent 2"/>
    <w:basedOn w:val="TableNormal"/>
    <w:uiPriority w:val="51"/>
    <w:semiHidden/>
    <w:rsid w:val="00294A5A"/>
    <w:pPr>
      <w:spacing w:after="0" w:line="240" w:lineRule="auto"/>
    </w:pPr>
    <w:rPr>
      <w:color w:val="4D98A4" w:themeColor="accent2" w:themeShade="BF"/>
    </w:rPr>
    <w:tblPr>
      <w:tblStyleRowBandSize w:val="1"/>
      <w:tblStyleColBandSize w:val="1"/>
      <w:tblBorders>
        <w:top w:val="single" w:sz="4" w:space="0" w:color="80BAC3" w:themeColor="accent2"/>
        <w:bottom w:val="single" w:sz="4" w:space="0" w:color="80BAC3" w:themeColor="accent2"/>
      </w:tblBorders>
    </w:tblPr>
    <w:tblStylePr w:type="firstRow">
      <w:rPr>
        <w:b/>
        <w:bCs/>
      </w:rPr>
      <w:tblPr/>
      <w:tcPr>
        <w:tcBorders>
          <w:bottom w:val="single" w:sz="4" w:space="0" w:color="80BAC3" w:themeColor="accent2"/>
        </w:tcBorders>
      </w:tcPr>
    </w:tblStylePr>
    <w:tblStylePr w:type="lastRow">
      <w:rPr>
        <w:b/>
        <w:bCs/>
      </w:rPr>
      <w:tblPr/>
      <w:tcPr>
        <w:tcBorders>
          <w:top w:val="double" w:sz="4" w:space="0" w:color="80BAC3" w:themeColor="accent2"/>
        </w:tcBorders>
      </w:tcPr>
    </w:tblStylePr>
    <w:tblStylePr w:type="firstCol">
      <w:rPr>
        <w:b/>
        <w:bCs/>
      </w:rPr>
    </w:tblStylePr>
    <w:tblStylePr w:type="lastCol">
      <w:rPr>
        <w:b/>
        <w:bCs/>
      </w:rPr>
    </w:tblStylePr>
    <w:tblStylePr w:type="band1Vert">
      <w:tblPr/>
      <w:tcPr>
        <w:shd w:val="clear" w:color="auto" w:fill="E5F1F3" w:themeFill="accent2" w:themeFillTint="33"/>
      </w:tcPr>
    </w:tblStylePr>
    <w:tblStylePr w:type="band1Horz">
      <w:tblPr/>
      <w:tcPr>
        <w:shd w:val="clear" w:color="auto" w:fill="E5F1F3" w:themeFill="accent2" w:themeFillTint="33"/>
      </w:tcPr>
    </w:tblStylePr>
  </w:style>
  <w:style w:type="table" w:styleId="ListTable6Colorful-Accent3">
    <w:name w:val="List Table 6 Colorful Accent 3"/>
    <w:basedOn w:val="TableNormal"/>
    <w:uiPriority w:val="51"/>
    <w:semiHidden/>
    <w:rsid w:val="00294A5A"/>
    <w:pPr>
      <w:spacing w:after="0" w:line="240" w:lineRule="auto"/>
    </w:pPr>
    <w:rPr>
      <w:color w:val="77B7BF" w:themeColor="accent3" w:themeShade="BF"/>
    </w:rPr>
    <w:tblPr>
      <w:tblStyleRowBandSize w:val="1"/>
      <w:tblStyleColBandSize w:val="1"/>
      <w:tblBorders>
        <w:top w:val="single" w:sz="4" w:space="0" w:color="BFDDE1" w:themeColor="accent3"/>
        <w:bottom w:val="single" w:sz="4" w:space="0" w:color="BFDDE1" w:themeColor="accent3"/>
      </w:tblBorders>
    </w:tblPr>
    <w:tblStylePr w:type="firstRow">
      <w:rPr>
        <w:b/>
        <w:bCs/>
      </w:rPr>
      <w:tblPr/>
      <w:tcPr>
        <w:tcBorders>
          <w:bottom w:val="single" w:sz="4" w:space="0" w:color="BFDDE1" w:themeColor="accent3"/>
        </w:tcBorders>
      </w:tcPr>
    </w:tblStylePr>
    <w:tblStylePr w:type="lastRow">
      <w:rPr>
        <w:b/>
        <w:bCs/>
      </w:rPr>
      <w:tblPr/>
      <w:tcPr>
        <w:tcBorders>
          <w:top w:val="double" w:sz="4" w:space="0" w:color="BFDDE1" w:themeColor="accent3"/>
        </w:tcBorders>
      </w:tcPr>
    </w:tblStylePr>
    <w:tblStylePr w:type="firstCol">
      <w:rPr>
        <w:b/>
        <w:bCs/>
      </w:rPr>
    </w:tblStylePr>
    <w:tblStylePr w:type="lastCol">
      <w:rPr>
        <w:b/>
        <w:bCs/>
      </w:rPr>
    </w:tblStylePr>
    <w:tblStylePr w:type="band1Vert">
      <w:tblPr/>
      <w:tcPr>
        <w:shd w:val="clear" w:color="auto" w:fill="F2F8F9" w:themeFill="accent3" w:themeFillTint="33"/>
      </w:tcPr>
    </w:tblStylePr>
    <w:tblStylePr w:type="band1Horz">
      <w:tblPr/>
      <w:tcPr>
        <w:shd w:val="clear" w:color="auto" w:fill="F2F8F9" w:themeFill="accent3" w:themeFillTint="33"/>
      </w:tcPr>
    </w:tblStylePr>
  </w:style>
  <w:style w:type="table" w:styleId="ListTable6Colorful-Accent4">
    <w:name w:val="List Table 6 Colorful Accent 4"/>
    <w:basedOn w:val="TableNormal"/>
    <w:uiPriority w:val="51"/>
    <w:semiHidden/>
    <w:rsid w:val="00294A5A"/>
    <w:pPr>
      <w:spacing w:after="0" w:line="240" w:lineRule="auto"/>
    </w:pPr>
    <w:rPr>
      <w:color w:val="30303B" w:themeColor="accent4" w:themeShade="BF"/>
    </w:rPr>
    <w:tblPr>
      <w:tblStyleRowBandSize w:val="1"/>
      <w:tblStyleColBandSize w:val="1"/>
      <w:tblBorders>
        <w:top w:val="single" w:sz="4" w:space="0" w:color="404050" w:themeColor="accent4"/>
        <w:bottom w:val="single" w:sz="4" w:space="0" w:color="404050" w:themeColor="accent4"/>
      </w:tblBorders>
    </w:tblPr>
    <w:tblStylePr w:type="firstRow">
      <w:rPr>
        <w:b/>
        <w:bCs/>
      </w:rPr>
      <w:tblPr/>
      <w:tcPr>
        <w:tcBorders>
          <w:bottom w:val="single" w:sz="4" w:space="0" w:color="404050" w:themeColor="accent4"/>
        </w:tcBorders>
      </w:tcPr>
    </w:tblStylePr>
    <w:tblStylePr w:type="lastRow">
      <w:rPr>
        <w:b/>
        <w:bCs/>
      </w:rPr>
      <w:tblPr/>
      <w:tcPr>
        <w:tcBorders>
          <w:top w:val="double" w:sz="4" w:space="0" w:color="404050" w:themeColor="accent4"/>
        </w:tcBorders>
      </w:tcPr>
    </w:tblStylePr>
    <w:tblStylePr w:type="firstCol">
      <w:rPr>
        <w:b/>
        <w:bCs/>
      </w:rPr>
    </w:tblStylePr>
    <w:tblStylePr w:type="lastCol">
      <w:rPr>
        <w:b/>
        <w:bCs/>
      </w:rPr>
    </w:tblStylePr>
    <w:tblStylePr w:type="band1Vert">
      <w:tblPr/>
      <w:tcPr>
        <w:shd w:val="clear" w:color="auto" w:fill="D6D6DE" w:themeFill="accent4" w:themeFillTint="33"/>
      </w:tcPr>
    </w:tblStylePr>
    <w:tblStylePr w:type="band1Horz">
      <w:tblPr/>
      <w:tcPr>
        <w:shd w:val="clear" w:color="auto" w:fill="D6D6DE" w:themeFill="accent4" w:themeFillTint="33"/>
      </w:tcPr>
    </w:tblStylePr>
  </w:style>
  <w:style w:type="table" w:styleId="ListTable6Colorful-Accent5">
    <w:name w:val="List Table 6 Colorful Accent 5"/>
    <w:basedOn w:val="TableNormal"/>
    <w:uiPriority w:val="51"/>
    <w:semiHidden/>
    <w:rsid w:val="00294A5A"/>
    <w:pPr>
      <w:spacing w:after="0" w:line="240" w:lineRule="auto"/>
    </w:pPr>
    <w:rPr>
      <w:color w:val="5F5F68" w:themeColor="accent5" w:themeShade="BF"/>
    </w:rPr>
    <w:tblPr>
      <w:tblStyleRowBandSize w:val="1"/>
      <w:tblStyleColBandSize w:val="1"/>
      <w:tblBorders>
        <w:top w:val="single" w:sz="4" w:space="0" w:color="80808B" w:themeColor="accent5"/>
        <w:bottom w:val="single" w:sz="4" w:space="0" w:color="80808B" w:themeColor="accent5"/>
      </w:tblBorders>
    </w:tblPr>
    <w:tblStylePr w:type="firstRow">
      <w:rPr>
        <w:b/>
        <w:bCs/>
      </w:rPr>
      <w:tblPr/>
      <w:tcPr>
        <w:tcBorders>
          <w:bottom w:val="single" w:sz="4" w:space="0" w:color="80808B" w:themeColor="accent5"/>
        </w:tcBorders>
      </w:tcPr>
    </w:tblStylePr>
    <w:tblStylePr w:type="lastRow">
      <w:rPr>
        <w:b/>
        <w:bCs/>
      </w:rPr>
      <w:tblPr/>
      <w:tcPr>
        <w:tcBorders>
          <w:top w:val="double" w:sz="4" w:space="0" w:color="80808B" w:themeColor="accent5"/>
        </w:tcBorders>
      </w:tcPr>
    </w:tblStylePr>
    <w:tblStylePr w:type="firstCol">
      <w:rPr>
        <w:b/>
        <w:bCs/>
      </w:rPr>
    </w:tblStylePr>
    <w:tblStylePr w:type="lastCol">
      <w:rPr>
        <w:b/>
        <w:bCs/>
      </w:rPr>
    </w:tblStylePr>
    <w:tblStylePr w:type="band1Vert">
      <w:tblPr/>
      <w:tcPr>
        <w:shd w:val="clear" w:color="auto" w:fill="E5E5E7" w:themeFill="accent5" w:themeFillTint="33"/>
      </w:tcPr>
    </w:tblStylePr>
    <w:tblStylePr w:type="band1Horz">
      <w:tblPr/>
      <w:tcPr>
        <w:shd w:val="clear" w:color="auto" w:fill="E5E5E7" w:themeFill="accent5" w:themeFillTint="33"/>
      </w:tcPr>
    </w:tblStylePr>
  </w:style>
  <w:style w:type="table" w:styleId="ListTable6Colorful-Accent6">
    <w:name w:val="List Table 6 Colorful Accent 6"/>
    <w:basedOn w:val="TableNormal"/>
    <w:uiPriority w:val="51"/>
    <w:semiHidden/>
    <w:rsid w:val="00294A5A"/>
    <w:pPr>
      <w:spacing w:after="0" w:line="240" w:lineRule="auto"/>
    </w:pPr>
    <w:rPr>
      <w:color w:val="96969E" w:themeColor="accent6" w:themeShade="BF"/>
    </w:rPr>
    <w:tblPr>
      <w:tblStyleRowBandSize w:val="1"/>
      <w:tblStyleColBandSize w:val="1"/>
      <w:tblBorders>
        <w:top w:val="single" w:sz="4" w:space="0" w:color="CCCCD0" w:themeColor="accent6"/>
        <w:bottom w:val="single" w:sz="4" w:space="0" w:color="CCCCD0" w:themeColor="accent6"/>
      </w:tblBorders>
    </w:tblPr>
    <w:tblStylePr w:type="firstRow">
      <w:rPr>
        <w:b/>
        <w:bCs/>
      </w:rPr>
      <w:tblPr/>
      <w:tcPr>
        <w:tcBorders>
          <w:bottom w:val="single" w:sz="4" w:space="0" w:color="CCCCD0" w:themeColor="accent6"/>
        </w:tcBorders>
      </w:tcPr>
    </w:tblStylePr>
    <w:tblStylePr w:type="lastRow">
      <w:rPr>
        <w:b/>
        <w:bCs/>
      </w:rPr>
      <w:tblPr/>
      <w:tcPr>
        <w:tcBorders>
          <w:top w:val="double" w:sz="4" w:space="0" w:color="CCCCD0" w:themeColor="accent6"/>
        </w:tcBorders>
      </w:tcPr>
    </w:tblStylePr>
    <w:tblStylePr w:type="firstCol">
      <w:rPr>
        <w:b/>
        <w:bCs/>
      </w:rPr>
    </w:tblStylePr>
    <w:tblStylePr w:type="lastCol">
      <w:rPr>
        <w:b/>
        <w:bCs/>
      </w:rPr>
    </w:tblStylePr>
    <w:tblStylePr w:type="band1Vert">
      <w:tblPr/>
      <w:tcPr>
        <w:shd w:val="clear" w:color="auto" w:fill="F4F4F5" w:themeFill="accent6" w:themeFillTint="33"/>
      </w:tcPr>
    </w:tblStylePr>
    <w:tblStylePr w:type="band1Horz">
      <w:tblPr/>
      <w:tcPr>
        <w:shd w:val="clear" w:color="auto" w:fill="F4F4F5" w:themeFill="accent6" w:themeFillTint="33"/>
      </w:tcPr>
    </w:tblStylePr>
  </w:style>
  <w:style w:type="table" w:styleId="ListTable7Colorful">
    <w:name w:val="List Table 7 Colorful"/>
    <w:basedOn w:val="TableNormal"/>
    <w:uiPriority w:val="52"/>
    <w:semiHidden/>
    <w:rsid w:val="00294A5A"/>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294A5A"/>
    <w:pPr>
      <w:spacing w:after="0" w:line="240" w:lineRule="auto"/>
    </w:pPr>
    <w:rPr>
      <w:color w:val="30717A"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098A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098A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098A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098A4" w:themeColor="accent1"/>
        </w:tcBorders>
        <w:shd w:val="clear" w:color="auto" w:fill="FFFFFF" w:themeFill="background1"/>
      </w:tcPr>
    </w:tblStylePr>
    <w:tblStylePr w:type="band1Vert">
      <w:tblPr/>
      <w:tcPr>
        <w:shd w:val="clear" w:color="auto" w:fill="D6ECEF" w:themeFill="accent1" w:themeFillTint="33"/>
      </w:tcPr>
    </w:tblStylePr>
    <w:tblStylePr w:type="band1Horz">
      <w:tblPr/>
      <w:tcPr>
        <w:shd w:val="clear" w:color="auto" w:fill="D6ECE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294A5A"/>
    <w:pPr>
      <w:spacing w:after="0" w:line="240" w:lineRule="auto"/>
    </w:pPr>
    <w:rPr>
      <w:color w:val="4D98A4"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BAC3"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BAC3"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BAC3"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BAC3" w:themeColor="accent2"/>
        </w:tcBorders>
        <w:shd w:val="clear" w:color="auto" w:fill="FFFFFF" w:themeFill="background1"/>
      </w:tcPr>
    </w:tblStylePr>
    <w:tblStylePr w:type="band1Vert">
      <w:tblPr/>
      <w:tcPr>
        <w:shd w:val="clear" w:color="auto" w:fill="E5F1F3" w:themeFill="accent2" w:themeFillTint="33"/>
      </w:tcPr>
    </w:tblStylePr>
    <w:tblStylePr w:type="band1Horz">
      <w:tblPr/>
      <w:tcPr>
        <w:shd w:val="clear" w:color="auto" w:fill="E5F1F3"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294A5A"/>
    <w:pPr>
      <w:spacing w:after="0" w:line="240" w:lineRule="auto"/>
    </w:pPr>
    <w:rPr>
      <w:color w:val="77B7BF"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FDDE1"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FDDE1"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FDDE1"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FDDE1" w:themeColor="accent3"/>
        </w:tcBorders>
        <w:shd w:val="clear" w:color="auto" w:fill="FFFFFF" w:themeFill="background1"/>
      </w:tcPr>
    </w:tblStylePr>
    <w:tblStylePr w:type="band1Vert">
      <w:tblPr/>
      <w:tcPr>
        <w:shd w:val="clear" w:color="auto" w:fill="F2F8F9" w:themeFill="accent3" w:themeFillTint="33"/>
      </w:tcPr>
    </w:tblStylePr>
    <w:tblStylePr w:type="band1Horz">
      <w:tblPr/>
      <w:tcPr>
        <w:shd w:val="clear" w:color="auto" w:fill="F2F8F9"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294A5A"/>
    <w:pPr>
      <w:spacing w:after="0" w:line="240" w:lineRule="auto"/>
    </w:pPr>
    <w:rPr>
      <w:color w:val="30303B"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0405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0405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0405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04050" w:themeColor="accent4"/>
        </w:tcBorders>
        <w:shd w:val="clear" w:color="auto" w:fill="FFFFFF" w:themeFill="background1"/>
      </w:tcPr>
    </w:tblStylePr>
    <w:tblStylePr w:type="band1Vert">
      <w:tblPr/>
      <w:tcPr>
        <w:shd w:val="clear" w:color="auto" w:fill="D6D6DE" w:themeFill="accent4" w:themeFillTint="33"/>
      </w:tcPr>
    </w:tblStylePr>
    <w:tblStylePr w:type="band1Horz">
      <w:tblPr/>
      <w:tcPr>
        <w:shd w:val="clear" w:color="auto" w:fill="D6D6DE"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294A5A"/>
    <w:pPr>
      <w:spacing w:after="0" w:line="240" w:lineRule="auto"/>
    </w:pPr>
    <w:rPr>
      <w:color w:val="5F5F68"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808B"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808B"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808B"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808B" w:themeColor="accent5"/>
        </w:tcBorders>
        <w:shd w:val="clear" w:color="auto" w:fill="FFFFFF" w:themeFill="background1"/>
      </w:tcPr>
    </w:tblStylePr>
    <w:tblStylePr w:type="band1Vert">
      <w:tblPr/>
      <w:tcPr>
        <w:shd w:val="clear" w:color="auto" w:fill="E5E5E7" w:themeFill="accent5" w:themeFillTint="33"/>
      </w:tcPr>
    </w:tblStylePr>
    <w:tblStylePr w:type="band1Horz">
      <w:tblPr/>
      <w:tcPr>
        <w:shd w:val="clear" w:color="auto" w:fill="E5E5E7"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294A5A"/>
    <w:pPr>
      <w:spacing w:after="0" w:line="240" w:lineRule="auto"/>
    </w:pPr>
    <w:rPr>
      <w:color w:val="96969E"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CCCD0"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CCCD0"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CCCD0"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CCCD0" w:themeColor="accent6"/>
        </w:tcBorders>
        <w:shd w:val="clear" w:color="auto" w:fill="FFFFFF" w:themeFill="background1"/>
      </w:tcPr>
    </w:tblStylePr>
    <w:tblStylePr w:type="band1Vert">
      <w:tblPr/>
      <w:tcPr>
        <w:shd w:val="clear" w:color="auto" w:fill="F4F4F5" w:themeFill="accent6" w:themeFillTint="33"/>
      </w:tcPr>
    </w:tblStylePr>
    <w:tblStylePr w:type="band1Horz">
      <w:tblPr/>
      <w:tcPr>
        <w:shd w:val="clear" w:color="auto" w:fill="F4F4F5"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294A5A"/>
    <w:pPr>
      <w:spacing w:before="0"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rsid w:val="00294A5A"/>
    <w:pPr>
      <w:spacing w:before="0" w:after="0" w:line="240" w:lineRule="auto"/>
    </w:pPr>
    <w:tblPr>
      <w:tblStyleRowBandSize w:val="1"/>
      <w:tblStyleColBandSize w:val="1"/>
      <w:tblBorders>
        <w:top w:val="single" w:sz="8" w:space="0" w:color="66B8C3" w:themeColor="accent1" w:themeTint="BF"/>
        <w:left w:val="single" w:sz="8" w:space="0" w:color="66B8C3" w:themeColor="accent1" w:themeTint="BF"/>
        <w:bottom w:val="single" w:sz="8" w:space="0" w:color="66B8C3" w:themeColor="accent1" w:themeTint="BF"/>
        <w:right w:val="single" w:sz="8" w:space="0" w:color="66B8C3" w:themeColor="accent1" w:themeTint="BF"/>
        <w:insideH w:val="single" w:sz="8" w:space="0" w:color="66B8C3" w:themeColor="accent1" w:themeTint="BF"/>
        <w:insideV w:val="single" w:sz="8" w:space="0" w:color="66B8C3" w:themeColor="accent1" w:themeTint="BF"/>
      </w:tblBorders>
    </w:tblPr>
    <w:tcPr>
      <w:shd w:val="clear" w:color="auto" w:fill="CCE7EB" w:themeFill="accent1" w:themeFillTint="3F"/>
    </w:tcPr>
    <w:tblStylePr w:type="firstRow">
      <w:rPr>
        <w:b/>
        <w:bCs/>
      </w:rPr>
    </w:tblStylePr>
    <w:tblStylePr w:type="lastRow">
      <w:rPr>
        <w:b/>
        <w:bCs/>
      </w:rPr>
      <w:tblPr/>
      <w:tcPr>
        <w:tcBorders>
          <w:top w:val="single" w:sz="18" w:space="0" w:color="66B8C3" w:themeColor="accent1" w:themeTint="BF"/>
        </w:tcBorders>
      </w:tcPr>
    </w:tblStylePr>
    <w:tblStylePr w:type="firstCol">
      <w:rPr>
        <w:b/>
        <w:bCs/>
      </w:rPr>
    </w:tblStylePr>
    <w:tblStylePr w:type="lastCol">
      <w:rPr>
        <w:b/>
        <w:bCs/>
      </w:rPr>
    </w:tblStylePr>
    <w:tblStylePr w:type="band1Vert">
      <w:tblPr/>
      <w:tcPr>
        <w:shd w:val="clear" w:color="auto" w:fill="99D0D7" w:themeFill="accent1" w:themeFillTint="7F"/>
      </w:tcPr>
    </w:tblStylePr>
    <w:tblStylePr w:type="band1Horz">
      <w:tblPr/>
      <w:tcPr>
        <w:shd w:val="clear" w:color="auto" w:fill="99D0D7" w:themeFill="accent1" w:themeFillTint="7F"/>
      </w:tcPr>
    </w:tblStylePr>
  </w:style>
  <w:style w:type="table" w:styleId="MediumGrid1-Accent2">
    <w:name w:val="Medium Grid 1 Accent 2"/>
    <w:basedOn w:val="TableNormal"/>
    <w:uiPriority w:val="67"/>
    <w:semiHidden/>
    <w:rsid w:val="00294A5A"/>
    <w:pPr>
      <w:spacing w:before="0" w:after="0" w:line="240" w:lineRule="auto"/>
    </w:pPr>
    <w:tblPr>
      <w:tblStyleRowBandSize w:val="1"/>
      <w:tblStyleColBandSize w:val="1"/>
      <w:tblBorders>
        <w:top w:val="single" w:sz="8" w:space="0" w:color="9FCBD2" w:themeColor="accent2" w:themeTint="BF"/>
        <w:left w:val="single" w:sz="8" w:space="0" w:color="9FCBD2" w:themeColor="accent2" w:themeTint="BF"/>
        <w:bottom w:val="single" w:sz="8" w:space="0" w:color="9FCBD2" w:themeColor="accent2" w:themeTint="BF"/>
        <w:right w:val="single" w:sz="8" w:space="0" w:color="9FCBD2" w:themeColor="accent2" w:themeTint="BF"/>
        <w:insideH w:val="single" w:sz="8" w:space="0" w:color="9FCBD2" w:themeColor="accent2" w:themeTint="BF"/>
        <w:insideV w:val="single" w:sz="8" w:space="0" w:color="9FCBD2" w:themeColor="accent2" w:themeTint="BF"/>
      </w:tblBorders>
    </w:tblPr>
    <w:tcPr>
      <w:shd w:val="clear" w:color="auto" w:fill="DFEDF0" w:themeFill="accent2" w:themeFillTint="3F"/>
    </w:tcPr>
    <w:tblStylePr w:type="firstRow">
      <w:rPr>
        <w:b/>
        <w:bCs/>
      </w:rPr>
    </w:tblStylePr>
    <w:tblStylePr w:type="lastRow">
      <w:rPr>
        <w:b/>
        <w:bCs/>
      </w:rPr>
      <w:tblPr/>
      <w:tcPr>
        <w:tcBorders>
          <w:top w:val="single" w:sz="18" w:space="0" w:color="9FCBD2" w:themeColor="accent2" w:themeTint="BF"/>
        </w:tcBorders>
      </w:tcPr>
    </w:tblStylePr>
    <w:tblStylePr w:type="firstCol">
      <w:rPr>
        <w:b/>
        <w:bCs/>
      </w:rPr>
    </w:tblStylePr>
    <w:tblStylePr w:type="lastCol">
      <w:rPr>
        <w:b/>
        <w:bCs/>
      </w:rPr>
    </w:tblStylePr>
    <w:tblStylePr w:type="band1Vert">
      <w:tblPr/>
      <w:tcPr>
        <w:shd w:val="clear" w:color="auto" w:fill="BFDCE1" w:themeFill="accent2" w:themeFillTint="7F"/>
      </w:tcPr>
    </w:tblStylePr>
    <w:tblStylePr w:type="band1Horz">
      <w:tblPr/>
      <w:tcPr>
        <w:shd w:val="clear" w:color="auto" w:fill="BFDCE1" w:themeFill="accent2" w:themeFillTint="7F"/>
      </w:tcPr>
    </w:tblStylePr>
  </w:style>
  <w:style w:type="table" w:styleId="MediumGrid1-Accent3">
    <w:name w:val="Medium Grid 1 Accent 3"/>
    <w:basedOn w:val="TableNormal"/>
    <w:uiPriority w:val="67"/>
    <w:semiHidden/>
    <w:rsid w:val="00294A5A"/>
    <w:pPr>
      <w:spacing w:before="0" w:after="0" w:line="240" w:lineRule="auto"/>
    </w:pPr>
    <w:tblPr>
      <w:tblStyleRowBandSize w:val="1"/>
      <w:tblStyleColBandSize w:val="1"/>
      <w:tblBorders>
        <w:top w:val="single" w:sz="8" w:space="0" w:color="CEE5E8" w:themeColor="accent3" w:themeTint="BF"/>
        <w:left w:val="single" w:sz="8" w:space="0" w:color="CEE5E8" w:themeColor="accent3" w:themeTint="BF"/>
        <w:bottom w:val="single" w:sz="8" w:space="0" w:color="CEE5E8" w:themeColor="accent3" w:themeTint="BF"/>
        <w:right w:val="single" w:sz="8" w:space="0" w:color="CEE5E8" w:themeColor="accent3" w:themeTint="BF"/>
        <w:insideH w:val="single" w:sz="8" w:space="0" w:color="CEE5E8" w:themeColor="accent3" w:themeTint="BF"/>
        <w:insideV w:val="single" w:sz="8" w:space="0" w:color="CEE5E8" w:themeColor="accent3" w:themeTint="BF"/>
      </w:tblBorders>
    </w:tblPr>
    <w:tcPr>
      <w:shd w:val="clear" w:color="auto" w:fill="EFF6F7" w:themeFill="accent3" w:themeFillTint="3F"/>
    </w:tcPr>
    <w:tblStylePr w:type="firstRow">
      <w:rPr>
        <w:b/>
        <w:bCs/>
      </w:rPr>
    </w:tblStylePr>
    <w:tblStylePr w:type="lastRow">
      <w:rPr>
        <w:b/>
        <w:bCs/>
      </w:rPr>
      <w:tblPr/>
      <w:tcPr>
        <w:tcBorders>
          <w:top w:val="single" w:sz="18" w:space="0" w:color="CEE5E8" w:themeColor="accent3" w:themeTint="BF"/>
        </w:tcBorders>
      </w:tcPr>
    </w:tblStylePr>
    <w:tblStylePr w:type="firstCol">
      <w:rPr>
        <w:b/>
        <w:bCs/>
      </w:rPr>
    </w:tblStylePr>
    <w:tblStylePr w:type="lastCol">
      <w:rPr>
        <w:b/>
        <w:bCs/>
      </w:rPr>
    </w:tblStylePr>
    <w:tblStylePr w:type="band1Vert">
      <w:tblPr/>
      <w:tcPr>
        <w:shd w:val="clear" w:color="auto" w:fill="DFEEF0" w:themeFill="accent3" w:themeFillTint="7F"/>
      </w:tcPr>
    </w:tblStylePr>
    <w:tblStylePr w:type="band1Horz">
      <w:tblPr/>
      <w:tcPr>
        <w:shd w:val="clear" w:color="auto" w:fill="DFEEF0" w:themeFill="accent3" w:themeFillTint="7F"/>
      </w:tcPr>
    </w:tblStylePr>
  </w:style>
  <w:style w:type="table" w:styleId="MediumGrid1-Accent4">
    <w:name w:val="Medium Grid 1 Accent 4"/>
    <w:basedOn w:val="TableNormal"/>
    <w:uiPriority w:val="67"/>
    <w:semiHidden/>
    <w:rsid w:val="00294A5A"/>
    <w:pPr>
      <w:spacing w:before="0" w:after="0" w:line="240" w:lineRule="auto"/>
    </w:pPr>
    <w:tblPr>
      <w:tblStyleRowBandSize w:val="1"/>
      <w:tblStyleColBandSize w:val="1"/>
      <w:tblBorders>
        <w:top w:val="single" w:sz="8" w:space="0" w:color="686882" w:themeColor="accent4" w:themeTint="BF"/>
        <w:left w:val="single" w:sz="8" w:space="0" w:color="686882" w:themeColor="accent4" w:themeTint="BF"/>
        <w:bottom w:val="single" w:sz="8" w:space="0" w:color="686882" w:themeColor="accent4" w:themeTint="BF"/>
        <w:right w:val="single" w:sz="8" w:space="0" w:color="686882" w:themeColor="accent4" w:themeTint="BF"/>
        <w:insideH w:val="single" w:sz="8" w:space="0" w:color="686882" w:themeColor="accent4" w:themeTint="BF"/>
        <w:insideV w:val="single" w:sz="8" w:space="0" w:color="686882" w:themeColor="accent4" w:themeTint="BF"/>
      </w:tblBorders>
    </w:tblPr>
    <w:tcPr>
      <w:shd w:val="clear" w:color="auto" w:fill="CCCCD6" w:themeFill="accent4" w:themeFillTint="3F"/>
    </w:tcPr>
    <w:tblStylePr w:type="firstRow">
      <w:rPr>
        <w:b/>
        <w:bCs/>
      </w:rPr>
    </w:tblStylePr>
    <w:tblStylePr w:type="lastRow">
      <w:rPr>
        <w:b/>
        <w:bCs/>
      </w:rPr>
      <w:tblPr/>
      <w:tcPr>
        <w:tcBorders>
          <w:top w:val="single" w:sz="18" w:space="0" w:color="686882" w:themeColor="accent4" w:themeTint="BF"/>
        </w:tcBorders>
      </w:tcPr>
    </w:tblStylePr>
    <w:tblStylePr w:type="firstCol">
      <w:rPr>
        <w:b/>
        <w:bCs/>
      </w:rPr>
    </w:tblStylePr>
    <w:tblStylePr w:type="lastCol">
      <w:rPr>
        <w:b/>
        <w:bCs/>
      </w:rPr>
    </w:tblStylePr>
    <w:tblStylePr w:type="band1Vert">
      <w:tblPr/>
      <w:tcPr>
        <w:shd w:val="clear" w:color="auto" w:fill="9999AE" w:themeFill="accent4" w:themeFillTint="7F"/>
      </w:tcPr>
    </w:tblStylePr>
    <w:tblStylePr w:type="band1Horz">
      <w:tblPr/>
      <w:tcPr>
        <w:shd w:val="clear" w:color="auto" w:fill="9999AE" w:themeFill="accent4" w:themeFillTint="7F"/>
      </w:tcPr>
    </w:tblStylePr>
  </w:style>
  <w:style w:type="table" w:styleId="MediumGrid1-Accent5">
    <w:name w:val="Medium Grid 1 Accent 5"/>
    <w:basedOn w:val="TableNormal"/>
    <w:uiPriority w:val="67"/>
    <w:semiHidden/>
    <w:rsid w:val="00294A5A"/>
    <w:pPr>
      <w:spacing w:before="0" w:after="0" w:line="240" w:lineRule="auto"/>
    </w:pPr>
    <w:tblPr>
      <w:tblStyleRowBandSize w:val="1"/>
      <w:tblStyleColBandSize w:val="1"/>
      <w:tblBorders>
        <w:top w:val="single" w:sz="8" w:space="0" w:color="9F9FA8" w:themeColor="accent5" w:themeTint="BF"/>
        <w:left w:val="single" w:sz="8" w:space="0" w:color="9F9FA8" w:themeColor="accent5" w:themeTint="BF"/>
        <w:bottom w:val="single" w:sz="8" w:space="0" w:color="9F9FA8" w:themeColor="accent5" w:themeTint="BF"/>
        <w:right w:val="single" w:sz="8" w:space="0" w:color="9F9FA8" w:themeColor="accent5" w:themeTint="BF"/>
        <w:insideH w:val="single" w:sz="8" w:space="0" w:color="9F9FA8" w:themeColor="accent5" w:themeTint="BF"/>
        <w:insideV w:val="single" w:sz="8" w:space="0" w:color="9F9FA8" w:themeColor="accent5" w:themeTint="BF"/>
      </w:tblBorders>
    </w:tblPr>
    <w:tcPr>
      <w:shd w:val="clear" w:color="auto" w:fill="DFDFE2" w:themeFill="accent5" w:themeFillTint="3F"/>
    </w:tcPr>
    <w:tblStylePr w:type="firstRow">
      <w:rPr>
        <w:b/>
        <w:bCs/>
      </w:rPr>
    </w:tblStylePr>
    <w:tblStylePr w:type="lastRow">
      <w:rPr>
        <w:b/>
        <w:bCs/>
      </w:rPr>
      <w:tblPr/>
      <w:tcPr>
        <w:tcBorders>
          <w:top w:val="single" w:sz="18" w:space="0" w:color="9F9FA8" w:themeColor="accent5" w:themeTint="BF"/>
        </w:tcBorders>
      </w:tcPr>
    </w:tblStylePr>
    <w:tblStylePr w:type="firstCol">
      <w:rPr>
        <w:b/>
        <w:bCs/>
      </w:rPr>
    </w:tblStylePr>
    <w:tblStylePr w:type="lastCol">
      <w:rPr>
        <w:b/>
        <w:bCs/>
      </w:rPr>
    </w:tblStylePr>
    <w:tblStylePr w:type="band1Vert">
      <w:tblPr/>
      <w:tcPr>
        <w:shd w:val="clear" w:color="auto" w:fill="BFBFC5" w:themeFill="accent5" w:themeFillTint="7F"/>
      </w:tcPr>
    </w:tblStylePr>
    <w:tblStylePr w:type="band1Horz">
      <w:tblPr/>
      <w:tcPr>
        <w:shd w:val="clear" w:color="auto" w:fill="BFBFC5" w:themeFill="accent5" w:themeFillTint="7F"/>
      </w:tcPr>
    </w:tblStylePr>
  </w:style>
  <w:style w:type="table" w:styleId="MediumGrid1-Accent6">
    <w:name w:val="Medium Grid 1 Accent 6"/>
    <w:basedOn w:val="TableNormal"/>
    <w:uiPriority w:val="67"/>
    <w:semiHidden/>
    <w:rsid w:val="00294A5A"/>
    <w:pPr>
      <w:spacing w:before="0" w:after="0" w:line="240" w:lineRule="auto"/>
    </w:pPr>
    <w:tblPr>
      <w:tblStyleRowBandSize w:val="1"/>
      <w:tblStyleColBandSize w:val="1"/>
      <w:tblBorders>
        <w:top w:val="single" w:sz="8" w:space="0" w:color="D8D8DB" w:themeColor="accent6" w:themeTint="BF"/>
        <w:left w:val="single" w:sz="8" w:space="0" w:color="D8D8DB" w:themeColor="accent6" w:themeTint="BF"/>
        <w:bottom w:val="single" w:sz="8" w:space="0" w:color="D8D8DB" w:themeColor="accent6" w:themeTint="BF"/>
        <w:right w:val="single" w:sz="8" w:space="0" w:color="D8D8DB" w:themeColor="accent6" w:themeTint="BF"/>
        <w:insideH w:val="single" w:sz="8" w:space="0" w:color="D8D8DB" w:themeColor="accent6" w:themeTint="BF"/>
        <w:insideV w:val="single" w:sz="8" w:space="0" w:color="D8D8DB" w:themeColor="accent6" w:themeTint="BF"/>
      </w:tblBorders>
    </w:tblPr>
    <w:tcPr>
      <w:shd w:val="clear" w:color="auto" w:fill="F2F2F3" w:themeFill="accent6" w:themeFillTint="3F"/>
    </w:tcPr>
    <w:tblStylePr w:type="firstRow">
      <w:rPr>
        <w:b/>
        <w:bCs/>
      </w:rPr>
    </w:tblStylePr>
    <w:tblStylePr w:type="lastRow">
      <w:rPr>
        <w:b/>
        <w:bCs/>
      </w:rPr>
      <w:tblPr/>
      <w:tcPr>
        <w:tcBorders>
          <w:top w:val="single" w:sz="18" w:space="0" w:color="D8D8DB" w:themeColor="accent6" w:themeTint="BF"/>
        </w:tcBorders>
      </w:tcPr>
    </w:tblStylePr>
    <w:tblStylePr w:type="firstCol">
      <w:rPr>
        <w:b/>
        <w:bCs/>
      </w:rPr>
    </w:tblStylePr>
    <w:tblStylePr w:type="lastCol">
      <w:rPr>
        <w:b/>
        <w:bCs/>
      </w:rPr>
    </w:tblStylePr>
    <w:tblStylePr w:type="band1Vert">
      <w:tblPr/>
      <w:tcPr>
        <w:shd w:val="clear" w:color="auto" w:fill="E5E5E7" w:themeFill="accent6" w:themeFillTint="7F"/>
      </w:tcPr>
    </w:tblStylePr>
    <w:tblStylePr w:type="band1Horz">
      <w:tblPr/>
      <w:tcPr>
        <w:shd w:val="clear" w:color="auto" w:fill="E5E5E7" w:themeFill="accent6" w:themeFillTint="7F"/>
      </w:tcPr>
    </w:tblStylePr>
  </w:style>
  <w:style w:type="table" w:styleId="MediumGrid2">
    <w:name w:val="Medium Grid 2"/>
    <w:basedOn w:val="TableNormal"/>
    <w:uiPriority w:val="68"/>
    <w:semiHidden/>
    <w:rsid w:val="00294A5A"/>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294A5A"/>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098A4" w:themeColor="accent1"/>
        <w:left w:val="single" w:sz="8" w:space="0" w:color="4098A4" w:themeColor="accent1"/>
        <w:bottom w:val="single" w:sz="8" w:space="0" w:color="4098A4" w:themeColor="accent1"/>
        <w:right w:val="single" w:sz="8" w:space="0" w:color="4098A4" w:themeColor="accent1"/>
        <w:insideH w:val="single" w:sz="8" w:space="0" w:color="4098A4" w:themeColor="accent1"/>
        <w:insideV w:val="single" w:sz="8" w:space="0" w:color="4098A4" w:themeColor="accent1"/>
      </w:tblBorders>
    </w:tblPr>
    <w:tcPr>
      <w:shd w:val="clear" w:color="auto" w:fill="CCE7EB" w:themeFill="accent1" w:themeFillTint="3F"/>
    </w:tcPr>
    <w:tblStylePr w:type="firstRow">
      <w:rPr>
        <w:b/>
        <w:bCs/>
        <w:color w:val="000000" w:themeColor="text1"/>
      </w:rPr>
      <w:tblPr/>
      <w:tcPr>
        <w:shd w:val="clear" w:color="auto" w:fill="EBF5F7"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6ECEF" w:themeFill="accent1" w:themeFillTint="33"/>
      </w:tcPr>
    </w:tblStylePr>
    <w:tblStylePr w:type="band1Vert">
      <w:tblPr/>
      <w:tcPr>
        <w:shd w:val="clear" w:color="auto" w:fill="99D0D7" w:themeFill="accent1" w:themeFillTint="7F"/>
      </w:tcPr>
    </w:tblStylePr>
    <w:tblStylePr w:type="band1Horz">
      <w:tblPr/>
      <w:tcPr>
        <w:tcBorders>
          <w:insideH w:val="single" w:sz="6" w:space="0" w:color="4098A4" w:themeColor="accent1"/>
          <w:insideV w:val="single" w:sz="6" w:space="0" w:color="4098A4" w:themeColor="accent1"/>
        </w:tcBorders>
        <w:shd w:val="clear" w:color="auto" w:fill="99D0D7"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294A5A"/>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BAC3" w:themeColor="accent2"/>
        <w:left w:val="single" w:sz="8" w:space="0" w:color="80BAC3" w:themeColor="accent2"/>
        <w:bottom w:val="single" w:sz="8" w:space="0" w:color="80BAC3" w:themeColor="accent2"/>
        <w:right w:val="single" w:sz="8" w:space="0" w:color="80BAC3" w:themeColor="accent2"/>
        <w:insideH w:val="single" w:sz="8" w:space="0" w:color="80BAC3" w:themeColor="accent2"/>
        <w:insideV w:val="single" w:sz="8" w:space="0" w:color="80BAC3" w:themeColor="accent2"/>
      </w:tblBorders>
    </w:tblPr>
    <w:tcPr>
      <w:shd w:val="clear" w:color="auto" w:fill="DFEDF0" w:themeFill="accent2" w:themeFillTint="3F"/>
    </w:tcPr>
    <w:tblStylePr w:type="firstRow">
      <w:rPr>
        <w:b/>
        <w:bCs/>
        <w:color w:val="000000" w:themeColor="text1"/>
      </w:rPr>
      <w:tblPr/>
      <w:tcPr>
        <w:shd w:val="clear" w:color="auto" w:fill="F2F8F9"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F1F3" w:themeFill="accent2" w:themeFillTint="33"/>
      </w:tcPr>
    </w:tblStylePr>
    <w:tblStylePr w:type="band1Vert">
      <w:tblPr/>
      <w:tcPr>
        <w:shd w:val="clear" w:color="auto" w:fill="BFDCE1" w:themeFill="accent2" w:themeFillTint="7F"/>
      </w:tcPr>
    </w:tblStylePr>
    <w:tblStylePr w:type="band1Horz">
      <w:tblPr/>
      <w:tcPr>
        <w:tcBorders>
          <w:insideH w:val="single" w:sz="6" w:space="0" w:color="80BAC3" w:themeColor="accent2"/>
          <w:insideV w:val="single" w:sz="6" w:space="0" w:color="80BAC3" w:themeColor="accent2"/>
        </w:tcBorders>
        <w:shd w:val="clear" w:color="auto" w:fill="BFDCE1"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294A5A"/>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FDDE1" w:themeColor="accent3"/>
        <w:left w:val="single" w:sz="8" w:space="0" w:color="BFDDE1" w:themeColor="accent3"/>
        <w:bottom w:val="single" w:sz="8" w:space="0" w:color="BFDDE1" w:themeColor="accent3"/>
        <w:right w:val="single" w:sz="8" w:space="0" w:color="BFDDE1" w:themeColor="accent3"/>
        <w:insideH w:val="single" w:sz="8" w:space="0" w:color="BFDDE1" w:themeColor="accent3"/>
        <w:insideV w:val="single" w:sz="8" w:space="0" w:color="BFDDE1" w:themeColor="accent3"/>
      </w:tblBorders>
    </w:tblPr>
    <w:tcPr>
      <w:shd w:val="clear" w:color="auto" w:fill="EFF6F7" w:themeFill="accent3" w:themeFillTint="3F"/>
    </w:tcPr>
    <w:tblStylePr w:type="firstRow">
      <w:rPr>
        <w:b/>
        <w:bCs/>
        <w:color w:val="000000" w:themeColor="text1"/>
      </w:rPr>
      <w:tblPr/>
      <w:tcPr>
        <w:shd w:val="clear" w:color="auto" w:fill="F8FBFC"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F8F9" w:themeFill="accent3" w:themeFillTint="33"/>
      </w:tcPr>
    </w:tblStylePr>
    <w:tblStylePr w:type="band1Vert">
      <w:tblPr/>
      <w:tcPr>
        <w:shd w:val="clear" w:color="auto" w:fill="DFEEF0" w:themeFill="accent3" w:themeFillTint="7F"/>
      </w:tcPr>
    </w:tblStylePr>
    <w:tblStylePr w:type="band1Horz">
      <w:tblPr/>
      <w:tcPr>
        <w:tcBorders>
          <w:insideH w:val="single" w:sz="6" w:space="0" w:color="BFDDE1" w:themeColor="accent3"/>
          <w:insideV w:val="single" w:sz="6" w:space="0" w:color="BFDDE1" w:themeColor="accent3"/>
        </w:tcBorders>
        <w:shd w:val="clear" w:color="auto" w:fill="DFEEF0"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294A5A"/>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04050" w:themeColor="accent4"/>
        <w:left w:val="single" w:sz="8" w:space="0" w:color="404050" w:themeColor="accent4"/>
        <w:bottom w:val="single" w:sz="8" w:space="0" w:color="404050" w:themeColor="accent4"/>
        <w:right w:val="single" w:sz="8" w:space="0" w:color="404050" w:themeColor="accent4"/>
        <w:insideH w:val="single" w:sz="8" w:space="0" w:color="404050" w:themeColor="accent4"/>
        <w:insideV w:val="single" w:sz="8" w:space="0" w:color="404050" w:themeColor="accent4"/>
      </w:tblBorders>
    </w:tblPr>
    <w:tcPr>
      <w:shd w:val="clear" w:color="auto" w:fill="CCCCD6" w:themeFill="accent4" w:themeFillTint="3F"/>
    </w:tcPr>
    <w:tblStylePr w:type="firstRow">
      <w:rPr>
        <w:b/>
        <w:bCs/>
        <w:color w:val="000000" w:themeColor="text1"/>
      </w:rPr>
      <w:tblPr/>
      <w:tcPr>
        <w:shd w:val="clear" w:color="auto" w:fill="EBEBEF"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6D6DE" w:themeFill="accent4" w:themeFillTint="33"/>
      </w:tcPr>
    </w:tblStylePr>
    <w:tblStylePr w:type="band1Vert">
      <w:tblPr/>
      <w:tcPr>
        <w:shd w:val="clear" w:color="auto" w:fill="9999AE" w:themeFill="accent4" w:themeFillTint="7F"/>
      </w:tcPr>
    </w:tblStylePr>
    <w:tblStylePr w:type="band1Horz">
      <w:tblPr/>
      <w:tcPr>
        <w:tcBorders>
          <w:insideH w:val="single" w:sz="6" w:space="0" w:color="404050" w:themeColor="accent4"/>
          <w:insideV w:val="single" w:sz="6" w:space="0" w:color="404050" w:themeColor="accent4"/>
        </w:tcBorders>
        <w:shd w:val="clear" w:color="auto" w:fill="9999AE"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294A5A"/>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808B" w:themeColor="accent5"/>
        <w:left w:val="single" w:sz="8" w:space="0" w:color="80808B" w:themeColor="accent5"/>
        <w:bottom w:val="single" w:sz="8" w:space="0" w:color="80808B" w:themeColor="accent5"/>
        <w:right w:val="single" w:sz="8" w:space="0" w:color="80808B" w:themeColor="accent5"/>
        <w:insideH w:val="single" w:sz="8" w:space="0" w:color="80808B" w:themeColor="accent5"/>
        <w:insideV w:val="single" w:sz="8" w:space="0" w:color="80808B" w:themeColor="accent5"/>
      </w:tblBorders>
    </w:tblPr>
    <w:tcPr>
      <w:shd w:val="clear" w:color="auto" w:fill="DFDFE2" w:themeFill="accent5" w:themeFillTint="3F"/>
    </w:tcPr>
    <w:tblStylePr w:type="firstRow">
      <w:rPr>
        <w:b/>
        <w:bCs/>
        <w:color w:val="000000" w:themeColor="text1"/>
      </w:rPr>
      <w:tblPr/>
      <w:tcPr>
        <w:shd w:val="clear" w:color="auto" w:fill="F2F2F3"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7" w:themeFill="accent5" w:themeFillTint="33"/>
      </w:tcPr>
    </w:tblStylePr>
    <w:tblStylePr w:type="band1Vert">
      <w:tblPr/>
      <w:tcPr>
        <w:shd w:val="clear" w:color="auto" w:fill="BFBFC5" w:themeFill="accent5" w:themeFillTint="7F"/>
      </w:tcPr>
    </w:tblStylePr>
    <w:tblStylePr w:type="band1Horz">
      <w:tblPr/>
      <w:tcPr>
        <w:tcBorders>
          <w:insideH w:val="single" w:sz="6" w:space="0" w:color="80808B" w:themeColor="accent5"/>
          <w:insideV w:val="single" w:sz="6" w:space="0" w:color="80808B" w:themeColor="accent5"/>
        </w:tcBorders>
        <w:shd w:val="clear" w:color="auto" w:fill="BFBFC5"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294A5A"/>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CCCD0" w:themeColor="accent6"/>
        <w:left w:val="single" w:sz="8" w:space="0" w:color="CCCCD0" w:themeColor="accent6"/>
        <w:bottom w:val="single" w:sz="8" w:space="0" w:color="CCCCD0" w:themeColor="accent6"/>
        <w:right w:val="single" w:sz="8" w:space="0" w:color="CCCCD0" w:themeColor="accent6"/>
        <w:insideH w:val="single" w:sz="8" w:space="0" w:color="CCCCD0" w:themeColor="accent6"/>
        <w:insideV w:val="single" w:sz="8" w:space="0" w:color="CCCCD0" w:themeColor="accent6"/>
      </w:tblBorders>
    </w:tblPr>
    <w:tcPr>
      <w:shd w:val="clear" w:color="auto" w:fill="F2F2F3" w:themeFill="accent6" w:themeFillTint="3F"/>
    </w:tcPr>
    <w:tblStylePr w:type="firstRow">
      <w:rPr>
        <w:b/>
        <w:bCs/>
        <w:color w:val="000000" w:themeColor="text1"/>
      </w:rPr>
      <w:tblPr/>
      <w:tcPr>
        <w:shd w:val="clear" w:color="auto" w:fill="F9F9FA"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4F4F5" w:themeFill="accent6" w:themeFillTint="33"/>
      </w:tcPr>
    </w:tblStylePr>
    <w:tblStylePr w:type="band1Vert">
      <w:tblPr/>
      <w:tcPr>
        <w:shd w:val="clear" w:color="auto" w:fill="E5E5E7" w:themeFill="accent6" w:themeFillTint="7F"/>
      </w:tcPr>
    </w:tblStylePr>
    <w:tblStylePr w:type="band1Horz">
      <w:tblPr/>
      <w:tcPr>
        <w:tcBorders>
          <w:insideH w:val="single" w:sz="6" w:space="0" w:color="CCCCD0" w:themeColor="accent6"/>
          <w:insideV w:val="single" w:sz="6" w:space="0" w:color="CCCCD0" w:themeColor="accent6"/>
        </w:tcBorders>
        <w:shd w:val="clear" w:color="auto" w:fill="E5E5E7"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294A5A"/>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rsid w:val="00294A5A"/>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CE7EB"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098A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098A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098A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098A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9D0D7"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9D0D7" w:themeFill="accent1" w:themeFillTint="7F"/>
      </w:tcPr>
    </w:tblStylePr>
  </w:style>
  <w:style w:type="table" w:styleId="MediumGrid3-Accent2">
    <w:name w:val="Medium Grid 3 Accent 2"/>
    <w:basedOn w:val="TableNormal"/>
    <w:uiPriority w:val="69"/>
    <w:semiHidden/>
    <w:rsid w:val="00294A5A"/>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EDF0"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BAC3"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BAC3"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BAC3"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BAC3"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DCE1"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DCE1" w:themeFill="accent2" w:themeFillTint="7F"/>
      </w:tcPr>
    </w:tblStylePr>
  </w:style>
  <w:style w:type="table" w:styleId="MediumGrid3-Accent3">
    <w:name w:val="Medium Grid 3 Accent 3"/>
    <w:basedOn w:val="TableNormal"/>
    <w:uiPriority w:val="69"/>
    <w:semiHidden/>
    <w:rsid w:val="00294A5A"/>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F6F7"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FDDE1"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FDDE1"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FDDE1"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FDDE1"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EEF0"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EEF0" w:themeFill="accent3" w:themeFillTint="7F"/>
      </w:tcPr>
    </w:tblStylePr>
  </w:style>
  <w:style w:type="table" w:styleId="MediumGrid3-Accent4">
    <w:name w:val="Medium Grid 3 Accent 4"/>
    <w:basedOn w:val="TableNormal"/>
    <w:uiPriority w:val="69"/>
    <w:semiHidden/>
    <w:rsid w:val="00294A5A"/>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CCCD6"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0405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0405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0405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0405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999A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999AE" w:themeFill="accent4" w:themeFillTint="7F"/>
      </w:tcPr>
    </w:tblStylePr>
  </w:style>
  <w:style w:type="table" w:styleId="MediumGrid3-Accent5">
    <w:name w:val="Medium Grid 3 Accent 5"/>
    <w:basedOn w:val="TableNormal"/>
    <w:uiPriority w:val="69"/>
    <w:semiHidden/>
    <w:rsid w:val="00294A5A"/>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E2"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B"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B"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B"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B"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C5"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C5" w:themeFill="accent5" w:themeFillTint="7F"/>
      </w:tcPr>
    </w:tblStylePr>
  </w:style>
  <w:style w:type="table" w:styleId="MediumGrid3-Accent6">
    <w:name w:val="Medium Grid 3 Accent 6"/>
    <w:basedOn w:val="TableNormal"/>
    <w:uiPriority w:val="69"/>
    <w:semiHidden/>
    <w:rsid w:val="00294A5A"/>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2F2F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CCCD0"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CCCD0"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CCCD0"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CCCD0"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E5E7"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E5E7" w:themeFill="accent6" w:themeFillTint="7F"/>
      </w:tcPr>
    </w:tblStylePr>
  </w:style>
  <w:style w:type="table" w:styleId="MediumList1">
    <w:name w:val="Medium List 1"/>
    <w:basedOn w:val="TableNormal"/>
    <w:uiPriority w:val="65"/>
    <w:semiHidden/>
    <w:rsid w:val="00294A5A"/>
    <w:pPr>
      <w:spacing w:before="0"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7586"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rsid w:val="00294A5A"/>
    <w:pPr>
      <w:spacing w:before="0" w:after="0" w:line="240" w:lineRule="auto"/>
    </w:pPr>
    <w:rPr>
      <w:color w:val="000000" w:themeColor="text1"/>
    </w:rPr>
    <w:tblPr>
      <w:tblStyleRowBandSize w:val="1"/>
      <w:tblStyleColBandSize w:val="1"/>
      <w:tblBorders>
        <w:top w:val="single" w:sz="8" w:space="0" w:color="4098A4" w:themeColor="accent1"/>
        <w:bottom w:val="single" w:sz="8" w:space="0" w:color="4098A4" w:themeColor="accent1"/>
      </w:tblBorders>
    </w:tblPr>
    <w:tblStylePr w:type="firstRow">
      <w:rPr>
        <w:rFonts w:asciiTheme="majorHAnsi" w:eastAsiaTheme="majorEastAsia" w:hAnsiTheme="majorHAnsi" w:cstheme="majorBidi"/>
      </w:rPr>
      <w:tblPr/>
      <w:tcPr>
        <w:tcBorders>
          <w:top w:val="nil"/>
          <w:bottom w:val="single" w:sz="8" w:space="0" w:color="4098A4" w:themeColor="accent1"/>
        </w:tcBorders>
      </w:tcPr>
    </w:tblStylePr>
    <w:tblStylePr w:type="lastRow">
      <w:rPr>
        <w:b/>
        <w:bCs/>
        <w:color w:val="007586" w:themeColor="text2"/>
      </w:rPr>
      <w:tblPr/>
      <w:tcPr>
        <w:tcBorders>
          <w:top w:val="single" w:sz="8" w:space="0" w:color="4098A4" w:themeColor="accent1"/>
          <w:bottom w:val="single" w:sz="8" w:space="0" w:color="4098A4" w:themeColor="accent1"/>
        </w:tcBorders>
      </w:tcPr>
    </w:tblStylePr>
    <w:tblStylePr w:type="firstCol">
      <w:rPr>
        <w:b/>
        <w:bCs/>
      </w:rPr>
    </w:tblStylePr>
    <w:tblStylePr w:type="lastCol">
      <w:rPr>
        <w:b/>
        <w:bCs/>
      </w:rPr>
      <w:tblPr/>
      <w:tcPr>
        <w:tcBorders>
          <w:top w:val="single" w:sz="8" w:space="0" w:color="4098A4" w:themeColor="accent1"/>
          <w:bottom w:val="single" w:sz="8" w:space="0" w:color="4098A4" w:themeColor="accent1"/>
        </w:tcBorders>
      </w:tcPr>
    </w:tblStylePr>
    <w:tblStylePr w:type="band1Vert">
      <w:tblPr/>
      <w:tcPr>
        <w:shd w:val="clear" w:color="auto" w:fill="CCE7EB" w:themeFill="accent1" w:themeFillTint="3F"/>
      </w:tcPr>
    </w:tblStylePr>
    <w:tblStylePr w:type="band1Horz">
      <w:tblPr/>
      <w:tcPr>
        <w:shd w:val="clear" w:color="auto" w:fill="CCE7EB" w:themeFill="accent1" w:themeFillTint="3F"/>
      </w:tcPr>
    </w:tblStylePr>
  </w:style>
  <w:style w:type="table" w:styleId="MediumList1-Accent2">
    <w:name w:val="Medium List 1 Accent 2"/>
    <w:basedOn w:val="TableNormal"/>
    <w:uiPriority w:val="65"/>
    <w:semiHidden/>
    <w:rsid w:val="00294A5A"/>
    <w:pPr>
      <w:spacing w:before="0" w:after="0" w:line="240" w:lineRule="auto"/>
    </w:pPr>
    <w:rPr>
      <w:color w:val="000000" w:themeColor="text1"/>
    </w:rPr>
    <w:tblPr>
      <w:tblStyleRowBandSize w:val="1"/>
      <w:tblStyleColBandSize w:val="1"/>
      <w:tblBorders>
        <w:top w:val="single" w:sz="8" w:space="0" w:color="80BAC3" w:themeColor="accent2"/>
        <w:bottom w:val="single" w:sz="8" w:space="0" w:color="80BAC3" w:themeColor="accent2"/>
      </w:tblBorders>
    </w:tblPr>
    <w:tblStylePr w:type="firstRow">
      <w:rPr>
        <w:rFonts w:asciiTheme="majorHAnsi" w:eastAsiaTheme="majorEastAsia" w:hAnsiTheme="majorHAnsi" w:cstheme="majorBidi"/>
      </w:rPr>
      <w:tblPr/>
      <w:tcPr>
        <w:tcBorders>
          <w:top w:val="nil"/>
          <w:bottom w:val="single" w:sz="8" w:space="0" w:color="80BAC3" w:themeColor="accent2"/>
        </w:tcBorders>
      </w:tcPr>
    </w:tblStylePr>
    <w:tblStylePr w:type="lastRow">
      <w:rPr>
        <w:b/>
        <w:bCs/>
        <w:color w:val="007586" w:themeColor="text2"/>
      </w:rPr>
      <w:tblPr/>
      <w:tcPr>
        <w:tcBorders>
          <w:top w:val="single" w:sz="8" w:space="0" w:color="80BAC3" w:themeColor="accent2"/>
          <w:bottom w:val="single" w:sz="8" w:space="0" w:color="80BAC3" w:themeColor="accent2"/>
        </w:tcBorders>
      </w:tcPr>
    </w:tblStylePr>
    <w:tblStylePr w:type="firstCol">
      <w:rPr>
        <w:b/>
        <w:bCs/>
      </w:rPr>
    </w:tblStylePr>
    <w:tblStylePr w:type="lastCol">
      <w:rPr>
        <w:b/>
        <w:bCs/>
      </w:rPr>
      <w:tblPr/>
      <w:tcPr>
        <w:tcBorders>
          <w:top w:val="single" w:sz="8" w:space="0" w:color="80BAC3" w:themeColor="accent2"/>
          <w:bottom w:val="single" w:sz="8" w:space="0" w:color="80BAC3" w:themeColor="accent2"/>
        </w:tcBorders>
      </w:tcPr>
    </w:tblStylePr>
    <w:tblStylePr w:type="band1Vert">
      <w:tblPr/>
      <w:tcPr>
        <w:shd w:val="clear" w:color="auto" w:fill="DFEDF0" w:themeFill="accent2" w:themeFillTint="3F"/>
      </w:tcPr>
    </w:tblStylePr>
    <w:tblStylePr w:type="band1Horz">
      <w:tblPr/>
      <w:tcPr>
        <w:shd w:val="clear" w:color="auto" w:fill="DFEDF0" w:themeFill="accent2" w:themeFillTint="3F"/>
      </w:tcPr>
    </w:tblStylePr>
  </w:style>
  <w:style w:type="table" w:styleId="MediumList1-Accent3">
    <w:name w:val="Medium List 1 Accent 3"/>
    <w:basedOn w:val="TableNormal"/>
    <w:uiPriority w:val="65"/>
    <w:semiHidden/>
    <w:rsid w:val="00294A5A"/>
    <w:pPr>
      <w:spacing w:before="0" w:after="0" w:line="240" w:lineRule="auto"/>
    </w:pPr>
    <w:rPr>
      <w:color w:val="000000" w:themeColor="text1"/>
    </w:rPr>
    <w:tblPr>
      <w:tblStyleRowBandSize w:val="1"/>
      <w:tblStyleColBandSize w:val="1"/>
      <w:tblBorders>
        <w:top w:val="single" w:sz="8" w:space="0" w:color="BFDDE1" w:themeColor="accent3"/>
        <w:bottom w:val="single" w:sz="8" w:space="0" w:color="BFDDE1" w:themeColor="accent3"/>
      </w:tblBorders>
    </w:tblPr>
    <w:tblStylePr w:type="firstRow">
      <w:rPr>
        <w:rFonts w:asciiTheme="majorHAnsi" w:eastAsiaTheme="majorEastAsia" w:hAnsiTheme="majorHAnsi" w:cstheme="majorBidi"/>
      </w:rPr>
      <w:tblPr/>
      <w:tcPr>
        <w:tcBorders>
          <w:top w:val="nil"/>
          <w:bottom w:val="single" w:sz="8" w:space="0" w:color="BFDDE1" w:themeColor="accent3"/>
        </w:tcBorders>
      </w:tcPr>
    </w:tblStylePr>
    <w:tblStylePr w:type="lastRow">
      <w:rPr>
        <w:b/>
        <w:bCs/>
        <w:color w:val="007586" w:themeColor="text2"/>
      </w:rPr>
      <w:tblPr/>
      <w:tcPr>
        <w:tcBorders>
          <w:top w:val="single" w:sz="8" w:space="0" w:color="BFDDE1" w:themeColor="accent3"/>
          <w:bottom w:val="single" w:sz="8" w:space="0" w:color="BFDDE1" w:themeColor="accent3"/>
        </w:tcBorders>
      </w:tcPr>
    </w:tblStylePr>
    <w:tblStylePr w:type="firstCol">
      <w:rPr>
        <w:b/>
        <w:bCs/>
      </w:rPr>
    </w:tblStylePr>
    <w:tblStylePr w:type="lastCol">
      <w:rPr>
        <w:b/>
        <w:bCs/>
      </w:rPr>
      <w:tblPr/>
      <w:tcPr>
        <w:tcBorders>
          <w:top w:val="single" w:sz="8" w:space="0" w:color="BFDDE1" w:themeColor="accent3"/>
          <w:bottom w:val="single" w:sz="8" w:space="0" w:color="BFDDE1" w:themeColor="accent3"/>
        </w:tcBorders>
      </w:tcPr>
    </w:tblStylePr>
    <w:tblStylePr w:type="band1Vert">
      <w:tblPr/>
      <w:tcPr>
        <w:shd w:val="clear" w:color="auto" w:fill="EFF6F7" w:themeFill="accent3" w:themeFillTint="3F"/>
      </w:tcPr>
    </w:tblStylePr>
    <w:tblStylePr w:type="band1Horz">
      <w:tblPr/>
      <w:tcPr>
        <w:shd w:val="clear" w:color="auto" w:fill="EFF6F7" w:themeFill="accent3" w:themeFillTint="3F"/>
      </w:tcPr>
    </w:tblStylePr>
  </w:style>
  <w:style w:type="table" w:styleId="MediumList1-Accent4">
    <w:name w:val="Medium List 1 Accent 4"/>
    <w:basedOn w:val="TableNormal"/>
    <w:uiPriority w:val="65"/>
    <w:semiHidden/>
    <w:rsid w:val="00294A5A"/>
    <w:pPr>
      <w:spacing w:before="0" w:after="0" w:line="240" w:lineRule="auto"/>
    </w:pPr>
    <w:rPr>
      <w:color w:val="000000" w:themeColor="text1"/>
    </w:rPr>
    <w:tblPr>
      <w:tblStyleRowBandSize w:val="1"/>
      <w:tblStyleColBandSize w:val="1"/>
      <w:tblBorders>
        <w:top w:val="single" w:sz="8" w:space="0" w:color="404050" w:themeColor="accent4"/>
        <w:bottom w:val="single" w:sz="8" w:space="0" w:color="404050" w:themeColor="accent4"/>
      </w:tblBorders>
    </w:tblPr>
    <w:tblStylePr w:type="firstRow">
      <w:rPr>
        <w:rFonts w:asciiTheme="majorHAnsi" w:eastAsiaTheme="majorEastAsia" w:hAnsiTheme="majorHAnsi" w:cstheme="majorBidi"/>
      </w:rPr>
      <w:tblPr/>
      <w:tcPr>
        <w:tcBorders>
          <w:top w:val="nil"/>
          <w:bottom w:val="single" w:sz="8" w:space="0" w:color="404050" w:themeColor="accent4"/>
        </w:tcBorders>
      </w:tcPr>
    </w:tblStylePr>
    <w:tblStylePr w:type="lastRow">
      <w:rPr>
        <w:b/>
        <w:bCs/>
        <w:color w:val="007586" w:themeColor="text2"/>
      </w:rPr>
      <w:tblPr/>
      <w:tcPr>
        <w:tcBorders>
          <w:top w:val="single" w:sz="8" w:space="0" w:color="404050" w:themeColor="accent4"/>
          <w:bottom w:val="single" w:sz="8" w:space="0" w:color="404050" w:themeColor="accent4"/>
        </w:tcBorders>
      </w:tcPr>
    </w:tblStylePr>
    <w:tblStylePr w:type="firstCol">
      <w:rPr>
        <w:b/>
        <w:bCs/>
      </w:rPr>
    </w:tblStylePr>
    <w:tblStylePr w:type="lastCol">
      <w:rPr>
        <w:b/>
        <w:bCs/>
      </w:rPr>
      <w:tblPr/>
      <w:tcPr>
        <w:tcBorders>
          <w:top w:val="single" w:sz="8" w:space="0" w:color="404050" w:themeColor="accent4"/>
          <w:bottom w:val="single" w:sz="8" w:space="0" w:color="404050" w:themeColor="accent4"/>
        </w:tcBorders>
      </w:tcPr>
    </w:tblStylePr>
    <w:tblStylePr w:type="band1Vert">
      <w:tblPr/>
      <w:tcPr>
        <w:shd w:val="clear" w:color="auto" w:fill="CCCCD6" w:themeFill="accent4" w:themeFillTint="3F"/>
      </w:tcPr>
    </w:tblStylePr>
    <w:tblStylePr w:type="band1Horz">
      <w:tblPr/>
      <w:tcPr>
        <w:shd w:val="clear" w:color="auto" w:fill="CCCCD6" w:themeFill="accent4" w:themeFillTint="3F"/>
      </w:tcPr>
    </w:tblStylePr>
  </w:style>
  <w:style w:type="table" w:styleId="MediumList1-Accent5">
    <w:name w:val="Medium List 1 Accent 5"/>
    <w:basedOn w:val="TableNormal"/>
    <w:uiPriority w:val="65"/>
    <w:semiHidden/>
    <w:rsid w:val="00294A5A"/>
    <w:pPr>
      <w:spacing w:before="0" w:after="0" w:line="240" w:lineRule="auto"/>
    </w:pPr>
    <w:rPr>
      <w:color w:val="000000" w:themeColor="text1"/>
    </w:rPr>
    <w:tblPr>
      <w:tblStyleRowBandSize w:val="1"/>
      <w:tblStyleColBandSize w:val="1"/>
      <w:tblBorders>
        <w:top w:val="single" w:sz="8" w:space="0" w:color="80808B" w:themeColor="accent5"/>
        <w:bottom w:val="single" w:sz="8" w:space="0" w:color="80808B" w:themeColor="accent5"/>
      </w:tblBorders>
    </w:tblPr>
    <w:tblStylePr w:type="firstRow">
      <w:rPr>
        <w:rFonts w:asciiTheme="majorHAnsi" w:eastAsiaTheme="majorEastAsia" w:hAnsiTheme="majorHAnsi" w:cstheme="majorBidi"/>
      </w:rPr>
      <w:tblPr/>
      <w:tcPr>
        <w:tcBorders>
          <w:top w:val="nil"/>
          <w:bottom w:val="single" w:sz="8" w:space="0" w:color="80808B" w:themeColor="accent5"/>
        </w:tcBorders>
      </w:tcPr>
    </w:tblStylePr>
    <w:tblStylePr w:type="lastRow">
      <w:rPr>
        <w:b/>
        <w:bCs/>
        <w:color w:val="007586" w:themeColor="text2"/>
      </w:rPr>
      <w:tblPr/>
      <w:tcPr>
        <w:tcBorders>
          <w:top w:val="single" w:sz="8" w:space="0" w:color="80808B" w:themeColor="accent5"/>
          <w:bottom w:val="single" w:sz="8" w:space="0" w:color="80808B" w:themeColor="accent5"/>
        </w:tcBorders>
      </w:tcPr>
    </w:tblStylePr>
    <w:tblStylePr w:type="firstCol">
      <w:rPr>
        <w:b/>
        <w:bCs/>
      </w:rPr>
    </w:tblStylePr>
    <w:tblStylePr w:type="lastCol">
      <w:rPr>
        <w:b/>
        <w:bCs/>
      </w:rPr>
      <w:tblPr/>
      <w:tcPr>
        <w:tcBorders>
          <w:top w:val="single" w:sz="8" w:space="0" w:color="80808B" w:themeColor="accent5"/>
          <w:bottom w:val="single" w:sz="8" w:space="0" w:color="80808B" w:themeColor="accent5"/>
        </w:tcBorders>
      </w:tcPr>
    </w:tblStylePr>
    <w:tblStylePr w:type="band1Vert">
      <w:tblPr/>
      <w:tcPr>
        <w:shd w:val="clear" w:color="auto" w:fill="DFDFE2" w:themeFill="accent5" w:themeFillTint="3F"/>
      </w:tcPr>
    </w:tblStylePr>
    <w:tblStylePr w:type="band1Horz">
      <w:tblPr/>
      <w:tcPr>
        <w:shd w:val="clear" w:color="auto" w:fill="DFDFE2" w:themeFill="accent5" w:themeFillTint="3F"/>
      </w:tcPr>
    </w:tblStylePr>
  </w:style>
  <w:style w:type="table" w:styleId="MediumList1-Accent6">
    <w:name w:val="Medium List 1 Accent 6"/>
    <w:basedOn w:val="TableNormal"/>
    <w:uiPriority w:val="65"/>
    <w:semiHidden/>
    <w:rsid w:val="00294A5A"/>
    <w:pPr>
      <w:spacing w:before="0" w:after="0" w:line="240" w:lineRule="auto"/>
    </w:pPr>
    <w:rPr>
      <w:color w:val="000000" w:themeColor="text1"/>
    </w:rPr>
    <w:tblPr>
      <w:tblStyleRowBandSize w:val="1"/>
      <w:tblStyleColBandSize w:val="1"/>
      <w:tblBorders>
        <w:top w:val="single" w:sz="8" w:space="0" w:color="CCCCD0" w:themeColor="accent6"/>
        <w:bottom w:val="single" w:sz="8" w:space="0" w:color="CCCCD0" w:themeColor="accent6"/>
      </w:tblBorders>
    </w:tblPr>
    <w:tblStylePr w:type="firstRow">
      <w:rPr>
        <w:rFonts w:asciiTheme="majorHAnsi" w:eastAsiaTheme="majorEastAsia" w:hAnsiTheme="majorHAnsi" w:cstheme="majorBidi"/>
      </w:rPr>
      <w:tblPr/>
      <w:tcPr>
        <w:tcBorders>
          <w:top w:val="nil"/>
          <w:bottom w:val="single" w:sz="8" w:space="0" w:color="CCCCD0" w:themeColor="accent6"/>
        </w:tcBorders>
      </w:tcPr>
    </w:tblStylePr>
    <w:tblStylePr w:type="lastRow">
      <w:rPr>
        <w:b/>
        <w:bCs/>
        <w:color w:val="007586" w:themeColor="text2"/>
      </w:rPr>
      <w:tblPr/>
      <w:tcPr>
        <w:tcBorders>
          <w:top w:val="single" w:sz="8" w:space="0" w:color="CCCCD0" w:themeColor="accent6"/>
          <w:bottom w:val="single" w:sz="8" w:space="0" w:color="CCCCD0" w:themeColor="accent6"/>
        </w:tcBorders>
      </w:tcPr>
    </w:tblStylePr>
    <w:tblStylePr w:type="firstCol">
      <w:rPr>
        <w:b/>
        <w:bCs/>
      </w:rPr>
    </w:tblStylePr>
    <w:tblStylePr w:type="lastCol">
      <w:rPr>
        <w:b/>
        <w:bCs/>
      </w:rPr>
      <w:tblPr/>
      <w:tcPr>
        <w:tcBorders>
          <w:top w:val="single" w:sz="8" w:space="0" w:color="CCCCD0" w:themeColor="accent6"/>
          <w:bottom w:val="single" w:sz="8" w:space="0" w:color="CCCCD0" w:themeColor="accent6"/>
        </w:tcBorders>
      </w:tcPr>
    </w:tblStylePr>
    <w:tblStylePr w:type="band1Vert">
      <w:tblPr/>
      <w:tcPr>
        <w:shd w:val="clear" w:color="auto" w:fill="F2F2F3" w:themeFill="accent6" w:themeFillTint="3F"/>
      </w:tcPr>
    </w:tblStylePr>
    <w:tblStylePr w:type="band1Horz">
      <w:tblPr/>
      <w:tcPr>
        <w:shd w:val="clear" w:color="auto" w:fill="F2F2F3" w:themeFill="accent6" w:themeFillTint="3F"/>
      </w:tcPr>
    </w:tblStylePr>
  </w:style>
  <w:style w:type="table" w:styleId="MediumList2">
    <w:name w:val="Medium List 2"/>
    <w:basedOn w:val="TableNormal"/>
    <w:uiPriority w:val="66"/>
    <w:semiHidden/>
    <w:rsid w:val="00294A5A"/>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294A5A"/>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098A4" w:themeColor="accent1"/>
        <w:left w:val="single" w:sz="8" w:space="0" w:color="4098A4" w:themeColor="accent1"/>
        <w:bottom w:val="single" w:sz="8" w:space="0" w:color="4098A4" w:themeColor="accent1"/>
        <w:right w:val="single" w:sz="8" w:space="0" w:color="4098A4" w:themeColor="accent1"/>
      </w:tblBorders>
    </w:tblPr>
    <w:tblStylePr w:type="firstRow">
      <w:rPr>
        <w:sz w:val="24"/>
        <w:szCs w:val="24"/>
      </w:rPr>
      <w:tblPr/>
      <w:tcPr>
        <w:tcBorders>
          <w:top w:val="nil"/>
          <w:left w:val="nil"/>
          <w:bottom w:val="single" w:sz="24" w:space="0" w:color="4098A4" w:themeColor="accent1"/>
          <w:right w:val="nil"/>
          <w:insideH w:val="nil"/>
          <w:insideV w:val="nil"/>
        </w:tcBorders>
        <w:shd w:val="clear" w:color="auto" w:fill="FFFFFF" w:themeFill="background1"/>
      </w:tcPr>
    </w:tblStylePr>
    <w:tblStylePr w:type="lastRow">
      <w:tblPr/>
      <w:tcPr>
        <w:tcBorders>
          <w:top w:val="single" w:sz="8" w:space="0" w:color="4098A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098A4" w:themeColor="accent1"/>
          <w:insideH w:val="nil"/>
          <w:insideV w:val="nil"/>
        </w:tcBorders>
        <w:shd w:val="clear" w:color="auto" w:fill="FFFFFF" w:themeFill="background1"/>
      </w:tcPr>
    </w:tblStylePr>
    <w:tblStylePr w:type="lastCol">
      <w:tblPr/>
      <w:tcPr>
        <w:tcBorders>
          <w:top w:val="nil"/>
          <w:left w:val="single" w:sz="8" w:space="0" w:color="4098A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CE7EB" w:themeFill="accent1" w:themeFillTint="3F"/>
      </w:tcPr>
    </w:tblStylePr>
    <w:tblStylePr w:type="band1Horz">
      <w:tblPr/>
      <w:tcPr>
        <w:tcBorders>
          <w:top w:val="nil"/>
          <w:bottom w:val="nil"/>
          <w:insideH w:val="nil"/>
          <w:insideV w:val="nil"/>
        </w:tcBorders>
        <w:shd w:val="clear" w:color="auto" w:fill="CCE7EB"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294A5A"/>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BAC3" w:themeColor="accent2"/>
        <w:left w:val="single" w:sz="8" w:space="0" w:color="80BAC3" w:themeColor="accent2"/>
        <w:bottom w:val="single" w:sz="8" w:space="0" w:color="80BAC3" w:themeColor="accent2"/>
        <w:right w:val="single" w:sz="8" w:space="0" w:color="80BAC3" w:themeColor="accent2"/>
      </w:tblBorders>
    </w:tblPr>
    <w:tblStylePr w:type="firstRow">
      <w:rPr>
        <w:sz w:val="24"/>
        <w:szCs w:val="24"/>
      </w:rPr>
      <w:tblPr/>
      <w:tcPr>
        <w:tcBorders>
          <w:top w:val="nil"/>
          <w:left w:val="nil"/>
          <w:bottom w:val="single" w:sz="24" w:space="0" w:color="80BAC3" w:themeColor="accent2"/>
          <w:right w:val="nil"/>
          <w:insideH w:val="nil"/>
          <w:insideV w:val="nil"/>
        </w:tcBorders>
        <w:shd w:val="clear" w:color="auto" w:fill="FFFFFF" w:themeFill="background1"/>
      </w:tcPr>
    </w:tblStylePr>
    <w:tblStylePr w:type="lastRow">
      <w:tblPr/>
      <w:tcPr>
        <w:tcBorders>
          <w:top w:val="single" w:sz="8" w:space="0" w:color="80BAC3"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BAC3" w:themeColor="accent2"/>
          <w:insideH w:val="nil"/>
          <w:insideV w:val="nil"/>
        </w:tcBorders>
        <w:shd w:val="clear" w:color="auto" w:fill="FFFFFF" w:themeFill="background1"/>
      </w:tcPr>
    </w:tblStylePr>
    <w:tblStylePr w:type="lastCol">
      <w:tblPr/>
      <w:tcPr>
        <w:tcBorders>
          <w:top w:val="nil"/>
          <w:left w:val="single" w:sz="8" w:space="0" w:color="80BAC3"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EDF0" w:themeFill="accent2" w:themeFillTint="3F"/>
      </w:tcPr>
    </w:tblStylePr>
    <w:tblStylePr w:type="band1Horz">
      <w:tblPr/>
      <w:tcPr>
        <w:tcBorders>
          <w:top w:val="nil"/>
          <w:bottom w:val="nil"/>
          <w:insideH w:val="nil"/>
          <w:insideV w:val="nil"/>
        </w:tcBorders>
        <w:shd w:val="clear" w:color="auto" w:fill="DFEDF0"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294A5A"/>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FDDE1" w:themeColor="accent3"/>
        <w:left w:val="single" w:sz="8" w:space="0" w:color="BFDDE1" w:themeColor="accent3"/>
        <w:bottom w:val="single" w:sz="8" w:space="0" w:color="BFDDE1" w:themeColor="accent3"/>
        <w:right w:val="single" w:sz="8" w:space="0" w:color="BFDDE1" w:themeColor="accent3"/>
      </w:tblBorders>
    </w:tblPr>
    <w:tblStylePr w:type="firstRow">
      <w:rPr>
        <w:sz w:val="24"/>
        <w:szCs w:val="24"/>
      </w:rPr>
      <w:tblPr/>
      <w:tcPr>
        <w:tcBorders>
          <w:top w:val="nil"/>
          <w:left w:val="nil"/>
          <w:bottom w:val="single" w:sz="24" w:space="0" w:color="BFDDE1" w:themeColor="accent3"/>
          <w:right w:val="nil"/>
          <w:insideH w:val="nil"/>
          <w:insideV w:val="nil"/>
        </w:tcBorders>
        <w:shd w:val="clear" w:color="auto" w:fill="FFFFFF" w:themeFill="background1"/>
      </w:tcPr>
    </w:tblStylePr>
    <w:tblStylePr w:type="lastRow">
      <w:tblPr/>
      <w:tcPr>
        <w:tcBorders>
          <w:top w:val="single" w:sz="8" w:space="0" w:color="BFDDE1"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FDDE1" w:themeColor="accent3"/>
          <w:insideH w:val="nil"/>
          <w:insideV w:val="nil"/>
        </w:tcBorders>
        <w:shd w:val="clear" w:color="auto" w:fill="FFFFFF" w:themeFill="background1"/>
      </w:tcPr>
    </w:tblStylePr>
    <w:tblStylePr w:type="lastCol">
      <w:tblPr/>
      <w:tcPr>
        <w:tcBorders>
          <w:top w:val="nil"/>
          <w:left w:val="single" w:sz="8" w:space="0" w:color="BFDDE1"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F6F7" w:themeFill="accent3" w:themeFillTint="3F"/>
      </w:tcPr>
    </w:tblStylePr>
    <w:tblStylePr w:type="band1Horz">
      <w:tblPr/>
      <w:tcPr>
        <w:tcBorders>
          <w:top w:val="nil"/>
          <w:bottom w:val="nil"/>
          <w:insideH w:val="nil"/>
          <w:insideV w:val="nil"/>
        </w:tcBorders>
        <w:shd w:val="clear" w:color="auto" w:fill="EFF6F7"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294A5A"/>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04050" w:themeColor="accent4"/>
        <w:left w:val="single" w:sz="8" w:space="0" w:color="404050" w:themeColor="accent4"/>
        <w:bottom w:val="single" w:sz="8" w:space="0" w:color="404050" w:themeColor="accent4"/>
        <w:right w:val="single" w:sz="8" w:space="0" w:color="404050" w:themeColor="accent4"/>
      </w:tblBorders>
    </w:tblPr>
    <w:tblStylePr w:type="firstRow">
      <w:rPr>
        <w:sz w:val="24"/>
        <w:szCs w:val="24"/>
      </w:rPr>
      <w:tblPr/>
      <w:tcPr>
        <w:tcBorders>
          <w:top w:val="nil"/>
          <w:left w:val="nil"/>
          <w:bottom w:val="single" w:sz="24" w:space="0" w:color="404050" w:themeColor="accent4"/>
          <w:right w:val="nil"/>
          <w:insideH w:val="nil"/>
          <w:insideV w:val="nil"/>
        </w:tcBorders>
        <w:shd w:val="clear" w:color="auto" w:fill="FFFFFF" w:themeFill="background1"/>
      </w:tcPr>
    </w:tblStylePr>
    <w:tblStylePr w:type="lastRow">
      <w:tblPr/>
      <w:tcPr>
        <w:tcBorders>
          <w:top w:val="single" w:sz="8" w:space="0" w:color="40405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04050" w:themeColor="accent4"/>
          <w:insideH w:val="nil"/>
          <w:insideV w:val="nil"/>
        </w:tcBorders>
        <w:shd w:val="clear" w:color="auto" w:fill="FFFFFF" w:themeFill="background1"/>
      </w:tcPr>
    </w:tblStylePr>
    <w:tblStylePr w:type="lastCol">
      <w:tblPr/>
      <w:tcPr>
        <w:tcBorders>
          <w:top w:val="nil"/>
          <w:left w:val="single" w:sz="8" w:space="0" w:color="40405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CCCD6" w:themeFill="accent4" w:themeFillTint="3F"/>
      </w:tcPr>
    </w:tblStylePr>
    <w:tblStylePr w:type="band1Horz">
      <w:tblPr/>
      <w:tcPr>
        <w:tcBorders>
          <w:top w:val="nil"/>
          <w:bottom w:val="nil"/>
          <w:insideH w:val="nil"/>
          <w:insideV w:val="nil"/>
        </w:tcBorders>
        <w:shd w:val="clear" w:color="auto" w:fill="CCCCD6"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294A5A"/>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808B" w:themeColor="accent5"/>
        <w:left w:val="single" w:sz="8" w:space="0" w:color="80808B" w:themeColor="accent5"/>
        <w:bottom w:val="single" w:sz="8" w:space="0" w:color="80808B" w:themeColor="accent5"/>
        <w:right w:val="single" w:sz="8" w:space="0" w:color="80808B" w:themeColor="accent5"/>
      </w:tblBorders>
    </w:tblPr>
    <w:tblStylePr w:type="firstRow">
      <w:rPr>
        <w:sz w:val="24"/>
        <w:szCs w:val="24"/>
      </w:rPr>
      <w:tblPr/>
      <w:tcPr>
        <w:tcBorders>
          <w:top w:val="nil"/>
          <w:left w:val="nil"/>
          <w:bottom w:val="single" w:sz="24" w:space="0" w:color="80808B" w:themeColor="accent5"/>
          <w:right w:val="nil"/>
          <w:insideH w:val="nil"/>
          <w:insideV w:val="nil"/>
        </w:tcBorders>
        <w:shd w:val="clear" w:color="auto" w:fill="FFFFFF" w:themeFill="background1"/>
      </w:tcPr>
    </w:tblStylePr>
    <w:tblStylePr w:type="lastRow">
      <w:tblPr/>
      <w:tcPr>
        <w:tcBorders>
          <w:top w:val="single" w:sz="8" w:space="0" w:color="80808B"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B" w:themeColor="accent5"/>
          <w:insideH w:val="nil"/>
          <w:insideV w:val="nil"/>
        </w:tcBorders>
        <w:shd w:val="clear" w:color="auto" w:fill="FFFFFF" w:themeFill="background1"/>
      </w:tcPr>
    </w:tblStylePr>
    <w:tblStylePr w:type="lastCol">
      <w:tblPr/>
      <w:tcPr>
        <w:tcBorders>
          <w:top w:val="nil"/>
          <w:left w:val="single" w:sz="8" w:space="0" w:color="80808B"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E2" w:themeFill="accent5" w:themeFillTint="3F"/>
      </w:tcPr>
    </w:tblStylePr>
    <w:tblStylePr w:type="band1Horz">
      <w:tblPr/>
      <w:tcPr>
        <w:tcBorders>
          <w:top w:val="nil"/>
          <w:bottom w:val="nil"/>
          <w:insideH w:val="nil"/>
          <w:insideV w:val="nil"/>
        </w:tcBorders>
        <w:shd w:val="clear" w:color="auto" w:fill="DFDFE2"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294A5A"/>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CCCD0" w:themeColor="accent6"/>
        <w:left w:val="single" w:sz="8" w:space="0" w:color="CCCCD0" w:themeColor="accent6"/>
        <w:bottom w:val="single" w:sz="8" w:space="0" w:color="CCCCD0" w:themeColor="accent6"/>
        <w:right w:val="single" w:sz="8" w:space="0" w:color="CCCCD0" w:themeColor="accent6"/>
      </w:tblBorders>
    </w:tblPr>
    <w:tblStylePr w:type="firstRow">
      <w:rPr>
        <w:sz w:val="24"/>
        <w:szCs w:val="24"/>
      </w:rPr>
      <w:tblPr/>
      <w:tcPr>
        <w:tcBorders>
          <w:top w:val="nil"/>
          <w:left w:val="nil"/>
          <w:bottom w:val="single" w:sz="24" w:space="0" w:color="CCCCD0" w:themeColor="accent6"/>
          <w:right w:val="nil"/>
          <w:insideH w:val="nil"/>
          <w:insideV w:val="nil"/>
        </w:tcBorders>
        <w:shd w:val="clear" w:color="auto" w:fill="FFFFFF" w:themeFill="background1"/>
      </w:tcPr>
    </w:tblStylePr>
    <w:tblStylePr w:type="lastRow">
      <w:tblPr/>
      <w:tcPr>
        <w:tcBorders>
          <w:top w:val="single" w:sz="8" w:space="0" w:color="CCCCD0"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CCCD0" w:themeColor="accent6"/>
          <w:insideH w:val="nil"/>
          <w:insideV w:val="nil"/>
        </w:tcBorders>
        <w:shd w:val="clear" w:color="auto" w:fill="FFFFFF" w:themeFill="background1"/>
      </w:tcPr>
    </w:tblStylePr>
    <w:tblStylePr w:type="lastCol">
      <w:tblPr/>
      <w:tcPr>
        <w:tcBorders>
          <w:top w:val="nil"/>
          <w:left w:val="single" w:sz="8" w:space="0" w:color="CCCCD0"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F2F3" w:themeFill="accent6" w:themeFillTint="3F"/>
      </w:tcPr>
    </w:tblStylePr>
    <w:tblStylePr w:type="band1Horz">
      <w:tblPr/>
      <w:tcPr>
        <w:tcBorders>
          <w:top w:val="nil"/>
          <w:bottom w:val="nil"/>
          <w:insideH w:val="nil"/>
          <w:insideV w:val="nil"/>
        </w:tcBorders>
        <w:shd w:val="clear" w:color="auto" w:fill="F2F2F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294A5A"/>
    <w:pPr>
      <w:spacing w:before="0"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294A5A"/>
    <w:pPr>
      <w:spacing w:before="0" w:after="0" w:line="240" w:lineRule="auto"/>
    </w:pPr>
    <w:tblPr>
      <w:tblStyleRowBandSize w:val="1"/>
      <w:tblStyleColBandSize w:val="1"/>
      <w:tblBorders>
        <w:top w:val="single" w:sz="8" w:space="0" w:color="66B8C3" w:themeColor="accent1" w:themeTint="BF"/>
        <w:left w:val="single" w:sz="8" w:space="0" w:color="66B8C3" w:themeColor="accent1" w:themeTint="BF"/>
        <w:bottom w:val="single" w:sz="8" w:space="0" w:color="66B8C3" w:themeColor="accent1" w:themeTint="BF"/>
        <w:right w:val="single" w:sz="8" w:space="0" w:color="66B8C3" w:themeColor="accent1" w:themeTint="BF"/>
        <w:insideH w:val="single" w:sz="8" w:space="0" w:color="66B8C3" w:themeColor="accent1" w:themeTint="BF"/>
      </w:tblBorders>
    </w:tblPr>
    <w:tblStylePr w:type="firstRow">
      <w:pPr>
        <w:spacing w:before="0" w:after="0" w:line="240" w:lineRule="auto"/>
      </w:pPr>
      <w:rPr>
        <w:b/>
        <w:bCs/>
        <w:color w:val="FFFFFF" w:themeColor="background1"/>
      </w:rPr>
      <w:tblPr/>
      <w:tcPr>
        <w:tcBorders>
          <w:top w:val="single" w:sz="8" w:space="0" w:color="66B8C3" w:themeColor="accent1" w:themeTint="BF"/>
          <w:left w:val="single" w:sz="8" w:space="0" w:color="66B8C3" w:themeColor="accent1" w:themeTint="BF"/>
          <w:bottom w:val="single" w:sz="8" w:space="0" w:color="66B8C3" w:themeColor="accent1" w:themeTint="BF"/>
          <w:right w:val="single" w:sz="8" w:space="0" w:color="66B8C3" w:themeColor="accent1" w:themeTint="BF"/>
          <w:insideH w:val="nil"/>
          <w:insideV w:val="nil"/>
        </w:tcBorders>
        <w:shd w:val="clear" w:color="auto" w:fill="4098A4" w:themeFill="accent1"/>
      </w:tcPr>
    </w:tblStylePr>
    <w:tblStylePr w:type="lastRow">
      <w:pPr>
        <w:spacing w:before="0" w:after="0" w:line="240" w:lineRule="auto"/>
      </w:pPr>
      <w:rPr>
        <w:b/>
        <w:bCs/>
      </w:rPr>
      <w:tblPr/>
      <w:tcPr>
        <w:tcBorders>
          <w:top w:val="double" w:sz="6" w:space="0" w:color="66B8C3" w:themeColor="accent1" w:themeTint="BF"/>
          <w:left w:val="single" w:sz="8" w:space="0" w:color="66B8C3" w:themeColor="accent1" w:themeTint="BF"/>
          <w:bottom w:val="single" w:sz="8" w:space="0" w:color="66B8C3" w:themeColor="accent1" w:themeTint="BF"/>
          <w:right w:val="single" w:sz="8" w:space="0" w:color="66B8C3" w:themeColor="accent1" w:themeTint="BF"/>
          <w:insideH w:val="nil"/>
          <w:insideV w:val="nil"/>
        </w:tcBorders>
      </w:tcPr>
    </w:tblStylePr>
    <w:tblStylePr w:type="firstCol">
      <w:rPr>
        <w:b/>
        <w:bCs/>
      </w:rPr>
    </w:tblStylePr>
    <w:tblStylePr w:type="lastCol">
      <w:rPr>
        <w:b/>
        <w:bCs/>
      </w:rPr>
    </w:tblStylePr>
    <w:tblStylePr w:type="band1Vert">
      <w:tblPr/>
      <w:tcPr>
        <w:shd w:val="clear" w:color="auto" w:fill="CCE7EB" w:themeFill="accent1" w:themeFillTint="3F"/>
      </w:tcPr>
    </w:tblStylePr>
    <w:tblStylePr w:type="band1Horz">
      <w:tblPr/>
      <w:tcPr>
        <w:tcBorders>
          <w:insideH w:val="nil"/>
          <w:insideV w:val="nil"/>
        </w:tcBorders>
        <w:shd w:val="clear" w:color="auto" w:fill="CCE7EB"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294A5A"/>
    <w:pPr>
      <w:spacing w:before="0" w:after="0" w:line="240" w:lineRule="auto"/>
    </w:pPr>
    <w:tblPr>
      <w:tblStyleRowBandSize w:val="1"/>
      <w:tblStyleColBandSize w:val="1"/>
      <w:tblBorders>
        <w:top w:val="single" w:sz="8" w:space="0" w:color="9FCBD2" w:themeColor="accent2" w:themeTint="BF"/>
        <w:left w:val="single" w:sz="8" w:space="0" w:color="9FCBD2" w:themeColor="accent2" w:themeTint="BF"/>
        <w:bottom w:val="single" w:sz="8" w:space="0" w:color="9FCBD2" w:themeColor="accent2" w:themeTint="BF"/>
        <w:right w:val="single" w:sz="8" w:space="0" w:color="9FCBD2" w:themeColor="accent2" w:themeTint="BF"/>
        <w:insideH w:val="single" w:sz="8" w:space="0" w:color="9FCBD2" w:themeColor="accent2" w:themeTint="BF"/>
      </w:tblBorders>
    </w:tblPr>
    <w:tblStylePr w:type="firstRow">
      <w:pPr>
        <w:spacing w:before="0" w:after="0" w:line="240" w:lineRule="auto"/>
      </w:pPr>
      <w:rPr>
        <w:b/>
        <w:bCs/>
        <w:color w:val="FFFFFF" w:themeColor="background1"/>
      </w:rPr>
      <w:tblPr/>
      <w:tcPr>
        <w:tcBorders>
          <w:top w:val="single" w:sz="8" w:space="0" w:color="9FCBD2" w:themeColor="accent2" w:themeTint="BF"/>
          <w:left w:val="single" w:sz="8" w:space="0" w:color="9FCBD2" w:themeColor="accent2" w:themeTint="BF"/>
          <w:bottom w:val="single" w:sz="8" w:space="0" w:color="9FCBD2" w:themeColor="accent2" w:themeTint="BF"/>
          <w:right w:val="single" w:sz="8" w:space="0" w:color="9FCBD2" w:themeColor="accent2" w:themeTint="BF"/>
          <w:insideH w:val="nil"/>
          <w:insideV w:val="nil"/>
        </w:tcBorders>
        <w:shd w:val="clear" w:color="auto" w:fill="80BAC3" w:themeFill="accent2"/>
      </w:tcPr>
    </w:tblStylePr>
    <w:tblStylePr w:type="lastRow">
      <w:pPr>
        <w:spacing w:before="0" w:after="0" w:line="240" w:lineRule="auto"/>
      </w:pPr>
      <w:rPr>
        <w:b/>
        <w:bCs/>
      </w:rPr>
      <w:tblPr/>
      <w:tcPr>
        <w:tcBorders>
          <w:top w:val="double" w:sz="6" w:space="0" w:color="9FCBD2" w:themeColor="accent2" w:themeTint="BF"/>
          <w:left w:val="single" w:sz="8" w:space="0" w:color="9FCBD2" w:themeColor="accent2" w:themeTint="BF"/>
          <w:bottom w:val="single" w:sz="8" w:space="0" w:color="9FCBD2" w:themeColor="accent2" w:themeTint="BF"/>
          <w:right w:val="single" w:sz="8" w:space="0" w:color="9FCBD2" w:themeColor="accent2" w:themeTint="BF"/>
          <w:insideH w:val="nil"/>
          <w:insideV w:val="nil"/>
        </w:tcBorders>
      </w:tcPr>
    </w:tblStylePr>
    <w:tblStylePr w:type="firstCol">
      <w:rPr>
        <w:b/>
        <w:bCs/>
      </w:rPr>
    </w:tblStylePr>
    <w:tblStylePr w:type="lastCol">
      <w:rPr>
        <w:b/>
        <w:bCs/>
      </w:rPr>
    </w:tblStylePr>
    <w:tblStylePr w:type="band1Vert">
      <w:tblPr/>
      <w:tcPr>
        <w:shd w:val="clear" w:color="auto" w:fill="DFEDF0" w:themeFill="accent2" w:themeFillTint="3F"/>
      </w:tcPr>
    </w:tblStylePr>
    <w:tblStylePr w:type="band1Horz">
      <w:tblPr/>
      <w:tcPr>
        <w:tcBorders>
          <w:insideH w:val="nil"/>
          <w:insideV w:val="nil"/>
        </w:tcBorders>
        <w:shd w:val="clear" w:color="auto" w:fill="DFEDF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294A5A"/>
    <w:pPr>
      <w:spacing w:before="0" w:after="0" w:line="240" w:lineRule="auto"/>
    </w:pPr>
    <w:tblPr>
      <w:tblStyleRowBandSize w:val="1"/>
      <w:tblStyleColBandSize w:val="1"/>
      <w:tblBorders>
        <w:top w:val="single" w:sz="8" w:space="0" w:color="CEE5E8" w:themeColor="accent3" w:themeTint="BF"/>
        <w:left w:val="single" w:sz="8" w:space="0" w:color="CEE5E8" w:themeColor="accent3" w:themeTint="BF"/>
        <w:bottom w:val="single" w:sz="8" w:space="0" w:color="CEE5E8" w:themeColor="accent3" w:themeTint="BF"/>
        <w:right w:val="single" w:sz="8" w:space="0" w:color="CEE5E8" w:themeColor="accent3" w:themeTint="BF"/>
        <w:insideH w:val="single" w:sz="8" w:space="0" w:color="CEE5E8" w:themeColor="accent3" w:themeTint="BF"/>
      </w:tblBorders>
    </w:tblPr>
    <w:tblStylePr w:type="firstRow">
      <w:pPr>
        <w:spacing w:before="0" w:after="0" w:line="240" w:lineRule="auto"/>
      </w:pPr>
      <w:rPr>
        <w:b/>
        <w:bCs/>
        <w:color w:val="FFFFFF" w:themeColor="background1"/>
      </w:rPr>
      <w:tblPr/>
      <w:tcPr>
        <w:tcBorders>
          <w:top w:val="single" w:sz="8" w:space="0" w:color="CEE5E8" w:themeColor="accent3" w:themeTint="BF"/>
          <w:left w:val="single" w:sz="8" w:space="0" w:color="CEE5E8" w:themeColor="accent3" w:themeTint="BF"/>
          <w:bottom w:val="single" w:sz="8" w:space="0" w:color="CEE5E8" w:themeColor="accent3" w:themeTint="BF"/>
          <w:right w:val="single" w:sz="8" w:space="0" w:color="CEE5E8" w:themeColor="accent3" w:themeTint="BF"/>
          <w:insideH w:val="nil"/>
          <w:insideV w:val="nil"/>
        </w:tcBorders>
        <w:shd w:val="clear" w:color="auto" w:fill="BFDDE1" w:themeFill="accent3"/>
      </w:tcPr>
    </w:tblStylePr>
    <w:tblStylePr w:type="lastRow">
      <w:pPr>
        <w:spacing w:before="0" w:after="0" w:line="240" w:lineRule="auto"/>
      </w:pPr>
      <w:rPr>
        <w:b/>
        <w:bCs/>
      </w:rPr>
      <w:tblPr/>
      <w:tcPr>
        <w:tcBorders>
          <w:top w:val="double" w:sz="6" w:space="0" w:color="CEE5E8" w:themeColor="accent3" w:themeTint="BF"/>
          <w:left w:val="single" w:sz="8" w:space="0" w:color="CEE5E8" w:themeColor="accent3" w:themeTint="BF"/>
          <w:bottom w:val="single" w:sz="8" w:space="0" w:color="CEE5E8" w:themeColor="accent3" w:themeTint="BF"/>
          <w:right w:val="single" w:sz="8" w:space="0" w:color="CEE5E8" w:themeColor="accent3" w:themeTint="BF"/>
          <w:insideH w:val="nil"/>
          <w:insideV w:val="nil"/>
        </w:tcBorders>
      </w:tcPr>
    </w:tblStylePr>
    <w:tblStylePr w:type="firstCol">
      <w:rPr>
        <w:b/>
        <w:bCs/>
      </w:rPr>
    </w:tblStylePr>
    <w:tblStylePr w:type="lastCol">
      <w:rPr>
        <w:b/>
        <w:bCs/>
      </w:rPr>
    </w:tblStylePr>
    <w:tblStylePr w:type="band1Vert">
      <w:tblPr/>
      <w:tcPr>
        <w:shd w:val="clear" w:color="auto" w:fill="EFF6F7" w:themeFill="accent3" w:themeFillTint="3F"/>
      </w:tcPr>
    </w:tblStylePr>
    <w:tblStylePr w:type="band1Horz">
      <w:tblPr/>
      <w:tcPr>
        <w:tcBorders>
          <w:insideH w:val="nil"/>
          <w:insideV w:val="nil"/>
        </w:tcBorders>
        <w:shd w:val="clear" w:color="auto" w:fill="EFF6F7"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294A5A"/>
    <w:pPr>
      <w:spacing w:before="0" w:after="0" w:line="240" w:lineRule="auto"/>
    </w:pPr>
    <w:tblPr>
      <w:tblStyleRowBandSize w:val="1"/>
      <w:tblStyleColBandSize w:val="1"/>
      <w:tblBorders>
        <w:top w:val="single" w:sz="8" w:space="0" w:color="686882" w:themeColor="accent4" w:themeTint="BF"/>
        <w:left w:val="single" w:sz="8" w:space="0" w:color="686882" w:themeColor="accent4" w:themeTint="BF"/>
        <w:bottom w:val="single" w:sz="8" w:space="0" w:color="686882" w:themeColor="accent4" w:themeTint="BF"/>
        <w:right w:val="single" w:sz="8" w:space="0" w:color="686882" w:themeColor="accent4" w:themeTint="BF"/>
        <w:insideH w:val="single" w:sz="8" w:space="0" w:color="686882" w:themeColor="accent4" w:themeTint="BF"/>
      </w:tblBorders>
    </w:tblPr>
    <w:tblStylePr w:type="firstRow">
      <w:pPr>
        <w:spacing w:before="0" w:after="0" w:line="240" w:lineRule="auto"/>
      </w:pPr>
      <w:rPr>
        <w:b/>
        <w:bCs/>
        <w:color w:val="FFFFFF" w:themeColor="background1"/>
      </w:rPr>
      <w:tblPr/>
      <w:tcPr>
        <w:tcBorders>
          <w:top w:val="single" w:sz="8" w:space="0" w:color="686882" w:themeColor="accent4" w:themeTint="BF"/>
          <w:left w:val="single" w:sz="8" w:space="0" w:color="686882" w:themeColor="accent4" w:themeTint="BF"/>
          <w:bottom w:val="single" w:sz="8" w:space="0" w:color="686882" w:themeColor="accent4" w:themeTint="BF"/>
          <w:right w:val="single" w:sz="8" w:space="0" w:color="686882" w:themeColor="accent4" w:themeTint="BF"/>
          <w:insideH w:val="nil"/>
          <w:insideV w:val="nil"/>
        </w:tcBorders>
        <w:shd w:val="clear" w:color="auto" w:fill="404050" w:themeFill="accent4"/>
      </w:tcPr>
    </w:tblStylePr>
    <w:tblStylePr w:type="lastRow">
      <w:pPr>
        <w:spacing w:before="0" w:after="0" w:line="240" w:lineRule="auto"/>
      </w:pPr>
      <w:rPr>
        <w:b/>
        <w:bCs/>
      </w:rPr>
      <w:tblPr/>
      <w:tcPr>
        <w:tcBorders>
          <w:top w:val="double" w:sz="6" w:space="0" w:color="686882" w:themeColor="accent4" w:themeTint="BF"/>
          <w:left w:val="single" w:sz="8" w:space="0" w:color="686882" w:themeColor="accent4" w:themeTint="BF"/>
          <w:bottom w:val="single" w:sz="8" w:space="0" w:color="686882" w:themeColor="accent4" w:themeTint="BF"/>
          <w:right w:val="single" w:sz="8" w:space="0" w:color="686882" w:themeColor="accent4" w:themeTint="BF"/>
          <w:insideH w:val="nil"/>
          <w:insideV w:val="nil"/>
        </w:tcBorders>
      </w:tcPr>
    </w:tblStylePr>
    <w:tblStylePr w:type="firstCol">
      <w:rPr>
        <w:b/>
        <w:bCs/>
      </w:rPr>
    </w:tblStylePr>
    <w:tblStylePr w:type="lastCol">
      <w:rPr>
        <w:b/>
        <w:bCs/>
      </w:rPr>
    </w:tblStylePr>
    <w:tblStylePr w:type="band1Vert">
      <w:tblPr/>
      <w:tcPr>
        <w:shd w:val="clear" w:color="auto" w:fill="CCCCD6" w:themeFill="accent4" w:themeFillTint="3F"/>
      </w:tcPr>
    </w:tblStylePr>
    <w:tblStylePr w:type="band1Horz">
      <w:tblPr/>
      <w:tcPr>
        <w:tcBorders>
          <w:insideH w:val="nil"/>
          <w:insideV w:val="nil"/>
        </w:tcBorders>
        <w:shd w:val="clear" w:color="auto" w:fill="CCCCD6"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294A5A"/>
    <w:pPr>
      <w:spacing w:before="0" w:after="0" w:line="240" w:lineRule="auto"/>
    </w:pPr>
    <w:tblPr>
      <w:tblStyleRowBandSize w:val="1"/>
      <w:tblStyleColBandSize w:val="1"/>
      <w:tblBorders>
        <w:top w:val="single" w:sz="8" w:space="0" w:color="9F9FA8" w:themeColor="accent5" w:themeTint="BF"/>
        <w:left w:val="single" w:sz="8" w:space="0" w:color="9F9FA8" w:themeColor="accent5" w:themeTint="BF"/>
        <w:bottom w:val="single" w:sz="8" w:space="0" w:color="9F9FA8" w:themeColor="accent5" w:themeTint="BF"/>
        <w:right w:val="single" w:sz="8" w:space="0" w:color="9F9FA8" w:themeColor="accent5" w:themeTint="BF"/>
        <w:insideH w:val="single" w:sz="8" w:space="0" w:color="9F9FA8" w:themeColor="accent5" w:themeTint="BF"/>
      </w:tblBorders>
    </w:tblPr>
    <w:tblStylePr w:type="firstRow">
      <w:pPr>
        <w:spacing w:before="0" w:after="0" w:line="240" w:lineRule="auto"/>
      </w:pPr>
      <w:rPr>
        <w:b/>
        <w:bCs/>
        <w:color w:val="FFFFFF" w:themeColor="background1"/>
      </w:rPr>
      <w:tblPr/>
      <w:tcPr>
        <w:tcBorders>
          <w:top w:val="single" w:sz="8" w:space="0" w:color="9F9FA8" w:themeColor="accent5" w:themeTint="BF"/>
          <w:left w:val="single" w:sz="8" w:space="0" w:color="9F9FA8" w:themeColor="accent5" w:themeTint="BF"/>
          <w:bottom w:val="single" w:sz="8" w:space="0" w:color="9F9FA8" w:themeColor="accent5" w:themeTint="BF"/>
          <w:right w:val="single" w:sz="8" w:space="0" w:color="9F9FA8" w:themeColor="accent5" w:themeTint="BF"/>
          <w:insideH w:val="nil"/>
          <w:insideV w:val="nil"/>
        </w:tcBorders>
        <w:shd w:val="clear" w:color="auto" w:fill="80808B" w:themeFill="accent5"/>
      </w:tcPr>
    </w:tblStylePr>
    <w:tblStylePr w:type="lastRow">
      <w:pPr>
        <w:spacing w:before="0" w:after="0" w:line="240" w:lineRule="auto"/>
      </w:pPr>
      <w:rPr>
        <w:b/>
        <w:bCs/>
      </w:rPr>
      <w:tblPr/>
      <w:tcPr>
        <w:tcBorders>
          <w:top w:val="double" w:sz="6" w:space="0" w:color="9F9FA8" w:themeColor="accent5" w:themeTint="BF"/>
          <w:left w:val="single" w:sz="8" w:space="0" w:color="9F9FA8" w:themeColor="accent5" w:themeTint="BF"/>
          <w:bottom w:val="single" w:sz="8" w:space="0" w:color="9F9FA8" w:themeColor="accent5" w:themeTint="BF"/>
          <w:right w:val="single" w:sz="8" w:space="0" w:color="9F9FA8" w:themeColor="accent5" w:themeTint="BF"/>
          <w:insideH w:val="nil"/>
          <w:insideV w:val="nil"/>
        </w:tcBorders>
      </w:tcPr>
    </w:tblStylePr>
    <w:tblStylePr w:type="firstCol">
      <w:rPr>
        <w:b/>
        <w:bCs/>
      </w:rPr>
    </w:tblStylePr>
    <w:tblStylePr w:type="lastCol">
      <w:rPr>
        <w:b/>
        <w:bCs/>
      </w:rPr>
    </w:tblStylePr>
    <w:tblStylePr w:type="band1Vert">
      <w:tblPr/>
      <w:tcPr>
        <w:shd w:val="clear" w:color="auto" w:fill="DFDFE2" w:themeFill="accent5" w:themeFillTint="3F"/>
      </w:tcPr>
    </w:tblStylePr>
    <w:tblStylePr w:type="band1Horz">
      <w:tblPr/>
      <w:tcPr>
        <w:tcBorders>
          <w:insideH w:val="nil"/>
          <w:insideV w:val="nil"/>
        </w:tcBorders>
        <w:shd w:val="clear" w:color="auto" w:fill="DFDFE2"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294A5A"/>
    <w:pPr>
      <w:spacing w:before="0" w:after="0" w:line="240" w:lineRule="auto"/>
    </w:pPr>
    <w:tblPr>
      <w:tblStyleRowBandSize w:val="1"/>
      <w:tblStyleColBandSize w:val="1"/>
      <w:tblBorders>
        <w:top w:val="single" w:sz="8" w:space="0" w:color="D8D8DB" w:themeColor="accent6" w:themeTint="BF"/>
        <w:left w:val="single" w:sz="8" w:space="0" w:color="D8D8DB" w:themeColor="accent6" w:themeTint="BF"/>
        <w:bottom w:val="single" w:sz="8" w:space="0" w:color="D8D8DB" w:themeColor="accent6" w:themeTint="BF"/>
        <w:right w:val="single" w:sz="8" w:space="0" w:color="D8D8DB" w:themeColor="accent6" w:themeTint="BF"/>
        <w:insideH w:val="single" w:sz="8" w:space="0" w:color="D8D8DB" w:themeColor="accent6" w:themeTint="BF"/>
      </w:tblBorders>
    </w:tblPr>
    <w:tblStylePr w:type="firstRow">
      <w:pPr>
        <w:spacing w:before="0" w:after="0" w:line="240" w:lineRule="auto"/>
      </w:pPr>
      <w:rPr>
        <w:b/>
        <w:bCs/>
        <w:color w:val="FFFFFF" w:themeColor="background1"/>
      </w:rPr>
      <w:tblPr/>
      <w:tcPr>
        <w:tcBorders>
          <w:top w:val="single" w:sz="8" w:space="0" w:color="D8D8DB" w:themeColor="accent6" w:themeTint="BF"/>
          <w:left w:val="single" w:sz="8" w:space="0" w:color="D8D8DB" w:themeColor="accent6" w:themeTint="BF"/>
          <w:bottom w:val="single" w:sz="8" w:space="0" w:color="D8D8DB" w:themeColor="accent6" w:themeTint="BF"/>
          <w:right w:val="single" w:sz="8" w:space="0" w:color="D8D8DB" w:themeColor="accent6" w:themeTint="BF"/>
          <w:insideH w:val="nil"/>
          <w:insideV w:val="nil"/>
        </w:tcBorders>
        <w:shd w:val="clear" w:color="auto" w:fill="CCCCD0" w:themeFill="accent6"/>
      </w:tcPr>
    </w:tblStylePr>
    <w:tblStylePr w:type="lastRow">
      <w:pPr>
        <w:spacing w:before="0" w:after="0" w:line="240" w:lineRule="auto"/>
      </w:pPr>
      <w:rPr>
        <w:b/>
        <w:bCs/>
      </w:rPr>
      <w:tblPr/>
      <w:tcPr>
        <w:tcBorders>
          <w:top w:val="double" w:sz="6" w:space="0" w:color="D8D8DB" w:themeColor="accent6" w:themeTint="BF"/>
          <w:left w:val="single" w:sz="8" w:space="0" w:color="D8D8DB" w:themeColor="accent6" w:themeTint="BF"/>
          <w:bottom w:val="single" w:sz="8" w:space="0" w:color="D8D8DB" w:themeColor="accent6" w:themeTint="BF"/>
          <w:right w:val="single" w:sz="8" w:space="0" w:color="D8D8DB" w:themeColor="accent6" w:themeTint="BF"/>
          <w:insideH w:val="nil"/>
          <w:insideV w:val="nil"/>
        </w:tcBorders>
      </w:tcPr>
    </w:tblStylePr>
    <w:tblStylePr w:type="firstCol">
      <w:rPr>
        <w:b/>
        <w:bCs/>
      </w:rPr>
    </w:tblStylePr>
    <w:tblStylePr w:type="lastCol">
      <w:rPr>
        <w:b/>
        <w:bCs/>
      </w:rPr>
    </w:tblStylePr>
    <w:tblStylePr w:type="band1Vert">
      <w:tblPr/>
      <w:tcPr>
        <w:shd w:val="clear" w:color="auto" w:fill="F2F2F3" w:themeFill="accent6" w:themeFillTint="3F"/>
      </w:tcPr>
    </w:tblStylePr>
    <w:tblStylePr w:type="band1Horz">
      <w:tblPr/>
      <w:tcPr>
        <w:tcBorders>
          <w:insideH w:val="nil"/>
          <w:insideV w:val="nil"/>
        </w:tcBorders>
        <w:shd w:val="clear" w:color="auto" w:fill="F2F2F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294A5A"/>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294A5A"/>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098A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098A4" w:themeFill="accent1"/>
      </w:tcPr>
    </w:tblStylePr>
    <w:tblStylePr w:type="lastCol">
      <w:rPr>
        <w:b/>
        <w:bCs/>
        <w:color w:val="FFFFFF" w:themeColor="background1"/>
      </w:rPr>
      <w:tblPr/>
      <w:tcPr>
        <w:tcBorders>
          <w:left w:val="nil"/>
          <w:right w:val="nil"/>
          <w:insideH w:val="nil"/>
          <w:insideV w:val="nil"/>
        </w:tcBorders>
        <w:shd w:val="clear" w:color="auto" w:fill="4098A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294A5A"/>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BAC3"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BAC3" w:themeFill="accent2"/>
      </w:tcPr>
    </w:tblStylePr>
    <w:tblStylePr w:type="lastCol">
      <w:rPr>
        <w:b/>
        <w:bCs/>
        <w:color w:val="FFFFFF" w:themeColor="background1"/>
      </w:rPr>
      <w:tblPr/>
      <w:tcPr>
        <w:tcBorders>
          <w:left w:val="nil"/>
          <w:right w:val="nil"/>
          <w:insideH w:val="nil"/>
          <w:insideV w:val="nil"/>
        </w:tcBorders>
        <w:shd w:val="clear" w:color="auto" w:fill="80BAC3"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294A5A"/>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FDDE1"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FDDE1" w:themeFill="accent3"/>
      </w:tcPr>
    </w:tblStylePr>
    <w:tblStylePr w:type="lastCol">
      <w:rPr>
        <w:b/>
        <w:bCs/>
        <w:color w:val="FFFFFF" w:themeColor="background1"/>
      </w:rPr>
      <w:tblPr/>
      <w:tcPr>
        <w:tcBorders>
          <w:left w:val="nil"/>
          <w:right w:val="nil"/>
          <w:insideH w:val="nil"/>
          <w:insideV w:val="nil"/>
        </w:tcBorders>
        <w:shd w:val="clear" w:color="auto" w:fill="BFDDE1"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294A5A"/>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0405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04050" w:themeFill="accent4"/>
      </w:tcPr>
    </w:tblStylePr>
    <w:tblStylePr w:type="lastCol">
      <w:rPr>
        <w:b/>
        <w:bCs/>
        <w:color w:val="FFFFFF" w:themeColor="background1"/>
      </w:rPr>
      <w:tblPr/>
      <w:tcPr>
        <w:tcBorders>
          <w:left w:val="nil"/>
          <w:right w:val="nil"/>
          <w:insideH w:val="nil"/>
          <w:insideV w:val="nil"/>
        </w:tcBorders>
        <w:shd w:val="clear" w:color="auto" w:fill="40405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294A5A"/>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B"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B" w:themeFill="accent5"/>
      </w:tcPr>
    </w:tblStylePr>
    <w:tblStylePr w:type="lastCol">
      <w:rPr>
        <w:b/>
        <w:bCs/>
        <w:color w:val="FFFFFF" w:themeColor="background1"/>
      </w:rPr>
      <w:tblPr/>
      <w:tcPr>
        <w:tcBorders>
          <w:left w:val="nil"/>
          <w:right w:val="nil"/>
          <w:insideH w:val="nil"/>
          <w:insideV w:val="nil"/>
        </w:tcBorders>
        <w:shd w:val="clear" w:color="auto" w:fill="80808B"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294A5A"/>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CCCD0"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CCCD0" w:themeFill="accent6"/>
      </w:tcPr>
    </w:tblStylePr>
    <w:tblStylePr w:type="lastCol">
      <w:rPr>
        <w:b/>
        <w:bCs/>
        <w:color w:val="FFFFFF" w:themeColor="background1"/>
      </w:rPr>
      <w:tblPr/>
      <w:tcPr>
        <w:tcBorders>
          <w:left w:val="nil"/>
          <w:right w:val="nil"/>
          <w:insideH w:val="nil"/>
          <w:insideV w:val="nil"/>
        </w:tcBorders>
        <w:shd w:val="clear" w:color="auto" w:fill="CCCCD0"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294A5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294A5A"/>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semiHidden/>
    <w:rsid w:val="00294A5A"/>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294A5A"/>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294A5A"/>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semiHidden/>
    <w:rsid w:val="00294A5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PulloutText">
    <w:name w:val="Pullout Text"/>
    <w:basedOn w:val="Normal"/>
    <w:uiPriority w:val="1"/>
    <w:qFormat/>
    <w:rsid w:val="007E098F"/>
    <w:pPr>
      <w:spacing w:before="100" w:after="100"/>
    </w:pPr>
    <w:rPr>
      <w:color w:val="007586" w:themeColor="text2"/>
    </w:rPr>
  </w:style>
  <w:style w:type="paragraph" w:customStyle="1" w:styleId="PulloutHeading">
    <w:name w:val="Pullout Heading"/>
    <w:basedOn w:val="PulloutText"/>
    <w:next w:val="PulloutText"/>
    <w:uiPriority w:val="1"/>
    <w:qFormat/>
    <w:rsid w:val="007E098F"/>
    <w:pPr>
      <w:spacing w:before="0" w:line="216" w:lineRule="auto"/>
    </w:pPr>
    <w:rPr>
      <w:b/>
      <w:sz w:val="24"/>
    </w:rPr>
  </w:style>
  <w:style w:type="table" w:customStyle="1" w:styleId="SCVInformationTable">
    <w:name w:val="SCV Information Table"/>
    <w:basedOn w:val="TableNormal"/>
    <w:uiPriority w:val="99"/>
    <w:rsid w:val="0086277A"/>
    <w:pPr>
      <w:spacing w:before="0" w:after="80" w:line="240" w:lineRule="auto"/>
      <w:ind w:left="170"/>
    </w:pPr>
    <w:rPr>
      <w:sz w:val="15"/>
    </w:rPr>
    <w:tblPr>
      <w:tblCellMar>
        <w:top w:w="323" w:type="dxa"/>
        <w:left w:w="0" w:type="dxa"/>
        <w:right w:w="0" w:type="dxa"/>
      </w:tblCellMar>
    </w:tblPr>
    <w:tcPr>
      <w:shd w:val="clear" w:color="auto" w:fill="F2F2F3"/>
    </w:tcPr>
  </w:style>
  <w:style w:type="paragraph" w:styleId="Date">
    <w:name w:val="Date"/>
    <w:basedOn w:val="Normal"/>
    <w:next w:val="Normal"/>
    <w:link w:val="DateChar"/>
    <w:uiPriority w:val="99"/>
    <w:rsid w:val="0050356B"/>
    <w:pPr>
      <w:framePr w:hSpace="5670" w:wrap="around" w:vAnchor="page" w:hAnchor="page" w:x="852" w:y="4310"/>
      <w:spacing w:before="0" w:after="70" w:line="312" w:lineRule="auto"/>
      <w:suppressOverlap/>
    </w:pPr>
    <w:rPr>
      <w:b/>
      <w:sz w:val="28"/>
    </w:rPr>
  </w:style>
  <w:style w:type="character" w:customStyle="1" w:styleId="DateChar">
    <w:name w:val="Date Char"/>
    <w:basedOn w:val="DefaultParagraphFont"/>
    <w:link w:val="Date"/>
    <w:uiPriority w:val="99"/>
    <w:rsid w:val="0050356B"/>
    <w:rPr>
      <w:b/>
      <w:sz w:val="28"/>
    </w:rPr>
  </w:style>
  <w:style w:type="paragraph" w:styleId="NormalWeb">
    <w:name w:val="Normal (Web)"/>
    <w:basedOn w:val="Normal"/>
    <w:uiPriority w:val="99"/>
    <w:semiHidden/>
    <w:rsid w:val="005F15F1"/>
    <w:pPr>
      <w:spacing w:before="0" w:after="0" w:line="260" w:lineRule="atLeast"/>
    </w:pPr>
    <w:rPr>
      <w:rFonts w:eastAsia="Times New Roman" w:cs="Times New Roman"/>
      <w:color w:val="000000" w:themeColor="text1"/>
      <w:szCs w:val="24"/>
    </w:rPr>
  </w:style>
  <w:style w:type="character" w:styleId="UnresolvedMention">
    <w:name w:val="Unresolved Mention"/>
    <w:basedOn w:val="DefaultParagraphFont"/>
    <w:uiPriority w:val="99"/>
    <w:semiHidden/>
    <w:unhideWhenUsed/>
    <w:rsid w:val="00B35ADC"/>
    <w:rPr>
      <w:color w:val="605E5C"/>
      <w:shd w:val="clear" w:color="auto" w:fill="E1DFDD"/>
    </w:rPr>
  </w:style>
  <w:style w:type="character" w:styleId="Strong">
    <w:name w:val="Strong"/>
    <w:uiPriority w:val="22"/>
    <w:qFormat/>
    <w:rsid w:val="00F8141A"/>
    <w:rPr>
      <w:b/>
      <w:bCs/>
    </w:rPr>
  </w:style>
  <w:style w:type="character" w:styleId="CommentReference">
    <w:name w:val="annotation reference"/>
    <w:basedOn w:val="DefaultParagraphFont"/>
    <w:uiPriority w:val="1"/>
    <w:semiHidden/>
    <w:unhideWhenUsed/>
    <w:rsid w:val="00735654"/>
    <w:rPr>
      <w:sz w:val="16"/>
      <w:szCs w:val="16"/>
    </w:rPr>
  </w:style>
  <w:style w:type="paragraph" w:styleId="CommentText">
    <w:name w:val="annotation text"/>
    <w:basedOn w:val="Normal"/>
    <w:link w:val="CommentTextChar"/>
    <w:uiPriority w:val="1"/>
    <w:semiHidden/>
    <w:unhideWhenUsed/>
    <w:rsid w:val="00735654"/>
    <w:pPr>
      <w:spacing w:line="240" w:lineRule="auto"/>
    </w:pPr>
  </w:style>
  <w:style w:type="character" w:customStyle="1" w:styleId="CommentTextChar">
    <w:name w:val="Comment Text Char"/>
    <w:basedOn w:val="DefaultParagraphFont"/>
    <w:link w:val="CommentText"/>
    <w:uiPriority w:val="1"/>
    <w:semiHidden/>
    <w:rsid w:val="00735654"/>
    <w:rPr>
      <w:rFonts w:ascii="VIC" w:hAnsi="VIC"/>
    </w:rPr>
  </w:style>
  <w:style w:type="paragraph" w:styleId="CommentSubject">
    <w:name w:val="annotation subject"/>
    <w:basedOn w:val="CommentText"/>
    <w:next w:val="CommentText"/>
    <w:link w:val="CommentSubjectChar"/>
    <w:uiPriority w:val="1"/>
    <w:semiHidden/>
    <w:unhideWhenUsed/>
    <w:rsid w:val="00735654"/>
    <w:rPr>
      <w:b/>
      <w:bCs/>
    </w:rPr>
  </w:style>
  <w:style w:type="character" w:customStyle="1" w:styleId="CommentSubjectChar">
    <w:name w:val="Comment Subject Char"/>
    <w:basedOn w:val="CommentTextChar"/>
    <w:link w:val="CommentSubject"/>
    <w:uiPriority w:val="1"/>
    <w:semiHidden/>
    <w:rsid w:val="00735654"/>
    <w:rPr>
      <w:rFonts w:ascii="VIC" w:hAnsi="VIC"/>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87289429">
      <w:bodyDiv w:val="1"/>
      <w:marLeft w:val="0"/>
      <w:marRight w:val="0"/>
      <w:marTop w:val="0"/>
      <w:marBottom w:val="0"/>
      <w:divBdr>
        <w:top w:val="none" w:sz="0" w:space="0" w:color="auto"/>
        <w:left w:val="none" w:sz="0" w:space="0" w:color="auto"/>
        <w:bottom w:val="none" w:sz="0" w:space="0" w:color="auto"/>
        <w:right w:val="none" w:sz="0" w:space="0" w:color="auto"/>
      </w:divBdr>
    </w:div>
    <w:div w:id="848107288">
      <w:bodyDiv w:val="1"/>
      <w:marLeft w:val="0"/>
      <w:marRight w:val="0"/>
      <w:marTop w:val="0"/>
      <w:marBottom w:val="0"/>
      <w:divBdr>
        <w:top w:val="none" w:sz="0" w:space="0" w:color="auto"/>
        <w:left w:val="none" w:sz="0" w:space="0" w:color="auto"/>
        <w:bottom w:val="none" w:sz="0" w:space="0" w:color="auto"/>
        <w:right w:val="none" w:sz="0" w:space="0" w:color="auto"/>
      </w:divBdr>
    </w:div>
    <w:div w:id="1545368211">
      <w:bodyDiv w:val="1"/>
      <w:marLeft w:val="0"/>
      <w:marRight w:val="0"/>
      <w:marTop w:val="0"/>
      <w:marBottom w:val="0"/>
      <w:divBdr>
        <w:top w:val="none" w:sz="0" w:space="0" w:color="auto"/>
        <w:left w:val="none" w:sz="0" w:space="0" w:color="auto"/>
        <w:bottom w:val="none" w:sz="0" w:space="0" w:color="auto"/>
        <w:right w:val="none" w:sz="0" w:space="0" w:color="auto"/>
      </w:divBdr>
    </w:div>
    <w:div w:id="17947842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header" Target="header3.xml"/><Relationship Id="rId26" Type="http://schemas.openxmlformats.org/officeDocument/2006/relationships/chart" Target="charts/chart5.xml"/><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image" Target="media/image8.jpe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chart" Target="charts/chart4.xml"/><Relationship Id="rId33" Type="http://schemas.openxmlformats.org/officeDocument/2006/relationships/chart" Target="charts/chart12.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chart" Target="charts/chart8.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chart" Target="charts/chart3.xml"/><Relationship Id="rId32" Type="http://schemas.openxmlformats.org/officeDocument/2006/relationships/chart" Target="charts/chart11.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safercare.vic" TargetMode="External"/><Relationship Id="rId23" Type="http://schemas.openxmlformats.org/officeDocument/2006/relationships/chart" Target="charts/chart2.xml"/><Relationship Id="rId28" Type="http://schemas.openxmlformats.org/officeDocument/2006/relationships/chart" Target="charts/chart7.xml"/><Relationship Id="rId36"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chart" Target="charts/chart10.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chart" Target="charts/chart1.xml"/><Relationship Id="rId27" Type="http://schemas.openxmlformats.org/officeDocument/2006/relationships/chart" Target="charts/chart6.xml"/><Relationship Id="rId30" Type="http://schemas.openxmlformats.org/officeDocument/2006/relationships/chart" Target="charts/chart9.xml"/><Relationship Id="rId35"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F:\Safer%20Care%20Victoria\Common%20folder%20(for%20all%20SCV)\Branding%20toolkit\1.%20Templates\1.%20Safer%20Care%20Victoria\Report%20no%20image.dotx"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2.xml"/><Relationship Id="rId1" Type="http://schemas.microsoft.com/office/2011/relationships/chartStyle" Target="style12.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022013274950852"/>
          <c:y val="0.13492063492063491"/>
          <c:w val="0.38918495484405552"/>
          <c:h val="0.73809523809523814"/>
        </c:manualLayout>
      </c:layout>
      <c:doughnutChart>
        <c:varyColors val="1"/>
        <c:ser>
          <c:idx val="0"/>
          <c:order val="0"/>
          <c:tx>
            <c:strRef>
              <c:f>Sheet1!$B$1</c:f>
              <c:strCache>
                <c:ptCount val="1"/>
                <c:pt idx="0">
                  <c:v>Column1</c:v>
                </c:pt>
              </c:strCache>
            </c:strRef>
          </c:tx>
          <c:spPr>
            <a:ln w="19050"/>
          </c:spPr>
          <c:dPt>
            <c:idx val="0"/>
            <c:bubble3D val="0"/>
            <c:spPr>
              <a:solidFill>
                <a:schemeClr val="accent1"/>
              </a:solidFill>
              <a:ln w="19050">
                <a:solidFill>
                  <a:schemeClr val="lt1"/>
                </a:solidFill>
              </a:ln>
              <a:effectLst/>
            </c:spPr>
            <c:extLst>
              <c:ext xmlns:c16="http://schemas.microsoft.com/office/drawing/2014/chart" uri="{C3380CC4-5D6E-409C-BE32-E72D297353CC}">
                <c16:uniqueId val="{00000003-1178-45A9-B99A-44803608E11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4-1178-45A9-B99A-44803608E11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178-45A9-B99A-44803608E116}"/>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6-1178-45A9-B99A-44803608E116}"/>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7-1178-45A9-B99A-44803608E116}"/>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2-1178-45A9-B99A-44803608E116}"/>
              </c:ext>
            </c:extLst>
          </c:dPt>
          <c:dLbls>
            <c:dLbl>
              <c:idx val="0"/>
              <c:layout>
                <c:manualLayout>
                  <c:x val="0"/>
                  <c:y val="-9.52380952380952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178-45A9-B99A-44803608E116}"/>
                </c:ext>
              </c:extLst>
            </c:dLbl>
            <c:dLbl>
              <c:idx val="1"/>
              <c:layout>
                <c:manualLayout>
                  <c:x val="1.00796290696502E-2"/>
                  <c:y val="-9.92063492063492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178-45A9-B99A-44803608E116}"/>
                </c:ext>
              </c:extLst>
            </c:dLbl>
            <c:dLbl>
              <c:idx val="2"/>
              <c:layout>
                <c:manualLayout>
                  <c:x val="2.6207035581090617E-2"/>
                  <c:y val="-8.73015873015872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178-45A9-B99A-44803608E116}"/>
                </c:ext>
              </c:extLst>
            </c:dLbl>
            <c:dLbl>
              <c:idx val="3"/>
              <c:layout>
                <c:manualLayout>
                  <c:x val="3.225481302288076E-2"/>
                  <c:y val="-7.14285714285714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178-45A9-B99A-44803608E116}"/>
                </c:ext>
              </c:extLst>
            </c:dLbl>
            <c:dLbl>
              <c:idx val="4"/>
              <c:layout>
                <c:manualLayout>
                  <c:x val="4.435036790646097E-2"/>
                  <c:y val="-4.76190476190476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178-45A9-B99A-44803608E116}"/>
                </c:ext>
              </c:extLst>
            </c:dLbl>
            <c:dLbl>
              <c:idx val="5"/>
              <c:layout>
                <c:manualLayout>
                  <c:x val="-2.0159258139300475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178-45A9-B99A-44803608E11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VIC" panose="00000500000000000000" pitchFamily="2"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extLst>
          </c:dLbls>
          <c:cat>
            <c:strRef>
              <c:f>Sheet1!$A$2:$A$7</c:f>
              <c:strCache>
                <c:ptCount val="6"/>
                <c:pt idx="0">
                  <c:v>1. Procedures involving the wrong patient or body part, resulting in death or major permanent loss of function</c:v>
                </c:pt>
                <c:pt idx="1">
                  <c:v>2. Suicide of a patient in an inpatient unit</c:v>
                </c:pt>
                <c:pt idx="2">
                  <c:v>3. Retained (un-retrieved) instruments or other material after surgery requiring re-operation or further surgical procedure</c:v>
                </c:pt>
                <c:pt idx="3">
                  <c:v>4. Intravascular gas embolism resulting in death or neurological damage</c:v>
                </c:pt>
                <c:pt idx="4">
                  <c:v>6. Medication error leading to the death of a patient reasonably believed to be due to incorrect administration of drugs</c:v>
                </c:pt>
                <c:pt idx="5">
                  <c:v>9. Other catastrophic: ISR1</c:v>
                </c:pt>
              </c:strCache>
            </c:strRef>
          </c:cat>
          <c:val>
            <c:numRef>
              <c:f>Sheet1!$B$2:$B$7</c:f>
              <c:numCache>
                <c:formatCode>General</c:formatCode>
                <c:ptCount val="6"/>
                <c:pt idx="0">
                  <c:v>1</c:v>
                </c:pt>
                <c:pt idx="1">
                  <c:v>5</c:v>
                </c:pt>
                <c:pt idx="2">
                  <c:v>10</c:v>
                </c:pt>
                <c:pt idx="3">
                  <c:v>1</c:v>
                </c:pt>
                <c:pt idx="4">
                  <c:v>5</c:v>
                </c:pt>
                <c:pt idx="5">
                  <c:v>99</c:v>
                </c:pt>
              </c:numCache>
            </c:numRef>
          </c:val>
          <c:extLst>
            <c:ext xmlns:c16="http://schemas.microsoft.com/office/drawing/2014/chart" uri="{C3380CC4-5D6E-409C-BE32-E72D297353CC}">
              <c16:uniqueId val="{00000000-1178-45A9-B99A-44803608E116}"/>
            </c:ext>
          </c:extLst>
        </c:ser>
        <c:dLbls>
          <c:showLegendKey val="0"/>
          <c:showVal val="1"/>
          <c:showCatName val="0"/>
          <c:showSerName val="0"/>
          <c:showPercent val="0"/>
          <c:showBubbleSize val="0"/>
          <c:showLeaderLines val="0"/>
        </c:dLbls>
        <c:firstSliceAng val="0"/>
        <c:holeSize val="60"/>
      </c:doughnutChart>
      <c:spPr>
        <a:noFill/>
        <a:ln>
          <a:noFill/>
        </a:ln>
        <a:effectLst/>
      </c:spPr>
    </c:plotArea>
    <c:legend>
      <c:legendPos val="t"/>
      <c:layout>
        <c:manualLayout>
          <c:xMode val="edge"/>
          <c:yMode val="edge"/>
          <c:x val="0.55058267399066796"/>
          <c:y val="7.5396825396825393E-2"/>
          <c:w val="0.4128955758365101"/>
          <c:h val="0.9040185601799775"/>
        </c:manualLayout>
      </c:layout>
      <c:overlay val="1"/>
      <c:spPr>
        <a:noFill/>
        <a:ln>
          <a:noFill/>
        </a:ln>
        <a:effectLst/>
      </c:spPr>
      <c:txPr>
        <a:bodyPr rot="0" spcFirstLastPara="1" vertOverflow="ellipsis" vert="horz" wrap="square" anchor="t" anchorCtr="0"/>
        <a:lstStyle/>
        <a:p>
          <a:pPr>
            <a:defRPr sz="900" b="0" i="0" u="none" strike="noStrike" kern="1200" baseline="0">
              <a:solidFill>
                <a:schemeClr val="tx1">
                  <a:lumMod val="65000"/>
                  <a:lumOff val="35000"/>
                </a:schemeClr>
              </a:solidFill>
              <a:latin typeface="VIC" panose="00000500000000000000" pitchFamily="2"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753439574211071"/>
          <c:y val="9.7799641468787279E-2"/>
          <c:w val="0.30177822117563396"/>
          <c:h val="0.83840429355459667"/>
        </c:manualLayout>
      </c:layout>
      <c:doughnut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7D0-43FF-8258-026C43BA988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7D0-43FF-8258-026C43BA9884}"/>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67D0-43FF-8258-026C43BA9884}"/>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1-183D-4F21-BE12-DE82F921DC90}"/>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2-183D-4F21-BE12-DE82F921DC90}"/>
              </c:ext>
            </c:extLst>
          </c:dPt>
          <c:dLbls>
            <c:dLbl>
              <c:idx val="3"/>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VIC" panose="00000500000000000000" pitchFamily="2" charset="0"/>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1-183D-4F21-BE12-DE82F921DC90}"/>
                </c:ext>
              </c:extLst>
            </c:dLbl>
            <c:dLbl>
              <c:idx val="4"/>
              <c:layout>
                <c:manualLayout>
                  <c:x val="-6.0477774417901789E-3"/>
                  <c:y val="-0.1400168020162419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83D-4F21-BE12-DE82F921DC9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VIC" panose="00000500000000000000" pitchFamily="2" charset="0"/>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Internal team member not available</c:v>
                </c:pt>
                <c:pt idx="1">
                  <c:v>Other</c:v>
                </c:pt>
                <c:pt idx="2">
                  <c:v>Delay to secure external reviewer</c:v>
                </c:pt>
                <c:pt idx="3">
                  <c:v>Clinical governance</c:v>
                </c:pt>
                <c:pt idx="4">
                  <c:v>Delay to secure consumer</c:v>
                </c:pt>
              </c:strCache>
            </c:strRef>
          </c:cat>
          <c:val>
            <c:numRef>
              <c:f>Sheet1!$B$2:$B$6</c:f>
              <c:numCache>
                <c:formatCode>General</c:formatCode>
                <c:ptCount val="5"/>
                <c:pt idx="0">
                  <c:v>22</c:v>
                </c:pt>
                <c:pt idx="1">
                  <c:v>20</c:v>
                </c:pt>
                <c:pt idx="2">
                  <c:v>16</c:v>
                </c:pt>
                <c:pt idx="3">
                  <c:v>13</c:v>
                </c:pt>
                <c:pt idx="4">
                  <c:v>1</c:v>
                </c:pt>
              </c:numCache>
            </c:numRef>
          </c:val>
          <c:extLst>
            <c:ext xmlns:c16="http://schemas.microsoft.com/office/drawing/2014/chart" uri="{C3380CC4-5D6E-409C-BE32-E72D297353CC}">
              <c16:uniqueId val="{00000000-183D-4F21-BE12-DE82F921DC90}"/>
            </c:ext>
          </c:extLst>
        </c:ser>
        <c:dLbls>
          <c:showLegendKey val="0"/>
          <c:showVal val="1"/>
          <c:showCatName val="0"/>
          <c:showSerName val="0"/>
          <c:showPercent val="0"/>
          <c:showBubbleSize val="0"/>
          <c:showLeaderLines val="1"/>
        </c:dLbls>
        <c:firstSliceAng val="0"/>
        <c:holeSize val="60"/>
      </c:doughnutChart>
      <c:spPr>
        <a:noFill/>
        <a:ln>
          <a:noFill/>
        </a:ln>
        <a:effectLst/>
      </c:spPr>
    </c:plotArea>
    <c:legend>
      <c:legendPos val="b"/>
      <c:layout>
        <c:manualLayout>
          <c:xMode val="edge"/>
          <c:yMode val="edge"/>
          <c:x val="0.55057521347781335"/>
          <c:y val="0.22179896233217278"/>
          <c:w val="0.23943241469816273"/>
          <c:h val="0.7118683533362586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VIC" panose="00000500000000000000" pitchFamily="2"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Series 1</c:v>
                </c:pt>
              </c:strCache>
            </c:strRef>
          </c:tx>
          <c:spPr>
            <a:solidFill>
              <a:schemeClr val="accent1"/>
            </a:solidFill>
            <a:ln>
              <a:noFill/>
            </a:ln>
            <a:effectLst/>
          </c:spPr>
          <c:invertIfNegative val="0"/>
          <c:cat>
            <c:strRef>
              <c:f>Sheet1!$A$2:$A$3</c:f>
              <c:strCache>
                <c:ptCount val="2"/>
                <c:pt idx="0">
                  <c:v>External member</c:v>
                </c:pt>
                <c:pt idx="1">
                  <c:v>Consumer</c:v>
                </c:pt>
              </c:strCache>
            </c:strRef>
          </c:cat>
          <c:val>
            <c:numRef>
              <c:f>Sheet1!$B$2:$B$3</c:f>
              <c:numCache>
                <c:formatCode>General</c:formatCode>
                <c:ptCount val="2"/>
                <c:pt idx="0">
                  <c:v>90</c:v>
                </c:pt>
                <c:pt idx="1">
                  <c:v>39</c:v>
                </c:pt>
              </c:numCache>
            </c:numRef>
          </c:val>
          <c:extLst>
            <c:ext xmlns:c16="http://schemas.microsoft.com/office/drawing/2014/chart" uri="{C3380CC4-5D6E-409C-BE32-E72D297353CC}">
              <c16:uniqueId val="{00000000-500F-42D9-BDAB-69DE1F9D834F}"/>
            </c:ext>
          </c:extLst>
        </c:ser>
        <c:dLbls>
          <c:showLegendKey val="0"/>
          <c:showVal val="0"/>
          <c:showCatName val="0"/>
          <c:showSerName val="0"/>
          <c:showPercent val="0"/>
          <c:showBubbleSize val="0"/>
        </c:dLbls>
        <c:gapWidth val="182"/>
        <c:axId val="800255016"/>
        <c:axId val="800251408"/>
      </c:barChart>
      <c:catAx>
        <c:axId val="8002550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VIC" panose="00000500000000000000" pitchFamily="2" charset="0"/>
                <a:ea typeface="+mn-ea"/>
                <a:cs typeface="+mn-cs"/>
              </a:defRPr>
            </a:pPr>
            <a:endParaRPr lang="en-US"/>
          </a:p>
        </c:txPr>
        <c:crossAx val="800251408"/>
        <c:crosses val="autoZero"/>
        <c:auto val="1"/>
        <c:lblAlgn val="ctr"/>
        <c:lblOffset val="100"/>
        <c:noMultiLvlLbl val="0"/>
      </c:catAx>
      <c:valAx>
        <c:axId val="80025140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VIC" panose="00000500000000000000" pitchFamily="2" charset="0"/>
                <a:ea typeface="+mn-ea"/>
                <a:cs typeface="+mn-cs"/>
              </a:defRPr>
            </a:pPr>
            <a:endParaRPr lang="en-US"/>
          </a:p>
        </c:txPr>
        <c:crossAx val="80025501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Sheet1!$B$1</c:f>
              <c:strCache>
                <c:ptCount val="1"/>
                <c:pt idx="0">
                  <c:v>Public</c:v>
                </c:pt>
              </c:strCache>
            </c:strRef>
          </c:tx>
          <c:spPr>
            <a:solidFill>
              <a:schemeClr val="accent1"/>
            </a:solidFill>
            <a:ln>
              <a:noFill/>
            </a:ln>
            <a:effectLst/>
          </c:spPr>
          <c:invertIfNegative val="0"/>
          <c:cat>
            <c:strRef>
              <c:f>Sheet1!$A$2:$A$10</c:f>
              <c:strCache>
                <c:ptCount val="9"/>
                <c:pt idx="0">
                  <c:v>2010-11</c:v>
                </c:pt>
                <c:pt idx="1">
                  <c:v>2011-12</c:v>
                </c:pt>
                <c:pt idx="2">
                  <c:v>2012-13</c:v>
                </c:pt>
                <c:pt idx="3">
                  <c:v>2013-14</c:v>
                </c:pt>
                <c:pt idx="4">
                  <c:v>2014-15</c:v>
                </c:pt>
                <c:pt idx="5">
                  <c:v>2015-16</c:v>
                </c:pt>
                <c:pt idx="6">
                  <c:v>2016-17</c:v>
                </c:pt>
                <c:pt idx="7">
                  <c:v>2017-18</c:v>
                </c:pt>
                <c:pt idx="8">
                  <c:v>2018-19</c:v>
                </c:pt>
              </c:strCache>
            </c:strRef>
          </c:cat>
          <c:val>
            <c:numRef>
              <c:f>Sheet1!$B$2:$B$10</c:f>
              <c:numCache>
                <c:formatCode>General</c:formatCode>
                <c:ptCount val="9"/>
                <c:pt idx="0">
                  <c:v>58</c:v>
                </c:pt>
                <c:pt idx="1">
                  <c:v>41</c:v>
                </c:pt>
                <c:pt idx="2">
                  <c:v>34</c:v>
                </c:pt>
                <c:pt idx="3">
                  <c:v>54</c:v>
                </c:pt>
                <c:pt idx="4">
                  <c:v>42</c:v>
                </c:pt>
                <c:pt idx="5">
                  <c:v>47</c:v>
                </c:pt>
                <c:pt idx="6">
                  <c:v>72</c:v>
                </c:pt>
                <c:pt idx="7">
                  <c:v>115</c:v>
                </c:pt>
                <c:pt idx="8">
                  <c:v>99</c:v>
                </c:pt>
              </c:numCache>
            </c:numRef>
          </c:val>
          <c:extLst>
            <c:ext xmlns:c16="http://schemas.microsoft.com/office/drawing/2014/chart" uri="{C3380CC4-5D6E-409C-BE32-E72D297353CC}">
              <c16:uniqueId val="{00000000-EA70-4C67-BE75-AFD8DC58875C}"/>
            </c:ext>
          </c:extLst>
        </c:ser>
        <c:ser>
          <c:idx val="1"/>
          <c:order val="1"/>
          <c:tx>
            <c:strRef>
              <c:f>Sheet1!$C$1</c:f>
              <c:strCache>
                <c:ptCount val="1"/>
                <c:pt idx="0">
                  <c:v>Private</c:v>
                </c:pt>
              </c:strCache>
            </c:strRef>
          </c:tx>
          <c:spPr>
            <a:solidFill>
              <a:schemeClr val="accent2"/>
            </a:solidFill>
            <a:ln>
              <a:noFill/>
            </a:ln>
            <a:effectLst/>
          </c:spPr>
          <c:invertIfNegative val="0"/>
          <c:cat>
            <c:strRef>
              <c:f>Sheet1!$A$2:$A$10</c:f>
              <c:strCache>
                <c:ptCount val="9"/>
                <c:pt idx="0">
                  <c:v>2010-11</c:v>
                </c:pt>
                <c:pt idx="1">
                  <c:v>2011-12</c:v>
                </c:pt>
                <c:pt idx="2">
                  <c:v>2012-13</c:v>
                </c:pt>
                <c:pt idx="3">
                  <c:v>2013-14</c:v>
                </c:pt>
                <c:pt idx="4">
                  <c:v>2014-15</c:v>
                </c:pt>
                <c:pt idx="5">
                  <c:v>2015-16</c:v>
                </c:pt>
                <c:pt idx="6">
                  <c:v>2016-17</c:v>
                </c:pt>
                <c:pt idx="7">
                  <c:v>2017-18</c:v>
                </c:pt>
                <c:pt idx="8">
                  <c:v>2018-19</c:v>
                </c:pt>
              </c:strCache>
            </c:strRef>
          </c:cat>
          <c:val>
            <c:numRef>
              <c:f>Sheet1!$C$2:$C$10</c:f>
              <c:numCache>
                <c:formatCode>General</c:formatCode>
                <c:ptCount val="9"/>
                <c:pt idx="0">
                  <c:v>0</c:v>
                </c:pt>
                <c:pt idx="1">
                  <c:v>0</c:v>
                </c:pt>
                <c:pt idx="2">
                  <c:v>0</c:v>
                </c:pt>
                <c:pt idx="3">
                  <c:v>0</c:v>
                </c:pt>
                <c:pt idx="4">
                  <c:v>0</c:v>
                </c:pt>
                <c:pt idx="5">
                  <c:v>0</c:v>
                </c:pt>
                <c:pt idx="6">
                  <c:v>0</c:v>
                </c:pt>
                <c:pt idx="7">
                  <c:v>7</c:v>
                </c:pt>
                <c:pt idx="8">
                  <c:v>22</c:v>
                </c:pt>
              </c:numCache>
            </c:numRef>
          </c:val>
          <c:extLst>
            <c:ext xmlns:c16="http://schemas.microsoft.com/office/drawing/2014/chart" uri="{C3380CC4-5D6E-409C-BE32-E72D297353CC}">
              <c16:uniqueId val="{00000001-EA70-4C67-BE75-AFD8DC58875C}"/>
            </c:ext>
          </c:extLst>
        </c:ser>
        <c:dLbls>
          <c:showLegendKey val="0"/>
          <c:showVal val="0"/>
          <c:showCatName val="0"/>
          <c:showSerName val="0"/>
          <c:showPercent val="0"/>
          <c:showBubbleSize val="0"/>
        </c:dLbls>
        <c:gapWidth val="150"/>
        <c:overlap val="100"/>
        <c:axId val="589761080"/>
        <c:axId val="589774200"/>
      </c:barChart>
      <c:catAx>
        <c:axId val="589761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9774200"/>
        <c:crosses val="autoZero"/>
        <c:auto val="1"/>
        <c:lblAlgn val="ctr"/>
        <c:lblOffset val="100"/>
        <c:noMultiLvlLbl val="0"/>
      </c:catAx>
      <c:valAx>
        <c:axId val="5897742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97610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Series 1</c:v>
                </c:pt>
              </c:strCache>
            </c:strRef>
          </c:tx>
          <c:spPr>
            <a:ln w="28575" cap="rnd">
              <a:solidFill>
                <a:schemeClr val="accent1"/>
              </a:solidFill>
              <a:round/>
            </a:ln>
            <a:effectLst/>
          </c:spPr>
          <c:marker>
            <c:symbol val="none"/>
          </c:marker>
          <c:cat>
            <c:strRef>
              <c:f>Sheet1!$A$2:$A$18</c:f>
              <c:strCache>
                <c:ptCount val="17"/>
                <c:pt idx="0">
                  <c:v>2002-03</c:v>
                </c:pt>
                <c:pt idx="1">
                  <c:v>2003-04</c:v>
                </c:pt>
                <c:pt idx="2">
                  <c:v>2004-05</c:v>
                </c:pt>
                <c:pt idx="3">
                  <c:v>2005-06</c:v>
                </c:pt>
                <c:pt idx="4">
                  <c:v>2006-07</c:v>
                </c:pt>
                <c:pt idx="5">
                  <c:v>2007-08</c:v>
                </c:pt>
                <c:pt idx="6">
                  <c:v>2008-09</c:v>
                </c:pt>
                <c:pt idx="7">
                  <c:v>2009-10</c:v>
                </c:pt>
                <c:pt idx="8">
                  <c:v>2010-11</c:v>
                </c:pt>
                <c:pt idx="9">
                  <c:v>2011-12</c:v>
                </c:pt>
                <c:pt idx="10">
                  <c:v>2012-13</c:v>
                </c:pt>
                <c:pt idx="11">
                  <c:v>2013-14</c:v>
                </c:pt>
                <c:pt idx="12">
                  <c:v>2014-15</c:v>
                </c:pt>
                <c:pt idx="13">
                  <c:v>2015-16</c:v>
                </c:pt>
                <c:pt idx="14">
                  <c:v>2016-17</c:v>
                </c:pt>
                <c:pt idx="15">
                  <c:v>2017-18</c:v>
                </c:pt>
                <c:pt idx="16">
                  <c:v>2018-19</c:v>
                </c:pt>
              </c:strCache>
            </c:strRef>
          </c:cat>
          <c:val>
            <c:numRef>
              <c:f>Sheet1!$B$2:$B$18</c:f>
              <c:numCache>
                <c:formatCode>General</c:formatCode>
                <c:ptCount val="17"/>
                <c:pt idx="0">
                  <c:v>79</c:v>
                </c:pt>
                <c:pt idx="1">
                  <c:v>85</c:v>
                </c:pt>
                <c:pt idx="2">
                  <c:v>122</c:v>
                </c:pt>
                <c:pt idx="3">
                  <c:v>91</c:v>
                </c:pt>
                <c:pt idx="4">
                  <c:v>82</c:v>
                </c:pt>
                <c:pt idx="5">
                  <c:v>102</c:v>
                </c:pt>
                <c:pt idx="6">
                  <c:v>68</c:v>
                </c:pt>
                <c:pt idx="7">
                  <c:v>56</c:v>
                </c:pt>
                <c:pt idx="8">
                  <c:v>58</c:v>
                </c:pt>
                <c:pt idx="9">
                  <c:v>41</c:v>
                </c:pt>
                <c:pt idx="10">
                  <c:v>34</c:v>
                </c:pt>
                <c:pt idx="11">
                  <c:v>54</c:v>
                </c:pt>
                <c:pt idx="12">
                  <c:v>42</c:v>
                </c:pt>
                <c:pt idx="13">
                  <c:v>47</c:v>
                </c:pt>
                <c:pt idx="14">
                  <c:v>72</c:v>
                </c:pt>
                <c:pt idx="15">
                  <c:v>122</c:v>
                </c:pt>
                <c:pt idx="16">
                  <c:v>121</c:v>
                </c:pt>
              </c:numCache>
            </c:numRef>
          </c:val>
          <c:smooth val="0"/>
          <c:extLst>
            <c:ext xmlns:c16="http://schemas.microsoft.com/office/drawing/2014/chart" uri="{C3380CC4-5D6E-409C-BE32-E72D297353CC}">
              <c16:uniqueId val="{00000000-F850-41F5-825A-D03EC3AA4B66}"/>
            </c:ext>
          </c:extLst>
        </c:ser>
        <c:dLbls>
          <c:showLegendKey val="0"/>
          <c:showVal val="0"/>
          <c:showCatName val="0"/>
          <c:showSerName val="0"/>
          <c:showPercent val="0"/>
          <c:showBubbleSize val="0"/>
        </c:dLbls>
        <c:smooth val="0"/>
        <c:axId val="801019536"/>
        <c:axId val="801020192"/>
      </c:lineChart>
      <c:catAx>
        <c:axId val="801019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VIC" panose="00000500000000000000" pitchFamily="2" charset="0"/>
                <a:ea typeface="+mn-ea"/>
                <a:cs typeface="+mn-cs"/>
              </a:defRPr>
            </a:pPr>
            <a:endParaRPr lang="en-US"/>
          </a:p>
        </c:txPr>
        <c:crossAx val="801020192"/>
        <c:crosses val="autoZero"/>
        <c:auto val="1"/>
        <c:lblAlgn val="ctr"/>
        <c:lblOffset val="100"/>
        <c:noMultiLvlLbl val="0"/>
      </c:catAx>
      <c:valAx>
        <c:axId val="8010201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VIC" panose="00000500000000000000" pitchFamily="2" charset="0"/>
                <a:ea typeface="+mn-ea"/>
                <a:cs typeface="+mn-cs"/>
              </a:defRPr>
            </a:pPr>
            <a:endParaRPr lang="en-US"/>
          </a:p>
        </c:txPr>
        <c:crossAx val="80101953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84082995824494E-2"/>
          <c:y val="6.0983130161647026E-2"/>
          <c:w val="0.41941431799404272"/>
          <c:h val="0.82559711286089243"/>
        </c:manualLayout>
      </c:layout>
      <c:doughnut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AFC-4C1F-8032-7384EED28E4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AFC-4C1F-8032-7384EED28E4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0AFC-4C1F-8032-7384EED28E4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3-D6E4-456A-9DCB-0DE5CA93E382}"/>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2-D6E4-456A-9DCB-0DE5CA93E382}"/>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0AFC-4C1F-8032-7384EED28E4C}"/>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1-D6E4-456A-9DCB-0DE5CA93E382}"/>
              </c:ext>
            </c:extLst>
          </c:dPt>
          <c:dLbls>
            <c:dLbl>
              <c:idx val="3"/>
              <c:layout>
                <c:manualLayout>
                  <c:x val="-4.435036790646104E-2"/>
                  <c:y val="5.28145322040930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6E4-456A-9DCB-0DE5CA93E382}"/>
                </c:ext>
              </c:extLst>
            </c:dLbl>
            <c:dLbl>
              <c:idx val="4"/>
              <c:layout>
                <c:manualLayout>
                  <c:x val="-5.039814534825119E-2"/>
                  <c:y val="2.38095238095238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6E4-456A-9DCB-0DE5CA93E382}"/>
                </c:ext>
              </c:extLst>
            </c:dLbl>
            <c:dLbl>
              <c:idx val="6"/>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VIC" panose="00000500000000000000" pitchFamily="2" charset="0"/>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1-D6E4-456A-9DCB-0DE5CA93E38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VIC" panose="00000500000000000000" pitchFamily="2"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extLst>
          </c:dLbls>
          <c:cat>
            <c:strRef>
              <c:f>Sheet1!$A$2:$A$8</c:f>
              <c:strCache>
                <c:ptCount val="7"/>
                <c:pt idx="0">
                  <c:v>0 to 5 days</c:v>
                </c:pt>
                <c:pt idx="1">
                  <c:v>5 to 10 days</c:v>
                </c:pt>
                <c:pt idx="2">
                  <c:v>10 to 15 days</c:v>
                </c:pt>
                <c:pt idx="3">
                  <c:v>15 to 20 days</c:v>
                </c:pt>
                <c:pt idx="4">
                  <c:v>20 to 25 days</c:v>
                </c:pt>
                <c:pt idx="5">
                  <c:v>25 to 30 days</c:v>
                </c:pt>
                <c:pt idx="6">
                  <c:v>&gt;30 days</c:v>
                </c:pt>
              </c:strCache>
            </c:strRef>
          </c:cat>
          <c:val>
            <c:numRef>
              <c:f>Sheet1!$B$2:$B$8</c:f>
              <c:numCache>
                <c:formatCode>General</c:formatCode>
                <c:ptCount val="7"/>
                <c:pt idx="0">
                  <c:v>36</c:v>
                </c:pt>
                <c:pt idx="1">
                  <c:v>17</c:v>
                </c:pt>
                <c:pt idx="2">
                  <c:v>7</c:v>
                </c:pt>
                <c:pt idx="3">
                  <c:v>2</c:v>
                </c:pt>
                <c:pt idx="4">
                  <c:v>1</c:v>
                </c:pt>
                <c:pt idx="5">
                  <c:v>3</c:v>
                </c:pt>
                <c:pt idx="6">
                  <c:v>22</c:v>
                </c:pt>
              </c:numCache>
            </c:numRef>
          </c:val>
          <c:extLst>
            <c:ext xmlns:c16="http://schemas.microsoft.com/office/drawing/2014/chart" uri="{C3380CC4-5D6E-409C-BE32-E72D297353CC}">
              <c16:uniqueId val="{00000000-D6E4-456A-9DCB-0DE5CA93E382}"/>
            </c:ext>
          </c:extLst>
        </c:ser>
        <c:dLbls>
          <c:showLegendKey val="0"/>
          <c:showVal val="1"/>
          <c:showCatName val="0"/>
          <c:showSerName val="0"/>
          <c:showPercent val="0"/>
          <c:showBubbleSize val="0"/>
          <c:showLeaderLines val="0"/>
        </c:dLbls>
        <c:firstSliceAng val="0"/>
        <c:holeSize val="60"/>
      </c:doughnutChart>
      <c:spPr>
        <a:noFill/>
        <a:ln>
          <a:noFill/>
        </a:ln>
        <a:effectLst/>
      </c:spPr>
    </c:plotArea>
    <c:legend>
      <c:legendPos val="b"/>
      <c:layout>
        <c:manualLayout>
          <c:xMode val="edge"/>
          <c:yMode val="edge"/>
          <c:x val="0.50559927363176971"/>
          <c:y val="0.47010416777957031"/>
          <c:w val="0.30328587970954796"/>
          <c:h val="0.4167935709067293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VIC" panose="00000500000000000000" pitchFamily="2"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009890735233541"/>
          <c:y val="2.8959002639371841E-2"/>
          <c:w val="0.29422897583825608"/>
          <c:h val="0.81743087910706769"/>
        </c:manualLayout>
      </c:layout>
      <c:doughnutChart>
        <c:varyColors val="1"/>
        <c:ser>
          <c:idx val="0"/>
          <c:order val="0"/>
          <c:tx>
            <c:strRef>
              <c:f>Sheet1!$B$1</c:f>
              <c:strCache>
                <c:ptCount val="1"/>
                <c:pt idx="0">
                  <c:v>Column1</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F31-4818-BDE1-8E532E092A2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2-B1AB-4074-B407-214E1C5DE864}"/>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F31-4818-BDE1-8E532E092A2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3-B1AB-4074-B407-214E1C5DE864}"/>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AF31-4818-BDE1-8E532E092A2C}"/>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AF31-4818-BDE1-8E532E092A2C}"/>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4-B1AB-4074-B407-214E1C5DE864}"/>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5-B1AB-4074-B407-214E1C5DE864}"/>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AF31-4818-BDE1-8E532E092A2C}"/>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01-B1AB-4074-B407-214E1C5DE864}"/>
              </c:ext>
            </c:extLst>
          </c:dPt>
          <c:dLbls>
            <c:dLbl>
              <c:idx val="1"/>
              <c:layout>
                <c:manualLayout>
                  <c:x val="3.472222222222214E-2"/>
                  <c:y val="-6.34920634920635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1AB-4074-B407-214E1C5DE864}"/>
                </c:ext>
              </c:extLst>
            </c:dLbl>
            <c:dLbl>
              <c:idx val="3"/>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VIC" panose="00000500000000000000" pitchFamily="2" charset="0"/>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3-B1AB-4074-B407-214E1C5DE864}"/>
                </c:ext>
              </c:extLst>
            </c:dLbl>
            <c:dLbl>
              <c:idx val="6"/>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VIC" panose="00000500000000000000" pitchFamily="2" charset="0"/>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4-B1AB-4074-B407-214E1C5DE864}"/>
                </c:ext>
              </c:extLst>
            </c:dLbl>
            <c:dLbl>
              <c:idx val="7"/>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VIC" panose="00000500000000000000" pitchFamily="2" charset="0"/>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5-B1AB-4074-B407-214E1C5DE864}"/>
                </c:ext>
              </c:extLst>
            </c:dLbl>
            <c:dLbl>
              <c:idx val="9"/>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VIC" panose="00000500000000000000" pitchFamily="2" charset="0"/>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1-B1AB-4074-B407-214E1C5DE86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VIC" panose="00000500000000000000" pitchFamily="2" charset="0"/>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Sheet1!$A$2:$A$11</c:f>
              <c:strCache>
                <c:ptCount val="10"/>
                <c:pt idx="0">
                  <c:v>0-10</c:v>
                </c:pt>
                <c:pt idx="1">
                  <c:v>11-20</c:v>
                </c:pt>
                <c:pt idx="2">
                  <c:v>21-30</c:v>
                </c:pt>
                <c:pt idx="3">
                  <c:v>31-40</c:v>
                </c:pt>
                <c:pt idx="4">
                  <c:v>41-50</c:v>
                </c:pt>
                <c:pt idx="5">
                  <c:v>51-60</c:v>
                </c:pt>
                <c:pt idx="6">
                  <c:v>61-70</c:v>
                </c:pt>
                <c:pt idx="7">
                  <c:v>71-80</c:v>
                </c:pt>
                <c:pt idx="8">
                  <c:v>81-90</c:v>
                </c:pt>
                <c:pt idx="9">
                  <c:v>91-100</c:v>
                </c:pt>
              </c:strCache>
            </c:strRef>
          </c:cat>
          <c:val>
            <c:numRef>
              <c:f>Sheet1!$B$2:$B$11</c:f>
              <c:numCache>
                <c:formatCode>General</c:formatCode>
                <c:ptCount val="10"/>
                <c:pt idx="0">
                  <c:v>15</c:v>
                </c:pt>
                <c:pt idx="1">
                  <c:v>1</c:v>
                </c:pt>
                <c:pt idx="2">
                  <c:v>8</c:v>
                </c:pt>
                <c:pt idx="3">
                  <c:v>10</c:v>
                </c:pt>
                <c:pt idx="4">
                  <c:v>12</c:v>
                </c:pt>
                <c:pt idx="5">
                  <c:v>14</c:v>
                </c:pt>
                <c:pt idx="6">
                  <c:v>13</c:v>
                </c:pt>
                <c:pt idx="7">
                  <c:v>24</c:v>
                </c:pt>
                <c:pt idx="8">
                  <c:v>17</c:v>
                </c:pt>
                <c:pt idx="9">
                  <c:v>7</c:v>
                </c:pt>
              </c:numCache>
            </c:numRef>
          </c:val>
          <c:extLst>
            <c:ext xmlns:c16="http://schemas.microsoft.com/office/drawing/2014/chart" uri="{C3380CC4-5D6E-409C-BE32-E72D297353CC}">
              <c16:uniqueId val="{00000000-B1AB-4074-B407-214E1C5DE864}"/>
            </c:ext>
          </c:extLst>
        </c:ser>
        <c:dLbls>
          <c:showLegendKey val="0"/>
          <c:showVal val="0"/>
          <c:showCatName val="0"/>
          <c:showSerName val="0"/>
          <c:showPercent val="0"/>
          <c:showBubbleSize val="0"/>
          <c:showLeaderLines val="1"/>
        </c:dLbls>
        <c:firstSliceAng val="0"/>
        <c:holeSize val="60"/>
      </c:doughnutChart>
      <c:spPr>
        <a:noFill/>
        <a:ln>
          <a:noFill/>
        </a:ln>
        <a:effectLst/>
      </c:spPr>
    </c:plotArea>
    <c:legend>
      <c:legendPos val="b"/>
      <c:layout>
        <c:manualLayout>
          <c:xMode val="edge"/>
          <c:yMode val="edge"/>
          <c:x val="0.51063686588617008"/>
          <c:y val="0.4462027648941142"/>
          <c:w val="0.2930573782443861"/>
          <c:h val="0.4188763904511935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VIC" panose="00000500000000000000" pitchFamily="2"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874813387969686"/>
          <c:y val="6.8561046223184582E-2"/>
          <c:w val="0.29100730415955345"/>
          <c:h val="0.80848038772526731"/>
        </c:manualLayout>
      </c:layout>
      <c:doughnut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716-4D7C-B6DB-7C45331C0A1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716-4D7C-B6DB-7C45331C0A1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6716-4D7C-B6DB-7C45331C0A1E}"/>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1-144A-4FE3-9819-50B0DFDB685C}"/>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6716-4D7C-B6DB-7C45331C0A1E}"/>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2-144A-4FE3-9819-50B0DFDB685C}"/>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3-144A-4FE3-9819-50B0DFDB685C}"/>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4-144A-4FE3-9819-50B0DFDB685C}"/>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6716-4D7C-B6DB-7C45331C0A1E}"/>
              </c:ext>
            </c:extLst>
          </c:dPt>
          <c:dLbls>
            <c:dLbl>
              <c:idx val="3"/>
              <c:layout>
                <c:manualLayout>
                  <c:x val="-5.2414071162181233E-2"/>
                  <c:y val="-6.13653796982868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44A-4FE3-9819-50B0DFDB685C}"/>
                </c:ext>
              </c:extLst>
            </c:dLbl>
            <c:dLbl>
              <c:idx val="5"/>
              <c:layout>
                <c:manualLayout>
                  <c:x val="-5.4429996976111276E-2"/>
                  <c:y val="-9.15612865669864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44A-4FE3-9819-50B0DFDB685C}"/>
                </c:ext>
              </c:extLst>
            </c:dLbl>
            <c:dLbl>
              <c:idx val="6"/>
              <c:layout>
                <c:manualLayout>
                  <c:x val="4.031851627860095E-3"/>
                  <c:y val="0.1268649245783508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44A-4FE3-9819-50B0DFDB685C}"/>
                </c:ext>
              </c:extLst>
            </c:dLbl>
            <c:dLbl>
              <c:idx val="7"/>
              <c:layout>
                <c:manualLayout>
                  <c:x val="-8.06370325572019E-3"/>
                  <c:y val="-0.1073894144720020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44A-4FE3-9819-50B0DFDB685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VIC" panose="00000500000000000000" pitchFamily="2" charset="0"/>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Sheet1!$A$2:$A$10</c:f>
              <c:strCache>
                <c:ptCount val="9"/>
                <c:pt idx="0">
                  <c:v>Harm - death</c:v>
                </c:pt>
                <c:pt idx="1">
                  <c:v>Harm - permanent reduction in functioning</c:v>
                </c:pt>
                <c:pt idx="2">
                  <c:v>Harm – temporary reduction in functioning</c:v>
                </c:pt>
                <c:pt idx="3">
                  <c:v>Harm – significantly inconvenienced</c:v>
                </c:pt>
                <c:pt idx="4">
                  <c:v>Harm – permanent loss of functioning</c:v>
                </c:pt>
                <c:pt idx="5">
                  <c:v>Harm – temporary loss of functioning</c:v>
                </c:pt>
                <c:pt idx="6">
                  <c:v>Harm – but no loss/reduction in functioning</c:v>
                </c:pt>
                <c:pt idx="7">
                  <c:v>No harm</c:v>
                </c:pt>
                <c:pt idx="8">
                  <c:v>Unknown</c:v>
                </c:pt>
              </c:strCache>
            </c:strRef>
          </c:cat>
          <c:val>
            <c:numRef>
              <c:f>Sheet1!$B$2:$B$10</c:f>
              <c:numCache>
                <c:formatCode>General</c:formatCode>
                <c:ptCount val="9"/>
                <c:pt idx="0">
                  <c:v>86</c:v>
                </c:pt>
                <c:pt idx="1">
                  <c:v>5</c:v>
                </c:pt>
                <c:pt idx="2">
                  <c:v>7</c:v>
                </c:pt>
                <c:pt idx="3">
                  <c:v>3</c:v>
                </c:pt>
                <c:pt idx="4">
                  <c:v>9</c:v>
                </c:pt>
                <c:pt idx="5">
                  <c:v>2</c:v>
                </c:pt>
                <c:pt idx="6">
                  <c:v>3</c:v>
                </c:pt>
                <c:pt idx="7">
                  <c:v>1</c:v>
                </c:pt>
                <c:pt idx="8">
                  <c:v>5</c:v>
                </c:pt>
              </c:numCache>
            </c:numRef>
          </c:val>
          <c:extLst>
            <c:ext xmlns:c16="http://schemas.microsoft.com/office/drawing/2014/chart" uri="{C3380CC4-5D6E-409C-BE32-E72D297353CC}">
              <c16:uniqueId val="{00000000-144A-4FE3-9819-50B0DFDB685C}"/>
            </c:ext>
          </c:extLst>
        </c:ser>
        <c:dLbls>
          <c:showLegendKey val="0"/>
          <c:showVal val="1"/>
          <c:showCatName val="0"/>
          <c:showSerName val="0"/>
          <c:showPercent val="0"/>
          <c:showBubbleSize val="0"/>
          <c:showLeaderLines val="1"/>
        </c:dLbls>
        <c:firstSliceAng val="0"/>
        <c:holeSize val="60"/>
      </c:doughnutChart>
      <c:spPr>
        <a:noFill/>
        <a:ln>
          <a:noFill/>
        </a:ln>
        <a:effectLst/>
      </c:spPr>
    </c:plotArea>
    <c:legend>
      <c:legendPos val="b"/>
      <c:layout>
        <c:manualLayout>
          <c:xMode val="edge"/>
          <c:yMode val="edge"/>
          <c:x val="0.47405543161051045"/>
          <c:y val="0.18624110876449826"/>
          <c:w val="0.4674827197855182"/>
          <c:h val="0.6015961441281102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VIC" panose="00000500000000000000" pitchFamily="2"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524629613315266"/>
          <c:y val="5.7665754536213622E-2"/>
          <c:w val="0.29881354035462837"/>
          <c:h val="0.8301677776136287"/>
        </c:manualLayout>
      </c:layout>
      <c:doughnut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4DA-421E-BE64-1478B62BE24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4DA-421E-BE64-1478B62BE24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4DA-421E-BE64-1478B62BE241}"/>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84DA-421E-BE64-1478B62BE241}"/>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84DA-421E-BE64-1478B62BE241}"/>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84DA-421E-BE64-1478B62BE241}"/>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84DA-421E-BE64-1478B62BE241}"/>
              </c:ext>
            </c:extLst>
          </c:dPt>
          <c:dLbls>
            <c:dLbl>
              <c:idx val="3"/>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VIC" panose="00000500000000000000" pitchFamily="2" charset="0"/>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7-84DA-421E-BE64-1478B62BE241}"/>
                </c:ext>
              </c:extLst>
            </c:dLbl>
            <c:dLbl>
              <c:idx val="6"/>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VIC" panose="00000500000000000000" pitchFamily="2" charset="0"/>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D-84DA-421E-BE64-1478B62BE24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VIC" panose="00000500000000000000" pitchFamily="2" charset="0"/>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Sheet1!$A$2:$A$8</c:f>
              <c:strCache>
                <c:ptCount val="6"/>
                <c:pt idx="0">
                  <c:v>Metro</c:v>
                </c:pt>
                <c:pt idx="1">
                  <c:v>Sub regional</c:v>
                </c:pt>
                <c:pt idx="2">
                  <c:v>Regional</c:v>
                </c:pt>
                <c:pt idx="3">
                  <c:v>Rural</c:v>
                </c:pt>
                <c:pt idx="4">
                  <c:v>Local</c:v>
                </c:pt>
                <c:pt idx="5">
                  <c:v>Other</c:v>
                </c:pt>
              </c:strCache>
            </c:strRef>
          </c:cat>
          <c:val>
            <c:numRef>
              <c:f>Sheet1!$B$2:$B$8</c:f>
              <c:numCache>
                <c:formatCode>General</c:formatCode>
                <c:ptCount val="7"/>
                <c:pt idx="0">
                  <c:v>61</c:v>
                </c:pt>
                <c:pt idx="1">
                  <c:v>12</c:v>
                </c:pt>
                <c:pt idx="2">
                  <c:v>10</c:v>
                </c:pt>
                <c:pt idx="3">
                  <c:v>4</c:v>
                </c:pt>
                <c:pt idx="4">
                  <c:v>7</c:v>
                </c:pt>
                <c:pt idx="5">
                  <c:v>5</c:v>
                </c:pt>
              </c:numCache>
            </c:numRef>
          </c:val>
          <c:extLst>
            <c:ext xmlns:c16="http://schemas.microsoft.com/office/drawing/2014/chart" uri="{C3380CC4-5D6E-409C-BE32-E72D297353CC}">
              <c16:uniqueId val="{0000000E-84DA-421E-BE64-1478B62BE241}"/>
            </c:ext>
          </c:extLst>
        </c:ser>
        <c:dLbls>
          <c:showLegendKey val="0"/>
          <c:showVal val="1"/>
          <c:showCatName val="0"/>
          <c:showSerName val="0"/>
          <c:showPercent val="0"/>
          <c:showBubbleSize val="0"/>
          <c:showLeaderLines val="1"/>
        </c:dLbls>
        <c:firstSliceAng val="0"/>
        <c:holeSize val="60"/>
      </c:doughnutChart>
      <c:spPr>
        <a:noFill/>
        <a:ln>
          <a:noFill/>
        </a:ln>
        <a:effectLst/>
      </c:spPr>
    </c:plotArea>
    <c:legend>
      <c:legendPos val="b"/>
      <c:legendEntry>
        <c:idx val="6"/>
        <c:delete val="1"/>
      </c:legendEntry>
      <c:layout>
        <c:manualLayout>
          <c:xMode val="edge"/>
          <c:yMode val="edge"/>
          <c:x val="0.46512900734701784"/>
          <c:y val="0.26991667346538278"/>
          <c:w val="0.25065325167687369"/>
          <c:h val="0.561080621013104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VIC" panose="00000500000000000000" pitchFamily="2"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591336915966847E-2"/>
          <c:y val="0.12583088111190202"/>
          <c:w val="0.35798477261706063"/>
          <c:h val="0.82748530501720841"/>
        </c:manualLayout>
      </c:layout>
      <c:doughnut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611-4EEA-A554-D8EFC72C755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611-4EEA-A554-D8EFC72C755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9611-4EEA-A554-D8EFC72C7555}"/>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1-2B05-40E3-8188-D0D201B265D7}"/>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9611-4EEA-A554-D8EFC72C7555}"/>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9611-4EEA-A554-D8EFC72C7555}"/>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2-2B05-40E3-8188-D0D201B265D7}"/>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3-2B05-40E3-8188-D0D201B265D7}"/>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04-2B05-40E3-8188-D0D201B265D7}"/>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0A-2B05-40E3-8188-D0D201B265D7}"/>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05-2B05-40E3-8188-D0D201B265D7}"/>
              </c:ext>
            </c:extLst>
          </c:dPt>
          <c:dPt>
            <c:idx val="11"/>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09-2B05-40E3-8188-D0D201B265D7}"/>
              </c:ext>
            </c:extLst>
          </c:dPt>
          <c:dPt>
            <c:idx val="12"/>
            <c:bubble3D val="0"/>
            <c:spPr>
              <a:solidFill>
                <a:schemeClr val="accent1">
                  <a:lumMod val="80000"/>
                  <a:lumOff val="20000"/>
                </a:schemeClr>
              </a:solidFill>
              <a:ln w="19050">
                <a:solidFill>
                  <a:schemeClr val="lt1"/>
                </a:solidFill>
              </a:ln>
              <a:effectLst/>
            </c:spPr>
            <c:extLst>
              <c:ext xmlns:c16="http://schemas.microsoft.com/office/drawing/2014/chart" uri="{C3380CC4-5D6E-409C-BE32-E72D297353CC}">
                <c16:uniqueId val="{00000008-2B05-40E3-8188-D0D201B265D7}"/>
              </c:ext>
            </c:extLst>
          </c:dPt>
          <c:dPt>
            <c:idx val="13"/>
            <c:bubble3D val="0"/>
            <c:spPr>
              <a:solidFill>
                <a:schemeClr val="accent2">
                  <a:lumMod val="80000"/>
                  <a:lumOff val="20000"/>
                </a:schemeClr>
              </a:solidFill>
              <a:ln w="19050">
                <a:solidFill>
                  <a:schemeClr val="lt1"/>
                </a:solidFill>
              </a:ln>
              <a:effectLst/>
            </c:spPr>
            <c:extLst>
              <c:ext xmlns:c16="http://schemas.microsoft.com/office/drawing/2014/chart" uri="{C3380CC4-5D6E-409C-BE32-E72D297353CC}">
                <c16:uniqueId val="{00000007-2B05-40E3-8188-D0D201B265D7}"/>
              </c:ext>
            </c:extLst>
          </c:dPt>
          <c:dPt>
            <c:idx val="14"/>
            <c:bubble3D val="0"/>
            <c:spPr>
              <a:solidFill>
                <a:schemeClr val="accent3">
                  <a:lumMod val="80000"/>
                  <a:lumOff val="20000"/>
                </a:schemeClr>
              </a:solidFill>
              <a:ln w="19050">
                <a:solidFill>
                  <a:schemeClr val="lt1"/>
                </a:solidFill>
              </a:ln>
              <a:effectLst/>
            </c:spPr>
            <c:extLst>
              <c:ext xmlns:c16="http://schemas.microsoft.com/office/drawing/2014/chart" uri="{C3380CC4-5D6E-409C-BE32-E72D297353CC}">
                <c16:uniqueId val="{00000006-2B05-40E3-8188-D0D201B265D7}"/>
              </c:ext>
            </c:extLst>
          </c:dPt>
          <c:dLbls>
            <c:dLbl>
              <c:idx val="3"/>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VIC" panose="00000500000000000000" pitchFamily="2" charset="0"/>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1-2B05-40E3-8188-D0D201B265D7}"/>
                </c:ext>
              </c:extLst>
            </c:dLbl>
            <c:dLbl>
              <c:idx val="6"/>
              <c:layout>
                <c:manualLayout>
                  <c:x val="-4.2334442092531004E-2"/>
                  <c:y val="-3.36040324838980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B05-40E3-8188-D0D201B265D7}"/>
                </c:ext>
              </c:extLst>
            </c:dLbl>
            <c:dLbl>
              <c:idx val="7"/>
              <c:layout>
                <c:manualLayout>
                  <c:x val="-5.4429996976111276E-2"/>
                  <c:y val="-6.348893014654621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B05-40E3-8188-D0D201B265D7}"/>
                </c:ext>
              </c:extLst>
            </c:dLbl>
            <c:dLbl>
              <c:idx val="8"/>
              <c:layout>
                <c:manualLayout>
                  <c:x val="-5.0398145348251183E-2"/>
                  <c:y val="-7.840956623199361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B05-40E3-8188-D0D201B265D7}"/>
                </c:ext>
              </c:extLst>
            </c:dLbl>
            <c:dLbl>
              <c:idx val="9"/>
              <c:layout>
                <c:manualLayout>
                  <c:x val="-4.2334442092531011E-2"/>
                  <c:y val="-0.1101316494338487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2B05-40E3-8188-D0D201B265D7}"/>
                </c:ext>
              </c:extLst>
            </c:dLbl>
            <c:dLbl>
              <c:idx val="10"/>
              <c:layout>
                <c:manualLayout>
                  <c:x val="-3.2254813022880774E-2"/>
                  <c:y val="-0.1213332257046620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B05-40E3-8188-D0D201B265D7}"/>
                </c:ext>
              </c:extLst>
            </c:dLbl>
            <c:dLbl>
              <c:idx val="11"/>
              <c:layout>
                <c:manualLayout>
                  <c:x val="-2.217518395323052E-2"/>
                  <c:y val="-0.131593662628145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B05-40E3-8188-D0D201B265D7}"/>
                </c:ext>
              </c:extLst>
            </c:dLbl>
            <c:dLbl>
              <c:idx val="12"/>
              <c:layout>
                <c:manualLayout>
                  <c:x val="-1.0079629069650237E-2"/>
                  <c:y val="-0.1306528901967403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B05-40E3-8188-D0D201B265D7}"/>
                </c:ext>
              </c:extLst>
            </c:dLbl>
            <c:dLbl>
              <c:idx val="13"/>
              <c:layout>
                <c:manualLayout>
                  <c:x val="2.0159258139300475E-3"/>
                  <c:y val="-0.1288154578549425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B05-40E3-8188-D0D201B265D7}"/>
                </c:ext>
              </c:extLst>
            </c:dLbl>
            <c:dLbl>
              <c:idx val="14"/>
              <c:layout>
                <c:manualLayout>
                  <c:x val="2.419110976716057E-2"/>
                  <c:y val="-0.1120134416129935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B05-40E3-8188-D0D201B265D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VIC" panose="00000500000000000000" pitchFamily="2"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extLst>
          </c:dLbls>
          <c:cat>
            <c:strRef>
              <c:f>Sheet1!$A$2:$A$16</c:f>
              <c:strCache>
                <c:ptCount val="15"/>
                <c:pt idx="0">
                  <c:v>Patient room</c:v>
                </c:pt>
                <c:pt idx="1">
                  <c:v>Operating theatre</c:v>
                </c:pt>
                <c:pt idx="2">
                  <c:v>Ward</c:v>
                </c:pt>
                <c:pt idx="3">
                  <c:v>Emergency department</c:v>
                </c:pt>
                <c:pt idx="4">
                  <c:v>Community</c:v>
                </c:pt>
                <c:pt idx="5">
                  <c:v>Intensive care unit</c:v>
                </c:pt>
                <c:pt idx="6">
                  <c:v>Birth suite</c:v>
                </c:pt>
                <c:pt idx="7">
                  <c:v>Other</c:v>
                </c:pt>
                <c:pt idx="8">
                  <c:v>Ambulance</c:v>
                </c:pt>
                <c:pt idx="9">
                  <c:v>Patient bathroom</c:v>
                </c:pt>
                <c:pt idx="10">
                  <c:v>Hospital grounds</c:v>
                </c:pt>
                <c:pt idx="11">
                  <c:v>Medical imaging</c:v>
                </c:pt>
                <c:pt idx="12">
                  <c:v>Outpatients clinic</c:v>
                </c:pt>
                <c:pt idx="13">
                  <c:v>Cardiac catheter lab</c:v>
                </c:pt>
                <c:pt idx="14">
                  <c:v>Unknown</c:v>
                </c:pt>
              </c:strCache>
            </c:strRef>
          </c:cat>
          <c:val>
            <c:numRef>
              <c:f>Sheet1!$B$2:$B$16</c:f>
              <c:numCache>
                <c:formatCode>0</c:formatCode>
                <c:ptCount val="15"/>
                <c:pt idx="0">
                  <c:v>26</c:v>
                </c:pt>
                <c:pt idx="1">
                  <c:v>23</c:v>
                </c:pt>
                <c:pt idx="2">
                  <c:v>17</c:v>
                </c:pt>
                <c:pt idx="3">
                  <c:v>14</c:v>
                </c:pt>
                <c:pt idx="4">
                  <c:v>10</c:v>
                </c:pt>
                <c:pt idx="5">
                  <c:v>8</c:v>
                </c:pt>
                <c:pt idx="6">
                  <c:v>4</c:v>
                </c:pt>
                <c:pt idx="7">
                  <c:v>5</c:v>
                </c:pt>
                <c:pt idx="8">
                  <c:v>3</c:v>
                </c:pt>
                <c:pt idx="9">
                  <c:v>3</c:v>
                </c:pt>
                <c:pt idx="10">
                  <c:v>2</c:v>
                </c:pt>
                <c:pt idx="11">
                  <c:v>2</c:v>
                </c:pt>
                <c:pt idx="12">
                  <c:v>2</c:v>
                </c:pt>
                <c:pt idx="13">
                  <c:v>1</c:v>
                </c:pt>
                <c:pt idx="14">
                  <c:v>1</c:v>
                </c:pt>
              </c:numCache>
            </c:numRef>
          </c:val>
          <c:extLst>
            <c:ext xmlns:c16="http://schemas.microsoft.com/office/drawing/2014/chart" uri="{C3380CC4-5D6E-409C-BE32-E72D297353CC}">
              <c16:uniqueId val="{00000000-2B05-40E3-8188-D0D201B265D7}"/>
            </c:ext>
          </c:extLst>
        </c:ser>
        <c:dLbls>
          <c:showLegendKey val="0"/>
          <c:showVal val="1"/>
          <c:showCatName val="0"/>
          <c:showSerName val="0"/>
          <c:showPercent val="0"/>
          <c:showBubbleSize val="0"/>
          <c:showLeaderLines val="0"/>
        </c:dLbls>
        <c:firstSliceAng val="0"/>
        <c:holeSize val="60"/>
      </c:doughnutChart>
      <c:spPr>
        <a:noFill/>
        <a:ln>
          <a:noFill/>
        </a:ln>
        <a:effectLst/>
      </c:spPr>
    </c:plotArea>
    <c:legend>
      <c:legendPos val="b"/>
      <c:layout>
        <c:manualLayout>
          <c:xMode val="edge"/>
          <c:yMode val="edge"/>
          <c:x val="0.4513989652109936"/>
          <c:y val="0.3175305090591542"/>
          <c:w val="0.54675336735009727"/>
          <c:h val="0.6094386759482004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VIC" panose="00000500000000000000" pitchFamily="2"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8769047125837419E-2"/>
          <c:y val="6.8163707203919593E-2"/>
          <c:w val="0.41522341458149303"/>
          <c:h val="0.81734751906011749"/>
        </c:manualLayout>
      </c:layout>
      <c:doughnut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000-4B44-82FD-F0652A273D7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000-4B44-82FD-F0652A273D7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B000-4B44-82FD-F0652A273D76}"/>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1-0D62-48AA-986A-B416665C52B6}"/>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B000-4B44-82FD-F0652A273D76}"/>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B000-4B44-82FD-F0652A273D76}"/>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2-0D62-48AA-986A-B416665C52B6}"/>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3-0D62-48AA-986A-B416665C52B6}"/>
              </c:ext>
            </c:extLst>
          </c:dPt>
          <c:dLbls>
            <c:dLbl>
              <c:idx val="3"/>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VIC" panose="00000500000000000000" pitchFamily="2" charset="0"/>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1-0D62-48AA-986A-B416665C52B6}"/>
                </c:ext>
              </c:extLst>
            </c:dLbl>
            <c:dLbl>
              <c:idx val="6"/>
              <c:layout>
                <c:manualLayout>
                  <c:x val="-1.8143332325370427E-2"/>
                  <c:y val="-0.1176141136936432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D62-48AA-986A-B416665C52B6}"/>
                </c:ext>
              </c:extLst>
            </c:dLbl>
            <c:dLbl>
              <c:idx val="7"/>
              <c:layout>
                <c:manualLayout>
                  <c:x val="-2.0159258139300475E-3"/>
                  <c:y val="-0.1176141136936432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D62-48AA-986A-B416665C52B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VIC" panose="00000500000000000000" pitchFamily="2" charset="0"/>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Sheet1!$A$2:$A$9</c:f>
              <c:strCache>
                <c:ptCount val="8"/>
                <c:pt idx="0">
                  <c:v>Clinical process/procedure</c:v>
                </c:pt>
                <c:pt idx="1">
                  <c:v>Deteriorating patient</c:v>
                </c:pt>
                <c:pt idx="2">
                  <c:v>Falls</c:v>
                </c:pt>
                <c:pt idx="3">
                  <c:v>Behaviour</c:v>
                </c:pt>
                <c:pt idx="4">
                  <c:v>Medication/intravenous fluids</c:v>
                </c:pt>
                <c:pt idx="5">
                  <c:v>Clinical administration</c:v>
                </c:pt>
                <c:pt idx="6">
                  <c:v>Nutrition</c:v>
                </c:pt>
                <c:pt idx="7">
                  <c:v>Medical device/equipment</c:v>
                </c:pt>
              </c:strCache>
            </c:strRef>
          </c:cat>
          <c:val>
            <c:numRef>
              <c:f>Sheet1!$B$2:$B$9</c:f>
              <c:numCache>
                <c:formatCode>General</c:formatCode>
                <c:ptCount val="8"/>
                <c:pt idx="0">
                  <c:v>38</c:v>
                </c:pt>
                <c:pt idx="1">
                  <c:v>19</c:v>
                </c:pt>
                <c:pt idx="2">
                  <c:v>17</c:v>
                </c:pt>
                <c:pt idx="3">
                  <c:v>8</c:v>
                </c:pt>
                <c:pt idx="4">
                  <c:v>6</c:v>
                </c:pt>
                <c:pt idx="5">
                  <c:v>5</c:v>
                </c:pt>
                <c:pt idx="6">
                  <c:v>2</c:v>
                </c:pt>
                <c:pt idx="7">
                  <c:v>4</c:v>
                </c:pt>
              </c:numCache>
            </c:numRef>
          </c:val>
          <c:extLst>
            <c:ext xmlns:c16="http://schemas.microsoft.com/office/drawing/2014/chart" uri="{C3380CC4-5D6E-409C-BE32-E72D297353CC}">
              <c16:uniqueId val="{00000000-0D62-48AA-986A-B416665C52B6}"/>
            </c:ext>
          </c:extLst>
        </c:ser>
        <c:dLbls>
          <c:showLegendKey val="0"/>
          <c:showVal val="1"/>
          <c:showCatName val="0"/>
          <c:showSerName val="0"/>
          <c:showPercent val="0"/>
          <c:showBubbleSize val="0"/>
          <c:showLeaderLines val="1"/>
        </c:dLbls>
        <c:firstSliceAng val="0"/>
        <c:holeSize val="60"/>
      </c:doughnutChart>
      <c:spPr>
        <a:noFill/>
        <a:ln>
          <a:noFill/>
        </a:ln>
        <a:effectLst/>
      </c:spPr>
    </c:plotArea>
    <c:legend>
      <c:legendPos val="b"/>
      <c:layout>
        <c:manualLayout>
          <c:xMode val="edge"/>
          <c:yMode val="edge"/>
          <c:x val="0.49874957042525719"/>
          <c:y val="0.23516869268406698"/>
          <c:w val="0.34520824751759371"/>
          <c:h val="0.6588429571303586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VIC" panose="00000500000000000000" pitchFamily="2"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040061366686587"/>
          <c:y val="9.5211425371044531E-2"/>
          <c:w val="0.29755160254197133"/>
          <c:h val="0.82666184509070217"/>
        </c:manualLayout>
      </c:layout>
      <c:doughnut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899-4440-8A6B-3F02DCB1C12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899-4440-8A6B-3F02DCB1C127}"/>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3899-4440-8A6B-3F02DCB1C127}"/>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VIC" panose="00000500000000000000" pitchFamily="2" charset="0"/>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1-3899-4440-8A6B-3F02DCB1C12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VIC" panose="00000500000000000000" pitchFamily="2" charset="0"/>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&lt;30 working days</c:v>
                </c:pt>
                <c:pt idx="1">
                  <c:v>&gt;30 working days</c:v>
                </c:pt>
                <c:pt idx="2">
                  <c:v>Report not received</c:v>
                </c:pt>
              </c:strCache>
            </c:strRef>
          </c:cat>
          <c:val>
            <c:numRef>
              <c:f>Sheet1!$B$2:$B$4</c:f>
              <c:numCache>
                <c:formatCode>General</c:formatCode>
                <c:ptCount val="3"/>
                <c:pt idx="0">
                  <c:v>43</c:v>
                </c:pt>
                <c:pt idx="1">
                  <c:v>77</c:v>
                </c:pt>
                <c:pt idx="2">
                  <c:v>1</c:v>
                </c:pt>
              </c:numCache>
            </c:numRef>
          </c:val>
          <c:extLst>
            <c:ext xmlns:c16="http://schemas.microsoft.com/office/drawing/2014/chart" uri="{C3380CC4-5D6E-409C-BE32-E72D297353CC}">
              <c16:uniqueId val="{00000000-FCB0-4CA6-9132-759F53739C6D}"/>
            </c:ext>
          </c:extLst>
        </c:ser>
        <c:dLbls>
          <c:showLegendKey val="0"/>
          <c:showVal val="1"/>
          <c:showCatName val="0"/>
          <c:showSerName val="0"/>
          <c:showPercent val="0"/>
          <c:showBubbleSize val="0"/>
          <c:showLeaderLines val="1"/>
        </c:dLbls>
        <c:firstSliceAng val="0"/>
        <c:holeSize val="60"/>
      </c:doughnutChart>
      <c:spPr>
        <a:noFill/>
        <a:ln>
          <a:noFill/>
        </a:ln>
        <a:effectLst/>
      </c:spPr>
    </c:plotArea>
    <c:legend>
      <c:legendPos val="b"/>
      <c:layout>
        <c:manualLayout>
          <c:xMode val="edge"/>
          <c:yMode val="edge"/>
          <c:x val="0.44320779829947937"/>
          <c:y val="0.44581614360652411"/>
          <c:w val="0.29703365246867575"/>
          <c:h val="0.3973650381352848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VIC" panose="00000500000000000000" pitchFamily="2"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4637223FD2C847BBBE44587E66DE4B52"/>
        <w:category>
          <w:name w:val="General"/>
          <w:gallery w:val="placeholder"/>
        </w:category>
        <w:types>
          <w:type w:val="bbPlcHdr"/>
        </w:types>
        <w:behaviors>
          <w:behavior w:val="content"/>
        </w:behaviors>
        <w:guid w:val="{9CA6B666-CE6F-4569-8061-98773B0D1BC1}"/>
      </w:docPartPr>
      <w:docPartBody>
        <w:p w:rsidR="009933BC" w:rsidRDefault="000E0C2D">
          <w:pPr>
            <w:pStyle w:val="4637223FD2C847BBBE44587E66DE4B52"/>
          </w:pPr>
          <w:r w:rsidRPr="006C5876">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VIC">
    <w:panose1 w:val="00000500000000000000"/>
    <w:charset w:val="00"/>
    <w:family w:val="auto"/>
    <w:pitch w:val="variable"/>
    <w:sig w:usb0="00000007" w:usb1="00000000" w:usb2="00000000" w:usb3="00000000" w:csb0="00000093" w:csb1="00000000"/>
  </w:font>
  <w:font w:name="Arial">
    <w:panose1 w:val="020B0604020202020204"/>
    <w:charset w:val="00"/>
    <w:family w:val="swiss"/>
    <w:pitch w:val="variable"/>
    <w:sig w:usb0="E0002AFF" w:usb1="C0007843" w:usb2="00000009" w:usb3="00000000" w:csb0="000001FF" w:csb1="00000000"/>
  </w:font>
  <w:font w:name="VIC SemiBold">
    <w:panose1 w:val="00000700000000000000"/>
    <w:charset w:val="00"/>
    <w:family w:val="auto"/>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IC Medium">
    <w:panose1 w:val="00000600000000000000"/>
    <w:charset w:val="00"/>
    <w:family w:val="auto"/>
    <w:pitch w:val="variable"/>
    <w:sig w:usb0="00000007" w:usb1="00000000" w:usb2="00000000" w:usb3="00000000" w:csb0="00000093"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0C2D"/>
    <w:rsid w:val="000E0C2D"/>
    <w:rsid w:val="002E3F15"/>
    <w:rsid w:val="003B6D56"/>
    <w:rsid w:val="009559C0"/>
    <w:rsid w:val="009933BC"/>
    <w:rsid w:val="00A02C50"/>
    <w:rsid w:val="00A06A23"/>
    <w:rsid w:val="00D01292"/>
    <w:rsid w:val="00F47F5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1"/>
    <w:semiHidden/>
    <w:rsid w:val="000E0C2D"/>
    <w:rPr>
      <w:color w:val="808080"/>
    </w:rPr>
  </w:style>
  <w:style w:type="paragraph" w:customStyle="1" w:styleId="4637223FD2C847BBBE44587E66DE4B52">
    <w:name w:val="4637223FD2C847BBBE44587E66DE4B52"/>
  </w:style>
  <w:style w:type="paragraph" w:customStyle="1" w:styleId="F550E59C3DBD420DB94D6729F84CF813">
    <w:name w:val="F550E59C3DBD420DB94D6729F84CF813"/>
  </w:style>
  <w:style w:type="paragraph" w:customStyle="1" w:styleId="F28C267A411542C28D46FB0248447BA4">
    <w:name w:val="F28C267A411542C28D46FB0248447BA4"/>
  </w:style>
  <w:style w:type="paragraph" w:customStyle="1" w:styleId="1454DDEB26A74E3185D2F2DA0BEAFCC9">
    <w:name w:val="1454DDEB26A74E3185D2F2DA0BEAFCC9"/>
    <w:rsid w:val="000E0C2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SCV">
      <a:dk1>
        <a:srgbClr val="000000"/>
      </a:dk1>
      <a:lt1>
        <a:srgbClr val="FFFFFF"/>
      </a:lt1>
      <a:dk2>
        <a:srgbClr val="007586"/>
      </a:dk2>
      <a:lt2>
        <a:srgbClr val="EDF5F7"/>
      </a:lt2>
      <a:accent1>
        <a:srgbClr val="4098A4"/>
      </a:accent1>
      <a:accent2>
        <a:srgbClr val="80BAC3"/>
      </a:accent2>
      <a:accent3>
        <a:srgbClr val="BFDDE1"/>
      </a:accent3>
      <a:accent4>
        <a:srgbClr val="404050"/>
      </a:accent4>
      <a:accent5>
        <a:srgbClr val="80808B"/>
      </a:accent5>
      <a:accent6>
        <a:srgbClr val="CCCCD0"/>
      </a:accent6>
      <a:hlink>
        <a:srgbClr val="000000"/>
      </a:hlink>
      <a:folHlink>
        <a:srgbClr val="007586"/>
      </a:folHlink>
    </a:clrScheme>
    <a:fontScheme name="Arial">
      <a:majorFont>
        <a:latin typeface="Arial" panose="020F0302020204030204"/>
        <a:ea typeface="Arial"/>
        <a:cs typeface="Arial"/>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panose="020F0502020204030204"/>
        <a:ea typeface="Arial"/>
        <a:cs typeface="Arial"/>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A054EE38454C4429E3D01CC7B83C0B1" ma:contentTypeVersion="8" ma:contentTypeDescription="Create a new document." ma:contentTypeScope="" ma:versionID="c8513b4f65fe8cf2fb0295d5598b3e1a">
  <xsd:schema xmlns:xsd="http://www.w3.org/2001/XMLSchema" xmlns:xs="http://www.w3.org/2001/XMLSchema" xmlns:p="http://schemas.microsoft.com/office/2006/metadata/properties" xmlns:ns2="0624401a-c4c2-44cc-9627-8648697106b6" xmlns:ns3="fe95f1c2-5015-413f-9381-b309d1a9e95a" targetNamespace="http://schemas.microsoft.com/office/2006/metadata/properties" ma:root="true" ma:fieldsID="9002fd202397b5255e1b62988361756e" ns2:_="" ns3:_="">
    <xsd:import namespace="0624401a-c4c2-44cc-9627-8648697106b6"/>
    <xsd:import namespace="fe95f1c2-5015-413f-9381-b309d1a9e95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24401a-c4c2-44cc-9627-8648697106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e95f1c2-5015-413f-9381-b309d1a9e95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B04101-90F1-44D6-B512-BF3281433A97}">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fe95f1c2-5015-413f-9381-b309d1a9e95a"/>
    <ds:schemaRef ds:uri="0624401a-c4c2-44cc-9627-8648697106b6"/>
    <ds:schemaRef ds:uri="http://www.w3.org/XML/1998/namespace"/>
    <ds:schemaRef ds:uri="http://purl.org/dc/dcmitype/"/>
  </ds:schemaRefs>
</ds:datastoreItem>
</file>

<file path=customXml/itemProps2.xml><?xml version="1.0" encoding="utf-8"?>
<ds:datastoreItem xmlns:ds="http://schemas.openxmlformats.org/officeDocument/2006/customXml" ds:itemID="{89540B37-41E3-477F-A5BB-A195C276B244}">
  <ds:schemaRefs>
    <ds:schemaRef ds:uri="http://schemas.microsoft.com/sharepoint/v3/contenttype/forms"/>
  </ds:schemaRefs>
</ds:datastoreItem>
</file>

<file path=customXml/itemProps3.xml><?xml version="1.0" encoding="utf-8"?>
<ds:datastoreItem xmlns:ds="http://schemas.openxmlformats.org/officeDocument/2006/customXml" ds:itemID="{CB6116A0-4FB0-4DA4-B452-B464748919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24401a-c4c2-44cc-9627-8648697106b6"/>
    <ds:schemaRef ds:uri="fe95f1c2-5015-413f-9381-b309d1a9e9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34B21D9-0349-4CF3-97E5-0D5E7460B7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no image.dotx</Template>
  <TotalTime>3</TotalTime>
  <Pages>36</Pages>
  <Words>7039</Words>
  <Characters>40124</Characters>
  <Application>Microsoft Office Word</Application>
  <DocSecurity>0</DocSecurity>
  <Lines>334</Lines>
  <Paragraphs>94</Paragraphs>
  <ScaleCrop>false</ScaleCrop>
  <HeadingPairs>
    <vt:vector size="2" baseType="variant">
      <vt:variant>
        <vt:lpstr>Title</vt:lpstr>
      </vt:variant>
      <vt:variant>
        <vt:i4>1</vt:i4>
      </vt:variant>
    </vt:vector>
  </HeadingPairs>
  <TitlesOfParts>
    <vt:vector size="1" baseType="lpstr">
      <vt:lpstr>Putting patient safety first</vt:lpstr>
    </vt:vector>
  </TitlesOfParts>
  <Company>Department of Treasury and Finance</Company>
  <LinksUpToDate>false</LinksUpToDate>
  <CharactersWithSpaces>47069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Putting patient safety first</dc:title>
  <dc:subject/>
  <dc:creator>Emma Gumbleton (DHHS)</dc:creator>
  <cp:keywords/>
  <dc:description/>
  <cp:lastModifiedBy>Emma Gumbleton (DHHS)</cp:lastModifiedBy>
  <cp:revision>3</cp:revision>
  <cp:lastPrinted>2020-01-29T23:54:00Z</cp:lastPrinted>
  <dcterms:created xsi:type="dcterms:W3CDTF">2020-01-29T23:54:00Z</dcterms:created>
  <dcterms:modified xsi:type="dcterms:W3CDTF">2020-01-29T23:56:00Z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346754aa-f64f-4676-8998-5678c96f0a97</vt:lpwstr>
  </property>
  <property fmtid="{D5CDD505-2E9C-101B-9397-08002B2CF9AE}" pid="3" name="PSPFClassification">
    <vt:lpwstr>Do Not Mark</vt:lpwstr>
  </property>
  <property fmtid="{D5CDD505-2E9C-101B-9397-08002B2CF9AE}" pid="4" name="ContentTypeId">
    <vt:lpwstr>0x0101005A054EE38454C4429E3D01CC7B83C0B1</vt:lpwstr>
  </property>
</Properties>
</file>