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theme/themeOverride1.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2.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3.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4.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5.xml" ContentType="application/vnd.openxmlformats-officedocument.themeOverride+xml"/>
  <Override PartName="/word/charts/chart12.xml" ContentType="application/vnd.openxmlformats-officedocument.drawingml.chart+xml"/>
  <Override PartName="/word/theme/themeOverride6.xml" ContentType="application/vnd.openxmlformats-officedocument.themeOverride+xml"/>
  <Override PartName="/word/drawings/drawing11.xml" ContentType="application/vnd.openxmlformats-officedocument.drawingml.chartshapes+xml"/>
  <Override PartName="/word/charts/chart13.xml" ContentType="application/vnd.openxmlformats-officedocument.drawingml.chart+xml"/>
  <Override PartName="/word/theme/themeOverride7.xml" ContentType="application/vnd.openxmlformats-officedocument.themeOverride+xml"/>
  <Override PartName="/word/drawings/drawing12.xml" ContentType="application/vnd.openxmlformats-officedocument.drawingml.chartshapes+xml"/>
  <Override PartName="/word/charts/chart14.xml" ContentType="application/vnd.openxmlformats-officedocument.drawingml.chart+xml"/>
  <Override PartName="/word/theme/themeOverride8.xml" ContentType="application/vnd.openxmlformats-officedocument.themeOverride+xml"/>
  <Override PartName="/word/drawings/drawing13.xml" ContentType="application/vnd.openxmlformats-officedocument.drawingml.chartshapes+xml"/>
  <Override PartName="/word/charts/chart15.xml" ContentType="application/vnd.openxmlformats-officedocument.drawingml.chart+xml"/>
  <Override PartName="/word/theme/themeOverride9.xml" ContentType="application/vnd.openxmlformats-officedocument.themeOverride+xml"/>
  <Override PartName="/word/drawings/drawing14.xml" ContentType="application/vnd.openxmlformats-officedocument.drawingml.chartshapes+xml"/>
  <Override PartName="/word/charts/chart16.xml" ContentType="application/vnd.openxmlformats-officedocument.drawingml.chart+xml"/>
  <Override PartName="/word/theme/themeOverride10.xml" ContentType="application/vnd.openxmlformats-officedocument.themeOverride+xml"/>
  <Override PartName="/word/drawings/drawing15.xml" ContentType="application/vnd.openxmlformats-officedocument.drawingml.chartshapes+xml"/>
  <Override PartName="/word/charts/chart17.xml" ContentType="application/vnd.openxmlformats-officedocument.drawingml.chart+xml"/>
  <Override PartName="/word/theme/themeOverride11.xml" ContentType="application/vnd.openxmlformats-officedocument.themeOverride+xml"/>
  <Override PartName="/word/drawings/drawing16.xml" ContentType="application/vnd.openxmlformats-officedocument.drawingml.chartshapes+xml"/>
  <Override PartName="/word/charts/chart18.xml" ContentType="application/vnd.openxmlformats-officedocument.drawingml.chart+xml"/>
  <Override PartName="/word/theme/themeOverride12.xml" ContentType="application/vnd.openxmlformats-officedocument.themeOverride+xml"/>
  <Override PartName="/word/drawings/drawing17.xml" ContentType="application/vnd.openxmlformats-officedocument.drawingml.chartshapes+xml"/>
  <Override PartName="/word/charts/chart19.xml" ContentType="application/vnd.openxmlformats-officedocument.drawingml.chart+xml"/>
  <Override PartName="/word/theme/themeOverride13.xml" ContentType="application/vnd.openxmlformats-officedocument.themeOverride+xml"/>
  <Override PartName="/word/drawings/drawing18.xml" ContentType="application/vnd.openxmlformats-officedocument.drawingml.chartshapes+xml"/>
  <Override PartName="/word/charts/chart20.xml" ContentType="application/vnd.openxmlformats-officedocument.drawingml.chart+xml"/>
  <Override PartName="/word/theme/themeOverride14.xml" ContentType="application/vnd.openxmlformats-officedocument.themeOverride+xml"/>
  <Override PartName="/word/charts/chart21.xml" ContentType="application/vnd.openxmlformats-officedocument.drawingml.chart+xml"/>
  <Override PartName="/word/theme/themeOverride15.xml" ContentType="application/vnd.openxmlformats-officedocument.themeOverride+xml"/>
  <Override PartName="/word/charts/chart22.xml" ContentType="application/vnd.openxmlformats-officedocument.drawingml.chart+xml"/>
  <Override PartName="/word/theme/themeOverride16.xml" ContentType="application/vnd.openxmlformats-officedocument.themeOverride+xml"/>
  <Override PartName="/word/drawings/drawing19.xml" ContentType="application/vnd.openxmlformats-officedocument.drawingml.chartshapes+xml"/>
  <Override PartName="/word/charts/chart23.xml" ContentType="application/vnd.openxmlformats-officedocument.drawingml.chart+xml"/>
  <Override PartName="/word/theme/themeOverride17.xml" ContentType="application/vnd.openxmlformats-officedocument.themeOverride+xml"/>
  <Override PartName="/word/drawings/drawing20.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vertAnchor="page" w:horzAnchor="page" w:tblpX="852" w:tblpY="4310"/>
        <w:tblOverlap w:val="never"/>
        <w:tblW w:w="6804" w:type="dxa"/>
        <w:tblBorders>
          <w:insideH w:val="single" w:sz="24" w:space="0" w:color="CCCCD0" w:themeColor="accent6"/>
        </w:tblBorders>
        <w:tblCellMar>
          <w:left w:w="0" w:type="dxa"/>
          <w:right w:w="0" w:type="dxa"/>
        </w:tblCellMar>
        <w:tblLook w:val="0620" w:firstRow="1" w:lastRow="0" w:firstColumn="0" w:lastColumn="0" w:noHBand="1" w:noVBand="1"/>
      </w:tblPr>
      <w:tblGrid>
        <w:gridCol w:w="6804"/>
      </w:tblGrid>
      <w:tr w:rsidR="0050356B" w14:paraId="0E08C43B" w14:textId="77777777" w:rsidTr="0050356B">
        <w:trPr>
          <w:trHeight w:val="57"/>
        </w:trPr>
        <w:tc>
          <w:tcPr>
            <w:tcW w:w="6804" w:type="dxa"/>
            <w:shd w:val="clear" w:color="auto" w:fill="auto"/>
            <w:tcMar>
              <w:top w:w="312" w:type="dxa"/>
            </w:tcMar>
          </w:tcPr>
          <w:p w14:paraId="03AFE59F" w14:textId="77777777" w:rsidR="0050356B" w:rsidRPr="0050356B" w:rsidRDefault="0050356B" w:rsidP="0080471A">
            <w:pPr>
              <w:pStyle w:val="Date"/>
              <w:framePr w:hSpace="0" w:wrap="auto" w:vAnchor="margin" w:hAnchor="text" w:xAlign="left" w:yAlign="inline"/>
              <w:suppressOverlap w:val="0"/>
            </w:pPr>
          </w:p>
        </w:tc>
      </w:tr>
      <w:tr w:rsidR="00A46288" w14:paraId="32419D3D" w14:textId="77777777" w:rsidTr="0050356B">
        <w:trPr>
          <w:trHeight w:val="2948"/>
        </w:trPr>
        <w:tc>
          <w:tcPr>
            <w:tcW w:w="6804" w:type="dxa"/>
            <w:shd w:val="clear" w:color="auto" w:fill="auto"/>
            <w:tcMar>
              <w:top w:w="312" w:type="dxa"/>
            </w:tcMar>
          </w:tcPr>
          <w:p w14:paraId="015CB925" w14:textId="77777777" w:rsidR="0080471A" w:rsidRPr="001A6E64" w:rsidRDefault="004E4F0D" w:rsidP="0080471A">
            <w:pPr>
              <w:rPr>
                <w:rFonts w:ascii="VIC SemiBold" w:eastAsia="Times New Roman" w:hAnsi="VIC SemiBold"/>
                <w:color w:val="007586"/>
                <w:sz w:val="76"/>
                <w:szCs w:val="76"/>
              </w:rPr>
            </w:pPr>
            <w:r>
              <w:rPr>
                <w:rFonts w:ascii="VIC SemiBold" w:eastAsia="Times New Roman" w:hAnsi="VIC SemiBold"/>
                <w:color w:val="007586"/>
                <w:sz w:val="76"/>
                <w:szCs w:val="76"/>
              </w:rPr>
              <w:t>Victorian renal k</w:t>
            </w:r>
            <w:r w:rsidR="0080471A" w:rsidRPr="001A6E64">
              <w:rPr>
                <w:rFonts w:ascii="VIC SemiBold" w:eastAsia="Times New Roman" w:hAnsi="VIC SemiBold"/>
                <w:color w:val="007586"/>
                <w:sz w:val="76"/>
                <w:szCs w:val="76"/>
              </w:rPr>
              <w:t xml:space="preserve">ey </w:t>
            </w:r>
            <w:r>
              <w:rPr>
                <w:rFonts w:ascii="VIC SemiBold" w:eastAsia="Times New Roman" w:hAnsi="VIC SemiBold"/>
                <w:color w:val="007586"/>
                <w:sz w:val="76"/>
                <w:szCs w:val="76"/>
              </w:rPr>
              <w:t>p</w:t>
            </w:r>
            <w:r w:rsidR="0080471A" w:rsidRPr="001A6E64">
              <w:rPr>
                <w:rFonts w:ascii="VIC SemiBold" w:eastAsia="Times New Roman" w:hAnsi="VIC SemiBold"/>
                <w:color w:val="007586"/>
                <w:sz w:val="76"/>
                <w:szCs w:val="76"/>
              </w:rPr>
              <w:t xml:space="preserve">erformance </w:t>
            </w:r>
            <w:r>
              <w:rPr>
                <w:rFonts w:ascii="VIC SemiBold" w:eastAsia="Times New Roman" w:hAnsi="VIC SemiBold"/>
                <w:color w:val="007586"/>
                <w:sz w:val="76"/>
                <w:szCs w:val="76"/>
              </w:rPr>
              <w:t>i</w:t>
            </w:r>
            <w:r w:rsidR="0080471A" w:rsidRPr="001A6E64">
              <w:rPr>
                <w:rFonts w:ascii="VIC SemiBold" w:eastAsia="Times New Roman" w:hAnsi="VIC SemiBold"/>
                <w:color w:val="007586"/>
                <w:sz w:val="76"/>
                <w:szCs w:val="76"/>
              </w:rPr>
              <w:t>ndicators</w:t>
            </w:r>
          </w:p>
          <w:p w14:paraId="5D376C46" w14:textId="50725873" w:rsidR="00A46288" w:rsidRPr="0080471A" w:rsidRDefault="007E3E5E" w:rsidP="0080471A">
            <w:pPr>
              <w:pStyle w:val="Subtitle"/>
              <w:framePr w:hSpace="0" w:wrap="auto" w:vAnchor="margin" w:hAnchor="text" w:xAlign="left" w:yAlign="inline"/>
              <w:suppressOverlap w:val="0"/>
              <w:rPr>
                <w:rFonts w:ascii="VIC Medium" w:hAnsi="VIC Medium"/>
              </w:rPr>
            </w:pPr>
            <w:r>
              <w:rPr>
                <w:rFonts w:ascii="VIC Medium" w:hAnsi="VIC Medium"/>
              </w:rPr>
              <w:t xml:space="preserve">Report 2, </w:t>
            </w:r>
            <w:r w:rsidR="0080471A" w:rsidRPr="001A6E64">
              <w:rPr>
                <w:rFonts w:ascii="VIC Medium" w:hAnsi="VIC Medium"/>
              </w:rPr>
              <w:t>201</w:t>
            </w:r>
            <w:r w:rsidR="001C7A51">
              <w:rPr>
                <w:rFonts w:ascii="VIC Medium" w:hAnsi="VIC Medium"/>
              </w:rPr>
              <w:t>9</w:t>
            </w:r>
          </w:p>
        </w:tc>
      </w:tr>
    </w:tbl>
    <w:p w14:paraId="1A39EA01" w14:textId="77777777" w:rsidR="00A46288" w:rsidRDefault="00A46288" w:rsidP="00A46288">
      <w:pPr>
        <w:pStyle w:val="NoSpacing"/>
      </w:pPr>
    </w:p>
    <w:p w14:paraId="3AD2EEB9" w14:textId="77777777" w:rsidR="00A46288" w:rsidRDefault="00A46288" w:rsidP="0080471A">
      <w:pPr>
        <w:sectPr w:rsidR="00A46288" w:rsidSect="00257461">
          <w:headerReference w:type="default" r:id="rId8"/>
          <w:footerReference w:type="even" r:id="rId9"/>
          <w:footerReference w:type="default" r:id="rId10"/>
          <w:headerReference w:type="first" r:id="rId11"/>
          <w:pgSz w:w="11906" w:h="16838" w:code="9"/>
          <w:pgMar w:top="3402" w:right="851" w:bottom="1361" w:left="851" w:header="539" w:footer="624" w:gutter="0"/>
          <w:pgNumType w:start="1"/>
          <w:cols w:space="284"/>
          <w:titlePg/>
          <w:docGrid w:linePitch="360"/>
        </w:sectPr>
      </w:pPr>
    </w:p>
    <w:tbl>
      <w:tblPr>
        <w:tblStyle w:val="SCVInformationTable"/>
        <w:tblpPr w:leftFromText="181" w:rightFromText="181" w:horzAnchor="page" w:tblpX="852" w:tblpYSpec="bottom"/>
        <w:tblW w:w="10216" w:type="dxa"/>
        <w:tblLook w:val="0600" w:firstRow="0" w:lastRow="0" w:firstColumn="0" w:lastColumn="0" w:noHBand="1" w:noVBand="1"/>
      </w:tblPr>
      <w:tblGrid>
        <w:gridCol w:w="4111"/>
        <w:gridCol w:w="3621"/>
        <w:gridCol w:w="2484"/>
      </w:tblGrid>
      <w:tr w:rsidR="008116D8" w:rsidRPr="00736C0C" w14:paraId="7D01C7BC" w14:textId="77777777" w:rsidTr="008116D8">
        <w:trPr>
          <w:trHeight w:val="2041"/>
        </w:trPr>
        <w:tc>
          <w:tcPr>
            <w:tcW w:w="4111" w:type="dxa"/>
            <w:tcMar>
              <w:left w:w="113" w:type="dxa"/>
            </w:tcMar>
          </w:tcPr>
          <w:p w14:paraId="491CF830" w14:textId="77777777" w:rsidR="008116D8" w:rsidRPr="0080471A" w:rsidRDefault="008116D8" w:rsidP="00787233">
            <w:pPr>
              <w:rPr>
                <w:sz w:val="24"/>
                <w:szCs w:val="24"/>
              </w:rPr>
            </w:pPr>
            <w:r w:rsidRPr="0080471A">
              <w:rPr>
                <w:sz w:val="24"/>
                <w:szCs w:val="24"/>
              </w:rPr>
              <w:lastRenderedPageBreak/>
              <w:t xml:space="preserve">To receive this publication in an accessible format phone </w:t>
            </w:r>
            <w:r w:rsidRPr="0080471A">
              <w:rPr>
                <w:sz w:val="24"/>
                <w:szCs w:val="24"/>
              </w:rPr>
              <w:br/>
              <w:t xml:space="preserve">03 9096 1384, using the National Relay Service 13 36 </w:t>
            </w:r>
            <w:r w:rsidRPr="0080471A">
              <w:rPr>
                <w:spacing w:val="-2"/>
                <w:sz w:val="24"/>
                <w:szCs w:val="24"/>
              </w:rPr>
              <w:t xml:space="preserve">77 if required, or email </w:t>
            </w:r>
            <w:r w:rsidRPr="0080471A">
              <w:rPr>
                <w:sz w:val="24"/>
                <w:szCs w:val="24"/>
              </w:rPr>
              <w:t xml:space="preserve">Safer Care Victoria </w:t>
            </w:r>
            <w:hyperlink r:id="rId12" w:history="1">
              <w:r w:rsidR="00787233" w:rsidRPr="00AF36EA">
                <w:rPr>
                  <w:color w:val="4D92C0"/>
                  <w:sz w:val="24"/>
                  <w:szCs w:val="24"/>
                </w:rPr>
                <w:t>info@safercare.vic</w:t>
              </w:r>
            </w:hyperlink>
            <w:r w:rsidRPr="0080471A">
              <w:rPr>
                <w:color w:val="4D92C0"/>
                <w:spacing w:val="-4"/>
                <w:sz w:val="24"/>
                <w:szCs w:val="24"/>
              </w:rPr>
              <w:t>.gov.au</w:t>
            </w:r>
          </w:p>
        </w:tc>
        <w:tc>
          <w:tcPr>
            <w:tcW w:w="3621" w:type="dxa"/>
          </w:tcPr>
          <w:p w14:paraId="776A2020" w14:textId="77777777" w:rsidR="008116D8" w:rsidRDefault="008116D8" w:rsidP="0080471A">
            <w:r w:rsidRPr="00736C0C">
              <w:t xml:space="preserve">Authorised and </w:t>
            </w:r>
            <w:r w:rsidRPr="00736C0C">
              <w:rPr>
                <w:spacing w:val="-2"/>
              </w:rPr>
              <w:t>published by the Victorian</w:t>
            </w:r>
            <w:r w:rsidRPr="00736C0C">
              <w:t xml:space="preserve"> Government, 1</w:t>
            </w:r>
            <w:r>
              <w:t xml:space="preserve"> </w:t>
            </w:r>
            <w:r w:rsidRPr="00736C0C">
              <w:t>Treasury Place, Melbourne.</w:t>
            </w:r>
          </w:p>
          <w:p w14:paraId="3D5F71E6" w14:textId="77777777" w:rsidR="0080471A" w:rsidRDefault="008116D8" w:rsidP="0080471A">
            <w:r w:rsidRPr="00736C0C">
              <w:t>© State of Victoria, Australia,</w:t>
            </w:r>
            <w:r>
              <w:t xml:space="preserve"> </w:t>
            </w:r>
            <w:r w:rsidRPr="00736C0C">
              <w:t>Safer Care Victoria,</w:t>
            </w:r>
            <w:r>
              <w:t xml:space="preserve"> </w:t>
            </w:r>
            <w:r w:rsidR="00787233">
              <w:t>October 2018</w:t>
            </w:r>
            <w:r w:rsidRPr="00736C0C">
              <w:t>.</w:t>
            </w:r>
          </w:p>
          <w:p w14:paraId="11A14B37" w14:textId="77777777" w:rsidR="00B374FB" w:rsidRDefault="00B374FB" w:rsidP="0080471A">
            <w:r w:rsidRPr="00B374FB">
              <w:t>I</w:t>
            </w:r>
            <w:r>
              <w:t>SSN 2209-9069   - Online (pdf/</w:t>
            </w:r>
            <w:r w:rsidRPr="00B374FB">
              <w:t>word)</w:t>
            </w:r>
          </w:p>
          <w:p w14:paraId="73CF3B78" w14:textId="77777777" w:rsidR="008116D8" w:rsidRPr="00736C0C" w:rsidRDefault="008116D8" w:rsidP="0080471A">
            <w:r w:rsidRPr="00736C0C">
              <w:t>Available at Safer Care</w:t>
            </w:r>
            <w:r>
              <w:t xml:space="preserve"> </w:t>
            </w:r>
            <w:r w:rsidRPr="00736C0C">
              <w:t>Victoria</w:t>
            </w:r>
            <w:r>
              <w:br/>
            </w:r>
            <w:hyperlink r:id="rId13" w:history="1">
              <w:r w:rsidRPr="00EE4C3F">
                <w:rPr>
                  <w:color w:val="4D92C0"/>
                </w:rPr>
                <w:t>www.</w:t>
              </w:r>
              <w:r w:rsidRPr="004A4FB7">
                <w:rPr>
                  <w:color w:val="4D92C0"/>
                </w:rPr>
                <w:t>safercare</w:t>
              </w:r>
              <w:r w:rsidRPr="00EE4C3F">
                <w:rPr>
                  <w:color w:val="4D92C0"/>
                </w:rPr>
                <w:t>.vic</w:t>
              </w:r>
            </w:hyperlink>
            <w:r>
              <w:rPr>
                <w:color w:val="4D92C0"/>
              </w:rPr>
              <w:t>.</w:t>
            </w:r>
            <w:r w:rsidRPr="00EE4C3F">
              <w:rPr>
                <w:color w:val="4D92C0"/>
              </w:rPr>
              <w:t>gov.au</w:t>
            </w:r>
            <w:r w:rsidRPr="000D01D2">
              <w:rPr>
                <w:color w:val="4382B9"/>
              </w:rPr>
              <w:t xml:space="preserve"> </w:t>
            </w:r>
          </w:p>
        </w:tc>
        <w:tc>
          <w:tcPr>
            <w:tcW w:w="2484" w:type="dxa"/>
          </w:tcPr>
          <w:p w14:paraId="7029572A" w14:textId="77777777" w:rsidR="008116D8" w:rsidRPr="00736C0C" w:rsidRDefault="008116D8" w:rsidP="0080471A">
            <w:r w:rsidRPr="00736C0C">
              <w:rPr>
                <w:noProof/>
              </w:rPr>
              <w:drawing>
                <wp:inline distT="0" distB="0" distL="0" distR="0" wp14:anchorId="62AAC6D5" wp14:editId="4C9ABFF5">
                  <wp:extent cx="795600" cy="453600"/>
                  <wp:effectExtent l="0" t="0" r="508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ic State Government.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485883A3" w14:textId="77777777" w:rsidR="0086277A" w:rsidRDefault="007C4073" w:rsidP="0080471A">
      <w:r>
        <w:fldChar w:fldCharType="begin"/>
      </w:r>
      <w:r>
        <w:instrText xml:space="preserve"> Macrobutton NoMacro  </w:instrText>
      </w:r>
      <w:r>
        <w:fldChar w:fldCharType="end"/>
      </w:r>
      <w:r>
        <w:rPr>
          <w:noProof/>
        </w:rPr>
        <w:drawing>
          <wp:anchor distT="0" distB="0" distL="114300" distR="114300" simplePos="0" relativeHeight="251656192" behindDoc="1" locked="1" layoutInCell="1" allowOverlap="1" wp14:anchorId="67C2E707" wp14:editId="3B25ED42">
            <wp:simplePos x="0" y="0"/>
            <wp:positionH relativeFrom="page">
              <wp:posOffset>0</wp:posOffset>
            </wp:positionH>
            <wp:positionV relativeFrom="page">
              <wp:posOffset>0</wp:posOffset>
            </wp:positionV>
            <wp:extent cx="7560000" cy="106920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side artwor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06BEE64D" w14:textId="77777777" w:rsidR="0086277A" w:rsidRDefault="0086277A" w:rsidP="0080471A">
      <w:pPr>
        <w:sectPr w:rsidR="0086277A" w:rsidSect="007C4073">
          <w:headerReference w:type="first" r:id="rId16"/>
          <w:footerReference w:type="first" r:id="rId17"/>
          <w:pgSz w:w="11906" w:h="16838" w:code="9"/>
          <w:pgMar w:top="3402" w:right="851" w:bottom="1361" w:left="851" w:header="539" w:footer="624" w:gutter="0"/>
          <w:cols w:num="2" w:space="284"/>
          <w:docGrid w:linePitch="360"/>
        </w:sectPr>
      </w:pPr>
    </w:p>
    <w:p w14:paraId="6495C288" w14:textId="77777777" w:rsidR="00787233" w:rsidRDefault="00787233">
      <w:r>
        <w:rPr>
          <w:bCs/>
        </w:rPr>
        <w:br w:type="page"/>
      </w:r>
    </w:p>
    <w:p w14:paraId="6054BBD6" w14:textId="77777777" w:rsidR="0064798F" w:rsidRPr="00311599" w:rsidRDefault="0080471A" w:rsidP="0080471A">
      <w:pPr>
        <w:pStyle w:val="Heading1numbered"/>
        <w:framePr w:wrap="around"/>
        <w:numPr>
          <w:ilvl w:val="0"/>
          <w:numId w:val="0"/>
        </w:numPr>
      </w:pPr>
      <w:bookmarkStart w:id="0" w:name="_Toc526952067"/>
      <w:r>
        <w:lastRenderedPageBreak/>
        <w:t>Contents</w:t>
      </w:r>
      <w:bookmarkEnd w:id="0"/>
    </w:p>
    <w:sdt>
      <w:sdtPr>
        <w:rPr>
          <w:rFonts w:ascii="VIC" w:eastAsiaTheme="minorEastAsia" w:hAnsi="VIC" w:cstheme="minorBidi"/>
          <w:bCs w:val="0"/>
          <w:color w:val="auto"/>
          <w:spacing w:val="0"/>
          <w:sz w:val="20"/>
          <w:szCs w:val="20"/>
        </w:rPr>
        <w:id w:val="-1691834674"/>
        <w:docPartObj>
          <w:docPartGallery w:val="Table of Contents"/>
          <w:docPartUnique/>
        </w:docPartObj>
      </w:sdtPr>
      <w:sdtEndPr>
        <w:rPr>
          <w:b/>
          <w:noProof/>
        </w:rPr>
      </w:sdtEndPr>
      <w:sdtContent>
        <w:p w14:paraId="2DB6F82E" w14:textId="77777777" w:rsidR="00601525" w:rsidRDefault="00601525">
          <w:pPr>
            <w:pStyle w:val="TOCHeading"/>
            <w:framePr w:wrap="around"/>
          </w:pPr>
          <w:r>
            <w:t>Contents</w:t>
          </w:r>
        </w:p>
        <w:p w14:paraId="5F5BC4B7" w14:textId="6D45041C" w:rsidR="00601525" w:rsidRDefault="00601525">
          <w:pPr>
            <w:pStyle w:val="TOC1"/>
            <w:rPr>
              <w:rFonts w:asciiTheme="minorHAnsi" w:hAnsiTheme="minorHAnsi"/>
              <w:b w:val="0"/>
              <w:sz w:val="22"/>
              <w:szCs w:val="22"/>
              <w:lang w:eastAsia="en-AU"/>
            </w:rPr>
          </w:pPr>
          <w:r>
            <w:fldChar w:fldCharType="begin"/>
          </w:r>
          <w:r>
            <w:instrText xml:space="preserve"> TOC \o "1-3" \h \z \u </w:instrText>
          </w:r>
          <w:r>
            <w:fldChar w:fldCharType="separate"/>
          </w:r>
          <w:hyperlink w:anchor="_Toc526952069" w:history="1">
            <w:r w:rsidRPr="001268A6">
              <w:rPr>
                <w:rStyle w:val="Hyperlink"/>
              </w:rPr>
              <w:t>Introduction</w:t>
            </w:r>
            <w:r>
              <w:rPr>
                <w:webHidden/>
              </w:rPr>
              <w:tab/>
            </w:r>
            <w:r>
              <w:rPr>
                <w:webHidden/>
              </w:rPr>
              <w:fldChar w:fldCharType="begin"/>
            </w:r>
            <w:r>
              <w:rPr>
                <w:webHidden/>
              </w:rPr>
              <w:instrText xml:space="preserve"> PAGEREF _Toc526952069 \h </w:instrText>
            </w:r>
            <w:r>
              <w:rPr>
                <w:webHidden/>
              </w:rPr>
            </w:r>
            <w:r>
              <w:rPr>
                <w:webHidden/>
              </w:rPr>
              <w:fldChar w:fldCharType="separate"/>
            </w:r>
            <w:r w:rsidR="005116D5">
              <w:rPr>
                <w:webHidden/>
              </w:rPr>
              <w:t>5</w:t>
            </w:r>
            <w:r>
              <w:rPr>
                <w:webHidden/>
              </w:rPr>
              <w:fldChar w:fldCharType="end"/>
            </w:r>
          </w:hyperlink>
        </w:p>
        <w:p w14:paraId="5E968FAC" w14:textId="32E99CB8" w:rsidR="00601525" w:rsidRDefault="00924483">
          <w:pPr>
            <w:pStyle w:val="TOC1"/>
            <w:rPr>
              <w:rFonts w:asciiTheme="minorHAnsi" w:hAnsiTheme="minorHAnsi"/>
              <w:b w:val="0"/>
              <w:sz w:val="22"/>
              <w:szCs w:val="22"/>
              <w:lang w:eastAsia="en-AU"/>
            </w:rPr>
          </w:pPr>
          <w:hyperlink w:anchor="_Toc526952070" w:history="1">
            <w:r w:rsidR="00601525" w:rsidRPr="001268A6">
              <w:rPr>
                <w:rStyle w:val="Hyperlink"/>
              </w:rPr>
              <w:t>Performance</w:t>
            </w:r>
            <w:r w:rsidR="00601525">
              <w:rPr>
                <w:webHidden/>
              </w:rPr>
              <w:tab/>
            </w:r>
            <w:r w:rsidR="00601525">
              <w:rPr>
                <w:webHidden/>
              </w:rPr>
              <w:fldChar w:fldCharType="begin"/>
            </w:r>
            <w:r w:rsidR="00601525">
              <w:rPr>
                <w:webHidden/>
              </w:rPr>
              <w:instrText xml:space="preserve"> PAGEREF _Toc526952070 \h </w:instrText>
            </w:r>
            <w:r w:rsidR="00601525">
              <w:rPr>
                <w:webHidden/>
              </w:rPr>
            </w:r>
            <w:r w:rsidR="00601525">
              <w:rPr>
                <w:webHidden/>
              </w:rPr>
              <w:fldChar w:fldCharType="separate"/>
            </w:r>
            <w:r w:rsidR="005116D5">
              <w:rPr>
                <w:webHidden/>
              </w:rPr>
              <w:t>6</w:t>
            </w:r>
            <w:r w:rsidR="00601525">
              <w:rPr>
                <w:webHidden/>
              </w:rPr>
              <w:fldChar w:fldCharType="end"/>
            </w:r>
          </w:hyperlink>
        </w:p>
        <w:p w14:paraId="5112A89A" w14:textId="4C6C0AB8" w:rsidR="00601525" w:rsidRDefault="00924483" w:rsidP="00601525">
          <w:pPr>
            <w:pStyle w:val="TOC2"/>
            <w:rPr>
              <w:rFonts w:asciiTheme="minorHAnsi" w:hAnsiTheme="minorHAnsi"/>
              <w:b w:val="0"/>
              <w:color w:val="auto"/>
              <w:sz w:val="22"/>
              <w:szCs w:val="22"/>
            </w:rPr>
          </w:pPr>
          <w:hyperlink w:anchor="_Toc526952071" w:history="1">
            <w:r w:rsidR="00601525" w:rsidRPr="001268A6">
              <w:rPr>
                <w:rStyle w:val="Hyperlink"/>
              </w:rPr>
              <w:t>KPI 1: Proportion of new, planned patients who have received CKD education before starting dialysis</w:t>
            </w:r>
            <w:r w:rsidR="00601525">
              <w:rPr>
                <w:webHidden/>
              </w:rPr>
              <w:tab/>
            </w:r>
            <w:r w:rsidR="00601525">
              <w:rPr>
                <w:webHidden/>
              </w:rPr>
              <w:fldChar w:fldCharType="begin"/>
            </w:r>
            <w:r w:rsidR="00601525">
              <w:rPr>
                <w:webHidden/>
              </w:rPr>
              <w:instrText xml:space="preserve"> PAGEREF _Toc526952071 \h </w:instrText>
            </w:r>
            <w:r w:rsidR="00601525">
              <w:rPr>
                <w:webHidden/>
              </w:rPr>
            </w:r>
            <w:r w:rsidR="00601525">
              <w:rPr>
                <w:webHidden/>
              </w:rPr>
              <w:fldChar w:fldCharType="separate"/>
            </w:r>
            <w:r w:rsidR="005116D5">
              <w:rPr>
                <w:webHidden/>
              </w:rPr>
              <w:t>6</w:t>
            </w:r>
            <w:r w:rsidR="00601525">
              <w:rPr>
                <w:webHidden/>
              </w:rPr>
              <w:fldChar w:fldCharType="end"/>
            </w:r>
          </w:hyperlink>
        </w:p>
        <w:p w14:paraId="53DB0418" w14:textId="33000227" w:rsidR="00601525" w:rsidRDefault="00924483" w:rsidP="00601525">
          <w:pPr>
            <w:pStyle w:val="TOC2"/>
            <w:rPr>
              <w:rFonts w:asciiTheme="minorHAnsi" w:hAnsiTheme="minorHAnsi"/>
              <w:b w:val="0"/>
              <w:color w:val="auto"/>
              <w:sz w:val="22"/>
              <w:szCs w:val="22"/>
            </w:rPr>
          </w:pPr>
          <w:hyperlink w:anchor="_Toc526952076" w:history="1">
            <w:r w:rsidR="00601525" w:rsidRPr="001268A6">
              <w:rPr>
                <w:rStyle w:val="Hyperlink"/>
              </w:rPr>
              <w:t>KPI 2: Proportion of new, planned RRT patients (excluding pre-emptive live donor transplants within 2 weeks of transplant) who successfully use an arteriovenous fistula or graft access at first HD treatment</w:t>
            </w:r>
            <w:r w:rsidR="00601525">
              <w:rPr>
                <w:webHidden/>
              </w:rPr>
              <w:tab/>
            </w:r>
            <w:r w:rsidR="00601525">
              <w:rPr>
                <w:webHidden/>
              </w:rPr>
              <w:fldChar w:fldCharType="begin"/>
            </w:r>
            <w:r w:rsidR="00601525">
              <w:rPr>
                <w:webHidden/>
              </w:rPr>
              <w:instrText xml:space="preserve"> PAGEREF _Toc526952076 \h </w:instrText>
            </w:r>
            <w:r w:rsidR="00601525">
              <w:rPr>
                <w:webHidden/>
              </w:rPr>
            </w:r>
            <w:r w:rsidR="00601525">
              <w:rPr>
                <w:webHidden/>
              </w:rPr>
              <w:fldChar w:fldCharType="separate"/>
            </w:r>
            <w:r w:rsidR="005116D5">
              <w:rPr>
                <w:webHidden/>
              </w:rPr>
              <w:t>8</w:t>
            </w:r>
            <w:r w:rsidR="00601525">
              <w:rPr>
                <w:webHidden/>
              </w:rPr>
              <w:fldChar w:fldCharType="end"/>
            </w:r>
          </w:hyperlink>
        </w:p>
        <w:p w14:paraId="1438F8FE" w14:textId="40410B99" w:rsidR="00601525" w:rsidRDefault="00924483" w:rsidP="00601525">
          <w:pPr>
            <w:pStyle w:val="TOC2"/>
            <w:rPr>
              <w:rFonts w:asciiTheme="minorHAnsi" w:hAnsiTheme="minorHAnsi"/>
              <w:b w:val="0"/>
              <w:color w:val="auto"/>
              <w:sz w:val="22"/>
              <w:szCs w:val="22"/>
            </w:rPr>
          </w:pPr>
          <w:hyperlink w:anchor="_Toc526952081" w:history="1">
            <w:r w:rsidR="00601525" w:rsidRPr="001268A6">
              <w:rPr>
                <w:rStyle w:val="Hyperlink"/>
              </w:rPr>
              <w:t>KPI 3 Proportion of dialysis patients who are dialysing at home</w:t>
            </w:r>
            <w:r w:rsidR="00601525">
              <w:rPr>
                <w:webHidden/>
              </w:rPr>
              <w:tab/>
            </w:r>
            <w:r w:rsidR="00601525">
              <w:rPr>
                <w:webHidden/>
              </w:rPr>
              <w:fldChar w:fldCharType="begin"/>
            </w:r>
            <w:r w:rsidR="00601525">
              <w:rPr>
                <w:webHidden/>
              </w:rPr>
              <w:instrText xml:space="preserve"> PAGEREF _Toc526952081 \h </w:instrText>
            </w:r>
            <w:r w:rsidR="00601525">
              <w:rPr>
                <w:webHidden/>
              </w:rPr>
            </w:r>
            <w:r w:rsidR="00601525">
              <w:rPr>
                <w:webHidden/>
              </w:rPr>
              <w:fldChar w:fldCharType="separate"/>
            </w:r>
            <w:r w:rsidR="005116D5">
              <w:rPr>
                <w:webHidden/>
              </w:rPr>
              <w:t>10</w:t>
            </w:r>
            <w:r w:rsidR="00601525">
              <w:rPr>
                <w:webHidden/>
              </w:rPr>
              <w:fldChar w:fldCharType="end"/>
            </w:r>
          </w:hyperlink>
        </w:p>
        <w:p w14:paraId="68B4EDCE" w14:textId="756C3CAB" w:rsidR="00601525" w:rsidRDefault="00924483">
          <w:pPr>
            <w:pStyle w:val="TOC2"/>
            <w:rPr>
              <w:rFonts w:asciiTheme="minorHAnsi" w:hAnsiTheme="minorHAnsi"/>
              <w:b w:val="0"/>
              <w:color w:val="auto"/>
              <w:sz w:val="22"/>
              <w:szCs w:val="22"/>
            </w:rPr>
          </w:pPr>
          <w:hyperlink w:anchor="_Toc526952086" w:history="1">
            <w:r w:rsidR="00601525" w:rsidRPr="001268A6">
              <w:rPr>
                <w:rStyle w:val="Hyperlink"/>
              </w:rPr>
              <w:t>KPI 4: Peritonitis rates of each hub service</w:t>
            </w:r>
            <w:r w:rsidR="00601525">
              <w:rPr>
                <w:webHidden/>
              </w:rPr>
              <w:tab/>
            </w:r>
            <w:r w:rsidR="00601525">
              <w:rPr>
                <w:webHidden/>
              </w:rPr>
              <w:fldChar w:fldCharType="begin"/>
            </w:r>
            <w:r w:rsidR="00601525">
              <w:rPr>
                <w:webHidden/>
              </w:rPr>
              <w:instrText xml:space="preserve"> PAGEREF _Toc526952086 \h </w:instrText>
            </w:r>
            <w:r w:rsidR="00601525">
              <w:rPr>
                <w:webHidden/>
              </w:rPr>
            </w:r>
            <w:r w:rsidR="00601525">
              <w:rPr>
                <w:webHidden/>
              </w:rPr>
              <w:fldChar w:fldCharType="separate"/>
            </w:r>
            <w:r w:rsidR="005116D5">
              <w:rPr>
                <w:webHidden/>
              </w:rPr>
              <w:t>13</w:t>
            </w:r>
            <w:r w:rsidR="00601525">
              <w:rPr>
                <w:webHidden/>
              </w:rPr>
              <w:fldChar w:fldCharType="end"/>
            </w:r>
          </w:hyperlink>
        </w:p>
        <w:p w14:paraId="0013E742" w14:textId="113FA874" w:rsidR="00601525" w:rsidRDefault="00924483">
          <w:pPr>
            <w:pStyle w:val="TOC2"/>
            <w:rPr>
              <w:rFonts w:asciiTheme="minorHAnsi" w:hAnsiTheme="minorHAnsi"/>
              <w:b w:val="0"/>
              <w:color w:val="auto"/>
              <w:sz w:val="22"/>
              <w:szCs w:val="22"/>
            </w:rPr>
          </w:pPr>
          <w:hyperlink w:anchor="_Toc526952091" w:history="1">
            <w:r w:rsidR="00601525" w:rsidRPr="001268A6">
              <w:rPr>
                <w:rStyle w:val="Hyperlink"/>
              </w:rPr>
              <w:t>KPI 5: Proportion of new live donor transplants that are pre-emptive</w:t>
            </w:r>
            <w:r w:rsidR="00601525">
              <w:rPr>
                <w:webHidden/>
              </w:rPr>
              <w:tab/>
            </w:r>
            <w:r w:rsidR="00601525">
              <w:rPr>
                <w:webHidden/>
              </w:rPr>
              <w:fldChar w:fldCharType="begin"/>
            </w:r>
            <w:r w:rsidR="00601525">
              <w:rPr>
                <w:webHidden/>
              </w:rPr>
              <w:instrText xml:space="preserve"> PAGEREF _Toc526952091 \h </w:instrText>
            </w:r>
            <w:r w:rsidR="00601525">
              <w:rPr>
                <w:webHidden/>
              </w:rPr>
            </w:r>
            <w:r w:rsidR="00601525">
              <w:rPr>
                <w:webHidden/>
              </w:rPr>
              <w:fldChar w:fldCharType="separate"/>
            </w:r>
            <w:r w:rsidR="005116D5">
              <w:rPr>
                <w:webHidden/>
              </w:rPr>
              <w:t>15</w:t>
            </w:r>
            <w:r w:rsidR="00601525">
              <w:rPr>
                <w:webHidden/>
              </w:rPr>
              <w:fldChar w:fldCharType="end"/>
            </w:r>
          </w:hyperlink>
        </w:p>
        <w:p w14:paraId="169B8647" w14:textId="4E80A494" w:rsidR="00601525" w:rsidRDefault="00924483">
          <w:pPr>
            <w:pStyle w:val="TOC2"/>
            <w:rPr>
              <w:rFonts w:asciiTheme="minorHAnsi" w:hAnsiTheme="minorHAnsi"/>
              <w:b w:val="0"/>
              <w:color w:val="auto"/>
              <w:sz w:val="22"/>
              <w:szCs w:val="22"/>
            </w:rPr>
          </w:pPr>
          <w:hyperlink w:anchor="_Toc526952096" w:history="1">
            <w:r w:rsidR="00601525" w:rsidRPr="001268A6">
              <w:rPr>
                <w:rStyle w:val="Hyperlink"/>
              </w:rPr>
              <w:t>KPI 6: Proportion of new end stage kidney disease (ESKD) patients under 65 years old who have had a transplant or are on the active list</w:t>
            </w:r>
            <w:r w:rsidR="00601525">
              <w:rPr>
                <w:webHidden/>
              </w:rPr>
              <w:tab/>
            </w:r>
            <w:r w:rsidR="00601525">
              <w:rPr>
                <w:webHidden/>
              </w:rPr>
              <w:fldChar w:fldCharType="begin"/>
            </w:r>
            <w:r w:rsidR="00601525">
              <w:rPr>
                <w:webHidden/>
              </w:rPr>
              <w:instrText xml:space="preserve"> PAGEREF _Toc526952096 \h </w:instrText>
            </w:r>
            <w:r w:rsidR="00601525">
              <w:rPr>
                <w:webHidden/>
              </w:rPr>
            </w:r>
            <w:r w:rsidR="00601525">
              <w:rPr>
                <w:webHidden/>
              </w:rPr>
              <w:fldChar w:fldCharType="separate"/>
            </w:r>
            <w:r w:rsidR="005116D5">
              <w:rPr>
                <w:webHidden/>
              </w:rPr>
              <w:t>18</w:t>
            </w:r>
            <w:r w:rsidR="00601525">
              <w:rPr>
                <w:webHidden/>
              </w:rPr>
              <w:fldChar w:fldCharType="end"/>
            </w:r>
          </w:hyperlink>
        </w:p>
        <w:p w14:paraId="677B0737" w14:textId="3DC1C597" w:rsidR="00601525" w:rsidRDefault="00924483">
          <w:pPr>
            <w:pStyle w:val="TOC1"/>
            <w:tabs>
              <w:tab w:val="left" w:pos="1320"/>
            </w:tabs>
            <w:rPr>
              <w:rFonts w:asciiTheme="minorHAnsi" w:hAnsiTheme="minorHAnsi"/>
              <w:b w:val="0"/>
              <w:sz w:val="22"/>
              <w:szCs w:val="22"/>
              <w:lang w:eastAsia="en-AU"/>
            </w:rPr>
          </w:pPr>
          <w:hyperlink w:anchor="_Toc526952101" w:history="1">
            <w:r w:rsidR="00601525" w:rsidRPr="001268A6">
              <w:rPr>
                <w:rStyle w:val="Hyperlink"/>
              </w:rPr>
              <w:t>Appendix 1</w:t>
            </w:r>
            <w:r w:rsidR="00601525">
              <w:rPr>
                <w:rFonts w:asciiTheme="minorHAnsi" w:hAnsiTheme="minorHAnsi"/>
                <w:b w:val="0"/>
                <w:sz w:val="22"/>
                <w:szCs w:val="22"/>
                <w:lang w:eastAsia="en-AU"/>
              </w:rPr>
              <w:t xml:space="preserve"> </w:t>
            </w:r>
            <w:r>
              <w:rPr>
                <w:rStyle w:val="Hyperlink"/>
              </w:rPr>
              <w:t xml:space="preserve">INSIGHT committee </w:t>
            </w:r>
            <w:bookmarkStart w:id="1" w:name="_GoBack"/>
            <w:bookmarkEnd w:id="1"/>
            <w:r w:rsidR="00601525" w:rsidRPr="001268A6">
              <w:rPr>
                <w:rStyle w:val="Hyperlink"/>
              </w:rPr>
              <w:t xml:space="preserve"> members</w:t>
            </w:r>
            <w:r w:rsidR="00601525">
              <w:rPr>
                <w:webHidden/>
              </w:rPr>
              <w:tab/>
            </w:r>
            <w:r w:rsidR="00601525">
              <w:rPr>
                <w:webHidden/>
              </w:rPr>
              <w:fldChar w:fldCharType="begin"/>
            </w:r>
            <w:r w:rsidR="00601525">
              <w:rPr>
                <w:webHidden/>
              </w:rPr>
              <w:instrText xml:space="preserve"> PAGEREF _Toc526952101 \h </w:instrText>
            </w:r>
            <w:r w:rsidR="00601525">
              <w:rPr>
                <w:webHidden/>
              </w:rPr>
            </w:r>
            <w:r w:rsidR="00601525">
              <w:rPr>
                <w:webHidden/>
              </w:rPr>
              <w:fldChar w:fldCharType="separate"/>
            </w:r>
            <w:r w:rsidR="005116D5">
              <w:rPr>
                <w:webHidden/>
              </w:rPr>
              <w:t>21</w:t>
            </w:r>
            <w:r w:rsidR="00601525">
              <w:rPr>
                <w:webHidden/>
              </w:rPr>
              <w:fldChar w:fldCharType="end"/>
            </w:r>
          </w:hyperlink>
        </w:p>
        <w:p w14:paraId="75D0C407" w14:textId="31FA76C1" w:rsidR="00601525" w:rsidRDefault="00924483">
          <w:pPr>
            <w:pStyle w:val="TOC1"/>
            <w:tabs>
              <w:tab w:val="left" w:pos="1540"/>
            </w:tabs>
            <w:rPr>
              <w:rFonts w:asciiTheme="minorHAnsi" w:hAnsiTheme="minorHAnsi"/>
              <w:b w:val="0"/>
              <w:sz w:val="22"/>
              <w:szCs w:val="22"/>
              <w:lang w:eastAsia="en-AU"/>
            </w:rPr>
          </w:pPr>
          <w:hyperlink w:anchor="_Toc526952102" w:history="1">
            <w:r w:rsidR="00601525" w:rsidRPr="001268A6">
              <w:rPr>
                <w:rStyle w:val="Hyperlink"/>
              </w:rPr>
              <w:t>Appendix 2 KPI rationales</w:t>
            </w:r>
            <w:r w:rsidR="00601525">
              <w:rPr>
                <w:webHidden/>
              </w:rPr>
              <w:tab/>
            </w:r>
            <w:r w:rsidR="00601525">
              <w:rPr>
                <w:webHidden/>
              </w:rPr>
              <w:fldChar w:fldCharType="begin"/>
            </w:r>
            <w:r w:rsidR="00601525">
              <w:rPr>
                <w:webHidden/>
              </w:rPr>
              <w:instrText xml:space="preserve"> PAGEREF _Toc526952102 \h </w:instrText>
            </w:r>
            <w:r w:rsidR="00601525">
              <w:rPr>
                <w:webHidden/>
              </w:rPr>
            </w:r>
            <w:r w:rsidR="00601525">
              <w:rPr>
                <w:webHidden/>
              </w:rPr>
              <w:fldChar w:fldCharType="separate"/>
            </w:r>
            <w:r w:rsidR="005116D5">
              <w:rPr>
                <w:webHidden/>
              </w:rPr>
              <w:t>22</w:t>
            </w:r>
            <w:r w:rsidR="00601525">
              <w:rPr>
                <w:webHidden/>
              </w:rPr>
              <w:fldChar w:fldCharType="end"/>
            </w:r>
          </w:hyperlink>
        </w:p>
        <w:p w14:paraId="64FD429E" w14:textId="5A839A4A" w:rsidR="00601525" w:rsidRDefault="00924483">
          <w:pPr>
            <w:pStyle w:val="TOC2"/>
            <w:rPr>
              <w:rFonts w:asciiTheme="minorHAnsi" w:hAnsiTheme="minorHAnsi"/>
              <w:b w:val="0"/>
              <w:color w:val="auto"/>
              <w:sz w:val="22"/>
              <w:szCs w:val="22"/>
            </w:rPr>
          </w:pPr>
          <w:hyperlink w:anchor="_Toc526952103" w:history="1">
            <w:r w:rsidR="00601525" w:rsidRPr="001268A6">
              <w:rPr>
                <w:rStyle w:val="Hyperlink"/>
              </w:rPr>
              <w:t>KPI 1: Proportion of new, planned patients who have received CKD education before starting dialysis</w:t>
            </w:r>
            <w:r w:rsidR="00601525">
              <w:rPr>
                <w:webHidden/>
              </w:rPr>
              <w:tab/>
            </w:r>
            <w:r w:rsidR="00601525">
              <w:rPr>
                <w:webHidden/>
              </w:rPr>
              <w:fldChar w:fldCharType="begin"/>
            </w:r>
            <w:r w:rsidR="00601525">
              <w:rPr>
                <w:webHidden/>
              </w:rPr>
              <w:instrText xml:space="preserve"> PAGEREF _Toc526952103 \h </w:instrText>
            </w:r>
            <w:r w:rsidR="00601525">
              <w:rPr>
                <w:webHidden/>
              </w:rPr>
            </w:r>
            <w:r w:rsidR="00601525">
              <w:rPr>
                <w:webHidden/>
              </w:rPr>
              <w:fldChar w:fldCharType="separate"/>
            </w:r>
            <w:r w:rsidR="005116D5">
              <w:rPr>
                <w:webHidden/>
              </w:rPr>
              <w:t>22</w:t>
            </w:r>
            <w:r w:rsidR="00601525">
              <w:rPr>
                <w:webHidden/>
              </w:rPr>
              <w:fldChar w:fldCharType="end"/>
            </w:r>
          </w:hyperlink>
        </w:p>
        <w:p w14:paraId="62F18DD3" w14:textId="22B40B88" w:rsidR="00601525" w:rsidRDefault="00924483">
          <w:pPr>
            <w:pStyle w:val="TOC2"/>
            <w:rPr>
              <w:rFonts w:asciiTheme="minorHAnsi" w:hAnsiTheme="minorHAnsi"/>
              <w:b w:val="0"/>
              <w:color w:val="auto"/>
              <w:sz w:val="22"/>
              <w:szCs w:val="22"/>
            </w:rPr>
          </w:pPr>
          <w:hyperlink w:anchor="_Toc526952107" w:history="1">
            <w:r w:rsidR="00601525" w:rsidRPr="001268A6">
              <w:rPr>
                <w:rStyle w:val="Hyperlink"/>
              </w:rPr>
              <w:t>KPI 2: Proportion of new, planned RRT patients (excluding pre-emptive live donor transplants within 2 weeks of transplant) who successfully use an arteriovenous fistula or graft access at first HD treatment</w:t>
            </w:r>
            <w:r w:rsidR="00601525">
              <w:rPr>
                <w:webHidden/>
              </w:rPr>
              <w:tab/>
            </w:r>
            <w:r w:rsidR="00601525">
              <w:rPr>
                <w:webHidden/>
              </w:rPr>
              <w:fldChar w:fldCharType="begin"/>
            </w:r>
            <w:r w:rsidR="00601525">
              <w:rPr>
                <w:webHidden/>
              </w:rPr>
              <w:instrText xml:space="preserve"> PAGEREF _Toc526952107 \h </w:instrText>
            </w:r>
            <w:r w:rsidR="00601525">
              <w:rPr>
                <w:webHidden/>
              </w:rPr>
            </w:r>
            <w:r w:rsidR="00601525">
              <w:rPr>
                <w:webHidden/>
              </w:rPr>
              <w:fldChar w:fldCharType="separate"/>
            </w:r>
            <w:r w:rsidR="005116D5">
              <w:rPr>
                <w:webHidden/>
              </w:rPr>
              <w:t>24</w:t>
            </w:r>
            <w:r w:rsidR="00601525">
              <w:rPr>
                <w:webHidden/>
              </w:rPr>
              <w:fldChar w:fldCharType="end"/>
            </w:r>
          </w:hyperlink>
        </w:p>
        <w:p w14:paraId="67DABD1A" w14:textId="450498F5" w:rsidR="00601525" w:rsidRDefault="00924483">
          <w:pPr>
            <w:pStyle w:val="TOC2"/>
            <w:rPr>
              <w:rFonts w:asciiTheme="minorHAnsi" w:hAnsiTheme="minorHAnsi"/>
              <w:b w:val="0"/>
              <w:color w:val="auto"/>
              <w:sz w:val="22"/>
              <w:szCs w:val="22"/>
            </w:rPr>
          </w:pPr>
          <w:hyperlink w:anchor="_Toc526952111" w:history="1">
            <w:r w:rsidR="00601525" w:rsidRPr="001268A6">
              <w:rPr>
                <w:rStyle w:val="Hyperlink"/>
              </w:rPr>
              <w:t>KPI 3: Proportion of dialysis patients who are dialysing at home</w:t>
            </w:r>
            <w:r w:rsidR="00601525">
              <w:rPr>
                <w:webHidden/>
              </w:rPr>
              <w:tab/>
            </w:r>
            <w:r w:rsidR="00601525">
              <w:rPr>
                <w:webHidden/>
              </w:rPr>
              <w:fldChar w:fldCharType="begin"/>
            </w:r>
            <w:r w:rsidR="00601525">
              <w:rPr>
                <w:webHidden/>
              </w:rPr>
              <w:instrText xml:space="preserve"> PAGEREF _Toc526952111 \h </w:instrText>
            </w:r>
            <w:r w:rsidR="00601525">
              <w:rPr>
                <w:webHidden/>
              </w:rPr>
            </w:r>
            <w:r w:rsidR="00601525">
              <w:rPr>
                <w:webHidden/>
              </w:rPr>
              <w:fldChar w:fldCharType="separate"/>
            </w:r>
            <w:r w:rsidR="005116D5">
              <w:rPr>
                <w:webHidden/>
              </w:rPr>
              <w:t>25</w:t>
            </w:r>
            <w:r w:rsidR="00601525">
              <w:rPr>
                <w:webHidden/>
              </w:rPr>
              <w:fldChar w:fldCharType="end"/>
            </w:r>
          </w:hyperlink>
        </w:p>
        <w:p w14:paraId="4D958C66" w14:textId="5250EFF0" w:rsidR="00601525" w:rsidRDefault="00924483">
          <w:pPr>
            <w:pStyle w:val="TOC2"/>
            <w:rPr>
              <w:rFonts w:asciiTheme="minorHAnsi" w:hAnsiTheme="minorHAnsi"/>
              <w:b w:val="0"/>
              <w:color w:val="auto"/>
              <w:sz w:val="22"/>
              <w:szCs w:val="22"/>
            </w:rPr>
          </w:pPr>
          <w:hyperlink w:anchor="_Toc526952115" w:history="1">
            <w:r w:rsidR="00601525" w:rsidRPr="001268A6">
              <w:rPr>
                <w:rStyle w:val="Hyperlink"/>
              </w:rPr>
              <w:t>KPI 4: Peritonitis rates of each hub service</w:t>
            </w:r>
            <w:r w:rsidR="00601525">
              <w:rPr>
                <w:webHidden/>
              </w:rPr>
              <w:tab/>
            </w:r>
            <w:r w:rsidR="00601525">
              <w:rPr>
                <w:webHidden/>
              </w:rPr>
              <w:fldChar w:fldCharType="begin"/>
            </w:r>
            <w:r w:rsidR="00601525">
              <w:rPr>
                <w:webHidden/>
              </w:rPr>
              <w:instrText xml:space="preserve"> PAGEREF _Toc526952115 \h </w:instrText>
            </w:r>
            <w:r w:rsidR="00601525">
              <w:rPr>
                <w:webHidden/>
              </w:rPr>
            </w:r>
            <w:r w:rsidR="00601525">
              <w:rPr>
                <w:webHidden/>
              </w:rPr>
              <w:fldChar w:fldCharType="separate"/>
            </w:r>
            <w:r w:rsidR="005116D5">
              <w:rPr>
                <w:webHidden/>
              </w:rPr>
              <w:t>26</w:t>
            </w:r>
            <w:r w:rsidR="00601525">
              <w:rPr>
                <w:webHidden/>
              </w:rPr>
              <w:fldChar w:fldCharType="end"/>
            </w:r>
          </w:hyperlink>
        </w:p>
        <w:p w14:paraId="7D380BDA" w14:textId="6C644282" w:rsidR="00601525" w:rsidRDefault="00924483">
          <w:pPr>
            <w:pStyle w:val="TOC2"/>
            <w:rPr>
              <w:rFonts w:asciiTheme="minorHAnsi" w:hAnsiTheme="minorHAnsi"/>
              <w:b w:val="0"/>
              <w:color w:val="auto"/>
              <w:sz w:val="22"/>
              <w:szCs w:val="22"/>
            </w:rPr>
          </w:pPr>
          <w:hyperlink w:anchor="_Toc526952119" w:history="1">
            <w:r w:rsidR="00601525" w:rsidRPr="001268A6">
              <w:rPr>
                <w:rStyle w:val="Hyperlink"/>
              </w:rPr>
              <w:t>KPI 5: Proportion of new live donor transplants that are pre-emptive</w:t>
            </w:r>
            <w:r w:rsidR="00601525">
              <w:rPr>
                <w:webHidden/>
              </w:rPr>
              <w:tab/>
            </w:r>
            <w:r w:rsidR="00601525">
              <w:rPr>
                <w:webHidden/>
              </w:rPr>
              <w:fldChar w:fldCharType="begin"/>
            </w:r>
            <w:r w:rsidR="00601525">
              <w:rPr>
                <w:webHidden/>
              </w:rPr>
              <w:instrText xml:space="preserve"> PAGEREF _Toc526952119 \h </w:instrText>
            </w:r>
            <w:r w:rsidR="00601525">
              <w:rPr>
                <w:webHidden/>
              </w:rPr>
            </w:r>
            <w:r w:rsidR="00601525">
              <w:rPr>
                <w:webHidden/>
              </w:rPr>
              <w:fldChar w:fldCharType="separate"/>
            </w:r>
            <w:r w:rsidR="005116D5">
              <w:rPr>
                <w:webHidden/>
              </w:rPr>
              <w:t>28</w:t>
            </w:r>
            <w:r w:rsidR="00601525">
              <w:rPr>
                <w:webHidden/>
              </w:rPr>
              <w:fldChar w:fldCharType="end"/>
            </w:r>
          </w:hyperlink>
        </w:p>
        <w:p w14:paraId="6A2BB27D" w14:textId="22E06E44" w:rsidR="00601525" w:rsidRDefault="00924483">
          <w:pPr>
            <w:pStyle w:val="TOC2"/>
            <w:tabs>
              <w:tab w:val="left" w:pos="880"/>
            </w:tabs>
            <w:rPr>
              <w:rFonts w:asciiTheme="minorHAnsi" w:hAnsiTheme="minorHAnsi"/>
              <w:b w:val="0"/>
              <w:color w:val="auto"/>
              <w:sz w:val="22"/>
              <w:szCs w:val="22"/>
            </w:rPr>
          </w:pPr>
          <w:hyperlink w:anchor="_Toc526952123" w:history="1">
            <w:r w:rsidR="00601525" w:rsidRPr="001268A6">
              <w:rPr>
                <w:rStyle w:val="Hyperlink"/>
              </w:rPr>
              <w:t>KPI 6:</w:t>
            </w:r>
            <w:r w:rsidR="006A10C0">
              <w:rPr>
                <w:rFonts w:asciiTheme="minorHAnsi" w:hAnsiTheme="minorHAnsi"/>
                <w:b w:val="0"/>
                <w:color w:val="auto"/>
                <w:sz w:val="22"/>
                <w:szCs w:val="22"/>
              </w:rPr>
              <w:t xml:space="preserve"> </w:t>
            </w:r>
            <w:r w:rsidR="00601525" w:rsidRPr="001268A6">
              <w:rPr>
                <w:rStyle w:val="Hyperlink"/>
              </w:rPr>
              <w:t>Proportion of new ESKD patients under 65 years old who have had a transplant or are on the active list</w:t>
            </w:r>
            <w:r w:rsidR="00601525">
              <w:rPr>
                <w:webHidden/>
              </w:rPr>
              <w:tab/>
            </w:r>
            <w:r w:rsidR="00601525">
              <w:rPr>
                <w:webHidden/>
              </w:rPr>
              <w:fldChar w:fldCharType="begin"/>
            </w:r>
            <w:r w:rsidR="00601525">
              <w:rPr>
                <w:webHidden/>
              </w:rPr>
              <w:instrText xml:space="preserve"> PAGEREF _Toc526952123 \h </w:instrText>
            </w:r>
            <w:r w:rsidR="00601525">
              <w:rPr>
                <w:webHidden/>
              </w:rPr>
            </w:r>
            <w:r w:rsidR="00601525">
              <w:rPr>
                <w:webHidden/>
              </w:rPr>
              <w:fldChar w:fldCharType="separate"/>
            </w:r>
            <w:r w:rsidR="005116D5">
              <w:rPr>
                <w:webHidden/>
              </w:rPr>
              <w:t>29</w:t>
            </w:r>
            <w:r w:rsidR="00601525">
              <w:rPr>
                <w:webHidden/>
              </w:rPr>
              <w:fldChar w:fldCharType="end"/>
            </w:r>
          </w:hyperlink>
        </w:p>
        <w:p w14:paraId="296B4ED6" w14:textId="77777777" w:rsidR="00601525" w:rsidRDefault="00601525">
          <w:r>
            <w:rPr>
              <w:b/>
              <w:bCs/>
              <w:noProof/>
            </w:rPr>
            <w:fldChar w:fldCharType="end"/>
          </w:r>
        </w:p>
      </w:sdtContent>
    </w:sdt>
    <w:p w14:paraId="14BC3106" w14:textId="77777777" w:rsidR="0080471A" w:rsidRDefault="0080471A" w:rsidP="0080471A">
      <w:r>
        <w:br w:type="page"/>
      </w:r>
    </w:p>
    <w:p w14:paraId="12B17F63" w14:textId="77777777" w:rsidR="0080471A" w:rsidRDefault="0080471A" w:rsidP="0080471A">
      <w:pPr>
        <w:pStyle w:val="Heading1"/>
        <w:framePr w:wrap="around"/>
      </w:pPr>
      <w:bookmarkStart w:id="2" w:name="_Toc526952068"/>
      <w:r>
        <w:lastRenderedPageBreak/>
        <w:t>List of abbreviations</w:t>
      </w:r>
      <w:bookmarkEnd w:id="2"/>
    </w:p>
    <w:p w14:paraId="3E70A207" w14:textId="77777777" w:rsidR="0080471A" w:rsidRDefault="0080471A" w:rsidP="0080471A">
      <w:r>
        <w:t>AVF</w:t>
      </w:r>
      <w:r>
        <w:tab/>
      </w:r>
      <w:r>
        <w:tab/>
        <w:t>Arterio</w:t>
      </w:r>
      <w:r w:rsidR="00656012">
        <w:t>v</w:t>
      </w:r>
      <w:r>
        <w:t>enous Fistula</w:t>
      </w:r>
    </w:p>
    <w:p w14:paraId="0204AEB4" w14:textId="77777777" w:rsidR="0080471A" w:rsidRDefault="0080471A" w:rsidP="0080471A">
      <w:r>
        <w:t>AVG</w:t>
      </w:r>
      <w:r>
        <w:tab/>
      </w:r>
      <w:r>
        <w:tab/>
        <w:t>Arterio</w:t>
      </w:r>
      <w:r w:rsidR="00656012">
        <w:t>v</w:t>
      </w:r>
      <w:r>
        <w:t>enous Graft</w:t>
      </w:r>
    </w:p>
    <w:p w14:paraId="08AEDFCC" w14:textId="77777777" w:rsidR="0080471A" w:rsidRDefault="0080471A" w:rsidP="0080471A">
      <w:r>
        <w:t>CKD</w:t>
      </w:r>
      <w:r>
        <w:tab/>
      </w:r>
      <w:r>
        <w:tab/>
        <w:t>Chronic Kidney Disease</w:t>
      </w:r>
    </w:p>
    <w:p w14:paraId="37CC55A0" w14:textId="77777777" w:rsidR="0080471A" w:rsidRDefault="0080471A" w:rsidP="0080471A">
      <w:r>
        <w:t>ESKD</w:t>
      </w:r>
      <w:r>
        <w:tab/>
      </w:r>
      <w:r>
        <w:tab/>
        <w:t>End Stage Kidney Disease</w:t>
      </w:r>
    </w:p>
    <w:p w14:paraId="34FDB4A8" w14:textId="77777777" w:rsidR="0080471A" w:rsidRDefault="0080471A" w:rsidP="0080471A">
      <w:r>
        <w:t>HD</w:t>
      </w:r>
      <w:r>
        <w:tab/>
      </w:r>
      <w:r>
        <w:tab/>
        <w:t>Haemodialysis</w:t>
      </w:r>
    </w:p>
    <w:p w14:paraId="04085DE9" w14:textId="77777777" w:rsidR="0080471A" w:rsidRDefault="0080471A" w:rsidP="0080471A">
      <w:r>
        <w:t>KHA-CARI</w:t>
      </w:r>
      <w:r>
        <w:tab/>
        <w:t>Kidney Health Australia Caring for Australasians with Renal Impairment</w:t>
      </w:r>
    </w:p>
    <w:p w14:paraId="5007750E" w14:textId="77777777" w:rsidR="0080471A" w:rsidRDefault="0080471A" w:rsidP="0080471A">
      <w:r>
        <w:t>KPI</w:t>
      </w:r>
      <w:r>
        <w:tab/>
      </w:r>
      <w:r>
        <w:tab/>
        <w:t>Key Performance Indicator</w:t>
      </w:r>
    </w:p>
    <w:p w14:paraId="492289E1" w14:textId="77777777" w:rsidR="0080471A" w:rsidRDefault="0080471A" w:rsidP="0080471A">
      <w:r>
        <w:t>PD</w:t>
      </w:r>
      <w:r>
        <w:tab/>
      </w:r>
      <w:r>
        <w:tab/>
        <w:t>Peritoneal Dialysis</w:t>
      </w:r>
    </w:p>
    <w:p w14:paraId="4D1056E0" w14:textId="77777777" w:rsidR="0080471A" w:rsidRDefault="0080471A" w:rsidP="0080471A">
      <w:r>
        <w:t>RRT</w:t>
      </w:r>
      <w:r>
        <w:tab/>
      </w:r>
      <w:r>
        <w:tab/>
        <w:t>Renal Replacement Therapy</w:t>
      </w:r>
    </w:p>
    <w:p w14:paraId="06E1BCED" w14:textId="77777777" w:rsidR="0080471A" w:rsidRDefault="004E4F0D" w:rsidP="0080471A">
      <w:r>
        <w:t>RCN</w:t>
      </w:r>
      <w:r>
        <w:tab/>
      </w:r>
      <w:r>
        <w:tab/>
      </w:r>
      <w:r w:rsidR="0080471A">
        <w:t>Renal Clinical Network</w:t>
      </w:r>
    </w:p>
    <w:p w14:paraId="1D1972A4" w14:textId="77777777" w:rsidR="0080471A" w:rsidRDefault="0080471A" w:rsidP="0080471A">
      <w:r>
        <w:br w:type="page"/>
      </w:r>
    </w:p>
    <w:p w14:paraId="744FCD4D" w14:textId="77777777" w:rsidR="0080471A" w:rsidRDefault="005F15F1" w:rsidP="0080471A">
      <w:pPr>
        <w:pStyle w:val="Heading1"/>
        <w:framePr w:wrap="around"/>
      </w:pPr>
      <w:bookmarkStart w:id="3" w:name="_Toc526952069"/>
      <w:r>
        <w:lastRenderedPageBreak/>
        <w:t>Introduction</w:t>
      </w:r>
      <w:bookmarkEnd w:id="3"/>
      <w:r>
        <w:t xml:space="preserve"> </w:t>
      </w:r>
    </w:p>
    <w:p w14:paraId="632E1A4E" w14:textId="77777777" w:rsidR="00B45E34" w:rsidRPr="001A6E64" w:rsidRDefault="00B45E34" w:rsidP="00B45E34">
      <w:pPr>
        <w:pStyle w:val="IntroductoryText"/>
      </w:pPr>
      <w:r>
        <w:t>Since 2012 t</w:t>
      </w:r>
      <w:r w:rsidRPr="001A6E64">
        <w:t xml:space="preserve">he </w:t>
      </w:r>
      <w:r>
        <w:t>Renal Clinical Network (</w:t>
      </w:r>
      <w:r w:rsidRPr="001A6E64">
        <w:t xml:space="preserve">RCN) </w:t>
      </w:r>
      <w:r>
        <w:t>has</w:t>
      </w:r>
      <w:r w:rsidRPr="001A6E64">
        <w:t xml:space="preserve"> develop</w:t>
      </w:r>
      <w:r>
        <w:t>ed</w:t>
      </w:r>
      <w:r w:rsidRPr="001A6E64">
        <w:t xml:space="preserve"> and implement</w:t>
      </w:r>
      <w:r>
        <w:t>ed</w:t>
      </w:r>
      <w:r w:rsidRPr="001A6E64">
        <w:t xml:space="preserve"> indicators to meas</w:t>
      </w:r>
      <w:r>
        <w:t xml:space="preserve">ure the performance of Victoria’s renal services, through the </w:t>
      </w:r>
      <w:r w:rsidRPr="001A6E64">
        <w:t>renal key performanc</w:t>
      </w:r>
      <w:r>
        <w:t xml:space="preserve">e indicators (KPIs). </w:t>
      </w:r>
      <w:r w:rsidRPr="001A6E64">
        <w:t>The</w:t>
      </w:r>
      <w:r>
        <w:t>se</w:t>
      </w:r>
      <w:r w:rsidRPr="001A6E64">
        <w:t xml:space="preserve"> indicators </w:t>
      </w:r>
      <w:r>
        <w:t xml:space="preserve">aim to </w:t>
      </w:r>
      <w:r w:rsidRPr="001A6E64">
        <w:t xml:space="preserve">drive </w:t>
      </w:r>
      <w:r>
        <w:t>quality</w:t>
      </w:r>
      <w:r w:rsidRPr="001A6E64">
        <w:t xml:space="preserve"> improvement and increase efficiency and consistency through transparent comparison of performance. </w:t>
      </w:r>
    </w:p>
    <w:p w14:paraId="7AB402AE" w14:textId="77777777" w:rsidR="00B45E34" w:rsidRDefault="00B45E34" w:rsidP="00B45E34">
      <w:r>
        <w:t>The original set of six KPIs were formally endorsed by the RCN in 2012.  Data is collected monthly by Safer Care Victoria (SCV) through a specially designed website portal. Each health service CEO has given formal permission to participate in the data collection and benchmarking program.</w:t>
      </w:r>
    </w:p>
    <w:p w14:paraId="66D7D4C1" w14:textId="77777777" w:rsidR="00B45E34" w:rsidRDefault="00B45E34" w:rsidP="00B45E34">
      <w:r>
        <w:t xml:space="preserve">Since January 2018, </w:t>
      </w:r>
      <w:r w:rsidRPr="007A66B8">
        <w:t xml:space="preserve">oversight of the renal KPIs has been the responsibility of </w:t>
      </w:r>
      <w:r>
        <w:t>the SCV-RCN Insight subcommittee,</w:t>
      </w:r>
      <w:r w:rsidRPr="007A66B8">
        <w:t xml:space="preserve"> which reports directly to the SCV-RCN Governance committee</w:t>
      </w:r>
      <w:r>
        <w:t>.</w:t>
      </w:r>
      <w:r w:rsidRPr="00801065">
        <w:t xml:space="preserve"> </w:t>
      </w:r>
      <w:r>
        <w:t>The current members of the Insight subcommittee</w:t>
      </w:r>
      <w:r w:rsidRPr="00801065">
        <w:t xml:space="preserve"> are listed in Appendix 1.</w:t>
      </w:r>
      <w:r>
        <w:t xml:space="preserve"> The subcommittee meets each quarter to analyse the data. Each indicator has clear definitions, parameters and targets set. Targets may be changed as performance evolves and will be assessed by the Insight subcommittee. </w:t>
      </w:r>
    </w:p>
    <w:p w14:paraId="0109E096" w14:textId="77777777" w:rsidR="00B45E34" w:rsidRDefault="00B45E34" w:rsidP="00B45E34">
      <w:r w:rsidRPr="00BA0D80">
        <w:t xml:space="preserve">A review of the renal KPI program was undertaken in 2018-19 to ensure that the measures remain relevant and effective. </w:t>
      </w:r>
      <w:r>
        <w:t xml:space="preserve">The review report is available at: </w:t>
      </w:r>
      <w:hyperlink r:id="rId18" w:history="1">
        <w:r w:rsidRPr="00230260">
          <w:rPr>
            <w:rStyle w:val="Hyperlink"/>
          </w:rPr>
          <w:t>https://www.bettersafercare.vic.gov.au/about-us/about-scv/our-clinical-networks/renal-clinical-network</w:t>
        </w:r>
      </w:hyperlink>
      <w:r>
        <w:t xml:space="preserve">. </w:t>
      </w:r>
    </w:p>
    <w:p w14:paraId="72F98041" w14:textId="77777777" w:rsidR="00B45E34" w:rsidRDefault="00B45E34" w:rsidP="00B45E34">
      <w:r w:rsidRPr="00BA0D80">
        <w:t xml:space="preserve">Several recommendations were made as an outcome from the review. As a result, some elements of the report </w:t>
      </w:r>
      <w:r>
        <w:t xml:space="preserve">will </w:t>
      </w:r>
      <w:r w:rsidRPr="00BA0D80">
        <w:t>change</w:t>
      </w:r>
      <w:r>
        <w:t xml:space="preserve"> over the next 12 months</w:t>
      </w:r>
      <w:r w:rsidRPr="00BA0D80">
        <w:t xml:space="preserve">, including the addition of new KPIs. </w:t>
      </w:r>
      <w:r>
        <w:t>From this report onwards the targets for KPI-3 have been removed.</w:t>
      </w:r>
      <w:r w:rsidRPr="00BA0D80">
        <w:t xml:space="preserve"> </w:t>
      </w:r>
    </w:p>
    <w:p w14:paraId="68BA2C6E" w14:textId="69236A6C" w:rsidR="00B45E34" w:rsidRDefault="00B45E34" w:rsidP="00B45E34">
      <w:r>
        <w:t>SCV oversees the data entry and puts together the KPI reports. This report is the 2</w:t>
      </w:r>
      <w:r w:rsidR="00D4583D">
        <w:t>5</w:t>
      </w:r>
      <w:r>
        <w:t>th edition and reviews data from J</w:t>
      </w:r>
      <w:r w:rsidR="00D4583D">
        <w:t>an</w:t>
      </w:r>
      <w:r>
        <w:t xml:space="preserve"> 201</w:t>
      </w:r>
      <w:r w:rsidR="00D4583D">
        <w:t>9</w:t>
      </w:r>
      <w:r>
        <w:t xml:space="preserve"> to </w:t>
      </w:r>
      <w:r w:rsidR="00D4583D">
        <w:t>Dec</w:t>
      </w:r>
      <w:r>
        <w:t xml:space="preserve"> 2019.  </w:t>
      </w:r>
    </w:p>
    <w:p w14:paraId="49477637" w14:textId="77777777" w:rsidR="00B45E34" w:rsidRDefault="00B45E34" w:rsidP="00B45E34">
      <w:r>
        <w:t xml:space="preserve">We want to ensure this report meets the needs of health services and provides a useful basis for renal service evaluation. </w:t>
      </w:r>
    </w:p>
    <w:p w14:paraId="558EF84B" w14:textId="77777777" w:rsidR="00B45E34" w:rsidRDefault="00B45E34" w:rsidP="00B45E34">
      <w:r>
        <w:t>If you have any feedback on this report, get in touch:</w:t>
      </w:r>
    </w:p>
    <w:p w14:paraId="68D826B1" w14:textId="77777777" w:rsidR="00B45E34" w:rsidRPr="001A6E64" w:rsidRDefault="00B45E34" w:rsidP="00B45E34">
      <w:r>
        <w:t>Gregory Dowling</w:t>
      </w:r>
      <w:r>
        <w:br/>
      </w:r>
      <w:r w:rsidRPr="001A6E64">
        <w:rPr>
          <w:b/>
        </w:rPr>
        <w:t>gregory.dowling@safercare.vic.gov.au</w:t>
      </w:r>
    </w:p>
    <w:p w14:paraId="6801E4AA" w14:textId="77777777" w:rsidR="0080471A" w:rsidRDefault="0080471A" w:rsidP="0080471A">
      <w:r>
        <w:br w:type="page"/>
      </w:r>
    </w:p>
    <w:p w14:paraId="2BAE2CB2" w14:textId="77777777" w:rsidR="0080471A" w:rsidRPr="0080471A" w:rsidRDefault="0080471A" w:rsidP="0080471A">
      <w:pPr>
        <w:pStyle w:val="Heading1"/>
        <w:framePr w:wrap="around"/>
      </w:pPr>
      <w:bookmarkStart w:id="4" w:name="_Toc526952070"/>
      <w:r w:rsidRPr="0080471A">
        <w:lastRenderedPageBreak/>
        <w:t>Performance</w:t>
      </w:r>
      <w:bookmarkEnd w:id="4"/>
    </w:p>
    <w:p w14:paraId="53F56175" w14:textId="77777777" w:rsidR="0080471A" w:rsidRPr="0080471A" w:rsidRDefault="001A6E64" w:rsidP="0080471A">
      <w:pPr>
        <w:pStyle w:val="Heading2"/>
      </w:pPr>
      <w:bookmarkStart w:id="5" w:name="_Toc526952071"/>
      <w:r>
        <w:t xml:space="preserve">KPI 1: </w:t>
      </w:r>
      <w:r w:rsidR="0080471A" w:rsidRPr="0080471A">
        <w:t>Proportion of new, planned patients who have received CKD education before starting dialysis</w:t>
      </w:r>
      <w:bookmarkEnd w:id="5"/>
    </w:p>
    <w:p w14:paraId="07A8B992" w14:textId="77777777" w:rsidR="0080471A" w:rsidRPr="0080471A" w:rsidRDefault="0080471A" w:rsidP="0080471A">
      <w:pPr>
        <w:pStyle w:val="Heading3"/>
      </w:pPr>
      <w:bookmarkStart w:id="6" w:name="_Toc526952072"/>
      <w:r w:rsidRPr="0080471A">
        <w:t>Definition</w:t>
      </w:r>
      <w:bookmarkEnd w:id="6"/>
    </w:p>
    <w:p w14:paraId="6EE3D760" w14:textId="77777777" w:rsidR="0080471A" w:rsidRPr="0080471A" w:rsidRDefault="0080471A" w:rsidP="0080471A">
      <w:r w:rsidRPr="0080471A">
        <w:t>The percentage of patients that attended a Chronic Kidney Disease (CKD) education session that is documented in their medical record, before commencement of renal replacement therapy (RRT).</w:t>
      </w:r>
    </w:p>
    <w:p w14:paraId="35CA66B3" w14:textId="77777777" w:rsidR="0080471A" w:rsidRDefault="0080471A" w:rsidP="0080471A">
      <w:pPr>
        <w:pStyle w:val="Heading3"/>
      </w:pPr>
      <w:bookmarkStart w:id="7" w:name="_Toc526952073"/>
      <w:r>
        <w:t>Target</w:t>
      </w:r>
      <w:bookmarkEnd w:id="7"/>
    </w:p>
    <w:p w14:paraId="30D2BF5D" w14:textId="77777777" w:rsidR="0080471A" w:rsidRDefault="0080471A" w:rsidP="0080471A">
      <w:r>
        <w:t>80 per cent of new, planned patients who start dialysis have attended a CKD education session.</w:t>
      </w:r>
    </w:p>
    <w:p w14:paraId="20042090" w14:textId="77777777" w:rsidR="0080471A" w:rsidRDefault="0080471A" w:rsidP="0080471A">
      <w:pPr>
        <w:pStyle w:val="Heading3"/>
      </w:pPr>
      <w:bookmarkStart w:id="8" w:name="_Toc526952074"/>
      <w:r>
        <w:t>Exclusions</w:t>
      </w:r>
      <w:bookmarkEnd w:id="8"/>
    </w:p>
    <w:p w14:paraId="5961FC9E" w14:textId="77777777" w:rsidR="0080471A" w:rsidRPr="0080471A" w:rsidRDefault="0080471A" w:rsidP="0080471A">
      <w:pPr>
        <w:pStyle w:val="Bullet1"/>
      </w:pPr>
      <w:r w:rsidRPr="0080471A">
        <w:t>Late referrals (patients commencing dialysis within three months of first renal consultation)</w:t>
      </w:r>
      <w:r w:rsidR="001A6E64">
        <w:t>.</w:t>
      </w:r>
    </w:p>
    <w:p w14:paraId="1F251E1B" w14:textId="77777777" w:rsidR="0080471A" w:rsidRPr="0080471A" w:rsidRDefault="0080471A" w:rsidP="0080471A">
      <w:pPr>
        <w:pStyle w:val="Bullet1"/>
      </w:pPr>
      <w:r w:rsidRPr="0080471A">
        <w:t>Patients returning to dialysis with a failed transplant.</w:t>
      </w:r>
    </w:p>
    <w:p w14:paraId="6E00AA14" w14:textId="77777777" w:rsidR="0080471A" w:rsidRDefault="0080471A" w:rsidP="0080471A">
      <w:pPr>
        <w:pStyle w:val="Heading3"/>
      </w:pPr>
      <w:bookmarkStart w:id="9" w:name="_Toc526952075"/>
      <w:r>
        <w:t>Results</w:t>
      </w:r>
      <w:bookmarkEnd w:id="9"/>
    </w:p>
    <w:p w14:paraId="2A89AAEB" w14:textId="1B407E0F" w:rsidR="001978E1" w:rsidRDefault="001978E1" w:rsidP="001978E1">
      <w:pPr>
        <w:pStyle w:val="Normalfollowingheading"/>
      </w:pPr>
    </w:p>
    <w:p w14:paraId="7E6EB157" w14:textId="7C9E743F" w:rsidR="0080471A" w:rsidRDefault="006D5FFC" w:rsidP="0080471A">
      <w:r>
        <w:rPr>
          <w:noProof/>
        </w:rPr>
        <w:drawing>
          <wp:inline distT="0" distB="0" distL="0" distR="0" wp14:anchorId="65DE8FD8" wp14:editId="02385B3E">
            <wp:extent cx="6305550" cy="3600450"/>
            <wp:effectExtent l="0" t="0" r="0" b="0"/>
            <wp:docPr id="1" name="Chart 1">
              <a:extLst xmlns:a="http://schemas.openxmlformats.org/drawingml/2006/main">
                <a:ext uri="{FF2B5EF4-FFF2-40B4-BE49-F238E27FC236}">
                  <a16:creationId xmlns:a16="http://schemas.microsoft.com/office/drawing/2014/main" id="{254BC901-698B-4A19-AC40-54C508A54A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31CC17" w14:textId="6AED5B4B" w:rsidR="00A339C8" w:rsidRDefault="00A339C8" w:rsidP="00A339C8">
      <w:pPr>
        <w:pStyle w:val="Footer"/>
      </w:pPr>
      <w:r w:rsidRPr="00986DA0">
        <w:t xml:space="preserve">Note: Results based upon data for the period </w:t>
      </w:r>
      <w:r>
        <w:t>J</w:t>
      </w:r>
      <w:r w:rsidR="005F3358">
        <w:t>an</w:t>
      </w:r>
      <w:r>
        <w:t xml:space="preserve"> 201</w:t>
      </w:r>
      <w:r w:rsidR="005F3358">
        <w:t>9</w:t>
      </w:r>
      <w:r>
        <w:t xml:space="preserve"> - </w:t>
      </w:r>
      <w:r w:rsidR="005F3358">
        <w:t>Dec</w:t>
      </w:r>
      <w:r>
        <w:t xml:space="preserve"> 201</w:t>
      </w:r>
      <w:r w:rsidR="00495123">
        <w:t>9</w:t>
      </w:r>
      <w:r>
        <w:t xml:space="preserve"> </w:t>
      </w:r>
    </w:p>
    <w:p w14:paraId="5BBE49D7" w14:textId="77777777" w:rsidR="0080471A" w:rsidRDefault="0080471A" w:rsidP="0080471A">
      <w:r w:rsidRPr="0080471A">
        <w:t>All confidence intervals used in this document are specified at the 95 per cent level.</w:t>
      </w:r>
    </w:p>
    <w:p w14:paraId="2E23AFD2" w14:textId="6014F52D" w:rsidR="0080471A" w:rsidRDefault="00F27BBE" w:rsidP="0080471A">
      <w:r>
        <w:rPr>
          <w:noProof/>
        </w:rPr>
        <w:lastRenderedPageBreak/>
        <w:drawing>
          <wp:inline distT="0" distB="0" distL="0" distR="0" wp14:anchorId="1F0EB13E" wp14:editId="4DB810EA">
            <wp:extent cx="6299835" cy="3455035"/>
            <wp:effectExtent l="0" t="0" r="5715" b="0"/>
            <wp:docPr id="8" name="Chart 8">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1CE8A7" w14:textId="37ADFCCC" w:rsidR="0080471A" w:rsidRDefault="0080471A" w:rsidP="0080471A">
      <w:pPr>
        <w:pStyle w:val="Footer"/>
      </w:pPr>
      <w:r w:rsidRPr="00986DA0">
        <w:t xml:space="preserve">Note: Results based upon data for the period </w:t>
      </w:r>
      <w:r w:rsidR="00CA416A">
        <w:t>Jan</w:t>
      </w:r>
      <w:r w:rsidR="00996B92">
        <w:t xml:space="preserve"> 201</w:t>
      </w:r>
      <w:r w:rsidR="00CA416A">
        <w:t>9</w:t>
      </w:r>
      <w:r w:rsidR="00996B92">
        <w:t xml:space="preserve"> - </w:t>
      </w:r>
      <w:r w:rsidR="00CA416A">
        <w:t>Dec</w:t>
      </w:r>
      <w:r w:rsidR="00996B92">
        <w:t xml:space="preserve"> 201</w:t>
      </w:r>
      <w:r w:rsidR="0039329A">
        <w:t>9</w:t>
      </w:r>
      <w:r>
        <w:t xml:space="preserve"> </w:t>
      </w:r>
    </w:p>
    <w:p w14:paraId="32160E95" w14:textId="06885EB4" w:rsidR="0080471A" w:rsidRDefault="004E1A53" w:rsidP="0080471A">
      <w:r>
        <w:rPr>
          <w:noProof/>
        </w:rPr>
        <w:drawing>
          <wp:inline distT="0" distB="0" distL="0" distR="0" wp14:anchorId="38A5E453" wp14:editId="4BB81829">
            <wp:extent cx="6299835" cy="3138805"/>
            <wp:effectExtent l="0" t="0" r="5715" b="4445"/>
            <wp:docPr id="9" name="Chart 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33A41A6" w14:textId="1D91E206" w:rsidR="0080471A" w:rsidRPr="0080471A" w:rsidRDefault="0080471A" w:rsidP="0080471A">
      <w:pPr>
        <w:pStyle w:val="Footer"/>
      </w:pPr>
      <w:r w:rsidRPr="0080471A">
        <w:t>Note: Results showing trend over time: based on 12-month averages for the previous 3 years.</w:t>
      </w:r>
      <w:r>
        <w:br/>
      </w:r>
      <w:r w:rsidR="00461E56">
        <w:t>201</w:t>
      </w:r>
      <w:r w:rsidR="004E1A53">
        <w:t>9</w:t>
      </w:r>
      <w:r w:rsidR="00461E56">
        <w:t xml:space="preserve"> (</w:t>
      </w:r>
      <w:r w:rsidR="00CF1E57">
        <w:t>J</w:t>
      </w:r>
      <w:r w:rsidR="00CA416A">
        <w:t>an</w:t>
      </w:r>
      <w:r w:rsidRPr="0080471A">
        <w:t xml:space="preserve"> 1</w:t>
      </w:r>
      <w:r w:rsidR="00CA416A">
        <w:t>9</w:t>
      </w:r>
      <w:r w:rsidRPr="0080471A">
        <w:t xml:space="preserve"> – </w:t>
      </w:r>
      <w:r w:rsidR="00CA416A">
        <w:t>Dec</w:t>
      </w:r>
      <w:r w:rsidR="00461E56">
        <w:t xml:space="preserve"> 1</w:t>
      </w:r>
      <w:r w:rsidR="004E1A53">
        <w:t>9</w:t>
      </w:r>
      <w:r w:rsidR="00461E56">
        <w:t>), 201</w:t>
      </w:r>
      <w:r w:rsidR="004E1A53">
        <w:t>8</w:t>
      </w:r>
      <w:r w:rsidR="00461E56">
        <w:t xml:space="preserve"> (</w:t>
      </w:r>
      <w:r w:rsidR="00CF1E57">
        <w:t>J</w:t>
      </w:r>
      <w:r w:rsidR="00CA416A">
        <w:t>an</w:t>
      </w:r>
      <w:r w:rsidRPr="0080471A">
        <w:t xml:space="preserve"> 1</w:t>
      </w:r>
      <w:r w:rsidR="00CA416A">
        <w:t>8</w:t>
      </w:r>
      <w:r w:rsidRPr="0080471A">
        <w:t xml:space="preserve"> – </w:t>
      </w:r>
      <w:r w:rsidR="00CA416A">
        <w:t>Dec</w:t>
      </w:r>
      <w:r w:rsidRPr="0080471A">
        <w:t xml:space="preserve"> 1</w:t>
      </w:r>
      <w:r w:rsidR="004E1A53">
        <w:t>8</w:t>
      </w:r>
      <w:r w:rsidRPr="0080471A">
        <w:t>) and 201</w:t>
      </w:r>
      <w:r w:rsidR="004E1A53">
        <w:t>7</w:t>
      </w:r>
      <w:r w:rsidRPr="0080471A">
        <w:t xml:space="preserve"> (</w:t>
      </w:r>
      <w:r w:rsidR="00CF1E57">
        <w:t>J</w:t>
      </w:r>
      <w:r w:rsidR="00CA416A">
        <w:t>an</w:t>
      </w:r>
      <w:r w:rsidRPr="0080471A">
        <w:t xml:space="preserve"> 1</w:t>
      </w:r>
      <w:r w:rsidR="00CA416A">
        <w:t>7</w:t>
      </w:r>
      <w:r w:rsidRPr="0080471A">
        <w:t xml:space="preserve"> – </w:t>
      </w:r>
      <w:r w:rsidR="00CA416A">
        <w:t>Dec</w:t>
      </w:r>
      <w:r w:rsidRPr="0080471A">
        <w:t xml:space="preserve"> 1</w:t>
      </w:r>
      <w:r w:rsidR="004E1A53">
        <w:t>7</w:t>
      </w:r>
      <w:r w:rsidRPr="0080471A">
        <w:t>)</w:t>
      </w:r>
    </w:p>
    <w:p w14:paraId="3CF536C6" w14:textId="77777777" w:rsidR="0080471A" w:rsidRDefault="001A6E64" w:rsidP="0080471A">
      <w:pPr>
        <w:pStyle w:val="Heading2"/>
      </w:pPr>
      <w:bookmarkStart w:id="10" w:name="_Toc526952076"/>
      <w:r>
        <w:lastRenderedPageBreak/>
        <w:t xml:space="preserve">KPI 2: </w:t>
      </w:r>
      <w:r w:rsidR="0080471A">
        <w:t>Proportion of new, planned RRT patients (excluding pre-emptive live donor transplants within 2 weeks of transplant) who successfully use an arteriovenous fistula or graft access at first HD treatment</w:t>
      </w:r>
      <w:bookmarkEnd w:id="10"/>
    </w:p>
    <w:p w14:paraId="26432FFC" w14:textId="77777777" w:rsidR="0080471A" w:rsidRDefault="0080471A" w:rsidP="0080471A">
      <w:pPr>
        <w:pStyle w:val="Heading3"/>
      </w:pPr>
      <w:bookmarkStart w:id="11" w:name="_Toc526952077"/>
      <w:r>
        <w:t>Definition</w:t>
      </w:r>
      <w:bookmarkEnd w:id="11"/>
    </w:p>
    <w:p w14:paraId="7A949928" w14:textId="77777777" w:rsidR="0080471A" w:rsidRDefault="0080471A" w:rsidP="0080471A">
      <w:r>
        <w:t>The percentage of new planned RRT patients that started treatment using an arteriovenous fistula (AVF) or arteriovenous graft (AVG).</w:t>
      </w:r>
    </w:p>
    <w:p w14:paraId="31C47FBB" w14:textId="77777777" w:rsidR="0080471A" w:rsidRDefault="0080471A" w:rsidP="0080471A">
      <w:pPr>
        <w:pStyle w:val="Heading3"/>
      </w:pPr>
      <w:bookmarkStart w:id="12" w:name="_Toc526952078"/>
      <w:r>
        <w:t>Target</w:t>
      </w:r>
      <w:bookmarkEnd w:id="12"/>
    </w:p>
    <w:p w14:paraId="5A64E77F" w14:textId="77777777" w:rsidR="0080471A" w:rsidRDefault="0080471A" w:rsidP="0080471A">
      <w:r>
        <w:t>70 per cent of new planned dialysis patients use a</w:t>
      </w:r>
      <w:r w:rsidR="00F34542">
        <w:t xml:space="preserve">n arteriovenous </w:t>
      </w:r>
      <w:r>
        <w:t>vascular access at first treatment.</w:t>
      </w:r>
    </w:p>
    <w:p w14:paraId="6C11E6AC" w14:textId="77777777" w:rsidR="0080471A" w:rsidRDefault="0080471A" w:rsidP="0080471A">
      <w:pPr>
        <w:pStyle w:val="Heading3"/>
      </w:pPr>
      <w:bookmarkStart w:id="13" w:name="_Toc526952079"/>
      <w:r>
        <w:t>Exclusions</w:t>
      </w:r>
      <w:bookmarkEnd w:id="13"/>
    </w:p>
    <w:p w14:paraId="05CB5823" w14:textId="77777777" w:rsidR="0080471A" w:rsidRDefault="0080471A" w:rsidP="0080471A">
      <w:pPr>
        <w:pStyle w:val="Bullet1"/>
      </w:pPr>
      <w:r>
        <w:t>Late referrals (patients commencing dialysis within three months of first renal consultation)</w:t>
      </w:r>
      <w:r w:rsidR="001A6E64">
        <w:t>.</w:t>
      </w:r>
    </w:p>
    <w:p w14:paraId="6500EFBC" w14:textId="77777777" w:rsidR="0080471A" w:rsidRDefault="0080471A" w:rsidP="0080471A">
      <w:pPr>
        <w:pStyle w:val="Bullet1"/>
      </w:pPr>
      <w:r>
        <w:t>Patients with a failed transplant or transferring from peritoneal dialysis (PD).</w:t>
      </w:r>
    </w:p>
    <w:p w14:paraId="6FF9E1E6" w14:textId="77777777" w:rsidR="0080471A" w:rsidRDefault="0080471A" w:rsidP="0080471A">
      <w:pPr>
        <w:pStyle w:val="Heading3"/>
      </w:pPr>
      <w:bookmarkStart w:id="14" w:name="_Toc526952080"/>
      <w:r>
        <w:t>Results</w:t>
      </w:r>
      <w:bookmarkEnd w:id="14"/>
    </w:p>
    <w:p w14:paraId="605C3641" w14:textId="582CBAA0" w:rsidR="0080471A" w:rsidRDefault="004B23D9" w:rsidP="0080471A">
      <w:r>
        <w:rPr>
          <w:noProof/>
        </w:rPr>
        <w:drawing>
          <wp:inline distT="0" distB="0" distL="0" distR="0" wp14:anchorId="47005EC5" wp14:editId="1222FB57">
            <wp:extent cx="6299835" cy="4138295"/>
            <wp:effectExtent l="0" t="0" r="5715" b="0"/>
            <wp:docPr id="10" name="Chart 10">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C9A45A3" w14:textId="781E8C8D" w:rsidR="0080471A" w:rsidRDefault="0080471A" w:rsidP="0080471A">
      <w:pPr>
        <w:pStyle w:val="Footer"/>
      </w:pPr>
      <w:r w:rsidRPr="00986DA0">
        <w:t xml:space="preserve">Note: Results based upon data averaged for the period </w:t>
      </w:r>
      <w:r w:rsidR="00996B92">
        <w:t>J</w:t>
      </w:r>
      <w:r w:rsidR="007F389D">
        <w:t>an</w:t>
      </w:r>
      <w:r w:rsidR="00996B92">
        <w:t xml:space="preserve"> 201</w:t>
      </w:r>
      <w:r w:rsidR="007F389D">
        <w:t>9</w:t>
      </w:r>
      <w:r w:rsidR="00996B92">
        <w:t xml:space="preserve"> - </w:t>
      </w:r>
      <w:r w:rsidR="007F389D">
        <w:t>Dec</w:t>
      </w:r>
      <w:r w:rsidR="00996B92">
        <w:t xml:space="preserve"> 201</w:t>
      </w:r>
      <w:r w:rsidR="004B23D9">
        <w:t>9</w:t>
      </w:r>
      <w:r>
        <w:t>.</w:t>
      </w:r>
    </w:p>
    <w:p w14:paraId="556E58E1" w14:textId="78FD5DAA" w:rsidR="0080471A" w:rsidRDefault="004B23D9" w:rsidP="0080471A">
      <w:r>
        <w:rPr>
          <w:noProof/>
        </w:rPr>
        <w:lastRenderedPageBreak/>
        <w:drawing>
          <wp:inline distT="0" distB="0" distL="0" distR="0" wp14:anchorId="2AFF36D3" wp14:editId="46CA4E6E">
            <wp:extent cx="6299835" cy="3514090"/>
            <wp:effectExtent l="0" t="0" r="5715" b="0"/>
            <wp:docPr id="13" name="Chart 13">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5548157" w14:textId="0ABB0E89" w:rsidR="0080471A" w:rsidRDefault="0080471A" w:rsidP="001A6E64">
      <w:pPr>
        <w:pStyle w:val="Footer"/>
      </w:pPr>
      <w:r w:rsidRPr="00986DA0">
        <w:t>Note: Results</w:t>
      </w:r>
      <w:r>
        <w:t xml:space="preserve"> b</w:t>
      </w:r>
      <w:r w:rsidR="007D7BEE">
        <w:t xml:space="preserve">ased upon data for the period </w:t>
      </w:r>
      <w:r w:rsidR="00996B92">
        <w:t>J</w:t>
      </w:r>
      <w:r w:rsidR="007F389D">
        <w:t>an</w:t>
      </w:r>
      <w:r w:rsidR="00996B92">
        <w:t xml:space="preserve"> 201</w:t>
      </w:r>
      <w:r w:rsidR="007F389D">
        <w:t>9</w:t>
      </w:r>
      <w:r w:rsidR="00996B92">
        <w:t xml:space="preserve"> - </w:t>
      </w:r>
      <w:r w:rsidR="007F389D">
        <w:t>Dec</w:t>
      </w:r>
      <w:r w:rsidR="00996B92">
        <w:t xml:space="preserve"> 201</w:t>
      </w:r>
      <w:r w:rsidR="004B23D9">
        <w:t>9</w:t>
      </w:r>
      <w:r>
        <w:t xml:space="preserve"> </w:t>
      </w:r>
    </w:p>
    <w:p w14:paraId="15F292AB" w14:textId="453FB669" w:rsidR="0080471A" w:rsidRDefault="009C7DED" w:rsidP="0080471A">
      <w:r>
        <w:rPr>
          <w:noProof/>
        </w:rPr>
        <w:drawing>
          <wp:inline distT="0" distB="0" distL="0" distR="0" wp14:anchorId="3845A4D9" wp14:editId="44C14248">
            <wp:extent cx="6299835" cy="3371850"/>
            <wp:effectExtent l="0" t="0" r="5715" b="0"/>
            <wp:docPr id="20" name="Chart 2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5F1561B" w14:textId="77777777" w:rsidR="0080471A" w:rsidRPr="0055485D" w:rsidRDefault="0080471A" w:rsidP="0080471A">
      <w:pPr>
        <w:pStyle w:val="DHHSbodyaftertablefigure"/>
        <w:rPr>
          <w:rFonts w:ascii="VIC" w:hAnsi="VIC"/>
        </w:rPr>
      </w:pPr>
      <w:r w:rsidRPr="0055485D">
        <w:rPr>
          <w:rFonts w:ascii="VIC" w:hAnsi="VIC"/>
        </w:rPr>
        <w:t xml:space="preserve">Note: Results showing trend over time: based on 12-month averages for the previous 3 years. </w:t>
      </w:r>
    </w:p>
    <w:p w14:paraId="6681152F" w14:textId="36C52898" w:rsidR="0080471A" w:rsidRPr="0055485D" w:rsidRDefault="00906CF6" w:rsidP="0080471A">
      <w:pPr>
        <w:pStyle w:val="DHHSbodyaftertablefigure"/>
        <w:rPr>
          <w:rFonts w:ascii="VIC" w:hAnsi="VIC"/>
          <w:i/>
          <w:szCs w:val="16"/>
        </w:rPr>
      </w:pPr>
      <w:r w:rsidRPr="0055485D">
        <w:rPr>
          <w:rFonts w:ascii="VIC" w:hAnsi="VIC"/>
        </w:rPr>
        <w:t>201</w:t>
      </w:r>
      <w:r w:rsidR="00495123">
        <w:rPr>
          <w:rFonts w:ascii="VIC" w:hAnsi="VIC"/>
        </w:rPr>
        <w:t>9</w:t>
      </w:r>
      <w:r w:rsidRPr="0055485D">
        <w:rPr>
          <w:rFonts w:ascii="VIC" w:hAnsi="VIC"/>
        </w:rPr>
        <w:t xml:space="preserve"> (</w:t>
      </w:r>
      <w:r w:rsidR="00996B92">
        <w:rPr>
          <w:rFonts w:ascii="VIC" w:hAnsi="VIC"/>
        </w:rPr>
        <w:t>J</w:t>
      </w:r>
      <w:r w:rsidR="00573E02">
        <w:rPr>
          <w:rFonts w:ascii="VIC" w:hAnsi="VIC"/>
        </w:rPr>
        <w:t>an</w:t>
      </w:r>
      <w:r w:rsidR="0080471A" w:rsidRPr="0055485D">
        <w:rPr>
          <w:rFonts w:ascii="VIC" w:hAnsi="VIC"/>
        </w:rPr>
        <w:t xml:space="preserve"> 1</w:t>
      </w:r>
      <w:r w:rsidR="00573E02">
        <w:rPr>
          <w:rFonts w:ascii="VIC" w:hAnsi="VIC"/>
        </w:rPr>
        <w:t>9</w:t>
      </w:r>
      <w:r w:rsidR="0080471A" w:rsidRPr="0055485D">
        <w:rPr>
          <w:rFonts w:ascii="VIC" w:hAnsi="VIC"/>
        </w:rPr>
        <w:t xml:space="preserve"> – </w:t>
      </w:r>
      <w:r w:rsidR="00573E02">
        <w:rPr>
          <w:rFonts w:ascii="VIC" w:hAnsi="VIC"/>
        </w:rPr>
        <w:t>Dec</w:t>
      </w:r>
      <w:r w:rsidRPr="0055485D">
        <w:rPr>
          <w:rFonts w:ascii="VIC" w:hAnsi="VIC"/>
        </w:rPr>
        <w:t xml:space="preserve"> 1</w:t>
      </w:r>
      <w:r w:rsidR="00495123">
        <w:rPr>
          <w:rFonts w:ascii="VIC" w:hAnsi="VIC"/>
        </w:rPr>
        <w:t>9</w:t>
      </w:r>
      <w:r w:rsidRPr="0055485D">
        <w:rPr>
          <w:rFonts w:ascii="VIC" w:hAnsi="VIC"/>
        </w:rPr>
        <w:t>), 201</w:t>
      </w:r>
      <w:r w:rsidR="00495123">
        <w:rPr>
          <w:rFonts w:ascii="VIC" w:hAnsi="VIC"/>
        </w:rPr>
        <w:t>8</w:t>
      </w:r>
      <w:r w:rsidRPr="0055485D">
        <w:rPr>
          <w:rFonts w:ascii="VIC" w:hAnsi="VIC"/>
        </w:rPr>
        <w:t xml:space="preserve"> (</w:t>
      </w:r>
      <w:r w:rsidR="00996B92">
        <w:rPr>
          <w:rFonts w:ascii="VIC" w:hAnsi="VIC"/>
        </w:rPr>
        <w:t>J</w:t>
      </w:r>
      <w:r w:rsidR="00573E02">
        <w:rPr>
          <w:rFonts w:ascii="VIC" w:hAnsi="VIC"/>
        </w:rPr>
        <w:t>an</w:t>
      </w:r>
      <w:r w:rsidR="0080471A" w:rsidRPr="0055485D">
        <w:rPr>
          <w:rFonts w:ascii="VIC" w:hAnsi="VIC"/>
        </w:rPr>
        <w:t xml:space="preserve"> 1</w:t>
      </w:r>
      <w:r w:rsidR="00573E02">
        <w:rPr>
          <w:rFonts w:ascii="VIC" w:hAnsi="VIC"/>
        </w:rPr>
        <w:t>8</w:t>
      </w:r>
      <w:r w:rsidR="0080471A" w:rsidRPr="0055485D">
        <w:rPr>
          <w:rFonts w:ascii="VIC" w:hAnsi="VIC"/>
        </w:rPr>
        <w:t xml:space="preserve"> – </w:t>
      </w:r>
      <w:r w:rsidR="00573E02">
        <w:rPr>
          <w:rFonts w:ascii="VIC" w:hAnsi="VIC"/>
        </w:rPr>
        <w:t>Dec</w:t>
      </w:r>
      <w:r w:rsidR="0080471A" w:rsidRPr="0055485D">
        <w:rPr>
          <w:rFonts w:ascii="VIC" w:hAnsi="VIC"/>
        </w:rPr>
        <w:t xml:space="preserve"> 1</w:t>
      </w:r>
      <w:r w:rsidR="00495123">
        <w:rPr>
          <w:rFonts w:ascii="VIC" w:hAnsi="VIC"/>
        </w:rPr>
        <w:t>8</w:t>
      </w:r>
      <w:r w:rsidR="0080471A" w:rsidRPr="0055485D">
        <w:rPr>
          <w:rFonts w:ascii="VIC" w:hAnsi="VIC"/>
        </w:rPr>
        <w:t>) and 201</w:t>
      </w:r>
      <w:r w:rsidR="00495123">
        <w:rPr>
          <w:rFonts w:ascii="VIC" w:hAnsi="VIC"/>
        </w:rPr>
        <w:t>7</w:t>
      </w:r>
      <w:r w:rsidR="0080471A" w:rsidRPr="0055485D">
        <w:rPr>
          <w:rFonts w:ascii="VIC" w:hAnsi="VIC"/>
        </w:rPr>
        <w:t xml:space="preserve"> (</w:t>
      </w:r>
      <w:r w:rsidR="00996B92">
        <w:rPr>
          <w:rFonts w:ascii="VIC" w:hAnsi="VIC"/>
        </w:rPr>
        <w:t>J</w:t>
      </w:r>
      <w:r w:rsidR="00573E02">
        <w:rPr>
          <w:rFonts w:ascii="VIC" w:hAnsi="VIC"/>
        </w:rPr>
        <w:t>an</w:t>
      </w:r>
      <w:r w:rsidR="0080471A" w:rsidRPr="0055485D">
        <w:rPr>
          <w:rFonts w:ascii="VIC" w:hAnsi="VIC"/>
        </w:rPr>
        <w:t xml:space="preserve"> 1</w:t>
      </w:r>
      <w:r w:rsidR="00573E02">
        <w:rPr>
          <w:rFonts w:ascii="VIC" w:hAnsi="VIC"/>
        </w:rPr>
        <w:t>7</w:t>
      </w:r>
      <w:r w:rsidR="0080471A" w:rsidRPr="0055485D">
        <w:rPr>
          <w:rFonts w:ascii="VIC" w:hAnsi="VIC"/>
        </w:rPr>
        <w:t xml:space="preserve"> – </w:t>
      </w:r>
      <w:r w:rsidR="00573E02">
        <w:rPr>
          <w:rFonts w:ascii="VIC" w:hAnsi="VIC"/>
        </w:rPr>
        <w:t>Dec</w:t>
      </w:r>
      <w:r w:rsidR="0080471A" w:rsidRPr="0055485D">
        <w:rPr>
          <w:rFonts w:ascii="VIC" w:hAnsi="VIC"/>
        </w:rPr>
        <w:t xml:space="preserve"> 1</w:t>
      </w:r>
      <w:r w:rsidR="00495123">
        <w:rPr>
          <w:rFonts w:ascii="VIC" w:hAnsi="VIC"/>
        </w:rPr>
        <w:t>7</w:t>
      </w:r>
      <w:r w:rsidR="0080471A" w:rsidRPr="0055485D">
        <w:rPr>
          <w:rFonts w:ascii="VIC" w:hAnsi="VIC"/>
        </w:rPr>
        <w:t>)</w:t>
      </w:r>
    </w:p>
    <w:p w14:paraId="0116A1F1" w14:textId="77777777" w:rsidR="0080471A" w:rsidRDefault="0080471A" w:rsidP="0080471A">
      <w:pPr>
        <w:pStyle w:val="Heading2"/>
      </w:pPr>
      <w:bookmarkStart w:id="15" w:name="_Toc526952081"/>
      <w:r>
        <w:lastRenderedPageBreak/>
        <w:t>KPI 3 Proportion of dialysis patients who are dialysing at home</w:t>
      </w:r>
      <w:bookmarkEnd w:id="15"/>
      <w:r>
        <w:t xml:space="preserve"> </w:t>
      </w:r>
    </w:p>
    <w:p w14:paraId="5C4F434F" w14:textId="77777777" w:rsidR="0080471A" w:rsidRDefault="0080471A" w:rsidP="0080471A">
      <w:pPr>
        <w:pStyle w:val="Heading3"/>
      </w:pPr>
      <w:bookmarkStart w:id="16" w:name="_Toc526952082"/>
      <w:r>
        <w:t>Definition</w:t>
      </w:r>
      <w:bookmarkEnd w:id="16"/>
    </w:p>
    <w:p w14:paraId="67D626B5" w14:textId="77777777" w:rsidR="0080471A" w:rsidRDefault="0080471A" w:rsidP="0080471A">
      <w:pPr>
        <w:pStyle w:val="Bullet1"/>
      </w:pPr>
      <w:r>
        <w:t>Incident patients – the percentage of patients who are dialysing at home within six months of starting dialysis (out of total patients who started dialysis in the six months prior)</w:t>
      </w:r>
    </w:p>
    <w:p w14:paraId="1D97E079" w14:textId="77777777" w:rsidR="0080471A" w:rsidRDefault="0080471A" w:rsidP="0080471A">
      <w:pPr>
        <w:pStyle w:val="Bullet1"/>
      </w:pPr>
      <w:r>
        <w:t>Prevalent patients – the overall percentage of patients who are dialysing at home.</w:t>
      </w:r>
    </w:p>
    <w:p w14:paraId="7223B84C" w14:textId="77777777" w:rsidR="0080471A" w:rsidRDefault="0080471A" w:rsidP="0080471A">
      <w:pPr>
        <w:pStyle w:val="Heading3"/>
      </w:pPr>
      <w:bookmarkStart w:id="17" w:name="_Toc526952084"/>
      <w:r>
        <w:t>Exclusions</w:t>
      </w:r>
      <w:bookmarkEnd w:id="17"/>
    </w:p>
    <w:p w14:paraId="5F6221A9" w14:textId="77777777" w:rsidR="00176E16" w:rsidRDefault="0080471A" w:rsidP="00176E16">
      <w:r>
        <w:t>Patients who are in home training units.</w:t>
      </w:r>
    </w:p>
    <w:p w14:paraId="52B23985" w14:textId="77777777" w:rsidR="0080471A" w:rsidRDefault="0080471A" w:rsidP="00176E16">
      <w:pPr>
        <w:pStyle w:val="Heading3"/>
      </w:pPr>
      <w:bookmarkStart w:id="18" w:name="_Toc526952085"/>
      <w:r>
        <w:t>Results</w:t>
      </w:r>
      <w:bookmarkEnd w:id="18"/>
    </w:p>
    <w:p w14:paraId="1A557717" w14:textId="77777777" w:rsidR="0080471A" w:rsidRPr="0080471A" w:rsidRDefault="0080471A" w:rsidP="00176E16">
      <w:pPr>
        <w:pStyle w:val="Heading4"/>
        <w:spacing w:before="120"/>
      </w:pPr>
      <w:r w:rsidRPr="0080471A">
        <w:t>Incidence</w:t>
      </w:r>
    </w:p>
    <w:p w14:paraId="5BC663AD" w14:textId="02126816" w:rsidR="0080471A" w:rsidRDefault="00873925" w:rsidP="0080471A">
      <w:r>
        <w:rPr>
          <w:noProof/>
        </w:rPr>
        <w:drawing>
          <wp:inline distT="0" distB="0" distL="0" distR="0" wp14:anchorId="172FBFAB" wp14:editId="4870B93F">
            <wp:extent cx="6297295" cy="3808095"/>
            <wp:effectExtent l="0" t="0" r="8255" b="1905"/>
            <wp:docPr id="27" name="Chart 27">
              <a:extLst xmlns:a="http://schemas.openxmlformats.org/drawingml/2006/main">
                <a:ext uri="{FF2B5EF4-FFF2-40B4-BE49-F238E27FC236}">
                  <a16:creationId xmlns:a16="http://schemas.microsoft.com/office/drawing/2014/main" id="{00000000-0008-0000-03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4EAD822" w14:textId="78136C30" w:rsidR="0080471A" w:rsidRPr="00986DA0" w:rsidRDefault="0080471A" w:rsidP="0080471A">
      <w:pPr>
        <w:pStyle w:val="Footer"/>
      </w:pPr>
      <w:r w:rsidRPr="00986DA0">
        <w:t>Note: Above graph represents the home incidence rate averaged for the 12</w:t>
      </w:r>
      <w:r>
        <w:t xml:space="preserve"> </w:t>
      </w:r>
      <w:r w:rsidRPr="00986DA0">
        <w:t xml:space="preserve">months of </w:t>
      </w:r>
      <w:r w:rsidR="00996B92">
        <w:t>J</w:t>
      </w:r>
      <w:r w:rsidR="00762083">
        <w:t>an</w:t>
      </w:r>
      <w:r w:rsidR="00996B92">
        <w:t xml:space="preserve"> 201</w:t>
      </w:r>
      <w:r w:rsidR="00762083">
        <w:t>9</w:t>
      </w:r>
      <w:r w:rsidR="00996B92">
        <w:t xml:space="preserve"> - </w:t>
      </w:r>
      <w:r w:rsidR="00762083">
        <w:t>Dec</w:t>
      </w:r>
      <w:r w:rsidR="00996B92">
        <w:t xml:space="preserve"> 201</w:t>
      </w:r>
      <w:r w:rsidR="00495123">
        <w:t>9</w:t>
      </w:r>
      <w:r>
        <w:t xml:space="preserve">   </w:t>
      </w:r>
    </w:p>
    <w:p w14:paraId="20728CF6" w14:textId="1DB41E4D" w:rsidR="0080471A" w:rsidRDefault="00224F50" w:rsidP="0080471A">
      <w:r>
        <w:rPr>
          <w:noProof/>
        </w:rPr>
        <w:lastRenderedPageBreak/>
        <w:drawing>
          <wp:inline distT="0" distB="0" distL="0" distR="0" wp14:anchorId="21FB3A3B" wp14:editId="277F6E92">
            <wp:extent cx="6297295" cy="3418840"/>
            <wp:effectExtent l="0" t="0" r="8255" b="0"/>
            <wp:docPr id="28" name="Chart 28">
              <a:extLst xmlns:a="http://schemas.openxmlformats.org/drawingml/2006/main">
                <a:ext uri="{FF2B5EF4-FFF2-40B4-BE49-F238E27FC236}">
                  <a16:creationId xmlns:a16="http://schemas.microsoft.com/office/drawing/2014/main" id="{00000000-0008-0000-03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5966F77"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573F079D" w14:textId="7042DC94" w:rsidR="0080471A" w:rsidRDefault="006F7510" w:rsidP="0080471A">
      <w:pPr>
        <w:pStyle w:val="Footer"/>
      </w:pPr>
      <w:r>
        <w:t xml:space="preserve">           201</w:t>
      </w:r>
      <w:r w:rsidR="00F75933">
        <w:t>9</w:t>
      </w:r>
      <w:r>
        <w:t xml:space="preserve"> (</w:t>
      </w:r>
      <w:r w:rsidR="00CF1E57">
        <w:t>J</w:t>
      </w:r>
      <w:r w:rsidR="008C1742">
        <w:t>an</w:t>
      </w:r>
      <w:r w:rsidR="0080471A">
        <w:t xml:space="preserve"> 1</w:t>
      </w:r>
      <w:r w:rsidR="00217BEA">
        <w:t>9</w:t>
      </w:r>
      <w:r w:rsidR="0080471A">
        <w:t xml:space="preserve"> – </w:t>
      </w:r>
      <w:r w:rsidR="00217BEA">
        <w:t>Dec</w:t>
      </w:r>
      <w:r w:rsidR="0080471A">
        <w:t xml:space="preserve"> 1</w:t>
      </w:r>
      <w:r w:rsidR="00F75933">
        <w:t>9</w:t>
      </w:r>
      <w:r w:rsidR="0080471A">
        <w:t>), 201</w:t>
      </w:r>
      <w:r w:rsidR="00F75933">
        <w:t>8</w:t>
      </w:r>
      <w:r w:rsidR="0080471A">
        <w:t xml:space="preserve"> (</w:t>
      </w:r>
      <w:r w:rsidR="00CF1E57">
        <w:t>J</w:t>
      </w:r>
      <w:r w:rsidR="00217BEA">
        <w:t>an</w:t>
      </w:r>
      <w:r w:rsidR="0080471A">
        <w:t xml:space="preserve"> 1</w:t>
      </w:r>
      <w:r w:rsidR="00217BEA">
        <w:t>8</w:t>
      </w:r>
      <w:r w:rsidR="0080471A">
        <w:t xml:space="preserve"> – </w:t>
      </w:r>
      <w:r w:rsidR="00217BEA">
        <w:t>Dec</w:t>
      </w:r>
      <w:r w:rsidR="0080471A">
        <w:t xml:space="preserve"> 1</w:t>
      </w:r>
      <w:r w:rsidR="00F75933">
        <w:t>8</w:t>
      </w:r>
      <w:r w:rsidR="0080471A">
        <w:t>) and 201</w:t>
      </w:r>
      <w:r w:rsidR="00F75933">
        <w:t>7</w:t>
      </w:r>
      <w:r w:rsidR="0080471A">
        <w:t xml:space="preserve"> (</w:t>
      </w:r>
      <w:r w:rsidR="00CF1E57">
        <w:t>J</w:t>
      </w:r>
      <w:r w:rsidR="00217BEA">
        <w:t>an</w:t>
      </w:r>
      <w:r w:rsidR="0080471A">
        <w:t xml:space="preserve"> 1</w:t>
      </w:r>
      <w:r w:rsidR="00217BEA">
        <w:t>7</w:t>
      </w:r>
      <w:r w:rsidR="0080471A">
        <w:t xml:space="preserve"> – </w:t>
      </w:r>
      <w:r w:rsidR="00217BEA">
        <w:t>Dec</w:t>
      </w:r>
      <w:r w:rsidR="0080471A">
        <w:t xml:space="preserve"> 1</w:t>
      </w:r>
      <w:r w:rsidR="00F75933">
        <w:t>7</w:t>
      </w:r>
      <w:r w:rsidR="0080471A">
        <w:t>)</w:t>
      </w:r>
    </w:p>
    <w:p w14:paraId="2813F4A4" w14:textId="77777777" w:rsidR="0080471A" w:rsidRPr="0080471A" w:rsidRDefault="0080471A" w:rsidP="0080471A">
      <w:pPr>
        <w:pStyle w:val="Heading4"/>
      </w:pPr>
      <w:r w:rsidRPr="0080471A">
        <w:t>Prevalence</w:t>
      </w:r>
    </w:p>
    <w:p w14:paraId="209D12EB" w14:textId="100BF493" w:rsidR="0080471A" w:rsidRPr="007414D6" w:rsidRDefault="00B430C5" w:rsidP="0080471A">
      <w:r>
        <w:rPr>
          <w:noProof/>
        </w:rPr>
        <w:drawing>
          <wp:inline distT="0" distB="0" distL="0" distR="0" wp14:anchorId="35B274D5" wp14:editId="5EC191DB">
            <wp:extent cx="6352540" cy="3235960"/>
            <wp:effectExtent l="0" t="0" r="0" b="2540"/>
            <wp:docPr id="29" name="Chart 29">
              <a:extLst xmlns:a="http://schemas.openxmlformats.org/drawingml/2006/main">
                <a:ext uri="{FF2B5EF4-FFF2-40B4-BE49-F238E27FC236}">
                  <a16:creationId xmlns:a16="http://schemas.microsoft.com/office/drawing/2014/main" id="{00000000-0008-0000-03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EB84F5" w14:textId="183EF8A0" w:rsidR="0080471A" w:rsidRDefault="0080471A" w:rsidP="0080471A">
      <w:pPr>
        <w:pStyle w:val="Footer"/>
      </w:pPr>
      <w:r w:rsidRPr="00081683">
        <w:t>Note: Above graph represents the home prevalence rate averaged for the 12</w:t>
      </w:r>
      <w:r>
        <w:t xml:space="preserve"> </w:t>
      </w:r>
      <w:r w:rsidRPr="00081683">
        <w:t xml:space="preserve">months of </w:t>
      </w:r>
      <w:r w:rsidR="00996B92">
        <w:t>J</w:t>
      </w:r>
      <w:r w:rsidR="00217BEA">
        <w:t>an</w:t>
      </w:r>
      <w:r w:rsidR="00996B92">
        <w:t xml:space="preserve"> 201</w:t>
      </w:r>
      <w:r w:rsidR="00217BEA">
        <w:t>9</w:t>
      </w:r>
      <w:r w:rsidR="00996B92">
        <w:t xml:space="preserve"> - </w:t>
      </w:r>
      <w:r w:rsidR="00217BEA">
        <w:t>Dec</w:t>
      </w:r>
      <w:r w:rsidR="00996B92">
        <w:t xml:space="preserve"> 201</w:t>
      </w:r>
      <w:r w:rsidR="007602A8">
        <w:t>9</w:t>
      </w:r>
      <w:r>
        <w:t xml:space="preserve">  </w:t>
      </w:r>
    </w:p>
    <w:p w14:paraId="1A587EB4" w14:textId="18BBF30A" w:rsidR="0080471A" w:rsidRPr="007414D6" w:rsidRDefault="007602A8" w:rsidP="0080471A">
      <w:pPr>
        <w:pStyle w:val="DHHSbody"/>
      </w:pPr>
      <w:r>
        <w:rPr>
          <w:noProof/>
        </w:rPr>
        <w:lastRenderedPageBreak/>
        <w:drawing>
          <wp:inline distT="0" distB="0" distL="0" distR="0" wp14:anchorId="7D677C5A" wp14:editId="43056EF3">
            <wp:extent cx="6353175" cy="3019425"/>
            <wp:effectExtent l="0" t="0" r="0" b="0"/>
            <wp:docPr id="30" name="Chart 30">
              <a:extLst xmlns:a="http://schemas.openxmlformats.org/drawingml/2006/main">
                <a:ext uri="{FF2B5EF4-FFF2-40B4-BE49-F238E27FC236}">
                  <a16:creationId xmlns:a16="http://schemas.microsoft.com/office/drawing/2014/main" id="{00000000-0008-0000-03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0016EBF" w14:textId="77777777" w:rsidR="0080471A" w:rsidRDefault="0080471A" w:rsidP="0080471A">
      <w:pPr>
        <w:pStyle w:val="Footer"/>
      </w:pPr>
      <w:r w:rsidRPr="00081683">
        <w:t xml:space="preserve">Note: Results showing trend over time: based on 12 month averages for the </w:t>
      </w:r>
      <w:r>
        <w:t xml:space="preserve">previous 3 </w:t>
      </w:r>
      <w:r w:rsidRPr="00081683">
        <w:t>years</w:t>
      </w:r>
      <w:r>
        <w:t xml:space="preserve">. </w:t>
      </w:r>
    </w:p>
    <w:p w14:paraId="6202676E" w14:textId="407EC6B2" w:rsidR="0080471A" w:rsidRPr="00E673C9" w:rsidRDefault="00AB19FC" w:rsidP="0080471A">
      <w:pPr>
        <w:pStyle w:val="Footer"/>
        <w:rPr>
          <w:i/>
          <w:szCs w:val="16"/>
        </w:rPr>
      </w:pPr>
      <w:r>
        <w:t xml:space="preserve">          201</w:t>
      </w:r>
      <w:r w:rsidR="007602A8">
        <w:t>9</w:t>
      </w:r>
      <w:r>
        <w:t xml:space="preserve"> (</w:t>
      </w:r>
      <w:r w:rsidR="00CF1E57">
        <w:t>J</w:t>
      </w:r>
      <w:r w:rsidR="00217BEA">
        <w:t>an</w:t>
      </w:r>
      <w:r w:rsidR="0080471A">
        <w:t xml:space="preserve"> 1</w:t>
      </w:r>
      <w:r w:rsidR="00217BEA">
        <w:t>9</w:t>
      </w:r>
      <w:r w:rsidR="0080471A">
        <w:t xml:space="preserve"> – </w:t>
      </w:r>
      <w:r w:rsidR="00217BEA">
        <w:t>Dec</w:t>
      </w:r>
      <w:r w:rsidR="0080471A">
        <w:t xml:space="preserve"> 1</w:t>
      </w:r>
      <w:r w:rsidR="007602A8">
        <w:t>9</w:t>
      </w:r>
      <w:r w:rsidR="0080471A">
        <w:t>), 201</w:t>
      </w:r>
      <w:r w:rsidR="007602A8">
        <w:t>8</w:t>
      </w:r>
      <w:r w:rsidR="0080471A">
        <w:t xml:space="preserve"> (</w:t>
      </w:r>
      <w:r w:rsidR="00CF1E57">
        <w:t>J</w:t>
      </w:r>
      <w:r w:rsidR="00217BEA">
        <w:t>an</w:t>
      </w:r>
      <w:r w:rsidR="0080471A">
        <w:t xml:space="preserve"> 1</w:t>
      </w:r>
      <w:r w:rsidR="00217BEA">
        <w:t>8</w:t>
      </w:r>
      <w:r w:rsidR="0080471A">
        <w:t xml:space="preserve"> – </w:t>
      </w:r>
      <w:r w:rsidR="00217BEA">
        <w:t>Dec</w:t>
      </w:r>
      <w:r w:rsidR="0080471A">
        <w:t xml:space="preserve"> 1</w:t>
      </w:r>
      <w:r w:rsidR="007602A8">
        <w:t>8</w:t>
      </w:r>
      <w:r w:rsidR="0080471A">
        <w:t>) and 201</w:t>
      </w:r>
      <w:r w:rsidR="007602A8">
        <w:t>7</w:t>
      </w:r>
      <w:r w:rsidR="0080471A">
        <w:t xml:space="preserve"> (</w:t>
      </w:r>
      <w:r w:rsidR="00CF1E57">
        <w:t>J</w:t>
      </w:r>
      <w:r w:rsidR="00217BEA">
        <w:t>an</w:t>
      </w:r>
      <w:r w:rsidR="0080471A">
        <w:t xml:space="preserve"> 1</w:t>
      </w:r>
      <w:r w:rsidR="00217BEA">
        <w:t>7</w:t>
      </w:r>
      <w:r w:rsidR="0080471A">
        <w:t xml:space="preserve"> – </w:t>
      </w:r>
      <w:r w:rsidR="00217BEA">
        <w:t>Dec</w:t>
      </w:r>
      <w:r w:rsidR="0080471A">
        <w:t xml:space="preserve"> 1</w:t>
      </w:r>
      <w:r w:rsidR="007602A8">
        <w:t>7</w:t>
      </w:r>
      <w:r w:rsidR="0080471A">
        <w:t>).</w:t>
      </w:r>
    </w:p>
    <w:p w14:paraId="1146E332" w14:textId="45CE0E01" w:rsidR="0080471A" w:rsidRDefault="002D6ABF" w:rsidP="0080471A">
      <w:pPr>
        <w:rPr>
          <w:rFonts w:ascii="Arial" w:eastAsia="Times" w:hAnsi="Arial"/>
        </w:rPr>
      </w:pPr>
      <w:r>
        <w:rPr>
          <w:noProof/>
        </w:rPr>
        <w:drawing>
          <wp:inline distT="0" distB="0" distL="0" distR="0" wp14:anchorId="0CFC2172" wp14:editId="53C2B397">
            <wp:extent cx="6299835" cy="3248025"/>
            <wp:effectExtent l="0" t="0" r="5715" b="0"/>
            <wp:docPr id="31" name="Chart 3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786AEC8" w14:textId="432DC7DA" w:rsidR="0080471A" w:rsidRDefault="0080471A" w:rsidP="0080471A">
      <w:pPr>
        <w:rPr>
          <w:rFonts w:eastAsia="Times"/>
        </w:rPr>
      </w:pPr>
      <w:r>
        <w:rPr>
          <w:rFonts w:eastAsia="Times"/>
        </w:rPr>
        <w:t>The above graph demonstrates the percentage of all renal replacement therapy options at each h</w:t>
      </w:r>
      <w:r w:rsidR="00AB19FC">
        <w:rPr>
          <w:rFonts w:eastAsia="Times"/>
        </w:rPr>
        <w:t xml:space="preserve">ub in the twelve months to </w:t>
      </w:r>
      <w:r w:rsidR="00762083">
        <w:rPr>
          <w:rFonts w:eastAsia="Times"/>
        </w:rPr>
        <w:t>Dec</w:t>
      </w:r>
      <w:r>
        <w:rPr>
          <w:rFonts w:eastAsia="Times"/>
        </w:rPr>
        <w:t xml:space="preserve"> 201</w:t>
      </w:r>
      <w:r w:rsidR="00FD1571">
        <w:rPr>
          <w:rFonts w:eastAsia="Times"/>
        </w:rPr>
        <w:t>9</w:t>
      </w:r>
      <w:r>
        <w:rPr>
          <w:rFonts w:eastAsia="Times"/>
        </w:rPr>
        <w:t xml:space="preserve">. </w:t>
      </w:r>
    </w:p>
    <w:p w14:paraId="34EC22A5" w14:textId="77777777" w:rsidR="0080471A" w:rsidRPr="00081683" w:rsidRDefault="0080471A" w:rsidP="0080471A">
      <w:pPr>
        <w:pStyle w:val="Heading2"/>
      </w:pPr>
      <w:bookmarkStart w:id="19" w:name="_Toc437851858"/>
      <w:bookmarkStart w:id="20" w:name="_Toc526952086"/>
      <w:r w:rsidRPr="00081683">
        <w:lastRenderedPageBreak/>
        <w:t>KPI 4</w:t>
      </w:r>
      <w:r>
        <w:t>:</w:t>
      </w:r>
      <w:r w:rsidR="00824753">
        <w:t xml:space="preserve"> </w:t>
      </w:r>
      <w:r w:rsidRPr="00081683">
        <w:t>Peritonitis rates of each hub service</w:t>
      </w:r>
      <w:bookmarkEnd w:id="19"/>
      <w:bookmarkEnd w:id="20"/>
    </w:p>
    <w:p w14:paraId="61F9F4AC" w14:textId="77777777" w:rsidR="0080471A" w:rsidRPr="00831F5D" w:rsidRDefault="0080471A" w:rsidP="0080471A">
      <w:pPr>
        <w:pStyle w:val="Heading3"/>
      </w:pPr>
      <w:bookmarkStart w:id="21" w:name="_Toc526952087"/>
      <w:r w:rsidRPr="00831F5D">
        <w:t>Definition</w:t>
      </w:r>
      <w:bookmarkEnd w:id="21"/>
    </w:p>
    <w:p w14:paraId="4D2C576E" w14:textId="77777777" w:rsidR="0080471A" w:rsidRPr="00FF637B" w:rsidRDefault="0080471A" w:rsidP="0080471A">
      <w:pPr>
        <w:rPr>
          <w:rFonts w:eastAsia="Times"/>
        </w:rPr>
      </w:pPr>
      <w:r w:rsidRPr="00FF637B">
        <w:rPr>
          <w:rFonts w:eastAsia="Times"/>
        </w:rPr>
        <w:t>The average number of months between peritonitis episodes.</w:t>
      </w:r>
    </w:p>
    <w:p w14:paraId="3922F4D9" w14:textId="77777777" w:rsidR="0080471A" w:rsidRPr="00831F5D" w:rsidRDefault="0080471A" w:rsidP="0080471A">
      <w:pPr>
        <w:pStyle w:val="Heading3"/>
      </w:pPr>
      <w:bookmarkStart w:id="22" w:name="_Toc526952088"/>
      <w:r w:rsidRPr="00831F5D">
        <w:t>Target</w:t>
      </w:r>
      <w:bookmarkEnd w:id="22"/>
    </w:p>
    <w:p w14:paraId="0D17F32A" w14:textId="7A309160" w:rsidR="0080471A" w:rsidRPr="00FF637B" w:rsidRDefault="005756B2" w:rsidP="0080471A">
      <w:pPr>
        <w:rPr>
          <w:rFonts w:eastAsia="Times"/>
        </w:rPr>
      </w:pPr>
      <w:r>
        <w:rPr>
          <w:rFonts w:eastAsia="Times"/>
        </w:rPr>
        <w:t>Less than</w:t>
      </w:r>
      <w:r w:rsidR="0080471A">
        <w:rPr>
          <w:rFonts w:eastAsia="Times"/>
        </w:rPr>
        <w:t xml:space="preserve"> 0.33 peritonitis episodes for every patient year</w:t>
      </w:r>
      <w:r w:rsidR="0080471A" w:rsidRPr="00FF637B">
        <w:rPr>
          <w:rFonts w:eastAsia="Times"/>
        </w:rPr>
        <w:t>.</w:t>
      </w:r>
    </w:p>
    <w:p w14:paraId="6AD84CED" w14:textId="77777777" w:rsidR="0080471A" w:rsidRPr="005D5853" w:rsidRDefault="0080471A" w:rsidP="0080471A">
      <w:pPr>
        <w:pStyle w:val="Heading3"/>
      </w:pPr>
      <w:bookmarkStart w:id="23" w:name="_Toc526952089"/>
      <w:r w:rsidRPr="005D5853">
        <w:t>Exclusions</w:t>
      </w:r>
      <w:bookmarkEnd w:id="23"/>
    </w:p>
    <w:p w14:paraId="070C028F" w14:textId="77777777" w:rsidR="0080471A" w:rsidRPr="00FF637B" w:rsidRDefault="0080471A" w:rsidP="0080471A">
      <w:r w:rsidRPr="00FF637B">
        <w:t>Patients who have a catheter in situ but are still pre-dialysis.</w:t>
      </w:r>
    </w:p>
    <w:p w14:paraId="72CACF22" w14:textId="77777777" w:rsidR="0080471A" w:rsidRDefault="0080471A" w:rsidP="0080471A">
      <w:pPr>
        <w:pStyle w:val="Heading3"/>
      </w:pPr>
      <w:bookmarkStart w:id="24" w:name="_Toc526952090"/>
      <w:r w:rsidRPr="00831F5D">
        <w:t>Results</w:t>
      </w:r>
      <w:bookmarkEnd w:id="24"/>
    </w:p>
    <w:p w14:paraId="69794B7A" w14:textId="07679A84" w:rsidR="0080471A" w:rsidRPr="00876797" w:rsidRDefault="00B45E34" w:rsidP="0080471A">
      <w:r>
        <w:rPr>
          <w:noProof/>
        </w:rPr>
        <w:drawing>
          <wp:inline distT="0" distB="0" distL="0" distR="0" wp14:anchorId="2C9F8149" wp14:editId="72A7A19E">
            <wp:extent cx="6299835" cy="3629025"/>
            <wp:effectExtent l="0" t="0" r="5715" b="0"/>
            <wp:docPr id="11" name="Chart 11">
              <a:extLst xmlns:a="http://schemas.openxmlformats.org/drawingml/2006/main">
                <a:ext uri="{FF2B5EF4-FFF2-40B4-BE49-F238E27FC236}">
                  <a16:creationId xmlns:a16="http://schemas.microsoft.com/office/drawing/2014/main" id="{00000000-0008-0000-04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517889" w14:textId="4A7A7FEA" w:rsidR="0080471A" w:rsidRPr="009402F0" w:rsidRDefault="0080471A" w:rsidP="0080471A">
      <w:pPr>
        <w:pStyle w:val="Footer"/>
      </w:pPr>
      <w:r w:rsidRPr="009402F0">
        <w:t xml:space="preserve">Note: Results based upon data average for the period </w:t>
      </w:r>
      <w:r w:rsidR="00D37C19">
        <w:t>Jan</w:t>
      </w:r>
      <w:r w:rsidR="00996B92">
        <w:t xml:space="preserve"> 201</w:t>
      </w:r>
      <w:r w:rsidR="00D37C19">
        <w:t>9</w:t>
      </w:r>
      <w:r w:rsidR="00996B92">
        <w:t xml:space="preserve"> - </w:t>
      </w:r>
      <w:r w:rsidR="00D37C19">
        <w:t>Dec</w:t>
      </w:r>
      <w:r w:rsidR="00996B92">
        <w:t xml:space="preserve"> 201</w:t>
      </w:r>
      <w:r w:rsidR="00F05E5E">
        <w:t>9</w:t>
      </w:r>
      <w:r>
        <w:t xml:space="preserve"> </w:t>
      </w:r>
    </w:p>
    <w:p w14:paraId="698A0B37" w14:textId="77777777" w:rsidR="0080471A" w:rsidRPr="00176E16" w:rsidRDefault="0080471A" w:rsidP="0080471A">
      <w:pPr>
        <w:rPr>
          <w:i/>
          <w:sz w:val="16"/>
        </w:rPr>
      </w:pPr>
      <w:r w:rsidRPr="00176E16">
        <w:rPr>
          <w:i/>
          <w:sz w:val="16"/>
        </w:rPr>
        <w:t xml:space="preserve">Improved hub performance in this KPI is reflected in a smaller bar in the above graph. If better than the benchmark value of 0.33 peritonitis episodes per patient year the bar is shaded green and reported as “better than target” </w:t>
      </w:r>
    </w:p>
    <w:p w14:paraId="6FDD2919" w14:textId="12032276" w:rsidR="0080471A" w:rsidRPr="000864C6" w:rsidRDefault="00F05E5E" w:rsidP="0080471A">
      <w:pPr>
        <w:pStyle w:val="DHHSbodynospace"/>
        <w:rPr>
          <w:i/>
          <w:sz w:val="16"/>
          <w:szCs w:val="16"/>
        </w:rPr>
      </w:pPr>
      <w:r>
        <w:rPr>
          <w:noProof/>
        </w:rPr>
        <w:lastRenderedPageBreak/>
        <w:drawing>
          <wp:inline distT="0" distB="0" distL="0" distR="0" wp14:anchorId="1D4DBB99" wp14:editId="7083C378">
            <wp:extent cx="6299835" cy="3743325"/>
            <wp:effectExtent l="0" t="0" r="5715" b="0"/>
            <wp:docPr id="33" name="Chart 33">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27EA869" w14:textId="77777777" w:rsidR="0080471A" w:rsidRDefault="0080471A" w:rsidP="0080471A">
      <w:pPr>
        <w:pStyle w:val="DHHSbodyaftertablefigure"/>
      </w:pPr>
      <w:r w:rsidRPr="00E673C9">
        <w:t xml:space="preserve"> </w:t>
      </w:r>
    </w:p>
    <w:p w14:paraId="200F6F3B" w14:textId="77777777" w:rsidR="0080471A" w:rsidRDefault="0080471A" w:rsidP="0080471A">
      <w:pPr>
        <w:pStyle w:val="Footer"/>
      </w:pPr>
      <w:r w:rsidRPr="00081683">
        <w:t>Note: Results showing trend over time: based on 12</w:t>
      </w:r>
      <w:r>
        <w:t>-</w:t>
      </w:r>
      <w:r w:rsidRPr="00081683">
        <w:t xml:space="preserve">month averages for the </w:t>
      </w:r>
      <w:r>
        <w:t xml:space="preserve">previous 3 </w:t>
      </w:r>
      <w:r w:rsidRPr="00081683">
        <w:t>years</w:t>
      </w:r>
      <w:r>
        <w:t xml:space="preserve">. </w:t>
      </w:r>
    </w:p>
    <w:p w14:paraId="0B2AEEEC" w14:textId="26023EE9" w:rsidR="0080471A" w:rsidRPr="0080471A" w:rsidRDefault="00B40F55" w:rsidP="0080471A">
      <w:pPr>
        <w:pStyle w:val="Footer"/>
        <w:rPr>
          <w:i/>
          <w:szCs w:val="16"/>
        </w:rPr>
      </w:pPr>
      <w:r>
        <w:t xml:space="preserve">           201</w:t>
      </w:r>
      <w:r w:rsidR="00F05E5E">
        <w:t>9</w:t>
      </w:r>
      <w:r>
        <w:t xml:space="preserve"> (</w:t>
      </w:r>
      <w:r w:rsidR="00EE53B3">
        <w:t>J</w:t>
      </w:r>
      <w:r w:rsidR="00D37C19">
        <w:t>an</w:t>
      </w:r>
      <w:r w:rsidR="00EE53B3">
        <w:t xml:space="preserve"> </w:t>
      </w:r>
      <w:r w:rsidR="0080471A">
        <w:t>1</w:t>
      </w:r>
      <w:r w:rsidR="00D37C19">
        <w:t>9</w:t>
      </w:r>
      <w:r w:rsidR="0080471A">
        <w:t xml:space="preserve"> – </w:t>
      </w:r>
      <w:r w:rsidR="00D37C19">
        <w:t>Dec</w:t>
      </w:r>
      <w:r w:rsidR="0080471A">
        <w:t xml:space="preserve"> 1</w:t>
      </w:r>
      <w:r w:rsidR="00495123">
        <w:t>9</w:t>
      </w:r>
      <w:r w:rsidR="0080471A">
        <w:t>), 201</w:t>
      </w:r>
      <w:r w:rsidR="00F05E5E">
        <w:t>8</w:t>
      </w:r>
      <w:r w:rsidR="0080471A">
        <w:t xml:space="preserve"> (</w:t>
      </w:r>
      <w:r w:rsidR="00EE53B3">
        <w:t>J</w:t>
      </w:r>
      <w:r w:rsidR="00D37C19">
        <w:t>an</w:t>
      </w:r>
      <w:r w:rsidR="0080471A">
        <w:t xml:space="preserve"> 1</w:t>
      </w:r>
      <w:r w:rsidR="00D37C19">
        <w:t>8</w:t>
      </w:r>
      <w:r w:rsidR="0080471A">
        <w:t xml:space="preserve"> – </w:t>
      </w:r>
      <w:r w:rsidR="00D37C19">
        <w:t>Dec</w:t>
      </w:r>
      <w:r w:rsidR="0080471A">
        <w:t xml:space="preserve"> 1</w:t>
      </w:r>
      <w:r w:rsidR="00495123">
        <w:t>8</w:t>
      </w:r>
      <w:r w:rsidR="0080471A">
        <w:t>) and 201</w:t>
      </w:r>
      <w:r w:rsidR="00F05E5E">
        <w:t>7</w:t>
      </w:r>
      <w:r w:rsidR="0080471A">
        <w:t xml:space="preserve"> (</w:t>
      </w:r>
      <w:r w:rsidR="00EE53B3">
        <w:t>J</w:t>
      </w:r>
      <w:r w:rsidR="00D37C19">
        <w:t>an</w:t>
      </w:r>
      <w:r w:rsidR="0080471A">
        <w:t xml:space="preserve"> 1</w:t>
      </w:r>
      <w:r w:rsidR="00D37C19">
        <w:t>7</w:t>
      </w:r>
      <w:r w:rsidR="0080471A">
        <w:t xml:space="preserve"> – </w:t>
      </w:r>
      <w:r w:rsidR="00D37C19">
        <w:t>Dec</w:t>
      </w:r>
      <w:r w:rsidR="0080471A">
        <w:t xml:space="preserve"> 1</w:t>
      </w:r>
      <w:r w:rsidR="00F05E5E">
        <w:t>7</w:t>
      </w:r>
      <w:r w:rsidR="0080471A">
        <w:t>)</w:t>
      </w:r>
    </w:p>
    <w:p w14:paraId="70DD9566" w14:textId="77777777" w:rsidR="005756B2" w:rsidRPr="00824753" w:rsidRDefault="005756B2" w:rsidP="005756B2">
      <w:r>
        <w:t xml:space="preserve">The International Society of Peritoneal Dialysis (ISPD) 2016 guidelines recommended the peritonitis rate should be reported as number of episodes per patient-year. The ISPD have also recommended 0.5 episodes per year at risk as the minimum guideline for peritonitis incidence. However, as part of a continuous quality improvement program the VRCN recommended the target be lowered to 0.33 episodes per year at risk. Note lower results reported for this KPI represent better performance. </w:t>
      </w:r>
    </w:p>
    <w:p w14:paraId="091C87F7" w14:textId="44F7C8C2" w:rsidR="0080471A" w:rsidRPr="00824753" w:rsidRDefault="00824753" w:rsidP="0080471A">
      <w:r>
        <w:t>.</w:t>
      </w:r>
    </w:p>
    <w:p w14:paraId="2698B2FF" w14:textId="77777777" w:rsidR="00176E16" w:rsidRDefault="00176E16">
      <w:pPr>
        <w:rPr>
          <w:rFonts w:ascii="VIC SemiBold" w:eastAsiaTheme="majorEastAsia" w:hAnsi="VIC SemiBold" w:cstheme="majorBidi"/>
          <w:bCs/>
          <w:caps/>
          <w:color w:val="007586" w:themeColor="text2"/>
          <w:sz w:val="24"/>
          <w:szCs w:val="26"/>
        </w:rPr>
      </w:pPr>
      <w:bookmarkStart w:id="25" w:name="_Toc437851859"/>
      <w:r>
        <w:br w:type="page"/>
      </w:r>
    </w:p>
    <w:p w14:paraId="4B17B72E" w14:textId="77777777" w:rsidR="0080471A" w:rsidRPr="00831F5D" w:rsidRDefault="0080471A" w:rsidP="0080471A">
      <w:pPr>
        <w:pStyle w:val="Heading2"/>
      </w:pPr>
      <w:bookmarkStart w:id="26" w:name="_Toc526952091"/>
      <w:r w:rsidRPr="00831F5D">
        <w:lastRenderedPageBreak/>
        <w:t>KPI 5</w:t>
      </w:r>
      <w:r>
        <w:t xml:space="preserve">: </w:t>
      </w:r>
      <w:r w:rsidRPr="00831F5D">
        <w:t>Proportion of new live donor transplants that are pre-emptive</w:t>
      </w:r>
      <w:bookmarkEnd w:id="26"/>
    </w:p>
    <w:p w14:paraId="67DB31AE" w14:textId="77777777" w:rsidR="0080471A" w:rsidRPr="00831F5D" w:rsidRDefault="0080471A" w:rsidP="0080471A">
      <w:pPr>
        <w:pStyle w:val="Heading3"/>
      </w:pPr>
      <w:bookmarkStart w:id="27" w:name="_Toc526952092"/>
      <w:bookmarkEnd w:id="25"/>
      <w:r w:rsidRPr="00831F5D">
        <w:t>Definition</w:t>
      </w:r>
      <w:bookmarkEnd w:id="27"/>
    </w:p>
    <w:p w14:paraId="5F0DD579" w14:textId="77777777" w:rsidR="0080471A" w:rsidRPr="00FF637B" w:rsidRDefault="0080471A" w:rsidP="0080471A">
      <w:pPr>
        <w:rPr>
          <w:rFonts w:eastAsia="Times"/>
        </w:rPr>
      </w:pPr>
      <w:r w:rsidRPr="00FF637B">
        <w:rPr>
          <w:rFonts w:eastAsia="Times"/>
        </w:rPr>
        <w:t>The percentage of new live donor transplants that are pre-emptive (in which the patient requires less than two weeks of dialysis).</w:t>
      </w:r>
    </w:p>
    <w:p w14:paraId="30C36710" w14:textId="77777777" w:rsidR="0080471A" w:rsidRPr="00831F5D" w:rsidRDefault="0080471A" w:rsidP="0080471A">
      <w:pPr>
        <w:pStyle w:val="Heading3"/>
      </w:pPr>
      <w:bookmarkStart w:id="28" w:name="_Toc526952093"/>
      <w:r w:rsidRPr="00831F5D">
        <w:t>Target</w:t>
      </w:r>
      <w:bookmarkEnd w:id="28"/>
    </w:p>
    <w:p w14:paraId="53559E10" w14:textId="77777777" w:rsidR="0080471A" w:rsidRPr="00FF637B" w:rsidRDefault="00CF6238" w:rsidP="0080471A">
      <w:pPr>
        <w:rPr>
          <w:rFonts w:eastAsia="Times"/>
        </w:rPr>
      </w:pPr>
      <w:r>
        <w:rPr>
          <w:rFonts w:eastAsia="Times"/>
        </w:rPr>
        <w:t>40 per cent</w:t>
      </w:r>
      <w:r w:rsidR="002C2D44">
        <w:rPr>
          <w:rFonts w:eastAsia="Times"/>
        </w:rPr>
        <w:t xml:space="preserve"> of new live donor transplants are pre-emptive.</w:t>
      </w:r>
    </w:p>
    <w:p w14:paraId="169DB012" w14:textId="77777777" w:rsidR="0080471A" w:rsidRPr="00831F5D" w:rsidRDefault="0080471A" w:rsidP="0080471A">
      <w:pPr>
        <w:pStyle w:val="Heading3"/>
      </w:pPr>
      <w:bookmarkStart w:id="29" w:name="_Toc526952094"/>
      <w:r w:rsidRPr="00831F5D">
        <w:t>Exclusions</w:t>
      </w:r>
      <w:bookmarkEnd w:id="29"/>
    </w:p>
    <w:p w14:paraId="3A78575D" w14:textId="77777777" w:rsidR="0080471A" w:rsidRPr="00FF637B" w:rsidRDefault="0080471A" w:rsidP="0080471A">
      <w:pPr>
        <w:pStyle w:val="Bullet1"/>
      </w:pPr>
      <w:r w:rsidRPr="00FF637B">
        <w:t>Patients with failed transplants recommencing RRT</w:t>
      </w:r>
      <w:r w:rsidR="00176E16">
        <w:t>.</w:t>
      </w:r>
    </w:p>
    <w:p w14:paraId="35BC66CC" w14:textId="77777777" w:rsidR="0080471A" w:rsidRDefault="0080471A" w:rsidP="0080471A">
      <w:pPr>
        <w:pStyle w:val="Bullet1"/>
      </w:pPr>
      <w:r w:rsidRPr="00FF637B">
        <w:t>Patients having a combined organ transplant.</w:t>
      </w:r>
    </w:p>
    <w:p w14:paraId="17C07C0D" w14:textId="77777777" w:rsidR="0080471A" w:rsidRDefault="0080471A" w:rsidP="0080471A">
      <w:pPr>
        <w:pStyle w:val="Heading3"/>
      </w:pPr>
      <w:bookmarkStart w:id="30" w:name="_Toc526952095"/>
      <w:r w:rsidRPr="00831F5D">
        <w:t>Results</w:t>
      </w:r>
      <w:bookmarkEnd w:id="30"/>
    </w:p>
    <w:p w14:paraId="4E63AD54" w14:textId="04E86409" w:rsidR="0080471A" w:rsidRPr="004509C2" w:rsidRDefault="00024AA3" w:rsidP="00325C2F">
      <w:r>
        <w:rPr>
          <w:noProof/>
        </w:rPr>
        <w:drawing>
          <wp:inline distT="0" distB="0" distL="0" distR="0" wp14:anchorId="62526B9C" wp14:editId="02033E84">
            <wp:extent cx="6299835" cy="4076700"/>
            <wp:effectExtent l="0" t="0" r="5715" b="0"/>
            <wp:docPr id="34" name="Chart 34">
              <a:extLst xmlns:a="http://schemas.openxmlformats.org/drawingml/2006/main">
                <a:ext uri="{FF2B5EF4-FFF2-40B4-BE49-F238E27FC236}">
                  <a16:creationId xmlns:a16="http://schemas.microsoft.com/office/drawing/2014/main" id="{00000000-0008-0000-05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0FD489B" w14:textId="201A24F7" w:rsidR="0080471A" w:rsidRDefault="0080471A" w:rsidP="0080471A">
      <w:pPr>
        <w:pStyle w:val="Footer"/>
      </w:pPr>
      <w:r w:rsidRPr="00986DA0">
        <w:t>Note: Results based upo</w:t>
      </w:r>
      <w:r>
        <w:t>n data average for the pe</w:t>
      </w:r>
      <w:r w:rsidR="00F2572A">
        <w:t xml:space="preserve">riod </w:t>
      </w:r>
      <w:r w:rsidR="001B6C3B">
        <w:t>Jan</w:t>
      </w:r>
      <w:r w:rsidR="008A4CB0">
        <w:t xml:space="preserve"> 201</w:t>
      </w:r>
      <w:r w:rsidR="001B6C3B">
        <w:t>9</w:t>
      </w:r>
      <w:r w:rsidRPr="00986DA0">
        <w:t xml:space="preserve"> – </w:t>
      </w:r>
      <w:r w:rsidR="001B6C3B">
        <w:t>Dec</w:t>
      </w:r>
      <w:r w:rsidR="008A4CB0">
        <w:t xml:space="preserve"> 201</w:t>
      </w:r>
      <w:r w:rsidR="00495123">
        <w:t>9</w:t>
      </w:r>
    </w:p>
    <w:p w14:paraId="6FD73B05" w14:textId="41527F31" w:rsidR="00824753" w:rsidRPr="00D4656C" w:rsidRDefault="00024AA3" w:rsidP="00824753">
      <w:pPr>
        <w:pStyle w:val="DHHSbody"/>
        <w:spacing w:after="0"/>
      </w:pPr>
      <w:r>
        <w:rPr>
          <w:noProof/>
        </w:rPr>
        <w:lastRenderedPageBreak/>
        <w:drawing>
          <wp:inline distT="0" distB="0" distL="0" distR="0" wp14:anchorId="14E65C5C" wp14:editId="50B467D1">
            <wp:extent cx="6299835" cy="3686175"/>
            <wp:effectExtent l="0" t="0" r="5715" b="0"/>
            <wp:docPr id="35" name="Chart 35">
              <a:extLst xmlns:a="http://schemas.openxmlformats.org/drawingml/2006/main">
                <a:ext uri="{FF2B5EF4-FFF2-40B4-BE49-F238E27FC236}">
                  <a16:creationId xmlns:a16="http://schemas.microsoft.com/office/drawing/2014/main" id="{00000000-0008-0000-05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F00316B" w14:textId="56A3FBA4" w:rsidR="00824753" w:rsidRDefault="00824753" w:rsidP="00824753">
      <w:pPr>
        <w:pStyle w:val="Footer"/>
      </w:pPr>
      <w:r w:rsidRPr="00986DA0">
        <w:t>Note: Results based upo</w:t>
      </w:r>
      <w:r w:rsidR="00D01CD3">
        <w:t xml:space="preserve">n data average for the period </w:t>
      </w:r>
      <w:r w:rsidR="002D64E3">
        <w:t>J</w:t>
      </w:r>
      <w:r w:rsidR="001B6C3B">
        <w:t>an</w:t>
      </w:r>
      <w:r w:rsidR="008A4CB0">
        <w:t xml:space="preserve"> 201</w:t>
      </w:r>
      <w:r w:rsidR="001B6C3B">
        <w:t>9</w:t>
      </w:r>
      <w:r w:rsidRPr="00986DA0">
        <w:t xml:space="preserve"> – </w:t>
      </w:r>
      <w:r w:rsidR="001B6C3B">
        <w:t>Dec</w:t>
      </w:r>
      <w:r w:rsidR="008A4CB0">
        <w:t xml:space="preserve"> 201</w:t>
      </w:r>
      <w:r w:rsidR="00024AA3">
        <w:t>9</w:t>
      </w:r>
    </w:p>
    <w:p w14:paraId="3574A06D" w14:textId="1772B04D" w:rsidR="00824753" w:rsidRPr="00D4656C" w:rsidRDefault="00957049" w:rsidP="00824753">
      <w:pPr>
        <w:pStyle w:val="DHHSbody"/>
        <w:spacing w:after="0"/>
      </w:pPr>
      <w:r>
        <w:rPr>
          <w:noProof/>
        </w:rPr>
        <w:drawing>
          <wp:inline distT="0" distB="0" distL="0" distR="0" wp14:anchorId="25E2364B" wp14:editId="6F50EEEB">
            <wp:extent cx="6299835" cy="3505200"/>
            <wp:effectExtent l="0" t="0" r="5715" b="0"/>
            <wp:docPr id="44" name="Chart 44">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63B452C" w14:textId="77777777" w:rsidR="00824753" w:rsidRDefault="00824753" w:rsidP="00824753">
      <w:pPr>
        <w:pStyle w:val="Footer"/>
      </w:pPr>
      <w:r w:rsidRPr="00081683">
        <w:t>Note: Results showing trend over time: based on 12</w:t>
      </w:r>
      <w:r>
        <w:t>-</w:t>
      </w:r>
      <w:r w:rsidRPr="00081683">
        <w:t xml:space="preserve">month averages for the </w:t>
      </w:r>
      <w:r>
        <w:t xml:space="preserve">previous 3 </w:t>
      </w:r>
      <w:r w:rsidRPr="00081683">
        <w:t>years</w:t>
      </w:r>
      <w:r>
        <w:t>.</w:t>
      </w:r>
    </w:p>
    <w:p w14:paraId="3AD97F14" w14:textId="4F5BF1BA" w:rsidR="00824753" w:rsidRPr="005107F9" w:rsidRDefault="00824753" w:rsidP="00824753">
      <w:pPr>
        <w:pStyle w:val="Footer"/>
      </w:pPr>
      <w:r>
        <w:t xml:space="preserve">          201</w:t>
      </w:r>
      <w:r w:rsidR="00957049">
        <w:t>9</w:t>
      </w:r>
      <w:r>
        <w:t xml:space="preserve"> (</w:t>
      </w:r>
      <w:r w:rsidR="00CF1E57">
        <w:t>J</w:t>
      </w:r>
      <w:r w:rsidR="000E0D3A">
        <w:t>an</w:t>
      </w:r>
      <w:r>
        <w:t xml:space="preserve"> 1</w:t>
      </w:r>
      <w:r w:rsidR="000E0D3A">
        <w:t>9</w:t>
      </w:r>
      <w:r>
        <w:t xml:space="preserve"> – </w:t>
      </w:r>
      <w:r w:rsidR="000E0D3A">
        <w:t>Dec</w:t>
      </w:r>
      <w:r>
        <w:t xml:space="preserve"> 1</w:t>
      </w:r>
      <w:r w:rsidR="00957049">
        <w:t>9</w:t>
      </w:r>
      <w:r>
        <w:t>), 201</w:t>
      </w:r>
      <w:r w:rsidR="00957049">
        <w:t>8</w:t>
      </w:r>
      <w:r>
        <w:t xml:space="preserve"> (</w:t>
      </w:r>
      <w:r w:rsidR="00CF1E57">
        <w:t>J</w:t>
      </w:r>
      <w:r w:rsidR="000E0D3A">
        <w:t>an</w:t>
      </w:r>
      <w:r>
        <w:t xml:space="preserve"> 1</w:t>
      </w:r>
      <w:r w:rsidR="000E0D3A">
        <w:t>8</w:t>
      </w:r>
      <w:r>
        <w:t xml:space="preserve"> – </w:t>
      </w:r>
      <w:r w:rsidR="000E0D3A">
        <w:t>Dec</w:t>
      </w:r>
      <w:r>
        <w:t xml:space="preserve"> 1</w:t>
      </w:r>
      <w:r w:rsidR="00957049">
        <w:t>8</w:t>
      </w:r>
      <w:r>
        <w:t>) and 201</w:t>
      </w:r>
      <w:r w:rsidR="00957049">
        <w:t>7</w:t>
      </w:r>
      <w:r>
        <w:t xml:space="preserve"> (</w:t>
      </w:r>
      <w:r w:rsidR="00CF1E57">
        <w:t>J</w:t>
      </w:r>
      <w:r w:rsidR="000E0D3A">
        <w:t>an</w:t>
      </w:r>
      <w:r>
        <w:t xml:space="preserve"> 1</w:t>
      </w:r>
      <w:r w:rsidR="000E0D3A">
        <w:t>7</w:t>
      </w:r>
      <w:r>
        <w:t xml:space="preserve"> – </w:t>
      </w:r>
      <w:r w:rsidR="000E0D3A">
        <w:t>Dec</w:t>
      </w:r>
      <w:r>
        <w:t xml:space="preserve"> 1</w:t>
      </w:r>
      <w:r w:rsidR="00957049">
        <w:t>7</w:t>
      </w:r>
      <w:r>
        <w:t>)</w:t>
      </w:r>
    </w:p>
    <w:p w14:paraId="44ECF0CA" w14:textId="72F140A2" w:rsidR="002042C4" w:rsidRDefault="002042C4" w:rsidP="002042C4">
      <w:pPr>
        <w:rPr>
          <w:rFonts w:eastAsia="Times"/>
        </w:rPr>
      </w:pPr>
      <w:r>
        <w:rPr>
          <w:rFonts w:eastAsia="Times"/>
        </w:rPr>
        <w:lastRenderedPageBreak/>
        <w:t>The preferred option is to report KPI 5 activity for each hub service. However d</w:t>
      </w:r>
      <w:r w:rsidRPr="00AA0B60">
        <w:rPr>
          <w:rFonts w:eastAsia="Times"/>
        </w:rPr>
        <w:t>ue to low activity numbers</w:t>
      </w:r>
      <w:r>
        <w:rPr>
          <w:rFonts w:eastAsia="Times"/>
        </w:rPr>
        <w:t xml:space="preserve"> of the</w:t>
      </w:r>
      <w:r w:rsidRPr="00AA0B60">
        <w:rPr>
          <w:rFonts w:eastAsia="Times"/>
        </w:rPr>
        <w:t xml:space="preserve"> smaller transplant centres </w:t>
      </w:r>
      <w:r>
        <w:rPr>
          <w:rFonts w:eastAsia="Times"/>
        </w:rPr>
        <w:t xml:space="preserve">their data can often appear statistically insignificant and difficult to meaningfully interpret. To alleviate this problem, </w:t>
      </w:r>
      <w:r w:rsidRPr="00AA0B60">
        <w:rPr>
          <w:rFonts w:eastAsia="Times"/>
        </w:rPr>
        <w:t xml:space="preserve">their </w:t>
      </w:r>
      <w:r>
        <w:rPr>
          <w:rFonts w:eastAsia="Times"/>
        </w:rPr>
        <w:t>activity</w:t>
      </w:r>
      <w:r w:rsidRPr="00AA0B60">
        <w:rPr>
          <w:rFonts w:eastAsia="Times"/>
        </w:rPr>
        <w:t xml:space="preserve"> </w:t>
      </w:r>
      <w:r>
        <w:rPr>
          <w:rFonts w:eastAsia="Times"/>
        </w:rPr>
        <w:t xml:space="preserve">was </w:t>
      </w:r>
      <w:r w:rsidRPr="00AA0B60">
        <w:rPr>
          <w:rFonts w:eastAsia="Times"/>
        </w:rPr>
        <w:t xml:space="preserve">aggregated to increase the statistical robustness. These </w:t>
      </w:r>
      <w:r>
        <w:rPr>
          <w:rFonts w:eastAsia="Times"/>
        </w:rPr>
        <w:t>centres, labelled the ‘collaborative’ in this report, comprise</w:t>
      </w:r>
      <w:r w:rsidRPr="00EC663A">
        <w:rPr>
          <w:rFonts w:eastAsia="Times"/>
        </w:rPr>
        <w:t xml:space="preserve"> </w:t>
      </w:r>
      <w:r>
        <w:rPr>
          <w:rFonts w:eastAsia="Times"/>
        </w:rPr>
        <w:t>Austin, Barwon, St Vincent’s, Eastern and Bendigo Health Services. Western and Northern Health had their activity numbers aggregated with Melbourne Health due to its transplant service arrangement. All other transplanting centres had their activity reported as per normal.</w:t>
      </w:r>
    </w:p>
    <w:p w14:paraId="2C498ACD" w14:textId="77777777" w:rsidR="007F0F0F" w:rsidRDefault="007F0F0F" w:rsidP="002042C4">
      <w:pPr>
        <w:rPr>
          <w:rFonts w:eastAsia="Times"/>
        </w:rPr>
      </w:pPr>
    </w:p>
    <w:p w14:paraId="50DE5D02" w14:textId="5E6B1505" w:rsidR="00824753" w:rsidRPr="00AA0B60" w:rsidRDefault="00957049" w:rsidP="00824753">
      <w:pPr>
        <w:spacing w:after="120" w:line="270" w:lineRule="atLeast"/>
        <w:rPr>
          <w:rFonts w:ascii="Arial" w:eastAsia="Times" w:hAnsi="Arial"/>
        </w:rPr>
      </w:pPr>
      <w:r>
        <w:rPr>
          <w:noProof/>
        </w:rPr>
        <w:drawing>
          <wp:inline distT="0" distB="0" distL="0" distR="0" wp14:anchorId="4D125987" wp14:editId="78094522">
            <wp:extent cx="6299835" cy="3476625"/>
            <wp:effectExtent l="0" t="0" r="5715" b="9525"/>
            <wp:docPr id="45" name="Chart 45">
              <a:extLst xmlns:a="http://schemas.openxmlformats.org/drawingml/2006/main">
                <a:ext uri="{FF2B5EF4-FFF2-40B4-BE49-F238E27FC236}">
                  <a16:creationId xmlns:a16="http://schemas.microsoft.com/office/drawing/2014/main" id="{00000000-0008-0000-05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DA2F794" w14:textId="77777777" w:rsidR="00824753" w:rsidRDefault="00824753" w:rsidP="00824753">
      <w:pPr>
        <w:pStyle w:val="Footer"/>
      </w:pPr>
      <w:r>
        <w:drawing>
          <wp:inline distT="0" distB="0" distL="0" distR="0" wp14:anchorId="162EC761" wp14:editId="554CEA0C">
            <wp:extent cx="6496050" cy="2990850"/>
            <wp:effectExtent l="0" t="0" r="0" b="0"/>
            <wp:docPr id="40" name="Chart 40">
              <a:extLst xmlns:a="http://schemas.openxmlformats.org/drawingml/2006/main">
                <a:ext uri="{FF2B5EF4-FFF2-40B4-BE49-F238E27FC236}">
                  <a16:creationId xmlns:a16="http://schemas.microsoft.com/office/drawing/2014/main" id="{00000000-0008-0000-05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bookmarkStart w:id="31" w:name="_Toc437851860"/>
      <w:r>
        <w:t xml:space="preserve">Note: Results </w:t>
      </w:r>
      <w:r w:rsidRPr="006D78E7">
        <w:t>based on 12</w:t>
      </w:r>
      <w:r>
        <w:t>-</w:t>
      </w:r>
      <w:r w:rsidRPr="006D78E7">
        <w:t>month averages for previous 3 years</w:t>
      </w:r>
      <w:r>
        <w:t>.</w:t>
      </w:r>
    </w:p>
    <w:p w14:paraId="7000F182" w14:textId="698ED73C" w:rsidR="00824753" w:rsidRPr="00887A7A" w:rsidRDefault="00824753" w:rsidP="00824753">
      <w:pPr>
        <w:pStyle w:val="Footer"/>
      </w:pPr>
      <w:r>
        <w:t>201</w:t>
      </w:r>
      <w:r w:rsidR="00993218">
        <w:t>9</w:t>
      </w:r>
      <w:r>
        <w:t xml:space="preserve"> (</w:t>
      </w:r>
      <w:r w:rsidR="00CF1E57">
        <w:t>J</w:t>
      </w:r>
      <w:r w:rsidR="00993218">
        <w:t>an</w:t>
      </w:r>
      <w:r w:rsidRPr="006D78E7">
        <w:t xml:space="preserve"> 1</w:t>
      </w:r>
      <w:r w:rsidR="00993218">
        <w:t>9</w:t>
      </w:r>
      <w:r w:rsidRPr="006D78E7">
        <w:t xml:space="preserve"> – </w:t>
      </w:r>
      <w:r w:rsidR="00993218">
        <w:t>Dec</w:t>
      </w:r>
      <w:r w:rsidRPr="006D78E7">
        <w:t xml:space="preserve"> 1</w:t>
      </w:r>
      <w:r w:rsidR="00753BE7">
        <w:t>9</w:t>
      </w:r>
      <w:r w:rsidRPr="006D78E7">
        <w:t>), 201</w:t>
      </w:r>
      <w:r w:rsidR="00753BE7">
        <w:t>8</w:t>
      </w:r>
      <w:r w:rsidRPr="006D78E7">
        <w:t xml:space="preserve"> (</w:t>
      </w:r>
      <w:r w:rsidR="00CF1E57">
        <w:t>J</w:t>
      </w:r>
      <w:r w:rsidR="00993218">
        <w:t>an</w:t>
      </w:r>
      <w:r w:rsidRPr="006D78E7">
        <w:t xml:space="preserve"> 1</w:t>
      </w:r>
      <w:r w:rsidR="00993218">
        <w:t>8</w:t>
      </w:r>
      <w:r w:rsidRPr="006D78E7">
        <w:t xml:space="preserve"> – </w:t>
      </w:r>
      <w:r w:rsidR="00993218">
        <w:t>Dec</w:t>
      </w:r>
      <w:r w:rsidRPr="006D78E7">
        <w:t xml:space="preserve"> 1</w:t>
      </w:r>
      <w:r w:rsidR="00753BE7">
        <w:t>8</w:t>
      </w:r>
      <w:r w:rsidRPr="006D78E7">
        <w:t>) and 201</w:t>
      </w:r>
      <w:r w:rsidR="00753BE7">
        <w:t>7</w:t>
      </w:r>
      <w:r w:rsidRPr="006D78E7">
        <w:t xml:space="preserve"> (</w:t>
      </w:r>
      <w:r w:rsidR="00CF1E57">
        <w:t>J</w:t>
      </w:r>
      <w:r w:rsidR="00993218">
        <w:t>an</w:t>
      </w:r>
      <w:r w:rsidRPr="006D78E7">
        <w:t xml:space="preserve"> 1</w:t>
      </w:r>
      <w:r w:rsidR="00993218">
        <w:t>7</w:t>
      </w:r>
      <w:r w:rsidRPr="006D78E7">
        <w:t xml:space="preserve"> – </w:t>
      </w:r>
      <w:r w:rsidR="00993218">
        <w:t>Dec</w:t>
      </w:r>
      <w:r w:rsidRPr="006D78E7">
        <w:t xml:space="preserve"> 1</w:t>
      </w:r>
      <w:r w:rsidR="00753BE7">
        <w:t>7</w:t>
      </w:r>
      <w:r w:rsidRPr="006D78E7">
        <w:t>)</w:t>
      </w:r>
    </w:p>
    <w:p w14:paraId="6F3DF518" w14:textId="77777777" w:rsidR="00176E16" w:rsidRDefault="00176E16">
      <w:pPr>
        <w:rPr>
          <w:rFonts w:ascii="VIC SemiBold" w:eastAsiaTheme="majorEastAsia" w:hAnsi="VIC SemiBold" w:cstheme="majorBidi"/>
          <w:bCs/>
          <w:caps/>
          <w:color w:val="007586" w:themeColor="text2"/>
          <w:sz w:val="24"/>
          <w:szCs w:val="26"/>
        </w:rPr>
      </w:pPr>
      <w:r>
        <w:br w:type="page"/>
      </w:r>
    </w:p>
    <w:p w14:paraId="36F09713" w14:textId="77777777" w:rsidR="00824753" w:rsidRDefault="00237E68" w:rsidP="00824753">
      <w:pPr>
        <w:pStyle w:val="Heading2"/>
      </w:pPr>
      <w:bookmarkStart w:id="32" w:name="_Toc526952096"/>
      <w:r>
        <w:lastRenderedPageBreak/>
        <w:t xml:space="preserve">KPI 6: </w:t>
      </w:r>
      <w:r w:rsidR="00824753" w:rsidRPr="00831F5D">
        <w:t xml:space="preserve">Proportion of new </w:t>
      </w:r>
      <w:r w:rsidR="00824753">
        <w:t>end stage kidney disease (</w:t>
      </w:r>
      <w:r w:rsidR="00824753" w:rsidRPr="00831F5D">
        <w:t>ESKD</w:t>
      </w:r>
      <w:r w:rsidR="00824753">
        <w:t>)</w:t>
      </w:r>
      <w:r w:rsidR="00824753" w:rsidRPr="00831F5D">
        <w:t xml:space="preserve"> patients 65 years old </w:t>
      </w:r>
      <w:r w:rsidR="005710A3">
        <w:t xml:space="preserve">AND UNDER </w:t>
      </w:r>
      <w:r w:rsidR="00824753" w:rsidRPr="00831F5D">
        <w:t>who have had a transplant or are on the active list</w:t>
      </w:r>
      <w:bookmarkEnd w:id="31"/>
      <w:bookmarkEnd w:id="32"/>
      <w:r w:rsidR="00824753" w:rsidRPr="00831F5D">
        <w:t xml:space="preserve"> </w:t>
      </w:r>
    </w:p>
    <w:p w14:paraId="46E08965" w14:textId="77777777" w:rsidR="00824753" w:rsidRDefault="00824753" w:rsidP="00824753">
      <w:pPr>
        <w:pStyle w:val="Heading3"/>
      </w:pPr>
      <w:bookmarkStart w:id="33" w:name="_Toc526952097"/>
      <w:r w:rsidRPr="00831F5D">
        <w:t>Definition</w:t>
      </w:r>
      <w:bookmarkEnd w:id="33"/>
    </w:p>
    <w:p w14:paraId="2F03CB33" w14:textId="77777777" w:rsidR="00824753" w:rsidRPr="005D5B6B" w:rsidRDefault="00824753" w:rsidP="00824753">
      <w:pPr>
        <w:rPr>
          <w:b/>
        </w:rPr>
      </w:pPr>
      <w:r w:rsidRPr="005D5B6B">
        <w:rPr>
          <w:rFonts w:eastAsia="Times"/>
        </w:rPr>
        <w:t>The percentage of new ES</w:t>
      </w:r>
      <w:r w:rsidR="00BC21BE">
        <w:rPr>
          <w:rFonts w:eastAsia="Times"/>
        </w:rPr>
        <w:t>K</w:t>
      </w:r>
      <w:r w:rsidRPr="005D5B6B">
        <w:rPr>
          <w:rFonts w:eastAsia="Times"/>
        </w:rPr>
        <w:t xml:space="preserve">D patients 65 years of age </w:t>
      </w:r>
      <w:r w:rsidR="00442D23">
        <w:rPr>
          <w:rFonts w:eastAsia="Times"/>
        </w:rPr>
        <w:t>and</w:t>
      </w:r>
      <w:r w:rsidR="005710A3">
        <w:rPr>
          <w:rFonts w:eastAsia="Times"/>
        </w:rPr>
        <w:t xml:space="preserve"> under </w:t>
      </w:r>
      <w:r w:rsidRPr="005D5B6B">
        <w:rPr>
          <w:rFonts w:eastAsia="Times"/>
        </w:rPr>
        <w:t>who have had a transpl</w:t>
      </w:r>
      <w:r>
        <w:rPr>
          <w:rFonts w:eastAsia="Times"/>
        </w:rPr>
        <w:t xml:space="preserve">ant or are on the ‘active’ list </w:t>
      </w:r>
      <w:r w:rsidRPr="005D5B6B">
        <w:rPr>
          <w:rFonts w:eastAsia="Times"/>
        </w:rPr>
        <w:t>within:</w:t>
      </w:r>
    </w:p>
    <w:p w14:paraId="3F971F65" w14:textId="77777777" w:rsidR="00824753" w:rsidRPr="00FF637B" w:rsidRDefault="00824753" w:rsidP="00824753">
      <w:pPr>
        <w:pStyle w:val="Listnum"/>
        <w:numPr>
          <w:ilvl w:val="0"/>
          <w:numId w:val="18"/>
        </w:numPr>
      </w:pPr>
      <w:r w:rsidRPr="00FF637B">
        <w:t>three months of requiring RRT</w:t>
      </w:r>
    </w:p>
    <w:p w14:paraId="239C448D" w14:textId="77777777" w:rsidR="00824753" w:rsidRPr="00FF637B" w:rsidRDefault="00824753" w:rsidP="00824753">
      <w:pPr>
        <w:pStyle w:val="Listnum"/>
        <w:numPr>
          <w:ilvl w:val="0"/>
          <w:numId w:val="18"/>
        </w:numPr>
      </w:pPr>
      <w:r w:rsidRPr="00FF637B">
        <w:t>six months of requiring RRT.</w:t>
      </w:r>
    </w:p>
    <w:p w14:paraId="3CFEAD6A" w14:textId="77777777" w:rsidR="00824753" w:rsidRPr="00831F5D" w:rsidRDefault="00824753" w:rsidP="00824753">
      <w:pPr>
        <w:pStyle w:val="Heading3"/>
      </w:pPr>
      <w:bookmarkStart w:id="34" w:name="_Toc526952098"/>
      <w:r w:rsidRPr="00831F5D">
        <w:t>Target</w:t>
      </w:r>
      <w:bookmarkEnd w:id="34"/>
    </w:p>
    <w:p w14:paraId="114F8D55" w14:textId="77777777" w:rsidR="00824753" w:rsidRPr="00824753" w:rsidRDefault="00824753" w:rsidP="00824753">
      <w:pPr>
        <w:pStyle w:val="Listnum"/>
      </w:pPr>
      <w:r w:rsidRPr="00824753">
        <w:t>30 per cent of new ESKD patients within three months of requiring RRT</w:t>
      </w:r>
    </w:p>
    <w:p w14:paraId="33EDB6D8" w14:textId="77777777" w:rsidR="00824753" w:rsidRPr="00824753" w:rsidRDefault="00824753" w:rsidP="00824753">
      <w:pPr>
        <w:pStyle w:val="Listnum"/>
      </w:pPr>
      <w:r w:rsidRPr="00824753">
        <w:t>40 per cent of new ESKD patients within six months of requiring RRT.</w:t>
      </w:r>
    </w:p>
    <w:p w14:paraId="418C4274" w14:textId="77777777" w:rsidR="00824753" w:rsidRPr="00831F5D" w:rsidRDefault="00824753" w:rsidP="00824753">
      <w:pPr>
        <w:pStyle w:val="Heading3"/>
      </w:pPr>
      <w:bookmarkStart w:id="35" w:name="_Toc526952099"/>
      <w:r w:rsidRPr="00831F5D">
        <w:t>Exclusions</w:t>
      </w:r>
      <w:bookmarkEnd w:id="35"/>
    </w:p>
    <w:p w14:paraId="3CDE28A5" w14:textId="77777777" w:rsidR="00824753" w:rsidRPr="00FF637B" w:rsidRDefault="00824753" w:rsidP="00824753">
      <w:pPr>
        <w:pStyle w:val="Bullet1"/>
      </w:pPr>
      <w:r w:rsidRPr="00FF637B">
        <w:t>Patients with a failed transplant recommencing RRT</w:t>
      </w:r>
    </w:p>
    <w:p w14:paraId="31CA06E0" w14:textId="77777777" w:rsidR="00824753" w:rsidRPr="00FF637B" w:rsidRDefault="00824753" w:rsidP="00824753">
      <w:pPr>
        <w:pStyle w:val="Bullet1"/>
      </w:pPr>
      <w:r w:rsidRPr="00FF637B">
        <w:t>Patients having a combined organ transplant.</w:t>
      </w:r>
    </w:p>
    <w:p w14:paraId="2E769D69" w14:textId="77777777" w:rsidR="00824753" w:rsidRPr="00824753" w:rsidRDefault="00824753" w:rsidP="00824753">
      <w:pPr>
        <w:pStyle w:val="Heading3"/>
      </w:pPr>
      <w:bookmarkStart w:id="36" w:name="_Toc526952100"/>
      <w:r w:rsidRPr="00824753">
        <w:t>Results</w:t>
      </w:r>
      <w:bookmarkEnd w:id="36"/>
    </w:p>
    <w:p w14:paraId="17819D6A" w14:textId="6E2E09C4" w:rsidR="00824753" w:rsidRPr="00831F5D" w:rsidRDefault="008528F3" w:rsidP="00824753">
      <w:pPr>
        <w:pStyle w:val="DHHSbodynospace"/>
      </w:pPr>
      <w:r>
        <w:rPr>
          <w:noProof/>
        </w:rPr>
        <w:drawing>
          <wp:inline distT="0" distB="0" distL="0" distR="0" wp14:anchorId="773987EE" wp14:editId="4987E558">
            <wp:extent cx="6297295" cy="3665220"/>
            <wp:effectExtent l="0" t="0" r="8255" b="0"/>
            <wp:docPr id="49" name="Chart 49">
              <a:extLst xmlns:a="http://schemas.openxmlformats.org/drawingml/2006/main">
                <a:ext uri="{FF2B5EF4-FFF2-40B4-BE49-F238E27FC236}">
                  <a16:creationId xmlns:a16="http://schemas.microsoft.com/office/drawing/2014/main" id="{00000000-0008-0000-06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2809DEF" w14:textId="28D4FEA8" w:rsidR="00824753" w:rsidRDefault="00824753" w:rsidP="00824753">
      <w:pPr>
        <w:pStyle w:val="Footer"/>
      </w:pPr>
      <w:r w:rsidRPr="00582327">
        <w:t xml:space="preserve">Note: Results based upon data averaged for the period </w:t>
      </w:r>
      <w:r w:rsidR="00996B92">
        <w:t>J</w:t>
      </w:r>
      <w:r w:rsidR="007C2A5B">
        <w:t>an</w:t>
      </w:r>
      <w:r w:rsidR="00996B92">
        <w:t xml:space="preserve"> 201</w:t>
      </w:r>
      <w:r w:rsidR="007C2A5B">
        <w:t>9</w:t>
      </w:r>
      <w:r w:rsidR="00996B92">
        <w:t xml:space="preserve"> - </w:t>
      </w:r>
      <w:r w:rsidR="007C2A5B">
        <w:t>Dec</w:t>
      </w:r>
      <w:r w:rsidR="00996B92">
        <w:t xml:space="preserve"> 201</w:t>
      </w:r>
      <w:r w:rsidR="008528F3">
        <w:t>9</w:t>
      </w:r>
      <w:r>
        <w:t xml:space="preserve"> .  </w:t>
      </w:r>
    </w:p>
    <w:p w14:paraId="7B37BD07" w14:textId="6F54C52B" w:rsidR="00824753" w:rsidRPr="009869C1" w:rsidRDefault="004D58B3" w:rsidP="00824753">
      <w:pPr>
        <w:pStyle w:val="DHHSbody"/>
      </w:pPr>
      <w:r>
        <w:rPr>
          <w:noProof/>
        </w:rPr>
        <w:lastRenderedPageBreak/>
        <w:drawing>
          <wp:inline distT="0" distB="0" distL="0" distR="0" wp14:anchorId="221CE9E0" wp14:editId="7297A8B9">
            <wp:extent cx="6297295" cy="3434715"/>
            <wp:effectExtent l="0" t="0" r="8255" b="0"/>
            <wp:docPr id="50" name="Chart 50">
              <a:extLst xmlns:a="http://schemas.openxmlformats.org/drawingml/2006/main">
                <a:ext uri="{FF2B5EF4-FFF2-40B4-BE49-F238E27FC236}">
                  <a16:creationId xmlns:a16="http://schemas.microsoft.com/office/drawing/2014/main" id="{00000000-0008-0000-06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45BA244" w14:textId="54C090AC" w:rsidR="00824753" w:rsidRDefault="00824753" w:rsidP="00824753">
      <w:pPr>
        <w:pStyle w:val="Footer"/>
      </w:pPr>
      <w:r w:rsidRPr="00831F5D">
        <w:t xml:space="preserve">Note: Results based upon data for the period </w:t>
      </w:r>
      <w:r w:rsidR="00996B92">
        <w:t>J</w:t>
      </w:r>
      <w:r w:rsidR="002E752C">
        <w:t>an</w:t>
      </w:r>
      <w:r w:rsidR="00996B92">
        <w:t xml:space="preserve"> 201</w:t>
      </w:r>
      <w:r w:rsidR="002E752C">
        <w:t>9</w:t>
      </w:r>
      <w:r w:rsidR="00996B92">
        <w:t xml:space="preserve"> - </w:t>
      </w:r>
      <w:r w:rsidR="002E752C">
        <w:t>Dec</w:t>
      </w:r>
      <w:r w:rsidR="00996B92">
        <w:t xml:space="preserve"> 201</w:t>
      </w:r>
      <w:r w:rsidR="004D58B3">
        <w:t>9</w:t>
      </w:r>
      <w:r>
        <w:t xml:space="preserve"> </w:t>
      </w:r>
    </w:p>
    <w:p w14:paraId="6A6CD3C2" w14:textId="3FC14113" w:rsidR="00824753" w:rsidRPr="00932B7C" w:rsidRDefault="00A94E4B" w:rsidP="00824753">
      <w:pPr>
        <w:pStyle w:val="DHHSbody"/>
      </w:pPr>
      <w:r>
        <w:rPr>
          <w:noProof/>
        </w:rPr>
        <w:drawing>
          <wp:inline distT="0" distB="0" distL="0" distR="0" wp14:anchorId="73EA5A87" wp14:editId="3F30A683">
            <wp:extent cx="6299835" cy="3343275"/>
            <wp:effectExtent l="0" t="0" r="5715" b="0"/>
            <wp:docPr id="51" name="Chart 51">
              <a:extLst xmlns:a="http://schemas.openxmlformats.org/drawingml/2006/main">
                <a:ext uri="{FF2B5EF4-FFF2-40B4-BE49-F238E27FC236}">
                  <a16:creationId xmlns:a16="http://schemas.microsoft.com/office/drawing/2014/main" id="{00000000-0008-0000-06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C049722" w14:textId="7C20E0D3" w:rsidR="00824753" w:rsidRDefault="00824753" w:rsidP="00824753">
      <w:pPr>
        <w:pStyle w:val="Footer"/>
      </w:pPr>
      <w:r w:rsidRPr="00C92A2C">
        <w:t xml:space="preserve"> </w:t>
      </w:r>
      <w:r w:rsidRPr="00831F5D">
        <w:t xml:space="preserve">Note: Results based upon data for the period </w:t>
      </w:r>
      <w:r w:rsidR="00996B92">
        <w:t>J</w:t>
      </w:r>
      <w:r w:rsidR="002E752C">
        <w:t>an</w:t>
      </w:r>
      <w:r w:rsidR="00996B92">
        <w:t xml:space="preserve"> 201</w:t>
      </w:r>
      <w:r w:rsidR="002E752C">
        <w:t>9</w:t>
      </w:r>
      <w:r w:rsidR="00996B92">
        <w:t xml:space="preserve"> - </w:t>
      </w:r>
      <w:r w:rsidR="002E752C">
        <w:t>Dec</w:t>
      </w:r>
      <w:r w:rsidR="00996B92">
        <w:t xml:space="preserve"> 201</w:t>
      </w:r>
      <w:r w:rsidR="00A94E4B">
        <w:t>9</w:t>
      </w:r>
      <w:r>
        <w:t xml:space="preserve"> </w:t>
      </w:r>
    </w:p>
    <w:p w14:paraId="0726F581" w14:textId="540844EB" w:rsidR="00824753" w:rsidRDefault="00CE0557" w:rsidP="00824753">
      <w:pPr>
        <w:pStyle w:val="DHHSbody"/>
      </w:pPr>
      <w:r>
        <w:rPr>
          <w:noProof/>
        </w:rPr>
        <w:lastRenderedPageBreak/>
        <w:drawing>
          <wp:inline distT="0" distB="0" distL="0" distR="0" wp14:anchorId="5C48BE17" wp14:editId="427E4BCD">
            <wp:extent cx="6299835" cy="3543300"/>
            <wp:effectExtent l="0" t="0" r="5715" b="0"/>
            <wp:docPr id="52" name="Chart 52">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CA51CF8" w14:textId="569D4F33" w:rsidR="00824753" w:rsidRDefault="00BB3F83" w:rsidP="00824753">
      <w:pPr>
        <w:pStyle w:val="DHHSbody"/>
      </w:pPr>
      <w:r>
        <w:rPr>
          <w:noProof/>
        </w:rPr>
        <w:drawing>
          <wp:inline distT="0" distB="0" distL="0" distR="0" wp14:anchorId="6BF44598" wp14:editId="7D762F57">
            <wp:extent cx="6299835" cy="3648075"/>
            <wp:effectExtent l="0" t="0" r="5715" b="0"/>
            <wp:docPr id="53" name="Chart 53">
              <a:extLst xmlns:a="http://schemas.openxmlformats.org/drawingml/2006/main">
                <a:ext uri="{FF2B5EF4-FFF2-40B4-BE49-F238E27FC236}">
                  <a16:creationId xmlns:a16="http://schemas.microsoft.com/office/drawing/2014/main" id="{00000000-0008-0000-06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5553E64" w14:textId="1B87BE71" w:rsidR="00824753" w:rsidRDefault="00824753" w:rsidP="00824753">
      <w:pPr>
        <w:pStyle w:val="Footer"/>
      </w:pPr>
      <w:r w:rsidRPr="00B1188C">
        <w:t xml:space="preserve">Note: Results showing trend over time: based on 12-month averages for the previous 3 years.                                                    </w:t>
      </w:r>
      <w:r>
        <w:t xml:space="preserve">                        </w:t>
      </w:r>
      <w:r w:rsidR="002A78EE">
        <w:t xml:space="preserve">                                                   </w:t>
      </w:r>
      <w:r>
        <w:t>201</w:t>
      </w:r>
      <w:r w:rsidR="00BB3F83">
        <w:t>9</w:t>
      </w:r>
      <w:r>
        <w:t xml:space="preserve"> (</w:t>
      </w:r>
      <w:r w:rsidR="00CF1E57">
        <w:t>J</w:t>
      </w:r>
      <w:r w:rsidR="00762083">
        <w:t>an</w:t>
      </w:r>
      <w:r w:rsidRPr="00B1188C">
        <w:t xml:space="preserve"> 1</w:t>
      </w:r>
      <w:r w:rsidR="00762083">
        <w:t>9</w:t>
      </w:r>
      <w:r w:rsidRPr="00B1188C">
        <w:t xml:space="preserve"> – </w:t>
      </w:r>
      <w:r w:rsidR="00762083">
        <w:t>Dec</w:t>
      </w:r>
      <w:r w:rsidRPr="00B1188C">
        <w:t xml:space="preserve"> 1</w:t>
      </w:r>
      <w:r w:rsidR="00BB3F83">
        <w:t>9</w:t>
      </w:r>
      <w:r w:rsidRPr="00B1188C">
        <w:t>), 201</w:t>
      </w:r>
      <w:r w:rsidR="00BB3F83">
        <w:t>8</w:t>
      </w:r>
      <w:r w:rsidRPr="00B1188C">
        <w:t xml:space="preserve"> (</w:t>
      </w:r>
      <w:r w:rsidR="00CF1E57">
        <w:t>J</w:t>
      </w:r>
      <w:r w:rsidR="00762083">
        <w:t>an</w:t>
      </w:r>
      <w:r w:rsidRPr="00B1188C">
        <w:t xml:space="preserve"> 1</w:t>
      </w:r>
      <w:r w:rsidR="00762083">
        <w:t>8</w:t>
      </w:r>
      <w:r w:rsidRPr="00B1188C">
        <w:t xml:space="preserve"> – </w:t>
      </w:r>
      <w:r w:rsidR="00762083">
        <w:t>Dec</w:t>
      </w:r>
      <w:r w:rsidRPr="00B1188C">
        <w:t xml:space="preserve"> 1</w:t>
      </w:r>
      <w:r w:rsidR="00BB3F83">
        <w:t>8</w:t>
      </w:r>
      <w:r w:rsidRPr="00B1188C">
        <w:t>) and 201</w:t>
      </w:r>
      <w:r w:rsidR="00BB3F83">
        <w:t>7</w:t>
      </w:r>
      <w:r w:rsidRPr="00B1188C">
        <w:t xml:space="preserve"> (</w:t>
      </w:r>
      <w:r w:rsidR="00CF1E57">
        <w:t>J</w:t>
      </w:r>
      <w:r w:rsidR="00762083">
        <w:t>an</w:t>
      </w:r>
      <w:r w:rsidRPr="00B1188C">
        <w:t xml:space="preserve"> 1</w:t>
      </w:r>
      <w:r w:rsidR="00762083">
        <w:t>7</w:t>
      </w:r>
      <w:r w:rsidRPr="00B1188C">
        <w:t xml:space="preserve"> – </w:t>
      </w:r>
      <w:r w:rsidR="00D01CD3">
        <w:t>Jun</w:t>
      </w:r>
      <w:r w:rsidRPr="00B1188C">
        <w:t xml:space="preserve"> 1</w:t>
      </w:r>
      <w:r w:rsidR="00BB3F83">
        <w:t>7</w:t>
      </w:r>
      <w:r w:rsidRPr="00B1188C">
        <w:t>).</w:t>
      </w:r>
      <w:r>
        <w:br w:type="page"/>
      </w:r>
    </w:p>
    <w:p w14:paraId="12477C8A" w14:textId="77777777" w:rsidR="00824753" w:rsidRPr="00B1188C" w:rsidRDefault="002042C4" w:rsidP="00824753">
      <w:pPr>
        <w:pStyle w:val="Heading1"/>
        <w:framePr w:wrap="around"/>
      </w:pPr>
      <w:bookmarkStart w:id="37" w:name="_Toc526952101"/>
      <w:r>
        <w:lastRenderedPageBreak/>
        <w:t>Appendix 1</w:t>
      </w:r>
      <w:r>
        <w:tab/>
        <w:t xml:space="preserve">Insight committee </w:t>
      </w:r>
      <w:r w:rsidR="00824753" w:rsidRPr="00824753">
        <w:t>members</w:t>
      </w:r>
      <w:bookmarkEnd w:id="37"/>
    </w:p>
    <w:p w14:paraId="5B81776C" w14:textId="77777777" w:rsidR="00824753" w:rsidRDefault="00824753" w:rsidP="00824753">
      <w:r>
        <w:t>Associate Professor Nigel Toussaint (Chair)</w:t>
      </w:r>
      <w:r>
        <w:tab/>
        <w:t>Melbourne Health</w:t>
      </w:r>
    </w:p>
    <w:p w14:paraId="7DCBF808" w14:textId="5F9A1E46" w:rsidR="00824753" w:rsidRDefault="00824753" w:rsidP="00824753">
      <w:r>
        <w:t>Dr Scott Wilson</w:t>
      </w:r>
      <w:r>
        <w:tab/>
      </w:r>
      <w:r>
        <w:tab/>
      </w:r>
      <w:r>
        <w:tab/>
      </w:r>
      <w:r>
        <w:tab/>
        <w:t>Alfred Health</w:t>
      </w:r>
    </w:p>
    <w:p w14:paraId="14F74A36" w14:textId="16D5C2FB" w:rsidR="00824753" w:rsidRDefault="00824753" w:rsidP="00824753">
      <w:r>
        <w:t>Mr Richard Knight</w:t>
      </w:r>
      <w:r>
        <w:tab/>
      </w:r>
      <w:r>
        <w:tab/>
      </w:r>
      <w:r>
        <w:tab/>
      </w:r>
      <w:r>
        <w:tab/>
        <w:t>Barwon Health</w:t>
      </w:r>
    </w:p>
    <w:p w14:paraId="21A5CF62" w14:textId="0E9B28D5" w:rsidR="00DC497A" w:rsidRDefault="00DC497A" w:rsidP="00824753">
      <w:r>
        <w:t>Ms Lara Kimmel</w:t>
      </w:r>
      <w:r>
        <w:tab/>
      </w:r>
      <w:r>
        <w:tab/>
      </w:r>
      <w:r>
        <w:tab/>
      </w:r>
      <w:r>
        <w:tab/>
        <w:t>Consumer</w:t>
      </w:r>
    </w:p>
    <w:p w14:paraId="717A3E74" w14:textId="220E4269" w:rsidR="00DC497A" w:rsidRDefault="00DC497A" w:rsidP="00824753">
      <w:r>
        <w:t xml:space="preserve">Mr John </w:t>
      </w:r>
      <w:proofErr w:type="spellStart"/>
      <w:r>
        <w:t>Miselowski</w:t>
      </w:r>
      <w:proofErr w:type="spellEnd"/>
      <w:r>
        <w:tab/>
      </w:r>
      <w:r>
        <w:tab/>
      </w:r>
      <w:r>
        <w:tab/>
      </w:r>
      <w:r>
        <w:tab/>
        <w:t>Consumer</w:t>
      </w:r>
    </w:p>
    <w:p w14:paraId="245E2956" w14:textId="1C806738" w:rsidR="00DC497A" w:rsidRDefault="00DC497A" w:rsidP="00824753">
      <w:r>
        <w:t xml:space="preserve">Associate Professor Matthew Roberts       </w:t>
      </w:r>
      <w:r>
        <w:tab/>
        <w:t>Eastern Health</w:t>
      </w:r>
    </w:p>
    <w:p w14:paraId="6DE6C478" w14:textId="77777777" w:rsidR="00824753" w:rsidRDefault="00824753" w:rsidP="00824753">
      <w:r>
        <w:t>Associate Professor Bill Mulley</w:t>
      </w:r>
      <w:r>
        <w:tab/>
      </w:r>
      <w:r>
        <w:tab/>
        <w:t>Monash Health</w:t>
      </w:r>
    </w:p>
    <w:p w14:paraId="490C1B0A" w14:textId="0B2D2B3C" w:rsidR="00824753" w:rsidRDefault="00824753" w:rsidP="00824753">
      <w:r>
        <w:t xml:space="preserve">Dr David </w:t>
      </w:r>
      <w:proofErr w:type="spellStart"/>
      <w:r>
        <w:t>Langsford</w:t>
      </w:r>
      <w:proofErr w:type="spellEnd"/>
      <w:r>
        <w:tab/>
      </w:r>
      <w:r>
        <w:tab/>
      </w:r>
      <w:r>
        <w:tab/>
      </w:r>
      <w:r>
        <w:tab/>
        <w:t>Northern Health</w:t>
      </w:r>
    </w:p>
    <w:p w14:paraId="5EE05FDB" w14:textId="16A40A5A" w:rsidR="00DC497A" w:rsidRDefault="00DC497A" w:rsidP="00824753">
      <w:r>
        <w:t>Mr Gregory Dowling</w:t>
      </w:r>
      <w:r>
        <w:tab/>
      </w:r>
      <w:r>
        <w:tab/>
      </w:r>
      <w:r>
        <w:tab/>
      </w:r>
      <w:r>
        <w:tab/>
        <w:t>Safer Care Victoria</w:t>
      </w:r>
    </w:p>
    <w:p w14:paraId="70763AC0" w14:textId="77777777" w:rsidR="00824753" w:rsidRDefault="00824753" w:rsidP="00824753">
      <w:r>
        <w:t>Ms Nuala Barker</w:t>
      </w:r>
      <w:r w:rsidRPr="00824753">
        <w:t xml:space="preserve"> </w:t>
      </w:r>
      <w:r>
        <w:tab/>
      </w:r>
      <w:r>
        <w:tab/>
      </w:r>
      <w:r>
        <w:tab/>
      </w:r>
      <w:r>
        <w:tab/>
        <w:t xml:space="preserve">St </w:t>
      </w:r>
      <w:proofErr w:type="spellStart"/>
      <w:r>
        <w:t>Vincents</w:t>
      </w:r>
      <w:proofErr w:type="spellEnd"/>
      <w:r>
        <w:t xml:space="preserve"> Health</w:t>
      </w:r>
    </w:p>
    <w:p w14:paraId="02B8DC14" w14:textId="77777777" w:rsidR="00824753" w:rsidRDefault="00824753" w:rsidP="00824753">
      <w:r>
        <w:t>Ms Denise Fracchia</w:t>
      </w:r>
      <w:r>
        <w:tab/>
      </w:r>
      <w:r>
        <w:tab/>
      </w:r>
      <w:r>
        <w:tab/>
      </w:r>
      <w:r>
        <w:tab/>
        <w:t>Western Health</w:t>
      </w:r>
    </w:p>
    <w:p w14:paraId="0497BF30" w14:textId="0283C57C" w:rsidR="00787233" w:rsidRPr="00DC497A" w:rsidRDefault="00787233">
      <w:r>
        <w:br w:type="page"/>
      </w:r>
    </w:p>
    <w:p w14:paraId="4C8E394B" w14:textId="77777777" w:rsidR="00787233" w:rsidRPr="00787233" w:rsidRDefault="00787233" w:rsidP="00787233">
      <w:pPr>
        <w:pStyle w:val="Heading1"/>
        <w:framePr w:wrap="around"/>
      </w:pPr>
      <w:bookmarkStart w:id="38" w:name="_Toc526952102"/>
      <w:bookmarkStart w:id="39" w:name="_Toc437851863"/>
      <w:r w:rsidRPr="00787233">
        <w:lastRenderedPageBreak/>
        <w:t xml:space="preserve">Appendix 2 </w:t>
      </w:r>
      <w:r w:rsidR="00086820">
        <w:tab/>
      </w:r>
      <w:r w:rsidRPr="00787233">
        <w:t>KPI rationales</w:t>
      </w:r>
      <w:bookmarkEnd w:id="38"/>
    </w:p>
    <w:p w14:paraId="0738CAEB" w14:textId="77777777" w:rsidR="00787233" w:rsidRPr="00831F5D" w:rsidRDefault="00787233" w:rsidP="00787233">
      <w:pPr>
        <w:pStyle w:val="Heading2"/>
      </w:pPr>
      <w:bookmarkStart w:id="40" w:name="_Toc526952103"/>
      <w:r w:rsidRPr="00831F5D">
        <w:t>KPI 1</w:t>
      </w:r>
      <w:r w:rsidR="00086820">
        <w:t xml:space="preserve">: </w:t>
      </w:r>
      <w:r w:rsidRPr="00831F5D">
        <w:t>Proportion of new, planned patients who have received CKD education before starting dialysis</w:t>
      </w:r>
      <w:bookmarkEnd w:id="39"/>
      <w:bookmarkEnd w:id="40"/>
    </w:p>
    <w:p w14:paraId="28CD4FB2" w14:textId="77777777" w:rsidR="00787233" w:rsidRPr="00081683" w:rsidRDefault="00787233" w:rsidP="00787233">
      <w:pPr>
        <w:pStyle w:val="Heading3"/>
        <w:rPr>
          <w:b/>
        </w:rPr>
      </w:pPr>
      <w:bookmarkStart w:id="41" w:name="_Toc526952104"/>
      <w:r w:rsidRPr="00081683">
        <w:t>Definition</w:t>
      </w:r>
      <w:bookmarkEnd w:id="41"/>
    </w:p>
    <w:p w14:paraId="67772D96" w14:textId="77777777" w:rsidR="00787233" w:rsidRPr="00831784" w:rsidRDefault="00787233" w:rsidP="00787233">
      <w:pPr>
        <w:pStyle w:val="Bullet1"/>
      </w:pPr>
      <w:r w:rsidRPr="001068C3">
        <w:rPr>
          <w:sz w:val="22"/>
          <w:szCs w:val="24"/>
        </w:rPr>
        <w:t>‘</w:t>
      </w:r>
      <w:r w:rsidRPr="00831784">
        <w:t>Planned’ is defined as patients referred to a nephrologist within three years but prior to three months before requiring RRT</w:t>
      </w:r>
    </w:p>
    <w:p w14:paraId="621CD019" w14:textId="77777777" w:rsidR="00787233" w:rsidRPr="00831784" w:rsidRDefault="00787233" w:rsidP="00787233">
      <w:pPr>
        <w:pStyle w:val="Bullet1"/>
      </w:pPr>
      <w:r w:rsidRPr="00831784">
        <w:t>CKD education is defined as either attending a CKD session or a one-on-one session with a member of the CKD team (not a nephrologist consultation only). This education session is to be documented in the patient’s medical record</w:t>
      </w:r>
    </w:p>
    <w:p w14:paraId="06682B8C" w14:textId="77777777" w:rsidR="00787233" w:rsidRPr="00831784" w:rsidRDefault="00787233" w:rsidP="00787233">
      <w:pPr>
        <w:pStyle w:val="Bullet1"/>
      </w:pPr>
      <w:r w:rsidRPr="00831784">
        <w:t>Numerator: All new, planned patients who have received CKD education before starting dialysis</w:t>
      </w:r>
    </w:p>
    <w:p w14:paraId="655B52E1" w14:textId="77777777" w:rsidR="00787233" w:rsidRPr="00831784" w:rsidRDefault="00787233" w:rsidP="00787233">
      <w:pPr>
        <w:pStyle w:val="Bullet1"/>
      </w:pPr>
      <w:r w:rsidRPr="00831784">
        <w:t>Denominator: All new planned patients who have started dialysis</w:t>
      </w:r>
    </w:p>
    <w:p w14:paraId="7B876457" w14:textId="77777777" w:rsidR="00787233" w:rsidRPr="00831784" w:rsidRDefault="00787233" w:rsidP="00787233">
      <w:pPr>
        <w:pStyle w:val="Bullet1"/>
      </w:pPr>
      <w:r w:rsidRPr="00831784">
        <w:t xml:space="preserve">Exclusions: </w:t>
      </w:r>
    </w:p>
    <w:p w14:paraId="14215F4F" w14:textId="77777777" w:rsidR="00787233" w:rsidRPr="00831784" w:rsidRDefault="00787233" w:rsidP="00787233">
      <w:pPr>
        <w:pStyle w:val="Bullet2"/>
      </w:pPr>
      <w:r w:rsidRPr="00831784">
        <w:t>Late referrals (patients commencing dialysis within three months of first renal consultation)</w:t>
      </w:r>
    </w:p>
    <w:p w14:paraId="5F521D5C" w14:textId="77777777" w:rsidR="00787233" w:rsidRPr="00831784" w:rsidRDefault="00787233" w:rsidP="00787233">
      <w:pPr>
        <w:pStyle w:val="Bullet2"/>
      </w:pPr>
      <w:r w:rsidRPr="00831784">
        <w:t>Patients returning to dialysis with a failed transplant</w:t>
      </w:r>
    </w:p>
    <w:p w14:paraId="6C3D2D15" w14:textId="77777777" w:rsidR="00787233" w:rsidRPr="00831F5D" w:rsidRDefault="00787233" w:rsidP="00086820">
      <w:pPr>
        <w:pStyle w:val="Heading3"/>
        <w:spacing w:before="120"/>
        <w:rPr>
          <w:rFonts w:eastAsiaTheme="minorHAnsi"/>
        </w:rPr>
      </w:pPr>
      <w:bookmarkStart w:id="42" w:name="_Toc526952105"/>
      <w:r w:rsidRPr="00831F5D">
        <w:rPr>
          <w:rFonts w:eastAsiaTheme="minorHAnsi"/>
        </w:rPr>
        <w:t>Rationale</w:t>
      </w:r>
      <w:bookmarkEnd w:id="42"/>
    </w:p>
    <w:p w14:paraId="01F77698" w14:textId="77777777" w:rsidR="00787233" w:rsidRPr="00831784" w:rsidRDefault="00787233" w:rsidP="00787233">
      <w:pPr>
        <w:rPr>
          <w:rFonts w:eastAsia="Times"/>
        </w:rPr>
      </w:pPr>
      <w:r w:rsidRPr="00831784">
        <w:rPr>
          <w:rFonts w:eastAsia="Times"/>
        </w:rPr>
        <w:t xml:space="preserve">The </w:t>
      </w:r>
      <w:r>
        <w:rPr>
          <w:rFonts w:eastAsia="Times"/>
        </w:rPr>
        <w:t>Kidney Health Australia (KHA)-</w:t>
      </w:r>
      <w:r w:rsidRPr="00831784">
        <w:rPr>
          <w:rFonts w:eastAsia="Times"/>
        </w:rPr>
        <w:t>Caring for Australasians with Renal Impairment (</w:t>
      </w:r>
      <w:r>
        <w:rPr>
          <w:rFonts w:eastAsia="Times"/>
        </w:rPr>
        <w:t>KHA-</w:t>
      </w:r>
      <w:r w:rsidRPr="00831784">
        <w:rPr>
          <w:rFonts w:eastAsia="Times"/>
        </w:rPr>
        <w:t>CARI) Guidelines</w:t>
      </w:r>
      <w:r w:rsidRPr="00831784">
        <w:rPr>
          <w:rFonts w:eastAsia="Times"/>
          <w:vertAlign w:val="superscript"/>
        </w:rPr>
        <w:footnoteReference w:id="1"/>
      </w:r>
      <w:r w:rsidRPr="00831784">
        <w:rPr>
          <w:rFonts w:eastAsia="Times"/>
        </w:rPr>
        <w:t xml:space="preserve"> for Acceptance onto Dialysis (2005) support a multidisciplinary approach to pre-dialysis education, noting that patients and their families or carers should receive sufficient information and education regarding the nature of ESKD and the options for the treatment to allow them to make an informed decision about the management of their ESKD (Level III evidence). </w:t>
      </w:r>
    </w:p>
    <w:p w14:paraId="0D8D515B" w14:textId="77777777" w:rsidR="00787233" w:rsidRPr="00831784" w:rsidRDefault="00787233" w:rsidP="00787233">
      <w:pPr>
        <w:rPr>
          <w:rFonts w:eastAsia="Times"/>
        </w:rPr>
      </w:pPr>
      <w:r w:rsidRPr="00831784">
        <w:rPr>
          <w:rFonts w:eastAsia="Times"/>
        </w:rPr>
        <w:t>Recent literature</w:t>
      </w:r>
      <w:r w:rsidRPr="00831784">
        <w:rPr>
          <w:rFonts w:eastAsia="Times"/>
          <w:vertAlign w:val="superscript"/>
        </w:rPr>
        <w:footnoteReference w:id="2"/>
      </w:r>
      <w:r w:rsidRPr="00831784">
        <w:rPr>
          <w:rFonts w:eastAsia="Times"/>
          <w:vertAlign w:val="superscript"/>
        </w:rPr>
        <w:t>,</w:t>
      </w:r>
      <w:r w:rsidRPr="00831784">
        <w:rPr>
          <w:rFonts w:eastAsia="Times"/>
          <w:vertAlign w:val="superscript"/>
        </w:rPr>
        <w:footnoteReference w:id="3"/>
      </w:r>
      <w:r w:rsidRPr="00831784">
        <w:rPr>
          <w:rFonts w:eastAsia="Times"/>
          <w:vertAlign w:val="superscript"/>
        </w:rPr>
        <w:t>,</w:t>
      </w:r>
      <w:r w:rsidRPr="00831784">
        <w:rPr>
          <w:rFonts w:eastAsia="Times"/>
          <w:vertAlign w:val="superscript"/>
        </w:rPr>
        <w:footnoteReference w:id="4"/>
      </w:r>
      <w:r w:rsidRPr="00831784">
        <w:rPr>
          <w:rFonts w:eastAsia="Times"/>
          <w:vertAlign w:val="superscript"/>
        </w:rPr>
        <w:t>,</w:t>
      </w:r>
      <w:r w:rsidRPr="00831784">
        <w:rPr>
          <w:rFonts w:eastAsia="Times"/>
          <w:vertAlign w:val="superscript"/>
        </w:rPr>
        <w:footnoteReference w:id="5"/>
      </w:r>
      <w:r w:rsidRPr="00831784">
        <w:rPr>
          <w:rFonts w:eastAsia="Times"/>
          <w:vertAlign w:val="superscript"/>
        </w:rPr>
        <w:t>,</w:t>
      </w:r>
      <w:r w:rsidRPr="00831784">
        <w:rPr>
          <w:rFonts w:eastAsia="Times"/>
          <w:vertAlign w:val="superscript"/>
        </w:rPr>
        <w:footnoteReference w:id="6"/>
      </w:r>
      <w:r w:rsidRPr="00831784">
        <w:rPr>
          <w:rFonts w:eastAsia="Times"/>
        </w:rPr>
        <w:t xml:space="preserve"> reinforces the potential for timely and appropriate CKD education to support informed decision making and, where elected, facilitate a planned approach to the commencement of dialysis, contributing to:</w:t>
      </w:r>
    </w:p>
    <w:p w14:paraId="0176C304" w14:textId="77777777" w:rsidR="00787233" w:rsidRPr="00831784" w:rsidRDefault="00787233" w:rsidP="00787233">
      <w:pPr>
        <w:pStyle w:val="Bullet1"/>
      </w:pPr>
      <w:r w:rsidRPr="00831784">
        <w:t>improved pre-dialysis care and self-management</w:t>
      </w:r>
    </w:p>
    <w:p w14:paraId="4424285A" w14:textId="77777777" w:rsidR="00787233" w:rsidRPr="00831784" w:rsidRDefault="00787233" w:rsidP="00787233">
      <w:pPr>
        <w:pStyle w:val="Bullet1"/>
      </w:pPr>
      <w:r w:rsidRPr="00831784">
        <w:t>increased rates of permanent access</w:t>
      </w:r>
    </w:p>
    <w:p w14:paraId="3A2CCB81" w14:textId="77777777" w:rsidR="00787233" w:rsidRPr="00831784" w:rsidRDefault="00787233" w:rsidP="00787233">
      <w:pPr>
        <w:pStyle w:val="Bullet1"/>
      </w:pPr>
      <w:r w:rsidRPr="00831784">
        <w:t>reduced need for urgent start dialysis</w:t>
      </w:r>
    </w:p>
    <w:p w14:paraId="6387EBC1" w14:textId="77777777" w:rsidR="00787233" w:rsidRPr="00461030" w:rsidRDefault="00787233" w:rsidP="00787233">
      <w:pPr>
        <w:pStyle w:val="Bullet1"/>
        <w:rPr>
          <w:sz w:val="22"/>
          <w:szCs w:val="24"/>
        </w:rPr>
      </w:pPr>
      <w:r w:rsidRPr="00831784">
        <w:t>increased uptake of home therapies</w:t>
      </w:r>
    </w:p>
    <w:p w14:paraId="706C276C" w14:textId="77777777" w:rsidR="00787233" w:rsidRPr="00461030" w:rsidRDefault="00787233" w:rsidP="00787233">
      <w:pPr>
        <w:pStyle w:val="Bullet1"/>
      </w:pPr>
      <w:r w:rsidRPr="00461030">
        <w:t>improved quality of life and reduced mortality in the first 90 days post dialysis initiation.</w:t>
      </w:r>
    </w:p>
    <w:p w14:paraId="0031520D" w14:textId="77777777" w:rsidR="00787233" w:rsidRPr="00831F5D" w:rsidRDefault="00787233" w:rsidP="00787233">
      <w:pPr>
        <w:pStyle w:val="Heading3"/>
      </w:pPr>
      <w:bookmarkStart w:id="43" w:name="_Toc526952106"/>
      <w:r w:rsidRPr="00831F5D">
        <w:lastRenderedPageBreak/>
        <w:t>Potential reasons for variation between services</w:t>
      </w:r>
      <w:bookmarkEnd w:id="43"/>
    </w:p>
    <w:p w14:paraId="7F255AEA" w14:textId="77777777" w:rsidR="00787233" w:rsidRPr="00831784" w:rsidRDefault="00787233" w:rsidP="00787233">
      <w:pPr>
        <w:pStyle w:val="Bullet1"/>
      </w:pPr>
      <w:r w:rsidRPr="00831784">
        <w:t>Disparity of patient access to education programs relating to:</w:t>
      </w:r>
    </w:p>
    <w:p w14:paraId="571DCAEE" w14:textId="77777777" w:rsidR="00787233" w:rsidRPr="00831784" w:rsidRDefault="00787233" w:rsidP="00787233">
      <w:pPr>
        <w:pStyle w:val="Bullet2"/>
      </w:pPr>
      <w:r w:rsidRPr="00831784">
        <w:t>Inadequate resources – multidisciplinary staff, education materials, training equipment, delivery methods, data management systems and budget restraints</w:t>
      </w:r>
    </w:p>
    <w:p w14:paraId="2CFEE15B" w14:textId="77777777" w:rsidR="00787233" w:rsidRPr="00831784" w:rsidRDefault="00787233" w:rsidP="00787233">
      <w:pPr>
        <w:pStyle w:val="Bullet2"/>
      </w:pPr>
      <w:r w:rsidRPr="00831784">
        <w:t>Difficulty in attending due to: distance, poor mobility, lack of transport and / or lack of support person</w:t>
      </w:r>
    </w:p>
    <w:p w14:paraId="4918322E" w14:textId="77777777" w:rsidR="00787233" w:rsidRPr="00831784" w:rsidRDefault="00787233" w:rsidP="00787233">
      <w:pPr>
        <w:pStyle w:val="Bullet2"/>
      </w:pPr>
      <w:r w:rsidRPr="00831784">
        <w:t>Culturally and linguistically diverse patients (interpreter, information translation often required)</w:t>
      </w:r>
    </w:p>
    <w:p w14:paraId="4049EB8C" w14:textId="77777777" w:rsidR="00787233" w:rsidRPr="00831784" w:rsidRDefault="00787233" w:rsidP="00787233">
      <w:pPr>
        <w:pStyle w:val="Bullet1"/>
      </w:pPr>
      <w:r w:rsidRPr="00831784">
        <w:t>Disparity in patient uptake of education programs due to variation in</w:t>
      </w:r>
    </w:p>
    <w:p w14:paraId="6EDE35B8" w14:textId="77777777" w:rsidR="00787233" w:rsidRPr="00831784" w:rsidRDefault="00787233" w:rsidP="00787233">
      <w:pPr>
        <w:pStyle w:val="Bullet2"/>
      </w:pPr>
      <w:r w:rsidRPr="00831784">
        <w:t>Psychosocial acceptance rates, e.g. increased fear or denial</w:t>
      </w:r>
    </w:p>
    <w:p w14:paraId="5DBFC835" w14:textId="77777777" w:rsidR="00787233" w:rsidRPr="00831784" w:rsidRDefault="00787233" w:rsidP="00787233">
      <w:pPr>
        <w:pStyle w:val="Bullet2"/>
      </w:pPr>
      <w:r w:rsidRPr="00831784">
        <w:t>Access to or acceptance of support, e.g. social work, psychologist</w:t>
      </w:r>
    </w:p>
    <w:p w14:paraId="2170768B" w14:textId="77777777" w:rsidR="00787233" w:rsidRPr="00081683" w:rsidRDefault="00787233" w:rsidP="00787233">
      <w:pPr>
        <w:pStyle w:val="Bullet2"/>
      </w:pPr>
      <w:r w:rsidRPr="00081683">
        <w:t xml:space="preserve">Collaborative relationships in CKD care, e.g. private nephrologist, primary health, Hospital Admission Risk Program </w:t>
      </w:r>
    </w:p>
    <w:p w14:paraId="72806B70" w14:textId="77777777" w:rsidR="00787233" w:rsidRPr="00831784" w:rsidRDefault="00787233" w:rsidP="00787233">
      <w:pPr>
        <w:pStyle w:val="Bullet1"/>
      </w:pPr>
      <w:r w:rsidRPr="00831784">
        <w:t>Disparity in documentation of education provided due to</w:t>
      </w:r>
    </w:p>
    <w:p w14:paraId="43A6A9B0" w14:textId="77777777" w:rsidR="00787233" w:rsidRPr="00831784" w:rsidRDefault="00787233" w:rsidP="00787233">
      <w:pPr>
        <w:pStyle w:val="Bullet2"/>
      </w:pPr>
      <w:r w:rsidRPr="00831784">
        <w:t>Variation in internal processes for defining and recording education sessions</w:t>
      </w:r>
    </w:p>
    <w:p w14:paraId="6BC8A478" w14:textId="77777777" w:rsidR="00787233" w:rsidRPr="00831784" w:rsidRDefault="00787233" w:rsidP="00787233">
      <w:pPr>
        <w:pStyle w:val="Bullet2"/>
      </w:pPr>
      <w:r w:rsidRPr="00831784">
        <w:t>No standardised definition of “appropriate” CKD education</w:t>
      </w:r>
    </w:p>
    <w:p w14:paraId="0B5A8024" w14:textId="77777777" w:rsidR="00787233" w:rsidRPr="00831784" w:rsidRDefault="00787233" w:rsidP="00787233">
      <w:pPr>
        <w:pStyle w:val="Bullet2"/>
      </w:pPr>
      <w:r w:rsidRPr="00831784">
        <w:t xml:space="preserve">Lack of Level 1 evidence </w:t>
      </w:r>
    </w:p>
    <w:p w14:paraId="29F291F6" w14:textId="77777777" w:rsidR="00787233" w:rsidRPr="00831784" w:rsidRDefault="00787233" w:rsidP="00787233">
      <w:pPr>
        <w:pStyle w:val="Bullet2"/>
      </w:pPr>
      <w:r w:rsidRPr="00831784">
        <w:t>Lack of standardised measure for CKD education</w:t>
      </w:r>
    </w:p>
    <w:p w14:paraId="59D65CA3" w14:textId="77777777" w:rsidR="00787233" w:rsidRPr="00831F5D" w:rsidRDefault="00787233" w:rsidP="00787233">
      <w:pPr>
        <w:pStyle w:val="Heading2"/>
      </w:pPr>
      <w:r w:rsidRPr="00831F5D">
        <w:rPr>
          <w:rFonts w:eastAsiaTheme="minorHAnsi"/>
        </w:rPr>
        <w:br w:type="page"/>
      </w:r>
      <w:bookmarkStart w:id="44" w:name="_Toc437851864"/>
      <w:bookmarkStart w:id="45" w:name="_Toc526952107"/>
      <w:r w:rsidRPr="00831F5D">
        <w:lastRenderedPageBreak/>
        <w:t>KPI 2</w:t>
      </w:r>
      <w:r>
        <w:t>:</w:t>
      </w:r>
      <w:bookmarkEnd w:id="44"/>
      <w:r w:rsidR="00086820">
        <w:t xml:space="preserve"> </w:t>
      </w:r>
      <w:r w:rsidRPr="00A87D64">
        <w:t>Proportion of new, planned RRT patients (excluding pre-emptive live donor transplants within 2 weeks of transplant) who successfully use an arteriovenous fistula or graft access at first HD treatment</w:t>
      </w:r>
      <w:bookmarkEnd w:id="45"/>
    </w:p>
    <w:p w14:paraId="0FACC3FE" w14:textId="77777777" w:rsidR="00787233" w:rsidRPr="00831F5D" w:rsidRDefault="00787233" w:rsidP="00787233">
      <w:pPr>
        <w:pStyle w:val="Heading3"/>
      </w:pPr>
      <w:bookmarkStart w:id="46" w:name="_Toc526952108"/>
      <w:r w:rsidRPr="00831F5D">
        <w:t>Definition</w:t>
      </w:r>
      <w:bookmarkEnd w:id="46"/>
    </w:p>
    <w:p w14:paraId="71E79487" w14:textId="77777777" w:rsidR="00787233" w:rsidRPr="00831784" w:rsidRDefault="00787233" w:rsidP="00787233">
      <w:pPr>
        <w:pStyle w:val="Bullet1"/>
      </w:pPr>
      <w:r w:rsidRPr="00831784">
        <w:t>New HD patients are those who have chronic maintenance HD as the first RRT</w:t>
      </w:r>
    </w:p>
    <w:p w14:paraId="5C39F428" w14:textId="77777777" w:rsidR="00787233" w:rsidRPr="00831784" w:rsidRDefault="00787233" w:rsidP="00787233">
      <w:pPr>
        <w:pStyle w:val="Bullet1"/>
      </w:pPr>
      <w:r w:rsidRPr="00831784">
        <w:t>‘Planned’ is defined as patients referred to a nephrologist within three years but prior to three months before requiring RRT</w:t>
      </w:r>
    </w:p>
    <w:p w14:paraId="365878C6" w14:textId="77777777" w:rsidR="00787233" w:rsidRPr="00831784" w:rsidRDefault="00787233" w:rsidP="00787233">
      <w:pPr>
        <w:pStyle w:val="Bullet1"/>
      </w:pPr>
      <w:r w:rsidRPr="00831784">
        <w:t>Vascular access is defined as either an AVF or AVG</w:t>
      </w:r>
    </w:p>
    <w:p w14:paraId="7B1E2063" w14:textId="77777777" w:rsidR="00787233" w:rsidRPr="00831784" w:rsidRDefault="00787233" w:rsidP="00787233">
      <w:pPr>
        <w:pStyle w:val="Bullet1"/>
      </w:pPr>
      <w:r w:rsidRPr="00831784">
        <w:t>Successful use of an access is defined as not requiring a temporary access</w:t>
      </w:r>
    </w:p>
    <w:p w14:paraId="4DCD7BB6" w14:textId="77777777" w:rsidR="00787233" w:rsidRPr="00831784" w:rsidRDefault="00787233" w:rsidP="00787233">
      <w:pPr>
        <w:pStyle w:val="Bullet1"/>
      </w:pPr>
      <w:r w:rsidRPr="00831784">
        <w:t xml:space="preserve">Numerator: Number of new planned patients starting HD using an AVF/AVG </w:t>
      </w:r>
    </w:p>
    <w:p w14:paraId="5F0FD7CC" w14:textId="77777777" w:rsidR="00787233" w:rsidRPr="00831784" w:rsidRDefault="00787233" w:rsidP="00787233">
      <w:pPr>
        <w:pStyle w:val="Bullet1"/>
      </w:pPr>
      <w:r w:rsidRPr="00831784">
        <w:t>Denominator: Total number of new planned patients starting HD</w:t>
      </w:r>
    </w:p>
    <w:p w14:paraId="7DD68F69" w14:textId="77777777" w:rsidR="00787233" w:rsidRPr="00831784" w:rsidRDefault="00787233" w:rsidP="00787233">
      <w:pPr>
        <w:pStyle w:val="Bullet1"/>
      </w:pPr>
      <w:r w:rsidRPr="00831784">
        <w:t xml:space="preserve">Exclusions: </w:t>
      </w:r>
    </w:p>
    <w:p w14:paraId="2B48BB56" w14:textId="77777777" w:rsidR="00787233" w:rsidRPr="00831784" w:rsidRDefault="00787233" w:rsidP="00787233">
      <w:pPr>
        <w:pStyle w:val="Bullet2"/>
      </w:pPr>
      <w:r w:rsidRPr="00831784">
        <w:t>Late referrals (patients commencing dialysis within three months of first renal consultation)</w:t>
      </w:r>
    </w:p>
    <w:p w14:paraId="2047A664" w14:textId="77777777" w:rsidR="00787233" w:rsidRPr="00831784" w:rsidRDefault="00787233" w:rsidP="00787233">
      <w:pPr>
        <w:pStyle w:val="Bullet2"/>
      </w:pPr>
      <w:r w:rsidRPr="00831784">
        <w:t>Patients with a failed transplant or transferring from PD</w:t>
      </w:r>
    </w:p>
    <w:p w14:paraId="77C6FD20" w14:textId="77777777" w:rsidR="00787233" w:rsidRPr="00831F5D" w:rsidRDefault="00787233" w:rsidP="00787233">
      <w:pPr>
        <w:pStyle w:val="Heading3"/>
      </w:pPr>
      <w:bookmarkStart w:id="47" w:name="_Toc526952109"/>
      <w:r w:rsidRPr="00831F5D">
        <w:t>Rationale</w:t>
      </w:r>
      <w:bookmarkEnd w:id="47"/>
    </w:p>
    <w:p w14:paraId="27E9BAAC" w14:textId="77777777" w:rsidR="00787233" w:rsidRPr="00831784" w:rsidRDefault="006C1A20" w:rsidP="00787233">
      <w:pPr>
        <w:rPr>
          <w:rFonts w:eastAsia="Times"/>
        </w:rPr>
      </w:pPr>
      <w:r>
        <w:rPr>
          <w:rFonts w:eastAsia="Times"/>
        </w:rPr>
        <w:t>Consideration should</w:t>
      </w:r>
      <w:r w:rsidR="00787233" w:rsidRPr="00831784">
        <w:rPr>
          <w:rFonts w:eastAsia="Times"/>
        </w:rPr>
        <w:t xml:space="preserve"> be given as to the most appropriate type of vascular access for eac</w:t>
      </w:r>
      <w:r>
        <w:rPr>
          <w:rFonts w:eastAsia="Times"/>
        </w:rPr>
        <w:t>h individual patient. C</w:t>
      </w:r>
      <w:r w:rsidR="00787233" w:rsidRPr="00831784">
        <w:rPr>
          <w:rFonts w:eastAsia="Times"/>
        </w:rPr>
        <w:t>urrent guidelines suggest that the arteriovenous fistula is the preferred choice of vascular access (over central or femoral venous catheters) for patients commencing haemodialysis.</w:t>
      </w:r>
      <w:r w:rsidR="00787233" w:rsidRPr="00831784">
        <w:rPr>
          <w:rFonts w:eastAsia="Times"/>
          <w:vertAlign w:val="superscript"/>
        </w:rPr>
        <w:footnoteReference w:id="7"/>
      </w:r>
      <w:r w:rsidR="00787233" w:rsidRPr="00831784">
        <w:rPr>
          <w:rFonts w:eastAsia="Times"/>
          <w:vertAlign w:val="superscript"/>
        </w:rPr>
        <w:t>,</w:t>
      </w:r>
      <w:r w:rsidR="00787233" w:rsidRPr="00831784">
        <w:rPr>
          <w:rFonts w:eastAsia="Times"/>
          <w:vertAlign w:val="superscript"/>
        </w:rPr>
        <w:footnoteReference w:id="8"/>
      </w:r>
      <w:r w:rsidR="00787233" w:rsidRPr="00831784">
        <w:rPr>
          <w:rFonts w:eastAsia="Times"/>
        </w:rPr>
        <w:t xml:space="preserve"> When compared to the use of central venous catheters, early access creation (AVF and AVG) is associated with a significantly reduced risk of sepsis and mortality.</w:t>
      </w:r>
      <w:r w:rsidR="00787233" w:rsidRPr="00831784">
        <w:rPr>
          <w:rFonts w:eastAsia="Times"/>
          <w:vertAlign w:val="superscript"/>
        </w:rPr>
        <w:footnoteReference w:id="9"/>
      </w:r>
    </w:p>
    <w:p w14:paraId="4CAB30AD" w14:textId="77777777" w:rsidR="00787233" w:rsidRPr="00831F5D" w:rsidRDefault="00787233" w:rsidP="00787233">
      <w:pPr>
        <w:pStyle w:val="Heading3"/>
      </w:pPr>
      <w:bookmarkStart w:id="48" w:name="_Toc526952110"/>
      <w:r w:rsidRPr="00831F5D">
        <w:t>Potential reasons for variation between services</w:t>
      </w:r>
      <w:bookmarkEnd w:id="48"/>
    </w:p>
    <w:p w14:paraId="5E772EAB" w14:textId="77777777" w:rsidR="00787233" w:rsidRPr="00831784" w:rsidRDefault="00787233" w:rsidP="00787233">
      <w:pPr>
        <w:pStyle w:val="Bullet1"/>
      </w:pPr>
      <w:r w:rsidRPr="00831784">
        <w:t>Timing of referral for vascular access creation by nephrologist or the renal team</w:t>
      </w:r>
    </w:p>
    <w:p w14:paraId="1D463D73" w14:textId="77777777" w:rsidR="00787233" w:rsidRPr="00831784" w:rsidRDefault="00787233" w:rsidP="00787233">
      <w:pPr>
        <w:pStyle w:val="Bullet1"/>
      </w:pPr>
      <w:r w:rsidRPr="00831784">
        <w:t>Patient reluctance to address impending dialysis necessity or reliance upon pre-emptive transplant</w:t>
      </w:r>
    </w:p>
    <w:p w14:paraId="2AB02AC3" w14:textId="77777777" w:rsidR="00787233" w:rsidRPr="00831784" w:rsidRDefault="00787233" w:rsidP="00787233">
      <w:pPr>
        <w:pStyle w:val="Bullet1"/>
      </w:pPr>
      <w:r w:rsidRPr="00831784">
        <w:t>Public health service waiting list times for vascular surgery</w:t>
      </w:r>
    </w:p>
    <w:p w14:paraId="43654757" w14:textId="77777777" w:rsidR="00787233" w:rsidRPr="00831784" w:rsidRDefault="00787233" w:rsidP="00787233">
      <w:pPr>
        <w:pStyle w:val="Bullet1"/>
      </w:pPr>
      <w:r w:rsidRPr="00831784">
        <w:t>Differences in clinical follow-up of AVF development post-operatively</w:t>
      </w:r>
    </w:p>
    <w:p w14:paraId="1F6EBFE8" w14:textId="77777777" w:rsidR="00787233" w:rsidRPr="00831784" w:rsidRDefault="00787233" w:rsidP="00787233">
      <w:pPr>
        <w:pStyle w:val="Bullet1"/>
      </w:pPr>
      <w:r w:rsidRPr="00831784">
        <w:t>Variation in the number of public / private patients between services</w:t>
      </w:r>
    </w:p>
    <w:p w14:paraId="76C4DEF3" w14:textId="77777777" w:rsidR="00787233" w:rsidRPr="00831784" w:rsidRDefault="00787233" w:rsidP="00787233">
      <w:pPr>
        <w:pStyle w:val="Bullet1"/>
      </w:pPr>
      <w:r w:rsidRPr="00831784">
        <w:t>Variation in skill level and needling techniques between dialysis staff and dialysis units.</w:t>
      </w:r>
    </w:p>
    <w:p w14:paraId="79AA0EE7" w14:textId="77777777" w:rsidR="00787233" w:rsidRPr="00831F5D" w:rsidRDefault="00787233" w:rsidP="00787233">
      <w:pPr>
        <w:pStyle w:val="Heading2"/>
      </w:pPr>
      <w:r w:rsidRPr="00831F5D">
        <w:br w:type="page"/>
      </w:r>
      <w:bookmarkStart w:id="49" w:name="_Toc437851865"/>
      <w:bookmarkStart w:id="50" w:name="_Toc526952111"/>
      <w:r w:rsidRPr="00831F5D">
        <w:lastRenderedPageBreak/>
        <w:t>KPI 3</w:t>
      </w:r>
      <w:r>
        <w:t>:</w:t>
      </w:r>
      <w:r w:rsidR="00086820">
        <w:t xml:space="preserve"> </w:t>
      </w:r>
      <w:r w:rsidRPr="00831F5D">
        <w:t>Proportion of dialysis patients who are dialysing at home</w:t>
      </w:r>
      <w:bookmarkEnd w:id="49"/>
      <w:bookmarkEnd w:id="50"/>
    </w:p>
    <w:p w14:paraId="0C0AB33A" w14:textId="77777777" w:rsidR="00787233" w:rsidRPr="00831F5D" w:rsidRDefault="00787233" w:rsidP="00787233">
      <w:pPr>
        <w:pStyle w:val="Heading3"/>
      </w:pPr>
      <w:bookmarkStart w:id="51" w:name="_Toc526952112"/>
      <w:r w:rsidRPr="00831F5D">
        <w:t>Definition</w:t>
      </w:r>
      <w:bookmarkEnd w:id="51"/>
    </w:p>
    <w:p w14:paraId="118A5C90" w14:textId="77777777" w:rsidR="00787233" w:rsidRPr="00831784" w:rsidRDefault="00787233" w:rsidP="00787233">
      <w:pPr>
        <w:pStyle w:val="Bullet1"/>
      </w:pPr>
      <w:r w:rsidRPr="00831784">
        <w:t>Patients dialysing at home includes nocturnal and conventional HD; and automated and continuous ambulatory PD</w:t>
      </w:r>
    </w:p>
    <w:p w14:paraId="040DC566" w14:textId="77777777" w:rsidR="00787233" w:rsidRPr="00831784" w:rsidRDefault="00787233" w:rsidP="00787233">
      <w:pPr>
        <w:pStyle w:val="Bullet1"/>
      </w:pPr>
      <w:r w:rsidRPr="00831784">
        <w:t xml:space="preserve">Incident patients – proportion </w:t>
      </w:r>
      <w:r w:rsidR="00F33AAE" w:rsidRPr="00831784">
        <w:t>of patients</w:t>
      </w:r>
      <w:r w:rsidRPr="00831784">
        <w:t xml:space="preserve"> at six months after starting dialysis</w:t>
      </w:r>
    </w:p>
    <w:p w14:paraId="1F5A9FAA" w14:textId="77777777" w:rsidR="00787233" w:rsidRPr="00831784" w:rsidRDefault="00787233" w:rsidP="00787233">
      <w:pPr>
        <w:pStyle w:val="Bullet1"/>
      </w:pPr>
      <w:r w:rsidRPr="00831784">
        <w:t>Prevalent patients – proportion of total dialysis population</w:t>
      </w:r>
    </w:p>
    <w:p w14:paraId="72AC0CC7" w14:textId="77777777" w:rsidR="00787233" w:rsidRPr="00831784" w:rsidRDefault="00787233" w:rsidP="00787233">
      <w:pPr>
        <w:pStyle w:val="Bullet1"/>
      </w:pPr>
      <w:r w:rsidRPr="00831784">
        <w:t>Numerator (incidence): number patients that have attempted at least one month of home dialysis within six months of starting dialysis</w:t>
      </w:r>
    </w:p>
    <w:p w14:paraId="4D732E32" w14:textId="77777777" w:rsidR="00787233" w:rsidRPr="00831784" w:rsidRDefault="00787233" w:rsidP="00787233">
      <w:pPr>
        <w:pStyle w:val="Bullet1"/>
      </w:pPr>
      <w:r w:rsidRPr="00831784">
        <w:t xml:space="preserve">Denominator (incidence): all new planned patients who have started dialysis (in that </w:t>
      </w:r>
      <w:proofErr w:type="gramStart"/>
      <w:r w:rsidRPr="00831784">
        <w:t>particular month</w:t>
      </w:r>
      <w:proofErr w:type="gramEnd"/>
      <w:r w:rsidRPr="00831784">
        <w:t xml:space="preserve"> only) six months previous</w:t>
      </w:r>
    </w:p>
    <w:p w14:paraId="56C01066" w14:textId="77777777" w:rsidR="00787233" w:rsidRPr="00831784" w:rsidRDefault="00787233" w:rsidP="00787233">
      <w:pPr>
        <w:pStyle w:val="Bullet1"/>
      </w:pPr>
      <w:r w:rsidRPr="00831784">
        <w:t xml:space="preserve">Numerator (prevalence): number of patients on home dialysis </w:t>
      </w:r>
    </w:p>
    <w:p w14:paraId="214209E6" w14:textId="77777777" w:rsidR="00787233" w:rsidRPr="00831784" w:rsidRDefault="00787233" w:rsidP="00787233">
      <w:pPr>
        <w:pStyle w:val="Bullet1"/>
      </w:pPr>
      <w:r w:rsidRPr="00831784">
        <w:t>Denominator (prevalence): all new planned patients who have started dialysis</w:t>
      </w:r>
    </w:p>
    <w:p w14:paraId="7D828528" w14:textId="77777777" w:rsidR="006C1A20" w:rsidRPr="00831784" w:rsidRDefault="006C1A20" w:rsidP="006C1A20">
      <w:pPr>
        <w:pStyle w:val="Bullet1"/>
      </w:pPr>
      <w:bookmarkStart w:id="52" w:name="_Toc526952113"/>
      <w:r w:rsidRPr="00831784">
        <w:t>Inclusion:</w:t>
      </w:r>
      <w:r>
        <w:t xml:space="preserve"> p</w:t>
      </w:r>
      <w:r w:rsidRPr="00831784">
        <w:t>atients who have successfully been on home dialysis during any of the six months</w:t>
      </w:r>
    </w:p>
    <w:p w14:paraId="133B501C" w14:textId="77777777" w:rsidR="006C1A20" w:rsidRPr="00787233" w:rsidRDefault="006C1A20" w:rsidP="006C1A20">
      <w:pPr>
        <w:pStyle w:val="Bullet1"/>
      </w:pPr>
      <w:r w:rsidRPr="00831784">
        <w:t xml:space="preserve">Exclusions: </w:t>
      </w:r>
      <w:r>
        <w:t>p</w:t>
      </w:r>
      <w:r w:rsidRPr="00081683">
        <w:t>atients who are in home training units</w:t>
      </w:r>
      <w:r>
        <w:t>.</w:t>
      </w:r>
      <w:r w:rsidRPr="00081683">
        <w:t xml:space="preserve"> </w:t>
      </w:r>
    </w:p>
    <w:p w14:paraId="657D1052" w14:textId="77777777" w:rsidR="00787233" w:rsidRPr="00831F5D" w:rsidRDefault="00787233" w:rsidP="00787233">
      <w:pPr>
        <w:pStyle w:val="Heading3"/>
        <w:rPr>
          <w:rFonts w:eastAsiaTheme="minorHAnsi"/>
        </w:rPr>
      </w:pPr>
      <w:r w:rsidRPr="00831F5D">
        <w:rPr>
          <w:rFonts w:eastAsiaTheme="minorHAnsi"/>
        </w:rPr>
        <w:t>Rationale</w:t>
      </w:r>
      <w:bookmarkEnd w:id="52"/>
    </w:p>
    <w:p w14:paraId="09E804F1" w14:textId="77777777" w:rsidR="00787233" w:rsidRPr="00787233" w:rsidRDefault="00787233" w:rsidP="00787233">
      <w:pPr>
        <w:rPr>
          <w:rFonts w:eastAsia="Times"/>
        </w:rPr>
      </w:pPr>
      <w:r w:rsidRPr="00831784">
        <w:rPr>
          <w:rFonts w:eastAsia="Times"/>
        </w:rPr>
        <w:t xml:space="preserve">Home dialysis maximises independence and assists in addressing current access issues, including transportation for rural patients. Further advantages include quality of life, social and economic benefits.  Increasing home dialysis uptake encourages improved outcomes and lower </w:t>
      </w:r>
      <w:r w:rsidR="006C1A20" w:rsidRPr="00831784">
        <w:rPr>
          <w:rFonts w:eastAsia="Times"/>
        </w:rPr>
        <w:t>costs and</w:t>
      </w:r>
      <w:r w:rsidRPr="00831784">
        <w:rPr>
          <w:rFonts w:eastAsia="Times"/>
        </w:rPr>
        <w:t xml:space="preserve"> identifying barriers to home therapies will assist in enhancing the prevalence in the state.</w:t>
      </w:r>
    </w:p>
    <w:p w14:paraId="25123B4A" w14:textId="77777777" w:rsidR="00787233" w:rsidRPr="00831F5D" w:rsidRDefault="00787233" w:rsidP="00787233">
      <w:pPr>
        <w:pStyle w:val="Heading3"/>
      </w:pPr>
      <w:bookmarkStart w:id="53" w:name="_Toc526952114"/>
      <w:r w:rsidRPr="00831F5D">
        <w:t>Potential reasons for variation between services</w:t>
      </w:r>
      <w:bookmarkEnd w:id="53"/>
    </w:p>
    <w:p w14:paraId="47794007" w14:textId="77777777" w:rsidR="00787233" w:rsidRPr="00831784" w:rsidRDefault="00787233" w:rsidP="00787233">
      <w:pPr>
        <w:pStyle w:val="Bullet1"/>
      </w:pPr>
      <w:r w:rsidRPr="00831784">
        <w:t>Lack of infrastructure for training, support and education</w:t>
      </w:r>
    </w:p>
    <w:p w14:paraId="119A2496" w14:textId="77777777" w:rsidR="00787233" w:rsidRPr="00831784" w:rsidRDefault="00787233" w:rsidP="00787233">
      <w:pPr>
        <w:pStyle w:val="Bullet1"/>
      </w:pPr>
      <w:r w:rsidRPr="00831784">
        <w:t>Travel distances for rural patients, educators, and technicians</w:t>
      </w:r>
    </w:p>
    <w:p w14:paraId="617A5260" w14:textId="77777777" w:rsidR="00787233" w:rsidRPr="00831784" w:rsidRDefault="00787233" w:rsidP="00787233">
      <w:pPr>
        <w:pStyle w:val="Bullet1"/>
      </w:pPr>
      <w:r w:rsidRPr="00831784">
        <w:t>Lack of local support for patients requiring time-dependent assistance</w:t>
      </w:r>
    </w:p>
    <w:p w14:paraId="2CB71C72" w14:textId="77777777" w:rsidR="00787233" w:rsidRPr="00831784" w:rsidRDefault="00787233" w:rsidP="00787233">
      <w:pPr>
        <w:pStyle w:val="Bullet1"/>
      </w:pPr>
      <w:r w:rsidRPr="00831784">
        <w:t>Lack of adequate water supply or consistent electrical means for rural patients</w:t>
      </w:r>
    </w:p>
    <w:p w14:paraId="07CB06A7" w14:textId="77777777" w:rsidR="00787233" w:rsidRPr="00787233" w:rsidRDefault="00787233" w:rsidP="00787233">
      <w:pPr>
        <w:pStyle w:val="Bullet1"/>
      </w:pPr>
      <w:r w:rsidRPr="00831784">
        <w:t>Prevalence of rental accommodation / transient living arrangement in a region</w:t>
      </w:r>
    </w:p>
    <w:p w14:paraId="12CAE1DA" w14:textId="77777777" w:rsidR="00787233" w:rsidRPr="00831F5D" w:rsidRDefault="00787233" w:rsidP="00787233">
      <w:pPr>
        <w:pStyle w:val="Heading2"/>
      </w:pPr>
      <w:r w:rsidRPr="00831F5D">
        <w:br w:type="page"/>
      </w:r>
      <w:bookmarkStart w:id="54" w:name="_Toc437851866"/>
      <w:bookmarkStart w:id="55" w:name="_Toc526952115"/>
      <w:r w:rsidRPr="00831F5D">
        <w:lastRenderedPageBreak/>
        <w:t>KPI 4</w:t>
      </w:r>
      <w:r w:rsidR="00086820">
        <w:t xml:space="preserve">: </w:t>
      </w:r>
      <w:r w:rsidRPr="00831F5D">
        <w:t>Peritonitis rates of each hub service</w:t>
      </w:r>
      <w:bookmarkEnd w:id="54"/>
      <w:bookmarkEnd w:id="55"/>
    </w:p>
    <w:p w14:paraId="0C472FFB" w14:textId="77777777" w:rsidR="00787233" w:rsidRPr="00081683" w:rsidRDefault="00787233" w:rsidP="00787233">
      <w:pPr>
        <w:pStyle w:val="Heading3"/>
        <w:rPr>
          <w:b/>
        </w:rPr>
      </w:pPr>
      <w:bookmarkStart w:id="56" w:name="_Toc526952116"/>
      <w:r w:rsidRPr="00081683">
        <w:t>Definition</w:t>
      </w:r>
      <w:bookmarkEnd w:id="56"/>
    </w:p>
    <w:p w14:paraId="2208641C" w14:textId="77777777" w:rsidR="00787233" w:rsidRPr="006763BD" w:rsidRDefault="00787233" w:rsidP="00787233">
      <w:pPr>
        <w:pStyle w:val="Bullet1"/>
      </w:pPr>
      <w:r w:rsidRPr="00831784">
        <w:t xml:space="preserve">Peritonitis rate is calculated </w:t>
      </w:r>
      <w:r w:rsidR="00774FF3">
        <w:t xml:space="preserve">as the </w:t>
      </w:r>
      <w:r w:rsidRPr="00831784">
        <w:rPr>
          <w:lang w:val="en-US"/>
        </w:rPr>
        <w:t xml:space="preserve">total number of </w:t>
      </w:r>
      <w:r w:rsidR="00DF5027">
        <w:rPr>
          <w:lang w:val="en-US"/>
        </w:rPr>
        <w:t xml:space="preserve">peritonitis episodes experienced by all patients </w:t>
      </w:r>
      <w:r w:rsidRPr="00831784">
        <w:rPr>
          <w:lang w:val="en-US"/>
        </w:rPr>
        <w:t>on dialysis</w:t>
      </w:r>
      <w:r w:rsidR="006763BD">
        <w:rPr>
          <w:lang w:val="en-US"/>
        </w:rPr>
        <w:t xml:space="preserve"> </w:t>
      </w:r>
      <w:r w:rsidR="00774FF3">
        <w:rPr>
          <w:lang w:val="en-US"/>
        </w:rPr>
        <w:t xml:space="preserve">(PD) </w:t>
      </w:r>
      <w:r w:rsidR="006763BD">
        <w:rPr>
          <w:lang w:val="en-US"/>
        </w:rPr>
        <w:t>during the reporting month</w:t>
      </w:r>
      <w:r w:rsidRPr="00831784">
        <w:rPr>
          <w:lang w:val="en-US"/>
        </w:rPr>
        <w:t xml:space="preserve">, divided by </w:t>
      </w:r>
      <w:r w:rsidR="006763BD">
        <w:rPr>
          <w:lang w:val="en-US"/>
        </w:rPr>
        <w:t xml:space="preserve">the </w:t>
      </w:r>
      <w:r w:rsidR="00DF5027">
        <w:rPr>
          <w:lang w:val="en-US"/>
        </w:rPr>
        <w:t xml:space="preserve">total </w:t>
      </w:r>
      <w:r w:rsidRPr="00831784">
        <w:rPr>
          <w:lang w:val="en-US"/>
        </w:rPr>
        <w:t xml:space="preserve">number of </w:t>
      </w:r>
      <w:r w:rsidR="00DF5027">
        <w:rPr>
          <w:lang w:val="en-US"/>
        </w:rPr>
        <w:t>months all patients</w:t>
      </w:r>
      <w:r w:rsidR="006763BD">
        <w:rPr>
          <w:lang w:val="en-US"/>
        </w:rPr>
        <w:t xml:space="preserve"> have spent on dialysis</w:t>
      </w:r>
      <w:r w:rsidR="00774FF3">
        <w:rPr>
          <w:lang w:val="en-US"/>
        </w:rPr>
        <w:t xml:space="preserve"> (PD)</w:t>
      </w:r>
      <w:r w:rsidRPr="00831784">
        <w:rPr>
          <w:lang w:val="en-US"/>
        </w:rPr>
        <w:t xml:space="preserve">, and </w:t>
      </w:r>
      <w:r w:rsidR="006763BD">
        <w:rPr>
          <w:lang w:val="en-US"/>
        </w:rPr>
        <w:t xml:space="preserve">then multiplied by 12 to be </w:t>
      </w:r>
      <w:r w:rsidRPr="00831784">
        <w:rPr>
          <w:lang w:val="en-US"/>
        </w:rPr>
        <w:t xml:space="preserve">expressed as </w:t>
      </w:r>
      <w:r w:rsidR="0003667F">
        <w:rPr>
          <w:lang w:val="en-US"/>
        </w:rPr>
        <w:t>yearly rate</w:t>
      </w:r>
      <w:r w:rsidRPr="00831784">
        <w:rPr>
          <w:lang w:val="en-US"/>
        </w:rPr>
        <w:t xml:space="preserve"> (</w:t>
      </w:r>
      <w:r w:rsidR="0003667F">
        <w:rPr>
          <w:lang w:val="en-US"/>
        </w:rPr>
        <w:t>0.33 episodes per patient year</w:t>
      </w:r>
      <w:r w:rsidRPr="00831784">
        <w:rPr>
          <w:lang w:val="en-US"/>
        </w:rPr>
        <w:t xml:space="preserve">). </w:t>
      </w:r>
    </w:p>
    <w:p w14:paraId="36F55B4B" w14:textId="77777777" w:rsidR="00774FF3" w:rsidRPr="00774FF3" w:rsidRDefault="00774FF3" w:rsidP="00787233">
      <w:pPr>
        <w:pStyle w:val="Bullet1"/>
      </w:pPr>
      <w:r>
        <w:rPr>
          <w:lang w:val="en-US"/>
        </w:rPr>
        <w:t xml:space="preserve">Peritoneal Dialysis peritonitis diagnosed when </w:t>
      </w:r>
      <w:r w:rsidRPr="0050687A">
        <w:rPr>
          <w:b/>
          <w:lang w:val="en-US"/>
        </w:rPr>
        <w:t>at least 2</w:t>
      </w:r>
      <w:r>
        <w:rPr>
          <w:lang w:val="en-US"/>
        </w:rPr>
        <w:t xml:space="preserve"> of the following are present</w:t>
      </w:r>
    </w:p>
    <w:p w14:paraId="7DBC0CE8" w14:textId="77777777" w:rsidR="00774FF3" w:rsidRDefault="00774FF3" w:rsidP="00774FF3">
      <w:pPr>
        <w:pStyle w:val="Bullet2"/>
        <w:numPr>
          <w:ilvl w:val="3"/>
          <w:numId w:val="9"/>
        </w:numPr>
      </w:pPr>
      <w:r>
        <w:t xml:space="preserve">Clinical features consistent with peritonitis </w:t>
      </w:r>
      <w:r w:rsidR="0050687A">
        <w:t>i.e.</w:t>
      </w:r>
      <w:r>
        <w:t xml:space="preserve"> abdominal pain and/or cloudy dialysis effluent</w:t>
      </w:r>
    </w:p>
    <w:p w14:paraId="3248171E" w14:textId="77777777" w:rsidR="00774FF3" w:rsidRDefault="00774FF3" w:rsidP="00774FF3">
      <w:pPr>
        <w:pStyle w:val="Bullet2"/>
        <w:numPr>
          <w:ilvl w:val="3"/>
          <w:numId w:val="9"/>
        </w:numPr>
      </w:pPr>
      <w:r>
        <w:t>Dialysis effluent white cell count &gt; 100</w:t>
      </w:r>
      <w:r>
        <w:rPr>
          <w:rFonts w:ascii="Times New Roman" w:hAnsi="Times New Roman" w:cs="Times New Roman"/>
        </w:rPr>
        <w:t>µ</w:t>
      </w:r>
      <w:r w:rsidR="0050687A">
        <w:t>L or &gt; 0.1 x 109/L (after a dwell time of at least 2 hours with &gt; 50</w:t>
      </w:r>
      <w:r w:rsidR="005710A3">
        <w:t xml:space="preserve"> per cent</w:t>
      </w:r>
      <w:r w:rsidR="0050687A">
        <w:t xml:space="preserve"> polymorphonuclear</w:t>
      </w:r>
      <w:r w:rsidR="006B45A9">
        <w:t>)</w:t>
      </w:r>
      <w:r w:rsidR="0050687A">
        <w:t>; and</w:t>
      </w:r>
    </w:p>
    <w:p w14:paraId="12ABB70A" w14:textId="77777777" w:rsidR="0050687A" w:rsidRPr="00831784" w:rsidRDefault="0050687A" w:rsidP="00774FF3">
      <w:pPr>
        <w:pStyle w:val="Bullet2"/>
        <w:numPr>
          <w:ilvl w:val="3"/>
          <w:numId w:val="9"/>
        </w:numPr>
      </w:pPr>
      <w:r>
        <w:t>Positive dialysis effluent culture</w:t>
      </w:r>
    </w:p>
    <w:p w14:paraId="6099A5A4" w14:textId="77777777" w:rsidR="0050687A" w:rsidRDefault="0050687A" w:rsidP="0050687A">
      <w:pPr>
        <w:pStyle w:val="Bullet1"/>
      </w:pPr>
      <w:r w:rsidRPr="00831784">
        <w:t>Relapsing peritonitis</w:t>
      </w:r>
      <w:r>
        <w:rPr>
          <w:lang w:val="en-US"/>
        </w:rPr>
        <w:t xml:space="preserve">: An episode occurring </w:t>
      </w:r>
      <w:r>
        <w:rPr>
          <w:i/>
          <w:lang w:val="en-US"/>
        </w:rPr>
        <w:t xml:space="preserve">within 4 </w:t>
      </w:r>
      <w:r w:rsidRPr="0050687A">
        <w:rPr>
          <w:i/>
          <w:lang w:val="en-US"/>
        </w:rPr>
        <w:t>weeks</w:t>
      </w:r>
      <w:r>
        <w:rPr>
          <w:lang w:val="en-US"/>
        </w:rPr>
        <w:t xml:space="preserve"> of peritonitis therapy being completed with the same causative organism (or sterile episode) – to be considered as a </w:t>
      </w:r>
      <w:r>
        <w:rPr>
          <w:i/>
          <w:lang w:val="en-US"/>
        </w:rPr>
        <w:t xml:space="preserve">single continuous </w:t>
      </w:r>
      <w:r w:rsidRPr="0045416B">
        <w:rPr>
          <w:i/>
          <w:lang w:val="en-US"/>
        </w:rPr>
        <w:t>event</w:t>
      </w:r>
      <w:r>
        <w:rPr>
          <w:lang w:val="en-US"/>
        </w:rPr>
        <w:t>.</w:t>
      </w:r>
    </w:p>
    <w:p w14:paraId="01746876" w14:textId="77777777" w:rsidR="00787233" w:rsidRDefault="00787233" w:rsidP="00787233">
      <w:pPr>
        <w:pStyle w:val="Bullet1"/>
      </w:pPr>
      <w:r w:rsidRPr="00831784">
        <w:t xml:space="preserve">Recurrent </w:t>
      </w:r>
      <w:r w:rsidR="0045416B">
        <w:t xml:space="preserve">peritonitis: An episode occurring </w:t>
      </w:r>
      <w:r w:rsidR="0045416B">
        <w:rPr>
          <w:i/>
        </w:rPr>
        <w:t xml:space="preserve">within </w:t>
      </w:r>
      <w:r w:rsidR="0045416B" w:rsidRPr="0045416B">
        <w:t xml:space="preserve">4 </w:t>
      </w:r>
      <w:r w:rsidR="0045416B" w:rsidRPr="0045416B">
        <w:rPr>
          <w:i/>
        </w:rPr>
        <w:t>weeks</w:t>
      </w:r>
      <w:r w:rsidR="0045416B">
        <w:t xml:space="preserve"> of peritonitis therapy being completed with a different causative organism – to be considered as a </w:t>
      </w:r>
      <w:r w:rsidR="0045416B">
        <w:rPr>
          <w:i/>
        </w:rPr>
        <w:t xml:space="preserve">new peritonitis </w:t>
      </w:r>
      <w:r w:rsidR="00F33AAE">
        <w:rPr>
          <w:i/>
        </w:rPr>
        <w:t xml:space="preserve">event </w:t>
      </w:r>
      <w:r w:rsidR="00F33AAE" w:rsidRPr="00831784">
        <w:t>(</w:t>
      </w:r>
      <w:r w:rsidRPr="00831784">
        <w:t xml:space="preserve">see Table 6, </w:t>
      </w:r>
      <w:r w:rsidRPr="00831784">
        <w:rPr>
          <w:i/>
        </w:rPr>
        <w:t>ISPD guidelines</w:t>
      </w:r>
      <w:r w:rsidRPr="00831784">
        <w:t xml:space="preserve"> </w:t>
      </w:r>
      <w:r w:rsidRPr="00831784">
        <w:rPr>
          <w:i/>
        </w:rPr>
        <w:t>2010</w:t>
      </w:r>
      <w:r w:rsidRPr="00831784">
        <w:t>, vol. 30, no. 4, p. 404)</w:t>
      </w:r>
    </w:p>
    <w:p w14:paraId="69D82F36" w14:textId="77777777" w:rsidR="00774FF3" w:rsidRPr="00831784" w:rsidRDefault="00774FF3" w:rsidP="00787233">
      <w:pPr>
        <w:pStyle w:val="Bullet1"/>
      </w:pPr>
      <w:r>
        <w:t xml:space="preserve">Any event beyond 4 weeks after the completion of peritonitis therapy to be considered as a </w:t>
      </w:r>
      <w:r w:rsidRPr="00774FF3">
        <w:rPr>
          <w:i/>
        </w:rPr>
        <w:t>new peritonitis event</w:t>
      </w:r>
      <w:r>
        <w:t>.</w:t>
      </w:r>
    </w:p>
    <w:p w14:paraId="25981B3D" w14:textId="77777777" w:rsidR="00787233" w:rsidRPr="00831784" w:rsidRDefault="00787233" w:rsidP="00787233">
      <w:pPr>
        <w:pStyle w:val="Bullet1"/>
      </w:pPr>
      <w:r w:rsidRPr="00831784">
        <w:t xml:space="preserve">Numerator: number of peritonitis episodes in all </w:t>
      </w:r>
      <w:r w:rsidR="0050687A">
        <w:t>PD patients</w:t>
      </w:r>
    </w:p>
    <w:p w14:paraId="5759B253" w14:textId="77777777" w:rsidR="00787233" w:rsidRDefault="00787233" w:rsidP="00787233">
      <w:pPr>
        <w:pStyle w:val="Bullet1"/>
      </w:pPr>
      <w:r w:rsidRPr="00831784">
        <w:t xml:space="preserve">Denominator: total number of patient-months on PD (expressed </w:t>
      </w:r>
      <w:proofErr w:type="gramStart"/>
      <w:r w:rsidRPr="00831784">
        <w:t>as a whole number</w:t>
      </w:r>
      <w:proofErr w:type="gramEnd"/>
      <w:r w:rsidRPr="00831784">
        <w:t>)</w:t>
      </w:r>
    </w:p>
    <w:p w14:paraId="271AF8B7" w14:textId="77777777" w:rsidR="0050687A" w:rsidRPr="00831784" w:rsidRDefault="0050687A" w:rsidP="00787233">
      <w:pPr>
        <w:pStyle w:val="Bullet1"/>
      </w:pPr>
      <w:r>
        <w:t>Peritonitis rate expressed as number of episodes per patient year</w:t>
      </w:r>
    </w:p>
    <w:p w14:paraId="50C440CC" w14:textId="77777777" w:rsidR="006C1A20" w:rsidRDefault="006C1A20" w:rsidP="006C1A20">
      <w:pPr>
        <w:pStyle w:val="Bullet1"/>
      </w:pPr>
      <w:bookmarkStart w:id="57" w:name="_Toc526952117"/>
      <w:r w:rsidRPr="00831784">
        <w:t xml:space="preserve">Exclusions: </w:t>
      </w:r>
      <w:r>
        <w:t>p</w:t>
      </w:r>
      <w:r w:rsidRPr="00831784">
        <w:t>atients who have a catheter in situ but are still pre</w:t>
      </w:r>
      <w:r>
        <w:t>-</w:t>
      </w:r>
      <w:r w:rsidRPr="00831784">
        <w:t>dialysis</w:t>
      </w:r>
      <w:r>
        <w:t>.</w:t>
      </w:r>
    </w:p>
    <w:p w14:paraId="13F6B46B" w14:textId="77777777" w:rsidR="00787233" w:rsidRPr="00831F5D" w:rsidRDefault="00787233" w:rsidP="00787233">
      <w:pPr>
        <w:pStyle w:val="Heading3"/>
      </w:pPr>
      <w:r w:rsidRPr="00831F5D">
        <w:t>Rationale</w:t>
      </w:r>
      <w:bookmarkEnd w:id="57"/>
    </w:p>
    <w:p w14:paraId="7A742C55" w14:textId="77777777" w:rsidR="00787233" w:rsidRPr="00787233" w:rsidRDefault="00787233" w:rsidP="00787233">
      <w:pPr>
        <w:rPr>
          <w:rFonts w:eastAsia="Times"/>
        </w:rPr>
      </w:pPr>
      <w:r w:rsidRPr="00831784">
        <w:rPr>
          <w:rFonts w:eastAsia="Times"/>
        </w:rPr>
        <w:t>Peritonitis remains the primary reason for PD failure.  Peritonitis also contributes to increased hospitalisation and increased mortality.</w:t>
      </w:r>
      <w:r w:rsidRPr="00831784">
        <w:rPr>
          <w:rFonts w:eastAsia="Times"/>
          <w:vertAlign w:val="superscript"/>
        </w:rPr>
        <w:footnoteReference w:id="10"/>
      </w:r>
      <w:r w:rsidRPr="00831784">
        <w:rPr>
          <w:rFonts w:eastAsia="Times"/>
        </w:rPr>
        <w:t xml:space="preserve"> For a PD program to be successful, close attention must be paid to preventing PD-related infections including peritonitis,</w:t>
      </w:r>
      <w:r w:rsidRPr="00831784">
        <w:rPr>
          <w:rFonts w:eastAsia="Times"/>
          <w:vertAlign w:val="superscript"/>
        </w:rPr>
        <w:footnoteReference w:id="11"/>
      </w:r>
      <w:r w:rsidRPr="00831784">
        <w:rPr>
          <w:rFonts w:eastAsia="Times"/>
        </w:rPr>
        <w:t xml:space="preserve"> and evaluating the causes when they do occur.</w:t>
      </w:r>
    </w:p>
    <w:p w14:paraId="55D5B350" w14:textId="77777777" w:rsidR="00787233" w:rsidRPr="00831F5D" w:rsidRDefault="00787233" w:rsidP="00787233">
      <w:pPr>
        <w:pStyle w:val="Heading3"/>
      </w:pPr>
      <w:bookmarkStart w:id="58" w:name="_Toc526952118"/>
      <w:r w:rsidRPr="00831F5D">
        <w:lastRenderedPageBreak/>
        <w:t>Potential reasons for variation between services</w:t>
      </w:r>
      <w:bookmarkEnd w:id="58"/>
    </w:p>
    <w:p w14:paraId="024CD66A" w14:textId="77777777" w:rsidR="00787233" w:rsidRPr="00831784" w:rsidRDefault="00787233" w:rsidP="00787233">
      <w:pPr>
        <w:pStyle w:val="Bullet1"/>
      </w:pPr>
      <w:r w:rsidRPr="00831784">
        <w:t xml:space="preserve">Patient training techniques and patient’s ability to perform procedure and manage the treatment </w:t>
      </w:r>
    </w:p>
    <w:p w14:paraId="58CA4585" w14:textId="77777777" w:rsidR="00787233" w:rsidRPr="00831784" w:rsidRDefault="00787233" w:rsidP="00787233">
      <w:pPr>
        <w:pStyle w:val="Bullet1"/>
      </w:pPr>
      <w:r w:rsidRPr="00831784">
        <w:t>Staff to patient ratios in PD training units and clinics</w:t>
      </w:r>
    </w:p>
    <w:p w14:paraId="62D9F52E" w14:textId="77777777" w:rsidR="00787233" w:rsidRPr="00831784" w:rsidRDefault="00787233" w:rsidP="00787233">
      <w:pPr>
        <w:pStyle w:val="Bullet1"/>
      </w:pPr>
      <w:r w:rsidRPr="00831784">
        <w:t>Treatment regimens for peritonitis</w:t>
      </w:r>
    </w:p>
    <w:p w14:paraId="5E9FCBD6" w14:textId="77777777" w:rsidR="00787233" w:rsidRPr="00787233" w:rsidRDefault="00787233" w:rsidP="00787233">
      <w:pPr>
        <w:pStyle w:val="Bullet1"/>
      </w:pPr>
      <w:r w:rsidRPr="00831784">
        <w:t>Patient demographics, supports, and time already spent on peritoneal dialysis.</w:t>
      </w:r>
    </w:p>
    <w:p w14:paraId="335BC0B0" w14:textId="77777777" w:rsidR="00787233" w:rsidRPr="00831F5D" w:rsidRDefault="00787233" w:rsidP="00787233">
      <w:pPr>
        <w:pStyle w:val="Heading2"/>
      </w:pPr>
      <w:r w:rsidRPr="00831F5D">
        <w:br w:type="page"/>
      </w:r>
      <w:bookmarkStart w:id="59" w:name="_Toc437851867"/>
      <w:bookmarkStart w:id="60" w:name="_Toc526952119"/>
      <w:r w:rsidRPr="00831F5D">
        <w:lastRenderedPageBreak/>
        <w:t>KPI 5</w:t>
      </w:r>
      <w:r w:rsidR="00086820">
        <w:t xml:space="preserve">: </w:t>
      </w:r>
      <w:r w:rsidRPr="00831F5D">
        <w:t>Proportion of new live donor transplants that are pre-emptive</w:t>
      </w:r>
      <w:bookmarkEnd w:id="59"/>
      <w:bookmarkEnd w:id="60"/>
    </w:p>
    <w:p w14:paraId="61FBE1A6" w14:textId="77777777" w:rsidR="00787233" w:rsidRPr="00831F5D" w:rsidRDefault="00787233" w:rsidP="00787233">
      <w:pPr>
        <w:pStyle w:val="Heading3"/>
      </w:pPr>
      <w:bookmarkStart w:id="61" w:name="_Toc526952120"/>
      <w:r>
        <w:t>Defi</w:t>
      </w:r>
      <w:r w:rsidRPr="00831F5D">
        <w:t>nition</w:t>
      </w:r>
      <w:bookmarkEnd w:id="61"/>
    </w:p>
    <w:p w14:paraId="170C829C" w14:textId="77777777" w:rsidR="00787233" w:rsidRPr="00831784" w:rsidRDefault="00787233" w:rsidP="00787233">
      <w:pPr>
        <w:pStyle w:val="Bullet1"/>
      </w:pPr>
      <w:r w:rsidRPr="00831784">
        <w:t>New patients are those new to ESKD, that is, not those who have previously had a transplant</w:t>
      </w:r>
    </w:p>
    <w:p w14:paraId="55FB6453" w14:textId="77777777" w:rsidR="00787233" w:rsidRPr="00831784" w:rsidRDefault="00787233" w:rsidP="00787233">
      <w:pPr>
        <w:pStyle w:val="Bullet1"/>
      </w:pPr>
      <w:r w:rsidRPr="00831784">
        <w:t>Pre-emptive transplant is defined as patients who are transplanted requiring no or under two weeks of dialysis.</w:t>
      </w:r>
    </w:p>
    <w:p w14:paraId="2844B333" w14:textId="77777777" w:rsidR="00787233" w:rsidRPr="00831784" w:rsidRDefault="00787233" w:rsidP="00787233">
      <w:pPr>
        <w:pStyle w:val="Bullet1"/>
      </w:pPr>
      <w:r w:rsidRPr="00831784">
        <w:t>Numerator: total number of pre-emptive new live donor transplants</w:t>
      </w:r>
    </w:p>
    <w:p w14:paraId="6E9B6658" w14:textId="77777777" w:rsidR="00787233" w:rsidRPr="00831784" w:rsidRDefault="00787233" w:rsidP="00787233">
      <w:pPr>
        <w:pStyle w:val="Bullet1"/>
      </w:pPr>
      <w:r w:rsidRPr="00831784">
        <w:t>Denominator: number of new live donor transplants</w:t>
      </w:r>
    </w:p>
    <w:p w14:paraId="5AB22E5C" w14:textId="77777777" w:rsidR="00787233" w:rsidRPr="00831784" w:rsidRDefault="00787233" w:rsidP="00787233">
      <w:pPr>
        <w:pStyle w:val="Bullet1"/>
      </w:pPr>
      <w:r w:rsidRPr="00831784">
        <w:t xml:space="preserve">Exclusions: </w:t>
      </w:r>
    </w:p>
    <w:p w14:paraId="00A96AF3" w14:textId="77777777" w:rsidR="00787233" w:rsidRPr="00831784" w:rsidRDefault="00787233" w:rsidP="00787233">
      <w:pPr>
        <w:pStyle w:val="Bullet2"/>
      </w:pPr>
      <w:r w:rsidRPr="00831784">
        <w:t>Patients with a failed transplant recommencing RRT</w:t>
      </w:r>
    </w:p>
    <w:p w14:paraId="7E78927D" w14:textId="77777777" w:rsidR="00787233" w:rsidRPr="00787233" w:rsidRDefault="00787233" w:rsidP="00787233">
      <w:pPr>
        <w:pStyle w:val="Bullet2"/>
        <w:rPr>
          <w:sz w:val="22"/>
          <w:szCs w:val="24"/>
        </w:rPr>
      </w:pPr>
      <w:r w:rsidRPr="00831784">
        <w:t>Patients having a combined organ transplant</w:t>
      </w:r>
    </w:p>
    <w:p w14:paraId="7298B7AD" w14:textId="77777777" w:rsidR="00787233" w:rsidRPr="00831F5D" w:rsidRDefault="00787233" w:rsidP="00787233">
      <w:pPr>
        <w:pStyle w:val="Heading3"/>
        <w:rPr>
          <w:rFonts w:eastAsiaTheme="minorHAnsi"/>
        </w:rPr>
      </w:pPr>
      <w:bookmarkStart w:id="62" w:name="_Toc526952121"/>
      <w:r w:rsidRPr="00831F5D">
        <w:rPr>
          <w:rFonts w:eastAsiaTheme="minorHAnsi"/>
        </w:rPr>
        <w:t>Rationale</w:t>
      </w:r>
      <w:bookmarkEnd w:id="62"/>
    </w:p>
    <w:p w14:paraId="67CB4D60" w14:textId="77777777" w:rsidR="00787233" w:rsidRPr="00831784" w:rsidRDefault="00787233" w:rsidP="00787233">
      <w:pPr>
        <w:rPr>
          <w:rFonts w:eastAsia="Times"/>
        </w:rPr>
      </w:pPr>
      <w:r w:rsidRPr="00831784">
        <w:rPr>
          <w:rFonts w:eastAsia="Times"/>
        </w:rPr>
        <w:t xml:space="preserve">Kidney transplantation remains the optimal form of renal replacement therapy for ESKD. Live donor (related or unrelated) transplantation currently represents approximately 40 </w:t>
      </w:r>
      <w:r w:rsidR="005710A3">
        <w:rPr>
          <w:rFonts w:eastAsia="Times"/>
        </w:rPr>
        <w:t>per cent</w:t>
      </w:r>
      <w:r w:rsidRPr="00831784">
        <w:rPr>
          <w:rFonts w:eastAsia="Times"/>
        </w:rPr>
        <w:t xml:space="preserve"> of all transplants and offers excellent patient and transplant outcomes.</w:t>
      </w:r>
    </w:p>
    <w:p w14:paraId="7D643A82" w14:textId="77777777" w:rsidR="006C1A20" w:rsidRPr="00787233" w:rsidRDefault="006C1A20" w:rsidP="006C1A20">
      <w:pPr>
        <w:rPr>
          <w:rFonts w:eastAsia="Times"/>
        </w:rPr>
      </w:pPr>
      <w:bookmarkStart w:id="63" w:name="_Toc526952122"/>
      <w:r w:rsidRPr="00831784">
        <w:rPr>
          <w:rFonts w:eastAsia="Times"/>
        </w:rPr>
        <w:t>Timel</w:t>
      </w:r>
      <w:r>
        <w:rPr>
          <w:rFonts w:eastAsia="Times"/>
        </w:rPr>
        <w:t xml:space="preserve">y </w:t>
      </w:r>
      <w:r w:rsidRPr="00831784">
        <w:rPr>
          <w:rFonts w:eastAsia="Times"/>
        </w:rPr>
        <w:t xml:space="preserve">live donor transplantation </w:t>
      </w:r>
      <w:r>
        <w:rPr>
          <w:rFonts w:eastAsia="Times"/>
        </w:rPr>
        <w:t>can potentially avoid</w:t>
      </w:r>
      <w:r w:rsidRPr="00831784">
        <w:rPr>
          <w:rFonts w:eastAsia="Times"/>
        </w:rPr>
        <w:t xml:space="preserve"> prolonged </w:t>
      </w:r>
      <w:r>
        <w:rPr>
          <w:rFonts w:eastAsia="Times"/>
        </w:rPr>
        <w:t>periods of dialysis, which carry</w:t>
      </w:r>
      <w:r w:rsidRPr="00831784">
        <w:rPr>
          <w:rFonts w:eastAsia="Times"/>
        </w:rPr>
        <w:t xml:space="preserve"> increased risk of morbidity and significant cost. In many instances, </w:t>
      </w:r>
      <w:r>
        <w:rPr>
          <w:rFonts w:eastAsia="Times"/>
        </w:rPr>
        <w:t>timely</w:t>
      </w:r>
      <w:r w:rsidRPr="00831784">
        <w:rPr>
          <w:rFonts w:eastAsia="Times"/>
        </w:rPr>
        <w:t xml:space="preserve"> live donor transplantation can </w:t>
      </w:r>
      <w:r>
        <w:rPr>
          <w:rFonts w:eastAsia="Times"/>
        </w:rPr>
        <w:t xml:space="preserve">help patients to avoid dialysis completely. This is referred to as </w:t>
      </w:r>
      <w:r w:rsidRPr="00831784">
        <w:rPr>
          <w:rFonts w:eastAsia="Times"/>
        </w:rPr>
        <w:t xml:space="preserve">‘pre-emptive’ transplantation. The quality and efficiency of a live donor program can be measured in part by the proportion of lived donor transplants that are ‘pre-emptive’. </w:t>
      </w:r>
    </w:p>
    <w:p w14:paraId="092576E1" w14:textId="77777777" w:rsidR="00787233" w:rsidRPr="00831F5D" w:rsidRDefault="00787233" w:rsidP="00787233">
      <w:pPr>
        <w:pStyle w:val="Heading3"/>
      </w:pPr>
      <w:r w:rsidRPr="00831F5D">
        <w:t>Potential reasons for variation between services</w:t>
      </w:r>
      <w:bookmarkEnd w:id="63"/>
    </w:p>
    <w:p w14:paraId="7D4E4DB5" w14:textId="77777777" w:rsidR="00787233" w:rsidRPr="00787233" w:rsidRDefault="00787233" w:rsidP="00787233">
      <w:pPr>
        <w:rPr>
          <w:rFonts w:eastAsia="Times"/>
        </w:rPr>
      </w:pPr>
      <w:r w:rsidRPr="00831784">
        <w:rPr>
          <w:rFonts w:eastAsia="Times"/>
        </w:rPr>
        <w:t xml:space="preserve">There is substantial variation across Victorian services in rates of live donor transplants with some services exceeding national averages and some performing live donor transplants at less than 50 </w:t>
      </w:r>
      <w:r w:rsidR="006C1A20">
        <w:rPr>
          <w:rFonts w:eastAsia="Times"/>
        </w:rPr>
        <w:t xml:space="preserve">per cent </w:t>
      </w:r>
      <w:r w:rsidRPr="00831784">
        <w:rPr>
          <w:rFonts w:eastAsia="Times"/>
        </w:rPr>
        <w:t>of the national average rate. Variation is potentially explained by timely access to relevant services, appropriate education of patients and potential d</w:t>
      </w:r>
      <w:r w:rsidR="00086820">
        <w:rPr>
          <w:rFonts w:eastAsia="Times"/>
        </w:rPr>
        <w:t>onors and physician attitudes.</w:t>
      </w:r>
    </w:p>
    <w:p w14:paraId="40080CE5" w14:textId="77777777" w:rsidR="00787233" w:rsidRPr="00831F5D" w:rsidRDefault="00787233" w:rsidP="00787233">
      <w:pPr>
        <w:pStyle w:val="Heading2"/>
      </w:pPr>
      <w:r w:rsidRPr="00831F5D">
        <w:br w:type="page"/>
      </w:r>
      <w:bookmarkStart w:id="64" w:name="_Toc437851868"/>
      <w:bookmarkStart w:id="65" w:name="_Toc526952123"/>
      <w:r w:rsidRPr="00831F5D">
        <w:lastRenderedPageBreak/>
        <w:t>KPI 6</w:t>
      </w:r>
      <w:r w:rsidR="00237E68">
        <w:t xml:space="preserve">: </w:t>
      </w:r>
      <w:r w:rsidRPr="00831F5D">
        <w:t xml:space="preserve">Proportion of new ESKD patients 65 years old </w:t>
      </w:r>
      <w:r w:rsidR="005710A3">
        <w:t xml:space="preserve">AND UNDER </w:t>
      </w:r>
      <w:r w:rsidRPr="00831F5D">
        <w:t>who have had a transplant or are on the active list</w:t>
      </w:r>
      <w:bookmarkEnd w:id="64"/>
      <w:bookmarkEnd w:id="65"/>
    </w:p>
    <w:p w14:paraId="0FE375A6" w14:textId="77777777" w:rsidR="00787233" w:rsidRPr="00831F5D" w:rsidRDefault="00787233" w:rsidP="00787233">
      <w:pPr>
        <w:pStyle w:val="Heading3"/>
      </w:pPr>
      <w:bookmarkStart w:id="66" w:name="_Toc526952124"/>
      <w:r w:rsidRPr="00831F5D">
        <w:t>Definition</w:t>
      </w:r>
      <w:bookmarkEnd w:id="66"/>
    </w:p>
    <w:p w14:paraId="24252D95" w14:textId="77777777" w:rsidR="00787233" w:rsidRPr="00831784" w:rsidRDefault="00787233" w:rsidP="00787233">
      <w:pPr>
        <w:pStyle w:val="Bullet1"/>
      </w:pPr>
      <w:r w:rsidRPr="00831784">
        <w:t>New patients are those new to ESKD (not those who have previously had a transplant)</w:t>
      </w:r>
    </w:p>
    <w:p w14:paraId="41528385" w14:textId="77777777" w:rsidR="00787233" w:rsidRPr="00831784" w:rsidRDefault="00787233" w:rsidP="00787233">
      <w:pPr>
        <w:pStyle w:val="Bullet1"/>
      </w:pPr>
      <w:r w:rsidRPr="00831784">
        <w:t xml:space="preserve">Requiring RRT is defined as the point at which either transplantation or dialysis is required to sustain life </w:t>
      </w:r>
    </w:p>
    <w:p w14:paraId="158C6FB8" w14:textId="77777777" w:rsidR="00787233" w:rsidRPr="00831784" w:rsidRDefault="00787233" w:rsidP="00787233">
      <w:pPr>
        <w:pStyle w:val="Bullet1"/>
      </w:pPr>
      <w:r w:rsidRPr="00831784">
        <w:t>Numerator: number patients ≤ 65 years old who have had a transplant or are ‘active’ within three or six months of requiring RRT</w:t>
      </w:r>
    </w:p>
    <w:p w14:paraId="47A6969F" w14:textId="77777777" w:rsidR="00787233" w:rsidRPr="00831784" w:rsidRDefault="00787233" w:rsidP="00787233">
      <w:pPr>
        <w:pStyle w:val="Bullet1"/>
      </w:pPr>
      <w:r w:rsidRPr="00831784">
        <w:t xml:space="preserve">Denominator: number of patients ≤ 65years old requiring RRT </w:t>
      </w:r>
    </w:p>
    <w:p w14:paraId="5CED351D" w14:textId="77777777" w:rsidR="00787233" w:rsidRPr="00831784" w:rsidRDefault="00787233" w:rsidP="00787233">
      <w:pPr>
        <w:pStyle w:val="Bullet1"/>
      </w:pPr>
      <w:r w:rsidRPr="00831784">
        <w:t>Inclusions:</w:t>
      </w:r>
    </w:p>
    <w:p w14:paraId="131B9432" w14:textId="77777777" w:rsidR="00787233" w:rsidRPr="00831784" w:rsidRDefault="00787233" w:rsidP="00787233">
      <w:pPr>
        <w:pStyle w:val="Bullet2"/>
      </w:pPr>
      <w:r w:rsidRPr="00831784">
        <w:t>Any patient who has been ‘active’ within the three or six months</w:t>
      </w:r>
    </w:p>
    <w:p w14:paraId="241102E7" w14:textId="77777777" w:rsidR="00787233" w:rsidRPr="00831784" w:rsidRDefault="00787233" w:rsidP="00787233">
      <w:pPr>
        <w:pStyle w:val="Bullet2"/>
      </w:pPr>
      <w:r w:rsidRPr="00831784">
        <w:t>All pre-emptive transplants</w:t>
      </w:r>
    </w:p>
    <w:p w14:paraId="3BA92F5C" w14:textId="77777777" w:rsidR="00787233" w:rsidRPr="00831784" w:rsidRDefault="00787233" w:rsidP="00787233">
      <w:pPr>
        <w:pStyle w:val="Bullet1"/>
      </w:pPr>
      <w:r w:rsidRPr="00831784">
        <w:t xml:space="preserve">Exclusions: </w:t>
      </w:r>
    </w:p>
    <w:p w14:paraId="648AB549" w14:textId="77777777" w:rsidR="00787233" w:rsidRPr="00831784" w:rsidRDefault="00787233" w:rsidP="00787233">
      <w:pPr>
        <w:pStyle w:val="Bullet2"/>
      </w:pPr>
      <w:r w:rsidRPr="00831784">
        <w:t>Patients with a failed transplant recommencing RRT</w:t>
      </w:r>
    </w:p>
    <w:p w14:paraId="38599BB2" w14:textId="77777777" w:rsidR="00787233" w:rsidRPr="00787233" w:rsidRDefault="00787233" w:rsidP="00787233">
      <w:pPr>
        <w:pStyle w:val="Bullet2"/>
      </w:pPr>
      <w:r w:rsidRPr="00831784">
        <w:t>Patients having a combined organ transplant</w:t>
      </w:r>
    </w:p>
    <w:p w14:paraId="60B6BDE6" w14:textId="77777777" w:rsidR="00787233" w:rsidRPr="00831F5D" w:rsidRDefault="00787233" w:rsidP="00787233">
      <w:pPr>
        <w:pStyle w:val="Heading3"/>
        <w:rPr>
          <w:rFonts w:eastAsiaTheme="minorHAnsi"/>
        </w:rPr>
      </w:pPr>
      <w:bookmarkStart w:id="67" w:name="_Toc526952125"/>
      <w:r w:rsidRPr="00831F5D">
        <w:rPr>
          <w:rFonts w:eastAsiaTheme="minorHAnsi"/>
        </w:rPr>
        <w:t>Rationale</w:t>
      </w:r>
      <w:bookmarkEnd w:id="67"/>
    </w:p>
    <w:p w14:paraId="5DA01045" w14:textId="77777777" w:rsidR="0067304A" w:rsidRPr="00831784" w:rsidRDefault="0067304A" w:rsidP="0067304A">
      <w:pPr>
        <w:rPr>
          <w:rFonts w:eastAsia="Times"/>
        </w:rPr>
      </w:pPr>
      <w:r w:rsidRPr="00831784">
        <w:rPr>
          <w:rFonts w:eastAsia="Times"/>
        </w:rPr>
        <w:t>For those with ESKD that are medically, surgically and psychologically suitable early transplantation is the best life extending treatment option. Early live donor transplantation or timely listing for deceased donor transplantation is the ideal goal for these suitable individuals. This requires significant planning prior to commencement of dialysis. This KPI therefore serves as a measure of the efficiency of</w:t>
      </w:r>
      <w:r>
        <w:rPr>
          <w:rFonts w:eastAsia="Times"/>
        </w:rPr>
        <w:t xml:space="preserve"> the work-up process and </w:t>
      </w:r>
      <w:r w:rsidRPr="00831784">
        <w:rPr>
          <w:rFonts w:eastAsia="Times"/>
        </w:rPr>
        <w:t>identif</w:t>
      </w:r>
      <w:r>
        <w:rPr>
          <w:rFonts w:eastAsia="Times"/>
        </w:rPr>
        <w:t>ies</w:t>
      </w:r>
      <w:r w:rsidRPr="00831784">
        <w:rPr>
          <w:rFonts w:eastAsia="Times"/>
        </w:rPr>
        <w:t xml:space="preserve"> barriers. The 65 years old group</w:t>
      </w:r>
      <w:r w:rsidR="00442D23">
        <w:rPr>
          <w:rFonts w:eastAsia="Times"/>
        </w:rPr>
        <w:t xml:space="preserve"> and under</w:t>
      </w:r>
      <w:r w:rsidRPr="00831784">
        <w:rPr>
          <w:rFonts w:eastAsia="Times"/>
        </w:rPr>
        <w:t xml:space="preserve"> has been chosen to more accurately reflect the target dialysis group for transplantation.</w:t>
      </w:r>
    </w:p>
    <w:p w14:paraId="609D2099" w14:textId="77777777" w:rsidR="0067304A" w:rsidRPr="00831784" w:rsidRDefault="0067304A" w:rsidP="0067304A">
      <w:pPr>
        <w:rPr>
          <w:rFonts w:eastAsia="Times"/>
        </w:rPr>
      </w:pPr>
      <w:r w:rsidRPr="00831784">
        <w:rPr>
          <w:rFonts w:eastAsia="Times"/>
        </w:rPr>
        <w:t>There will always be a proportion of patients 65 years and under that are unsuitable for transplantation due to a variety of factors such as obesity, smoking, cardiovascular, psychiatric, non-adherence and malignancy. There is an assumption that the percentage of these unsuitable patients is similar across all health services.</w:t>
      </w:r>
    </w:p>
    <w:p w14:paraId="06F87F41" w14:textId="77777777" w:rsidR="0067304A" w:rsidRPr="00831784" w:rsidRDefault="0067304A" w:rsidP="0067304A">
      <w:pPr>
        <w:rPr>
          <w:rFonts w:eastAsia="Times"/>
        </w:rPr>
      </w:pPr>
      <w:r w:rsidRPr="00831784">
        <w:rPr>
          <w:rFonts w:eastAsia="Times"/>
        </w:rPr>
        <w:t>Patients that have either not been assessed for transplantation or no</w:t>
      </w:r>
      <w:r>
        <w:rPr>
          <w:rFonts w:eastAsia="Times"/>
        </w:rPr>
        <w:t>t completed the transplant work-</w:t>
      </w:r>
      <w:r w:rsidRPr="00831784">
        <w:rPr>
          <w:rFonts w:eastAsia="Times"/>
        </w:rPr>
        <w:t>up process will also be assessed as failing to meet this KPI.</w:t>
      </w:r>
    </w:p>
    <w:p w14:paraId="063682C9" w14:textId="77777777" w:rsidR="0067304A" w:rsidRPr="00787233" w:rsidRDefault="0067304A" w:rsidP="0067304A">
      <w:pPr>
        <w:rPr>
          <w:rFonts w:eastAsia="Times"/>
        </w:rPr>
      </w:pPr>
      <w:r>
        <w:rPr>
          <w:rFonts w:eastAsia="Times"/>
        </w:rPr>
        <w:t>T</w:t>
      </w:r>
      <w:r w:rsidRPr="00831784">
        <w:rPr>
          <w:rFonts w:eastAsia="Times"/>
        </w:rPr>
        <w:t xml:space="preserve">he reasons for failing to meet this KPI will likely be extremely heterogeneous and reflect a variety of both unit and patient factors. Greater analysis </w:t>
      </w:r>
      <w:r>
        <w:rPr>
          <w:rFonts w:eastAsia="Times"/>
        </w:rPr>
        <w:t>is needed.</w:t>
      </w:r>
    </w:p>
    <w:p w14:paraId="744405E6" w14:textId="77777777" w:rsidR="00086820" w:rsidRDefault="00086820">
      <w:pPr>
        <w:rPr>
          <w:rFonts w:ascii="VIC SemiBold" w:eastAsiaTheme="majorEastAsia" w:hAnsi="VIC SemiBold" w:cstheme="majorBidi"/>
          <w:bCs/>
          <w:color w:val="000000" w:themeColor="text1"/>
          <w:sz w:val="24"/>
          <w:szCs w:val="22"/>
        </w:rPr>
      </w:pPr>
      <w:r>
        <w:br w:type="page"/>
      </w:r>
    </w:p>
    <w:p w14:paraId="70A34130" w14:textId="77777777" w:rsidR="00787233" w:rsidRPr="00831F5D" w:rsidRDefault="00787233" w:rsidP="00787233">
      <w:pPr>
        <w:pStyle w:val="Heading3"/>
      </w:pPr>
      <w:bookmarkStart w:id="68" w:name="_Toc526952126"/>
      <w:r w:rsidRPr="00831F5D">
        <w:lastRenderedPageBreak/>
        <w:t>Potential reasons for variation between services</w:t>
      </w:r>
      <w:bookmarkEnd w:id="68"/>
    </w:p>
    <w:p w14:paraId="4208B95C" w14:textId="77777777" w:rsidR="00787233" w:rsidRPr="00831784" w:rsidRDefault="00787233" w:rsidP="00787233">
      <w:pPr>
        <w:pStyle w:val="Bullet1"/>
      </w:pPr>
      <w:r w:rsidRPr="00831784">
        <w:t>Variation in the referral patterns to nephrology and transplant service</w:t>
      </w:r>
    </w:p>
    <w:p w14:paraId="63BBE00D" w14:textId="77777777" w:rsidR="00787233" w:rsidRPr="00831784" w:rsidRDefault="00787233" w:rsidP="00787233">
      <w:pPr>
        <w:pStyle w:val="Bullet1"/>
      </w:pPr>
      <w:r w:rsidRPr="00831784">
        <w:t>Differences in the processes used to make final decision regarding suitability.</w:t>
      </w:r>
    </w:p>
    <w:p w14:paraId="398F4690" w14:textId="77777777" w:rsidR="00787233" w:rsidRPr="00831784" w:rsidRDefault="00787233" w:rsidP="00787233">
      <w:pPr>
        <w:pStyle w:val="Bullet1"/>
      </w:pPr>
      <w:r w:rsidRPr="00831784">
        <w:t>Different access to investigations, appointments and referrals to other services (such as imaging, cardiology services, psychiatry)</w:t>
      </w:r>
    </w:p>
    <w:p w14:paraId="4892D51C" w14:textId="77777777" w:rsidR="00787233" w:rsidRPr="00831784" w:rsidRDefault="00787233" w:rsidP="00787233">
      <w:pPr>
        <w:pStyle w:val="Bullet1"/>
      </w:pPr>
      <w:r w:rsidRPr="00831784">
        <w:t>Differing physician attitudes regarding suitability factors, for example surgical, medical, smoking status and weight</w:t>
      </w:r>
    </w:p>
    <w:p w14:paraId="440661FF" w14:textId="77777777" w:rsidR="00787233" w:rsidRPr="00831784" w:rsidRDefault="00787233" w:rsidP="00787233">
      <w:pPr>
        <w:pStyle w:val="Bullet1"/>
      </w:pPr>
      <w:r w:rsidRPr="00831784">
        <w:t>Patient demographics, geographic factors and educational factors.</w:t>
      </w:r>
    </w:p>
    <w:p w14:paraId="43EA50C6" w14:textId="77777777" w:rsidR="00787233" w:rsidRPr="00831784" w:rsidRDefault="00787233" w:rsidP="00787233">
      <w:pPr>
        <w:rPr>
          <w:rFonts w:eastAsia="Times"/>
        </w:rPr>
      </w:pPr>
      <w:r w:rsidRPr="00831784">
        <w:rPr>
          <w:rFonts w:eastAsia="Times"/>
        </w:rPr>
        <w:t>Reducing the variability in any or all these factors will potentially lead to greater efficiency and equity in</w:t>
      </w:r>
      <w:r>
        <w:rPr>
          <w:rFonts w:eastAsia="Times"/>
        </w:rPr>
        <w:t xml:space="preserve"> transplantation</w:t>
      </w:r>
    </w:p>
    <w:p w14:paraId="0F298D4E" w14:textId="77777777" w:rsidR="00787233" w:rsidRPr="00B53EB5" w:rsidRDefault="00787233" w:rsidP="00787233">
      <w:pPr>
        <w:spacing w:after="0" w:line="240" w:lineRule="auto"/>
      </w:pPr>
    </w:p>
    <w:p w14:paraId="481EA6DA" w14:textId="77777777" w:rsidR="004B3DBC" w:rsidRDefault="004B3DBC" w:rsidP="0080471A">
      <w:pPr>
        <w:sectPr w:rsidR="004B3DBC" w:rsidSect="00086820">
          <w:type w:val="continuous"/>
          <w:pgSz w:w="11906" w:h="16838" w:code="9"/>
          <w:pgMar w:top="3402" w:right="851" w:bottom="1361" w:left="851" w:header="539" w:footer="624" w:gutter="0"/>
          <w:pgNumType w:start="0"/>
          <w:cols w:space="284"/>
          <w:docGrid w:linePitch="360"/>
        </w:sectPr>
      </w:pPr>
    </w:p>
    <w:p w14:paraId="5AF3D7E7" w14:textId="77777777" w:rsidR="00727C45" w:rsidRDefault="00727C45" w:rsidP="0080471A">
      <w:r>
        <w:br w:type="page"/>
      </w:r>
    </w:p>
    <w:p w14:paraId="57AEA989" w14:textId="77777777" w:rsidR="00727C45" w:rsidRDefault="00727C45" w:rsidP="0080471A">
      <w:r>
        <w:rPr>
          <w:noProof/>
        </w:rPr>
        <w:lastRenderedPageBreak/>
        <w:drawing>
          <wp:anchor distT="0" distB="0" distL="114300" distR="114300" simplePos="0" relativeHeight="251661312" behindDoc="1" locked="0" layoutInCell="1" allowOverlap="1" wp14:anchorId="548E8035" wp14:editId="79D947CB">
            <wp:simplePos x="0" y="0"/>
            <wp:positionH relativeFrom="page">
              <wp:posOffset>0</wp:posOffset>
            </wp:positionH>
            <wp:positionV relativeFrom="page">
              <wp:posOffset>0</wp:posOffset>
            </wp:positionV>
            <wp:extent cx="7559675" cy="10691495"/>
            <wp:effectExtent l="0" t="0" r="3175" b="0"/>
            <wp:wrapTopAndBottom/>
            <wp:docPr id="4"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cover.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margin">
              <wp14:pctWidth>0</wp14:pctWidth>
            </wp14:sizeRelH>
            <wp14:sizeRelV relativeFrom="margin">
              <wp14:pctHeight>0</wp14:pctHeight>
            </wp14:sizeRelV>
          </wp:anchor>
        </w:drawing>
      </w:r>
    </w:p>
    <w:sectPr w:rsidR="00727C45" w:rsidSect="00265EC8">
      <w:type w:val="continuous"/>
      <w:pgSz w:w="11906" w:h="16838" w:code="9"/>
      <w:pgMar w:top="3402" w:right="851" w:bottom="1361" w:left="851"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6FA8F" w14:textId="77777777" w:rsidR="00957049" w:rsidRDefault="00957049" w:rsidP="0080471A">
      <w:r>
        <w:separator/>
      </w:r>
    </w:p>
  </w:endnote>
  <w:endnote w:type="continuationSeparator" w:id="0">
    <w:p w14:paraId="69EC75CF" w14:textId="77777777" w:rsidR="00957049" w:rsidRDefault="00957049" w:rsidP="0080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1C917" w14:textId="77777777" w:rsidR="00957049" w:rsidRDefault="00957049" w:rsidP="0080471A">
    <w:pPr>
      <w:pStyle w:val="FooterEven"/>
      <w:framePr w:wrap="around"/>
    </w:pPr>
    <w:r>
      <w:rPr>
        <w:noProof w:val="0"/>
      </w:rPr>
      <w:fldChar w:fldCharType="begin"/>
    </w:r>
    <w:r>
      <w:instrText xml:space="preserve"> PAGE   \* MERGEFORMAT </w:instrText>
    </w:r>
    <w:r>
      <w:rPr>
        <w:noProof w:val="0"/>
      </w:rPr>
      <w:fldChar w:fldCharType="separate"/>
    </w:r>
    <w:r>
      <w:t>28</w:t>
    </w:r>
    <w:r>
      <w:fldChar w:fldCharType="end"/>
    </w:r>
    <w:r>
      <w:t> </w:t>
    </w:r>
    <w:r>
      <w:t> </w:t>
    </w:r>
    <w:r w:rsidRPr="00724F74">
      <w:rPr>
        <w:b/>
      </w:rPr>
      <w:t>Safer Care Victoria</w:t>
    </w:r>
    <w:r>
      <w:t> </w:t>
    </w:r>
    <w:r>
      <w:t> </w:t>
    </w:r>
    <w:sdt>
      <w:sdtPr>
        <w:alias w:val="Title"/>
        <w:tag w:val=""/>
        <w:id w:val="-270466633"/>
        <w:dataBinding w:prefixMappings="xmlns:ns0='http://purl.org/dc/elements/1.1/' xmlns:ns1='http://schemas.openxmlformats.org/package/2006/metadata/core-properties' " w:xpath="/ns1:coreProperties[1]/ns0:title[1]" w:storeItemID="{6C3C8BC8-F283-45AE-878A-BAB7291924A1}"/>
        <w:text/>
      </w:sdtPr>
      <w:sdtEndPr/>
      <w:sdtContent>
        <w:r>
          <w:t>Victorian Renal Key Performance Indicators</w:t>
        </w:r>
      </w:sdtContent>
    </w:sdt>
    <w:r>
      <w:t xml:space="preserve"> </w:t>
    </w:r>
    <w:r>
      <w:drawing>
        <wp:anchor distT="0" distB="0" distL="114300" distR="114300" simplePos="0" relativeHeight="251655168" behindDoc="0" locked="0" layoutInCell="1" allowOverlap="1" wp14:anchorId="5ABC5A33" wp14:editId="06DD3FA8">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p w14:paraId="7C9C30BF" w14:textId="77777777" w:rsidR="00957049" w:rsidRPr="002A5891" w:rsidRDefault="00957049" w:rsidP="0080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1C8D" w14:textId="77777777" w:rsidR="00957049" w:rsidRDefault="00924483" w:rsidP="0080471A">
    <w:pPr>
      <w:pStyle w:val="FooterOdd"/>
      <w:framePr w:wrap="around"/>
    </w:pPr>
    <w:sdt>
      <w:sdtPr>
        <w:alias w:val="Title"/>
        <w:tag w:val=""/>
        <w:id w:val="1181776495"/>
        <w:dataBinding w:prefixMappings="xmlns:ns0='http://purl.org/dc/elements/1.1/' xmlns:ns1='http://schemas.openxmlformats.org/package/2006/metadata/core-properties' " w:xpath="/ns1:coreProperties[1]/ns0:title[1]" w:storeItemID="{6C3C8BC8-F283-45AE-878A-BAB7291924A1}"/>
        <w:text/>
      </w:sdtPr>
      <w:sdtEndPr/>
      <w:sdtContent>
        <w:r w:rsidR="00957049" w:rsidRPr="00237E68">
          <w:t>Victorian Renal Key Performance Indicators</w:t>
        </w:r>
      </w:sdtContent>
    </w:sdt>
    <w:r w:rsidR="00957049">
      <w:t> </w:t>
    </w:r>
    <w:r w:rsidR="00957049">
      <w:t> </w:t>
    </w:r>
    <w:r w:rsidR="00957049" w:rsidRPr="0097403D">
      <w:rPr>
        <w:b/>
      </w:rPr>
      <w:t>Safer Care Victoria</w:t>
    </w:r>
    <w:r w:rsidR="00957049">
      <w:t> </w:t>
    </w:r>
    <w:r w:rsidR="00957049">
      <w:t> </w:t>
    </w:r>
    <w:r w:rsidR="00957049">
      <w:rPr>
        <w:noProof w:val="0"/>
      </w:rPr>
      <w:fldChar w:fldCharType="begin"/>
    </w:r>
    <w:r w:rsidR="00957049">
      <w:instrText xml:space="preserve"> PAGE   \* MERGEFORMAT </w:instrText>
    </w:r>
    <w:r w:rsidR="00957049">
      <w:rPr>
        <w:noProof w:val="0"/>
      </w:rPr>
      <w:fldChar w:fldCharType="separate"/>
    </w:r>
    <w:r w:rsidR="00957049">
      <w:t>1</w:t>
    </w:r>
    <w:r w:rsidR="00957049">
      <w:fldChar w:fldCharType="end"/>
    </w:r>
  </w:p>
  <w:p w14:paraId="14CF19A7" w14:textId="77777777" w:rsidR="00957049" w:rsidRPr="002A5891" w:rsidRDefault="00957049" w:rsidP="0080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E70C" w14:textId="77777777" w:rsidR="00957049" w:rsidRDefault="00957049" w:rsidP="0080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42F15" w14:textId="77777777" w:rsidR="00957049" w:rsidRDefault="00957049" w:rsidP="0080471A"/>
  </w:footnote>
  <w:footnote w:type="continuationSeparator" w:id="0">
    <w:p w14:paraId="6DC669E3" w14:textId="77777777" w:rsidR="00957049" w:rsidRDefault="00957049" w:rsidP="0080471A"/>
  </w:footnote>
  <w:footnote w:id="1">
    <w:p w14:paraId="4020CACD" w14:textId="77777777" w:rsidR="00957049" w:rsidRPr="00A96301" w:rsidRDefault="00957049" w:rsidP="00787233">
      <w:pPr>
        <w:pStyle w:val="FootnoteText"/>
      </w:pPr>
      <w:r>
        <w:rPr>
          <w:rStyle w:val="FootnoteReference"/>
        </w:rPr>
        <w:footnoteRef/>
      </w:r>
      <w:r>
        <w:t xml:space="preserve"> </w:t>
      </w:r>
      <w:r w:rsidRPr="00A96301">
        <w:t>Kelly, J., Stanley, M. &amp; Harris, D. (2005) The CARI Guidelines. Acceptance onto Dialysis. Predialysis Education. Nephrology.</w:t>
      </w:r>
    </w:p>
  </w:footnote>
  <w:footnote w:id="2">
    <w:p w14:paraId="4510E134" w14:textId="77777777" w:rsidR="00957049" w:rsidRDefault="00957049" w:rsidP="00787233">
      <w:pPr>
        <w:pStyle w:val="FootnoteText"/>
      </w:pPr>
      <w:r>
        <w:rPr>
          <w:rStyle w:val="FootnoteReference"/>
        </w:rPr>
        <w:footnoteRef/>
      </w:r>
      <w:r>
        <w:t xml:space="preserve"> Thomas, M. (2007) Pre-dialysis education for patients with chronic kidney disease. Nephrology. 12:S46-S48</w:t>
      </w:r>
    </w:p>
  </w:footnote>
  <w:footnote w:id="3">
    <w:p w14:paraId="339C73B7" w14:textId="77777777" w:rsidR="00957049" w:rsidRDefault="00957049" w:rsidP="00787233">
      <w:pPr>
        <w:pStyle w:val="FootnoteText"/>
      </w:pPr>
      <w:r>
        <w:rPr>
          <w:rStyle w:val="FootnoteReference"/>
        </w:rPr>
        <w:footnoteRef/>
      </w:r>
      <w:r>
        <w:t xml:space="preserve"> Lacson Jnr, L., Wang, W., DeVries, C., Leste, K., Hakim, R., Lazarus, M. &amp; Pulliam, J. (2011) Effects of Nationwide Predialysis Education Program on Modality Choice, Vascular Access and Patient Outcomes. Am J Kidney Dis. 58(2):235-242</w:t>
      </w:r>
    </w:p>
  </w:footnote>
  <w:footnote w:id="4">
    <w:p w14:paraId="140FF592" w14:textId="77777777" w:rsidR="00957049" w:rsidRDefault="00957049" w:rsidP="00787233">
      <w:pPr>
        <w:pStyle w:val="FootnoteText"/>
      </w:pPr>
      <w:r>
        <w:rPr>
          <w:rStyle w:val="FootnoteReference"/>
        </w:rPr>
        <w:footnoteRef/>
      </w:r>
      <w:r>
        <w:t xml:space="preserve"> Saggi, S.J., Allon, M., Bernardinin, J., Kalantar-Zadeh, K., Shaffer, R. &amp; Mehrotra, R. (2012) Considerations in the Optimal Preparation of Patients for Dialysis. Nephrology. 8:381-389</w:t>
      </w:r>
    </w:p>
  </w:footnote>
  <w:footnote w:id="5">
    <w:p w14:paraId="434C9D75" w14:textId="77777777" w:rsidR="00957049" w:rsidRDefault="00957049" w:rsidP="00787233">
      <w:pPr>
        <w:pStyle w:val="FootnoteText"/>
      </w:pPr>
      <w:r>
        <w:rPr>
          <w:rStyle w:val="FootnoteReference"/>
        </w:rPr>
        <w:footnoteRef/>
      </w:r>
      <w:r>
        <w:t xml:space="preserve"> Wu, W., Wang, S., Hsu, K., Lee, C., Sun, C., Tsai, C. &amp; Wu, M. (2009) Multidisciplinary predialysis education decreases the incidence of dialysis and reduces mortality – a controlled cohort study based on the NKF/DOQI guidelines. Nephrol Dial Transplant. 24:3426-3433</w:t>
      </w:r>
    </w:p>
  </w:footnote>
  <w:footnote w:id="6">
    <w:p w14:paraId="6D416CEA" w14:textId="77777777" w:rsidR="00957049" w:rsidRDefault="00957049" w:rsidP="00787233">
      <w:pPr>
        <w:pStyle w:val="FootnoteText"/>
      </w:pPr>
      <w:r>
        <w:rPr>
          <w:rStyle w:val="FootnoteReference"/>
        </w:rPr>
        <w:footnoteRef/>
      </w:r>
      <w:r>
        <w:t xml:space="preserve"> Van Biesen, W., Verbeke, F. &amp; Vanholder, R. (2009) We don’t need no education…. (Pink Floyd, The Wall) Multidisciplinary predialysis education programmes: pass or fail? Nephrol Dial Transplant.  24:3277-3279</w:t>
      </w:r>
    </w:p>
  </w:footnote>
  <w:footnote w:id="7">
    <w:p w14:paraId="01FC3DEE" w14:textId="77777777" w:rsidR="00957049" w:rsidRDefault="00957049" w:rsidP="00787233">
      <w:pPr>
        <w:pStyle w:val="FootnoteText"/>
      </w:pPr>
      <w:r>
        <w:rPr>
          <w:rStyle w:val="FootnoteReference"/>
        </w:rPr>
        <w:footnoteRef/>
      </w:r>
      <w:r>
        <w:t xml:space="preserve"> The Renal Association (2011). Clinical Guidelines- Vascular Access for Haemodialysis final version. Electronic version accessed 19</w:t>
      </w:r>
      <w:r w:rsidRPr="006778CC">
        <w:rPr>
          <w:vertAlign w:val="superscript"/>
        </w:rPr>
        <w:t>th</w:t>
      </w:r>
      <w:r>
        <w:t xml:space="preserve"> November 2012.  </w:t>
      </w:r>
      <w:hyperlink r:id="rId1" w:history="1">
        <w:r w:rsidRPr="00572801">
          <w:rPr>
            <w:rStyle w:val="Hyperlink"/>
          </w:rPr>
          <w:t>http://www.renal.org/clinical/guidelinessection/vascularaccess.aspx</w:t>
        </w:r>
      </w:hyperlink>
    </w:p>
  </w:footnote>
  <w:footnote w:id="8">
    <w:p w14:paraId="44E07CBF" w14:textId="77777777" w:rsidR="00957049" w:rsidRDefault="00957049" w:rsidP="00787233">
      <w:pPr>
        <w:pStyle w:val="FootnoteText"/>
      </w:pPr>
      <w:r>
        <w:rPr>
          <w:rStyle w:val="FootnoteReference"/>
        </w:rPr>
        <w:footnoteRef/>
      </w:r>
      <w:r>
        <w:t xml:space="preserve"> </w:t>
      </w:r>
      <w:r w:rsidRPr="00B63EE4">
        <w:t>CARI Guidelines 2011</w:t>
      </w:r>
    </w:p>
  </w:footnote>
  <w:footnote w:id="9">
    <w:p w14:paraId="731E8872" w14:textId="77777777" w:rsidR="00957049" w:rsidRDefault="00957049" w:rsidP="00787233">
      <w:pPr>
        <w:pStyle w:val="FootnoteText"/>
      </w:pPr>
      <w:r>
        <w:rPr>
          <w:rStyle w:val="FootnoteReference"/>
        </w:rPr>
        <w:footnoteRef/>
      </w:r>
      <w:r>
        <w:t xml:space="preserve"> Oliver M, J; Rothwell D, M; Fung K; Hux J, E and Lok C, E (2004). Late Creation of Vascular Access for Hemodialysis and Increased Risk of Sepsis. </w:t>
      </w:r>
      <w:r>
        <w:rPr>
          <w:i/>
        </w:rPr>
        <w:t>Journal of the American Society of Nephrology.</w:t>
      </w:r>
      <w:r>
        <w:t xml:space="preserve"> 15 pp. 1936-1942.</w:t>
      </w:r>
    </w:p>
  </w:footnote>
  <w:footnote w:id="10">
    <w:p w14:paraId="7565852E" w14:textId="77777777" w:rsidR="00957049" w:rsidRDefault="00957049" w:rsidP="00787233">
      <w:pPr>
        <w:pStyle w:val="FootnoteText"/>
      </w:pPr>
      <w:r>
        <w:rPr>
          <w:rStyle w:val="FootnoteReference"/>
        </w:rPr>
        <w:footnoteRef/>
      </w:r>
      <w:r>
        <w:t xml:space="preserve"> Strippoli G, F, M; Tong A; Johnson D; Schena F, P; Craig, J, C (2004). Peritoneal Dialysis: A Systematic Review of Randomized Controlled Trials. </w:t>
      </w:r>
      <w:r>
        <w:rPr>
          <w:i/>
        </w:rPr>
        <w:t>Journal of the American Society of Nephrology.</w:t>
      </w:r>
      <w:r>
        <w:t xml:space="preserve"> 15, pp. 2735-2746.</w:t>
      </w:r>
    </w:p>
  </w:footnote>
  <w:footnote w:id="11">
    <w:p w14:paraId="52B33B02" w14:textId="77777777" w:rsidR="00957049" w:rsidRDefault="00957049" w:rsidP="00787233">
      <w:pPr>
        <w:pStyle w:val="FootnoteText"/>
      </w:pPr>
      <w:r>
        <w:rPr>
          <w:rStyle w:val="FootnoteReference"/>
        </w:rPr>
        <w:footnoteRef/>
      </w:r>
      <w:r>
        <w:t xml:space="preserve"> Piraino B; Bernadini J; Brown E; Figueiredo A; Johnson D, W; Lye W, C; Price V; Ramalakshmi S; Szeto C, C (2011). ISPD Position Statement on Reducing the Risks of Peritoneal Dialysis- Related Infections. </w:t>
      </w:r>
      <w:r>
        <w:rPr>
          <w:i/>
        </w:rPr>
        <w:t>Peritoneal Dialysis International</w:t>
      </w:r>
      <w:r>
        <w:t>, 31, pp. 614-630.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8B9A" w14:textId="77777777" w:rsidR="00957049" w:rsidRDefault="00957049" w:rsidP="0080471A">
    <w:pPr>
      <w:pStyle w:val="Header"/>
    </w:pPr>
    <w:r>
      <w:rPr>
        <w:noProof/>
      </w:rPr>
      <w:drawing>
        <wp:anchor distT="0" distB="0" distL="114300" distR="114300" simplePos="0" relativeHeight="251651072" behindDoc="1" locked="0" layoutInCell="1" allowOverlap="1" wp14:anchorId="15E1F10A" wp14:editId="17E8D83D">
          <wp:simplePos x="0" y="0"/>
          <wp:positionH relativeFrom="column">
            <wp:posOffset>-914400</wp:posOffset>
          </wp:positionH>
          <wp:positionV relativeFrom="page">
            <wp:posOffset>0</wp:posOffset>
          </wp:positionV>
          <wp:extent cx="7562088" cy="10698480"/>
          <wp:effectExtent l="0" t="0" r="1270" b="7620"/>
          <wp:wrapNone/>
          <wp:docPr id="5"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FE01" w14:textId="77777777" w:rsidR="00957049" w:rsidRDefault="00957049" w:rsidP="0023694D">
    <w:pPr>
      <w:pStyle w:val="NoSpacing"/>
    </w:pPr>
    <w:r>
      <w:rPr>
        <w:noProof/>
      </w:rPr>
      <w:drawing>
        <wp:anchor distT="0" distB="0" distL="114300" distR="114300" simplePos="0" relativeHeight="251667456" behindDoc="0" locked="0" layoutInCell="1" allowOverlap="1" wp14:anchorId="70DFBD6F" wp14:editId="52734E5F">
          <wp:simplePos x="0" y="0"/>
          <wp:positionH relativeFrom="column">
            <wp:posOffset>-387985</wp:posOffset>
          </wp:positionH>
          <wp:positionV relativeFrom="paragraph">
            <wp:posOffset>133985</wp:posOffset>
          </wp:positionV>
          <wp:extent cx="3100070" cy="173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N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0070" cy="17335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2C9286E0" wp14:editId="0C4D1C97">
              <wp:simplePos x="0" y="0"/>
              <wp:positionH relativeFrom="column">
                <wp:posOffset>-83185</wp:posOffset>
              </wp:positionH>
              <wp:positionV relativeFrom="paragraph">
                <wp:posOffset>581660</wp:posOffset>
              </wp:positionV>
              <wp:extent cx="1257300" cy="828675"/>
              <wp:effectExtent l="0" t="0" r="0" b="9525"/>
              <wp:wrapNone/>
              <wp:docPr id="7" name="Rectangle 7"/>
              <wp:cNvGraphicFramePr/>
              <a:graphic xmlns:a="http://schemas.openxmlformats.org/drawingml/2006/main">
                <a:graphicData uri="http://schemas.microsoft.com/office/word/2010/wordprocessingShape">
                  <wps:wsp>
                    <wps:cNvSpPr/>
                    <wps:spPr>
                      <a:xfrm>
                        <a:off x="0" y="0"/>
                        <a:ext cx="1257300" cy="828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700F4" id="Rectangle 7" o:spid="_x0000_s1026" style="position:absolute;margin-left:-6.55pt;margin-top:45.8pt;width:99pt;height:65.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" fillcolor="white [3212]" stroked="f" strokeweight="2pt"/>
          </w:pict>
        </mc:Fallback>
      </mc:AlternateContent>
    </w:r>
    <w:r>
      <w:rPr>
        <w:noProof/>
      </w:rPr>
      <w:drawing>
        <wp:anchor distT="0" distB="0" distL="114300" distR="114300" simplePos="0" relativeHeight="251659264" behindDoc="1" locked="0" layoutInCell="1" allowOverlap="1" wp14:anchorId="054E7ED6" wp14:editId="2F649123">
          <wp:simplePos x="542925" y="342900"/>
          <wp:positionH relativeFrom="page">
            <wp:align>left</wp:align>
          </wp:positionH>
          <wp:positionV relativeFrom="page">
            <wp:align>top</wp:align>
          </wp:positionV>
          <wp:extent cx="7560000" cy="10691587"/>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nt cover artwor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06915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40BC9" w14:textId="77777777" w:rsidR="00957049" w:rsidRDefault="00957049" w:rsidP="0086277A">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877FD9"/>
    <w:multiLevelType w:val="multilevel"/>
    <w:tmpl w:val="C2804ADA"/>
    <w:lvl w:ilvl="0">
      <w:start w:val="1"/>
      <w:numFmt w:val="lowerRoman"/>
      <w:pStyle w:val="Listnum"/>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4" w15:restartNumberingAfterBreak="0">
    <w:nsid w:val="393A12AA"/>
    <w:multiLevelType w:val="multilevel"/>
    <w:tmpl w:val="82600CBC"/>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24834B0"/>
    <w:multiLevelType w:val="hybridMultilevel"/>
    <w:tmpl w:val="002C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7ADA5AB1"/>
    <w:multiLevelType w:val="multilevel"/>
    <w:tmpl w:val="27E4A126"/>
    <w:lvl w:ilvl="0">
      <w:start w:val="1"/>
      <w:numFmt w:val="lowerRoman"/>
      <w:lvlText w:val="%1."/>
      <w:lvlJc w:val="righ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abstractNum w:abstractNumId="12"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7"/>
  </w:num>
  <w:num w:numId="2">
    <w:abstractNumId w:val="7"/>
  </w:num>
  <w:num w:numId="3">
    <w:abstractNumId w:val="7"/>
  </w:num>
  <w:num w:numId="4">
    <w:abstractNumId w:val="12"/>
  </w:num>
  <w:num w:numId="5">
    <w:abstractNumId w:val="2"/>
  </w:num>
  <w:num w:numId="6">
    <w:abstractNumId w:val="6"/>
  </w:num>
  <w:num w:numId="7">
    <w:abstractNumId w:val="10"/>
  </w:num>
  <w:num w:numId="8">
    <w:abstractNumId w:val="4"/>
  </w:num>
  <w:num w:numId="9">
    <w:abstractNumId w:val="4"/>
  </w:num>
  <w:num w:numId="10">
    <w:abstractNumId w:val="3"/>
  </w:num>
  <w:num w:numId="11">
    <w:abstractNumId w:val="0"/>
  </w:num>
  <w:num w:numId="12">
    <w:abstractNumId w:val="8"/>
  </w:num>
  <w:num w:numId="13">
    <w:abstractNumId w:val="9"/>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71A"/>
    <w:rsid w:val="00004F8B"/>
    <w:rsid w:val="000129BA"/>
    <w:rsid w:val="00012F6F"/>
    <w:rsid w:val="00014213"/>
    <w:rsid w:val="00014B55"/>
    <w:rsid w:val="00020E3E"/>
    <w:rsid w:val="00021C76"/>
    <w:rsid w:val="00023BF3"/>
    <w:rsid w:val="00024AA3"/>
    <w:rsid w:val="00026811"/>
    <w:rsid w:val="0003667F"/>
    <w:rsid w:val="0004185E"/>
    <w:rsid w:val="000442F0"/>
    <w:rsid w:val="00056988"/>
    <w:rsid w:val="00072279"/>
    <w:rsid w:val="00073407"/>
    <w:rsid w:val="00075E6C"/>
    <w:rsid w:val="00081C12"/>
    <w:rsid w:val="00084AF5"/>
    <w:rsid w:val="00086820"/>
    <w:rsid w:val="00086AFF"/>
    <w:rsid w:val="00087D42"/>
    <w:rsid w:val="000B29AD"/>
    <w:rsid w:val="000C6372"/>
    <w:rsid w:val="000D154E"/>
    <w:rsid w:val="000D7841"/>
    <w:rsid w:val="000E0D3A"/>
    <w:rsid w:val="000E3535"/>
    <w:rsid w:val="000E392D"/>
    <w:rsid w:val="000E39B6"/>
    <w:rsid w:val="000E3D05"/>
    <w:rsid w:val="000F4288"/>
    <w:rsid w:val="000F7165"/>
    <w:rsid w:val="00102379"/>
    <w:rsid w:val="00103722"/>
    <w:rsid w:val="001065D6"/>
    <w:rsid w:val="001068D5"/>
    <w:rsid w:val="00121252"/>
    <w:rsid w:val="00123F34"/>
    <w:rsid w:val="00124609"/>
    <w:rsid w:val="0012527F"/>
    <w:rsid w:val="001254CE"/>
    <w:rsid w:val="00137DB4"/>
    <w:rsid w:val="001422CC"/>
    <w:rsid w:val="00145346"/>
    <w:rsid w:val="001617B6"/>
    <w:rsid w:val="001645DB"/>
    <w:rsid w:val="0016468A"/>
    <w:rsid w:val="00165E66"/>
    <w:rsid w:val="00175FF9"/>
    <w:rsid w:val="00176E16"/>
    <w:rsid w:val="00185DD7"/>
    <w:rsid w:val="00187740"/>
    <w:rsid w:val="001960C5"/>
    <w:rsid w:val="00196143"/>
    <w:rsid w:val="001978E1"/>
    <w:rsid w:val="001A24FC"/>
    <w:rsid w:val="001A6E64"/>
    <w:rsid w:val="001A7BBE"/>
    <w:rsid w:val="001B3AE9"/>
    <w:rsid w:val="001B6C3B"/>
    <w:rsid w:val="001B7709"/>
    <w:rsid w:val="001C7A51"/>
    <w:rsid w:val="001C7BAE"/>
    <w:rsid w:val="001E2C87"/>
    <w:rsid w:val="001E31FA"/>
    <w:rsid w:val="001E40A4"/>
    <w:rsid w:val="001E48F9"/>
    <w:rsid w:val="001E64F6"/>
    <w:rsid w:val="001E7AEB"/>
    <w:rsid w:val="001F45F2"/>
    <w:rsid w:val="001F5D28"/>
    <w:rsid w:val="00200F68"/>
    <w:rsid w:val="002042C4"/>
    <w:rsid w:val="00204B82"/>
    <w:rsid w:val="00217BEA"/>
    <w:rsid w:val="00222BEB"/>
    <w:rsid w:val="00224F50"/>
    <w:rsid w:val="00225E60"/>
    <w:rsid w:val="00230BBB"/>
    <w:rsid w:val="0023202C"/>
    <w:rsid w:val="00234619"/>
    <w:rsid w:val="00236301"/>
    <w:rsid w:val="0023694D"/>
    <w:rsid w:val="00237486"/>
    <w:rsid w:val="00237E68"/>
    <w:rsid w:val="00245043"/>
    <w:rsid w:val="00255DD0"/>
    <w:rsid w:val="00257461"/>
    <w:rsid w:val="0026028E"/>
    <w:rsid w:val="00263221"/>
    <w:rsid w:val="00265EC8"/>
    <w:rsid w:val="00266E9E"/>
    <w:rsid w:val="00273BB2"/>
    <w:rsid w:val="002762A6"/>
    <w:rsid w:val="00284FA2"/>
    <w:rsid w:val="002858DE"/>
    <w:rsid w:val="00285FF0"/>
    <w:rsid w:val="00292D36"/>
    <w:rsid w:val="00294A5A"/>
    <w:rsid w:val="00297281"/>
    <w:rsid w:val="00297A47"/>
    <w:rsid w:val="002A0133"/>
    <w:rsid w:val="002A228B"/>
    <w:rsid w:val="002A5891"/>
    <w:rsid w:val="002A78EE"/>
    <w:rsid w:val="002B03F1"/>
    <w:rsid w:val="002B361E"/>
    <w:rsid w:val="002B3F83"/>
    <w:rsid w:val="002B5E2B"/>
    <w:rsid w:val="002B6DAA"/>
    <w:rsid w:val="002B7CEE"/>
    <w:rsid w:val="002C2D44"/>
    <w:rsid w:val="002C4757"/>
    <w:rsid w:val="002D031B"/>
    <w:rsid w:val="002D2BF8"/>
    <w:rsid w:val="002D64E3"/>
    <w:rsid w:val="002D6ABF"/>
    <w:rsid w:val="002D70F7"/>
    <w:rsid w:val="002D711A"/>
    <w:rsid w:val="002D7336"/>
    <w:rsid w:val="002E3396"/>
    <w:rsid w:val="002E69ED"/>
    <w:rsid w:val="002E752C"/>
    <w:rsid w:val="002F2953"/>
    <w:rsid w:val="00305343"/>
    <w:rsid w:val="0030693B"/>
    <w:rsid w:val="0031149C"/>
    <w:rsid w:val="00325C2F"/>
    <w:rsid w:val="003271B4"/>
    <w:rsid w:val="00340EEC"/>
    <w:rsid w:val="0034468E"/>
    <w:rsid w:val="0035720A"/>
    <w:rsid w:val="00357A50"/>
    <w:rsid w:val="0036258C"/>
    <w:rsid w:val="0036778F"/>
    <w:rsid w:val="0038771C"/>
    <w:rsid w:val="00387974"/>
    <w:rsid w:val="003907DD"/>
    <w:rsid w:val="0039329A"/>
    <w:rsid w:val="00395664"/>
    <w:rsid w:val="003A430B"/>
    <w:rsid w:val="003A50B3"/>
    <w:rsid w:val="003A541A"/>
    <w:rsid w:val="003A6923"/>
    <w:rsid w:val="003B46A1"/>
    <w:rsid w:val="003B5202"/>
    <w:rsid w:val="003B7B6F"/>
    <w:rsid w:val="003C2C67"/>
    <w:rsid w:val="003C2D4C"/>
    <w:rsid w:val="003C3B3A"/>
    <w:rsid w:val="003C5BA4"/>
    <w:rsid w:val="003C6D37"/>
    <w:rsid w:val="003C7395"/>
    <w:rsid w:val="003C7778"/>
    <w:rsid w:val="003D27D1"/>
    <w:rsid w:val="003D2C65"/>
    <w:rsid w:val="003D49EE"/>
    <w:rsid w:val="003D7E4D"/>
    <w:rsid w:val="003E3E26"/>
    <w:rsid w:val="003E5DFC"/>
    <w:rsid w:val="003E608A"/>
    <w:rsid w:val="003F1295"/>
    <w:rsid w:val="003F5102"/>
    <w:rsid w:val="003F76FC"/>
    <w:rsid w:val="00400135"/>
    <w:rsid w:val="004002EB"/>
    <w:rsid w:val="004015CD"/>
    <w:rsid w:val="004031C3"/>
    <w:rsid w:val="00407A79"/>
    <w:rsid w:val="0042034D"/>
    <w:rsid w:val="004213DF"/>
    <w:rsid w:val="00422DDC"/>
    <w:rsid w:val="004231B5"/>
    <w:rsid w:val="004236C8"/>
    <w:rsid w:val="00426FC1"/>
    <w:rsid w:val="00427681"/>
    <w:rsid w:val="00433D5F"/>
    <w:rsid w:val="00433DB7"/>
    <w:rsid w:val="00434520"/>
    <w:rsid w:val="00442D23"/>
    <w:rsid w:val="004445EB"/>
    <w:rsid w:val="00445DCE"/>
    <w:rsid w:val="0045317A"/>
    <w:rsid w:val="00453750"/>
    <w:rsid w:val="0045416B"/>
    <w:rsid w:val="00456941"/>
    <w:rsid w:val="004578B3"/>
    <w:rsid w:val="00457A60"/>
    <w:rsid w:val="00461E56"/>
    <w:rsid w:val="0046372D"/>
    <w:rsid w:val="00465BF2"/>
    <w:rsid w:val="00465F1D"/>
    <w:rsid w:val="004702EA"/>
    <w:rsid w:val="0048259C"/>
    <w:rsid w:val="00482D02"/>
    <w:rsid w:val="00484326"/>
    <w:rsid w:val="00485B76"/>
    <w:rsid w:val="00490369"/>
    <w:rsid w:val="004919F6"/>
    <w:rsid w:val="00495123"/>
    <w:rsid w:val="0049552E"/>
    <w:rsid w:val="004A1CEE"/>
    <w:rsid w:val="004A3337"/>
    <w:rsid w:val="004A7519"/>
    <w:rsid w:val="004B23D9"/>
    <w:rsid w:val="004B3DBC"/>
    <w:rsid w:val="004B4286"/>
    <w:rsid w:val="004B64B1"/>
    <w:rsid w:val="004C3B5B"/>
    <w:rsid w:val="004C4631"/>
    <w:rsid w:val="004C6C48"/>
    <w:rsid w:val="004D01AC"/>
    <w:rsid w:val="004D2EBD"/>
    <w:rsid w:val="004D3518"/>
    <w:rsid w:val="004D358C"/>
    <w:rsid w:val="004D58B3"/>
    <w:rsid w:val="004D62D6"/>
    <w:rsid w:val="004D6898"/>
    <w:rsid w:val="004E1A53"/>
    <w:rsid w:val="004E251D"/>
    <w:rsid w:val="004E4F0D"/>
    <w:rsid w:val="004F3F4E"/>
    <w:rsid w:val="004F73D3"/>
    <w:rsid w:val="0050356B"/>
    <w:rsid w:val="005045D8"/>
    <w:rsid w:val="0050687A"/>
    <w:rsid w:val="00510167"/>
    <w:rsid w:val="005116D5"/>
    <w:rsid w:val="00511DD7"/>
    <w:rsid w:val="00513E86"/>
    <w:rsid w:val="00523F83"/>
    <w:rsid w:val="005306A2"/>
    <w:rsid w:val="00530E86"/>
    <w:rsid w:val="0053416C"/>
    <w:rsid w:val="00540588"/>
    <w:rsid w:val="00541C2F"/>
    <w:rsid w:val="00542029"/>
    <w:rsid w:val="00543A6A"/>
    <w:rsid w:val="00551B95"/>
    <w:rsid w:val="00552DE4"/>
    <w:rsid w:val="0055485D"/>
    <w:rsid w:val="0055711B"/>
    <w:rsid w:val="00563527"/>
    <w:rsid w:val="00567EFD"/>
    <w:rsid w:val="005710A3"/>
    <w:rsid w:val="00573881"/>
    <w:rsid w:val="00573E02"/>
    <w:rsid w:val="0057407A"/>
    <w:rsid w:val="005756B2"/>
    <w:rsid w:val="0058124E"/>
    <w:rsid w:val="005875A3"/>
    <w:rsid w:val="005953EA"/>
    <w:rsid w:val="005A275F"/>
    <w:rsid w:val="005A3416"/>
    <w:rsid w:val="005A6325"/>
    <w:rsid w:val="005B27FE"/>
    <w:rsid w:val="005B41CD"/>
    <w:rsid w:val="005B76DF"/>
    <w:rsid w:val="005B79CB"/>
    <w:rsid w:val="005C3E9E"/>
    <w:rsid w:val="005C702F"/>
    <w:rsid w:val="005D5144"/>
    <w:rsid w:val="005D5C90"/>
    <w:rsid w:val="005E08D7"/>
    <w:rsid w:val="005E2B6E"/>
    <w:rsid w:val="005E4C16"/>
    <w:rsid w:val="005E5947"/>
    <w:rsid w:val="005F15F1"/>
    <w:rsid w:val="005F19CA"/>
    <w:rsid w:val="005F285E"/>
    <w:rsid w:val="005F3358"/>
    <w:rsid w:val="005F59EE"/>
    <w:rsid w:val="005F61DF"/>
    <w:rsid w:val="00601525"/>
    <w:rsid w:val="0060163A"/>
    <w:rsid w:val="006023F9"/>
    <w:rsid w:val="00610559"/>
    <w:rsid w:val="00614076"/>
    <w:rsid w:val="006235C7"/>
    <w:rsid w:val="0062409E"/>
    <w:rsid w:val="006302F5"/>
    <w:rsid w:val="00632F2E"/>
    <w:rsid w:val="006332F6"/>
    <w:rsid w:val="00637E00"/>
    <w:rsid w:val="006413F2"/>
    <w:rsid w:val="0064798F"/>
    <w:rsid w:val="006534B2"/>
    <w:rsid w:val="00656012"/>
    <w:rsid w:val="0065615D"/>
    <w:rsid w:val="00657011"/>
    <w:rsid w:val="006650B5"/>
    <w:rsid w:val="006651B1"/>
    <w:rsid w:val="00665778"/>
    <w:rsid w:val="0067304A"/>
    <w:rsid w:val="006763BD"/>
    <w:rsid w:val="00676E5F"/>
    <w:rsid w:val="0069041D"/>
    <w:rsid w:val="006945CA"/>
    <w:rsid w:val="00695DC7"/>
    <w:rsid w:val="006A10C0"/>
    <w:rsid w:val="006A3309"/>
    <w:rsid w:val="006A3A5A"/>
    <w:rsid w:val="006A5B34"/>
    <w:rsid w:val="006B0A67"/>
    <w:rsid w:val="006B45A9"/>
    <w:rsid w:val="006B551C"/>
    <w:rsid w:val="006C1A20"/>
    <w:rsid w:val="006C77A9"/>
    <w:rsid w:val="006D301C"/>
    <w:rsid w:val="006D4720"/>
    <w:rsid w:val="006D5FFC"/>
    <w:rsid w:val="006E10FE"/>
    <w:rsid w:val="006E6CDF"/>
    <w:rsid w:val="006F132B"/>
    <w:rsid w:val="006F37F2"/>
    <w:rsid w:val="006F6693"/>
    <w:rsid w:val="006F7510"/>
    <w:rsid w:val="00704413"/>
    <w:rsid w:val="00705569"/>
    <w:rsid w:val="00707FE8"/>
    <w:rsid w:val="00714AAE"/>
    <w:rsid w:val="00723913"/>
    <w:rsid w:val="00724962"/>
    <w:rsid w:val="00724A0F"/>
    <w:rsid w:val="00726D2F"/>
    <w:rsid w:val="00727C45"/>
    <w:rsid w:val="007326BF"/>
    <w:rsid w:val="007340BE"/>
    <w:rsid w:val="00736732"/>
    <w:rsid w:val="00740019"/>
    <w:rsid w:val="00743FB2"/>
    <w:rsid w:val="00746426"/>
    <w:rsid w:val="00750BF9"/>
    <w:rsid w:val="00750CBE"/>
    <w:rsid w:val="00751C7A"/>
    <w:rsid w:val="00753BE7"/>
    <w:rsid w:val="00756471"/>
    <w:rsid w:val="007602A8"/>
    <w:rsid w:val="00760373"/>
    <w:rsid w:val="00762083"/>
    <w:rsid w:val="007650D2"/>
    <w:rsid w:val="00766B5A"/>
    <w:rsid w:val="00766CA0"/>
    <w:rsid w:val="00772209"/>
    <w:rsid w:val="00773347"/>
    <w:rsid w:val="00773B8D"/>
    <w:rsid w:val="00774FF3"/>
    <w:rsid w:val="00775ED8"/>
    <w:rsid w:val="007770A5"/>
    <w:rsid w:val="0078290C"/>
    <w:rsid w:val="007834F2"/>
    <w:rsid w:val="00787233"/>
    <w:rsid w:val="007872F4"/>
    <w:rsid w:val="00791020"/>
    <w:rsid w:val="007958A5"/>
    <w:rsid w:val="007A04D2"/>
    <w:rsid w:val="007A5F82"/>
    <w:rsid w:val="007B1DF2"/>
    <w:rsid w:val="007B3969"/>
    <w:rsid w:val="007B486B"/>
    <w:rsid w:val="007C2A5B"/>
    <w:rsid w:val="007C4073"/>
    <w:rsid w:val="007D5F9E"/>
    <w:rsid w:val="007D7BEE"/>
    <w:rsid w:val="007E098F"/>
    <w:rsid w:val="007E1799"/>
    <w:rsid w:val="007E3BA2"/>
    <w:rsid w:val="007E3E5E"/>
    <w:rsid w:val="007E646E"/>
    <w:rsid w:val="007F05A8"/>
    <w:rsid w:val="007F0F0F"/>
    <w:rsid w:val="007F1A4C"/>
    <w:rsid w:val="007F1DC8"/>
    <w:rsid w:val="007F389D"/>
    <w:rsid w:val="007F48A8"/>
    <w:rsid w:val="007F723F"/>
    <w:rsid w:val="008022C3"/>
    <w:rsid w:val="00802D39"/>
    <w:rsid w:val="008041E6"/>
    <w:rsid w:val="0080471A"/>
    <w:rsid w:val="008065D2"/>
    <w:rsid w:val="008116D8"/>
    <w:rsid w:val="008136B4"/>
    <w:rsid w:val="00815A8A"/>
    <w:rsid w:val="0082194C"/>
    <w:rsid w:val="008222FF"/>
    <w:rsid w:val="00823B1A"/>
    <w:rsid w:val="008241FF"/>
    <w:rsid w:val="0082449A"/>
    <w:rsid w:val="00824753"/>
    <w:rsid w:val="008363EA"/>
    <w:rsid w:val="008411E9"/>
    <w:rsid w:val="00841617"/>
    <w:rsid w:val="0084200F"/>
    <w:rsid w:val="00843B2C"/>
    <w:rsid w:val="00844F16"/>
    <w:rsid w:val="008503BF"/>
    <w:rsid w:val="008528F3"/>
    <w:rsid w:val="00855FF9"/>
    <w:rsid w:val="008566EA"/>
    <w:rsid w:val="0086277A"/>
    <w:rsid w:val="008668A8"/>
    <w:rsid w:val="00867D4E"/>
    <w:rsid w:val="00873925"/>
    <w:rsid w:val="00876450"/>
    <w:rsid w:val="008768AD"/>
    <w:rsid w:val="00880AC4"/>
    <w:rsid w:val="00881B73"/>
    <w:rsid w:val="008941A5"/>
    <w:rsid w:val="00896D36"/>
    <w:rsid w:val="00897447"/>
    <w:rsid w:val="008A39CF"/>
    <w:rsid w:val="008A4900"/>
    <w:rsid w:val="008A4CB0"/>
    <w:rsid w:val="008A55FE"/>
    <w:rsid w:val="008A7CA7"/>
    <w:rsid w:val="008B10F4"/>
    <w:rsid w:val="008B146D"/>
    <w:rsid w:val="008B42AD"/>
    <w:rsid w:val="008B5666"/>
    <w:rsid w:val="008C1742"/>
    <w:rsid w:val="008C3C97"/>
    <w:rsid w:val="008D0281"/>
    <w:rsid w:val="008D5BA3"/>
    <w:rsid w:val="008E0AA2"/>
    <w:rsid w:val="008E2348"/>
    <w:rsid w:val="008E300E"/>
    <w:rsid w:val="008E6F19"/>
    <w:rsid w:val="008F6D45"/>
    <w:rsid w:val="008F723F"/>
    <w:rsid w:val="00906CF6"/>
    <w:rsid w:val="00917053"/>
    <w:rsid w:val="00920938"/>
    <w:rsid w:val="0092152B"/>
    <w:rsid w:val="009215D4"/>
    <w:rsid w:val="00922944"/>
    <w:rsid w:val="00924483"/>
    <w:rsid w:val="00926CA9"/>
    <w:rsid w:val="00936479"/>
    <w:rsid w:val="00937A10"/>
    <w:rsid w:val="009408D6"/>
    <w:rsid w:val="00944C7C"/>
    <w:rsid w:val="00951399"/>
    <w:rsid w:val="00957049"/>
    <w:rsid w:val="00966115"/>
    <w:rsid w:val="00966EC3"/>
    <w:rsid w:val="0097193E"/>
    <w:rsid w:val="009834C0"/>
    <w:rsid w:val="0098413F"/>
    <w:rsid w:val="00986AAC"/>
    <w:rsid w:val="00993218"/>
    <w:rsid w:val="009945B6"/>
    <w:rsid w:val="00995526"/>
    <w:rsid w:val="00996B92"/>
    <w:rsid w:val="009A1DA2"/>
    <w:rsid w:val="009A227D"/>
    <w:rsid w:val="009A3112"/>
    <w:rsid w:val="009A3704"/>
    <w:rsid w:val="009A4739"/>
    <w:rsid w:val="009A674F"/>
    <w:rsid w:val="009A6D22"/>
    <w:rsid w:val="009B199C"/>
    <w:rsid w:val="009B1E67"/>
    <w:rsid w:val="009B61F1"/>
    <w:rsid w:val="009B62E0"/>
    <w:rsid w:val="009C3D88"/>
    <w:rsid w:val="009C725A"/>
    <w:rsid w:val="009C7DED"/>
    <w:rsid w:val="009D159B"/>
    <w:rsid w:val="009D683F"/>
    <w:rsid w:val="009E1651"/>
    <w:rsid w:val="009E3858"/>
    <w:rsid w:val="009E467D"/>
    <w:rsid w:val="009E541E"/>
    <w:rsid w:val="009E70DD"/>
    <w:rsid w:val="009F2ED9"/>
    <w:rsid w:val="009F3231"/>
    <w:rsid w:val="009F5C58"/>
    <w:rsid w:val="00A023A0"/>
    <w:rsid w:val="00A05EBC"/>
    <w:rsid w:val="00A0636E"/>
    <w:rsid w:val="00A06CAF"/>
    <w:rsid w:val="00A11515"/>
    <w:rsid w:val="00A1562B"/>
    <w:rsid w:val="00A170F4"/>
    <w:rsid w:val="00A21408"/>
    <w:rsid w:val="00A21CFD"/>
    <w:rsid w:val="00A22F66"/>
    <w:rsid w:val="00A24A37"/>
    <w:rsid w:val="00A25B78"/>
    <w:rsid w:val="00A26A0A"/>
    <w:rsid w:val="00A339C8"/>
    <w:rsid w:val="00A3457D"/>
    <w:rsid w:val="00A46288"/>
    <w:rsid w:val="00A46BA8"/>
    <w:rsid w:val="00A47634"/>
    <w:rsid w:val="00A612FE"/>
    <w:rsid w:val="00A619B1"/>
    <w:rsid w:val="00A61A2A"/>
    <w:rsid w:val="00A6717D"/>
    <w:rsid w:val="00A70B49"/>
    <w:rsid w:val="00A70C20"/>
    <w:rsid w:val="00A73A32"/>
    <w:rsid w:val="00A91285"/>
    <w:rsid w:val="00A92D94"/>
    <w:rsid w:val="00A93C03"/>
    <w:rsid w:val="00A94E4B"/>
    <w:rsid w:val="00AA26B8"/>
    <w:rsid w:val="00AA6C34"/>
    <w:rsid w:val="00AB19FC"/>
    <w:rsid w:val="00AB33E5"/>
    <w:rsid w:val="00AB3E8B"/>
    <w:rsid w:val="00AC0B87"/>
    <w:rsid w:val="00AC1325"/>
    <w:rsid w:val="00AC2624"/>
    <w:rsid w:val="00AC32A8"/>
    <w:rsid w:val="00AD4E69"/>
    <w:rsid w:val="00AD7E4E"/>
    <w:rsid w:val="00AE621B"/>
    <w:rsid w:val="00AF134D"/>
    <w:rsid w:val="00AF185F"/>
    <w:rsid w:val="00AF36EA"/>
    <w:rsid w:val="00AF4D58"/>
    <w:rsid w:val="00AF6666"/>
    <w:rsid w:val="00AF7BC5"/>
    <w:rsid w:val="00B12133"/>
    <w:rsid w:val="00B1412B"/>
    <w:rsid w:val="00B262FC"/>
    <w:rsid w:val="00B374FB"/>
    <w:rsid w:val="00B40F55"/>
    <w:rsid w:val="00B430C5"/>
    <w:rsid w:val="00B45E34"/>
    <w:rsid w:val="00B5210E"/>
    <w:rsid w:val="00B52DA5"/>
    <w:rsid w:val="00B62790"/>
    <w:rsid w:val="00B71EB9"/>
    <w:rsid w:val="00B73AE1"/>
    <w:rsid w:val="00B755A4"/>
    <w:rsid w:val="00B8079C"/>
    <w:rsid w:val="00B81B44"/>
    <w:rsid w:val="00B867E3"/>
    <w:rsid w:val="00B9053B"/>
    <w:rsid w:val="00BA0C37"/>
    <w:rsid w:val="00BA3782"/>
    <w:rsid w:val="00BB3922"/>
    <w:rsid w:val="00BB3F83"/>
    <w:rsid w:val="00BB4D98"/>
    <w:rsid w:val="00BB4EBF"/>
    <w:rsid w:val="00BB51B8"/>
    <w:rsid w:val="00BB59E0"/>
    <w:rsid w:val="00BC21BE"/>
    <w:rsid w:val="00BC3422"/>
    <w:rsid w:val="00BC6E19"/>
    <w:rsid w:val="00BD11C2"/>
    <w:rsid w:val="00BD5018"/>
    <w:rsid w:val="00BE5ADC"/>
    <w:rsid w:val="00BF3854"/>
    <w:rsid w:val="00BF4F96"/>
    <w:rsid w:val="00BF55E5"/>
    <w:rsid w:val="00C015B9"/>
    <w:rsid w:val="00C022F9"/>
    <w:rsid w:val="00C032EA"/>
    <w:rsid w:val="00C06B62"/>
    <w:rsid w:val="00C06EB5"/>
    <w:rsid w:val="00C1145F"/>
    <w:rsid w:val="00C11CD1"/>
    <w:rsid w:val="00C13F4D"/>
    <w:rsid w:val="00C322FD"/>
    <w:rsid w:val="00C32D49"/>
    <w:rsid w:val="00C33AD3"/>
    <w:rsid w:val="00C3500F"/>
    <w:rsid w:val="00C36874"/>
    <w:rsid w:val="00C41B3C"/>
    <w:rsid w:val="00C43F06"/>
    <w:rsid w:val="00C505A6"/>
    <w:rsid w:val="00C51C01"/>
    <w:rsid w:val="00C637E1"/>
    <w:rsid w:val="00C67EAC"/>
    <w:rsid w:val="00C70D50"/>
    <w:rsid w:val="00C72252"/>
    <w:rsid w:val="00C87BA0"/>
    <w:rsid w:val="00C907D7"/>
    <w:rsid w:val="00C90FE5"/>
    <w:rsid w:val="00C92338"/>
    <w:rsid w:val="00C954FA"/>
    <w:rsid w:val="00C95668"/>
    <w:rsid w:val="00CA0306"/>
    <w:rsid w:val="00CA05DC"/>
    <w:rsid w:val="00CA416A"/>
    <w:rsid w:val="00CA7B47"/>
    <w:rsid w:val="00CB10D0"/>
    <w:rsid w:val="00CB3976"/>
    <w:rsid w:val="00CB5275"/>
    <w:rsid w:val="00CD0307"/>
    <w:rsid w:val="00CD3D1B"/>
    <w:rsid w:val="00CD4334"/>
    <w:rsid w:val="00CE0557"/>
    <w:rsid w:val="00CE52FB"/>
    <w:rsid w:val="00CF1E57"/>
    <w:rsid w:val="00CF6238"/>
    <w:rsid w:val="00CF7814"/>
    <w:rsid w:val="00D01CD3"/>
    <w:rsid w:val="00D02663"/>
    <w:rsid w:val="00D0633E"/>
    <w:rsid w:val="00D12507"/>
    <w:rsid w:val="00D12E74"/>
    <w:rsid w:val="00D2312F"/>
    <w:rsid w:val="00D23B04"/>
    <w:rsid w:val="00D242E0"/>
    <w:rsid w:val="00D269C1"/>
    <w:rsid w:val="00D37C19"/>
    <w:rsid w:val="00D41B2F"/>
    <w:rsid w:val="00D44953"/>
    <w:rsid w:val="00D4583D"/>
    <w:rsid w:val="00D46F98"/>
    <w:rsid w:val="00D542F3"/>
    <w:rsid w:val="00D54513"/>
    <w:rsid w:val="00D54AAE"/>
    <w:rsid w:val="00D5644B"/>
    <w:rsid w:val="00D56E25"/>
    <w:rsid w:val="00D57E89"/>
    <w:rsid w:val="00D6560D"/>
    <w:rsid w:val="00D65D77"/>
    <w:rsid w:val="00D718D7"/>
    <w:rsid w:val="00D71F97"/>
    <w:rsid w:val="00D73607"/>
    <w:rsid w:val="00D775D4"/>
    <w:rsid w:val="00D814B7"/>
    <w:rsid w:val="00D85C51"/>
    <w:rsid w:val="00D90688"/>
    <w:rsid w:val="00D95F05"/>
    <w:rsid w:val="00DA3AAD"/>
    <w:rsid w:val="00DA74FD"/>
    <w:rsid w:val="00DB1478"/>
    <w:rsid w:val="00DB312B"/>
    <w:rsid w:val="00DC2562"/>
    <w:rsid w:val="00DC497A"/>
    <w:rsid w:val="00DC5654"/>
    <w:rsid w:val="00DC658F"/>
    <w:rsid w:val="00DC674A"/>
    <w:rsid w:val="00DD698B"/>
    <w:rsid w:val="00DE60CC"/>
    <w:rsid w:val="00DF4B08"/>
    <w:rsid w:val="00DF5027"/>
    <w:rsid w:val="00DF7CB1"/>
    <w:rsid w:val="00E177F4"/>
    <w:rsid w:val="00E213A3"/>
    <w:rsid w:val="00E26B32"/>
    <w:rsid w:val="00E31CD4"/>
    <w:rsid w:val="00E31E60"/>
    <w:rsid w:val="00E33E08"/>
    <w:rsid w:val="00E34D73"/>
    <w:rsid w:val="00E407B6"/>
    <w:rsid w:val="00E417AD"/>
    <w:rsid w:val="00E41EF1"/>
    <w:rsid w:val="00E42942"/>
    <w:rsid w:val="00E50E22"/>
    <w:rsid w:val="00E55134"/>
    <w:rsid w:val="00E55B50"/>
    <w:rsid w:val="00E63564"/>
    <w:rsid w:val="00E65A0A"/>
    <w:rsid w:val="00E71BDF"/>
    <w:rsid w:val="00E71C7F"/>
    <w:rsid w:val="00E72384"/>
    <w:rsid w:val="00E75CCB"/>
    <w:rsid w:val="00E77E60"/>
    <w:rsid w:val="00E8245B"/>
    <w:rsid w:val="00E82C21"/>
    <w:rsid w:val="00E82E2B"/>
    <w:rsid w:val="00E82F59"/>
    <w:rsid w:val="00E83CA7"/>
    <w:rsid w:val="00E83E25"/>
    <w:rsid w:val="00E92192"/>
    <w:rsid w:val="00E95A71"/>
    <w:rsid w:val="00E95EF0"/>
    <w:rsid w:val="00EB7014"/>
    <w:rsid w:val="00EC4F55"/>
    <w:rsid w:val="00EC5CDE"/>
    <w:rsid w:val="00ED3077"/>
    <w:rsid w:val="00ED4083"/>
    <w:rsid w:val="00ED487E"/>
    <w:rsid w:val="00ED64F1"/>
    <w:rsid w:val="00ED6781"/>
    <w:rsid w:val="00EE33A1"/>
    <w:rsid w:val="00EE428E"/>
    <w:rsid w:val="00EE53B3"/>
    <w:rsid w:val="00EE7A0D"/>
    <w:rsid w:val="00EF7B53"/>
    <w:rsid w:val="00F0222C"/>
    <w:rsid w:val="00F05E5E"/>
    <w:rsid w:val="00F12312"/>
    <w:rsid w:val="00F148BA"/>
    <w:rsid w:val="00F17CE1"/>
    <w:rsid w:val="00F2115C"/>
    <w:rsid w:val="00F22ABA"/>
    <w:rsid w:val="00F2572A"/>
    <w:rsid w:val="00F25F4B"/>
    <w:rsid w:val="00F27BBE"/>
    <w:rsid w:val="00F33AAE"/>
    <w:rsid w:val="00F34542"/>
    <w:rsid w:val="00F35529"/>
    <w:rsid w:val="00F36B12"/>
    <w:rsid w:val="00F57B1F"/>
    <w:rsid w:val="00F60F9F"/>
    <w:rsid w:val="00F64F08"/>
    <w:rsid w:val="00F70055"/>
    <w:rsid w:val="00F708E6"/>
    <w:rsid w:val="00F734F5"/>
    <w:rsid w:val="00F73B5B"/>
    <w:rsid w:val="00F74A5A"/>
    <w:rsid w:val="00F75933"/>
    <w:rsid w:val="00F90EA5"/>
    <w:rsid w:val="00F913BC"/>
    <w:rsid w:val="00F91F5A"/>
    <w:rsid w:val="00F91F61"/>
    <w:rsid w:val="00F966B1"/>
    <w:rsid w:val="00F97D48"/>
    <w:rsid w:val="00FA0311"/>
    <w:rsid w:val="00FA1489"/>
    <w:rsid w:val="00FA77C3"/>
    <w:rsid w:val="00FD1571"/>
    <w:rsid w:val="00FD50F0"/>
    <w:rsid w:val="00FD640F"/>
    <w:rsid w:val="00FD6B4C"/>
    <w:rsid w:val="00FE0553"/>
    <w:rsid w:val="00FE25D0"/>
    <w:rsid w:val="00FE6CB3"/>
    <w:rsid w:val="00FF2D1F"/>
    <w:rsid w:val="00FF4E99"/>
    <w:rsid w:val="00FF6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B0E2F17"/>
  <w15:docId w15:val="{245F69B8-2FBB-49D4-8439-CEED96EE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0471A"/>
    <w:rPr>
      <w:rFonts w:ascii="VIC" w:hAnsi="VIC"/>
    </w:rPr>
  </w:style>
  <w:style w:type="paragraph" w:styleId="Heading1">
    <w:name w:val="heading 1"/>
    <w:basedOn w:val="Normal"/>
    <w:next w:val="Normalfollowingheading"/>
    <w:link w:val="Heading1Char"/>
    <w:qFormat/>
    <w:rsid w:val="0080471A"/>
    <w:pPr>
      <w:keepNext/>
      <w:keepLines/>
      <w:framePr w:wrap="around" w:vAnchor="page" w:hAnchor="margin" w:y="1022"/>
      <w:spacing w:before="0" w:after="120" w:line="240" w:lineRule="auto"/>
      <w:outlineLvl w:val="0"/>
    </w:pPr>
    <w:rPr>
      <w:rFonts w:ascii="VIC SemiBold" w:eastAsiaTheme="majorEastAsia" w:hAnsi="VIC SemiBold" w:cstheme="majorBidi"/>
      <w:bCs/>
      <w:color w:val="007586" w:themeColor="text2"/>
      <w:spacing w:val="-1"/>
      <w:sz w:val="48"/>
      <w:szCs w:val="28"/>
    </w:rPr>
  </w:style>
  <w:style w:type="paragraph" w:styleId="Heading2">
    <w:name w:val="heading 2"/>
    <w:basedOn w:val="Normal"/>
    <w:next w:val="Normalfollowingheading"/>
    <w:link w:val="Heading2Char"/>
    <w:qFormat/>
    <w:rsid w:val="0080471A"/>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80471A"/>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80471A"/>
    <w:pPr>
      <w:keepNext/>
      <w:keepLines/>
      <w:spacing w:before="320" w:after="70" w:line="240" w:lineRule="auto"/>
      <w:outlineLvl w:val="3"/>
    </w:pPr>
    <w:rPr>
      <w:rFonts w:ascii="VIC SemiBold" w:eastAsiaTheme="majorEastAsia" w:hAnsi="VIC SemiBold" w:cstheme="majorBidi"/>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80471A"/>
    <w:rPr>
      <w:rFonts w:ascii="VIC SemiBold" w:eastAsiaTheme="majorEastAsia" w:hAnsi="VIC SemiBold" w:cstheme="majorBidi"/>
      <w:bCs/>
      <w:color w:val="007586" w:themeColor="text2"/>
      <w:spacing w:val="-1"/>
      <w:sz w:val="48"/>
      <w:szCs w:val="28"/>
    </w:rPr>
  </w:style>
  <w:style w:type="character" w:customStyle="1" w:styleId="Heading2Char">
    <w:name w:val="Heading 2 Char"/>
    <w:basedOn w:val="DefaultParagraphFont"/>
    <w:link w:val="Heading2"/>
    <w:rsid w:val="0080471A"/>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80471A"/>
    <w:pPr>
      <w:numPr>
        <w:numId w:val="9"/>
      </w:numPr>
      <w:spacing w:before="60" w:after="60"/>
    </w:pPr>
    <w:rPr>
      <w:rFonts w:ascii="VIC" w:eastAsia="Times New Roman" w:hAnsi="VIC" w:cs="Calibri"/>
      <w:spacing w:val="2"/>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80471A"/>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80471A"/>
    <w:rPr>
      <w:rFonts w:ascii="VIC SemiBold" w:eastAsiaTheme="majorEastAsia" w:hAnsi="VIC SemiBold" w:cstheme="majorBidi"/>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297A47"/>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50356B"/>
    <w:pPr>
      <w:framePr w:hSpace="5670" w:wrap="around" w:vAnchor="page" w:hAnchor="page" w:x="852" w:y="4254"/>
      <w:spacing w:before="0" w:after="0" w:line="240" w:lineRule="auto"/>
      <w:suppressOverlap/>
    </w:pPr>
    <w:rPr>
      <w:rFonts w:asciiTheme="majorHAnsi" w:eastAsia="Times New Roman" w:hAnsiTheme="majorHAnsi" w:cstheme="majorHAnsi"/>
      <w:color w:val="000000" w:themeColor="text1"/>
      <w:sz w:val="40"/>
      <w:szCs w:val="24"/>
    </w:rPr>
  </w:style>
  <w:style w:type="character" w:customStyle="1" w:styleId="SubtitleChar">
    <w:name w:val="Subtitle Char"/>
    <w:basedOn w:val="DefaultParagraphFont"/>
    <w:link w:val="Subtitle"/>
    <w:uiPriority w:val="99"/>
    <w:rsid w:val="0050356B"/>
    <w:rPr>
      <w:rFonts w:asciiTheme="majorHAnsi" w:eastAsia="Times New Roman" w:hAnsiTheme="majorHAnsi" w:cstheme="majorHAnsi"/>
      <w:color w:val="000000" w:themeColor="text1"/>
      <w:sz w:val="4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50356B"/>
    <w:pPr>
      <w:framePr w:hSpace="5670" w:wrap="around" w:vAnchor="page" w:hAnchor="page" w:x="852" w:y="4310"/>
      <w:spacing w:before="0" w:after="200" w:line="192" w:lineRule="auto"/>
      <w:ind w:right="284"/>
      <w:contextualSpacing/>
      <w:suppressOverlap/>
    </w:pPr>
    <w:rPr>
      <w:rFonts w:asciiTheme="majorHAnsi" w:eastAsia="Times New Roman" w:hAnsiTheme="majorHAnsi" w:cstheme="majorHAnsi"/>
      <w:b/>
      <w:color w:val="007586" w:themeColor="text2"/>
      <w:spacing w:val="-4"/>
      <w:sz w:val="76"/>
      <w:szCs w:val="22"/>
    </w:rPr>
  </w:style>
  <w:style w:type="character" w:customStyle="1" w:styleId="TitleChar">
    <w:name w:val="Title Char"/>
    <w:basedOn w:val="DefaultParagraphFont"/>
    <w:link w:val="Title"/>
    <w:uiPriority w:val="99"/>
    <w:rsid w:val="0050356B"/>
    <w:rPr>
      <w:rFonts w:asciiTheme="majorHAnsi" w:eastAsia="Times New Roman" w:hAnsiTheme="majorHAnsi" w:cstheme="majorHAnsi"/>
      <w:b/>
      <w:color w:val="007586" w:themeColor="text2"/>
      <w:spacing w:val="-4"/>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F25F4B"/>
    <w:pPr>
      <w:pBdr>
        <w:bottom w:val="single" w:sz="24" w:space="1" w:color="CCCCD0" w:themeColor="accent6"/>
      </w:pBdr>
      <w:tabs>
        <w:tab w:val="center" w:pos="4513"/>
        <w:tab w:val="right" w:pos="9026"/>
      </w:tabs>
      <w:spacing w:before="0" w:line="240" w:lineRule="auto"/>
    </w:pPr>
  </w:style>
  <w:style w:type="character" w:customStyle="1" w:styleId="HeaderChar">
    <w:name w:val="Header Char"/>
    <w:basedOn w:val="DefaultParagraphFont"/>
    <w:link w:val="Header"/>
    <w:uiPriority w:val="99"/>
    <w:rsid w:val="00F25F4B"/>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39"/>
    <w:qFormat/>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824753"/>
    <w:pPr>
      <w:numPr>
        <w:numId w:val="16"/>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72"/>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9E1651"/>
    <w:pPr>
      <w:tabs>
        <w:tab w:val="left" w:pos="1080"/>
      </w:tabs>
      <w:spacing w:before="280" w:after="210" w:line="260" w:lineRule="atLeast"/>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1A6E64"/>
    <w:pPr>
      <w:spacing w:before="280" w:after="60"/>
    </w:pPr>
    <w:rPr>
      <w:rFonts w:ascii="VIC Medium" w:hAnsi="VIC Medium"/>
      <w:color w:val="007586" w:themeColor="text2"/>
      <w:sz w:val="2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styleId="Date">
    <w:name w:val="Date"/>
    <w:basedOn w:val="Normal"/>
    <w:next w:val="Normal"/>
    <w:link w:val="DateChar"/>
    <w:uiPriority w:val="99"/>
    <w:rsid w:val="0050356B"/>
    <w:pPr>
      <w:framePr w:hSpace="5670" w:wrap="around" w:vAnchor="page" w:hAnchor="page" w:x="852" w:y="4310"/>
      <w:spacing w:before="0" w:after="70" w:line="312" w:lineRule="auto"/>
      <w:suppressOverlap/>
    </w:pPr>
    <w:rPr>
      <w:b/>
      <w:sz w:val="28"/>
    </w:rPr>
  </w:style>
  <w:style w:type="character" w:customStyle="1" w:styleId="DateChar">
    <w:name w:val="Date Char"/>
    <w:basedOn w:val="DefaultParagraphFont"/>
    <w:link w:val="Date"/>
    <w:uiPriority w:val="99"/>
    <w:rsid w:val="0050356B"/>
    <w:rPr>
      <w:b/>
      <w:sz w:val="28"/>
    </w:rPr>
  </w:style>
  <w:style w:type="paragraph" w:styleId="NormalWeb">
    <w:name w:val="Normal (Web)"/>
    <w:basedOn w:val="Normal"/>
    <w:uiPriority w:val="99"/>
    <w:semiHidden/>
    <w:rsid w:val="005F15F1"/>
    <w:pPr>
      <w:spacing w:before="0" w:after="0" w:line="260" w:lineRule="atLeast"/>
    </w:pPr>
    <w:rPr>
      <w:rFonts w:eastAsia="Times New Roman" w:cs="Times New Roman"/>
      <w:color w:val="000000" w:themeColor="text1"/>
      <w:szCs w:val="24"/>
    </w:rPr>
  </w:style>
  <w:style w:type="paragraph" w:customStyle="1" w:styleId="DHHSbodyaftertablefigure">
    <w:name w:val="DHHS body after table/figure"/>
    <w:basedOn w:val="Normal"/>
    <w:next w:val="Normal"/>
    <w:autoRedefine/>
    <w:rsid w:val="0080471A"/>
    <w:pPr>
      <w:spacing w:before="0" w:after="0" w:line="0" w:lineRule="atLeast"/>
    </w:pPr>
    <w:rPr>
      <w:rFonts w:ascii="Arial" w:eastAsia="Times" w:hAnsi="Arial" w:cs="Times New Roman"/>
      <w:sz w:val="16"/>
      <w:lang w:eastAsia="en-US"/>
    </w:rPr>
  </w:style>
  <w:style w:type="paragraph" w:customStyle="1" w:styleId="DHHSbody">
    <w:name w:val="DHHS body"/>
    <w:qFormat/>
    <w:rsid w:val="0080471A"/>
    <w:pPr>
      <w:spacing w:before="0" w:after="120" w:line="270" w:lineRule="atLeast"/>
    </w:pPr>
    <w:rPr>
      <w:rFonts w:ascii="Arial" w:eastAsia="Times" w:hAnsi="Arial" w:cs="Times New Roman"/>
      <w:lang w:eastAsia="en-US"/>
    </w:rPr>
  </w:style>
  <w:style w:type="paragraph" w:customStyle="1" w:styleId="DHHSbullet1">
    <w:name w:val="DHHS bullet 1"/>
    <w:basedOn w:val="DHHSbody"/>
    <w:qFormat/>
    <w:rsid w:val="0080471A"/>
    <w:pPr>
      <w:numPr>
        <w:numId w:val="12"/>
      </w:numPr>
      <w:spacing w:after="40"/>
    </w:pPr>
  </w:style>
  <w:style w:type="paragraph" w:customStyle="1" w:styleId="DHHSbullet2">
    <w:name w:val="DHHS bullet 2"/>
    <w:basedOn w:val="DHHSbody"/>
    <w:uiPriority w:val="2"/>
    <w:qFormat/>
    <w:rsid w:val="0080471A"/>
    <w:pPr>
      <w:numPr>
        <w:ilvl w:val="2"/>
        <w:numId w:val="12"/>
      </w:numPr>
      <w:spacing w:after="40"/>
    </w:pPr>
  </w:style>
  <w:style w:type="paragraph" w:customStyle="1" w:styleId="DHHSbullet1lastline">
    <w:name w:val="DHHS bullet 1 last line"/>
    <w:basedOn w:val="DHHSbullet1"/>
    <w:qFormat/>
    <w:rsid w:val="0080471A"/>
    <w:pPr>
      <w:numPr>
        <w:ilvl w:val="1"/>
      </w:numPr>
      <w:spacing w:after="120"/>
    </w:pPr>
  </w:style>
  <w:style w:type="paragraph" w:customStyle="1" w:styleId="DHHSbullet2lastline">
    <w:name w:val="DHHS bullet 2 last line"/>
    <w:basedOn w:val="DHHSbullet2"/>
    <w:uiPriority w:val="2"/>
    <w:qFormat/>
    <w:rsid w:val="0080471A"/>
    <w:pPr>
      <w:numPr>
        <w:ilvl w:val="3"/>
      </w:numPr>
      <w:spacing w:after="120"/>
    </w:pPr>
  </w:style>
  <w:style w:type="paragraph" w:customStyle="1" w:styleId="DHHStablebullet">
    <w:name w:val="DHHS table bullet"/>
    <w:basedOn w:val="Normal"/>
    <w:uiPriority w:val="3"/>
    <w:qFormat/>
    <w:rsid w:val="0080471A"/>
    <w:pPr>
      <w:numPr>
        <w:ilvl w:val="6"/>
        <w:numId w:val="12"/>
      </w:numPr>
      <w:spacing w:before="80" w:after="60" w:line="240" w:lineRule="auto"/>
    </w:pPr>
    <w:rPr>
      <w:rFonts w:ascii="Arial" w:eastAsia="Times New Roman" w:hAnsi="Arial" w:cs="Times New Roman"/>
      <w:lang w:eastAsia="en-US"/>
    </w:rPr>
  </w:style>
  <w:style w:type="paragraph" w:customStyle="1" w:styleId="DHHSbodynospace">
    <w:name w:val="DHHS body no space"/>
    <w:basedOn w:val="DHHSbody"/>
    <w:uiPriority w:val="3"/>
    <w:qFormat/>
    <w:rsid w:val="0080471A"/>
    <w:pPr>
      <w:spacing w:after="0"/>
    </w:pPr>
  </w:style>
  <w:style w:type="numbering" w:customStyle="1" w:styleId="ZZBullets">
    <w:name w:val="ZZ Bullets"/>
    <w:rsid w:val="0080471A"/>
    <w:pPr>
      <w:numPr>
        <w:numId w:val="12"/>
      </w:numPr>
    </w:pPr>
  </w:style>
  <w:style w:type="paragraph" w:customStyle="1" w:styleId="DHHSbulletindent">
    <w:name w:val="DHHS bullet indent"/>
    <w:basedOn w:val="DHHSbody"/>
    <w:uiPriority w:val="4"/>
    <w:rsid w:val="0080471A"/>
    <w:pPr>
      <w:numPr>
        <w:ilvl w:val="4"/>
        <w:numId w:val="12"/>
      </w:numPr>
      <w:spacing w:after="40"/>
    </w:pPr>
  </w:style>
  <w:style w:type="paragraph" w:customStyle="1" w:styleId="DHHSbulletindentlastline">
    <w:name w:val="DHHS bullet indent last line"/>
    <w:basedOn w:val="DHHSbody"/>
    <w:uiPriority w:val="4"/>
    <w:rsid w:val="0080471A"/>
    <w:pPr>
      <w:numPr>
        <w:ilvl w:val="5"/>
        <w:numId w:val="12"/>
      </w:numPr>
    </w:pPr>
  </w:style>
  <w:style w:type="paragraph" w:customStyle="1" w:styleId="DHHSnumberloweralpha">
    <w:name w:val="DHHS number lower alpha"/>
    <w:basedOn w:val="DHHSbody"/>
    <w:uiPriority w:val="3"/>
    <w:rsid w:val="00824753"/>
    <w:pPr>
      <w:numPr>
        <w:ilvl w:val="2"/>
        <w:numId w:val="14"/>
      </w:numPr>
    </w:pPr>
  </w:style>
  <w:style w:type="paragraph" w:customStyle="1" w:styleId="DHHSnumberloweralphaindent">
    <w:name w:val="DHHS number lower alpha indent"/>
    <w:basedOn w:val="DHHSbody"/>
    <w:uiPriority w:val="3"/>
    <w:rsid w:val="00824753"/>
    <w:pPr>
      <w:numPr>
        <w:ilvl w:val="3"/>
        <w:numId w:val="14"/>
      </w:numPr>
    </w:pPr>
  </w:style>
  <w:style w:type="paragraph" w:customStyle="1" w:styleId="DHHSnumberdigit">
    <w:name w:val="DHHS number digit"/>
    <w:basedOn w:val="DHHSbody"/>
    <w:uiPriority w:val="2"/>
    <w:rsid w:val="00824753"/>
    <w:pPr>
      <w:numPr>
        <w:numId w:val="14"/>
      </w:numPr>
    </w:pPr>
  </w:style>
  <w:style w:type="numbering" w:customStyle="1" w:styleId="ZZNumbers">
    <w:name w:val="ZZ Numbers"/>
    <w:rsid w:val="00824753"/>
    <w:pPr>
      <w:numPr>
        <w:numId w:val="14"/>
      </w:numPr>
    </w:pPr>
  </w:style>
  <w:style w:type="paragraph" w:customStyle="1" w:styleId="DHHSnumberlowerroman">
    <w:name w:val="DHHS number lower roman"/>
    <w:basedOn w:val="DHHSbody"/>
    <w:uiPriority w:val="3"/>
    <w:rsid w:val="00824753"/>
    <w:pPr>
      <w:numPr>
        <w:ilvl w:val="4"/>
        <w:numId w:val="14"/>
      </w:numPr>
    </w:pPr>
  </w:style>
  <w:style w:type="paragraph" w:customStyle="1" w:styleId="DHHSnumberlowerromanindent">
    <w:name w:val="DHHS number lower roman indent"/>
    <w:basedOn w:val="DHHSbody"/>
    <w:uiPriority w:val="3"/>
    <w:rsid w:val="00824753"/>
    <w:pPr>
      <w:numPr>
        <w:ilvl w:val="5"/>
        <w:numId w:val="14"/>
      </w:numPr>
    </w:pPr>
  </w:style>
  <w:style w:type="paragraph" w:customStyle="1" w:styleId="DHHSnumberdigitindent">
    <w:name w:val="DHHS number digit indent"/>
    <w:basedOn w:val="DHHSnumberloweralphaindent"/>
    <w:uiPriority w:val="3"/>
    <w:rsid w:val="00824753"/>
    <w:pPr>
      <w:numPr>
        <w:ilvl w:val="1"/>
      </w:numPr>
    </w:pPr>
  </w:style>
  <w:style w:type="paragraph" w:customStyle="1" w:styleId="Healthfootnote">
    <w:name w:val="Health footnote"/>
    <w:rsid w:val="00787233"/>
    <w:pPr>
      <w:spacing w:before="0" w:after="60" w:line="200" w:lineRule="atLeast"/>
      <w:ind w:left="284" w:hanging="284"/>
    </w:pPr>
    <w:rPr>
      <w:rFonts w:ascii="Arial" w:eastAsiaTheme="minorHAnsi"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rcare.vic" TargetMode="External"/><Relationship Id="rId18" Type="http://schemas.openxmlformats.org/officeDocument/2006/relationships/hyperlink" Target="https://www.bettersafercare.vic.gov.au/about-us/about-scv/our-clinical-networks/renal-clinical-network" TargetMode="External"/><Relationship Id="rId26" Type="http://schemas.openxmlformats.org/officeDocument/2006/relationships/chart" Target="charts/chart8.xml"/><Relationship Id="rId39" Type="http://schemas.openxmlformats.org/officeDocument/2006/relationships/chart" Target="charts/chart21.xm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info@safercare.vic" TargetMode="External"/><Relationship Id="rId17" Type="http://schemas.openxmlformats.org/officeDocument/2006/relationships/footer" Target="footer3.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chart" Target="charts/chart2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10" Type="http://schemas.openxmlformats.org/officeDocument/2006/relationships/footer" Target="footer2.xml"/><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renal.org/clinical/guidelinessection/vascularacces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4.xml"/></Relationships>
</file>

<file path=word/charts/_rels/chart1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5.xml"/></Relationships>
</file>

<file path=word/charts/_rels/chart12.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6.xml"/></Relationships>
</file>

<file path=word/charts/_rels/chart13.xml.rels><?xml version="1.0" encoding="UTF-8" standalone="yes"?>
<Relationships xmlns="http://schemas.openxmlformats.org/package/2006/relationships"><Relationship Id="rId3" Type="http://schemas.openxmlformats.org/officeDocument/2006/relationships/chartUserShapes" Target="../drawings/drawing12.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7.xml"/></Relationships>
</file>

<file path=word/charts/_rels/chart14.xml.rels><?xml version="1.0" encoding="UTF-8" standalone="yes"?>
<Relationships xmlns="http://schemas.openxmlformats.org/package/2006/relationships"><Relationship Id="rId3" Type="http://schemas.openxmlformats.org/officeDocument/2006/relationships/chartUserShapes" Target="../drawings/drawing13.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8.xml"/></Relationships>
</file>

<file path=word/charts/_rels/chart15.xml.rels><?xml version="1.0" encoding="UTF-8" standalone="yes"?>
<Relationships xmlns="http://schemas.openxmlformats.org/package/2006/relationships"><Relationship Id="rId3" Type="http://schemas.openxmlformats.org/officeDocument/2006/relationships/chartUserShapes" Target="../drawings/drawing14.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9.xml"/></Relationships>
</file>

<file path=word/charts/_rels/chart16.xml.rels><?xml version="1.0" encoding="UTF-8" standalone="yes"?>
<Relationships xmlns="http://schemas.openxmlformats.org/package/2006/relationships"><Relationship Id="rId3" Type="http://schemas.openxmlformats.org/officeDocument/2006/relationships/chartUserShapes" Target="../drawings/drawing15.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0.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6.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1.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17.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2.xml"/></Relationships>
</file>

<file path=word/charts/_rels/chart19.xml.rels><?xml version="1.0" encoding="UTF-8" standalone="yes"?>
<Relationships xmlns="http://schemas.openxmlformats.org/package/2006/relationships"><Relationship Id="rId3" Type="http://schemas.openxmlformats.org/officeDocument/2006/relationships/chartUserShapes" Target="../drawings/drawing18.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s>
</file>

<file path=word/charts/_rels/chart20.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4.xml"/></Relationships>
</file>

<file path=word/charts/_rels/chart21.xml.rels><?xml version="1.0" encoding="UTF-8" standalone="yes"?>
<Relationships xmlns="http://schemas.openxmlformats.org/package/2006/relationships"><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5.xml"/></Relationships>
</file>

<file path=word/charts/_rels/chart22.xml.rels><?xml version="1.0" encoding="UTF-8" standalone="yes"?>
<Relationships xmlns="http://schemas.openxmlformats.org/package/2006/relationships"><Relationship Id="rId3" Type="http://schemas.openxmlformats.org/officeDocument/2006/relationships/chartUserShapes" Target="../drawings/drawing19.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6.xml"/></Relationships>
</file>

<file path=word/charts/_rels/chart23.xml.rels><?xml version="1.0" encoding="UTF-8" standalone="yes"?>
<Relationships xmlns="http://schemas.openxmlformats.org/package/2006/relationships"><Relationship Id="rId3" Type="http://schemas.openxmlformats.org/officeDocument/2006/relationships/chartUserShapes" Target="../drawings/drawing20.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7.xm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N060\GROUP\Safer%20Care%20Victoria\Clinicians%20As%20Partners\Clinical%20Networks\CSR%20Cluster\Renal%20Clinical%20Network\RCN%20archive\4.%20Data\Renal%20KPI\KPI%20data\KPI%20data\renal%20KPI%20data%20file.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b="0" i="0" baseline="0">
                <a:effectLst/>
                <a:latin typeface="VIC SemiBold" panose="00000700000000000000" pitchFamily="2" charset="0"/>
              </a:rPr>
              <a:t>KPI 1 - Percentage of new planned patients to receive CKD education before starting dialysis</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6462104608058015E-2"/>
          <c:y val="0.15445255474452554"/>
          <c:w val="0.9119375026575286"/>
          <c:h val="0.63580946542266159"/>
        </c:manualLayout>
      </c:layout>
      <c:barChart>
        <c:barDir val="col"/>
        <c:grouping val="clustered"/>
        <c:varyColors val="0"/>
        <c:ser>
          <c:idx val="0"/>
          <c:order val="0"/>
          <c:tx>
            <c:strRef>
              <c:f>'KPI 1'!$CT$56</c:f>
              <c:strCache>
                <c:ptCount val="1"/>
                <c:pt idx="0">
                  <c:v>Q4 2019</c:v>
                </c:pt>
              </c:strCache>
            </c:strRef>
          </c:tx>
          <c:spPr>
            <a:solidFill>
              <a:srgbClr val="00863D"/>
            </a:solidFill>
          </c:spPr>
          <c:invertIfNegative val="0"/>
          <c:dPt>
            <c:idx val="1"/>
            <c:invertIfNegative val="0"/>
            <c:bubble3D val="0"/>
            <c:extLst>
              <c:ext xmlns:c16="http://schemas.microsoft.com/office/drawing/2014/chart" uri="{C3380CC4-5D6E-409C-BE32-E72D297353CC}">
                <c16:uniqueId val="{00000000-FDF8-4E3C-B53A-AB73DEA7DFDE}"/>
              </c:ext>
            </c:extLst>
          </c:dPt>
          <c:errBars>
            <c:errBarType val="both"/>
            <c:errValType val="cust"/>
            <c:noEndCap val="0"/>
            <c:plus>
              <c:numRef>
                <c:f>'KPI 1'!$CX$57:$CX$67</c:f>
                <c:numCache>
                  <c:formatCode>General</c:formatCode>
                  <c:ptCount val="11"/>
                  <c:pt idx="0">
                    <c:v>3.8076333921119722E-3</c:v>
                  </c:pt>
                  <c:pt idx="1">
                    <c:v>1.6942990061346398E-2</c:v>
                  </c:pt>
                  <c:pt idx="2">
                    <c:v>1.774912653065161E-2</c:v>
                  </c:pt>
                  <c:pt idx="3">
                    <c:v>1.4959872298224038E-2</c:v>
                  </c:pt>
                  <c:pt idx="4">
                    <c:v>1.1123172465863128E-2</c:v>
                  </c:pt>
                  <c:pt idx="5">
                    <c:v>9.9721185667744801E-3</c:v>
                  </c:pt>
                  <c:pt idx="6">
                    <c:v>1.2166452014428024E-2</c:v>
                  </c:pt>
                  <c:pt idx="7">
                    <c:v>4.8722771913492198E-3</c:v>
                  </c:pt>
                  <c:pt idx="8">
                    <c:v>1.9091044878506679E-2</c:v>
                  </c:pt>
                  <c:pt idx="9">
                    <c:v>3.8202274118251641E-3</c:v>
                  </c:pt>
                  <c:pt idx="10">
                    <c:v>3.750201037246755E-3</c:v>
                  </c:pt>
                </c:numCache>
              </c:numRef>
            </c:plus>
            <c:minus>
              <c:numRef>
                <c:f>'KPI 1'!$CX$57:$CX$67</c:f>
                <c:numCache>
                  <c:formatCode>General</c:formatCode>
                  <c:ptCount val="11"/>
                  <c:pt idx="0">
                    <c:v>3.8076333921119722E-3</c:v>
                  </c:pt>
                  <c:pt idx="1">
                    <c:v>1.6942990061346398E-2</c:v>
                  </c:pt>
                  <c:pt idx="2">
                    <c:v>1.774912653065161E-2</c:v>
                  </c:pt>
                  <c:pt idx="3">
                    <c:v>1.4959872298224038E-2</c:v>
                  </c:pt>
                  <c:pt idx="4">
                    <c:v>1.1123172465863128E-2</c:v>
                  </c:pt>
                  <c:pt idx="5">
                    <c:v>9.9721185667744801E-3</c:v>
                  </c:pt>
                  <c:pt idx="6">
                    <c:v>1.2166452014428024E-2</c:v>
                  </c:pt>
                  <c:pt idx="7">
                    <c:v>4.8722771913492198E-3</c:v>
                  </c:pt>
                  <c:pt idx="8">
                    <c:v>1.9091044878506679E-2</c:v>
                  </c:pt>
                  <c:pt idx="9">
                    <c:v>3.8202274118251641E-3</c:v>
                  </c:pt>
                  <c:pt idx="10">
                    <c:v>3.750201037246755E-3</c:v>
                  </c:pt>
                </c:numCache>
              </c:numRef>
            </c:minus>
          </c:errBars>
          <c:cat>
            <c:strRef>
              <c:f>'KPI 1'!$A$57:$A$67</c:f>
              <c:strCache>
                <c:ptCount val="11"/>
                <c:pt idx="0">
                  <c:v>Alfred       (51)</c:v>
                </c:pt>
                <c:pt idx="1">
                  <c:v>Austin      (28)</c:v>
                </c:pt>
                <c:pt idx="2">
                  <c:v>Barwon    (24)</c:v>
                </c:pt>
                <c:pt idx="3">
                  <c:v>Bendigo   (19)</c:v>
                </c:pt>
                <c:pt idx="4">
                  <c:v>Eastern    (54)</c:v>
                </c:pt>
                <c:pt idx="5">
                  <c:v>Melbourne (106)</c:v>
                </c:pt>
                <c:pt idx="6">
                  <c:v>Monash   (136)</c:v>
                </c:pt>
                <c:pt idx="7">
                  <c:v>Northern (30)</c:v>
                </c:pt>
                <c:pt idx="8">
                  <c:v>St Vincents (48)</c:v>
                </c:pt>
                <c:pt idx="9">
                  <c:v>Western  (62)</c:v>
                </c:pt>
                <c:pt idx="10">
                  <c:v>State average (588)</c:v>
                </c:pt>
              </c:strCache>
            </c:strRef>
          </c:cat>
          <c:val>
            <c:numRef>
              <c:f>'KPI 1'!$CT$57:$CT$67</c:f>
              <c:numCache>
                <c:formatCode>0%</c:formatCode>
                <c:ptCount val="11"/>
                <c:pt idx="0">
                  <c:v>1</c:v>
                </c:pt>
                <c:pt idx="1">
                  <c:v>0.8571428571428571</c:v>
                </c:pt>
                <c:pt idx="2">
                  <c:v>1</c:v>
                </c:pt>
                <c:pt idx="3">
                  <c:v>0.89473684210526316</c:v>
                </c:pt>
                <c:pt idx="4">
                  <c:v>0.90740740740740744</c:v>
                </c:pt>
                <c:pt idx="5">
                  <c:v>0.86792452830188682</c:v>
                </c:pt>
                <c:pt idx="6">
                  <c:v>0.91176470588235292</c:v>
                </c:pt>
                <c:pt idx="7">
                  <c:v>1</c:v>
                </c:pt>
                <c:pt idx="8">
                  <c:v>0.83333333333333337</c:v>
                </c:pt>
                <c:pt idx="9">
                  <c:v>1</c:v>
                </c:pt>
                <c:pt idx="10">
                  <c:v>0.91935483870967738</c:v>
                </c:pt>
              </c:numCache>
            </c:numRef>
          </c:val>
          <c:extLst>
            <c:ext xmlns:c16="http://schemas.microsoft.com/office/drawing/2014/chart" uri="{C3380CC4-5D6E-409C-BE32-E72D297353CC}">
              <c16:uniqueId val="{00000001-FDF8-4E3C-B53A-AB73DEA7DFDE}"/>
            </c:ext>
          </c:extLst>
        </c:ser>
        <c:dLbls>
          <c:showLegendKey val="0"/>
          <c:showVal val="0"/>
          <c:showCatName val="0"/>
          <c:showSerName val="0"/>
          <c:showPercent val="0"/>
          <c:showBubbleSize val="0"/>
        </c:dLbls>
        <c:gapWidth val="150"/>
        <c:axId val="49699456"/>
        <c:axId val="142352768"/>
      </c:barChart>
      <c:catAx>
        <c:axId val="4969945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352768"/>
        <c:crosses val="autoZero"/>
        <c:auto val="1"/>
        <c:lblAlgn val="ctr"/>
        <c:lblOffset val="100"/>
        <c:noMultiLvlLbl val="0"/>
      </c:catAx>
      <c:valAx>
        <c:axId val="142352768"/>
        <c:scaling>
          <c:orientation val="minMax"/>
          <c:max val="1"/>
          <c:min val="0"/>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49699456"/>
        <c:crosses val="autoZero"/>
        <c:crossBetween val="between"/>
      </c:valAx>
    </c:plotArea>
    <c:plotVisOnly val="1"/>
    <c:dispBlanksAs val="gap"/>
    <c:showDLblsOverMax val="0"/>
  </c:chart>
  <c:spPr>
    <a:ln>
      <a:no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a:t>
            </a:r>
            <a:endParaRPr lang="en-AU" sz="1000" b="0">
              <a:effectLst/>
              <a:latin typeface="VIC SemiBold" panose="00000700000000000000" pitchFamily="2" charset="0"/>
            </a:endParaRPr>
          </a:p>
        </c:rich>
      </c:tx>
      <c:layout>
        <c:manualLayout>
          <c:xMode val="edge"/>
          <c:yMode val="edge"/>
          <c:x val="0.24789683898208376"/>
          <c:y val="2.9211853250204922E-2"/>
        </c:manualLayout>
      </c:layout>
      <c:overlay val="0"/>
    </c:title>
    <c:autoTitleDeleted val="0"/>
    <c:plotArea>
      <c:layout>
        <c:manualLayout>
          <c:layoutTarget val="inner"/>
          <c:xMode val="edge"/>
          <c:yMode val="edge"/>
          <c:x val="6.3009398018796028E-2"/>
          <c:y val="0.11720768539030109"/>
          <c:w val="0.91924866649733294"/>
          <c:h val="0.68088361194598312"/>
        </c:manualLayout>
      </c:layout>
      <c:barChart>
        <c:barDir val="col"/>
        <c:grouping val="clustered"/>
        <c:varyColors val="0"/>
        <c:ser>
          <c:idx val="2"/>
          <c:order val="0"/>
          <c:tx>
            <c:strRef>
              <c:f>'KPI 3'!$BV$221</c:f>
              <c:strCache>
                <c:ptCount val="1"/>
                <c:pt idx="0">
                  <c:v>2017</c:v>
                </c:pt>
              </c:strCache>
            </c:strRef>
          </c:tx>
          <c:spPr>
            <a:solidFill>
              <a:srgbClr val="64C2C8"/>
            </a:solidFill>
          </c:spPr>
          <c:invertIfNegative val="0"/>
          <c:cat>
            <c:strRef>
              <c:f>('KPI 3'!$A$223:$A$232,'KPI 3'!$A$234)</c:f>
              <c:strCache>
                <c:ptCount val="11"/>
                <c:pt idx="0">
                  <c:v>Alfred      (89)</c:v>
                </c:pt>
                <c:pt idx="1">
                  <c:v>Austin      (60)</c:v>
                </c:pt>
                <c:pt idx="2">
                  <c:v>Barwon      (52)</c:v>
                </c:pt>
                <c:pt idx="3">
                  <c:v>Bendigo      (31)</c:v>
                </c:pt>
                <c:pt idx="4">
                  <c:v>Eastern      (67)</c:v>
                </c:pt>
                <c:pt idx="5">
                  <c:v>Melbourne      (95)</c:v>
                </c:pt>
                <c:pt idx="6">
                  <c:v>Monash      (175)</c:v>
                </c:pt>
                <c:pt idx="7">
                  <c:v>Northern      (23)</c:v>
                </c:pt>
                <c:pt idx="8">
                  <c:v>St Vincents      (77)</c:v>
                </c:pt>
                <c:pt idx="9">
                  <c:v>Western      (86)</c:v>
                </c:pt>
                <c:pt idx="10">
                  <c:v>State      (755)</c:v>
                </c:pt>
              </c:strCache>
            </c:strRef>
          </c:cat>
          <c:val>
            <c:numRef>
              <c:f>('KPI 3'!$CG$223:$CG$232,'KPI 3'!$CG$234)</c:f>
              <c:numCache>
                <c:formatCode>0.0%</c:formatCode>
                <c:ptCount val="11"/>
                <c:pt idx="0">
                  <c:v>0.34680134680134678</c:v>
                </c:pt>
                <c:pt idx="1">
                  <c:v>0.25704225352112675</c:v>
                </c:pt>
                <c:pt idx="2">
                  <c:v>0.33333333333333331</c:v>
                </c:pt>
                <c:pt idx="3">
                  <c:v>0.32608695652173914</c:v>
                </c:pt>
                <c:pt idx="4">
                  <c:v>0.27615062761506276</c:v>
                </c:pt>
                <c:pt idx="5">
                  <c:v>0.22779922779922779</c:v>
                </c:pt>
                <c:pt idx="6">
                  <c:v>0.2780487804878049</c:v>
                </c:pt>
                <c:pt idx="7">
                  <c:v>0.24576271186440679</c:v>
                </c:pt>
                <c:pt idx="8">
                  <c:v>0.25827814569536423</c:v>
                </c:pt>
                <c:pt idx="9">
                  <c:v>0.27835051546391754</c:v>
                </c:pt>
                <c:pt idx="10">
                  <c:v>0.27536727024256918</c:v>
                </c:pt>
              </c:numCache>
            </c:numRef>
          </c:val>
          <c:extLst>
            <c:ext xmlns:c16="http://schemas.microsoft.com/office/drawing/2014/chart" uri="{C3380CC4-5D6E-409C-BE32-E72D297353CC}">
              <c16:uniqueId val="{00000000-AFB2-423C-BC43-B42941A60F77}"/>
            </c:ext>
          </c:extLst>
        </c:ser>
        <c:ser>
          <c:idx val="1"/>
          <c:order val="1"/>
          <c:tx>
            <c:strRef>
              <c:f>'KPI 3'!$CH$221</c:f>
              <c:strCache>
                <c:ptCount val="1"/>
                <c:pt idx="0">
                  <c:v>2018</c:v>
                </c:pt>
              </c:strCache>
            </c:strRef>
          </c:tx>
          <c:spPr>
            <a:solidFill>
              <a:srgbClr val="005892"/>
            </a:solidFill>
          </c:spPr>
          <c:invertIfNegative val="0"/>
          <c:cat>
            <c:strRef>
              <c:f>('KPI 3'!$A$223:$A$232,'KPI 3'!$A$234)</c:f>
              <c:strCache>
                <c:ptCount val="11"/>
                <c:pt idx="0">
                  <c:v>Alfred      (89)</c:v>
                </c:pt>
                <c:pt idx="1">
                  <c:v>Austin      (60)</c:v>
                </c:pt>
                <c:pt idx="2">
                  <c:v>Barwon      (52)</c:v>
                </c:pt>
                <c:pt idx="3">
                  <c:v>Bendigo      (31)</c:v>
                </c:pt>
                <c:pt idx="4">
                  <c:v>Eastern      (67)</c:v>
                </c:pt>
                <c:pt idx="5">
                  <c:v>Melbourne      (95)</c:v>
                </c:pt>
                <c:pt idx="6">
                  <c:v>Monash      (175)</c:v>
                </c:pt>
                <c:pt idx="7">
                  <c:v>Northern      (23)</c:v>
                </c:pt>
                <c:pt idx="8">
                  <c:v>St Vincents      (77)</c:v>
                </c:pt>
                <c:pt idx="9">
                  <c:v>Western      (86)</c:v>
                </c:pt>
                <c:pt idx="10">
                  <c:v>State      (755)</c:v>
                </c:pt>
              </c:strCache>
            </c:strRef>
          </c:cat>
          <c:val>
            <c:numRef>
              <c:f>('KPI 3'!$CS$223:$CS$232,'KPI 3'!$CS$234)</c:f>
              <c:numCache>
                <c:formatCode>0.0%</c:formatCode>
                <c:ptCount val="11"/>
                <c:pt idx="0">
                  <c:v>0.33333333333333331</c:v>
                </c:pt>
                <c:pt idx="1">
                  <c:v>0.25441696113074203</c:v>
                </c:pt>
                <c:pt idx="2">
                  <c:v>0.30722891566265059</c:v>
                </c:pt>
                <c:pt idx="3">
                  <c:v>0.30927835051546393</c:v>
                </c:pt>
                <c:pt idx="4">
                  <c:v>0.26859504132231404</c:v>
                </c:pt>
                <c:pt idx="5">
                  <c:v>0.19619047619047619</c:v>
                </c:pt>
                <c:pt idx="6">
                  <c:v>0.27302100161550891</c:v>
                </c:pt>
                <c:pt idx="7">
                  <c:v>0.24615384615384617</c:v>
                </c:pt>
                <c:pt idx="8">
                  <c:v>0.26710097719869708</c:v>
                </c:pt>
                <c:pt idx="9">
                  <c:v>0.28865979381443296</c:v>
                </c:pt>
                <c:pt idx="10">
                  <c:v>0.26621621621621622</c:v>
                </c:pt>
              </c:numCache>
            </c:numRef>
          </c:val>
          <c:extLst>
            <c:ext xmlns:c16="http://schemas.microsoft.com/office/drawing/2014/chart" uri="{C3380CC4-5D6E-409C-BE32-E72D297353CC}">
              <c16:uniqueId val="{00000001-AFB2-423C-BC43-B42941A60F77}"/>
            </c:ext>
          </c:extLst>
        </c:ser>
        <c:ser>
          <c:idx val="0"/>
          <c:order val="2"/>
          <c:tx>
            <c:strRef>
              <c:f>'KPI 3'!$CT$221</c:f>
              <c:strCache>
                <c:ptCount val="1"/>
                <c:pt idx="0">
                  <c:v>2019</c:v>
                </c:pt>
              </c:strCache>
            </c:strRef>
          </c:tx>
          <c:spPr>
            <a:solidFill>
              <a:srgbClr val="C1E6FF"/>
            </a:solidFill>
            <a:ln>
              <a:solidFill>
                <a:schemeClr val="accent1">
                  <a:lumMod val="20000"/>
                  <a:lumOff val="80000"/>
                </a:schemeClr>
              </a:solidFill>
            </a:ln>
          </c:spPr>
          <c:invertIfNegative val="0"/>
          <c:dPt>
            <c:idx val="9"/>
            <c:invertIfNegative val="0"/>
            <c:bubble3D val="0"/>
            <c:extLst>
              <c:ext xmlns:c16="http://schemas.microsoft.com/office/drawing/2014/chart" uri="{C3380CC4-5D6E-409C-BE32-E72D297353CC}">
                <c16:uniqueId val="{00000002-AFB2-423C-BC43-B42941A60F77}"/>
              </c:ext>
            </c:extLst>
          </c:dPt>
          <c:cat>
            <c:strRef>
              <c:f>('KPI 3'!$A$223:$A$232,'KPI 3'!$A$234)</c:f>
              <c:strCache>
                <c:ptCount val="11"/>
                <c:pt idx="0">
                  <c:v>Alfred      (89)</c:v>
                </c:pt>
                <c:pt idx="1">
                  <c:v>Austin      (60)</c:v>
                </c:pt>
                <c:pt idx="2">
                  <c:v>Barwon      (52)</c:v>
                </c:pt>
                <c:pt idx="3">
                  <c:v>Bendigo      (31)</c:v>
                </c:pt>
                <c:pt idx="4">
                  <c:v>Eastern      (67)</c:v>
                </c:pt>
                <c:pt idx="5">
                  <c:v>Melbourne      (95)</c:v>
                </c:pt>
                <c:pt idx="6">
                  <c:v>Monash      (175)</c:v>
                </c:pt>
                <c:pt idx="7">
                  <c:v>Northern      (23)</c:v>
                </c:pt>
                <c:pt idx="8">
                  <c:v>St Vincents      (77)</c:v>
                </c:pt>
                <c:pt idx="9">
                  <c:v>Western      (86)</c:v>
                </c:pt>
                <c:pt idx="10">
                  <c:v>State      (755)</c:v>
                </c:pt>
              </c:strCache>
            </c:strRef>
          </c:cat>
          <c:val>
            <c:numRef>
              <c:f>('KPI 3'!$DE$223:$DE$232,'KPI 3'!$DE$234)</c:f>
              <c:numCache>
                <c:formatCode>0.0%</c:formatCode>
                <c:ptCount val="11"/>
                <c:pt idx="0">
                  <c:v>0.30795847750865052</c:v>
                </c:pt>
                <c:pt idx="1">
                  <c:v>0.21505376344086022</c:v>
                </c:pt>
                <c:pt idx="2">
                  <c:v>0.31707317073170732</c:v>
                </c:pt>
                <c:pt idx="3">
                  <c:v>0.31</c:v>
                </c:pt>
                <c:pt idx="4">
                  <c:v>0.26171875</c:v>
                </c:pt>
                <c:pt idx="5">
                  <c:v>0.17992424242424243</c:v>
                </c:pt>
                <c:pt idx="6">
                  <c:v>0.27472527472527475</c:v>
                </c:pt>
                <c:pt idx="7">
                  <c:v>0.16666666666666666</c:v>
                </c:pt>
                <c:pt idx="8">
                  <c:v>0.25752508361204013</c:v>
                </c:pt>
                <c:pt idx="9">
                  <c:v>0.25825825825825827</c:v>
                </c:pt>
                <c:pt idx="10">
                  <c:v>0.24975190208402248</c:v>
                </c:pt>
              </c:numCache>
            </c:numRef>
          </c:val>
          <c:extLst>
            <c:ext xmlns:c16="http://schemas.microsoft.com/office/drawing/2014/chart" uri="{C3380CC4-5D6E-409C-BE32-E72D297353CC}">
              <c16:uniqueId val="{00000003-AFB2-423C-BC43-B42941A60F77}"/>
            </c:ext>
          </c:extLst>
        </c:ser>
        <c:dLbls>
          <c:showLegendKey val="0"/>
          <c:showVal val="0"/>
          <c:showCatName val="0"/>
          <c:showSerName val="0"/>
          <c:showPercent val="0"/>
          <c:showBubbleSize val="0"/>
        </c:dLbls>
        <c:gapWidth val="150"/>
        <c:axId val="142506240"/>
        <c:axId val="142516224"/>
      </c:barChart>
      <c:catAx>
        <c:axId val="142506240"/>
        <c:scaling>
          <c:orientation val="minMax"/>
        </c:scaling>
        <c:delete val="0"/>
        <c:axPos val="b"/>
        <c:numFmt formatCode="General" sourceLinked="1"/>
        <c:majorTickMark val="out"/>
        <c:minorTickMark val="none"/>
        <c:tickLblPos val="nextTo"/>
        <c:txPr>
          <a:bodyPr/>
          <a:lstStyle/>
          <a:p>
            <a:pPr>
              <a:defRPr sz="750" baseline="0">
                <a:latin typeface="VIC" panose="00000500000000000000" pitchFamily="2" charset="0"/>
              </a:defRPr>
            </a:pPr>
            <a:endParaRPr lang="en-US"/>
          </a:p>
        </c:txPr>
        <c:crossAx val="142516224"/>
        <c:crosses val="autoZero"/>
        <c:auto val="1"/>
        <c:lblAlgn val="ctr"/>
        <c:lblOffset val="100"/>
        <c:noMultiLvlLbl val="0"/>
      </c:catAx>
      <c:valAx>
        <c:axId val="142516224"/>
        <c:scaling>
          <c:orientation val="minMax"/>
          <c:max val="0.5"/>
          <c:min val="0"/>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506240"/>
        <c:crosses val="autoZero"/>
        <c:crossBetween val="between"/>
        <c:majorUnit val="0.1"/>
      </c:valAx>
    </c:plotArea>
    <c:legend>
      <c:legendPos val="r"/>
      <c:layout>
        <c:manualLayout>
          <c:xMode val="edge"/>
          <c:yMode val="edge"/>
          <c:x val="0.10861828928055657"/>
          <c:y val="0.9357367710739628"/>
          <c:w val="0.83450339540890717"/>
          <c:h val="6.2070023137768389E-2"/>
        </c:manualLayout>
      </c:layout>
      <c:overlay val="0"/>
      <c:txPr>
        <a:bodyPr/>
        <a:lstStyle/>
        <a:p>
          <a:pPr>
            <a:defRPr sz="9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u="none" strike="noStrike" kern="1200" baseline="0">
                <a:solidFill>
                  <a:sysClr val="windowText" lastClr="000000"/>
                </a:solidFill>
                <a:latin typeface="VIC SemiBold" panose="00000700000000000000" pitchFamily="2" charset="0"/>
                <a:ea typeface="+mn-ea"/>
                <a:cs typeface="+mn-cs"/>
              </a:rPr>
              <a:t>% of transplant / dialysis outcomes for Jan 2019 - Dec 2019</a:t>
            </a:r>
            <a:endParaRPr lang="en-US" sz="1000" b="0">
              <a:latin typeface="VIC SemiBold" panose="00000700000000000000" pitchFamily="2" charset="0"/>
            </a:endParaRPr>
          </a:p>
        </c:rich>
      </c:tx>
      <c:overlay val="1"/>
    </c:title>
    <c:autoTitleDeleted val="0"/>
    <c:plotArea>
      <c:layout>
        <c:manualLayout>
          <c:layoutTarget val="inner"/>
          <c:xMode val="edge"/>
          <c:yMode val="edge"/>
          <c:x val="7.5370195536435577E-2"/>
          <c:y val="0.12305976678288348"/>
          <c:w val="0.90650042663084918"/>
          <c:h val="0.68412243245713689"/>
        </c:manualLayout>
      </c:layout>
      <c:barChart>
        <c:barDir val="col"/>
        <c:grouping val="stacked"/>
        <c:varyColors val="0"/>
        <c:ser>
          <c:idx val="0"/>
          <c:order val="0"/>
          <c:tx>
            <c:strRef>
              <c:f>'KPI 3'!$Y$245</c:f>
              <c:strCache>
                <c:ptCount val="1"/>
                <c:pt idx="0">
                  <c:v>Pre emptive</c:v>
                </c:pt>
              </c:strCache>
            </c:strRef>
          </c:tx>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3'!$AB$245:$AL$245</c:f>
              <c:numCache>
                <c:formatCode>0.0%</c:formatCode>
                <c:ptCount val="11"/>
                <c:pt idx="0">
                  <c:v>1.0309278350515464E-2</c:v>
                </c:pt>
                <c:pt idx="1">
                  <c:v>2.3809523809523808E-2</c:v>
                </c:pt>
                <c:pt idx="2">
                  <c:v>2.6315789473684209E-2</c:v>
                </c:pt>
                <c:pt idx="3">
                  <c:v>0</c:v>
                </c:pt>
                <c:pt idx="4">
                  <c:v>4.2105263157894736E-2</c:v>
                </c:pt>
                <c:pt idx="5">
                  <c:v>3.255813953488372E-2</c:v>
                </c:pt>
                <c:pt idx="6">
                  <c:v>2.3076923076923078E-2</c:v>
                </c:pt>
                <c:pt idx="7">
                  <c:v>2.1739130434782608E-2</c:v>
                </c:pt>
                <c:pt idx="8">
                  <c:v>2.3529411764705882E-2</c:v>
                </c:pt>
                <c:pt idx="9">
                  <c:v>1.0416666666666666E-2</c:v>
                </c:pt>
                <c:pt idx="10">
                  <c:v>2.3764258555133078E-2</c:v>
                </c:pt>
              </c:numCache>
            </c:numRef>
          </c:val>
          <c:extLst>
            <c:ext xmlns:c16="http://schemas.microsoft.com/office/drawing/2014/chart" uri="{C3380CC4-5D6E-409C-BE32-E72D297353CC}">
              <c16:uniqueId val="{00000000-2D38-4AA1-8C60-B224094054AD}"/>
            </c:ext>
          </c:extLst>
        </c:ser>
        <c:ser>
          <c:idx val="1"/>
          <c:order val="1"/>
          <c:tx>
            <c:strRef>
              <c:f>'KPI 3'!$Y$246</c:f>
              <c:strCache>
                <c:ptCount val="1"/>
                <c:pt idx="0">
                  <c:v>Transplants (after dialysis)</c:v>
                </c:pt>
              </c:strCache>
            </c:strRef>
          </c:tx>
          <c:spPr>
            <a:solidFill>
              <a:srgbClr val="C1E6FF"/>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3'!$AB$246:$AL$246</c:f>
              <c:numCache>
                <c:formatCode>0.0%</c:formatCode>
                <c:ptCount val="11"/>
                <c:pt idx="0">
                  <c:v>0.18556701030927836</c:v>
                </c:pt>
                <c:pt idx="1">
                  <c:v>0.17857142857142858</c:v>
                </c:pt>
                <c:pt idx="2">
                  <c:v>0.15789473684210525</c:v>
                </c:pt>
                <c:pt idx="3">
                  <c:v>0.19444444444444445</c:v>
                </c:pt>
                <c:pt idx="4">
                  <c:v>0.16842105263157894</c:v>
                </c:pt>
                <c:pt idx="5">
                  <c:v>0.27906976744186046</c:v>
                </c:pt>
                <c:pt idx="6">
                  <c:v>0.23076923076923078</c:v>
                </c:pt>
                <c:pt idx="7">
                  <c:v>0.13043478260869565</c:v>
                </c:pt>
                <c:pt idx="8">
                  <c:v>0.18823529411764706</c:v>
                </c:pt>
                <c:pt idx="9">
                  <c:v>0.17708333333333334</c:v>
                </c:pt>
                <c:pt idx="10">
                  <c:v>0.21007604562737642</c:v>
                </c:pt>
              </c:numCache>
            </c:numRef>
          </c:val>
          <c:extLst>
            <c:ext xmlns:c16="http://schemas.microsoft.com/office/drawing/2014/chart" uri="{C3380CC4-5D6E-409C-BE32-E72D297353CC}">
              <c16:uniqueId val="{00000001-2D38-4AA1-8C60-B224094054AD}"/>
            </c:ext>
          </c:extLst>
        </c:ser>
        <c:ser>
          <c:idx val="2"/>
          <c:order val="2"/>
          <c:tx>
            <c:strRef>
              <c:f>'KPI 3'!$Y$247</c:f>
              <c:strCache>
                <c:ptCount val="1"/>
                <c:pt idx="0">
                  <c:v>New home</c:v>
                </c:pt>
              </c:strCache>
            </c:strRef>
          </c:tx>
          <c:spPr>
            <a:solidFill>
              <a:srgbClr val="005892"/>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3'!$AB$247:$AL$247</c:f>
              <c:numCache>
                <c:formatCode>0.0%</c:formatCode>
                <c:ptCount val="11"/>
                <c:pt idx="0">
                  <c:v>0.31958762886597936</c:v>
                </c:pt>
                <c:pt idx="1">
                  <c:v>0.16666666666666666</c:v>
                </c:pt>
                <c:pt idx="2">
                  <c:v>0.39473684210526316</c:v>
                </c:pt>
                <c:pt idx="3">
                  <c:v>0.25</c:v>
                </c:pt>
                <c:pt idx="4">
                  <c:v>0.32631578947368423</c:v>
                </c:pt>
                <c:pt idx="5">
                  <c:v>0.22790697674418606</c:v>
                </c:pt>
                <c:pt idx="6">
                  <c:v>0.26923076923076922</c:v>
                </c:pt>
                <c:pt idx="7">
                  <c:v>0.2608695652173913</c:v>
                </c:pt>
                <c:pt idx="8">
                  <c:v>0.35294117647058826</c:v>
                </c:pt>
                <c:pt idx="9">
                  <c:v>0.33333333333333331</c:v>
                </c:pt>
                <c:pt idx="10">
                  <c:v>0.27851711026615972</c:v>
                </c:pt>
              </c:numCache>
            </c:numRef>
          </c:val>
          <c:extLst>
            <c:ext xmlns:c16="http://schemas.microsoft.com/office/drawing/2014/chart" uri="{C3380CC4-5D6E-409C-BE32-E72D297353CC}">
              <c16:uniqueId val="{00000002-2D38-4AA1-8C60-B224094054AD}"/>
            </c:ext>
          </c:extLst>
        </c:ser>
        <c:ser>
          <c:idx val="3"/>
          <c:order val="3"/>
          <c:tx>
            <c:strRef>
              <c:f>'KPI 3'!$Y$248</c:f>
              <c:strCache>
                <c:ptCount val="1"/>
                <c:pt idx="0">
                  <c:v>New facility</c:v>
                </c:pt>
              </c:strCache>
            </c:strRef>
          </c:tx>
          <c:spPr>
            <a:solidFill>
              <a:srgbClr val="64C2C8"/>
            </a:solidFill>
          </c:spPr>
          <c:invertIfNegative val="0"/>
          <c:cat>
            <c:strRef>
              <c:f>'KPI 3'!$AB$238:$AL$238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3'!$AB$248:$AL$248</c:f>
              <c:numCache>
                <c:formatCode>0.0%</c:formatCode>
                <c:ptCount val="11"/>
                <c:pt idx="0">
                  <c:v>0.4845360824742268</c:v>
                </c:pt>
                <c:pt idx="1">
                  <c:v>0.63095238095238093</c:v>
                </c:pt>
                <c:pt idx="2">
                  <c:v>0.42105263157894735</c:v>
                </c:pt>
                <c:pt idx="3">
                  <c:v>0.55555555555555558</c:v>
                </c:pt>
                <c:pt idx="4">
                  <c:v>0.4631578947368421</c:v>
                </c:pt>
                <c:pt idx="5">
                  <c:v>0.46046511627906977</c:v>
                </c:pt>
                <c:pt idx="6">
                  <c:v>0.47692307692307695</c:v>
                </c:pt>
                <c:pt idx="7">
                  <c:v>0.58695652173913049</c:v>
                </c:pt>
                <c:pt idx="8">
                  <c:v>0.43529411764705883</c:v>
                </c:pt>
                <c:pt idx="9">
                  <c:v>0.47916666666666669</c:v>
                </c:pt>
                <c:pt idx="10">
                  <c:v>0.48764258555133078</c:v>
                </c:pt>
              </c:numCache>
            </c:numRef>
          </c:val>
          <c:extLst>
            <c:ext xmlns:c16="http://schemas.microsoft.com/office/drawing/2014/chart" uri="{C3380CC4-5D6E-409C-BE32-E72D297353CC}">
              <c16:uniqueId val="{00000003-2D38-4AA1-8C60-B224094054AD}"/>
            </c:ext>
          </c:extLst>
        </c:ser>
        <c:dLbls>
          <c:showLegendKey val="0"/>
          <c:showVal val="0"/>
          <c:showCatName val="0"/>
          <c:showSerName val="0"/>
          <c:showPercent val="0"/>
          <c:showBubbleSize val="0"/>
        </c:dLbls>
        <c:gapWidth val="150"/>
        <c:overlap val="100"/>
        <c:axId val="142641024"/>
        <c:axId val="142642560"/>
      </c:barChart>
      <c:catAx>
        <c:axId val="14264102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642560"/>
        <c:crosses val="autoZero"/>
        <c:auto val="1"/>
        <c:lblAlgn val="ctr"/>
        <c:lblOffset val="100"/>
        <c:noMultiLvlLbl val="0"/>
      </c:catAx>
      <c:valAx>
        <c:axId val="142642560"/>
        <c:scaling>
          <c:orientation val="minMax"/>
          <c:max val="1"/>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641024"/>
        <c:crosses val="autoZero"/>
        <c:crossBetween val="between"/>
      </c:valAx>
    </c:plotArea>
    <c:legend>
      <c:legendPos val="b"/>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i="0" baseline="0">
                <a:effectLst/>
                <a:latin typeface="VIC SemiBold" panose="00000700000000000000" pitchFamily="2" charset="0"/>
              </a:rPr>
              <a:t>KPI 4 - Peritonitis Rates </a:t>
            </a:r>
            <a:endParaRPr lang="en-AU" sz="1000" b="0">
              <a:effectLst/>
              <a:latin typeface="VIC SemiBold" panose="00000700000000000000" pitchFamily="2" charset="0"/>
            </a:endParaRPr>
          </a:p>
        </c:rich>
      </c:tx>
      <c:layout>
        <c:manualLayout>
          <c:xMode val="edge"/>
          <c:yMode val="edge"/>
          <c:x val="0.37794357153319635"/>
          <c:y val="3.8495188101487311E-2"/>
        </c:manualLayout>
      </c:layout>
      <c:overlay val="0"/>
    </c:title>
    <c:autoTitleDeleted val="0"/>
    <c:plotArea>
      <c:layout>
        <c:manualLayout>
          <c:layoutTarget val="inner"/>
          <c:xMode val="edge"/>
          <c:yMode val="edge"/>
          <c:x val="7.9477757587993803E-2"/>
          <c:y val="0.12485922568284305"/>
          <c:w val="0.90679081404417206"/>
          <c:h val="0.65845068579026045"/>
        </c:manualLayout>
      </c:layout>
      <c:barChart>
        <c:barDir val="col"/>
        <c:grouping val="clustered"/>
        <c:varyColors val="0"/>
        <c:ser>
          <c:idx val="0"/>
          <c:order val="0"/>
          <c:tx>
            <c:strRef>
              <c:f>'KPI 4'!$A$30</c:f>
              <c:strCache>
                <c:ptCount val="1"/>
                <c:pt idx="0">
                  <c:v>Peritonitis rate/ratio by quarter</c:v>
                </c:pt>
              </c:strCache>
            </c:strRef>
          </c:tx>
          <c:spPr>
            <a:solidFill>
              <a:srgbClr val="00863D"/>
            </a:solidFill>
          </c:spPr>
          <c:invertIfNegative val="0"/>
          <c:dPt>
            <c:idx val="1"/>
            <c:invertIfNegative val="0"/>
            <c:bubble3D val="0"/>
            <c:spPr>
              <a:solidFill>
                <a:srgbClr val="FFC000"/>
              </a:solidFill>
            </c:spPr>
            <c:extLst>
              <c:ext xmlns:c16="http://schemas.microsoft.com/office/drawing/2014/chart" uri="{C3380CC4-5D6E-409C-BE32-E72D297353CC}">
                <c16:uniqueId val="{00000001-525A-43C8-8112-18AD49DD54F9}"/>
              </c:ext>
            </c:extLst>
          </c:dPt>
          <c:dPt>
            <c:idx val="2"/>
            <c:invertIfNegative val="0"/>
            <c:bubble3D val="0"/>
            <c:spPr>
              <a:solidFill>
                <a:srgbClr val="DB313D"/>
              </a:solidFill>
            </c:spPr>
            <c:extLst>
              <c:ext xmlns:c16="http://schemas.microsoft.com/office/drawing/2014/chart" uri="{C3380CC4-5D6E-409C-BE32-E72D297353CC}">
                <c16:uniqueId val="{00000003-525A-43C8-8112-18AD49DD54F9}"/>
              </c:ext>
            </c:extLst>
          </c:dPt>
          <c:dPt>
            <c:idx val="3"/>
            <c:invertIfNegative val="0"/>
            <c:bubble3D val="0"/>
            <c:extLst>
              <c:ext xmlns:c16="http://schemas.microsoft.com/office/drawing/2014/chart" uri="{C3380CC4-5D6E-409C-BE32-E72D297353CC}">
                <c16:uniqueId val="{00000004-525A-43C8-8112-18AD49DD54F9}"/>
              </c:ext>
            </c:extLst>
          </c:dPt>
          <c:dPt>
            <c:idx val="5"/>
            <c:invertIfNegative val="0"/>
            <c:bubble3D val="0"/>
            <c:extLst>
              <c:ext xmlns:c16="http://schemas.microsoft.com/office/drawing/2014/chart" uri="{C3380CC4-5D6E-409C-BE32-E72D297353CC}">
                <c16:uniqueId val="{00000006-525A-43C8-8112-18AD49DD54F9}"/>
              </c:ext>
            </c:extLst>
          </c:dPt>
          <c:dPt>
            <c:idx val="6"/>
            <c:invertIfNegative val="0"/>
            <c:bubble3D val="0"/>
            <c:spPr>
              <a:solidFill>
                <a:srgbClr val="008950"/>
              </a:solidFill>
            </c:spPr>
            <c:extLst>
              <c:ext xmlns:c16="http://schemas.microsoft.com/office/drawing/2014/chart" uri="{C3380CC4-5D6E-409C-BE32-E72D297353CC}">
                <c16:uniqueId val="{00000008-525A-43C8-8112-18AD49DD54F9}"/>
              </c:ext>
            </c:extLst>
          </c:dPt>
          <c:dPt>
            <c:idx val="7"/>
            <c:invertIfNegative val="0"/>
            <c:bubble3D val="0"/>
            <c:extLst>
              <c:ext xmlns:c16="http://schemas.microsoft.com/office/drawing/2014/chart" uri="{C3380CC4-5D6E-409C-BE32-E72D297353CC}">
                <c16:uniqueId val="{0000000A-525A-43C8-8112-18AD49DD54F9}"/>
              </c:ext>
            </c:extLst>
          </c:dPt>
          <c:dPt>
            <c:idx val="8"/>
            <c:invertIfNegative val="0"/>
            <c:bubble3D val="0"/>
            <c:extLst>
              <c:ext xmlns:c16="http://schemas.microsoft.com/office/drawing/2014/chart" uri="{C3380CC4-5D6E-409C-BE32-E72D297353CC}">
                <c16:uniqueId val="{0000000C-525A-43C8-8112-18AD49DD54F9}"/>
              </c:ext>
            </c:extLst>
          </c:dPt>
          <c:dPt>
            <c:idx val="9"/>
            <c:invertIfNegative val="0"/>
            <c:bubble3D val="0"/>
            <c:extLst>
              <c:ext xmlns:c16="http://schemas.microsoft.com/office/drawing/2014/chart" uri="{C3380CC4-5D6E-409C-BE32-E72D297353CC}">
                <c16:uniqueId val="{0000000E-525A-43C8-8112-18AD49DD54F9}"/>
              </c:ext>
            </c:extLst>
          </c:dPt>
          <c:dPt>
            <c:idx val="10"/>
            <c:invertIfNegative val="0"/>
            <c:bubble3D val="0"/>
            <c:spPr>
              <a:solidFill>
                <a:srgbClr val="008950"/>
              </a:solidFill>
            </c:spPr>
            <c:extLst>
              <c:ext xmlns:c16="http://schemas.microsoft.com/office/drawing/2014/chart" uri="{C3380CC4-5D6E-409C-BE32-E72D297353CC}">
                <c16:uniqueId val="{00000010-525A-43C8-8112-18AD49DD54F9}"/>
              </c:ext>
            </c:extLst>
          </c:dPt>
          <c:errBars>
            <c:errBarType val="both"/>
            <c:errValType val="cust"/>
            <c:noEndCap val="0"/>
            <c:plus>
              <c:numRef>
                <c:f>'KPI 4'!$AK$82:$AK$92</c:f>
                <c:numCache>
                  <c:formatCode>General</c:formatCode>
                  <c:ptCount val="11"/>
                  <c:pt idx="0">
                    <c:v>1.6470544372684085E-2</c:v>
                  </c:pt>
                  <c:pt idx="1">
                    <c:v>3.536790879253867E-2</c:v>
                  </c:pt>
                  <c:pt idx="2">
                    <c:v>4.5802049515567857E-2</c:v>
                  </c:pt>
                  <c:pt idx="3">
                    <c:v>3.6092652084609968E-2</c:v>
                  </c:pt>
                  <c:pt idx="4">
                    <c:v>2.1973044247484287E-2</c:v>
                  </c:pt>
                  <c:pt idx="5">
                    <c:v>2.4122960787467642E-2</c:v>
                  </c:pt>
                  <c:pt idx="6">
                    <c:v>4.4678555700276762E-2</c:v>
                  </c:pt>
                  <c:pt idx="7">
                    <c:v>8.5000000000000006E-2</c:v>
                  </c:pt>
                  <c:pt idx="8">
                    <c:v>3.9553502135480291E-2</c:v>
                  </c:pt>
                  <c:pt idx="9">
                    <c:v>3.4694682714421415E-2</c:v>
                  </c:pt>
                  <c:pt idx="10">
                    <c:v>1.662249250996372E-2</c:v>
                  </c:pt>
                </c:numCache>
              </c:numRef>
            </c:plus>
            <c:minus>
              <c:numRef>
                <c:f>'KPI 4'!$AK$82:$AK$92</c:f>
                <c:numCache>
                  <c:formatCode>General</c:formatCode>
                  <c:ptCount val="11"/>
                  <c:pt idx="0">
                    <c:v>1.6470544372684085E-2</c:v>
                  </c:pt>
                  <c:pt idx="1">
                    <c:v>3.536790879253867E-2</c:v>
                  </c:pt>
                  <c:pt idx="2">
                    <c:v>4.5802049515567857E-2</c:v>
                  </c:pt>
                  <c:pt idx="3">
                    <c:v>3.6092652084609968E-2</c:v>
                  </c:pt>
                  <c:pt idx="4">
                    <c:v>2.1973044247484287E-2</c:v>
                  </c:pt>
                  <c:pt idx="5">
                    <c:v>2.4122960787467642E-2</c:v>
                  </c:pt>
                  <c:pt idx="6">
                    <c:v>4.4678555700276762E-2</c:v>
                  </c:pt>
                  <c:pt idx="7">
                    <c:v>8.5000000000000006E-2</c:v>
                  </c:pt>
                  <c:pt idx="8">
                    <c:v>3.9553502135480291E-2</c:v>
                  </c:pt>
                  <c:pt idx="9">
                    <c:v>3.4694682714421415E-2</c:v>
                  </c:pt>
                  <c:pt idx="10">
                    <c:v>1.662249250996372E-2</c:v>
                  </c:pt>
                </c:numCache>
              </c:numRef>
            </c:minus>
          </c:errBars>
          <c:cat>
            <c:strRef>
              <c:f>'KPI 4'!$B$34:$B$44</c:f>
              <c:strCache>
                <c:ptCount val="11"/>
                <c:pt idx="0">
                  <c:v>Alfred        (91)</c:v>
                </c:pt>
                <c:pt idx="1">
                  <c:v>Austin        (47)</c:v>
                </c:pt>
                <c:pt idx="2">
                  <c:v>Barwon        (22)</c:v>
                </c:pt>
                <c:pt idx="3">
                  <c:v>Bendigo        (31)</c:v>
                </c:pt>
                <c:pt idx="4">
                  <c:v>Eastern     (54)</c:v>
                </c:pt>
                <c:pt idx="5">
                  <c:v>Melbourne (79)</c:v>
                </c:pt>
                <c:pt idx="6">
                  <c:v>Monash  (110)</c:v>
                </c:pt>
                <c:pt idx="7">
                  <c:v>Northern (29)</c:v>
                </c:pt>
                <c:pt idx="8">
                  <c:v>St Vincents (64)</c:v>
                </c:pt>
                <c:pt idx="9">
                  <c:v>Western (69)</c:v>
                </c:pt>
                <c:pt idx="10">
                  <c:v>State         (603)</c:v>
                </c:pt>
              </c:strCache>
            </c:strRef>
          </c:cat>
          <c:val>
            <c:numRef>
              <c:f>'KPI 4'!$AI$34:$AI$44</c:f>
              <c:numCache>
                <c:formatCode>0.000</c:formatCode>
                <c:ptCount val="11"/>
                <c:pt idx="0">
                  <c:v>0.15370972509606859</c:v>
                </c:pt>
                <c:pt idx="1">
                  <c:v>0.34609394527870174</c:v>
                </c:pt>
                <c:pt idx="2">
                  <c:v>0.38534098663348448</c:v>
                </c:pt>
                <c:pt idx="3">
                  <c:v>0.19672131147540983</c:v>
                </c:pt>
                <c:pt idx="4">
                  <c:v>0.17062177418208188</c:v>
                </c:pt>
                <c:pt idx="5">
                  <c:v>0.22615432938959273</c:v>
                </c:pt>
                <c:pt idx="6">
                  <c:v>0.24379094926100867</c:v>
                </c:pt>
                <c:pt idx="7">
                  <c:v>0.21978021978021978</c:v>
                </c:pt>
                <c:pt idx="8">
                  <c:v>9.9200881785615841E-2</c:v>
                </c:pt>
                <c:pt idx="9">
                  <c:v>0.17056357046407503</c:v>
                </c:pt>
                <c:pt idx="10">
                  <c:v>0.20654867407700336</c:v>
                </c:pt>
              </c:numCache>
            </c:numRef>
          </c:val>
          <c:extLst>
            <c:ext xmlns:c16="http://schemas.microsoft.com/office/drawing/2014/chart" uri="{C3380CC4-5D6E-409C-BE32-E72D297353CC}">
              <c16:uniqueId val="{00000011-525A-43C8-8112-18AD49DD54F9}"/>
            </c:ext>
          </c:extLst>
        </c:ser>
        <c:dLbls>
          <c:showLegendKey val="0"/>
          <c:showVal val="0"/>
          <c:showCatName val="0"/>
          <c:showSerName val="0"/>
          <c:showPercent val="0"/>
          <c:showBubbleSize val="0"/>
        </c:dLbls>
        <c:gapWidth val="150"/>
        <c:axId val="142294016"/>
        <c:axId val="142295808"/>
      </c:barChart>
      <c:catAx>
        <c:axId val="14229401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295808"/>
        <c:crosses val="autoZero"/>
        <c:auto val="1"/>
        <c:lblAlgn val="ctr"/>
        <c:lblOffset val="100"/>
        <c:noMultiLvlLbl val="0"/>
      </c:catAx>
      <c:valAx>
        <c:axId val="142295808"/>
        <c:scaling>
          <c:orientation val="minMax"/>
          <c:max val="0.5"/>
          <c:min val="0"/>
        </c:scaling>
        <c:delete val="0"/>
        <c:axPos val="l"/>
        <c:majorGridlines/>
        <c:title>
          <c:tx>
            <c:rich>
              <a:bodyPr rot="-5400000" vert="horz"/>
              <a:lstStyle/>
              <a:p>
                <a:pPr>
                  <a:defRPr baseline="0">
                    <a:latin typeface="VIC" panose="00000500000000000000" pitchFamily="2" charset="0"/>
                  </a:defRPr>
                </a:pPr>
                <a:r>
                  <a:rPr lang="en-AU" baseline="0">
                    <a:latin typeface="VIC" panose="00000500000000000000" pitchFamily="2" charset="0"/>
                  </a:rPr>
                  <a:t>Peritonitis episodes per patient year</a:t>
                </a:r>
              </a:p>
            </c:rich>
          </c:tx>
          <c:overlay val="0"/>
        </c:title>
        <c:numFmt formatCode="0.0" sourceLinked="0"/>
        <c:majorTickMark val="out"/>
        <c:minorTickMark val="none"/>
        <c:tickLblPos val="nextTo"/>
        <c:txPr>
          <a:bodyPr/>
          <a:lstStyle/>
          <a:p>
            <a:pPr>
              <a:defRPr sz="800" baseline="0">
                <a:latin typeface="VIC" panose="00000500000000000000" pitchFamily="2" charset="0"/>
              </a:defRPr>
            </a:pPr>
            <a:endParaRPr lang="en-US"/>
          </a:p>
        </c:txPr>
        <c:crossAx val="142294016"/>
        <c:crosses val="autoZero"/>
        <c:crossBetween val="between"/>
        <c:minorUnit val="0.1"/>
      </c:valAx>
    </c:plotArea>
    <c:plotVisOnly val="1"/>
    <c:dispBlanksAs val="gap"/>
    <c:showDLblsOverMax val="0"/>
  </c:chart>
  <c:spPr>
    <a:ln>
      <a:noFill/>
    </a:ln>
  </c:spPr>
  <c:externalData r:id="rId2">
    <c:autoUpdate val="0"/>
  </c:externalData>
  <c:userShapes r:id="rId3"/>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baseline="0"/>
            </a:pPr>
            <a:r>
              <a:rPr lang="en-US" sz="1000" b="1" i="0" baseline="0">
                <a:effectLst/>
                <a:latin typeface="VIC" panose="00000500000000000000" pitchFamily="2" charset="0"/>
              </a:rPr>
              <a:t>KPI 4 - Peritonitis Rates (2017 to 2019 yearly rates) </a:t>
            </a:r>
            <a:endParaRPr lang="en-AU" sz="1000" b="1" i="0" baseline="0">
              <a:effectLst/>
              <a:latin typeface="VIC" panose="00000500000000000000" pitchFamily="2" charset="0"/>
            </a:endParaRPr>
          </a:p>
        </c:rich>
      </c:tx>
      <c:overlay val="1"/>
    </c:title>
    <c:autoTitleDeleted val="0"/>
    <c:plotArea>
      <c:layout>
        <c:manualLayout>
          <c:layoutTarget val="inner"/>
          <c:xMode val="edge"/>
          <c:yMode val="edge"/>
          <c:x val="8.8824548579446924E-2"/>
          <c:y val="0.11714940177932304"/>
          <c:w val="0.87271206309371596"/>
          <c:h val="0.74245669291338601"/>
        </c:manualLayout>
      </c:layout>
      <c:barChart>
        <c:barDir val="col"/>
        <c:grouping val="clustered"/>
        <c:varyColors val="0"/>
        <c:ser>
          <c:idx val="0"/>
          <c:order val="0"/>
          <c:tx>
            <c:strRef>
              <c:f>'KPI 4'!$T$80</c:f>
              <c:strCache>
                <c:ptCount val="1"/>
                <c:pt idx="0">
                  <c:v>2017</c:v>
                </c:pt>
              </c:strCache>
            </c:strRef>
          </c:tx>
          <c:spPr>
            <a:solidFill>
              <a:srgbClr val="64C2C8"/>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4'!$W$82:$W$92</c:f>
              <c:numCache>
                <c:formatCode>0.000</c:formatCode>
                <c:ptCount val="11"/>
                <c:pt idx="0">
                  <c:v>0.1722076058359244</c:v>
                </c:pt>
                <c:pt idx="1">
                  <c:v>0.21115607953545665</c:v>
                </c:pt>
                <c:pt idx="2">
                  <c:v>0.45427951956499307</c:v>
                </c:pt>
                <c:pt idx="3">
                  <c:v>0.31486880466472306</c:v>
                </c:pt>
                <c:pt idx="4">
                  <c:v>0.20274940480761844</c:v>
                </c:pt>
                <c:pt idx="5">
                  <c:v>0.31001818007846144</c:v>
                </c:pt>
                <c:pt idx="6">
                  <c:v>0.23028209556706963</c:v>
                </c:pt>
                <c:pt idx="7">
                  <c:v>0.29681978798586572</c:v>
                </c:pt>
                <c:pt idx="8">
                  <c:v>0.344782551913282</c:v>
                </c:pt>
                <c:pt idx="9">
                  <c:v>0.37638202775817453</c:v>
                </c:pt>
                <c:pt idx="10">
                  <c:v>0.27410582783183124</c:v>
                </c:pt>
              </c:numCache>
            </c:numRef>
          </c:val>
          <c:extLst>
            <c:ext xmlns:c16="http://schemas.microsoft.com/office/drawing/2014/chart" uri="{C3380CC4-5D6E-409C-BE32-E72D297353CC}">
              <c16:uniqueId val="{00000000-ED85-4A9D-B565-8D90EE488421}"/>
            </c:ext>
          </c:extLst>
        </c:ser>
        <c:ser>
          <c:idx val="1"/>
          <c:order val="1"/>
          <c:tx>
            <c:strRef>
              <c:f>'KPI 4'!$X$80</c:f>
              <c:strCache>
                <c:ptCount val="1"/>
                <c:pt idx="0">
                  <c:v>2018</c:v>
                </c:pt>
              </c:strCache>
            </c:strRef>
          </c:tx>
          <c:spPr>
            <a:solidFill>
              <a:srgbClr val="005892"/>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4'!$AA$82:$AA$92</c:f>
              <c:numCache>
                <c:formatCode>0.000</c:formatCode>
                <c:ptCount val="11"/>
                <c:pt idx="0">
                  <c:v>0.15860428231562246</c:v>
                </c:pt>
                <c:pt idx="1">
                  <c:v>0.15753975417234192</c:v>
                </c:pt>
                <c:pt idx="2">
                  <c:v>0.34119988626670456</c:v>
                </c:pt>
                <c:pt idx="3">
                  <c:v>0.24852071005917159</c:v>
                </c:pt>
                <c:pt idx="4">
                  <c:v>0.30061061531235322</c:v>
                </c:pt>
                <c:pt idx="5">
                  <c:v>0.37739339561557678</c:v>
                </c:pt>
                <c:pt idx="6">
                  <c:v>0.22829964328180738</c:v>
                </c:pt>
                <c:pt idx="7">
                  <c:v>0.28799999999999998</c:v>
                </c:pt>
                <c:pt idx="8">
                  <c:v>0.4306808859721083</c:v>
                </c:pt>
                <c:pt idx="9">
                  <c:v>0.38141509541053198</c:v>
                </c:pt>
                <c:pt idx="10">
                  <c:v>0.28750927394379144</c:v>
                </c:pt>
              </c:numCache>
            </c:numRef>
          </c:val>
          <c:extLst>
            <c:ext xmlns:c16="http://schemas.microsoft.com/office/drawing/2014/chart" uri="{C3380CC4-5D6E-409C-BE32-E72D297353CC}">
              <c16:uniqueId val="{00000001-ED85-4A9D-B565-8D90EE488421}"/>
            </c:ext>
          </c:extLst>
        </c:ser>
        <c:ser>
          <c:idx val="2"/>
          <c:order val="2"/>
          <c:tx>
            <c:strRef>
              <c:f>'KPI 4'!$AB$80</c:f>
              <c:strCache>
                <c:ptCount val="1"/>
                <c:pt idx="0">
                  <c:v>2019</c:v>
                </c:pt>
              </c:strCache>
            </c:strRef>
          </c:tx>
          <c:spPr>
            <a:solidFill>
              <a:srgbClr val="C1E6FF"/>
            </a:solidFill>
          </c:spPr>
          <c:invertIfNegative val="0"/>
          <c:cat>
            <c:strRef>
              <c:f>'KPI 4'!$B$82:$B$92</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4'!$AE$82:$AE$92</c:f>
              <c:numCache>
                <c:formatCode>0.000</c:formatCode>
                <c:ptCount val="11"/>
                <c:pt idx="0">
                  <c:v>0.15370972509606859</c:v>
                </c:pt>
                <c:pt idx="1">
                  <c:v>0.34609394527870174</c:v>
                </c:pt>
                <c:pt idx="2">
                  <c:v>0.38534098663348448</c:v>
                </c:pt>
                <c:pt idx="3">
                  <c:v>0.19672131147540983</c:v>
                </c:pt>
                <c:pt idx="4">
                  <c:v>0.17062177418208188</c:v>
                </c:pt>
                <c:pt idx="5">
                  <c:v>0.22615432938959273</c:v>
                </c:pt>
                <c:pt idx="6">
                  <c:v>0.24379094926100867</c:v>
                </c:pt>
                <c:pt idx="7">
                  <c:v>0.21978021978021978</c:v>
                </c:pt>
                <c:pt idx="8">
                  <c:v>9.9200881785615841E-2</c:v>
                </c:pt>
                <c:pt idx="9">
                  <c:v>0.17056357046407503</c:v>
                </c:pt>
                <c:pt idx="10">
                  <c:v>0.20654867407700336</c:v>
                </c:pt>
              </c:numCache>
            </c:numRef>
          </c:val>
          <c:extLst>
            <c:ext xmlns:c16="http://schemas.microsoft.com/office/drawing/2014/chart" uri="{C3380CC4-5D6E-409C-BE32-E72D297353CC}">
              <c16:uniqueId val="{00000002-ED85-4A9D-B565-8D90EE488421}"/>
            </c:ext>
          </c:extLst>
        </c:ser>
        <c:dLbls>
          <c:showLegendKey val="0"/>
          <c:showVal val="0"/>
          <c:showCatName val="0"/>
          <c:showSerName val="0"/>
          <c:showPercent val="0"/>
          <c:showBubbleSize val="0"/>
        </c:dLbls>
        <c:gapWidth val="150"/>
        <c:axId val="142712192"/>
        <c:axId val="142713984"/>
      </c:barChart>
      <c:catAx>
        <c:axId val="142712192"/>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713984"/>
        <c:crosses val="autoZero"/>
        <c:auto val="1"/>
        <c:lblAlgn val="ctr"/>
        <c:lblOffset val="100"/>
        <c:noMultiLvlLbl val="0"/>
      </c:catAx>
      <c:valAx>
        <c:axId val="142713984"/>
        <c:scaling>
          <c:orientation val="minMax"/>
        </c:scaling>
        <c:delete val="0"/>
        <c:axPos val="l"/>
        <c:majorGridlines/>
        <c:title>
          <c:tx>
            <c:rich>
              <a:bodyPr rot="-5400000" vert="horz"/>
              <a:lstStyle/>
              <a:p>
                <a:pPr>
                  <a:defRPr baseline="0">
                    <a:latin typeface="VIC" panose="00000500000000000000" pitchFamily="2" charset="0"/>
                  </a:defRPr>
                </a:pPr>
                <a:r>
                  <a:rPr lang="en-AU" baseline="0">
                    <a:latin typeface="VIC" panose="00000500000000000000" pitchFamily="2" charset="0"/>
                  </a:rPr>
                  <a:t>Peritonitis episodes per patient year</a:t>
                </a:r>
              </a:p>
            </c:rich>
          </c:tx>
          <c:layout>
            <c:manualLayout>
              <c:xMode val="edge"/>
              <c:yMode val="edge"/>
              <c:x val="7.0597087066566026E-3"/>
              <c:y val="0.15778405561900183"/>
            </c:manualLayout>
          </c:layout>
          <c:overlay val="0"/>
        </c:title>
        <c:numFmt formatCode="0.0" sourceLinked="0"/>
        <c:majorTickMark val="out"/>
        <c:minorTickMark val="none"/>
        <c:tickLblPos val="nextTo"/>
        <c:txPr>
          <a:bodyPr/>
          <a:lstStyle/>
          <a:p>
            <a:pPr>
              <a:defRPr sz="800" baseline="0">
                <a:latin typeface="VIC" panose="00000500000000000000" pitchFamily="2" charset="0"/>
              </a:defRPr>
            </a:pPr>
            <a:endParaRPr lang="en-US"/>
          </a:p>
        </c:txPr>
        <c:crossAx val="142712192"/>
        <c:crosses val="autoZero"/>
        <c:crossBetween val="between"/>
        <c:majorUnit val="0.1"/>
        <c:minorUnit val="0.1"/>
      </c:valAx>
    </c:plotArea>
    <c:legend>
      <c:legendPos val="r"/>
      <c:layout>
        <c:manualLayout>
          <c:xMode val="edge"/>
          <c:yMode val="edge"/>
          <c:x val="9.5345029601432707E-2"/>
          <c:y val="0.92824828714592478"/>
          <c:w val="0.78589013960135667"/>
          <c:h val="5.7788935473974852E-2"/>
        </c:manualLayout>
      </c:layout>
      <c:overlay val="0"/>
      <c:txPr>
        <a:bodyPr/>
        <a:lstStyle/>
        <a:p>
          <a:pPr>
            <a:defRPr sz="800"/>
          </a:pPr>
          <a:endParaRPr lang="en-US"/>
        </a:p>
      </c:txPr>
    </c:legend>
    <c:plotVisOnly val="1"/>
    <c:dispBlanksAs val="gap"/>
    <c:showDLblsOverMax val="0"/>
  </c:chart>
  <c:spPr>
    <a:ln>
      <a:noFill/>
    </a:ln>
  </c:spPr>
  <c:externalData r:id="rId2">
    <c:autoUpdate val="0"/>
  </c:externalData>
  <c:userShapes r:id="rId3"/>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a:t>
            </a:r>
          </a:p>
        </c:rich>
      </c:tx>
      <c:overlay val="0"/>
    </c:title>
    <c:autoTitleDeleted val="0"/>
    <c:plotArea>
      <c:layout>
        <c:manualLayout>
          <c:layoutTarget val="inner"/>
          <c:xMode val="edge"/>
          <c:yMode val="edge"/>
          <c:x val="6.1822791047071869E-2"/>
          <c:y val="0.12523083052118486"/>
          <c:w val="0.92034487754472927"/>
          <c:h val="0.67994456300439088"/>
        </c:manualLayout>
      </c:layout>
      <c:barChart>
        <c:barDir val="col"/>
        <c:grouping val="clustered"/>
        <c:varyColors val="0"/>
        <c:ser>
          <c:idx val="1"/>
          <c:order val="0"/>
          <c:tx>
            <c:strRef>
              <c:f>'KPI 5'!$AF$70</c:f>
              <c:strCache>
                <c:ptCount val="1"/>
                <c:pt idx="0">
                  <c:v>2019 Q2</c:v>
                </c:pt>
              </c:strCache>
            </c:strRef>
          </c:tx>
          <c:spPr>
            <a:solidFill>
              <a:srgbClr val="008950"/>
            </a:solidFill>
          </c:spPr>
          <c:invertIfNegative val="0"/>
          <c:dPt>
            <c:idx val="0"/>
            <c:invertIfNegative val="0"/>
            <c:bubble3D val="0"/>
            <c:spPr>
              <a:solidFill>
                <a:srgbClr val="DB313D"/>
              </a:solidFill>
            </c:spPr>
            <c:extLst>
              <c:ext xmlns:c16="http://schemas.microsoft.com/office/drawing/2014/chart" uri="{C3380CC4-5D6E-409C-BE32-E72D297353CC}">
                <c16:uniqueId val="{00000001-BDA4-470F-ACE1-2425F4ECA1F9}"/>
              </c:ext>
            </c:extLst>
          </c:dPt>
          <c:dPt>
            <c:idx val="1"/>
            <c:invertIfNegative val="0"/>
            <c:bubble3D val="0"/>
            <c:spPr>
              <a:solidFill>
                <a:srgbClr val="DB313D"/>
              </a:solidFill>
            </c:spPr>
            <c:extLst>
              <c:ext xmlns:c16="http://schemas.microsoft.com/office/drawing/2014/chart" uri="{C3380CC4-5D6E-409C-BE32-E72D297353CC}">
                <c16:uniqueId val="{00000003-BDA4-470F-ACE1-2425F4ECA1F9}"/>
              </c:ext>
            </c:extLst>
          </c:dPt>
          <c:dPt>
            <c:idx val="2"/>
            <c:invertIfNegative val="0"/>
            <c:bubble3D val="0"/>
            <c:spPr>
              <a:solidFill>
                <a:srgbClr val="F2B800"/>
              </a:solidFill>
            </c:spPr>
            <c:extLst>
              <c:ext xmlns:c16="http://schemas.microsoft.com/office/drawing/2014/chart" uri="{C3380CC4-5D6E-409C-BE32-E72D297353CC}">
                <c16:uniqueId val="{00000005-BDA4-470F-ACE1-2425F4ECA1F9}"/>
              </c:ext>
            </c:extLst>
          </c:dPt>
          <c:dPt>
            <c:idx val="3"/>
            <c:invertIfNegative val="0"/>
            <c:bubble3D val="0"/>
            <c:spPr>
              <a:solidFill>
                <a:srgbClr val="00863D"/>
              </a:solidFill>
            </c:spPr>
            <c:extLst>
              <c:ext xmlns:c16="http://schemas.microsoft.com/office/drawing/2014/chart" uri="{C3380CC4-5D6E-409C-BE32-E72D297353CC}">
                <c16:uniqueId val="{00000007-BDA4-470F-ACE1-2425F4ECA1F9}"/>
              </c:ext>
            </c:extLst>
          </c:dPt>
          <c:dPt>
            <c:idx val="4"/>
            <c:invertIfNegative val="0"/>
            <c:bubble3D val="0"/>
            <c:spPr>
              <a:solidFill>
                <a:srgbClr val="00863D"/>
              </a:solidFill>
            </c:spPr>
            <c:extLst>
              <c:ext xmlns:c16="http://schemas.microsoft.com/office/drawing/2014/chart" uri="{C3380CC4-5D6E-409C-BE32-E72D297353CC}">
                <c16:uniqueId val="{00000011-BDA4-470F-ACE1-2425F4ECA1F9}"/>
              </c:ext>
            </c:extLst>
          </c:dPt>
          <c:dPt>
            <c:idx val="5"/>
            <c:invertIfNegative val="0"/>
            <c:bubble3D val="0"/>
            <c:spPr>
              <a:solidFill>
                <a:srgbClr val="00863D"/>
              </a:solidFill>
            </c:spPr>
            <c:extLst>
              <c:ext xmlns:c16="http://schemas.microsoft.com/office/drawing/2014/chart" uri="{C3380CC4-5D6E-409C-BE32-E72D297353CC}">
                <c16:uniqueId val="{00000009-BDA4-470F-ACE1-2425F4ECA1F9}"/>
              </c:ext>
            </c:extLst>
          </c:dPt>
          <c:dPt>
            <c:idx val="6"/>
            <c:invertIfNegative val="0"/>
            <c:bubble3D val="0"/>
            <c:spPr>
              <a:solidFill>
                <a:srgbClr val="F2B800"/>
              </a:solidFill>
            </c:spPr>
            <c:extLst>
              <c:ext xmlns:c16="http://schemas.microsoft.com/office/drawing/2014/chart" uri="{C3380CC4-5D6E-409C-BE32-E72D297353CC}">
                <c16:uniqueId val="{0000000B-BDA4-470F-ACE1-2425F4ECA1F9}"/>
              </c:ext>
            </c:extLst>
          </c:dPt>
          <c:dPt>
            <c:idx val="8"/>
            <c:invertIfNegative val="0"/>
            <c:bubble3D val="0"/>
            <c:spPr>
              <a:solidFill>
                <a:srgbClr val="F2B800"/>
              </a:solidFill>
            </c:spPr>
            <c:extLst>
              <c:ext xmlns:c16="http://schemas.microsoft.com/office/drawing/2014/chart" uri="{C3380CC4-5D6E-409C-BE32-E72D297353CC}">
                <c16:uniqueId val="{0000000D-BDA4-470F-ACE1-2425F4ECA1F9}"/>
              </c:ext>
            </c:extLst>
          </c:dPt>
          <c:dPt>
            <c:idx val="9"/>
            <c:invertIfNegative val="0"/>
            <c:bubble3D val="0"/>
            <c:extLst>
              <c:ext xmlns:c16="http://schemas.microsoft.com/office/drawing/2014/chart" uri="{C3380CC4-5D6E-409C-BE32-E72D297353CC}">
                <c16:uniqueId val="{0000000E-BDA4-470F-ACE1-2425F4ECA1F9}"/>
              </c:ext>
            </c:extLst>
          </c:dPt>
          <c:dPt>
            <c:idx val="10"/>
            <c:invertIfNegative val="0"/>
            <c:bubble3D val="0"/>
            <c:spPr>
              <a:solidFill>
                <a:srgbClr val="F2B800"/>
              </a:solidFill>
            </c:spPr>
            <c:extLst>
              <c:ext xmlns:c16="http://schemas.microsoft.com/office/drawing/2014/chart" uri="{C3380CC4-5D6E-409C-BE32-E72D297353CC}">
                <c16:uniqueId val="{0000000F-BDA4-470F-ACE1-2425F4ECA1F9}"/>
              </c:ext>
            </c:extLst>
          </c:dPt>
          <c:errBars>
            <c:errBarType val="both"/>
            <c:errValType val="cust"/>
            <c:noEndCap val="0"/>
            <c:plus>
              <c:numRef>
                <c:f>'KPI 5'!$AL$71:$AL$81</c:f>
                <c:numCache>
                  <c:formatCode>General</c:formatCode>
                  <c:ptCount val="11"/>
                  <c:pt idx="0">
                    <c:v>7.6000528378061746E-2</c:v>
                  </c:pt>
                  <c:pt idx="1">
                    <c:v>6.3083116762523789E-2</c:v>
                  </c:pt>
                  <c:pt idx="2">
                    <c:v>9.9110514089039647E-2</c:v>
                  </c:pt>
                  <c:pt idx="4">
                    <c:v>9.5171209389109696E-2</c:v>
                  </c:pt>
                  <c:pt idx="5">
                    <c:v>4.2832407402386016E-2</c:v>
                  </c:pt>
                  <c:pt idx="6">
                    <c:v>5.7170523558359533E-2</c:v>
                  </c:pt>
                  <c:pt idx="8">
                    <c:v>7.9642630808714671E-2</c:v>
                  </c:pt>
                  <c:pt idx="10">
                    <c:v>2.164458125622486E-2</c:v>
                  </c:pt>
                </c:numCache>
              </c:numRef>
            </c:plus>
            <c:minus>
              <c:numRef>
                <c:f>'KPI 5'!$AL$71:$AL$81</c:f>
                <c:numCache>
                  <c:formatCode>General</c:formatCode>
                  <c:ptCount val="11"/>
                  <c:pt idx="0">
                    <c:v>7.6000528378061746E-2</c:v>
                  </c:pt>
                  <c:pt idx="1">
                    <c:v>6.3083116762523789E-2</c:v>
                  </c:pt>
                  <c:pt idx="2">
                    <c:v>9.9110514089039647E-2</c:v>
                  </c:pt>
                  <c:pt idx="4">
                    <c:v>9.5171209389109696E-2</c:v>
                  </c:pt>
                  <c:pt idx="5">
                    <c:v>4.2832407402386016E-2</c:v>
                  </c:pt>
                  <c:pt idx="6">
                    <c:v>5.7170523558359533E-2</c:v>
                  </c:pt>
                  <c:pt idx="8">
                    <c:v>7.9642630808714671E-2</c:v>
                  </c:pt>
                  <c:pt idx="10">
                    <c:v>2.164458125622486E-2</c:v>
                  </c:pt>
                </c:numCache>
              </c:numRef>
            </c:minus>
          </c:errBars>
          <c:cat>
            <c:strRef>
              <c:f>'KPI 5'!$A$71:$A$81</c:f>
              <c:strCache>
                <c:ptCount val="11"/>
                <c:pt idx="0">
                  <c:v>Alfred        (6)</c:v>
                </c:pt>
                <c:pt idx="1">
                  <c:v>Austin        (7)</c:v>
                </c:pt>
                <c:pt idx="2">
                  <c:v>Barwon       (3)</c:v>
                </c:pt>
                <c:pt idx="3">
                  <c:v>Bendigo      (0)</c:v>
                </c:pt>
                <c:pt idx="4">
                  <c:v>Eastern      (8)</c:v>
                </c:pt>
                <c:pt idx="5">
                  <c:v>Melbourne    (14)</c:v>
                </c:pt>
                <c:pt idx="6">
                  <c:v>Monash    (16)</c:v>
                </c:pt>
                <c:pt idx="7">
                  <c:v>Northern    (1)</c:v>
                </c:pt>
                <c:pt idx="8">
                  <c:v>St Vincents    (5)</c:v>
                </c:pt>
                <c:pt idx="9">
                  <c:v>Western    (1)</c:v>
                </c:pt>
                <c:pt idx="10">
                  <c:v>State        (61)</c:v>
                </c:pt>
              </c:strCache>
            </c:strRef>
          </c:cat>
          <c:val>
            <c:numRef>
              <c:f>'KPI 5'!$AH$71:$AH$81</c:f>
              <c:numCache>
                <c:formatCode>0%</c:formatCode>
                <c:ptCount val="11"/>
                <c:pt idx="0">
                  <c:v>0.16666666666666666</c:v>
                </c:pt>
                <c:pt idx="1">
                  <c:v>0.2857142857142857</c:v>
                </c:pt>
                <c:pt idx="2">
                  <c:v>0.33333333333333331</c:v>
                </c:pt>
                <c:pt idx="3">
                  <c:v>0</c:v>
                </c:pt>
                <c:pt idx="4">
                  <c:v>0.5</c:v>
                </c:pt>
                <c:pt idx="5">
                  <c:v>0.5</c:v>
                </c:pt>
                <c:pt idx="6">
                  <c:v>0.375</c:v>
                </c:pt>
                <c:pt idx="7">
                  <c:v>1</c:v>
                </c:pt>
                <c:pt idx="8">
                  <c:v>0.4</c:v>
                </c:pt>
                <c:pt idx="9">
                  <c:v>1</c:v>
                </c:pt>
                <c:pt idx="10">
                  <c:v>0.4098360655737705</c:v>
                </c:pt>
              </c:numCache>
            </c:numRef>
          </c:val>
          <c:extLst>
            <c:ext xmlns:c16="http://schemas.microsoft.com/office/drawing/2014/chart" uri="{C3380CC4-5D6E-409C-BE32-E72D297353CC}">
              <c16:uniqueId val="{00000010-BDA4-470F-ACE1-2425F4ECA1F9}"/>
            </c:ext>
          </c:extLst>
        </c:ser>
        <c:dLbls>
          <c:showLegendKey val="0"/>
          <c:showVal val="0"/>
          <c:showCatName val="0"/>
          <c:showSerName val="0"/>
          <c:showPercent val="0"/>
          <c:showBubbleSize val="0"/>
        </c:dLbls>
        <c:gapWidth val="150"/>
        <c:axId val="142570240"/>
        <c:axId val="142571776"/>
      </c:barChart>
      <c:catAx>
        <c:axId val="142570240"/>
        <c:scaling>
          <c:orientation val="minMax"/>
        </c:scaling>
        <c:delete val="0"/>
        <c:axPos val="b"/>
        <c:numFmt formatCode="General" sourceLinked="0"/>
        <c:majorTickMark val="none"/>
        <c:minorTickMark val="none"/>
        <c:tickLblPos val="nextTo"/>
        <c:txPr>
          <a:bodyPr/>
          <a:lstStyle/>
          <a:p>
            <a:pPr>
              <a:defRPr sz="750" baseline="0">
                <a:latin typeface="VIC" panose="00000500000000000000" pitchFamily="2" charset="0"/>
              </a:defRPr>
            </a:pPr>
            <a:endParaRPr lang="en-US"/>
          </a:p>
        </c:txPr>
        <c:crossAx val="142571776"/>
        <c:crosses val="autoZero"/>
        <c:auto val="1"/>
        <c:lblAlgn val="ctr"/>
        <c:lblOffset val="100"/>
        <c:noMultiLvlLbl val="0"/>
      </c:catAx>
      <c:valAx>
        <c:axId val="142571776"/>
        <c:scaling>
          <c:orientation val="minMax"/>
          <c:max val="1"/>
          <c:min val="0"/>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570240"/>
        <c:crosses val="autoZero"/>
        <c:crossBetween val="between"/>
      </c:valAx>
    </c:plotArea>
    <c:plotVisOnly val="1"/>
    <c:dispBlanksAs val="gap"/>
    <c:showDLblsOverMax val="0"/>
  </c:chart>
  <c:spPr>
    <a:ln>
      <a:noFill/>
    </a:ln>
  </c:spPr>
  <c:externalData r:id="rId2">
    <c:autoUpdate val="0"/>
  </c:externalData>
  <c:userShapes r:id="rId3"/>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5 - Number</a:t>
            </a:r>
            <a:r>
              <a:rPr lang="en-US" sz="1000" baseline="0">
                <a:latin typeface="VIC SemiBold" panose="00000700000000000000" pitchFamily="2" charset="0"/>
              </a:rPr>
              <a:t> of live donor transplants that are pre-emptive</a:t>
            </a:r>
            <a:endParaRPr lang="en-US" sz="1000">
              <a:latin typeface="VIC SemiBold" panose="00000700000000000000" pitchFamily="2" charset="0"/>
            </a:endParaRPr>
          </a:p>
        </c:rich>
      </c:tx>
      <c:layout>
        <c:manualLayout>
          <c:xMode val="edge"/>
          <c:yMode val="edge"/>
          <c:x val="0.19424417590341828"/>
          <c:y val="3.7898363479758827E-2"/>
        </c:manualLayout>
      </c:layout>
      <c:overlay val="0"/>
    </c:title>
    <c:autoTitleDeleted val="0"/>
    <c:plotArea>
      <c:layout>
        <c:manualLayout>
          <c:layoutTarget val="inner"/>
          <c:xMode val="edge"/>
          <c:yMode val="edge"/>
          <c:x val="4.9081740046608993E-2"/>
          <c:y val="0.12756302128900537"/>
          <c:w val="0.93316766107715332"/>
          <c:h val="0.68189799036314491"/>
        </c:manualLayout>
      </c:layout>
      <c:barChart>
        <c:barDir val="col"/>
        <c:grouping val="clustered"/>
        <c:varyColors val="0"/>
        <c:ser>
          <c:idx val="0"/>
          <c:order val="0"/>
          <c:tx>
            <c:strRef>
              <c:f>'KPI 5'!$B$38</c:f>
              <c:strCache>
                <c:ptCount val="1"/>
                <c:pt idx="0">
                  <c:v>Number of pre-emptive live donor transplants</c:v>
                </c:pt>
              </c:strCache>
            </c:strRef>
          </c:tx>
          <c:spPr>
            <a:solidFill>
              <a:srgbClr val="64C2C8"/>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5'!$CT$38,'KPI 5'!$CT$40,'KPI 5'!$CT$42,'KPI 5'!$CT$44,'KPI 5'!$CT$46,'KPI 5'!$CT$48,'KPI 5'!$CT$50,'KPI 5'!$CT$52,'KPI 5'!$CT$54,'KPI 5'!$CT$56)</c:f>
              <c:numCache>
                <c:formatCode>0</c:formatCode>
                <c:ptCount val="10"/>
                <c:pt idx="0">
                  <c:v>1</c:v>
                </c:pt>
                <c:pt idx="1">
                  <c:v>2</c:v>
                </c:pt>
                <c:pt idx="2">
                  <c:v>1</c:v>
                </c:pt>
                <c:pt idx="3">
                  <c:v>0</c:v>
                </c:pt>
                <c:pt idx="4">
                  <c:v>4</c:v>
                </c:pt>
                <c:pt idx="5">
                  <c:v>7</c:v>
                </c:pt>
                <c:pt idx="6">
                  <c:v>6</c:v>
                </c:pt>
                <c:pt idx="7">
                  <c:v>1</c:v>
                </c:pt>
                <c:pt idx="8">
                  <c:v>2</c:v>
                </c:pt>
                <c:pt idx="9">
                  <c:v>1</c:v>
                </c:pt>
              </c:numCache>
            </c:numRef>
          </c:val>
          <c:extLst>
            <c:ext xmlns:c16="http://schemas.microsoft.com/office/drawing/2014/chart" uri="{C3380CC4-5D6E-409C-BE32-E72D297353CC}">
              <c16:uniqueId val="{00000000-BBE3-4FD0-9636-4B922E0F11A0}"/>
            </c:ext>
          </c:extLst>
        </c:ser>
        <c:ser>
          <c:idx val="1"/>
          <c:order val="1"/>
          <c:tx>
            <c:strRef>
              <c:f>'KPI 5'!$B$39</c:f>
              <c:strCache>
                <c:ptCount val="1"/>
                <c:pt idx="0">
                  <c:v>Total live donor transplants</c:v>
                </c:pt>
              </c:strCache>
            </c:strRef>
          </c:tx>
          <c:spPr>
            <a:solidFill>
              <a:srgbClr val="005892"/>
            </a:solidFill>
          </c:spPr>
          <c:invertIfNegative val="0"/>
          <c:cat>
            <c:strRef>
              <c:f>('KPI 5'!$A$38,'KPI 5'!$A$40,'KPI 5'!$A$42,'KPI 5'!$A$44,'KPI 5'!$A$46,'KPI 5'!$A$48,'KPI 5'!$A$50,'KPI 5'!$A$52,'KPI 5'!$A$54,'KPI 5'!$A$56)</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5'!$CT$39,'KPI 5'!$CT$41,'KPI 5'!$CT$43,'KPI 5'!$CT$45,'KPI 5'!$CT$47,'KPI 5'!$CT$49,'KPI 5'!$CT$51,'KPI 5'!$CT$53,'KPI 5'!$CT$55,'KPI 5'!$CT$57)</c:f>
              <c:numCache>
                <c:formatCode>0</c:formatCode>
                <c:ptCount val="10"/>
                <c:pt idx="0">
                  <c:v>6</c:v>
                </c:pt>
                <c:pt idx="1">
                  <c:v>7</c:v>
                </c:pt>
                <c:pt idx="2">
                  <c:v>3</c:v>
                </c:pt>
                <c:pt idx="3">
                  <c:v>0</c:v>
                </c:pt>
                <c:pt idx="4">
                  <c:v>8</c:v>
                </c:pt>
                <c:pt idx="5">
                  <c:v>14</c:v>
                </c:pt>
                <c:pt idx="6">
                  <c:v>16</c:v>
                </c:pt>
                <c:pt idx="7">
                  <c:v>1</c:v>
                </c:pt>
                <c:pt idx="8">
                  <c:v>5</c:v>
                </c:pt>
                <c:pt idx="9">
                  <c:v>1</c:v>
                </c:pt>
              </c:numCache>
            </c:numRef>
          </c:val>
          <c:extLst>
            <c:ext xmlns:c16="http://schemas.microsoft.com/office/drawing/2014/chart" uri="{C3380CC4-5D6E-409C-BE32-E72D297353CC}">
              <c16:uniqueId val="{00000001-BBE3-4FD0-9636-4B922E0F11A0}"/>
            </c:ext>
          </c:extLst>
        </c:ser>
        <c:dLbls>
          <c:showLegendKey val="0"/>
          <c:showVal val="0"/>
          <c:showCatName val="0"/>
          <c:showSerName val="0"/>
          <c:showPercent val="0"/>
          <c:showBubbleSize val="0"/>
        </c:dLbls>
        <c:gapWidth val="150"/>
        <c:axId val="142877440"/>
        <c:axId val="142878976"/>
      </c:barChart>
      <c:catAx>
        <c:axId val="142877440"/>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2878976"/>
        <c:crosses val="autoZero"/>
        <c:auto val="1"/>
        <c:lblAlgn val="ctr"/>
        <c:lblOffset val="100"/>
        <c:noMultiLvlLbl val="0"/>
      </c:catAx>
      <c:valAx>
        <c:axId val="142878976"/>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2877440"/>
        <c:crosses val="autoZero"/>
        <c:crossBetween val="between"/>
      </c:valAx>
    </c:plotArea>
    <c:legend>
      <c:legendPos val="b"/>
      <c:layout>
        <c:manualLayout>
          <c:xMode val="edge"/>
          <c:yMode val="edge"/>
          <c:x val="4.288211785355759E-2"/>
          <c:y val="0.87950866141732287"/>
          <c:w val="0.92391790913446836"/>
          <c:h val="0.10271356080489939"/>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1" i="0" baseline="0">
                <a:effectLst/>
                <a:latin typeface="VIC SemiBold" panose="00000700000000000000" pitchFamily="2" charset="0"/>
              </a:rPr>
              <a:t>KPI 5 - Percentage of live donor transplants that are pre-emptive</a:t>
            </a:r>
            <a:endParaRPr lang="en-AU" sz="1000">
              <a:effectLst/>
              <a:latin typeface="VIC SemiBold" panose="00000700000000000000" pitchFamily="2" charset="0"/>
            </a:endParaRPr>
          </a:p>
        </c:rich>
      </c:tx>
      <c:layout>
        <c:manualLayout>
          <c:xMode val="edge"/>
          <c:yMode val="edge"/>
          <c:x val="0.18396848842934516"/>
          <c:y val="4.1131105398457581E-2"/>
        </c:manualLayout>
      </c:layout>
      <c:overlay val="1"/>
    </c:title>
    <c:autoTitleDeleted val="0"/>
    <c:plotArea>
      <c:layout>
        <c:manualLayout>
          <c:layoutTarget val="inner"/>
          <c:xMode val="edge"/>
          <c:yMode val="edge"/>
          <c:x val="6.4333813133480938E-2"/>
          <c:y val="0.1239080211127455"/>
          <c:w val="0.89656151578484544"/>
          <c:h val="0.69212313134771197"/>
        </c:manualLayout>
      </c:layout>
      <c:barChart>
        <c:barDir val="col"/>
        <c:grouping val="clustered"/>
        <c:varyColors val="0"/>
        <c:ser>
          <c:idx val="2"/>
          <c:order val="0"/>
          <c:tx>
            <c:strRef>
              <c:f>'KPI 5'!$W$69</c:f>
              <c:strCache>
                <c:ptCount val="1"/>
                <c:pt idx="0">
                  <c:v>2017</c:v>
                </c:pt>
              </c:strCache>
            </c:strRef>
          </c:tx>
          <c:spPr>
            <a:solidFill>
              <a:srgbClr val="64C2C8"/>
            </a:solidFill>
          </c:spPr>
          <c:invertIfNegative val="0"/>
          <c:cat>
            <c:strRef>
              <c:f>'KPI 5'!$A$71:$A$81</c:f>
              <c:strCache>
                <c:ptCount val="11"/>
                <c:pt idx="0">
                  <c:v>Alfred        (6)</c:v>
                </c:pt>
                <c:pt idx="1">
                  <c:v>Austin        (7)</c:v>
                </c:pt>
                <c:pt idx="2">
                  <c:v>Barwon       (3)</c:v>
                </c:pt>
                <c:pt idx="3">
                  <c:v>Bendigo      (0)</c:v>
                </c:pt>
                <c:pt idx="4">
                  <c:v>Eastern      (8)</c:v>
                </c:pt>
                <c:pt idx="5">
                  <c:v>Melbourne    (14)</c:v>
                </c:pt>
                <c:pt idx="6">
                  <c:v>Monash    (16)</c:v>
                </c:pt>
                <c:pt idx="7">
                  <c:v>Northern    (1)</c:v>
                </c:pt>
                <c:pt idx="8">
                  <c:v>St Vincents    (5)</c:v>
                </c:pt>
                <c:pt idx="9">
                  <c:v>Western    (1)</c:v>
                </c:pt>
                <c:pt idx="10">
                  <c:v>State        (61)</c:v>
                </c:pt>
              </c:strCache>
            </c:strRef>
          </c:cat>
          <c:val>
            <c:numRef>
              <c:f>'KPI 5'!$Z$71:$Z$81</c:f>
              <c:numCache>
                <c:formatCode>0%</c:formatCode>
                <c:ptCount val="11"/>
                <c:pt idx="0">
                  <c:v>0.25</c:v>
                </c:pt>
                <c:pt idx="1">
                  <c:v>0.4</c:v>
                </c:pt>
                <c:pt idx="2">
                  <c:v>0.44444444444444442</c:v>
                </c:pt>
                <c:pt idx="3">
                  <c:v>0</c:v>
                </c:pt>
                <c:pt idx="4">
                  <c:v>0.8</c:v>
                </c:pt>
                <c:pt idx="5">
                  <c:v>0.4</c:v>
                </c:pt>
                <c:pt idx="6">
                  <c:v>0.70588235294117652</c:v>
                </c:pt>
                <c:pt idx="7">
                  <c:v>1</c:v>
                </c:pt>
                <c:pt idx="8">
                  <c:v>0.4</c:v>
                </c:pt>
                <c:pt idx="9">
                  <c:v>0</c:v>
                </c:pt>
                <c:pt idx="10">
                  <c:v>0.47435897435897434</c:v>
                </c:pt>
              </c:numCache>
            </c:numRef>
          </c:val>
          <c:extLst>
            <c:ext xmlns:c16="http://schemas.microsoft.com/office/drawing/2014/chart" uri="{C3380CC4-5D6E-409C-BE32-E72D297353CC}">
              <c16:uniqueId val="{00000000-ABDD-49BC-917B-63899474E387}"/>
            </c:ext>
          </c:extLst>
        </c:ser>
        <c:ser>
          <c:idx val="1"/>
          <c:order val="1"/>
          <c:tx>
            <c:strRef>
              <c:f>'KPI 5'!$AA$69</c:f>
              <c:strCache>
                <c:ptCount val="1"/>
                <c:pt idx="0">
                  <c:v>2018</c:v>
                </c:pt>
              </c:strCache>
            </c:strRef>
          </c:tx>
          <c:spPr>
            <a:solidFill>
              <a:srgbClr val="005892"/>
            </a:solidFill>
          </c:spPr>
          <c:invertIfNegative val="0"/>
          <c:cat>
            <c:strRef>
              <c:f>'KPI 5'!$A$71:$A$81</c:f>
              <c:strCache>
                <c:ptCount val="11"/>
                <c:pt idx="0">
                  <c:v>Alfred        (6)</c:v>
                </c:pt>
                <c:pt idx="1">
                  <c:v>Austin        (7)</c:v>
                </c:pt>
                <c:pt idx="2">
                  <c:v>Barwon       (3)</c:v>
                </c:pt>
                <c:pt idx="3">
                  <c:v>Bendigo      (0)</c:v>
                </c:pt>
                <c:pt idx="4">
                  <c:v>Eastern      (8)</c:v>
                </c:pt>
                <c:pt idx="5">
                  <c:v>Melbourne    (14)</c:v>
                </c:pt>
                <c:pt idx="6">
                  <c:v>Monash    (16)</c:v>
                </c:pt>
                <c:pt idx="7">
                  <c:v>Northern    (1)</c:v>
                </c:pt>
                <c:pt idx="8">
                  <c:v>St Vincents    (5)</c:v>
                </c:pt>
                <c:pt idx="9">
                  <c:v>Western    (1)</c:v>
                </c:pt>
                <c:pt idx="10">
                  <c:v>State        (61)</c:v>
                </c:pt>
              </c:strCache>
            </c:strRef>
          </c:cat>
          <c:val>
            <c:numRef>
              <c:f>'KPI 5'!$AD$71:$AD$81</c:f>
              <c:numCache>
                <c:formatCode>0%</c:formatCode>
                <c:ptCount val="11"/>
                <c:pt idx="0">
                  <c:v>0.41666666666666669</c:v>
                </c:pt>
                <c:pt idx="1">
                  <c:v>0.2</c:v>
                </c:pt>
                <c:pt idx="2">
                  <c:v>0.66666666666666663</c:v>
                </c:pt>
                <c:pt idx="3">
                  <c:v>0.5</c:v>
                </c:pt>
                <c:pt idx="4">
                  <c:v>0.6</c:v>
                </c:pt>
                <c:pt idx="5">
                  <c:v>0.63636363636363635</c:v>
                </c:pt>
                <c:pt idx="6">
                  <c:v>0.4</c:v>
                </c:pt>
                <c:pt idx="7">
                  <c:v>1</c:v>
                </c:pt>
                <c:pt idx="8">
                  <c:v>0.5</c:v>
                </c:pt>
                <c:pt idx="9">
                  <c:v>0</c:v>
                </c:pt>
                <c:pt idx="10">
                  <c:v>0.48214285714285715</c:v>
                </c:pt>
              </c:numCache>
            </c:numRef>
          </c:val>
          <c:extLst>
            <c:ext xmlns:c16="http://schemas.microsoft.com/office/drawing/2014/chart" uri="{C3380CC4-5D6E-409C-BE32-E72D297353CC}">
              <c16:uniqueId val="{00000001-ABDD-49BC-917B-63899474E387}"/>
            </c:ext>
          </c:extLst>
        </c:ser>
        <c:ser>
          <c:idx val="0"/>
          <c:order val="2"/>
          <c:tx>
            <c:strRef>
              <c:f>'KPI 5'!$AE$69</c:f>
              <c:strCache>
                <c:ptCount val="1"/>
                <c:pt idx="0">
                  <c:v>2019</c:v>
                </c:pt>
              </c:strCache>
            </c:strRef>
          </c:tx>
          <c:spPr>
            <a:solidFill>
              <a:srgbClr val="C1E6FF"/>
            </a:solidFill>
          </c:spPr>
          <c:invertIfNegative val="0"/>
          <c:cat>
            <c:strRef>
              <c:f>'KPI 5'!$A$71:$A$81</c:f>
              <c:strCache>
                <c:ptCount val="11"/>
                <c:pt idx="0">
                  <c:v>Alfred        (6)</c:v>
                </c:pt>
                <c:pt idx="1">
                  <c:v>Austin        (7)</c:v>
                </c:pt>
                <c:pt idx="2">
                  <c:v>Barwon       (3)</c:v>
                </c:pt>
                <c:pt idx="3">
                  <c:v>Bendigo      (0)</c:v>
                </c:pt>
                <c:pt idx="4">
                  <c:v>Eastern      (8)</c:v>
                </c:pt>
                <c:pt idx="5">
                  <c:v>Melbourne    (14)</c:v>
                </c:pt>
                <c:pt idx="6">
                  <c:v>Monash    (16)</c:v>
                </c:pt>
                <c:pt idx="7">
                  <c:v>Northern    (1)</c:v>
                </c:pt>
                <c:pt idx="8">
                  <c:v>St Vincents    (5)</c:v>
                </c:pt>
                <c:pt idx="9">
                  <c:v>Western    (1)</c:v>
                </c:pt>
                <c:pt idx="10">
                  <c:v>State        (61)</c:v>
                </c:pt>
              </c:strCache>
            </c:strRef>
          </c:cat>
          <c:val>
            <c:numRef>
              <c:f>'KPI 5'!$AH$71:$AH$81</c:f>
              <c:numCache>
                <c:formatCode>0%</c:formatCode>
                <c:ptCount val="11"/>
                <c:pt idx="0">
                  <c:v>0.16666666666666666</c:v>
                </c:pt>
                <c:pt idx="1">
                  <c:v>0.2857142857142857</c:v>
                </c:pt>
                <c:pt idx="2">
                  <c:v>0.33333333333333331</c:v>
                </c:pt>
                <c:pt idx="3">
                  <c:v>0</c:v>
                </c:pt>
                <c:pt idx="4">
                  <c:v>0.5</c:v>
                </c:pt>
                <c:pt idx="5">
                  <c:v>0.5</c:v>
                </c:pt>
                <c:pt idx="6">
                  <c:v>0.375</c:v>
                </c:pt>
                <c:pt idx="7">
                  <c:v>1</c:v>
                </c:pt>
                <c:pt idx="8">
                  <c:v>0.4</c:v>
                </c:pt>
                <c:pt idx="9">
                  <c:v>1</c:v>
                </c:pt>
                <c:pt idx="10">
                  <c:v>0.4098360655737705</c:v>
                </c:pt>
              </c:numCache>
            </c:numRef>
          </c:val>
          <c:extLst>
            <c:ext xmlns:c16="http://schemas.microsoft.com/office/drawing/2014/chart" uri="{C3380CC4-5D6E-409C-BE32-E72D297353CC}">
              <c16:uniqueId val="{00000002-ABDD-49BC-917B-63899474E387}"/>
            </c:ext>
          </c:extLst>
        </c:ser>
        <c:dLbls>
          <c:showLegendKey val="0"/>
          <c:showVal val="0"/>
          <c:showCatName val="0"/>
          <c:showSerName val="0"/>
          <c:showPercent val="0"/>
          <c:showBubbleSize val="0"/>
        </c:dLbls>
        <c:gapWidth val="150"/>
        <c:axId val="142931456"/>
        <c:axId val="142932992"/>
      </c:barChart>
      <c:catAx>
        <c:axId val="142931456"/>
        <c:scaling>
          <c:orientation val="minMax"/>
        </c:scaling>
        <c:delete val="0"/>
        <c:axPos val="b"/>
        <c:numFmt formatCode="General" sourceLinked="1"/>
        <c:majorTickMark val="out"/>
        <c:minorTickMark val="none"/>
        <c:tickLblPos val="nextTo"/>
        <c:txPr>
          <a:bodyPr/>
          <a:lstStyle/>
          <a:p>
            <a:pPr>
              <a:defRPr sz="740" baseline="0">
                <a:latin typeface="VIC" panose="00000500000000000000" pitchFamily="2" charset="0"/>
              </a:defRPr>
            </a:pPr>
            <a:endParaRPr lang="en-US"/>
          </a:p>
        </c:txPr>
        <c:crossAx val="142932992"/>
        <c:crosses val="autoZero"/>
        <c:auto val="1"/>
        <c:lblAlgn val="ctr"/>
        <c:lblOffset val="100"/>
        <c:noMultiLvlLbl val="0"/>
      </c:catAx>
      <c:valAx>
        <c:axId val="142932992"/>
        <c:scaling>
          <c:orientation val="minMax"/>
          <c:max val="1"/>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2931456"/>
        <c:crosses val="autoZero"/>
        <c:crossBetween val="between"/>
      </c:valAx>
    </c:plotArea>
    <c:legend>
      <c:legendPos val="r"/>
      <c:layout>
        <c:manualLayout>
          <c:xMode val="edge"/>
          <c:yMode val="edge"/>
          <c:x val="2.5143515663505474E-2"/>
          <c:y val="0.92112490014835102"/>
          <c:w val="0.95196064143451065"/>
          <c:h val="7.760642900406682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5 - Percentage </a:t>
            </a:r>
            <a:r>
              <a:rPr lang="en-US" sz="1000" b="0" baseline="0">
                <a:latin typeface="VIC SemiBold" panose="00000700000000000000" pitchFamily="2" charset="0"/>
              </a:rPr>
              <a:t> of </a:t>
            </a:r>
            <a:r>
              <a:rPr lang="en-US" sz="1000" b="0">
                <a:latin typeface="VIC SemiBold" panose="00000700000000000000" pitchFamily="2" charset="0"/>
              </a:rPr>
              <a:t>live donor transplants that are pre-emptive in last 12 months</a:t>
            </a:r>
          </a:p>
        </c:rich>
      </c:tx>
      <c:overlay val="0"/>
    </c:title>
    <c:autoTitleDeleted val="0"/>
    <c:plotArea>
      <c:layout>
        <c:manualLayout>
          <c:layoutTarget val="inner"/>
          <c:xMode val="edge"/>
          <c:yMode val="edge"/>
          <c:x val="6.1822791047071869E-2"/>
          <c:y val="0.16392130671166105"/>
          <c:w val="0.92034487754472927"/>
          <c:h val="0.61908438436345903"/>
        </c:manualLayout>
      </c:layout>
      <c:barChart>
        <c:barDir val="col"/>
        <c:grouping val="clustered"/>
        <c:varyColors val="0"/>
        <c:ser>
          <c:idx val="1"/>
          <c:order val="0"/>
          <c:tx>
            <c:strRef>
              <c:f>'KPI 5'!$A$84</c:f>
              <c:strCache>
                <c:ptCount val="1"/>
                <c:pt idx="0">
                  <c:v>Proportion of live donor transplants that are pre-emptive</c:v>
                </c:pt>
              </c:strCache>
            </c:strRef>
          </c:tx>
          <c:spPr>
            <a:solidFill>
              <a:srgbClr val="00863D"/>
            </a:solidFill>
          </c:spPr>
          <c:invertIfNegative val="0"/>
          <c:dPt>
            <c:idx val="0"/>
            <c:invertIfNegative val="0"/>
            <c:bubble3D val="0"/>
            <c:spPr>
              <a:solidFill>
                <a:srgbClr val="DB313D"/>
              </a:solidFill>
            </c:spPr>
            <c:extLst>
              <c:ext xmlns:c16="http://schemas.microsoft.com/office/drawing/2014/chart" uri="{C3380CC4-5D6E-409C-BE32-E72D297353CC}">
                <c16:uniqueId val="{00000001-15C3-4F01-AAD6-C49A77A33E4F}"/>
              </c:ext>
            </c:extLst>
          </c:dPt>
          <c:dPt>
            <c:idx val="1"/>
            <c:invertIfNegative val="0"/>
            <c:bubble3D val="0"/>
            <c:spPr>
              <a:solidFill>
                <a:srgbClr val="F2B800"/>
              </a:solidFill>
            </c:spPr>
            <c:extLst>
              <c:ext xmlns:c16="http://schemas.microsoft.com/office/drawing/2014/chart" uri="{C3380CC4-5D6E-409C-BE32-E72D297353CC}">
                <c16:uniqueId val="{00000002-15C3-4F01-AAD6-C49A77A33E4F}"/>
              </c:ext>
            </c:extLst>
          </c:dPt>
          <c:dPt>
            <c:idx val="2"/>
            <c:invertIfNegative val="0"/>
            <c:bubble3D val="0"/>
            <c:extLst>
              <c:ext xmlns:c16="http://schemas.microsoft.com/office/drawing/2014/chart" uri="{C3380CC4-5D6E-409C-BE32-E72D297353CC}">
                <c16:uniqueId val="{00000003-15C3-4F01-AAD6-C49A77A33E4F}"/>
              </c:ext>
            </c:extLst>
          </c:dPt>
          <c:dPt>
            <c:idx val="3"/>
            <c:invertIfNegative val="0"/>
            <c:bubble3D val="0"/>
            <c:spPr>
              <a:solidFill>
                <a:srgbClr val="F2B800"/>
              </a:solidFill>
            </c:spPr>
            <c:extLst>
              <c:ext xmlns:c16="http://schemas.microsoft.com/office/drawing/2014/chart" uri="{C3380CC4-5D6E-409C-BE32-E72D297353CC}">
                <c16:uniqueId val="{00000005-15C3-4F01-AAD6-C49A77A33E4F}"/>
              </c:ext>
            </c:extLst>
          </c:dPt>
          <c:dPt>
            <c:idx val="4"/>
            <c:invertIfNegative val="0"/>
            <c:bubble3D val="0"/>
            <c:spPr>
              <a:solidFill>
                <a:srgbClr val="F2B800"/>
              </a:solidFill>
            </c:spPr>
            <c:extLst>
              <c:ext xmlns:c16="http://schemas.microsoft.com/office/drawing/2014/chart" uri="{C3380CC4-5D6E-409C-BE32-E72D297353CC}">
                <c16:uniqueId val="{00000006-15C3-4F01-AAD6-C49A77A33E4F}"/>
              </c:ext>
            </c:extLst>
          </c:dPt>
          <c:dPt>
            <c:idx val="9"/>
            <c:invertIfNegative val="0"/>
            <c:bubble3D val="0"/>
            <c:extLst>
              <c:ext xmlns:c16="http://schemas.microsoft.com/office/drawing/2014/chart" uri="{C3380CC4-5D6E-409C-BE32-E72D297353CC}">
                <c16:uniqueId val="{00000007-15C3-4F01-AAD6-C49A77A33E4F}"/>
              </c:ext>
            </c:extLst>
          </c:dPt>
          <c:errBars>
            <c:errBarType val="both"/>
            <c:errValType val="cust"/>
            <c:noEndCap val="0"/>
            <c:plus>
              <c:numRef>
                <c:f>'KPI 5'!$AL$86:$AL$90</c:f>
                <c:numCache>
                  <c:formatCode>General</c:formatCode>
                  <c:ptCount val="5"/>
                  <c:pt idx="0">
                    <c:v>7.6000528378061746E-2</c:v>
                  </c:pt>
                  <c:pt idx="1">
                    <c:v>2.7035841755981536E-2</c:v>
                  </c:pt>
                  <c:pt idx="2">
                    <c:v>4.4640850396755263E-2</c:v>
                  </c:pt>
                  <c:pt idx="3">
                    <c:v>5.7170523558359533E-2</c:v>
                  </c:pt>
                  <c:pt idx="4">
                    <c:v>2.164458125622486E-2</c:v>
                  </c:pt>
                </c:numCache>
              </c:numRef>
            </c:plus>
            <c:minus>
              <c:numRef>
                <c:f>'KPI 5'!$AL$86:$AL$90</c:f>
                <c:numCache>
                  <c:formatCode>General</c:formatCode>
                  <c:ptCount val="5"/>
                  <c:pt idx="0">
                    <c:v>7.6000528378061746E-2</c:v>
                  </c:pt>
                  <c:pt idx="1">
                    <c:v>2.7035841755981536E-2</c:v>
                  </c:pt>
                  <c:pt idx="2">
                    <c:v>4.4640850396755263E-2</c:v>
                  </c:pt>
                  <c:pt idx="3">
                    <c:v>5.7170523558359533E-2</c:v>
                  </c:pt>
                  <c:pt idx="4">
                    <c:v>2.164458125622486E-2</c:v>
                  </c:pt>
                </c:numCache>
              </c:numRef>
            </c:minus>
          </c:errBars>
          <c:cat>
            <c:strRef>
              <c:f>'KPI 5'!$B$86:$B$90</c:f>
              <c:strCache>
                <c:ptCount val="5"/>
                <c:pt idx="0">
                  <c:v>Alfred (n=6)</c:v>
                </c:pt>
                <c:pt idx="1">
                  <c:v>Collaborative (n=23)</c:v>
                </c:pt>
                <c:pt idx="2">
                  <c:v>Melbourne / Western / Northern (n=16)</c:v>
                </c:pt>
                <c:pt idx="3">
                  <c:v>Monash (n=16)</c:v>
                </c:pt>
                <c:pt idx="4">
                  <c:v>State (n=61)</c:v>
                </c:pt>
              </c:strCache>
            </c:strRef>
          </c:cat>
          <c:val>
            <c:numRef>
              <c:f>'KPI 5'!$AH$86:$AH$90</c:f>
              <c:numCache>
                <c:formatCode>0%</c:formatCode>
                <c:ptCount val="5"/>
                <c:pt idx="0">
                  <c:v>0.16666666666666666</c:v>
                </c:pt>
                <c:pt idx="1">
                  <c:v>0.41666666666666669</c:v>
                </c:pt>
                <c:pt idx="2">
                  <c:v>0.5625</c:v>
                </c:pt>
                <c:pt idx="3">
                  <c:v>0.375</c:v>
                </c:pt>
                <c:pt idx="4">
                  <c:v>0.4098360655737705</c:v>
                </c:pt>
              </c:numCache>
            </c:numRef>
          </c:val>
          <c:extLst>
            <c:ext xmlns:c16="http://schemas.microsoft.com/office/drawing/2014/chart" uri="{C3380CC4-5D6E-409C-BE32-E72D297353CC}">
              <c16:uniqueId val="{00000008-15C3-4F01-AAD6-C49A77A33E4F}"/>
            </c:ext>
          </c:extLst>
        </c:ser>
        <c:dLbls>
          <c:showLegendKey val="0"/>
          <c:showVal val="0"/>
          <c:showCatName val="0"/>
          <c:showSerName val="0"/>
          <c:showPercent val="0"/>
          <c:showBubbleSize val="0"/>
        </c:dLbls>
        <c:gapWidth val="150"/>
        <c:axId val="142860288"/>
        <c:axId val="142861824"/>
      </c:barChart>
      <c:catAx>
        <c:axId val="142860288"/>
        <c:scaling>
          <c:orientation val="minMax"/>
        </c:scaling>
        <c:delete val="0"/>
        <c:axPos val="b"/>
        <c:numFmt formatCode="General" sourceLinked="0"/>
        <c:majorTickMark val="none"/>
        <c:minorTickMark val="none"/>
        <c:tickLblPos val="nextTo"/>
        <c:txPr>
          <a:bodyPr/>
          <a:lstStyle/>
          <a:p>
            <a:pPr>
              <a:defRPr sz="800" baseline="0">
                <a:latin typeface="VIC" panose="00000500000000000000" pitchFamily="2" charset="0"/>
              </a:defRPr>
            </a:pPr>
            <a:endParaRPr lang="en-US"/>
          </a:p>
        </c:txPr>
        <c:crossAx val="142861824"/>
        <c:crosses val="autoZero"/>
        <c:auto val="1"/>
        <c:lblAlgn val="ctr"/>
        <c:lblOffset val="100"/>
        <c:noMultiLvlLbl val="0"/>
      </c:catAx>
      <c:valAx>
        <c:axId val="142861824"/>
        <c:scaling>
          <c:orientation val="minMax"/>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860288"/>
        <c:crosses val="autoZero"/>
        <c:crossBetween val="between"/>
      </c:valAx>
    </c:plotArea>
    <c:plotVisOnly val="1"/>
    <c:dispBlanksAs val="gap"/>
    <c:showDLblsOverMax val="0"/>
  </c:chart>
  <c:spPr>
    <a:ln>
      <a:noFill/>
    </a:ln>
  </c:spPr>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1" i="0" baseline="0">
                <a:effectLst/>
              </a:rPr>
              <a:t>KPI 5 - Percentage of live donor transplants that are pre emptive</a:t>
            </a:r>
            <a:endParaRPr lang="en-AU" sz="1200">
              <a:effectLst/>
            </a:endParaRPr>
          </a:p>
        </c:rich>
      </c:tx>
      <c:overlay val="1"/>
    </c:title>
    <c:autoTitleDeleted val="0"/>
    <c:plotArea>
      <c:layout>
        <c:manualLayout>
          <c:layoutTarget val="inner"/>
          <c:xMode val="edge"/>
          <c:yMode val="edge"/>
          <c:x val="6.4333813133480938E-2"/>
          <c:y val="0.1239080211127455"/>
          <c:w val="0.89656151578484544"/>
          <c:h val="0.71386216146058667"/>
        </c:manualLayout>
      </c:layout>
      <c:barChart>
        <c:barDir val="col"/>
        <c:grouping val="clustered"/>
        <c:varyColors val="0"/>
        <c:ser>
          <c:idx val="2"/>
          <c:order val="0"/>
          <c:tx>
            <c:strRef>
              <c:f>'KPI 5'!$S$69</c:f>
              <c:strCache>
                <c:ptCount val="1"/>
                <c:pt idx="0">
                  <c:v>2016</c:v>
                </c:pt>
              </c:strCache>
            </c:strRef>
          </c:tx>
          <c:spPr>
            <a:solidFill>
              <a:srgbClr val="64C2C8"/>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5'!$S$86:$S$90</c:f>
              <c:numCache>
                <c:formatCode>0%</c:formatCode>
                <c:ptCount val="5"/>
                <c:pt idx="0">
                  <c:v>0</c:v>
                </c:pt>
                <c:pt idx="1">
                  <c:v>0.42857142857142855</c:v>
                </c:pt>
                <c:pt idx="2">
                  <c:v>0.35</c:v>
                </c:pt>
                <c:pt idx="3">
                  <c:v>0.21052631578947367</c:v>
                </c:pt>
                <c:pt idx="4">
                  <c:v>0.32258064516129031</c:v>
                </c:pt>
              </c:numCache>
            </c:numRef>
          </c:val>
          <c:extLst>
            <c:ext xmlns:c16="http://schemas.microsoft.com/office/drawing/2014/chart" uri="{C3380CC4-5D6E-409C-BE32-E72D297353CC}">
              <c16:uniqueId val="{00000000-447E-4375-8793-44A6C2BF14EC}"/>
            </c:ext>
          </c:extLst>
        </c:ser>
        <c:ser>
          <c:idx val="1"/>
          <c:order val="1"/>
          <c:tx>
            <c:strRef>
              <c:f>'KPI 5'!$W$69</c:f>
              <c:strCache>
                <c:ptCount val="1"/>
                <c:pt idx="0">
                  <c:v>2017</c:v>
                </c:pt>
              </c:strCache>
            </c:strRef>
          </c:tx>
          <c:spPr>
            <a:solidFill>
              <a:srgbClr val="005892"/>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5'!$W$86:$W$90</c:f>
              <c:numCache>
                <c:formatCode>0%</c:formatCode>
                <c:ptCount val="5"/>
                <c:pt idx="0">
                  <c:v>0.16666666666666666</c:v>
                </c:pt>
                <c:pt idx="1">
                  <c:v>0.5625</c:v>
                </c:pt>
                <c:pt idx="2">
                  <c:v>0.6</c:v>
                </c:pt>
                <c:pt idx="3">
                  <c:v>0.5</c:v>
                </c:pt>
                <c:pt idx="4">
                  <c:v>0.47826086956521741</c:v>
                </c:pt>
              </c:numCache>
            </c:numRef>
          </c:val>
          <c:extLst>
            <c:ext xmlns:c16="http://schemas.microsoft.com/office/drawing/2014/chart" uri="{C3380CC4-5D6E-409C-BE32-E72D297353CC}">
              <c16:uniqueId val="{00000001-447E-4375-8793-44A6C2BF14EC}"/>
            </c:ext>
          </c:extLst>
        </c:ser>
        <c:ser>
          <c:idx val="0"/>
          <c:order val="2"/>
          <c:tx>
            <c:strRef>
              <c:f>'KPI 5'!$AA$69</c:f>
              <c:strCache>
                <c:ptCount val="1"/>
                <c:pt idx="0">
                  <c:v>2018</c:v>
                </c:pt>
              </c:strCache>
            </c:strRef>
          </c:tx>
          <c:spPr>
            <a:solidFill>
              <a:srgbClr val="C1E6FF"/>
            </a:solidFill>
          </c:spPr>
          <c:invertIfNegative val="0"/>
          <c:cat>
            <c:strRef>
              <c:f>'KPI 5'!$A$86:$A$90</c:f>
              <c:strCache>
                <c:ptCount val="5"/>
                <c:pt idx="0">
                  <c:v>Alfred</c:v>
                </c:pt>
                <c:pt idx="1">
                  <c:v>Collaborative</c:v>
                </c:pt>
                <c:pt idx="2">
                  <c:v>Melbourne / Western / Northern</c:v>
                </c:pt>
                <c:pt idx="3">
                  <c:v>Monash</c:v>
                </c:pt>
                <c:pt idx="4">
                  <c:v>State</c:v>
                </c:pt>
              </c:strCache>
            </c:strRef>
          </c:cat>
          <c:val>
            <c:numRef>
              <c:f>'KPI 5'!$AA$86:$AA$90</c:f>
              <c:numCache>
                <c:formatCode>0%</c:formatCode>
                <c:ptCount val="5"/>
                <c:pt idx="0">
                  <c:v>0.375</c:v>
                </c:pt>
                <c:pt idx="1">
                  <c:v>0.5</c:v>
                </c:pt>
                <c:pt idx="2">
                  <c:v>0.34482758620689657</c:v>
                </c:pt>
                <c:pt idx="3">
                  <c:v>0.625</c:v>
                </c:pt>
                <c:pt idx="4">
                  <c:v>0.45454545454545453</c:v>
                </c:pt>
              </c:numCache>
            </c:numRef>
          </c:val>
          <c:extLst>
            <c:ext xmlns:c16="http://schemas.microsoft.com/office/drawing/2014/chart" uri="{C3380CC4-5D6E-409C-BE32-E72D297353CC}">
              <c16:uniqueId val="{00000002-447E-4375-8793-44A6C2BF14EC}"/>
            </c:ext>
          </c:extLst>
        </c:ser>
        <c:dLbls>
          <c:showLegendKey val="0"/>
          <c:showVal val="0"/>
          <c:showCatName val="0"/>
          <c:showSerName val="0"/>
          <c:showPercent val="0"/>
          <c:showBubbleSize val="0"/>
        </c:dLbls>
        <c:gapWidth val="150"/>
        <c:axId val="159212672"/>
        <c:axId val="159214208"/>
      </c:barChart>
      <c:catAx>
        <c:axId val="159212672"/>
        <c:scaling>
          <c:orientation val="minMax"/>
        </c:scaling>
        <c:delete val="0"/>
        <c:axPos val="b"/>
        <c:numFmt formatCode="General" sourceLinked="1"/>
        <c:majorTickMark val="out"/>
        <c:minorTickMark val="none"/>
        <c:tickLblPos val="nextTo"/>
        <c:txPr>
          <a:bodyPr/>
          <a:lstStyle/>
          <a:p>
            <a:pPr>
              <a:defRPr sz="800"/>
            </a:pPr>
            <a:endParaRPr lang="en-US"/>
          </a:p>
        </c:txPr>
        <c:crossAx val="159214208"/>
        <c:crosses val="autoZero"/>
        <c:auto val="1"/>
        <c:lblAlgn val="ctr"/>
        <c:lblOffset val="100"/>
        <c:noMultiLvlLbl val="0"/>
      </c:catAx>
      <c:valAx>
        <c:axId val="159214208"/>
        <c:scaling>
          <c:orientation val="minMax"/>
          <c:max val="1"/>
        </c:scaling>
        <c:delete val="0"/>
        <c:axPos val="l"/>
        <c:majorGridlines/>
        <c:numFmt formatCode="0%" sourceLinked="1"/>
        <c:majorTickMark val="out"/>
        <c:minorTickMark val="none"/>
        <c:tickLblPos val="nextTo"/>
        <c:txPr>
          <a:bodyPr/>
          <a:lstStyle/>
          <a:p>
            <a:pPr>
              <a:defRPr sz="800"/>
            </a:pPr>
            <a:endParaRPr lang="en-US"/>
          </a:p>
        </c:txPr>
        <c:crossAx val="159212672"/>
        <c:crosses val="autoZero"/>
        <c:crossBetween val="between"/>
      </c:valAx>
    </c:plotArea>
    <c:legend>
      <c:legendPos val="r"/>
      <c:layout>
        <c:manualLayout>
          <c:xMode val="edge"/>
          <c:yMode val="edge"/>
          <c:x val="2.7159475109528979E-2"/>
          <c:y val="0.91825119920354781"/>
          <c:w val="0.95196064143451065"/>
          <c:h val="7.7606429004066821E-2"/>
        </c:manualLayout>
      </c:layout>
      <c:overlay val="0"/>
      <c:txPr>
        <a:bodyPr/>
        <a:lstStyle/>
        <a:p>
          <a:pPr>
            <a:defRPr sz="800"/>
          </a:pPr>
          <a:endParaRPr lang="en-US"/>
        </a:p>
      </c:txPr>
    </c:legend>
    <c:plotVisOnly val="1"/>
    <c:dispBlanksAs val="gap"/>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AU" sz="1000">
                <a:latin typeface="VIC SemiBold" panose="00000700000000000000" pitchFamily="2" charset="0"/>
              </a:rPr>
              <a:t>KPI 6 - Percentage of new ESKD patients &lt;=65yo who are transplanted or on an</a:t>
            </a:r>
            <a:r>
              <a:rPr lang="en-AU" sz="1000" baseline="0">
                <a:latin typeface="VIC SemiBold" panose="00000700000000000000" pitchFamily="2" charset="0"/>
              </a:rPr>
              <a:t> active list </a:t>
            </a:r>
            <a:endParaRPr lang="en-AU" sz="1000">
              <a:latin typeface="VIC SemiBold" panose="00000700000000000000" pitchFamily="2" charset="0"/>
            </a:endParaRPr>
          </a:p>
        </c:rich>
      </c:tx>
      <c:layout>
        <c:manualLayout>
          <c:xMode val="edge"/>
          <c:yMode val="edge"/>
          <c:x val="0.11634901209196358"/>
          <c:y val="2.8704942032999645E-2"/>
        </c:manualLayout>
      </c:layout>
      <c:overlay val="0"/>
    </c:title>
    <c:autoTitleDeleted val="0"/>
    <c:plotArea>
      <c:layout>
        <c:manualLayout>
          <c:layoutTarget val="inner"/>
          <c:xMode val="edge"/>
          <c:yMode val="edge"/>
          <c:x val="6.0679011835361903E-2"/>
          <c:y val="0.14708133845078411"/>
          <c:w val="0.92155300093927406"/>
          <c:h val="0.64732867331292543"/>
        </c:manualLayout>
      </c:layout>
      <c:barChart>
        <c:barDir val="col"/>
        <c:grouping val="clustered"/>
        <c:varyColors val="0"/>
        <c:ser>
          <c:idx val="0"/>
          <c:order val="0"/>
          <c:tx>
            <c:v>Within 3 months</c:v>
          </c:tx>
          <c:spPr>
            <a:solidFill>
              <a:srgbClr val="DB313D"/>
            </a:solidFill>
            <a:ln>
              <a:solidFill>
                <a:schemeClr val="tx1">
                  <a:alpha val="49000"/>
                </a:schemeClr>
              </a:solidFill>
            </a:ln>
          </c:spPr>
          <c:invertIfNegative val="0"/>
          <c:dPt>
            <c:idx val="0"/>
            <c:invertIfNegative val="0"/>
            <c:bubble3D val="0"/>
            <c:extLst>
              <c:ext xmlns:c16="http://schemas.microsoft.com/office/drawing/2014/chart" uri="{C3380CC4-5D6E-409C-BE32-E72D297353CC}">
                <c16:uniqueId val="{00000001-3185-42E1-9792-E1A03815E9E6}"/>
              </c:ext>
            </c:extLst>
          </c:dPt>
          <c:dPt>
            <c:idx val="1"/>
            <c:invertIfNegative val="0"/>
            <c:bubble3D val="0"/>
            <c:extLst>
              <c:ext xmlns:c16="http://schemas.microsoft.com/office/drawing/2014/chart" uri="{C3380CC4-5D6E-409C-BE32-E72D297353CC}">
                <c16:uniqueId val="{00000002-3185-42E1-9792-E1A03815E9E6}"/>
              </c:ext>
            </c:extLst>
          </c:dPt>
          <c:dPt>
            <c:idx val="2"/>
            <c:invertIfNegative val="0"/>
            <c:bubble3D val="0"/>
            <c:extLst>
              <c:ext xmlns:c16="http://schemas.microsoft.com/office/drawing/2014/chart" uri="{C3380CC4-5D6E-409C-BE32-E72D297353CC}">
                <c16:uniqueId val="{00000003-3185-42E1-9792-E1A03815E9E6}"/>
              </c:ext>
            </c:extLst>
          </c:dPt>
          <c:dPt>
            <c:idx val="4"/>
            <c:invertIfNegative val="0"/>
            <c:bubble3D val="0"/>
            <c:spPr>
              <a:solidFill>
                <a:srgbClr val="00863D"/>
              </a:solidFill>
              <a:ln>
                <a:solidFill>
                  <a:schemeClr val="tx1">
                    <a:alpha val="49000"/>
                  </a:schemeClr>
                </a:solidFill>
              </a:ln>
            </c:spPr>
            <c:extLst>
              <c:ext xmlns:c16="http://schemas.microsoft.com/office/drawing/2014/chart" uri="{C3380CC4-5D6E-409C-BE32-E72D297353CC}">
                <c16:uniqueId val="{00000005-3185-42E1-9792-E1A03815E9E6}"/>
              </c:ext>
            </c:extLst>
          </c:dPt>
          <c:dPt>
            <c:idx val="5"/>
            <c:invertIfNegative val="0"/>
            <c:bubble3D val="0"/>
            <c:spPr>
              <a:solidFill>
                <a:srgbClr val="DB313D"/>
              </a:solidFill>
              <a:ln>
                <a:solidFill>
                  <a:srgbClr val="F2B800">
                    <a:alpha val="49000"/>
                  </a:srgbClr>
                </a:solidFill>
              </a:ln>
            </c:spPr>
            <c:extLst>
              <c:ext xmlns:c16="http://schemas.microsoft.com/office/drawing/2014/chart" uri="{C3380CC4-5D6E-409C-BE32-E72D297353CC}">
                <c16:uniqueId val="{00000007-3185-42E1-9792-E1A03815E9E6}"/>
              </c:ext>
            </c:extLst>
          </c:dPt>
          <c:dPt>
            <c:idx val="6"/>
            <c:invertIfNegative val="0"/>
            <c:bubble3D val="0"/>
            <c:extLst>
              <c:ext xmlns:c16="http://schemas.microsoft.com/office/drawing/2014/chart" uri="{C3380CC4-5D6E-409C-BE32-E72D297353CC}">
                <c16:uniqueId val="{00000009-3185-42E1-9792-E1A03815E9E6}"/>
              </c:ext>
            </c:extLst>
          </c:dPt>
          <c:dPt>
            <c:idx val="7"/>
            <c:invertIfNegative val="0"/>
            <c:bubble3D val="0"/>
            <c:extLst>
              <c:ext xmlns:c16="http://schemas.microsoft.com/office/drawing/2014/chart" uri="{C3380CC4-5D6E-409C-BE32-E72D297353CC}">
                <c16:uniqueId val="{0000000A-3185-42E1-9792-E1A03815E9E6}"/>
              </c:ext>
            </c:extLst>
          </c:dPt>
          <c:dPt>
            <c:idx val="8"/>
            <c:invertIfNegative val="0"/>
            <c:bubble3D val="0"/>
            <c:spPr>
              <a:solidFill>
                <a:srgbClr val="00863D"/>
              </a:solidFill>
              <a:ln>
                <a:solidFill>
                  <a:schemeClr val="tx1">
                    <a:alpha val="49000"/>
                  </a:schemeClr>
                </a:solidFill>
              </a:ln>
            </c:spPr>
            <c:extLst>
              <c:ext xmlns:c16="http://schemas.microsoft.com/office/drawing/2014/chart" uri="{C3380CC4-5D6E-409C-BE32-E72D297353CC}">
                <c16:uniqueId val="{0000000B-3185-42E1-9792-E1A03815E9E6}"/>
              </c:ext>
            </c:extLst>
          </c:dPt>
          <c:dPt>
            <c:idx val="9"/>
            <c:invertIfNegative val="0"/>
            <c:bubble3D val="0"/>
            <c:extLst>
              <c:ext xmlns:c16="http://schemas.microsoft.com/office/drawing/2014/chart" uri="{C3380CC4-5D6E-409C-BE32-E72D297353CC}">
                <c16:uniqueId val="{0000000D-3185-42E1-9792-E1A03815E9E6}"/>
              </c:ext>
            </c:extLst>
          </c:dPt>
          <c:errBars>
            <c:errBarType val="both"/>
            <c:errValType val="cust"/>
            <c:noEndCap val="0"/>
            <c:plus>
              <c:numRef>
                <c:f>('KPI 6'!$CY$283,'KPI 6'!$CY$285,'KPI 6'!$CY$287,'KPI 6'!$CY$289,'KPI 6'!$CY$291,'KPI 6'!$CY$293,'KPI 6'!$CY$295,'KPI 6'!$CY$297,'KPI 6'!$CY$299,'KPI 6'!$CY$301,'KPI 6'!$CY$303)</c:f>
                <c:numCache>
                  <c:formatCode>General</c:formatCode>
                  <c:ptCount val="11"/>
                  <c:pt idx="0">
                    <c:v>6.1218525017073595E-2</c:v>
                  </c:pt>
                  <c:pt idx="1">
                    <c:v>2.1625426592787388E-2</c:v>
                  </c:pt>
                  <c:pt idx="2">
                    <c:v>2.841368994901847E-2</c:v>
                  </c:pt>
                  <c:pt idx="3">
                    <c:v>3.8002783180249036E-2</c:v>
                  </c:pt>
                  <c:pt idx="4">
                    <c:v>2.6617974248461462E-2</c:v>
                  </c:pt>
                  <c:pt idx="5">
                    <c:v>1.5024058415092764E-2</c:v>
                  </c:pt>
                  <c:pt idx="6">
                    <c:v>2.2777914696124668E-2</c:v>
                  </c:pt>
                  <c:pt idx="7">
                    <c:v>3.3816691373703189E-2</c:v>
                  </c:pt>
                  <c:pt idx="8">
                    <c:v>2.254495400679582E-2</c:v>
                  </c:pt>
                  <c:pt idx="9">
                    <c:v>2.7225392773565095E-2</c:v>
                  </c:pt>
                  <c:pt idx="10">
                    <c:v>5.694918832534022E-3</c:v>
                  </c:pt>
                </c:numCache>
              </c:numRef>
            </c:plus>
            <c:minus>
              <c:numRef>
                <c:f>('KPI 6'!$CY$283,'KPI 6'!$CY$285,'KPI 6'!$CY$287,'KPI 6'!$CY$289,'KPI 6'!$CY$291,'KPI 6'!$CY$293,'KPI 6'!$CY$295,'KPI 6'!$CY$297,'KPI 6'!$CY$299,'KPI 6'!$CY$301,'KPI 6'!$CY$303)</c:f>
                <c:numCache>
                  <c:formatCode>General</c:formatCode>
                  <c:ptCount val="11"/>
                  <c:pt idx="0">
                    <c:v>6.1218525017073595E-2</c:v>
                  </c:pt>
                  <c:pt idx="1">
                    <c:v>2.1625426592787388E-2</c:v>
                  </c:pt>
                  <c:pt idx="2">
                    <c:v>2.841368994901847E-2</c:v>
                  </c:pt>
                  <c:pt idx="3">
                    <c:v>3.8002783180249036E-2</c:v>
                  </c:pt>
                  <c:pt idx="4">
                    <c:v>2.6617974248461462E-2</c:v>
                  </c:pt>
                  <c:pt idx="5">
                    <c:v>1.5024058415092764E-2</c:v>
                  </c:pt>
                  <c:pt idx="6">
                    <c:v>2.2777914696124668E-2</c:v>
                  </c:pt>
                  <c:pt idx="7">
                    <c:v>3.3816691373703189E-2</c:v>
                  </c:pt>
                  <c:pt idx="8">
                    <c:v>2.254495400679582E-2</c:v>
                  </c:pt>
                  <c:pt idx="9">
                    <c:v>2.7225392773565095E-2</c:v>
                  </c:pt>
                  <c:pt idx="10">
                    <c:v>5.694918832534022E-3</c:v>
                  </c:pt>
                </c:numCache>
              </c:numRef>
            </c:minus>
          </c:errBars>
          <c:cat>
            <c:strRef>
              <c:f>('KPI 6'!$A$104,'KPI 6'!$A$106,'KPI 6'!$A$108,'KPI 6'!$A$110,'KPI 6'!$A$112,'KPI 6'!$A$114,'KPI 6'!$A$116,'KPI 6'!$A$118,'KPI 6'!$A$120,'KPI 6'!$A$122,'KPI 6'!$A$124)</c:f>
              <c:strCache>
                <c:ptCount val="11"/>
                <c:pt idx="0">
                  <c:v>Alfred     (8.11)</c:v>
                </c:pt>
                <c:pt idx="1">
                  <c:v>Austin      (5.6)</c:v>
                </c:pt>
                <c:pt idx="2">
                  <c:v>Barwon      (2,3)</c:v>
                </c:pt>
                <c:pt idx="3">
                  <c:v>Bendigo      (1,0)</c:v>
                </c:pt>
                <c:pt idx="4">
                  <c:v>Eastern      (11,11)</c:v>
                </c:pt>
                <c:pt idx="5">
                  <c:v>Melbourne       (19, 24)</c:v>
                </c:pt>
                <c:pt idx="6">
                  <c:v>Monash       (22,31)</c:v>
                </c:pt>
                <c:pt idx="7">
                  <c:v>Northern       (3,6)</c:v>
                </c:pt>
                <c:pt idx="8">
                  <c:v>St Vincents       (10.15)</c:v>
                </c:pt>
                <c:pt idx="9">
                  <c:v>Western       (7,7)</c:v>
                </c:pt>
                <c:pt idx="10">
                  <c:v>State        (88,114)</c:v>
                </c:pt>
              </c:strCache>
            </c:strRef>
          </c:cat>
          <c:val>
            <c:numRef>
              <c:f>('KPI 6'!$AI$104,'KPI 6'!$AI$106,'KPI 6'!$AI$108,'KPI 6'!$AI$110,'KPI 6'!$AI$112,'KPI 6'!$AI$114,'KPI 6'!$AI$116,'KPI 6'!$AI$118,'KPI 6'!$AI$120,'KPI 6'!$AI$122,'KPI 6'!$AI$124)</c:f>
              <c:numCache>
                <c:formatCode>0%</c:formatCode>
                <c:ptCount val="11"/>
                <c:pt idx="0">
                  <c:v>0.2</c:v>
                </c:pt>
                <c:pt idx="1">
                  <c:v>0.22727272727272727</c:v>
                </c:pt>
                <c:pt idx="2">
                  <c:v>0.11764705882352941</c:v>
                </c:pt>
                <c:pt idx="3">
                  <c:v>6.6666666666666666E-2</c:v>
                </c:pt>
                <c:pt idx="4">
                  <c:v>0.39285714285714285</c:v>
                </c:pt>
                <c:pt idx="5">
                  <c:v>0.27142857142857141</c:v>
                </c:pt>
                <c:pt idx="6">
                  <c:v>0.26190476190476192</c:v>
                </c:pt>
                <c:pt idx="7">
                  <c:v>0.16666666666666666</c:v>
                </c:pt>
                <c:pt idx="8">
                  <c:v>0.33333333333333331</c:v>
                </c:pt>
                <c:pt idx="9">
                  <c:v>0.1891891891891892</c:v>
                </c:pt>
                <c:pt idx="10">
                  <c:v>0.24376731301939059</c:v>
                </c:pt>
              </c:numCache>
            </c:numRef>
          </c:val>
          <c:extLst>
            <c:ext xmlns:c16="http://schemas.microsoft.com/office/drawing/2014/chart" uri="{C3380CC4-5D6E-409C-BE32-E72D297353CC}">
              <c16:uniqueId val="{0000000E-3185-42E1-9792-E1A03815E9E6}"/>
            </c:ext>
          </c:extLst>
        </c:ser>
        <c:ser>
          <c:idx val="1"/>
          <c:order val="1"/>
          <c:tx>
            <c:v>Within 6 months</c:v>
          </c:tx>
          <c:spPr>
            <a:solidFill>
              <a:schemeClr val="tx2">
                <a:lumMod val="60000"/>
                <a:lumOff val="40000"/>
              </a:schemeClr>
            </a:solidFill>
            <a:ln>
              <a:solidFill>
                <a:schemeClr val="tx1">
                  <a:alpha val="69000"/>
                </a:schemeClr>
              </a:solidFill>
            </a:ln>
          </c:spPr>
          <c:invertIfNegative val="0"/>
          <c:dPt>
            <c:idx val="0"/>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0-3185-42E1-9792-E1A03815E9E6}"/>
              </c:ext>
            </c:extLst>
          </c:dPt>
          <c:dPt>
            <c:idx val="1"/>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2-3185-42E1-9792-E1A03815E9E6}"/>
              </c:ext>
            </c:extLst>
          </c:dPt>
          <c:dPt>
            <c:idx val="2"/>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4-3185-42E1-9792-E1A03815E9E6}"/>
              </c:ext>
            </c:extLst>
          </c:dPt>
          <c:dPt>
            <c:idx val="3"/>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6-3185-42E1-9792-E1A03815E9E6}"/>
              </c:ext>
            </c:extLst>
          </c:dPt>
          <c:dPt>
            <c:idx val="4"/>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8-3185-42E1-9792-E1A03815E9E6}"/>
              </c:ext>
            </c:extLst>
          </c:dPt>
          <c:dPt>
            <c:idx val="5"/>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A-3185-42E1-9792-E1A03815E9E6}"/>
              </c:ext>
            </c:extLst>
          </c:dPt>
          <c:dPt>
            <c:idx val="6"/>
            <c:invertIfNegative val="0"/>
            <c:bubble3D val="0"/>
            <c:spPr>
              <a:solidFill>
                <a:srgbClr val="F2B800"/>
              </a:solidFill>
              <a:ln>
                <a:solidFill>
                  <a:schemeClr val="tx1">
                    <a:alpha val="69000"/>
                  </a:schemeClr>
                </a:solidFill>
              </a:ln>
            </c:spPr>
            <c:extLst>
              <c:ext xmlns:c16="http://schemas.microsoft.com/office/drawing/2014/chart" uri="{C3380CC4-5D6E-409C-BE32-E72D297353CC}">
                <c16:uniqueId val="{0000001C-3185-42E1-9792-E1A03815E9E6}"/>
              </c:ext>
            </c:extLst>
          </c:dPt>
          <c:dPt>
            <c:idx val="7"/>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1E-3185-42E1-9792-E1A03815E9E6}"/>
              </c:ext>
            </c:extLst>
          </c:dPt>
          <c:dPt>
            <c:idx val="8"/>
            <c:invertIfNegative val="0"/>
            <c:bubble3D val="0"/>
            <c:spPr>
              <a:solidFill>
                <a:srgbClr val="00863D"/>
              </a:solidFill>
              <a:ln>
                <a:solidFill>
                  <a:schemeClr val="tx1">
                    <a:alpha val="69000"/>
                  </a:schemeClr>
                </a:solidFill>
              </a:ln>
            </c:spPr>
            <c:extLst>
              <c:ext xmlns:c16="http://schemas.microsoft.com/office/drawing/2014/chart" uri="{C3380CC4-5D6E-409C-BE32-E72D297353CC}">
                <c16:uniqueId val="{00000020-3185-42E1-9792-E1A03815E9E6}"/>
              </c:ext>
            </c:extLst>
          </c:dPt>
          <c:dPt>
            <c:idx val="9"/>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22-3185-42E1-9792-E1A03815E9E6}"/>
              </c:ext>
            </c:extLst>
          </c:dPt>
          <c:dPt>
            <c:idx val="10"/>
            <c:invertIfNegative val="0"/>
            <c:bubble3D val="0"/>
            <c:spPr>
              <a:solidFill>
                <a:srgbClr val="DB313D"/>
              </a:solidFill>
              <a:ln>
                <a:solidFill>
                  <a:schemeClr val="tx1">
                    <a:alpha val="69000"/>
                  </a:schemeClr>
                </a:solidFill>
              </a:ln>
            </c:spPr>
            <c:extLst>
              <c:ext xmlns:c16="http://schemas.microsoft.com/office/drawing/2014/chart" uri="{C3380CC4-5D6E-409C-BE32-E72D297353CC}">
                <c16:uniqueId val="{00000024-3185-42E1-9792-E1A03815E9E6}"/>
              </c:ext>
            </c:extLst>
          </c:dPt>
          <c:errBars>
            <c:errBarType val="both"/>
            <c:errValType val="cust"/>
            <c:noEndCap val="0"/>
            <c:plus>
              <c:numRef>
                <c:f>('KPI 6'!$CY$284,'KPI 6'!$CY$286,'KPI 6'!$CY$288,'KPI 6'!$CY$290,'KPI 6'!$CY$292,'KPI 6'!$CY$294,'KPI 6'!$CY$296,'KPI 6'!$CY$298,'KPI 6'!$CY$300,'KPI 6'!$CY$302,'KPI 6'!$CY$304)</c:f>
                <c:numCache>
                  <c:formatCode>General</c:formatCode>
                  <c:ptCount val="11"/>
                  <c:pt idx="0">
                    <c:v>6.2484233810675631E-2</c:v>
                  </c:pt>
                  <c:pt idx="1">
                    <c:v>3.925375557610928E-2</c:v>
                  </c:pt>
                  <c:pt idx="2">
                    <c:v>1.9537580902601576E-2</c:v>
                  </c:pt>
                  <c:pt idx="4">
                    <c:v>1.810657315725946E-2</c:v>
                  </c:pt>
                  <c:pt idx="5">
                    <c:v>1.3779551955715381E-2</c:v>
                  </c:pt>
                  <c:pt idx="6">
                    <c:v>2.8232937795041116E-2</c:v>
                  </c:pt>
                  <c:pt idx="7">
                    <c:v>5.7910153261402787E-2</c:v>
                  </c:pt>
                  <c:pt idx="8">
                    <c:v>3.7114035871644677E-2</c:v>
                  </c:pt>
                  <c:pt idx="9">
                    <c:v>1.702609068039063E-2</c:v>
                  </c:pt>
                  <c:pt idx="10">
                    <c:v>9.9192427510067308E-3</c:v>
                  </c:pt>
                </c:numCache>
              </c:numRef>
            </c:plus>
            <c:minus>
              <c:numRef>
                <c:f>('KPI 6'!$CY$284,'KPI 6'!$CY$286,'KPI 6'!$CY$288,'KPI 6'!$CY$290,'KPI 6'!$CY$292,'KPI 6'!$CY$294,'KPI 6'!$CY$296,'KPI 6'!$CY$298,'KPI 6'!$CY$300,'KPI 6'!$CY$302,'KPI 6'!$CY$304)</c:f>
                <c:numCache>
                  <c:formatCode>General</c:formatCode>
                  <c:ptCount val="11"/>
                  <c:pt idx="0">
                    <c:v>6.2484233810675631E-2</c:v>
                  </c:pt>
                  <c:pt idx="1">
                    <c:v>3.925375557610928E-2</c:v>
                  </c:pt>
                  <c:pt idx="2">
                    <c:v>1.9537580902601576E-2</c:v>
                  </c:pt>
                  <c:pt idx="4">
                    <c:v>1.810657315725946E-2</c:v>
                  </c:pt>
                  <c:pt idx="5">
                    <c:v>1.3779551955715381E-2</c:v>
                  </c:pt>
                  <c:pt idx="6">
                    <c:v>2.8232937795041116E-2</c:v>
                  </c:pt>
                  <c:pt idx="7">
                    <c:v>5.7910153261402787E-2</c:v>
                  </c:pt>
                  <c:pt idx="8">
                    <c:v>3.7114035871644677E-2</c:v>
                  </c:pt>
                  <c:pt idx="9">
                    <c:v>1.702609068039063E-2</c:v>
                  </c:pt>
                  <c:pt idx="10">
                    <c:v>9.9192427510067308E-3</c:v>
                  </c:pt>
                </c:numCache>
              </c:numRef>
            </c:minus>
          </c:errBars>
          <c:cat>
            <c:strRef>
              <c:f>('KPI 6'!$A$104,'KPI 6'!$A$106,'KPI 6'!$A$108,'KPI 6'!$A$110,'KPI 6'!$A$112,'KPI 6'!$A$114,'KPI 6'!$A$116,'KPI 6'!$A$118,'KPI 6'!$A$120,'KPI 6'!$A$122,'KPI 6'!$A$124)</c:f>
              <c:strCache>
                <c:ptCount val="11"/>
                <c:pt idx="0">
                  <c:v>Alfred     (8.11)</c:v>
                </c:pt>
                <c:pt idx="1">
                  <c:v>Austin      (5.6)</c:v>
                </c:pt>
                <c:pt idx="2">
                  <c:v>Barwon      (2,3)</c:v>
                </c:pt>
                <c:pt idx="3">
                  <c:v>Bendigo      (1,0)</c:v>
                </c:pt>
                <c:pt idx="4">
                  <c:v>Eastern      (11,11)</c:v>
                </c:pt>
                <c:pt idx="5">
                  <c:v>Melbourne       (19, 24)</c:v>
                </c:pt>
                <c:pt idx="6">
                  <c:v>Monash       (22,31)</c:v>
                </c:pt>
                <c:pt idx="7">
                  <c:v>Northern       (3,6)</c:v>
                </c:pt>
                <c:pt idx="8">
                  <c:v>St Vincents       (10.15)</c:v>
                </c:pt>
                <c:pt idx="9">
                  <c:v>Western       (7,7)</c:v>
                </c:pt>
                <c:pt idx="10">
                  <c:v>State        (88,114)</c:v>
                </c:pt>
              </c:strCache>
            </c:strRef>
          </c:cat>
          <c:val>
            <c:numRef>
              <c:f>('KPI 6'!$AI$105,'KPI 6'!$AI$107,'KPI 6'!$AI$109,'KPI 6'!$AI$111,'KPI 6'!$AI$113,'KPI 6'!$AI$115,'KPI 6'!$AI$117,'KPI 6'!$AI$119,'KPI 6'!$AI$121,'KPI 6'!$AI$123,'KPI 6'!$AI$125)</c:f>
              <c:numCache>
                <c:formatCode>0%</c:formatCode>
                <c:ptCount val="11"/>
                <c:pt idx="0">
                  <c:v>0.24444444444444444</c:v>
                </c:pt>
                <c:pt idx="1">
                  <c:v>0.31578947368421051</c:v>
                </c:pt>
                <c:pt idx="2">
                  <c:v>0.23076923076923078</c:v>
                </c:pt>
                <c:pt idx="3">
                  <c:v>0</c:v>
                </c:pt>
                <c:pt idx="4">
                  <c:v>0.36666666666666664</c:v>
                </c:pt>
                <c:pt idx="5">
                  <c:v>0.34285714285714286</c:v>
                </c:pt>
                <c:pt idx="6">
                  <c:v>0.36904761904761907</c:v>
                </c:pt>
                <c:pt idx="7">
                  <c:v>0.3</c:v>
                </c:pt>
                <c:pt idx="8">
                  <c:v>0.4838709677419355</c:v>
                </c:pt>
                <c:pt idx="9">
                  <c:v>0.22580645161290322</c:v>
                </c:pt>
                <c:pt idx="10">
                  <c:v>0.3202247191011236</c:v>
                </c:pt>
              </c:numCache>
            </c:numRef>
          </c:val>
          <c:extLst>
            <c:ext xmlns:c16="http://schemas.microsoft.com/office/drawing/2014/chart" uri="{C3380CC4-5D6E-409C-BE32-E72D297353CC}">
              <c16:uniqueId val="{00000025-3185-42E1-9792-E1A03815E9E6}"/>
            </c:ext>
          </c:extLst>
        </c:ser>
        <c:dLbls>
          <c:showLegendKey val="0"/>
          <c:showVal val="0"/>
          <c:showCatName val="0"/>
          <c:showSerName val="0"/>
          <c:showPercent val="0"/>
          <c:showBubbleSize val="0"/>
        </c:dLbls>
        <c:gapWidth val="150"/>
        <c:axId val="159556736"/>
        <c:axId val="159558272"/>
      </c:barChart>
      <c:catAx>
        <c:axId val="159556736"/>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59558272"/>
        <c:crosses val="autoZero"/>
        <c:auto val="1"/>
        <c:lblAlgn val="ctr"/>
        <c:lblOffset val="100"/>
        <c:noMultiLvlLbl val="0"/>
      </c:catAx>
      <c:valAx>
        <c:axId val="159558272"/>
        <c:scaling>
          <c:orientation val="minMax"/>
          <c:max val="0.5"/>
          <c:min val="0"/>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59556736"/>
        <c:crosses val="autoZero"/>
        <c:crossBetween val="between"/>
      </c:valAx>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AU" sz="1000" b="0">
                <a:latin typeface="VIC SemiBold" panose="00000700000000000000" pitchFamily="2" charset="0"/>
              </a:rPr>
              <a:t>KPI 1 - Number</a:t>
            </a:r>
            <a:r>
              <a:rPr lang="en-AU" sz="1000" b="0" baseline="0">
                <a:latin typeface="VIC SemiBold" panose="00000700000000000000" pitchFamily="2" charset="0"/>
              </a:rPr>
              <a:t> of new planned patients to receive CKD education before starting dialysis </a:t>
            </a:r>
            <a:endParaRPr lang="en-AU" sz="1000" b="0">
              <a:latin typeface="VIC SemiBold" panose="00000700000000000000" pitchFamily="2" charset="0"/>
            </a:endParaRPr>
          </a:p>
        </c:rich>
      </c:tx>
      <c:layout>
        <c:manualLayout>
          <c:xMode val="edge"/>
          <c:yMode val="edge"/>
          <c:x val="0.1387425226216242"/>
          <c:y val="4.4862353058652084E-2"/>
        </c:manualLayout>
      </c:layout>
      <c:overlay val="0"/>
    </c:title>
    <c:autoTitleDeleted val="0"/>
    <c:plotArea>
      <c:layout>
        <c:manualLayout>
          <c:layoutTarget val="inner"/>
          <c:xMode val="edge"/>
          <c:yMode val="edge"/>
          <c:x val="5.388728434951074E-2"/>
          <c:y val="0.17276235986031979"/>
          <c:w val="0.92393753169725878"/>
          <c:h val="0.63937789342220841"/>
        </c:manualLayout>
      </c:layout>
      <c:barChart>
        <c:barDir val="col"/>
        <c:grouping val="clustered"/>
        <c:varyColors val="0"/>
        <c:ser>
          <c:idx val="0"/>
          <c:order val="0"/>
          <c:tx>
            <c:strRef>
              <c:f>'KPI 1'!$B$31</c:f>
              <c:strCache>
                <c:ptCount val="1"/>
                <c:pt idx="0">
                  <c:v>No of new planned patients that have received education</c:v>
                </c:pt>
              </c:strCache>
            </c:strRef>
          </c:tx>
          <c:spPr>
            <a:solidFill>
              <a:srgbClr val="64C2C8"/>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1'!$CT$31,'KPI 1'!$CT$33,'KPI 1'!$CT$35,'KPI 1'!$CT$37,'KPI 1'!$CT$39,'KPI 1'!$CT$41,'KPI 1'!$CT$43,'KPI 1'!$CT$45,'KPI 1'!$CT$47,'KPI 1'!$CT$49)</c:f>
              <c:numCache>
                <c:formatCode>0</c:formatCode>
                <c:ptCount val="10"/>
                <c:pt idx="0">
                  <c:v>51</c:v>
                </c:pt>
                <c:pt idx="1">
                  <c:v>24</c:v>
                </c:pt>
                <c:pt idx="2">
                  <c:v>24</c:v>
                </c:pt>
                <c:pt idx="3">
                  <c:v>17</c:v>
                </c:pt>
                <c:pt idx="4">
                  <c:v>49</c:v>
                </c:pt>
                <c:pt idx="5">
                  <c:v>92</c:v>
                </c:pt>
                <c:pt idx="6">
                  <c:v>124</c:v>
                </c:pt>
                <c:pt idx="7">
                  <c:v>30</c:v>
                </c:pt>
                <c:pt idx="8">
                  <c:v>40</c:v>
                </c:pt>
                <c:pt idx="9">
                  <c:v>62</c:v>
                </c:pt>
              </c:numCache>
            </c:numRef>
          </c:val>
          <c:extLst>
            <c:ext xmlns:c16="http://schemas.microsoft.com/office/drawing/2014/chart" uri="{C3380CC4-5D6E-409C-BE32-E72D297353CC}">
              <c16:uniqueId val="{00000000-9159-40A8-8FD4-EEF229AD5613}"/>
            </c:ext>
          </c:extLst>
        </c:ser>
        <c:ser>
          <c:idx val="1"/>
          <c:order val="1"/>
          <c:tx>
            <c:strRef>
              <c:f>'KPI 1'!$B$32</c:f>
              <c:strCache>
                <c:ptCount val="1"/>
                <c:pt idx="0">
                  <c:v>No of new planned patients that have started dialysis</c:v>
                </c:pt>
              </c:strCache>
            </c:strRef>
          </c:tx>
          <c:spPr>
            <a:solidFill>
              <a:srgbClr val="005892"/>
            </a:solidFill>
          </c:spPr>
          <c:invertIfNegative val="0"/>
          <c:cat>
            <c:strRef>
              <c:f>('KPI 1'!$A$31,'KPI 1'!$A$33,'KPI 1'!$A$35,'KPI 1'!$A$37,'KPI 1'!$A$39,'KPI 1'!$A$41,'KPI 1'!$A$43,'KPI 1'!$A$45,'KPI 1'!$A$47,'KPI 1'!$A$49)</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1'!$CT$32,'KPI 1'!$CT$34,'KPI 1'!$CT$36,'KPI 1'!$CT$38,'KPI 1'!$CT$40,'KPI 1'!$CT$42,'KPI 1'!$CT$44,'KPI 1'!$CT$46,'KPI 1'!$CT$48,'KPI 1'!$CT$50)</c:f>
              <c:numCache>
                <c:formatCode>0</c:formatCode>
                <c:ptCount val="10"/>
                <c:pt idx="0">
                  <c:v>51</c:v>
                </c:pt>
                <c:pt idx="1">
                  <c:v>28</c:v>
                </c:pt>
                <c:pt idx="2">
                  <c:v>24</c:v>
                </c:pt>
                <c:pt idx="3">
                  <c:v>19</c:v>
                </c:pt>
                <c:pt idx="4">
                  <c:v>54</c:v>
                </c:pt>
                <c:pt idx="5">
                  <c:v>106</c:v>
                </c:pt>
                <c:pt idx="6">
                  <c:v>136</c:v>
                </c:pt>
                <c:pt idx="7">
                  <c:v>30</c:v>
                </c:pt>
                <c:pt idx="8">
                  <c:v>48</c:v>
                </c:pt>
                <c:pt idx="9">
                  <c:v>62</c:v>
                </c:pt>
              </c:numCache>
            </c:numRef>
          </c:val>
          <c:extLst>
            <c:ext xmlns:c16="http://schemas.microsoft.com/office/drawing/2014/chart" uri="{C3380CC4-5D6E-409C-BE32-E72D297353CC}">
              <c16:uniqueId val="{00000001-9159-40A8-8FD4-EEF229AD5613}"/>
            </c:ext>
          </c:extLst>
        </c:ser>
        <c:dLbls>
          <c:showLegendKey val="0"/>
          <c:showVal val="0"/>
          <c:showCatName val="0"/>
          <c:showSerName val="0"/>
          <c:showPercent val="0"/>
          <c:showBubbleSize val="0"/>
        </c:dLbls>
        <c:gapWidth val="150"/>
        <c:axId val="142397824"/>
        <c:axId val="142399360"/>
      </c:barChart>
      <c:catAx>
        <c:axId val="142397824"/>
        <c:scaling>
          <c:orientation val="minMax"/>
        </c:scaling>
        <c:delete val="0"/>
        <c:axPos val="b"/>
        <c:numFmt formatCode="General" sourceLinked="0"/>
        <c:majorTickMark val="none"/>
        <c:minorTickMark val="none"/>
        <c:tickLblPos val="nextTo"/>
        <c:txPr>
          <a:bodyPr/>
          <a:lstStyle/>
          <a:p>
            <a:pPr>
              <a:defRPr sz="800" baseline="0">
                <a:latin typeface="VIC" panose="00000500000000000000" pitchFamily="2" charset="0"/>
              </a:defRPr>
            </a:pPr>
            <a:endParaRPr lang="en-US"/>
          </a:p>
        </c:txPr>
        <c:crossAx val="142399360"/>
        <c:crosses val="autoZero"/>
        <c:auto val="1"/>
        <c:lblAlgn val="ctr"/>
        <c:lblOffset val="100"/>
        <c:noMultiLvlLbl val="0"/>
      </c:catAx>
      <c:valAx>
        <c:axId val="142399360"/>
        <c:scaling>
          <c:orientation val="minMax"/>
        </c:scaling>
        <c:delete val="0"/>
        <c:axPos val="l"/>
        <c:majorGridlines/>
        <c:numFmt formatCode="0" sourceLinked="1"/>
        <c:majorTickMark val="none"/>
        <c:minorTickMark val="none"/>
        <c:tickLblPos val="nextTo"/>
        <c:txPr>
          <a:bodyPr/>
          <a:lstStyle/>
          <a:p>
            <a:pPr>
              <a:defRPr sz="800" baseline="0">
                <a:latin typeface="VIC" panose="00000500000000000000" pitchFamily="2" charset="0"/>
              </a:defRPr>
            </a:pPr>
            <a:endParaRPr lang="en-US"/>
          </a:p>
        </c:txPr>
        <c:crossAx val="142397824"/>
        <c:crosses val="autoZero"/>
        <c:crossBetween val="between"/>
      </c:valAx>
    </c:plotArea>
    <c:legend>
      <c:legendPos val="b"/>
      <c:layout>
        <c:manualLayout>
          <c:xMode val="edge"/>
          <c:yMode val="edge"/>
          <c:x val="0.11854151735720063"/>
          <c:y val="0.87559055118110241"/>
          <c:w val="0.72864622644878796"/>
          <c:h val="0.10235467947502705"/>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a:latin typeface="VIC SemiBold" panose="00000700000000000000" pitchFamily="2" charset="0"/>
              </a:rPr>
              <a:t>KPI 6 - Number of new ESKD patients &lt;=65yo who are transplanted or on an active list within 3 months</a:t>
            </a:r>
          </a:p>
        </c:rich>
      </c:tx>
      <c:overlay val="0"/>
    </c:title>
    <c:autoTitleDeleted val="0"/>
    <c:plotArea>
      <c:layout>
        <c:manualLayout>
          <c:layoutTarget val="inner"/>
          <c:xMode val="edge"/>
          <c:yMode val="edge"/>
          <c:x val="4.9137038403317519E-2"/>
          <c:y val="0.16336059253720894"/>
          <c:w val="0.93309236385839489"/>
          <c:h val="0.60710927825416583"/>
        </c:manualLayout>
      </c:layout>
      <c:barChart>
        <c:barDir val="col"/>
        <c:grouping val="clustered"/>
        <c:varyColors val="0"/>
        <c:ser>
          <c:idx val="0"/>
          <c:order val="0"/>
          <c:tx>
            <c:strRef>
              <c:f>'KPI 6'!$B$50</c:f>
              <c:strCache>
                <c:ptCount val="1"/>
                <c:pt idx="0">
                  <c:v>No of patients &lt;= 65yo had tx or on active list &lt; 3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6'!$AI$54,'KPI 6'!$AI$58,'KPI 6'!$AI$62,'KPI 6'!$AI$66,'KPI 6'!$AI$70,'KPI 6'!$AI$74,'KPI 6'!$AI$78,'KPI 6'!$AI$82,'KPI 6'!$AI$86,'KPI 6'!$AI$90)</c:f>
              <c:numCache>
                <c:formatCode>0</c:formatCode>
                <c:ptCount val="10"/>
                <c:pt idx="0" formatCode="General">
                  <c:v>8</c:v>
                </c:pt>
                <c:pt idx="1">
                  <c:v>5</c:v>
                </c:pt>
                <c:pt idx="2">
                  <c:v>2</c:v>
                </c:pt>
                <c:pt idx="3">
                  <c:v>1</c:v>
                </c:pt>
                <c:pt idx="4">
                  <c:v>11</c:v>
                </c:pt>
                <c:pt idx="5">
                  <c:v>19</c:v>
                </c:pt>
                <c:pt idx="6">
                  <c:v>22</c:v>
                </c:pt>
                <c:pt idx="7" formatCode="General">
                  <c:v>3</c:v>
                </c:pt>
                <c:pt idx="8" formatCode="General">
                  <c:v>10</c:v>
                </c:pt>
                <c:pt idx="9" formatCode="General">
                  <c:v>7</c:v>
                </c:pt>
              </c:numCache>
            </c:numRef>
          </c:val>
          <c:extLst>
            <c:ext xmlns:c16="http://schemas.microsoft.com/office/drawing/2014/chart" uri="{C3380CC4-5D6E-409C-BE32-E72D297353CC}">
              <c16:uniqueId val="{00000000-2FCE-4776-8C47-10931AB9AA56}"/>
            </c:ext>
          </c:extLst>
        </c:ser>
        <c:ser>
          <c:idx val="1"/>
          <c:order val="1"/>
          <c:tx>
            <c:strRef>
              <c:f>'KPI 6'!$B$51</c:f>
              <c:strCache>
                <c:ptCount val="1"/>
                <c:pt idx="0">
                  <c:v>Total number of new patients &lt;= 65 yo that began RRT 3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6'!$AI$55,'KPI 6'!$AI$59,'KPI 6'!$AI$63,'KPI 6'!$AI$67,'KPI 6'!$AI$71,'KPI 6'!$AI$75,'KPI 6'!$AI$79,'KPI 6'!$AI$83,'KPI 6'!$AI$87,'KPI 6'!$AI$91)</c:f>
              <c:numCache>
                <c:formatCode>0</c:formatCode>
                <c:ptCount val="10"/>
                <c:pt idx="0" formatCode="General">
                  <c:v>40</c:v>
                </c:pt>
                <c:pt idx="1">
                  <c:v>22</c:v>
                </c:pt>
                <c:pt idx="2">
                  <c:v>17</c:v>
                </c:pt>
                <c:pt idx="3">
                  <c:v>15</c:v>
                </c:pt>
                <c:pt idx="4">
                  <c:v>28</c:v>
                </c:pt>
                <c:pt idx="5">
                  <c:v>70</c:v>
                </c:pt>
                <c:pt idx="6">
                  <c:v>84</c:v>
                </c:pt>
                <c:pt idx="7" formatCode="General">
                  <c:v>18</c:v>
                </c:pt>
                <c:pt idx="8" formatCode="General">
                  <c:v>30</c:v>
                </c:pt>
                <c:pt idx="9" formatCode="General">
                  <c:v>37</c:v>
                </c:pt>
              </c:numCache>
            </c:numRef>
          </c:val>
          <c:extLst>
            <c:ext xmlns:c16="http://schemas.microsoft.com/office/drawing/2014/chart" uri="{C3380CC4-5D6E-409C-BE32-E72D297353CC}">
              <c16:uniqueId val="{00000001-2FCE-4776-8C47-10931AB9AA56}"/>
            </c:ext>
          </c:extLst>
        </c:ser>
        <c:dLbls>
          <c:showLegendKey val="0"/>
          <c:showVal val="0"/>
          <c:showCatName val="0"/>
          <c:showSerName val="0"/>
          <c:showPercent val="0"/>
          <c:showBubbleSize val="0"/>
        </c:dLbls>
        <c:gapWidth val="150"/>
        <c:axId val="56388608"/>
        <c:axId val="56398592"/>
      </c:barChart>
      <c:catAx>
        <c:axId val="56388608"/>
        <c:scaling>
          <c:orientation val="minMax"/>
        </c:scaling>
        <c:delete val="0"/>
        <c:axPos val="b"/>
        <c:numFmt formatCode="General" sourceLinked="0"/>
        <c:majorTickMark val="out"/>
        <c:minorTickMark val="none"/>
        <c:tickLblPos val="nextTo"/>
        <c:txPr>
          <a:bodyPr/>
          <a:lstStyle/>
          <a:p>
            <a:pPr>
              <a:defRPr baseline="0">
                <a:latin typeface="VIC" panose="00000500000000000000" pitchFamily="2" charset="0"/>
              </a:defRPr>
            </a:pPr>
            <a:endParaRPr lang="en-US"/>
          </a:p>
        </c:txPr>
        <c:crossAx val="56398592"/>
        <c:crosses val="autoZero"/>
        <c:auto val="1"/>
        <c:lblAlgn val="ctr"/>
        <c:lblOffset val="100"/>
        <c:noMultiLvlLbl val="0"/>
      </c:catAx>
      <c:valAx>
        <c:axId val="56398592"/>
        <c:scaling>
          <c:orientation val="minMax"/>
        </c:scaling>
        <c:delete val="0"/>
        <c:axPos val="l"/>
        <c:majorGridlines/>
        <c:numFmt formatCode="General" sourceLinked="1"/>
        <c:majorTickMark val="out"/>
        <c:minorTickMark val="none"/>
        <c:tickLblPos val="nextTo"/>
        <c:txPr>
          <a:bodyPr/>
          <a:lstStyle/>
          <a:p>
            <a:pPr>
              <a:defRPr baseline="0">
                <a:latin typeface="VIC" panose="00000500000000000000" pitchFamily="2" charset="0"/>
              </a:defRPr>
            </a:pPr>
            <a:endParaRPr lang="en-US"/>
          </a:p>
        </c:txPr>
        <c:crossAx val="56388608"/>
        <c:crosses val="autoZero"/>
        <c:crossBetween val="between"/>
      </c:valAx>
    </c:plotArea>
    <c:legend>
      <c:legendPos val="b"/>
      <c:overlay val="0"/>
      <c:txPr>
        <a:bodyPr/>
        <a:lstStyle/>
        <a:p>
          <a:pPr>
            <a:defRPr baseline="0">
              <a:latin typeface="VIC" panose="00000500000000000000" pitchFamily="2" charset="0"/>
            </a:defRPr>
          </a:pPr>
          <a:endParaRPr lang="en-US"/>
        </a:p>
      </c:txPr>
    </c:legend>
    <c:plotVisOnly val="1"/>
    <c:dispBlanksAs val="gap"/>
    <c:showDLblsOverMax val="0"/>
  </c:chart>
  <c:spPr>
    <a:ln>
      <a:noFill/>
    </a:ln>
  </c:spPr>
  <c:txPr>
    <a:bodyPr/>
    <a:lstStyle/>
    <a:p>
      <a:pPr>
        <a:defRPr sz="800"/>
      </a:pPr>
      <a:endParaRPr lang="en-US"/>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a:lstStyle/>
          <a:p>
            <a:pPr>
              <a:defRPr sz="1200"/>
            </a:pPr>
            <a:r>
              <a:rPr lang="en-US" sz="1000" b="0">
                <a:latin typeface="VIC SemiBold" panose="00000700000000000000" pitchFamily="2" charset="0"/>
              </a:rPr>
              <a:t>KPI 6 - </a:t>
            </a:r>
            <a:r>
              <a:rPr lang="en-US" sz="1000" b="0" i="0" u="none" strike="noStrike" baseline="0">
                <a:latin typeface="VIC SemiBold" panose="00000700000000000000" pitchFamily="2" charset="0"/>
              </a:rPr>
              <a:t>Number of new ESKD patients &lt;=65yo who are transplanted or on an active list within 6 months</a:t>
            </a:r>
            <a:endParaRPr lang="en-US" sz="1000" b="0">
              <a:latin typeface="VIC SemiBold" panose="00000700000000000000" pitchFamily="2" charset="0"/>
            </a:endParaRPr>
          </a:p>
        </c:rich>
      </c:tx>
      <c:overlay val="0"/>
    </c:title>
    <c:autoTitleDeleted val="0"/>
    <c:plotArea>
      <c:layout>
        <c:manualLayout>
          <c:layoutTarget val="inner"/>
          <c:xMode val="edge"/>
          <c:yMode val="edge"/>
          <c:x val="4.9137038403317519E-2"/>
          <c:y val="0.15149115633542881"/>
          <c:w val="0.93309236385839489"/>
          <c:h val="0.62788079160728061"/>
        </c:manualLayout>
      </c:layout>
      <c:barChart>
        <c:barDir val="col"/>
        <c:grouping val="clustered"/>
        <c:varyColors val="0"/>
        <c:ser>
          <c:idx val="0"/>
          <c:order val="0"/>
          <c:tx>
            <c:strRef>
              <c:f>'KPI 6'!$B$52</c:f>
              <c:strCache>
                <c:ptCount val="1"/>
                <c:pt idx="0">
                  <c:v>No of patients &lt;= 65yo had tx or on active list &lt; 6 month after requiring RRT</c:v>
                </c:pt>
              </c:strCache>
            </c:strRef>
          </c:tx>
          <c:spPr>
            <a:solidFill>
              <a:srgbClr val="64C2C8"/>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6'!$AI$56,'KPI 6'!$AI$60,'KPI 6'!$AI$64,'KPI 6'!$AI$68,'KPI 6'!$AI$72,'KPI 6'!$AI$76,'KPI 6'!$AI$80,'KPI 6'!$AI$84,'KPI 6'!$AI$88,'KPI 6'!$AI$92)</c:f>
              <c:numCache>
                <c:formatCode>0</c:formatCode>
                <c:ptCount val="10"/>
                <c:pt idx="0" formatCode="General">
                  <c:v>11</c:v>
                </c:pt>
                <c:pt idx="1">
                  <c:v>6</c:v>
                </c:pt>
                <c:pt idx="2">
                  <c:v>3</c:v>
                </c:pt>
                <c:pt idx="3">
                  <c:v>0</c:v>
                </c:pt>
                <c:pt idx="4">
                  <c:v>11</c:v>
                </c:pt>
                <c:pt idx="5">
                  <c:v>24</c:v>
                </c:pt>
                <c:pt idx="6">
                  <c:v>31</c:v>
                </c:pt>
                <c:pt idx="7" formatCode="General">
                  <c:v>6</c:v>
                </c:pt>
                <c:pt idx="8" formatCode="General">
                  <c:v>15</c:v>
                </c:pt>
                <c:pt idx="9" formatCode="General">
                  <c:v>7</c:v>
                </c:pt>
              </c:numCache>
            </c:numRef>
          </c:val>
          <c:extLst>
            <c:ext xmlns:c16="http://schemas.microsoft.com/office/drawing/2014/chart" uri="{C3380CC4-5D6E-409C-BE32-E72D297353CC}">
              <c16:uniqueId val="{00000000-F9D9-4184-A96C-1F3E15F5CACA}"/>
            </c:ext>
          </c:extLst>
        </c:ser>
        <c:ser>
          <c:idx val="1"/>
          <c:order val="1"/>
          <c:tx>
            <c:strRef>
              <c:f>'KPI 6'!$B$53</c:f>
              <c:strCache>
                <c:ptCount val="1"/>
                <c:pt idx="0">
                  <c:v>Total number of new patients &lt;= 65 yo began RRT 6 months previous</c:v>
                </c:pt>
              </c:strCache>
            </c:strRef>
          </c:tx>
          <c:spPr>
            <a:solidFill>
              <a:srgbClr val="005892"/>
            </a:solidFill>
          </c:spPr>
          <c:invertIfNegative val="0"/>
          <c:cat>
            <c:strRef>
              <c:f>('KPI 6'!$A$54,'KPI 6'!$A$58,'KPI 6'!$A$62,'KPI 6'!$A$66,'KPI 6'!$A$70,'KPI 6'!$A$74,'KPI 6'!$A$78,'KPI 6'!$A$82,'KPI 6'!$A$86,'KPI 6'!$A$90)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6'!$AI$57,'KPI 6'!$AI$61,'KPI 6'!$AI$65,'KPI 6'!$AI$69,'KPI 6'!$AI$73,'KPI 6'!$AI$77,'KPI 6'!$AI$81,'KPI 6'!$AI$85,'KPI 6'!$AI$89,'KPI 6'!$AI$93)</c:f>
              <c:numCache>
                <c:formatCode>0</c:formatCode>
                <c:ptCount val="10"/>
                <c:pt idx="0" formatCode="General">
                  <c:v>45</c:v>
                </c:pt>
                <c:pt idx="1">
                  <c:v>19</c:v>
                </c:pt>
                <c:pt idx="2">
                  <c:v>13</c:v>
                </c:pt>
                <c:pt idx="3">
                  <c:v>13</c:v>
                </c:pt>
                <c:pt idx="4">
                  <c:v>30</c:v>
                </c:pt>
                <c:pt idx="5">
                  <c:v>70</c:v>
                </c:pt>
                <c:pt idx="6">
                  <c:v>84</c:v>
                </c:pt>
                <c:pt idx="7" formatCode="General">
                  <c:v>20</c:v>
                </c:pt>
                <c:pt idx="8" formatCode="General">
                  <c:v>31</c:v>
                </c:pt>
                <c:pt idx="9" formatCode="General">
                  <c:v>31</c:v>
                </c:pt>
              </c:numCache>
            </c:numRef>
          </c:val>
          <c:extLst>
            <c:ext xmlns:c16="http://schemas.microsoft.com/office/drawing/2014/chart" uri="{C3380CC4-5D6E-409C-BE32-E72D297353CC}">
              <c16:uniqueId val="{00000001-F9D9-4184-A96C-1F3E15F5CACA}"/>
            </c:ext>
          </c:extLst>
        </c:ser>
        <c:dLbls>
          <c:showLegendKey val="0"/>
          <c:showVal val="0"/>
          <c:showCatName val="0"/>
          <c:showSerName val="0"/>
          <c:showPercent val="0"/>
          <c:showBubbleSize val="0"/>
        </c:dLbls>
        <c:gapWidth val="150"/>
        <c:axId val="163121792"/>
        <c:axId val="163135872"/>
      </c:barChart>
      <c:catAx>
        <c:axId val="163121792"/>
        <c:scaling>
          <c:orientation val="minMax"/>
        </c:scaling>
        <c:delete val="0"/>
        <c:axPos val="b"/>
        <c:numFmt formatCode="General" sourceLinked="0"/>
        <c:majorTickMark val="out"/>
        <c:minorTickMark val="none"/>
        <c:tickLblPos val="nextTo"/>
        <c:txPr>
          <a:bodyPr/>
          <a:lstStyle/>
          <a:p>
            <a:pPr>
              <a:defRPr sz="800"/>
            </a:pPr>
            <a:endParaRPr lang="en-US"/>
          </a:p>
        </c:txPr>
        <c:crossAx val="163135872"/>
        <c:crosses val="autoZero"/>
        <c:auto val="1"/>
        <c:lblAlgn val="ctr"/>
        <c:lblOffset val="100"/>
        <c:noMultiLvlLbl val="0"/>
      </c:catAx>
      <c:valAx>
        <c:axId val="163135872"/>
        <c:scaling>
          <c:orientation val="minMax"/>
        </c:scaling>
        <c:delete val="0"/>
        <c:axPos val="l"/>
        <c:majorGridlines/>
        <c:numFmt formatCode="General" sourceLinked="1"/>
        <c:majorTickMark val="out"/>
        <c:minorTickMark val="none"/>
        <c:tickLblPos val="nextTo"/>
        <c:txPr>
          <a:bodyPr/>
          <a:lstStyle/>
          <a:p>
            <a:pPr>
              <a:defRPr sz="800" baseline="0">
                <a:latin typeface="VIC" panose="00000500000000000000" pitchFamily="2" charset="0"/>
              </a:defRPr>
            </a:pPr>
            <a:endParaRPr lang="en-US"/>
          </a:p>
        </c:txPr>
        <c:crossAx val="163121792"/>
        <c:crosses val="autoZero"/>
        <c:crossBetween val="between"/>
      </c:valAx>
    </c:plotArea>
    <c:legend>
      <c:legendPos val="b"/>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6 - Percentage of new ESKD patients &lt;=65yo who are transplanted or on an active list within 3 months (2017 to 2019 yearly averages)</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6'!$T$186</c:f>
              <c:strCache>
                <c:ptCount val="1"/>
                <c:pt idx="0">
                  <c:v>2017</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6'!$W$188,'KPI 6'!$W$190,'KPI 6'!$W$192,'KPI 6'!$W$194,'KPI 6'!$W$196,'KPI 6'!$W$198,'KPI 6'!$W$200,'KPI 6'!$W$202,'KPI 6'!$W$204,'KPI 6'!$W$206,'KPI 6'!$W$208)</c:f>
              <c:numCache>
                <c:formatCode>0%</c:formatCode>
                <c:ptCount val="11"/>
                <c:pt idx="0">
                  <c:v>0.3125</c:v>
                </c:pt>
                <c:pt idx="1">
                  <c:v>0.26666666666666666</c:v>
                </c:pt>
                <c:pt idx="2">
                  <c:v>0.17647058823529413</c:v>
                </c:pt>
                <c:pt idx="3">
                  <c:v>0</c:v>
                </c:pt>
                <c:pt idx="4">
                  <c:v>0.41176470588235292</c:v>
                </c:pt>
                <c:pt idx="5">
                  <c:v>0.31746031746031744</c:v>
                </c:pt>
                <c:pt idx="6">
                  <c:v>0.20967741935483872</c:v>
                </c:pt>
                <c:pt idx="7">
                  <c:v>0.33333333333333331</c:v>
                </c:pt>
                <c:pt idx="8">
                  <c:v>0.14705882352941177</c:v>
                </c:pt>
                <c:pt idx="9">
                  <c:v>0.19354838709677419</c:v>
                </c:pt>
                <c:pt idx="10">
                  <c:v>0.24840764331210191</c:v>
                </c:pt>
              </c:numCache>
            </c:numRef>
          </c:val>
          <c:extLst>
            <c:ext xmlns:c16="http://schemas.microsoft.com/office/drawing/2014/chart" uri="{C3380CC4-5D6E-409C-BE32-E72D297353CC}">
              <c16:uniqueId val="{00000000-A539-4FFD-A60E-BA5B8B65F994}"/>
            </c:ext>
          </c:extLst>
        </c:ser>
        <c:ser>
          <c:idx val="1"/>
          <c:order val="1"/>
          <c:tx>
            <c:strRef>
              <c:f>'KPI 6'!$X$186</c:f>
              <c:strCache>
                <c:ptCount val="1"/>
                <c:pt idx="0">
                  <c:v>2018</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6'!$AA$188,'KPI 6'!$AA$190,'KPI 6'!$AA$192,'KPI 6'!$AA$194,'KPI 6'!$AA$196,'KPI 6'!$AA$198,'KPI 6'!$AA$200,'KPI 6'!$AA$202,'KPI 6'!$AA$204,'KPI 6'!$AA$206,'KPI 6'!$AA$208)</c:f>
              <c:numCache>
                <c:formatCode>0%</c:formatCode>
                <c:ptCount val="11"/>
                <c:pt idx="0">
                  <c:v>0.34482758620689657</c:v>
                </c:pt>
                <c:pt idx="1">
                  <c:v>0.18181818181818182</c:v>
                </c:pt>
                <c:pt idx="2">
                  <c:v>9.0909090909090912E-2</c:v>
                </c:pt>
                <c:pt idx="3">
                  <c:v>0</c:v>
                </c:pt>
                <c:pt idx="4">
                  <c:v>0.30434782608695654</c:v>
                </c:pt>
                <c:pt idx="5">
                  <c:v>0.27586206896551724</c:v>
                </c:pt>
                <c:pt idx="6">
                  <c:v>0.29166666666666669</c:v>
                </c:pt>
                <c:pt idx="7">
                  <c:v>0.19230769230769232</c:v>
                </c:pt>
                <c:pt idx="8">
                  <c:v>0.19047619047619047</c:v>
                </c:pt>
                <c:pt idx="9">
                  <c:v>0.29729729729729731</c:v>
                </c:pt>
                <c:pt idx="10">
                  <c:v>0.25297619047619047</c:v>
                </c:pt>
              </c:numCache>
            </c:numRef>
          </c:val>
          <c:extLst>
            <c:ext xmlns:c16="http://schemas.microsoft.com/office/drawing/2014/chart" uri="{C3380CC4-5D6E-409C-BE32-E72D297353CC}">
              <c16:uniqueId val="{00000001-A539-4FFD-A60E-BA5B8B65F994}"/>
            </c:ext>
          </c:extLst>
        </c:ser>
        <c:ser>
          <c:idx val="2"/>
          <c:order val="2"/>
          <c:tx>
            <c:strRef>
              <c:f>'KPI 6'!$AB$186</c:f>
              <c:strCache>
                <c:ptCount val="1"/>
                <c:pt idx="0">
                  <c:v>2019</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6'!$AE$188,'KPI 6'!$AE$190,'KPI 6'!$AE$192,'KPI 6'!$AE$194,'KPI 6'!$AE$196,'KPI 6'!$AE$198,'KPI 6'!$AE$200,'KPI 6'!$AE$202,'KPI 6'!$AE$204,'KPI 6'!$AE$206,'KPI 6'!$AE$208)</c:f>
              <c:numCache>
                <c:formatCode>0%</c:formatCode>
                <c:ptCount val="11"/>
                <c:pt idx="0">
                  <c:v>0.2</c:v>
                </c:pt>
                <c:pt idx="1">
                  <c:v>0.22727272727272727</c:v>
                </c:pt>
                <c:pt idx="2">
                  <c:v>0.11764705882352941</c:v>
                </c:pt>
                <c:pt idx="3">
                  <c:v>6.6666666666666666E-2</c:v>
                </c:pt>
                <c:pt idx="4">
                  <c:v>0.39285714285714285</c:v>
                </c:pt>
                <c:pt idx="5">
                  <c:v>0.27142857142857141</c:v>
                </c:pt>
                <c:pt idx="6">
                  <c:v>0.26190476190476192</c:v>
                </c:pt>
                <c:pt idx="7">
                  <c:v>0.16666666666666666</c:v>
                </c:pt>
                <c:pt idx="8">
                  <c:v>0.33333333333333331</c:v>
                </c:pt>
                <c:pt idx="9">
                  <c:v>0.1891891891891892</c:v>
                </c:pt>
                <c:pt idx="10">
                  <c:v>0.24376731301939059</c:v>
                </c:pt>
              </c:numCache>
            </c:numRef>
          </c:val>
          <c:extLst>
            <c:ext xmlns:c16="http://schemas.microsoft.com/office/drawing/2014/chart" uri="{C3380CC4-5D6E-409C-BE32-E72D297353CC}">
              <c16:uniqueId val="{00000002-A539-4FFD-A60E-BA5B8B65F994}"/>
            </c:ext>
          </c:extLst>
        </c:ser>
        <c:dLbls>
          <c:showLegendKey val="0"/>
          <c:showVal val="0"/>
          <c:showCatName val="0"/>
          <c:showSerName val="0"/>
          <c:showPercent val="0"/>
          <c:showBubbleSize val="0"/>
        </c:dLbls>
        <c:gapWidth val="150"/>
        <c:axId val="163161984"/>
        <c:axId val="163163520"/>
      </c:barChart>
      <c:catAx>
        <c:axId val="16316198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63163520"/>
        <c:crosses val="autoZero"/>
        <c:auto val="1"/>
        <c:lblAlgn val="ctr"/>
        <c:lblOffset val="100"/>
        <c:noMultiLvlLbl val="0"/>
      </c:catAx>
      <c:valAx>
        <c:axId val="163163520"/>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63161984"/>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6 - Percentage of new ESKD patients &lt;=65yo who are transplanted or on an active list within 6 months (2017 to 2019 yearly averages)</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4.9168509888650312E-2"/>
          <c:y val="0.19356319506453445"/>
          <c:w val="0.91322601490196786"/>
          <c:h val="0.62073666693725138"/>
        </c:manualLayout>
      </c:layout>
      <c:barChart>
        <c:barDir val="col"/>
        <c:grouping val="clustered"/>
        <c:varyColors val="0"/>
        <c:ser>
          <c:idx val="0"/>
          <c:order val="0"/>
          <c:tx>
            <c:strRef>
              <c:f>'KPI 6'!$T$186</c:f>
              <c:strCache>
                <c:ptCount val="1"/>
                <c:pt idx="0">
                  <c:v>2017</c:v>
                </c:pt>
              </c:strCache>
            </c:strRef>
          </c:tx>
          <c:spPr>
            <a:solidFill>
              <a:srgbClr val="64C2C8"/>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6'!$W$189,'KPI 6'!$W$191,'KPI 6'!$W$193,'KPI 6'!$W$195,'KPI 6'!$W$197,'KPI 6'!$W$199,'KPI 6'!$W$201,'KPI 6'!$W$203,'KPI 6'!$W$205,'KPI 6'!$W$207,'KPI 6'!$W$209)</c:f>
              <c:numCache>
                <c:formatCode>0%</c:formatCode>
                <c:ptCount val="11"/>
                <c:pt idx="0">
                  <c:v>0.38461538461538464</c:v>
                </c:pt>
                <c:pt idx="1">
                  <c:v>0.52941176470588236</c:v>
                </c:pt>
                <c:pt idx="2">
                  <c:v>0.16666666666666666</c:v>
                </c:pt>
                <c:pt idx="3">
                  <c:v>0</c:v>
                </c:pt>
                <c:pt idx="4">
                  <c:v>0.36842105263157893</c:v>
                </c:pt>
                <c:pt idx="5">
                  <c:v>0.375</c:v>
                </c:pt>
                <c:pt idx="6">
                  <c:v>0.30645161290322581</c:v>
                </c:pt>
                <c:pt idx="7">
                  <c:v>0.23529411764705882</c:v>
                </c:pt>
                <c:pt idx="8">
                  <c:v>0.11764705882352941</c:v>
                </c:pt>
                <c:pt idx="9">
                  <c:v>0.33333333333333331</c:v>
                </c:pt>
                <c:pt idx="10">
                  <c:v>0.30819672131147541</c:v>
                </c:pt>
              </c:numCache>
            </c:numRef>
          </c:val>
          <c:extLst>
            <c:ext xmlns:c16="http://schemas.microsoft.com/office/drawing/2014/chart" uri="{C3380CC4-5D6E-409C-BE32-E72D297353CC}">
              <c16:uniqueId val="{00000000-7CA0-473C-9A33-121706E237B3}"/>
            </c:ext>
          </c:extLst>
        </c:ser>
        <c:ser>
          <c:idx val="1"/>
          <c:order val="1"/>
          <c:tx>
            <c:strRef>
              <c:f>'KPI 6'!$X$186</c:f>
              <c:strCache>
                <c:ptCount val="1"/>
                <c:pt idx="0">
                  <c:v>2018</c:v>
                </c:pt>
              </c:strCache>
            </c:strRef>
          </c:tx>
          <c:spPr>
            <a:solidFill>
              <a:srgbClr val="005892"/>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6'!$AA$189,'KPI 6'!$AA$191,'KPI 6'!$AA$193,'KPI 6'!$AA$195,'KPI 6'!$AA$197,'KPI 6'!$AA$199,'KPI 6'!$AA$201,'KPI 6'!$AA$203,'KPI 6'!$AA$205,'KPI 6'!$AA$207,'KPI 6'!$AA$209)</c:f>
              <c:numCache>
                <c:formatCode>0%</c:formatCode>
                <c:ptCount val="11"/>
                <c:pt idx="0">
                  <c:v>0.43478260869565216</c:v>
                </c:pt>
                <c:pt idx="1">
                  <c:v>0.43902439024390244</c:v>
                </c:pt>
                <c:pt idx="2">
                  <c:v>0.21428571428571427</c:v>
                </c:pt>
                <c:pt idx="3">
                  <c:v>0</c:v>
                </c:pt>
                <c:pt idx="4">
                  <c:v>0.43478260869565216</c:v>
                </c:pt>
                <c:pt idx="5">
                  <c:v>0.3125</c:v>
                </c:pt>
                <c:pt idx="6">
                  <c:v>0.33783783783783783</c:v>
                </c:pt>
                <c:pt idx="7">
                  <c:v>0.30769230769230771</c:v>
                </c:pt>
                <c:pt idx="8">
                  <c:v>0.25641025641025639</c:v>
                </c:pt>
                <c:pt idx="9">
                  <c:v>0.26190476190476192</c:v>
                </c:pt>
                <c:pt idx="10">
                  <c:v>0.3248587570621469</c:v>
                </c:pt>
              </c:numCache>
            </c:numRef>
          </c:val>
          <c:extLst>
            <c:ext xmlns:c16="http://schemas.microsoft.com/office/drawing/2014/chart" uri="{C3380CC4-5D6E-409C-BE32-E72D297353CC}">
              <c16:uniqueId val="{00000001-7CA0-473C-9A33-121706E237B3}"/>
            </c:ext>
          </c:extLst>
        </c:ser>
        <c:ser>
          <c:idx val="2"/>
          <c:order val="2"/>
          <c:tx>
            <c:strRef>
              <c:f>'KPI 6'!$AB$186</c:f>
              <c:strCache>
                <c:ptCount val="1"/>
                <c:pt idx="0">
                  <c:v>2019</c:v>
                </c:pt>
              </c:strCache>
            </c:strRef>
          </c:tx>
          <c:spPr>
            <a:solidFill>
              <a:srgbClr val="C1E6FF"/>
            </a:solidFill>
          </c:spPr>
          <c:invertIfNegative val="0"/>
          <c:cat>
            <c:strRef>
              <c:f>('KPI 6'!$A$188,'KPI 6'!$A$190,'KPI 6'!$A$192,'KPI 6'!$A$194,'KPI 6'!$A$196,'KPI 6'!$A$198,'KPI 6'!$A$200,'KPI 6'!$A$202,'KPI 6'!$A$204,'KPI 6'!$A$206,'KPI 6'!$A$208)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6'!$AE$189,'KPI 6'!$AE$191,'KPI 6'!$AE$193,'KPI 6'!$AE$195,'KPI 6'!$AE$197,'KPI 6'!$AE$199,'KPI 6'!$AE$201,'KPI 6'!$AE$203,'KPI 6'!$AE$205,'KPI 6'!$AE$207,'KPI 6'!$AE$209)</c:f>
              <c:numCache>
                <c:formatCode>0%</c:formatCode>
                <c:ptCount val="11"/>
                <c:pt idx="0">
                  <c:v>0.24444444444444444</c:v>
                </c:pt>
                <c:pt idx="1">
                  <c:v>0.31578947368421051</c:v>
                </c:pt>
                <c:pt idx="2">
                  <c:v>0.23076923076923078</c:v>
                </c:pt>
                <c:pt idx="3">
                  <c:v>0</c:v>
                </c:pt>
                <c:pt idx="4">
                  <c:v>0.36666666666666664</c:v>
                </c:pt>
                <c:pt idx="5">
                  <c:v>0.34285714285714286</c:v>
                </c:pt>
                <c:pt idx="6">
                  <c:v>0.36904761904761907</c:v>
                </c:pt>
                <c:pt idx="7">
                  <c:v>0.3</c:v>
                </c:pt>
                <c:pt idx="8">
                  <c:v>0.4838709677419355</c:v>
                </c:pt>
                <c:pt idx="9">
                  <c:v>0.22580645161290322</c:v>
                </c:pt>
                <c:pt idx="10">
                  <c:v>0.3202247191011236</c:v>
                </c:pt>
              </c:numCache>
            </c:numRef>
          </c:val>
          <c:extLst>
            <c:ext xmlns:c16="http://schemas.microsoft.com/office/drawing/2014/chart" uri="{C3380CC4-5D6E-409C-BE32-E72D297353CC}">
              <c16:uniqueId val="{00000002-7CA0-473C-9A33-121706E237B3}"/>
            </c:ext>
          </c:extLst>
        </c:ser>
        <c:dLbls>
          <c:showLegendKey val="0"/>
          <c:showVal val="0"/>
          <c:showCatName val="0"/>
          <c:showSerName val="0"/>
          <c:showPercent val="0"/>
          <c:showBubbleSize val="0"/>
        </c:dLbls>
        <c:gapWidth val="150"/>
        <c:axId val="163294208"/>
        <c:axId val="163300096"/>
      </c:barChart>
      <c:catAx>
        <c:axId val="163294208"/>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63300096"/>
        <c:crosses val="autoZero"/>
        <c:auto val="1"/>
        <c:lblAlgn val="ctr"/>
        <c:lblOffset val="100"/>
        <c:noMultiLvlLbl val="0"/>
      </c:catAx>
      <c:valAx>
        <c:axId val="163300096"/>
        <c:scaling>
          <c:orientation val="minMax"/>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63294208"/>
        <c:crosses val="autoZero"/>
        <c:crossBetween val="between"/>
      </c:valAx>
    </c:plotArea>
    <c:legend>
      <c:legendPos val="r"/>
      <c:layout>
        <c:manualLayout>
          <c:xMode val="edge"/>
          <c:yMode val="edge"/>
          <c:x val="8.8045184785272484E-2"/>
          <c:y val="0.90689585193603361"/>
          <c:w val="0.82570947215297597"/>
          <c:h val="6.2496752983196728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0" i="0" baseline="0">
                <a:effectLst/>
                <a:latin typeface="VIC SemiBold" panose="00000700000000000000" pitchFamily="2" charset="0"/>
              </a:rPr>
              <a:t>KPI 1 - Percentage of new planned patients to receive CKD education before starting dialysis 2017 - 2019</a:t>
            </a:r>
            <a:endParaRPr lang="en-AU" sz="1000" b="0">
              <a:effectLst/>
              <a:latin typeface="VIC SemiBold" panose="00000700000000000000" pitchFamily="2" charset="0"/>
            </a:endParaRPr>
          </a:p>
        </c:rich>
      </c:tx>
      <c:overlay val="1"/>
    </c:title>
    <c:autoTitleDeleted val="0"/>
    <c:plotArea>
      <c:layout>
        <c:manualLayout>
          <c:layoutTarget val="inner"/>
          <c:xMode val="edge"/>
          <c:yMode val="edge"/>
          <c:x val="6.1360936347681042E-2"/>
          <c:y val="0.1711555173250402"/>
          <c:w val="0.90722155614797551"/>
          <c:h val="0.6572571075674366"/>
        </c:manualLayout>
      </c:layout>
      <c:barChart>
        <c:barDir val="col"/>
        <c:grouping val="clustered"/>
        <c:varyColors val="0"/>
        <c:ser>
          <c:idx val="0"/>
          <c:order val="0"/>
          <c:tx>
            <c:strRef>
              <c:f>'KPI 1'!$BM$55</c:f>
              <c:strCache>
                <c:ptCount val="1"/>
                <c:pt idx="0">
                  <c:v>2017</c:v>
                </c:pt>
              </c:strCache>
            </c:strRef>
          </c:tx>
          <c:spPr>
            <a:solidFill>
              <a:srgbClr val="64C2C8"/>
            </a:solidFill>
          </c:spPr>
          <c:invertIfNegative val="0"/>
          <c:cat>
            <c:strRef>
              <c:f>'KPI 1'!$A$57:$A$67</c:f>
              <c:strCache>
                <c:ptCount val="11"/>
                <c:pt idx="0">
                  <c:v>Alfred       (51)</c:v>
                </c:pt>
                <c:pt idx="1">
                  <c:v>Austin      (28)</c:v>
                </c:pt>
                <c:pt idx="2">
                  <c:v>Barwon    (24)</c:v>
                </c:pt>
                <c:pt idx="3">
                  <c:v>Bendigo   (19)</c:v>
                </c:pt>
                <c:pt idx="4">
                  <c:v>Eastern    (54)</c:v>
                </c:pt>
                <c:pt idx="5">
                  <c:v>Melbourne (106)</c:v>
                </c:pt>
                <c:pt idx="6">
                  <c:v>Monash   (136)</c:v>
                </c:pt>
                <c:pt idx="7">
                  <c:v>Northern (30)</c:v>
                </c:pt>
                <c:pt idx="8">
                  <c:v>St Vincents (48)</c:v>
                </c:pt>
                <c:pt idx="9">
                  <c:v>Western  (62)</c:v>
                </c:pt>
                <c:pt idx="10">
                  <c:v>State average (588)</c:v>
                </c:pt>
              </c:strCache>
            </c:strRef>
          </c:cat>
          <c:val>
            <c:numRef>
              <c:f>'KPI 1'!$BV$57:$BV$67</c:f>
              <c:numCache>
                <c:formatCode>0%</c:formatCode>
                <c:ptCount val="11"/>
                <c:pt idx="0">
                  <c:v>0.97435897435897434</c:v>
                </c:pt>
                <c:pt idx="1">
                  <c:v>0.8867924528301887</c:v>
                </c:pt>
                <c:pt idx="2">
                  <c:v>0.91176470588235292</c:v>
                </c:pt>
                <c:pt idx="3">
                  <c:v>0.9285714285714286</c:v>
                </c:pt>
                <c:pt idx="4">
                  <c:v>0.83720930232558144</c:v>
                </c:pt>
                <c:pt idx="5">
                  <c:v>0.89873417721518989</c:v>
                </c:pt>
                <c:pt idx="6">
                  <c:v>0.96875</c:v>
                </c:pt>
                <c:pt idx="7">
                  <c:v>1</c:v>
                </c:pt>
                <c:pt idx="8">
                  <c:v>0.94594594594594594</c:v>
                </c:pt>
                <c:pt idx="9">
                  <c:v>1</c:v>
                </c:pt>
                <c:pt idx="10">
                  <c:v>0.93495934959349591</c:v>
                </c:pt>
              </c:numCache>
            </c:numRef>
          </c:val>
          <c:extLst>
            <c:ext xmlns:c16="http://schemas.microsoft.com/office/drawing/2014/chart" uri="{C3380CC4-5D6E-409C-BE32-E72D297353CC}">
              <c16:uniqueId val="{00000000-1FA6-447A-9ACC-2C0F1B065448}"/>
            </c:ext>
          </c:extLst>
        </c:ser>
        <c:ser>
          <c:idx val="1"/>
          <c:order val="1"/>
          <c:tx>
            <c:strRef>
              <c:f>'KPI 1'!$BY$55</c:f>
              <c:strCache>
                <c:ptCount val="1"/>
                <c:pt idx="0">
                  <c:v>2018</c:v>
                </c:pt>
              </c:strCache>
            </c:strRef>
          </c:tx>
          <c:spPr>
            <a:solidFill>
              <a:srgbClr val="005892"/>
            </a:solidFill>
          </c:spPr>
          <c:invertIfNegative val="0"/>
          <c:cat>
            <c:strRef>
              <c:f>'KPI 1'!$A$57:$A$67</c:f>
              <c:strCache>
                <c:ptCount val="11"/>
                <c:pt idx="0">
                  <c:v>Alfred       (51)</c:v>
                </c:pt>
                <c:pt idx="1">
                  <c:v>Austin      (28)</c:v>
                </c:pt>
                <c:pt idx="2">
                  <c:v>Barwon    (24)</c:v>
                </c:pt>
                <c:pt idx="3">
                  <c:v>Bendigo   (19)</c:v>
                </c:pt>
                <c:pt idx="4">
                  <c:v>Eastern    (54)</c:v>
                </c:pt>
                <c:pt idx="5">
                  <c:v>Melbourne (106)</c:v>
                </c:pt>
                <c:pt idx="6">
                  <c:v>Monash   (136)</c:v>
                </c:pt>
                <c:pt idx="7">
                  <c:v>Northern (30)</c:v>
                </c:pt>
                <c:pt idx="8">
                  <c:v>St Vincents (48)</c:v>
                </c:pt>
                <c:pt idx="9">
                  <c:v>Western  (62)</c:v>
                </c:pt>
                <c:pt idx="10">
                  <c:v>State average (588)</c:v>
                </c:pt>
              </c:strCache>
            </c:strRef>
          </c:cat>
          <c:val>
            <c:numRef>
              <c:f>'KPI 1'!$CH$57:$CH$67</c:f>
              <c:numCache>
                <c:formatCode>0%</c:formatCode>
                <c:ptCount val="11"/>
                <c:pt idx="0">
                  <c:v>0.98333333333333328</c:v>
                </c:pt>
                <c:pt idx="1">
                  <c:v>0.84210526315789469</c:v>
                </c:pt>
                <c:pt idx="2">
                  <c:v>0.92592592592592593</c:v>
                </c:pt>
                <c:pt idx="3">
                  <c:v>0.95</c:v>
                </c:pt>
                <c:pt idx="4">
                  <c:v>0.89473684210526316</c:v>
                </c:pt>
                <c:pt idx="5">
                  <c:v>0.91089108910891092</c:v>
                </c:pt>
                <c:pt idx="6">
                  <c:v>0.9296875</c:v>
                </c:pt>
                <c:pt idx="7">
                  <c:v>0.97727272727272729</c:v>
                </c:pt>
                <c:pt idx="8">
                  <c:v>0.97777777777777775</c:v>
                </c:pt>
                <c:pt idx="9">
                  <c:v>0.98148148148148151</c:v>
                </c:pt>
                <c:pt idx="10">
                  <c:v>0.93379790940766549</c:v>
                </c:pt>
              </c:numCache>
            </c:numRef>
          </c:val>
          <c:extLst>
            <c:ext xmlns:c16="http://schemas.microsoft.com/office/drawing/2014/chart" uri="{C3380CC4-5D6E-409C-BE32-E72D297353CC}">
              <c16:uniqueId val="{00000001-1FA6-447A-9ACC-2C0F1B065448}"/>
            </c:ext>
          </c:extLst>
        </c:ser>
        <c:ser>
          <c:idx val="2"/>
          <c:order val="2"/>
          <c:tx>
            <c:strRef>
              <c:f>'KPI 1'!$CK$55</c:f>
              <c:strCache>
                <c:ptCount val="1"/>
                <c:pt idx="0">
                  <c:v>2019</c:v>
                </c:pt>
              </c:strCache>
            </c:strRef>
          </c:tx>
          <c:spPr>
            <a:solidFill>
              <a:srgbClr val="C1E6FF"/>
            </a:solidFill>
          </c:spPr>
          <c:invertIfNegative val="0"/>
          <c:cat>
            <c:strRef>
              <c:f>'KPI 1'!$A$57:$A$67</c:f>
              <c:strCache>
                <c:ptCount val="11"/>
                <c:pt idx="0">
                  <c:v>Alfred       (51)</c:v>
                </c:pt>
                <c:pt idx="1">
                  <c:v>Austin      (28)</c:v>
                </c:pt>
                <c:pt idx="2">
                  <c:v>Barwon    (24)</c:v>
                </c:pt>
                <c:pt idx="3">
                  <c:v>Bendigo   (19)</c:v>
                </c:pt>
                <c:pt idx="4">
                  <c:v>Eastern    (54)</c:v>
                </c:pt>
                <c:pt idx="5">
                  <c:v>Melbourne (106)</c:v>
                </c:pt>
                <c:pt idx="6">
                  <c:v>Monash   (136)</c:v>
                </c:pt>
                <c:pt idx="7">
                  <c:v>Northern (30)</c:v>
                </c:pt>
                <c:pt idx="8">
                  <c:v>St Vincents (48)</c:v>
                </c:pt>
                <c:pt idx="9">
                  <c:v>Western  (62)</c:v>
                </c:pt>
                <c:pt idx="10">
                  <c:v>State average (588)</c:v>
                </c:pt>
              </c:strCache>
            </c:strRef>
          </c:cat>
          <c:val>
            <c:numRef>
              <c:f>'KPI 1'!$CT$57:$CT$67</c:f>
              <c:numCache>
                <c:formatCode>0%</c:formatCode>
                <c:ptCount val="11"/>
                <c:pt idx="0">
                  <c:v>1</c:v>
                </c:pt>
                <c:pt idx="1">
                  <c:v>0.8571428571428571</c:v>
                </c:pt>
                <c:pt idx="2">
                  <c:v>1</c:v>
                </c:pt>
                <c:pt idx="3">
                  <c:v>0.89473684210526316</c:v>
                </c:pt>
                <c:pt idx="4">
                  <c:v>0.90740740740740744</c:v>
                </c:pt>
                <c:pt idx="5">
                  <c:v>0.86792452830188682</c:v>
                </c:pt>
                <c:pt idx="6">
                  <c:v>0.91176470588235292</c:v>
                </c:pt>
                <c:pt idx="7">
                  <c:v>1</c:v>
                </c:pt>
                <c:pt idx="8">
                  <c:v>0.83333333333333337</c:v>
                </c:pt>
                <c:pt idx="9">
                  <c:v>1</c:v>
                </c:pt>
                <c:pt idx="10">
                  <c:v>0.91935483870967738</c:v>
                </c:pt>
              </c:numCache>
            </c:numRef>
          </c:val>
          <c:extLst>
            <c:ext xmlns:c16="http://schemas.microsoft.com/office/drawing/2014/chart" uri="{C3380CC4-5D6E-409C-BE32-E72D297353CC}">
              <c16:uniqueId val="{00000002-1FA6-447A-9ACC-2C0F1B065448}"/>
            </c:ext>
          </c:extLst>
        </c:ser>
        <c:dLbls>
          <c:showLegendKey val="0"/>
          <c:showVal val="0"/>
          <c:showCatName val="0"/>
          <c:showSerName val="0"/>
          <c:showPercent val="0"/>
          <c:showBubbleSize val="0"/>
        </c:dLbls>
        <c:gapWidth val="150"/>
        <c:axId val="140350976"/>
        <c:axId val="140352512"/>
      </c:barChart>
      <c:catAx>
        <c:axId val="140350976"/>
        <c:scaling>
          <c:orientation val="minMax"/>
        </c:scaling>
        <c:delete val="0"/>
        <c:axPos val="b"/>
        <c:numFmt formatCode="General" sourceLinked="0"/>
        <c:majorTickMark val="out"/>
        <c:minorTickMark val="none"/>
        <c:tickLblPos val="nextTo"/>
        <c:txPr>
          <a:bodyPr/>
          <a:lstStyle/>
          <a:p>
            <a:pPr>
              <a:defRPr sz="740" baseline="0">
                <a:latin typeface="VIC" panose="00000500000000000000" pitchFamily="2" charset="0"/>
              </a:defRPr>
            </a:pPr>
            <a:endParaRPr lang="en-US"/>
          </a:p>
        </c:txPr>
        <c:crossAx val="140352512"/>
        <c:crosses val="autoZero"/>
        <c:auto val="1"/>
        <c:lblAlgn val="ctr"/>
        <c:lblOffset val="100"/>
        <c:noMultiLvlLbl val="0"/>
      </c:catAx>
      <c:valAx>
        <c:axId val="140352512"/>
        <c:scaling>
          <c:orientation val="minMax"/>
          <c:max val="1"/>
          <c:min val="0.5"/>
        </c:scaling>
        <c:delete val="0"/>
        <c:axPos val="l"/>
        <c:majorGridlines/>
        <c:numFmt formatCode="0%" sourceLinked="1"/>
        <c:majorTickMark val="out"/>
        <c:minorTickMark val="none"/>
        <c:tickLblPos val="nextTo"/>
        <c:txPr>
          <a:bodyPr/>
          <a:lstStyle/>
          <a:p>
            <a:pPr>
              <a:defRPr sz="800" baseline="0">
                <a:latin typeface="VIC" panose="00000500000000000000" pitchFamily="2" charset="0"/>
              </a:defRPr>
            </a:pPr>
            <a:endParaRPr lang="en-US"/>
          </a:p>
        </c:txPr>
        <c:crossAx val="140350976"/>
        <c:crosses val="autoZero"/>
        <c:crossBetween val="between"/>
      </c:valAx>
    </c:plotArea>
    <c:legend>
      <c:legendPos val="r"/>
      <c:layout>
        <c:manualLayout>
          <c:xMode val="edge"/>
          <c:yMode val="edge"/>
          <c:x val="0.30930905333234915"/>
          <c:y val="0.94267977781353096"/>
          <c:w val="0.36406188177423432"/>
          <c:h val="5.111691920862836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a:latin typeface="VIC SemiBold" panose="00000700000000000000" pitchFamily="2" charset="0"/>
              </a:rPr>
              <a:t>KPI 2 - Percentage of patients that successfully used an arteriovenous vascular access at first HD treatment</a:t>
            </a:r>
          </a:p>
        </c:rich>
      </c:tx>
      <c:overlay val="0"/>
    </c:title>
    <c:autoTitleDeleted val="0"/>
    <c:plotArea>
      <c:layout>
        <c:manualLayout>
          <c:layoutTarget val="inner"/>
          <c:xMode val="edge"/>
          <c:yMode val="edge"/>
          <c:x val="6.5460701736953911E-2"/>
          <c:y val="0.15455561388159814"/>
          <c:w val="0.92162977180760175"/>
          <c:h val="0.6558981416259595"/>
        </c:manualLayout>
      </c:layout>
      <c:barChart>
        <c:barDir val="col"/>
        <c:grouping val="clustered"/>
        <c:varyColors val="0"/>
        <c:ser>
          <c:idx val="0"/>
          <c:order val="0"/>
          <c:tx>
            <c:strRef>
              <c:f>'KPI 2'!$C$76</c:f>
              <c:strCache>
                <c:ptCount val="1"/>
                <c:pt idx="0">
                  <c:v>% successfully using vascular access</c:v>
                </c:pt>
              </c:strCache>
            </c:strRef>
          </c:tx>
          <c:spPr>
            <a:solidFill>
              <a:srgbClr val="DB313D"/>
            </a:solidFill>
          </c:spPr>
          <c:invertIfNegative val="0"/>
          <c:dPt>
            <c:idx val="0"/>
            <c:invertIfNegative val="0"/>
            <c:bubble3D val="0"/>
            <c:extLst>
              <c:ext xmlns:c16="http://schemas.microsoft.com/office/drawing/2014/chart" uri="{C3380CC4-5D6E-409C-BE32-E72D297353CC}">
                <c16:uniqueId val="{00000000-FCB8-4041-ADAD-3BDD12674EDB}"/>
              </c:ext>
            </c:extLst>
          </c:dPt>
          <c:dPt>
            <c:idx val="1"/>
            <c:invertIfNegative val="0"/>
            <c:bubble3D val="0"/>
            <c:extLst>
              <c:ext xmlns:c16="http://schemas.microsoft.com/office/drawing/2014/chart" uri="{C3380CC4-5D6E-409C-BE32-E72D297353CC}">
                <c16:uniqueId val="{00000001-FCB8-4041-ADAD-3BDD12674EDB}"/>
              </c:ext>
            </c:extLst>
          </c:dPt>
          <c:dPt>
            <c:idx val="2"/>
            <c:invertIfNegative val="0"/>
            <c:bubble3D val="0"/>
            <c:extLst>
              <c:ext xmlns:c16="http://schemas.microsoft.com/office/drawing/2014/chart" uri="{C3380CC4-5D6E-409C-BE32-E72D297353CC}">
                <c16:uniqueId val="{00000002-FCB8-4041-ADAD-3BDD12674EDB}"/>
              </c:ext>
            </c:extLst>
          </c:dPt>
          <c:dPt>
            <c:idx val="3"/>
            <c:invertIfNegative val="0"/>
            <c:bubble3D val="0"/>
            <c:extLst>
              <c:ext xmlns:c16="http://schemas.microsoft.com/office/drawing/2014/chart" uri="{C3380CC4-5D6E-409C-BE32-E72D297353CC}">
                <c16:uniqueId val="{00000003-FCB8-4041-ADAD-3BDD12674EDB}"/>
              </c:ext>
            </c:extLst>
          </c:dPt>
          <c:dPt>
            <c:idx val="4"/>
            <c:invertIfNegative val="0"/>
            <c:bubble3D val="0"/>
            <c:extLst>
              <c:ext xmlns:c16="http://schemas.microsoft.com/office/drawing/2014/chart" uri="{C3380CC4-5D6E-409C-BE32-E72D297353CC}">
                <c16:uniqueId val="{00000004-FCB8-4041-ADAD-3BDD12674EDB}"/>
              </c:ext>
            </c:extLst>
          </c:dPt>
          <c:dPt>
            <c:idx val="5"/>
            <c:invertIfNegative val="0"/>
            <c:bubble3D val="0"/>
            <c:extLst>
              <c:ext xmlns:c16="http://schemas.microsoft.com/office/drawing/2014/chart" uri="{C3380CC4-5D6E-409C-BE32-E72D297353CC}">
                <c16:uniqueId val="{00000005-FCB8-4041-ADAD-3BDD12674EDB}"/>
              </c:ext>
            </c:extLst>
          </c:dPt>
          <c:dPt>
            <c:idx val="6"/>
            <c:invertIfNegative val="0"/>
            <c:bubble3D val="0"/>
            <c:extLst>
              <c:ext xmlns:c16="http://schemas.microsoft.com/office/drawing/2014/chart" uri="{C3380CC4-5D6E-409C-BE32-E72D297353CC}">
                <c16:uniqueId val="{00000006-FCB8-4041-ADAD-3BDD12674EDB}"/>
              </c:ext>
            </c:extLst>
          </c:dPt>
          <c:dPt>
            <c:idx val="7"/>
            <c:invertIfNegative val="0"/>
            <c:bubble3D val="0"/>
            <c:extLst>
              <c:ext xmlns:c16="http://schemas.microsoft.com/office/drawing/2014/chart" uri="{C3380CC4-5D6E-409C-BE32-E72D297353CC}">
                <c16:uniqueId val="{00000007-FCB8-4041-ADAD-3BDD12674EDB}"/>
              </c:ext>
            </c:extLst>
          </c:dPt>
          <c:dPt>
            <c:idx val="8"/>
            <c:invertIfNegative val="0"/>
            <c:bubble3D val="0"/>
            <c:extLst>
              <c:ext xmlns:c16="http://schemas.microsoft.com/office/drawing/2014/chart" uri="{C3380CC4-5D6E-409C-BE32-E72D297353CC}">
                <c16:uniqueId val="{00000009-FCB8-4041-ADAD-3BDD12674EDB}"/>
              </c:ext>
            </c:extLst>
          </c:dPt>
          <c:dPt>
            <c:idx val="9"/>
            <c:invertIfNegative val="0"/>
            <c:bubble3D val="0"/>
            <c:extLst>
              <c:ext xmlns:c16="http://schemas.microsoft.com/office/drawing/2014/chart" uri="{C3380CC4-5D6E-409C-BE32-E72D297353CC}">
                <c16:uniqueId val="{0000000A-FCB8-4041-ADAD-3BDD12674EDB}"/>
              </c:ext>
            </c:extLst>
          </c:dPt>
          <c:dPt>
            <c:idx val="10"/>
            <c:invertIfNegative val="0"/>
            <c:bubble3D val="0"/>
            <c:extLst>
              <c:ext xmlns:c16="http://schemas.microsoft.com/office/drawing/2014/chart" uri="{C3380CC4-5D6E-409C-BE32-E72D297353CC}">
                <c16:uniqueId val="{0000000B-FCB8-4041-ADAD-3BDD12674EDB}"/>
              </c:ext>
            </c:extLst>
          </c:dPt>
          <c:errBars>
            <c:errBarType val="both"/>
            <c:errValType val="cust"/>
            <c:noEndCap val="0"/>
            <c:plus>
              <c:numRef>
                <c:f>'KPI 2'!$AM$78:$AM$88</c:f>
                <c:numCache>
                  <c:formatCode>General</c:formatCode>
                  <c:ptCount val="11"/>
                  <c:pt idx="0">
                    <c:v>4.0622540009614461E-2</c:v>
                  </c:pt>
                  <c:pt idx="1">
                    <c:v>4.0913219847669616E-2</c:v>
                  </c:pt>
                  <c:pt idx="2">
                    <c:v>3.6991208146968657E-2</c:v>
                  </c:pt>
                  <c:pt idx="3">
                    <c:v>6.0243551014294378E-2</c:v>
                  </c:pt>
                  <c:pt idx="4">
                    <c:v>6.699672851099138E-2</c:v>
                  </c:pt>
                  <c:pt idx="5">
                    <c:v>3.3843095490583452E-2</c:v>
                  </c:pt>
                  <c:pt idx="6">
                    <c:v>2.566156325502713E-2</c:v>
                  </c:pt>
                  <c:pt idx="7">
                    <c:v>5.7519583571507334E-2</c:v>
                  </c:pt>
                  <c:pt idx="8">
                    <c:v>3.6130536079291717E-2</c:v>
                  </c:pt>
                  <c:pt idx="9">
                    <c:v>5.0241316440808689E-2</c:v>
                  </c:pt>
                  <c:pt idx="10">
                    <c:v>2.1784449661316194E-2</c:v>
                  </c:pt>
                </c:numCache>
              </c:numRef>
            </c:plus>
            <c:minus>
              <c:numRef>
                <c:f>'KPI 2'!$AM$78:$AM$88</c:f>
                <c:numCache>
                  <c:formatCode>General</c:formatCode>
                  <c:ptCount val="11"/>
                  <c:pt idx="0">
                    <c:v>4.0622540009614461E-2</c:v>
                  </c:pt>
                  <c:pt idx="1">
                    <c:v>4.0913219847669616E-2</c:v>
                  </c:pt>
                  <c:pt idx="2">
                    <c:v>3.6991208146968657E-2</c:v>
                  </c:pt>
                  <c:pt idx="3">
                    <c:v>6.0243551014294378E-2</c:v>
                  </c:pt>
                  <c:pt idx="4">
                    <c:v>6.699672851099138E-2</c:v>
                  </c:pt>
                  <c:pt idx="5">
                    <c:v>3.3843095490583452E-2</c:v>
                  </c:pt>
                  <c:pt idx="6">
                    <c:v>2.566156325502713E-2</c:v>
                  </c:pt>
                  <c:pt idx="7">
                    <c:v>5.7519583571507334E-2</c:v>
                  </c:pt>
                  <c:pt idx="8">
                    <c:v>3.6130536079291717E-2</c:v>
                  </c:pt>
                  <c:pt idx="9">
                    <c:v>5.0241316440808689E-2</c:v>
                  </c:pt>
                  <c:pt idx="10">
                    <c:v>2.1784449661316194E-2</c:v>
                  </c:pt>
                </c:numCache>
              </c:numRef>
            </c:minus>
          </c:errBars>
          <c:cat>
            <c:strRef>
              <c:f>'KPI 2'!$A$78:$A$88</c:f>
              <c:strCache>
                <c:ptCount val="11"/>
                <c:pt idx="0">
                  <c:v>Alfred       (29)</c:v>
                </c:pt>
                <c:pt idx="1">
                  <c:v>Austin       (20)</c:v>
                </c:pt>
                <c:pt idx="2">
                  <c:v>Barwon       (18)</c:v>
                </c:pt>
                <c:pt idx="3">
                  <c:v>Bendigo       (13)</c:v>
                </c:pt>
                <c:pt idx="4">
                  <c:v>Eastern       (33)</c:v>
                </c:pt>
                <c:pt idx="5">
                  <c:v>Melbourne (77)</c:v>
                </c:pt>
                <c:pt idx="6">
                  <c:v>Monash   (101)</c:v>
                </c:pt>
                <c:pt idx="7">
                  <c:v>Northern (22)</c:v>
                </c:pt>
                <c:pt idx="8">
                  <c:v>St Vincents (32)</c:v>
                </c:pt>
                <c:pt idx="9">
                  <c:v>Western   (31)</c:v>
                </c:pt>
                <c:pt idx="10">
                  <c:v>State      (376)</c:v>
                </c:pt>
              </c:strCache>
            </c:strRef>
          </c:cat>
          <c:val>
            <c:numRef>
              <c:f>'KPI 2'!$AH$78:$AH$88</c:f>
              <c:numCache>
                <c:formatCode>0.0%</c:formatCode>
                <c:ptCount val="11"/>
                <c:pt idx="0">
                  <c:v>0.55172413793103448</c:v>
                </c:pt>
                <c:pt idx="1">
                  <c:v>0.4</c:v>
                </c:pt>
                <c:pt idx="2">
                  <c:v>0.44444444444444442</c:v>
                </c:pt>
                <c:pt idx="3">
                  <c:v>0.53846153846153844</c:v>
                </c:pt>
                <c:pt idx="4">
                  <c:v>0.51515151515151514</c:v>
                </c:pt>
                <c:pt idx="5">
                  <c:v>0.50649350649350644</c:v>
                </c:pt>
                <c:pt idx="6">
                  <c:v>0.52475247524752477</c:v>
                </c:pt>
                <c:pt idx="7">
                  <c:v>0.59090909090909094</c:v>
                </c:pt>
                <c:pt idx="8">
                  <c:v>0.5</c:v>
                </c:pt>
                <c:pt idx="9">
                  <c:v>0.58064516129032262</c:v>
                </c:pt>
                <c:pt idx="10">
                  <c:v>0.5186170212765957</c:v>
                </c:pt>
              </c:numCache>
            </c:numRef>
          </c:val>
          <c:extLst>
            <c:ext xmlns:c16="http://schemas.microsoft.com/office/drawing/2014/chart" uri="{C3380CC4-5D6E-409C-BE32-E72D297353CC}">
              <c16:uniqueId val="{0000000C-FCB8-4041-ADAD-3BDD12674EDB}"/>
            </c:ext>
          </c:extLst>
        </c:ser>
        <c:dLbls>
          <c:showLegendKey val="0"/>
          <c:showVal val="0"/>
          <c:showCatName val="0"/>
          <c:showSerName val="0"/>
          <c:showPercent val="0"/>
          <c:showBubbleSize val="0"/>
        </c:dLbls>
        <c:gapWidth val="150"/>
        <c:axId val="140450432"/>
        <c:axId val="140456320"/>
      </c:barChart>
      <c:catAx>
        <c:axId val="140450432"/>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0456320"/>
        <c:crosses val="autoZero"/>
        <c:auto val="1"/>
        <c:lblAlgn val="ctr"/>
        <c:lblOffset val="100"/>
        <c:noMultiLvlLbl val="0"/>
      </c:catAx>
      <c:valAx>
        <c:axId val="140456320"/>
        <c:scaling>
          <c:orientation val="minMax"/>
          <c:max val="1"/>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450432"/>
        <c:crosses val="autoZero"/>
        <c:crossBetween val="between"/>
      </c:valAx>
    </c:plotArea>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sz="1100"/>
            </a:pPr>
            <a:r>
              <a:rPr lang="en-AU" sz="1000">
                <a:latin typeface="VIC SemiBold" panose="00000700000000000000" pitchFamily="2" charset="0"/>
              </a:rPr>
              <a:t>KPI 2 - Number</a:t>
            </a:r>
            <a:r>
              <a:rPr lang="en-AU" sz="1000" baseline="0">
                <a:latin typeface="VIC SemiBold" panose="00000700000000000000" pitchFamily="2" charset="0"/>
              </a:rPr>
              <a:t> </a:t>
            </a:r>
            <a:r>
              <a:rPr lang="en-AU" sz="1000">
                <a:latin typeface="VIC SemiBold" panose="00000700000000000000" pitchFamily="2" charset="0"/>
              </a:rPr>
              <a:t>of </a:t>
            </a:r>
            <a:r>
              <a:rPr lang="en-AU" sz="1000" baseline="0">
                <a:latin typeface="VIC SemiBold" panose="00000700000000000000" pitchFamily="2" charset="0"/>
              </a:rPr>
              <a:t>patients that successfully used an arteriovenous vascular access at first HD treatment</a:t>
            </a:r>
            <a:endParaRPr lang="en-AU" sz="1000">
              <a:latin typeface="VIC SemiBold" panose="00000700000000000000" pitchFamily="2" charset="0"/>
            </a:endParaRPr>
          </a:p>
        </c:rich>
      </c:tx>
      <c:layout>
        <c:manualLayout>
          <c:xMode val="edge"/>
          <c:yMode val="edge"/>
          <c:x val="0.12001631788769071"/>
          <c:y val="2.8670580434764049E-2"/>
        </c:manualLayout>
      </c:layout>
      <c:overlay val="0"/>
    </c:title>
    <c:autoTitleDeleted val="0"/>
    <c:plotArea>
      <c:layout>
        <c:manualLayout>
          <c:layoutTarget val="inner"/>
          <c:xMode val="edge"/>
          <c:yMode val="edge"/>
          <c:x val="4.9081740046608993E-2"/>
          <c:y val="0.13373658481369072"/>
          <c:w val="0.93316766107715365"/>
          <c:h val="0.65781409399296786"/>
        </c:manualLayout>
      </c:layout>
      <c:barChart>
        <c:barDir val="col"/>
        <c:grouping val="clustered"/>
        <c:varyColors val="0"/>
        <c:ser>
          <c:idx val="0"/>
          <c:order val="0"/>
          <c:tx>
            <c:strRef>
              <c:f>'KPI 2'!$B$52</c:f>
              <c:strCache>
                <c:ptCount val="1"/>
                <c:pt idx="0">
                  <c:v>Number of new, planned haemodialysis patients who successfully  use an AVG of AVF at first treatment</c:v>
                </c:pt>
              </c:strCache>
            </c:strRef>
          </c:tx>
          <c:spPr>
            <a:solidFill>
              <a:srgbClr val="64C2C8"/>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2'!$AH$52,'KPI 2'!$AH$54,'KPI 2'!$AH$56,'KPI 2'!$AH$58,'KPI 2'!$AH$60,'KPI 2'!$AH$62,'KPI 2'!$AH$64,'KPI 2'!$AH$66,'KPI 2'!$AH$68,'KPI 2'!$AH$70)</c:f>
              <c:numCache>
                <c:formatCode>General</c:formatCode>
                <c:ptCount val="10"/>
                <c:pt idx="0">
                  <c:v>16</c:v>
                </c:pt>
                <c:pt idx="1">
                  <c:v>7</c:v>
                </c:pt>
                <c:pt idx="2">
                  <c:v>8</c:v>
                </c:pt>
                <c:pt idx="3">
                  <c:v>5</c:v>
                </c:pt>
                <c:pt idx="4">
                  <c:v>16</c:v>
                </c:pt>
                <c:pt idx="5">
                  <c:v>35</c:v>
                </c:pt>
                <c:pt idx="6">
                  <c:v>45</c:v>
                </c:pt>
                <c:pt idx="7">
                  <c:v>13</c:v>
                </c:pt>
                <c:pt idx="8">
                  <c:v>14</c:v>
                </c:pt>
                <c:pt idx="9">
                  <c:v>17</c:v>
                </c:pt>
              </c:numCache>
            </c:numRef>
          </c:val>
          <c:extLst>
            <c:ext xmlns:c16="http://schemas.microsoft.com/office/drawing/2014/chart" uri="{C3380CC4-5D6E-409C-BE32-E72D297353CC}">
              <c16:uniqueId val="{00000000-AE43-4BA9-A919-E96F11E0D62C}"/>
            </c:ext>
          </c:extLst>
        </c:ser>
        <c:ser>
          <c:idx val="1"/>
          <c:order val="1"/>
          <c:tx>
            <c:strRef>
              <c:f>'KPI 2'!$B$53</c:f>
              <c:strCache>
                <c:ptCount val="1"/>
                <c:pt idx="0">
                  <c:v>Number of new, planned haemodialysis patients</c:v>
                </c:pt>
              </c:strCache>
            </c:strRef>
          </c:tx>
          <c:spPr>
            <a:solidFill>
              <a:srgbClr val="005892"/>
            </a:solidFill>
          </c:spPr>
          <c:invertIfNegative val="0"/>
          <c:cat>
            <c:strRef>
              <c:f>('KPI 2'!$A$52,'KPI 2'!$A$54,'KPI 2'!$A$56,'KPI 2'!$A$58,'KPI 2'!$A$60,'KPI 2'!$A$62,'KPI 2'!$A$64,'KPI 2'!$A$66,'KPI 2'!$A$68,'KPI 2'!$A$70)</c:f>
              <c:strCache>
                <c:ptCount val="10"/>
                <c:pt idx="0">
                  <c:v>Alfred</c:v>
                </c:pt>
                <c:pt idx="1">
                  <c:v>Austin</c:v>
                </c:pt>
                <c:pt idx="2">
                  <c:v>Barwon</c:v>
                </c:pt>
                <c:pt idx="3">
                  <c:v>Bendigo</c:v>
                </c:pt>
                <c:pt idx="4">
                  <c:v>Eastern</c:v>
                </c:pt>
                <c:pt idx="5">
                  <c:v>Melbourne</c:v>
                </c:pt>
                <c:pt idx="6">
                  <c:v>Monash</c:v>
                </c:pt>
                <c:pt idx="7">
                  <c:v>Northern</c:v>
                </c:pt>
                <c:pt idx="8">
                  <c:v>St Vincents</c:v>
                </c:pt>
                <c:pt idx="9">
                  <c:v>Western</c:v>
                </c:pt>
              </c:strCache>
            </c:strRef>
          </c:cat>
          <c:val>
            <c:numRef>
              <c:f>('KPI 2'!$AH$53,'KPI 2'!$AH$55,'KPI 2'!$AH$57,'KPI 2'!$AH$59,'KPI 2'!$AH$61,'KPI 2'!$AH$63,'KPI 2'!$AH$65,'KPI 2'!$AH$67,'KPI 2'!$AH$69,'KPI 2'!$AH$71)</c:f>
              <c:numCache>
                <c:formatCode>General</c:formatCode>
                <c:ptCount val="10"/>
                <c:pt idx="0">
                  <c:v>29</c:v>
                </c:pt>
                <c:pt idx="1">
                  <c:v>15</c:v>
                </c:pt>
                <c:pt idx="2">
                  <c:v>17</c:v>
                </c:pt>
                <c:pt idx="3">
                  <c:v>9</c:v>
                </c:pt>
                <c:pt idx="4">
                  <c:v>30</c:v>
                </c:pt>
                <c:pt idx="5">
                  <c:v>72</c:v>
                </c:pt>
                <c:pt idx="6">
                  <c:v>87</c:v>
                </c:pt>
                <c:pt idx="7">
                  <c:v>22</c:v>
                </c:pt>
                <c:pt idx="8">
                  <c:v>30</c:v>
                </c:pt>
                <c:pt idx="9">
                  <c:v>30</c:v>
                </c:pt>
              </c:numCache>
            </c:numRef>
          </c:val>
          <c:extLst>
            <c:ext xmlns:c16="http://schemas.microsoft.com/office/drawing/2014/chart" uri="{C3380CC4-5D6E-409C-BE32-E72D297353CC}">
              <c16:uniqueId val="{00000001-AE43-4BA9-A919-E96F11E0D62C}"/>
            </c:ext>
          </c:extLst>
        </c:ser>
        <c:dLbls>
          <c:showLegendKey val="0"/>
          <c:showVal val="0"/>
          <c:showCatName val="0"/>
          <c:showSerName val="0"/>
          <c:showPercent val="0"/>
          <c:showBubbleSize val="0"/>
        </c:dLbls>
        <c:gapWidth val="150"/>
        <c:axId val="140510336"/>
        <c:axId val="140511872"/>
      </c:barChart>
      <c:catAx>
        <c:axId val="140510336"/>
        <c:scaling>
          <c:orientation val="minMax"/>
        </c:scaling>
        <c:delete val="0"/>
        <c:axPos val="b"/>
        <c:numFmt formatCode="General" sourceLinked="0"/>
        <c:majorTickMark val="out"/>
        <c:minorTickMark val="none"/>
        <c:tickLblPos val="nextTo"/>
        <c:txPr>
          <a:bodyPr/>
          <a:lstStyle/>
          <a:p>
            <a:pPr>
              <a:defRPr sz="800" baseline="0">
                <a:latin typeface="VIC" panose="00000500000000000000" pitchFamily="2" charset="0"/>
              </a:defRPr>
            </a:pPr>
            <a:endParaRPr lang="en-US"/>
          </a:p>
        </c:txPr>
        <c:crossAx val="140511872"/>
        <c:crosses val="autoZero"/>
        <c:auto val="1"/>
        <c:lblAlgn val="ctr"/>
        <c:lblOffset val="100"/>
        <c:noMultiLvlLbl val="0"/>
      </c:catAx>
      <c:valAx>
        <c:axId val="140511872"/>
        <c:scaling>
          <c:orientation val="minMax"/>
        </c:scaling>
        <c:delete val="0"/>
        <c:axPos val="l"/>
        <c:majorGridlines/>
        <c:numFmt formatCode="General" sourceLinked="1"/>
        <c:majorTickMark val="out"/>
        <c:minorTickMark val="none"/>
        <c:tickLblPos val="nextTo"/>
        <c:txPr>
          <a:bodyPr/>
          <a:lstStyle/>
          <a:p>
            <a:pPr>
              <a:defRPr sz="800" baseline="0">
                <a:latin typeface="VIC" panose="00000500000000000000" pitchFamily="2" charset="0"/>
              </a:defRPr>
            </a:pPr>
            <a:endParaRPr lang="en-US"/>
          </a:p>
        </c:txPr>
        <c:crossAx val="140510336"/>
        <c:crosses val="autoZero"/>
        <c:crossBetween val="between"/>
      </c:valAx>
    </c:plotArea>
    <c:legend>
      <c:legendPos val="b"/>
      <c:layout>
        <c:manualLayout>
          <c:xMode val="edge"/>
          <c:yMode val="edge"/>
          <c:x val="4.2882117853557562E-2"/>
          <c:y val="0.87950866141732287"/>
          <c:w val="0.92391790913446836"/>
          <c:h val="0.10271356080489939"/>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000" b="1" i="0" baseline="0">
                <a:effectLst/>
                <a:latin typeface="VIC SemiBold" panose="00000700000000000000" pitchFamily="2" charset="0"/>
              </a:rPr>
              <a:t>KPI 2 - Percentage of patients that successfully used an arteriovenous vascular access at first HD treatment</a:t>
            </a:r>
            <a:endParaRPr lang="en-AU" sz="1000">
              <a:effectLst/>
              <a:latin typeface="VIC SemiBold" panose="00000700000000000000" pitchFamily="2" charset="0"/>
            </a:endParaRPr>
          </a:p>
        </c:rich>
      </c:tx>
      <c:overlay val="1"/>
    </c:title>
    <c:autoTitleDeleted val="0"/>
    <c:plotArea>
      <c:layout>
        <c:manualLayout>
          <c:layoutTarget val="inner"/>
          <c:xMode val="edge"/>
          <c:yMode val="edge"/>
          <c:x val="7.4298716964158615E-2"/>
          <c:y val="0.15254483488071466"/>
          <c:w val="0.88943079508615397"/>
          <c:h val="0.67056951463156678"/>
        </c:manualLayout>
      </c:layout>
      <c:barChart>
        <c:barDir val="col"/>
        <c:grouping val="clustered"/>
        <c:varyColors val="0"/>
        <c:ser>
          <c:idx val="0"/>
          <c:order val="0"/>
          <c:tx>
            <c:strRef>
              <c:f>'KPI 2'!$W$76</c:f>
              <c:strCache>
                <c:ptCount val="1"/>
                <c:pt idx="0">
                  <c:v>2017</c:v>
                </c:pt>
              </c:strCache>
            </c:strRef>
          </c:tx>
          <c:spPr>
            <a:solidFill>
              <a:srgbClr val="64C2C8"/>
            </a:solidFill>
          </c:spPr>
          <c:invertIfNegative val="0"/>
          <c:cat>
            <c:strRef>
              <c:f>'KPI 2'!$B$78:$B$88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2'!$Z$78:$Z$88</c:f>
              <c:numCache>
                <c:formatCode>0.0%</c:formatCode>
                <c:ptCount val="11"/>
                <c:pt idx="0">
                  <c:v>0.73684210526315785</c:v>
                </c:pt>
                <c:pt idx="1">
                  <c:v>0.48484848484848486</c:v>
                </c:pt>
                <c:pt idx="2">
                  <c:v>0.73076923076923073</c:v>
                </c:pt>
                <c:pt idx="3">
                  <c:v>0.44444444444444442</c:v>
                </c:pt>
                <c:pt idx="4">
                  <c:v>0.52631578947368418</c:v>
                </c:pt>
                <c:pt idx="5">
                  <c:v>0.65306122448979587</c:v>
                </c:pt>
                <c:pt idx="6">
                  <c:v>0.61702127659574468</c:v>
                </c:pt>
                <c:pt idx="7">
                  <c:v>0.91304347826086951</c:v>
                </c:pt>
                <c:pt idx="8">
                  <c:v>0.48275862068965519</c:v>
                </c:pt>
                <c:pt idx="9">
                  <c:v>0.39130434782608697</c:v>
                </c:pt>
                <c:pt idx="10">
                  <c:v>0.60802469135802473</c:v>
                </c:pt>
              </c:numCache>
            </c:numRef>
          </c:val>
          <c:extLst>
            <c:ext xmlns:c16="http://schemas.microsoft.com/office/drawing/2014/chart" uri="{C3380CC4-5D6E-409C-BE32-E72D297353CC}">
              <c16:uniqueId val="{00000000-F92C-4220-BB2C-4CFFDC4507E5}"/>
            </c:ext>
          </c:extLst>
        </c:ser>
        <c:ser>
          <c:idx val="1"/>
          <c:order val="1"/>
          <c:tx>
            <c:strRef>
              <c:f>'KPI 2'!$AA$76</c:f>
              <c:strCache>
                <c:ptCount val="1"/>
                <c:pt idx="0">
                  <c:v>2018</c:v>
                </c:pt>
              </c:strCache>
            </c:strRef>
          </c:tx>
          <c:spPr>
            <a:solidFill>
              <a:srgbClr val="005892"/>
            </a:solidFill>
          </c:spPr>
          <c:invertIfNegative val="0"/>
          <c:cat>
            <c:strRef>
              <c:f>'KPI 2'!$B$78:$B$88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2'!$AD$78:$AD$88</c:f>
              <c:numCache>
                <c:formatCode>0.0%</c:formatCode>
                <c:ptCount val="11"/>
                <c:pt idx="0">
                  <c:v>0.6071428571428571</c:v>
                </c:pt>
                <c:pt idx="1">
                  <c:v>0.44117647058823528</c:v>
                </c:pt>
                <c:pt idx="2">
                  <c:v>0.52631578947368418</c:v>
                </c:pt>
                <c:pt idx="3">
                  <c:v>0.5</c:v>
                </c:pt>
                <c:pt idx="4">
                  <c:v>0.40909090909090912</c:v>
                </c:pt>
                <c:pt idx="5">
                  <c:v>0.66666666666666663</c:v>
                </c:pt>
                <c:pt idx="6">
                  <c:v>0.52941176470588236</c:v>
                </c:pt>
                <c:pt idx="7">
                  <c:v>0.5161290322580645</c:v>
                </c:pt>
                <c:pt idx="8">
                  <c:v>0.66666666666666663</c:v>
                </c:pt>
                <c:pt idx="9">
                  <c:v>0.48484848484848486</c:v>
                </c:pt>
                <c:pt idx="10">
                  <c:v>0.55068493150684927</c:v>
                </c:pt>
              </c:numCache>
            </c:numRef>
          </c:val>
          <c:extLst>
            <c:ext xmlns:c16="http://schemas.microsoft.com/office/drawing/2014/chart" uri="{C3380CC4-5D6E-409C-BE32-E72D297353CC}">
              <c16:uniqueId val="{00000001-F92C-4220-BB2C-4CFFDC4507E5}"/>
            </c:ext>
          </c:extLst>
        </c:ser>
        <c:ser>
          <c:idx val="2"/>
          <c:order val="2"/>
          <c:tx>
            <c:strRef>
              <c:f>'KPI 2'!$AE$76</c:f>
              <c:strCache>
                <c:ptCount val="1"/>
                <c:pt idx="0">
                  <c:v>2019</c:v>
                </c:pt>
              </c:strCache>
            </c:strRef>
          </c:tx>
          <c:spPr>
            <a:solidFill>
              <a:srgbClr val="C1E6FF"/>
            </a:solidFill>
          </c:spPr>
          <c:invertIfNegative val="0"/>
          <c:cat>
            <c:strRef>
              <c:f>'KPI 2'!$B$78:$B$88</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2'!$AH$78:$AH$88</c:f>
              <c:numCache>
                <c:formatCode>0.0%</c:formatCode>
                <c:ptCount val="11"/>
                <c:pt idx="0">
                  <c:v>0.55172413793103448</c:v>
                </c:pt>
                <c:pt idx="1">
                  <c:v>0.4</c:v>
                </c:pt>
                <c:pt idx="2">
                  <c:v>0.44444444444444442</c:v>
                </c:pt>
                <c:pt idx="3">
                  <c:v>0.53846153846153844</c:v>
                </c:pt>
                <c:pt idx="4">
                  <c:v>0.51515151515151514</c:v>
                </c:pt>
                <c:pt idx="5">
                  <c:v>0.50649350649350644</c:v>
                </c:pt>
                <c:pt idx="6">
                  <c:v>0.52475247524752477</c:v>
                </c:pt>
                <c:pt idx="7">
                  <c:v>0.59090909090909094</c:v>
                </c:pt>
                <c:pt idx="8">
                  <c:v>0.5</c:v>
                </c:pt>
                <c:pt idx="9">
                  <c:v>0.58064516129032262</c:v>
                </c:pt>
                <c:pt idx="10">
                  <c:v>0.5186170212765957</c:v>
                </c:pt>
              </c:numCache>
            </c:numRef>
          </c:val>
          <c:extLst>
            <c:ext xmlns:c16="http://schemas.microsoft.com/office/drawing/2014/chart" uri="{C3380CC4-5D6E-409C-BE32-E72D297353CC}">
              <c16:uniqueId val="{00000002-F92C-4220-BB2C-4CFFDC4507E5}"/>
            </c:ext>
          </c:extLst>
        </c:ser>
        <c:dLbls>
          <c:showLegendKey val="0"/>
          <c:showVal val="0"/>
          <c:showCatName val="0"/>
          <c:showSerName val="0"/>
          <c:showPercent val="0"/>
          <c:showBubbleSize val="0"/>
        </c:dLbls>
        <c:gapWidth val="150"/>
        <c:axId val="140536064"/>
        <c:axId val="140546048"/>
      </c:barChart>
      <c:catAx>
        <c:axId val="140536064"/>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0546048"/>
        <c:crosses val="autoZero"/>
        <c:auto val="1"/>
        <c:lblAlgn val="ctr"/>
        <c:lblOffset val="100"/>
        <c:noMultiLvlLbl val="0"/>
      </c:catAx>
      <c:valAx>
        <c:axId val="140546048"/>
        <c:scaling>
          <c:orientation val="minMax"/>
          <c:min val="0.2"/>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536064"/>
        <c:crosses val="autoZero"/>
        <c:crossBetween val="between"/>
      </c:valAx>
    </c:plotArea>
    <c:legend>
      <c:legendPos val="r"/>
      <c:layout>
        <c:manualLayout>
          <c:xMode val="edge"/>
          <c:yMode val="edge"/>
          <c:x val="0.13233664056280839"/>
          <c:y val="0.92741610688494447"/>
          <c:w val="0.74138818815914487"/>
          <c:h val="7.2384298977553191E-2"/>
        </c:manualLayout>
      </c:layout>
      <c:overlay val="0"/>
      <c:txPr>
        <a:bodyPr/>
        <a:lstStyle/>
        <a:p>
          <a:pPr>
            <a:defRPr sz="800" baseline="0">
              <a:latin typeface="VIC" panose="00000500000000000000" pitchFamily="2" charset="0"/>
            </a:defRPr>
          </a:pPr>
          <a:endParaRPr lang="en-US"/>
        </a:p>
      </c:txPr>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1" i="0" baseline="0">
                <a:effectLst/>
                <a:latin typeface="VIC SemiBold" panose="00000700000000000000" pitchFamily="2" charset="0"/>
              </a:rPr>
              <a:t>KPI 3 - Incidence percentage of home dialysis patients</a:t>
            </a:r>
            <a:endParaRPr lang="en-AU" sz="1000">
              <a:effectLst/>
              <a:latin typeface="VIC SemiBold" panose="00000700000000000000" pitchFamily="2" charset="0"/>
            </a:endParaRPr>
          </a:p>
        </c:rich>
      </c:tx>
      <c:layout>
        <c:manualLayout>
          <c:xMode val="edge"/>
          <c:yMode val="edge"/>
          <c:x val="0.23523235413947069"/>
          <c:y val="4.3875685557586835E-2"/>
        </c:manualLayout>
      </c:layout>
      <c:overlay val="0"/>
    </c:title>
    <c:autoTitleDeleted val="0"/>
    <c:plotArea>
      <c:layout>
        <c:manualLayout>
          <c:layoutTarget val="inner"/>
          <c:xMode val="edge"/>
          <c:yMode val="edge"/>
          <c:x val="7.2473044978966672E-2"/>
          <c:y val="0.15243276801938219"/>
          <c:w val="0.90341736597993749"/>
          <c:h val="0.66977386723456722"/>
        </c:manualLayout>
      </c:layout>
      <c:barChart>
        <c:barDir val="col"/>
        <c:grouping val="clustered"/>
        <c:varyColors val="0"/>
        <c:ser>
          <c:idx val="0"/>
          <c:order val="0"/>
          <c:tx>
            <c:strRef>
              <c:f>'KPI 3'!$J$8</c:f>
              <c:strCache>
                <c:ptCount val="1"/>
                <c:pt idx="0">
                  <c:v>% Home</c:v>
                </c:pt>
              </c:strCache>
            </c:strRef>
          </c:tx>
          <c:spPr>
            <a:solidFill>
              <a:srgbClr val="64C2C8"/>
            </a:solidFill>
          </c:spPr>
          <c:invertIfNegative val="0"/>
          <c:dPt>
            <c:idx val="1"/>
            <c:invertIfNegative val="0"/>
            <c:bubble3D val="0"/>
            <c:extLst>
              <c:ext xmlns:c16="http://schemas.microsoft.com/office/drawing/2014/chart" uri="{C3380CC4-5D6E-409C-BE32-E72D297353CC}">
                <c16:uniqueId val="{00000001-F0C5-44E6-AEF0-F7D400B9CA75}"/>
              </c:ext>
            </c:extLst>
          </c:dPt>
          <c:dPt>
            <c:idx val="2"/>
            <c:invertIfNegative val="0"/>
            <c:bubble3D val="0"/>
            <c:extLst>
              <c:ext xmlns:c16="http://schemas.microsoft.com/office/drawing/2014/chart" uri="{C3380CC4-5D6E-409C-BE32-E72D297353CC}">
                <c16:uniqueId val="{00000002-F0C5-44E6-AEF0-F7D400B9CA75}"/>
              </c:ext>
            </c:extLst>
          </c:dPt>
          <c:dPt>
            <c:idx val="3"/>
            <c:invertIfNegative val="0"/>
            <c:bubble3D val="0"/>
            <c:extLst>
              <c:ext xmlns:c16="http://schemas.microsoft.com/office/drawing/2014/chart" uri="{C3380CC4-5D6E-409C-BE32-E72D297353CC}">
                <c16:uniqueId val="{00000004-F0C5-44E6-AEF0-F7D400B9CA75}"/>
              </c:ext>
            </c:extLst>
          </c:dPt>
          <c:dPt>
            <c:idx val="4"/>
            <c:invertIfNegative val="0"/>
            <c:bubble3D val="0"/>
            <c:extLst>
              <c:ext xmlns:c16="http://schemas.microsoft.com/office/drawing/2014/chart" uri="{C3380CC4-5D6E-409C-BE32-E72D297353CC}">
                <c16:uniqueId val="{00000006-F0C5-44E6-AEF0-F7D400B9CA75}"/>
              </c:ext>
            </c:extLst>
          </c:dPt>
          <c:dPt>
            <c:idx val="5"/>
            <c:invertIfNegative val="0"/>
            <c:bubble3D val="0"/>
            <c:extLst>
              <c:ext xmlns:c16="http://schemas.microsoft.com/office/drawing/2014/chart" uri="{C3380CC4-5D6E-409C-BE32-E72D297353CC}">
                <c16:uniqueId val="{00000008-F0C5-44E6-AEF0-F7D400B9CA75}"/>
              </c:ext>
            </c:extLst>
          </c:dPt>
          <c:dPt>
            <c:idx val="6"/>
            <c:invertIfNegative val="0"/>
            <c:bubble3D val="0"/>
            <c:extLst>
              <c:ext xmlns:c16="http://schemas.microsoft.com/office/drawing/2014/chart" uri="{C3380CC4-5D6E-409C-BE32-E72D297353CC}">
                <c16:uniqueId val="{00000009-F0C5-44E6-AEF0-F7D400B9CA75}"/>
              </c:ext>
            </c:extLst>
          </c:dPt>
          <c:dPt>
            <c:idx val="7"/>
            <c:invertIfNegative val="0"/>
            <c:bubble3D val="0"/>
            <c:extLst>
              <c:ext xmlns:c16="http://schemas.microsoft.com/office/drawing/2014/chart" uri="{C3380CC4-5D6E-409C-BE32-E72D297353CC}">
                <c16:uniqueId val="{0000000B-F0C5-44E6-AEF0-F7D400B9CA75}"/>
              </c:ext>
            </c:extLst>
          </c:dPt>
          <c:dPt>
            <c:idx val="8"/>
            <c:invertIfNegative val="0"/>
            <c:bubble3D val="0"/>
            <c:extLst>
              <c:ext xmlns:c16="http://schemas.microsoft.com/office/drawing/2014/chart" uri="{C3380CC4-5D6E-409C-BE32-E72D297353CC}">
                <c16:uniqueId val="{0000000D-F0C5-44E6-AEF0-F7D400B9CA75}"/>
              </c:ext>
            </c:extLst>
          </c:dPt>
          <c:dPt>
            <c:idx val="9"/>
            <c:invertIfNegative val="0"/>
            <c:bubble3D val="0"/>
            <c:extLst>
              <c:ext xmlns:c16="http://schemas.microsoft.com/office/drawing/2014/chart" uri="{C3380CC4-5D6E-409C-BE32-E72D297353CC}">
                <c16:uniqueId val="{0000000E-F0C5-44E6-AEF0-F7D400B9CA75}"/>
              </c:ext>
            </c:extLst>
          </c:dPt>
          <c:dPt>
            <c:idx val="10"/>
            <c:invertIfNegative val="0"/>
            <c:bubble3D val="0"/>
            <c:extLst>
              <c:ext xmlns:c16="http://schemas.microsoft.com/office/drawing/2014/chart" uri="{C3380CC4-5D6E-409C-BE32-E72D297353CC}">
                <c16:uniqueId val="{00000010-F0C5-44E6-AEF0-F7D400B9CA75}"/>
              </c:ext>
            </c:extLst>
          </c:dPt>
          <c:errBars>
            <c:errBarType val="both"/>
            <c:errValType val="cust"/>
            <c:noEndCap val="0"/>
            <c:plus>
              <c:numRef>
                <c:f>('KPI 3'!$M$9:$M$18,'KPI 3'!$M$22)</c:f>
                <c:numCache>
                  <c:formatCode>General</c:formatCode>
                  <c:ptCount val="11"/>
                  <c:pt idx="0">
                    <c:v>2.5000000000000001E-2</c:v>
                  </c:pt>
                  <c:pt idx="1">
                    <c:v>2.8000000000000001E-2</c:v>
                  </c:pt>
                  <c:pt idx="2">
                    <c:v>3.5000000000000003E-2</c:v>
                  </c:pt>
                  <c:pt idx="3">
                    <c:v>5.2999999999999999E-2</c:v>
                  </c:pt>
                  <c:pt idx="4">
                    <c:v>2.4E-2</c:v>
                  </c:pt>
                  <c:pt idx="5">
                    <c:v>2.3E-2</c:v>
                  </c:pt>
                  <c:pt idx="6">
                    <c:v>1.7000000000000001E-2</c:v>
                  </c:pt>
                  <c:pt idx="7">
                    <c:v>2.4E-2</c:v>
                  </c:pt>
                  <c:pt idx="8">
                    <c:v>2.8000000000000001E-2</c:v>
                  </c:pt>
                  <c:pt idx="9">
                    <c:v>1.7999999999999999E-2</c:v>
                  </c:pt>
                  <c:pt idx="10">
                    <c:v>7.0000000000000001E-3</c:v>
                  </c:pt>
                </c:numCache>
              </c:numRef>
            </c:plus>
            <c:minus>
              <c:numRef>
                <c:f>('KPI 3'!$M$9:$M$18,'KPI 3'!$M$22)</c:f>
                <c:numCache>
                  <c:formatCode>General</c:formatCode>
                  <c:ptCount val="11"/>
                  <c:pt idx="0">
                    <c:v>2.5000000000000001E-2</c:v>
                  </c:pt>
                  <c:pt idx="1">
                    <c:v>2.8000000000000001E-2</c:v>
                  </c:pt>
                  <c:pt idx="2">
                    <c:v>3.5000000000000003E-2</c:v>
                  </c:pt>
                  <c:pt idx="3">
                    <c:v>5.2999999999999999E-2</c:v>
                  </c:pt>
                  <c:pt idx="4">
                    <c:v>2.4E-2</c:v>
                  </c:pt>
                  <c:pt idx="5">
                    <c:v>2.3E-2</c:v>
                  </c:pt>
                  <c:pt idx="6">
                    <c:v>1.7000000000000001E-2</c:v>
                  </c:pt>
                  <c:pt idx="7">
                    <c:v>2.4E-2</c:v>
                  </c:pt>
                  <c:pt idx="8">
                    <c:v>2.8000000000000001E-2</c:v>
                  </c:pt>
                  <c:pt idx="9">
                    <c:v>1.7999999999999999E-2</c:v>
                  </c:pt>
                  <c:pt idx="10">
                    <c:v>7.0000000000000001E-3</c:v>
                  </c:pt>
                </c:numCache>
              </c:numRef>
            </c:minus>
          </c:errBars>
          <c:cat>
            <c:strRef>
              <c:f>('KPI 3'!$C$9:$C$18,'KPI 3'!$C$22)</c:f>
              <c:strCache>
                <c:ptCount val="11"/>
                <c:pt idx="0">
                  <c:v>Alfred      (31)</c:v>
                </c:pt>
                <c:pt idx="1">
                  <c:v>Austin      (14)</c:v>
                </c:pt>
                <c:pt idx="2">
                  <c:v>Barwon      (15)</c:v>
                </c:pt>
                <c:pt idx="3">
                  <c:v>Bendigo      (9)</c:v>
                </c:pt>
                <c:pt idx="4">
                  <c:v>Eastern      (31)</c:v>
                </c:pt>
                <c:pt idx="5">
                  <c:v>Melbourne      (49)</c:v>
                </c:pt>
                <c:pt idx="6">
                  <c:v>Monash      (70)</c:v>
                </c:pt>
                <c:pt idx="7">
                  <c:v>Northern      (12)</c:v>
                </c:pt>
                <c:pt idx="8">
                  <c:v>St Vincents      (30)</c:v>
                </c:pt>
                <c:pt idx="9">
                  <c:v>Western      (32)</c:v>
                </c:pt>
                <c:pt idx="10">
                  <c:v>State      (293)</c:v>
                </c:pt>
              </c:strCache>
            </c:strRef>
          </c:cat>
          <c:val>
            <c:numRef>
              <c:f>('KPI 3'!$J$9:$J$18,'KPI 3'!$J$22)</c:f>
              <c:numCache>
                <c:formatCode>0.0%</c:formatCode>
                <c:ptCount val="11"/>
                <c:pt idx="0">
                  <c:v>0.35632183908045978</c:v>
                </c:pt>
                <c:pt idx="1">
                  <c:v>0.20895522388059701</c:v>
                </c:pt>
                <c:pt idx="2">
                  <c:v>0.4838709677419355</c:v>
                </c:pt>
                <c:pt idx="3">
                  <c:v>0.31034482758620691</c:v>
                </c:pt>
                <c:pt idx="4">
                  <c:v>0.41333333333333333</c:v>
                </c:pt>
                <c:pt idx="5">
                  <c:v>0.31756756756756754</c:v>
                </c:pt>
                <c:pt idx="6">
                  <c:v>0.34920634920634919</c:v>
                </c:pt>
                <c:pt idx="7">
                  <c:v>0.30769230769230771</c:v>
                </c:pt>
                <c:pt idx="8">
                  <c:v>0.44776119402985076</c:v>
                </c:pt>
                <c:pt idx="9">
                  <c:v>0.41025641025641024</c:v>
                </c:pt>
                <c:pt idx="10">
                  <c:v>0.35432098765432096</c:v>
                </c:pt>
              </c:numCache>
            </c:numRef>
          </c:val>
          <c:extLst>
            <c:ext xmlns:c16="http://schemas.microsoft.com/office/drawing/2014/chart" uri="{C3380CC4-5D6E-409C-BE32-E72D297353CC}">
              <c16:uniqueId val="{00000011-F0C5-44E6-AEF0-F7D400B9CA75}"/>
            </c:ext>
          </c:extLst>
        </c:ser>
        <c:dLbls>
          <c:showLegendKey val="0"/>
          <c:showVal val="0"/>
          <c:showCatName val="0"/>
          <c:showSerName val="0"/>
          <c:showPercent val="0"/>
          <c:showBubbleSize val="0"/>
        </c:dLbls>
        <c:gapWidth val="150"/>
        <c:axId val="140607872"/>
        <c:axId val="140609408"/>
      </c:barChart>
      <c:catAx>
        <c:axId val="140607872"/>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0609408"/>
        <c:crosses val="autoZero"/>
        <c:auto val="1"/>
        <c:lblAlgn val="ctr"/>
        <c:lblOffset val="100"/>
        <c:noMultiLvlLbl val="0"/>
      </c:catAx>
      <c:valAx>
        <c:axId val="140609408"/>
        <c:scaling>
          <c:orientation val="minMax"/>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060787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Incidence percentage of home dialysis patients</a:t>
            </a:r>
            <a:endParaRPr lang="en-AU" sz="1000" b="0">
              <a:effectLst/>
              <a:latin typeface="VIC SemiBold" panose="00000700000000000000" pitchFamily="2" charset="0"/>
            </a:endParaRPr>
          </a:p>
        </c:rich>
      </c:tx>
      <c:layout>
        <c:manualLayout>
          <c:xMode val="edge"/>
          <c:yMode val="edge"/>
          <c:x val="0.23879782632804702"/>
          <c:y val="3.9408866995073892E-2"/>
        </c:manualLayout>
      </c:layout>
      <c:overlay val="0"/>
    </c:title>
    <c:autoTitleDeleted val="0"/>
    <c:plotArea>
      <c:layout>
        <c:manualLayout>
          <c:layoutTarget val="inner"/>
          <c:xMode val="edge"/>
          <c:yMode val="edge"/>
          <c:x val="6.8542911009363272E-2"/>
          <c:y val="0.12485922568284305"/>
          <c:w val="0.91220108049874049"/>
          <c:h val="0.70819703163703029"/>
        </c:manualLayout>
      </c:layout>
      <c:barChart>
        <c:barDir val="col"/>
        <c:grouping val="clustered"/>
        <c:varyColors val="0"/>
        <c:ser>
          <c:idx val="2"/>
          <c:order val="0"/>
          <c:tx>
            <c:strRef>
              <c:f>'KPI 3'!$AO$151</c:f>
              <c:strCache>
                <c:ptCount val="1"/>
                <c:pt idx="0">
                  <c:v>2017</c:v>
                </c:pt>
              </c:strCache>
            </c:strRef>
          </c:tx>
          <c:spPr>
            <a:solidFill>
              <a:srgbClr val="64C2C8"/>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3'!$AO$152:$AO$161,'KPI 3'!$AO$163)</c:f>
              <c:numCache>
                <c:formatCode>0.0%</c:formatCode>
                <c:ptCount val="11"/>
                <c:pt idx="0">
                  <c:v>0.4777777777777778</c:v>
                </c:pt>
                <c:pt idx="1">
                  <c:v>0.35087719298245612</c:v>
                </c:pt>
                <c:pt idx="2">
                  <c:v>0.32558139534883723</c:v>
                </c:pt>
                <c:pt idx="3">
                  <c:v>0.56521739130434778</c:v>
                </c:pt>
                <c:pt idx="4">
                  <c:v>0.4264705882352941</c:v>
                </c:pt>
                <c:pt idx="5">
                  <c:v>0.33333333333333331</c:v>
                </c:pt>
                <c:pt idx="6">
                  <c:v>0.26623376623376621</c:v>
                </c:pt>
                <c:pt idx="7">
                  <c:v>0.27777777777777779</c:v>
                </c:pt>
                <c:pt idx="8">
                  <c:v>0.39130434782608697</c:v>
                </c:pt>
                <c:pt idx="9">
                  <c:v>0.36046511627906974</c:v>
                </c:pt>
                <c:pt idx="10">
                  <c:v>0.35853976531942633</c:v>
                </c:pt>
              </c:numCache>
            </c:numRef>
          </c:val>
          <c:extLst>
            <c:ext xmlns:c16="http://schemas.microsoft.com/office/drawing/2014/chart" uri="{C3380CC4-5D6E-409C-BE32-E72D297353CC}">
              <c16:uniqueId val="{00000000-A0EF-4117-AF2C-0FCAACE528DE}"/>
            </c:ext>
          </c:extLst>
        </c:ser>
        <c:ser>
          <c:idx val="1"/>
          <c:order val="1"/>
          <c:tx>
            <c:strRef>
              <c:f>'KPI 3'!$AP$151</c:f>
              <c:strCache>
                <c:ptCount val="1"/>
                <c:pt idx="0">
                  <c:v>2018</c:v>
                </c:pt>
              </c:strCache>
            </c:strRef>
          </c:tx>
          <c:spPr>
            <a:solidFill>
              <a:srgbClr val="005892"/>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3'!$AP$152:$AP$161,'KPI 3'!$AP$163)</c:f>
              <c:numCache>
                <c:formatCode>0.0%</c:formatCode>
                <c:ptCount val="11"/>
                <c:pt idx="0">
                  <c:v>0.449438202247191</c:v>
                </c:pt>
                <c:pt idx="1">
                  <c:v>0.35294117647058826</c:v>
                </c:pt>
                <c:pt idx="2">
                  <c:v>0.3888888888888889</c:v>
                </c:pt>
                <c:pt idx="3">
                  <c:v>0.27272727272727271</c:v>
                </c:pt>
                <c:pt idx="4">
                  <c:v>0.36363636363636365</c:v>
                </c:pt>
                <c:pt idx="5">
                  <c:v>0.33098591549295775</c:v>
                </c:pt>
                <c:pt idx="6">
                  <c:v>0.38311688311688313</c:v>
                </c:pt>
                <c:pt idx="7">
                  <c:v>0.36956521739130432</c:v>
                </c:pt>
                <c:pt idx="8">
                  <c:v>0.37179487179487181</c:v>
                </c:pt>
                <c:pt idx="9">
                  <c:v>0.4375</c:v>
                </c:pt>
                <c:pt idx="10">
                  <c:v>0.37772087067861715</c:v>
                </c:pt>
              </c:numCache>
            </c:numRef>
          </c:val>
          <c:extLst>
            <c:ext xmlns:c16="http://schemas.microsoft.com/office/drawing/2014/chart" uri="{C3380CC4-5D6E-409C-BE32-E72D297353CC}">
              <c16:uniqueId val="{00000001-A0EF-4117-AF2C-0FCAACE528DE}"/>
            </c:ext>
          </c:extLst>
        </c:ser>
        <c:ser>
          <c:idx val="0"/>
          <c:order val="2"/>
          <c:tx>
            <c:strRef>
              <c:f>'KPI 3'!$AQ$151</c:f>
              <c:strCache>
                <c:ptCount val="1"/>
                <c:pt idx="0">
                  <c:v>2019</c:v>
                </c:pt>
              </c:strCache>
            </c:strRef>
          </c:tx>
          <c:spPr>
            <a:solidFill>
              <a:srgbClr val="C1E6FF"/>
            </a:solidFill>
          </c:spPr>
          <c:invertIfNegative val="0"/>
          <c:cat>
            <c:strRef>
              <c:f>('KPI 3'!$AE$152:$AE$161,'KPI 3'!$AE$163)</c:f>
              <c:strCache>
                <c:ptCount val="11"/>
                <c:pt idx="0">
                  <c:v>Alfred</c:v>
                </c:pt>
                <c:pt idx="1">
                  <c:v>Austin</c:v>
                </c:pt>
                <c:pt idx="2">
                  <c:v>Barwon</c:v>
                </c:pt>
                <c:pt idx="3">
                  <c:v>Bendigo</c:v>
                </c:pt>
                <c:pt idx="4">
                  <c:v>Eastern</c:v>
                </c:pt>
                <c:pt idx="5">
                  <c:v>Melbourne</c:v>
                </c:pt>
                <c:pt idx="6">
                  <c:v>Monash</c:v>
                </c:pt>
                <c:pt idx="7">
                  <c:v>Northern</c:v>
                </c:pt>
                <c:pt idx="8">
                  <c:v>St Vincents</c:v>
                </c:pt>
                <c:pt idx="9">
                  <c:v>Western</c:v>
                </c:pt>
                <c:pt idx="10">
                  <c:v>State</c:v>
                </c:pt>
              </c:strCache>
            </c:strRef>
          </c:cat>
          <c:val>
            <c:numRef>
              <c:f>('KPI 3'!$AQ$152:$AQ$161,'KPI 3'!$AQ$163)</c:f>
              <c:numCache>
                <c:formatCode>0.0%</c:formatCode>
                <c:ptCount val="11"/>
                <c:pt idx="0">
                  <c:v>0.39743589743589741</c:v>
                </c:pt>
                <c:pt idx="1">
                  <c:v>0.20895522388059701</c:v>
                </c:pt>
                <c:pt idx="2">
                  <c:v>0.4838709677419355</c:v>
                </c:pt>
                <c:pt idx="3">
                  <c:v>0.31034482758620691</c:v>
                </c:pt>
                <c:pt idx="4">
                  <c:v>0.41333333333333333</c:v>
                </c:pt>
                <c:pt idx="5">
                  <c:v>0.33108108108108109</c:v>
                </c:pt>
                <c:pt idx="6">
                  <c:v>0.36082474226804123</c:v>
                </c:pt>
                <c:pt idx="7">
                  <c:v>0.30769230769230771</c:v>
                </c:pt>
                <c:pt idx="8">
                  <c:v>0.44776119402985076</c:v>
                </c:pt>
                <c:pt idx="9">
                  <c:v>0.41025641025641024</c:v>
                </c:pt>
                <c:pt idx="10">
                  <c:v>0.36352357320099254</c:v>
                </c:pt>
              </c:numCache>
            </c:numRef>
          </c:val>
          <c:extLst>
            <c:ext xmlns:c16="http://schemas.microsoft.com/office/drawing/2014/chart" uri="{C3380CC4-5D6E-409C-BE32-E72D297353CC}">
              <c16:uniqueId val="{00000002-A0EF-4117-AF2C-0FCAACE528DE}"/>
            </c:ext>
          </c:extLst>
        </c:ser>
        <c:dLbls>
          <c:showLegendKey val="0"/>
          <c:showVal val="0"/>
          <c:showCatName val="0"/>
          <c:showSerName val="0"/>
          <c:showPercent val="0"/>
          <c:showBubbleSize val="0"/>
        </c:dLbls>
        <c:gapWidth val="150"/>
        <c:axId val="142238080"/>
        <c:axId val="142239616"/>
      </c:barChart>
      <c:catAx>
        <c:axId val="142238080"/>
        <c:scaling>
          <c:orientation val="minMax"/>
        </c:scaling>
        <c:delete val="0"/>
        <c:axPos val="b"/>
        <c:numFmt formatCode="General" sourceLinked="0"/>
        <c:majorTickMark val="out"/>
        <c:minorTickMark val="none"/>
        <c:tickLblPos val="nextTo"/>
        <c:txPr>
          <a:bodyPr/>
          <a:lstStyle/>
          <a:p>
            <a:pPr>
              <a:defRPr sz="750" baseline="0">
                <a:latin typeface="VIC" panose="00000500000000000000" pitchFamily="2" charset="0"/>
              </a:defRPr>
            </a:pPr>
            <a:endParaRPr lang="en-US"/>
          </a:p>
        </c:txPr>
        <c:crossAx val="142239616"/>
        <c:crosses val="autoZero"/>
        <c:auto val="1"/>
        <c:lblAlgn val="ctr"/>
        <c:lblOffset val="100"/>
        <c:noMultiLvlLbl val="0"/>
      </c:catAx>
      <c:valAx>
        <c:axId val="142239616"/>
        <c:scaling>
          <c:orientation val="minMax"/>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238080"/>
        <c:crosses val="autoZero"/>
        <c:crossBetween val="between"/>
        <c:majorUnit val="0.1"/>
      </c:valAx>
    </c:plotArea>
    <c:legend>
      <c:legendPos val="r"/>
      <c:layout>
        <c:manualLayout>
          <c:xMode val="edge"/>
          <c:yMode val="edge"/>
          <c:x val="6.9616722097463474E-2"/>
          <c:y val="0.91164985236220508"/>
          <c:w val="0.90626543053086128"/>
          <c:h val="5.1059574584426941E-2"/>
        </c:manualLayout>
      </c:layout>
      <c:overlay val="0"/>
      <c:txPr>
        <a:bodyPr/>
        <a:lstStyle/>
        <a:p>
          <a:pPr>
            <a:defRPr sz="800" baseline="0"/>
          </a:pPr>
          <a:endParaRPr lang="en-US"/>
        </a:p>
      </c:txPr>
    </c:legend>
    <c:plotVisOnly val="1"/>
    <c:dispBlanksAs val="gap"/>
    <c:showDLblsOverMax val="0"/>
  </c:chart>
  <c:spPr>
    <a:ln>
      <a:noFill/>
    </a:ln>
  </c:spPr>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b="0" i="0" baseline="0">
                <a:effectLst/>
                <a:latin typeface="VIC SemiBold" panose="00000700000000000000" pitchFamily="2" charset="0"/>
              </a:rPr>
              <a:t>KPI 3 - Prevalence percentage of home dialysis patients </a:t>
            </a:r>
            <a:endParaRPr lang="en-AU" sz="1000" b="0">
              <a:effectLst/>
              <a:latin typeface="VIC SemiBold" panose="00000700000000000000" pitchFamily="2" charset="0"/>
            </a:endParaRPr>
          </a:p>
        </c:rich>
      </c:tx>
      <c:overlay val="0"/>
    </c:title>
    <c:autoTitleDeleted val="0"/>
    <c:plotArea>
      <c:layout>
        <c:manualLayout>
          <c:layoutTarget val="inner"/>
          <c:xMode val="edge"/>
          <c:yMode val="edge"/>
          <c:x val="6.3009398018796028E-2"/>
          <c:y val="0.11720768539030109"/>
          <c:w val="0.91924866649733294"/>
          <c:h val="0.67327122345000989"/>
        </c:manualLayout>
      </c:layout>
      <c:barChart>
        <c:barDir val="col"/>
        <c:grouping val="clustered"/>
        <c:varyColors val="0"/>
        <c:ser>
          <c:idx val="0"/>
          <c:order val="0"/>
          <c:tx>
            <c:strRef>
              <c:f>'KPI 3'!$CY$222</c:f>
              <c:strCache>
                <c:ptCount val="1"/>
                <c:pt idx="0">
                  <c:v>Jun</c:v>
                </c:pt>
              </c:strCache>
            </c:strRef>
          </c:tx>
          <c:spPr>
            <a:solidFill>
              <a:srgbClr val="64C2C8"/>
            </a:solidFill>
            <a:ln>
              <a:solidFill>
                <a:schemeClr val="accent1">
                  <a:lumMod val="20000"/>
                  <a:lumOff val="80000"/>
                </a:schemeClr>
              </a:solidFill>
            </a:ln>
          </c:spPr>
          <c:invertIfNegative val="0"/>
          <c:dPt>
            <c:idx val="0"/>
            <c:invertIfNegative val="0"/>
            <c:bubble3D val="0"/>
            <c:extLst>
              <c:ext xmlns:c16="http://schemas.microsoft.com/office/drawing/2014/chart" uri="{C3380CC4-5D6E-409C-BE32-E72D297353CC}">
                <c16:uniqueId val="{00000000-54A1-4FC8-BA6A-810DFA1CE892}"/>
              </c:ext>
            </c:extLst>
          </c:dPt>
          <c:dPt>
            <c:idx val="9"/>
            <c:invertIfNegative val="0"/>
            <c:bubble3D val="0"/>
            <c:extLst>
              <c:ext xmlns:c16="http://schemas.microsoft.com/office/drawing/2014/chart" uri="{C3380CC4-5D6E-409C-BE32-E72D297353CC}">
                <c16:uniqueId val="{00000001-54A1-4FC8-BA6A-810DFA1CE892}"/>
              </c:ext>
            </c:extLst>
          </c:dPt>
          <c:errBars>
            <c:errBarType val="both"/>
            <c:errValType val="cust"/>
            <c:noEndCap val="0"/>
            <c:plus>
              <c:numRef>
                <c:f>('KPI 3'!$DJ$223:$DJ$232,'KPI 3'!$DJ$234)</c:f>
                <c:numCache>
                  <c:formatCode>General</c:formatCode>
                  <c:ptCount val="11"/>
                  <c:pt idx="0">
                    <c:v>6.0392044532116594E-3</c:v>
                  </c:pt>
                  <c:pt idx="1">
                    <c:v>4.0779065115909381E-3</c:v>
                  </c:pt>
                  <c:pt idx="2">
                    <c:v>4.7917949126161236E-3</c:v>
                  </c:pt>
                  <c:pt idx="3">
                    <c:v>4.4482513104777367E-3</c:v>
                  </c:pt>
                  <c:pt idx="4">
                    <c:v>5.6843269884918881E-3</c:v>
                  </c:pt>
                  <c:pt idx="5">
                    <c:v>5.9123423616842053E-3</c:v>
                  </c:pt>
                  <c:pt idx="6">
                    <c:v>1.7896814121381357E-3</c:v>
                  </c:pt>
                  <c:pt idx="7">
                    <c:v>9.3204859547600591E-3</c:v>
                  </c:pt>
                  <c:pt idx="8">
                    <c:v>3.0011671555354317E-3</c:v>
                  </c:pt>
                  <c:pt idx="9">
                    <c:v>8.5623400848318671E-3</c:v>
                  </c:pt>
                  <c:pt idx="10">
                    <c:v>3.0465528574333514E-3</c:v>
                  </c:pt>
                </c:numCache>
              </c:numRef>
            </c:plus>
            <c:minus>
              <c:numRef>
                <c:f>('KPI 3'!$DJ$223:$DJ$232,'KPI 3'!$DJ$234)</c:f>
                <c:numCache>
                  <c:formatCode>General</c:formatCode>
                  <c:ptCount val="11"/>
                  <c:pt idx="0">
                    <c:v>6.0392044532116594E-3</c:v>
                  </c:pt>
                  <c:pt idx="1">
                    <c:v>4.0779065115909381E-3</c:v>
                  </c:pt>
                  <c:pt idx="2">
                    <c:v>4.7917949126161236E-3</c:v>
                  </c:pt>
                  <c:pt idx="3">
                    <c:v>4.4482513104777367E-3</c:v>
                  </c:pt>
                  <c:pt idx="4">
                    <c:v>5.6843269884918881E-3</c:v>
                  </c:pt>
                  <c:pt idx="5">
                    <c:v>5.9123423616842053E-3</c:v>
                  </c:pt>
                  <c:pt idx="6">
                    <c:v>1.7896814121381357E-3</c:v>
                  </c:pt>
                  <c:pt idx="7">
                    <c:v>9.3204859547600591E-3</c:v>
                  </c:pt>
                  <c:pt idx="8">
                    <c:v>3.0011671555354317E-3</c:v>
                  </c:pt>
                  <c:pt idx="9">
                    <c:v>8.5623400848318671E-3</c:v>
                  </c:pt>
                  <c:pt idx="10">
                    <c:v>3.0465528574333514E-3</c:v>
                  </c:pt>
                </c:numCache>
              </c:numRef>
            </c:minus>
          </c:errBars>
          <c:cat>
            <c:strRef>
              <c:f>('KPI 3'!$A$223:$A$232,'KPI 3'!$A$234)</c:f>
              <c:strCache>
                <c:ptCount val="11"/>
                <c:pt idx="0">
                  <c:v>Alfred      (89)</c:v>
                </c:pt>
                <c:pt idx="1">
                  <c:v>Austin      (60)</c:v>
                </c:pt>
                <c:pt idx="2">
                  <c:v>Barwon      (52)</c:v>
                </c:pt>
                <c:pt idx="3">
                  <c:v>Bendigo      (31)</c:v>
                </c:pt>
                <c:pt idx="4">
                  <c:v>Eastern      (67)</c:v>
                </c:pt>
                <c:pt idx="5">
                  <c:v>Melbourne      (95)</c:v>
                </c:pt>
                <c:pt idx="6">
                  <c:v>Monash      (175)</c:v>
                </c:pt>
                <c:pt idx="7">
                  <c:v>Northern      (23)</c:v>
                </c:pt>
                <c:pt idx="8">
                  <c:v>St Vincents      (77)</c:v>
                </c:pt>
                <c:pt idx="9">
                  <c:v>Western      (86)</c:v>
                </c:pt>
                <c:pt idx="10">
                  <c:v>State      (755)</c:v>
                </c:pt>
              </c:strCache>
            </c:strRef>
          </c:cat>
          <c:val>
            <c:numRef>
              <c:f>('KPI 3'!$DE$223:$DE$232,'KPI 3'!$DE$234)</c:f>
              <c:numCache>
                <c:formatCode>0.0%</c:formatCode>
                <c:ptCount val="11"/>
                <c:pt idx="0">
                  <c:v>0.30795847750865052</c:v>
                </c:pt>
                <c:pt idx="1">
                  <c:v>0.21505376344086022</c:v>
                </c:pt>
                <c:pt idx="2">
                  <c:v>0.31707317073170732</c:v>
                </c:pt>
                <c:pt idx="3">
                  <c:v>0.31</c:v>
                </c:pt>
                <c:pt idx="4">
                  <c:v>0.26171875</c:v>
                </c:pt>
                <c:pt idx="5">
                  <c:v>0.17992424242424243</c:v>
                </c:pt>
                <c:pt idx="6">
                  <c:v>0.27472527472527475</c:v>
                </c:pt>
                <c:pt idx="7">
                  <c:v>0.16666666666666666</c:v>
                </c:pt>
                <c:pt idx="8">
                  <c:v>0.25752508361204013</c:v>
                </c:pt>
                <c:pt idx="9">
                  <c:v>0.25825825825825827</c:v>
                </c:pt>
                <c:pt idx="10">
                  <c:v>0.24975190208402248</c:v>
                </c:pt>
              </c:numCache>
            </c:numRef>
          </c:val>
          <c:extLst>
            <c:ext xmlns:c16="http://schemas.microsoft.com/office/drawing/2014/chart" uri="{C3380CC4-5D6E-409C-BE32-E72D297353CC}">
              <c16:uniqueId val="{00000002-54A1-4FC8-BA6A-810DFA1CE892}"/>
            </c:ext>
          </c:extLst>
        </c:ser>
        <c:dLbls>
          <c:showLegendKey val="0"/>
          <c:showVal val="0"/>
          <c:showCatName val="0"/>
          <c:showSerName val="0"/>
          <c:showPercent val="0"/>
          <c:showBubbleSize val="0"/>
        </c:dLbls>
        <c:gapWidth val="150"/>
        <c:axId val="142423552"/>
        <c:axId val="142425088"/>
      </c:barChart>
      <c:catAx>
        <c:axId val="142423552"/>
        <c:scaling>
          <c:orientation val="minMax"/>
        </c:scaling>
        <c:delete val="0"/>
        <c:axPos val="b"/>
        <c:numFmt formatCode="General" sourceLinked="1"/>
        <c:majorTickMark val="out"/>
        <c:minorTickMark val="none"/>
        <c:tickLblPos val="nextTo"/>
        <c:txPr>
          <a:bodyPr/>
          <a:lstStyle/>
          <a:p>
            <a:pPr>
              <a:defRPr sz="750" baseline="0">
                <a:latin typeface="VIC" panose="00000500000000000000" pitchFamily="2" charset="0"/>
              </a:defRPr>
            </a:pPr>
            <a:endParaRPr lang="en-US"/>
          </a:p>
        </c:txPr>
        <c:crossAx val="142425088"/>
        <c:crosses val="autoZero"/>
        <c:auto val="1"/>
        <c:lblAlgn val="ctr"/>
        <c:lblOffset val="100"/>
        <c:noMultiLvlLbl val="0"/>
      </c:catAx>
      <c:valAx>
        <c:axId val="142425088"/>
        <c:scaling>
          <c:orientation val="minMax"/>
          <c:max val="0.5"/>
          <c:min val="0"/>
        </c:scaling>
        <c:delete val="0"/>
        <c:axPos val="l"/>
        <c:majorGridlines/>
        <c:numFmt formatCode="0%" sourceLinked="0"/>
        <c:majorTickMark val="out"/>
        <c:minorTickMark val="none"/>
        <c:tickLblPos val="nextTo"/>
        <c:txPr>
          <a:bodyPr/>
          <a:lstStyle/>
          <a:p>
            <a:pPr>
              <a:defRPr sz="800" baseline="0">
                <a:latin typeface="VIC" panose="00000500000000000000" pitchFamily="2" charset="0"/>
              </a:defRPr>
            </a:pPr>
            <a:endParaRPr lang="en-US"/>
          </a:p>
        </c:txPr>
        <c:crossAx val="142423552"/>
        <c:crosses val="autoZero"/>
        <c:crossBetween val="between"/>
        <c:majorUnit val="0.1"/>
      </c:valAx>
    </c:plotArea>
    <c:plotVisOnly val="1"/>
    <c:dispBlanksAs val="gap"/>
    <c:showDLblsOverMax val="0"/>
  </c:chart>
  <c:spPr>
    <a:ln>
      <a:noFill/>
    </a:ln>
  </c:spPr>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0.23862</cdr:x>
      <cdr:y>0.16505</cdr:y>
    </cdr:from>
    <cdr:to>
      <cdr:x>0.43446</cdr:x>
      <cdr:y>0.24088</cdr:y>
    </cdr:to>
    <cdr:sp macro="" textlink="">
      <cdr:nvSpPr>
        <cdr:cNvPr id="2" name="TextBox 3"/>
        <cdr:cNvSpPr txBox="1"/>
      </cdr:nvSpPr>
      <cdr:spPr>
        <a:xfrm xmlns:a="http://schemas.openxmlformats.org/drawingml/2006/main">
          <a:off x="1543300" y="646137"/>
          <a:ext cx="1266575" cy="296838"/>
        </a:xfrm>
        <a:prstGeom xmlns:a="http://schemas.openxmlformats.org/drawingml/2006/main" prst="rect">
          <a:avLst/>
        </a:prstGeom>
      </cdr:spPr>
    </cdr:sp>
  </cdr:relSizeAnchor>
  <cdr:relSizeAnchor xmlns:cdr="http://schemas.openxmlformats.org/drawingml/2006/chartDrawing">
    <cdr:from>
      <cdr:x>0.88439</cdr:x>
      <cdr:y>0.15433</cdr:y>
    </cdr:from>
    <cdr:to>
      <cdr:x>0.98022</cdr:x>
      <cdr:y>0.20568</cdr:y>
    </cdr:to>
    <cdr:pic>
      <cdr:nvPicPr>
        <cdr:cNvPr id="3" name="chart">
          <a:extLst xmlns:a="http://schemas.openxmlformats.org/drawingml/2006/main">
            <a:ext uri="{FF2B5EF4-FFF2-40B4-BE49-F238E27FC236}">
              <a16:creationId xmlns:a16="http://schemas.microsoft.com/office/drawing/2014/main" id="{8714D84B-29C1-442B-B573-352286DC234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576540" y="555667"/>
          <a:ext cx="604261" cy="184883"/>
        </a:xfrm>
        <a:prstGeom xmlns:a="http://schemas.openxmlformats.org/drawingml/2006/main" prst="rect">
          <a:avLst/>
        </a:prstGeom>
      </cdr:spPr>
    </cdr:pic>
  </cdr:relSizeAnchor>
  <cdr:relSizeAnchor xmlns:cdr="http://schemas.openxmlformats.org/drawingml/2006/chartDrawing">
    <cdr:from>
      <cdr:x>0.25938</cdr:x>
      <cdr:y>0.93417</cdr:y>
    </cdr:from>
    <cdr:to>
      <cdr:x>0.3802</cdr:x>
      <cdr:y>0.97581</cdr:y>
    </cdr:to>
    <cdr:sp macro="" textlink="">
      <cdr:nvSpPr>
        <cdr:cNvPr id="4"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0.25938</cdr:x>
      <cdr:y>0.93417</cdr:y>
    </cdr:from>
    <cdr:to>
      <cdr:x>0.3802</cdr:x>
      <cdr:y>0.97581</cdr:y>
    </cdr:to>
    <cdr:sp macro="" textlink="">
      <cdr:nvSpPr>
        <cdr:cNvPr id="5" name="TextBox 1"/>
        <cdr:cNvSpPr txBox="1"/>
      </cdr:nvSpPr>
      <cdr:spPr>
        <a:xfrm xmlns:a="http://schemas.openxmlformats.org/drawingml/2006/main">
          <a:off x="1677541" y="3657077"/>
          <a:ext cx="781410" cy="163014"/>
        </a:xfrm>
        <a:prstGeom xmlns:a="http://schemas.openxmlformats.org/drawingml/2006/main" prst="rect">
          <a:avLst/>
        </a:prstGeom>
      </cdr:spPr>
    </cdr:sp>
  </cdr:relSizeAnchor>
  <cdr:relSizeAnchor xmlns:cdr="http://schemas.openxmlformats.org/drawingml/2006/chartDrawing">
    <cdr:from>
      <cdr:x>0.17621</cdr:x>
      <cdr:y>0.92458</cdr:y>
    </cdr:from>
    <cdr:to>
      <cdr:x>0.19637</cdr:x>
      <cdr:y>0.95215</cdr:y>
    </cdr:to>
    <cdr:sp macro="" textlink="">
      <cdr:nvSpPr>
        <cdr:cNvPr id="7" name="Rectangle 6"/>
        <cdr:cNvSpPr/>
      </cdr:nvSpPr>
      <cdr:spPr>
        <a:xfrm xmlns:a="http://schemas.openxmlformats.org/drawingml/2006/main">
          <a:off x="1139654" y="3619527"/>
          <a:ext cx="130375" cy="107927"/>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0.45193</cdr:x>
      <cdr:y>0.91827</cdr:y>
    </cdr:from>
    <cdr:to>
      <cdr:x>0.47049</cdr:x>
      <cdr:y>0.94175</cdr:y>
    </cdr:to>
    <cdr:sp macro="" textlink="">
      <cdr:nvSpPr>
        <cdr:cNvPr id="8" name="Rectangle 7"/>
        <cdr:cNvSpPr/>
      </cdr:nvSpPr>
      <cdr:spPr>
        <a:xfrm xmlns:a="http://schemas.openxmlformats.org/drawingml/2006/main">
          <a:off x="2849667" y="3402397"/>
          <a:ext cx="117031" cy="86999"/>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0.72055</cdr:x>
      <cdr:y>0.92347</cdr:y>
    </cdr:from>
    <cdr:to>
      <cdr:x>0.73913</cdr:x>
      <cdr:y>0.94695</cdr:y>
    </cdr:to>
    <cdr:sp macro="" textlink="">
      <cdr:nvSpPr>
        <cdr:cNvPr id="10" name="Rectangle 9"/>
        <cdr:cNvSpPr/>
      </cdr:nvSpPr>
      <cdr:spPr>
        <a:xfrm xmlns:a="http://schemas.openxmlformats.org/drawingml/2006/main">
          <a:off x="4660161" y="3615166"/>
          <a:ext cx="120112" cy="91916"/>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0.06627</cdr:x>
      <cdr:y>0.28306</cdr:y>
    </cdr:from>
    <cdr:to>
      <cdr:x>1</cdr:x>
      <cdr:y>0.28306</cdr:y>
    </cdr:to>
    <cdr:cxnSp macro="">
      <cdr:nvCxnSpPr>
        <cdr:cNvPr id="13" name="Straight Connector 12">
          <a:extLst xmlns:a="http://schemas.openxmlformats.org/drawingml/2006/main">
            <a:ext uri="{FF2B5EF4-FFF2-40B4-BE49-F238E27FC236}">
              <a16:creationId xmlns:a16="http://schemas.microsoft.com/office/drawing/2014/main" id="{28D4C4E6-822D-4C90-A4E8-55BFB4E101CE}"/>
            </a:ext>
          </a:extLst>
        </cdr:cNvPr>
        <cdr:cNvCxnSpPr/>
      </cdr:nvCxnSpPr>
      <cdr:spPr>
        <a:xfrm xmlns:a="http://schemas.openxmlformats.org/drawingml/2006/main">
          <a:off x="417869" y="1031013"/>
          <a:ext cx="5887681" cy="0"/>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0.20625</cdr:x>
      <cdr:y>0.90465</cdr:y>
    </cdr:from>
    <cdr:to>
      <cdr:x>0.34006</cdr:x>
      <cdr:y>0.96862</cdr:y>
    </cdr:to>
    <cdr:sp macro="" textlink="">
      <cdr:nvSpPr>
        <cdr:cNvPr id="14" name="TextBox 1"/>
        <cdr:cNvSpPr txBox="1"/>
      </cdr:nvSpPr>
      <cdr:spPr>
        <a:xfrm xmlns:a="http://schemas.openxmlformats.org/drawingml/2006/main">
          <a:off x="1300518" y="3295074"/>
          <a:ext cx="843736" cy="2329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0.47983</cdr:x>
      <cdr:y>0.90204</cdr:y>
    </cdr:from>
    <cdr:to>
      <cdr:x>0.61364</cdr:x>
      <cdr:y>0.966</cdr:y>
    </cdr:to>
    <cdr:sp macro="" textlink="">
      <cdr:nvSpPr>
        <cdr:cNvPr id="15" name="TextBox 1"/>
        <cdr:cNvSpPr txBox="1"/>
      </cdr:nvSpPr>
      <cdr:spPr>
        <a:xfrm xmlns:a="http://schemas.openxmlformats.org/drawingml/2006/main">
          <a:off x="3025592" y="3342261"/>
          <a:ext cx="843746" cy="2369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0.74554</cdr:x>
      <cdr:y>0.90616</cdr:y>
    </cdr:from>
    <cdr:to>
      <cdr:x>0.93095</cdr:x>
      <cdr:y>0.96339</cdr:y>
    </cdr:to>
    <cdr:sp macro="" textlink="">
      <cdr:nvSpPr>
        <cdr:cNvPr id="16" name="TextBox 1"/>
        <cdr:cNvSpPr txBox="1"/>
      </cdr:nvSpPr>
      <cdr:spPr>
        <a:xfrm xmlns:a="http://schemas.openxmlformats.org/drawingml/2006/main">
          <a:off x="4701070" y="3300565"/>
          <a:ext cx="1169061" cy="208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a:latin typeface="VIC" panose="00000500000000000000" pitchFamily="2" charset="0"/>
            </a:rPr>
            <a:t>Within target range</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drawings/drawing1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0.44602</cdr:x>
      <cdr:y>0.18635</cdr:y>
    </cdr:from>
    <cdr:to>
      <cdr:x>0.96613</cdr:x>
      <cdr:y>0.25197</cdr:y>
    </cdr:to>
    <cdr:sp macro="" textlink="">
      <cdr:nvSpPr>
        <cdr:cNvPr id="3" name="TextBox 1"/>
        <cdr:cNvSpPr txBox="1"/>
      </cdr:nvSpPr>
      <cdr:spPr>
        <a:xfrm xmlns:a="http://schemas.openxmlformats.org/drawingml/2006/main">
          <a:off x="2809875" y="676276"/>
          <a:ext cx="3276599" cy="2381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1" i="0">
              <a:latin typeface="VIC" panose="00000500000000000000" pitchFamily="2" charset="0"/>
            </a:rPr>
            <a:t>Target  = 0.33</a:t>
          </a:r>
          <a:r>
            <a:rPr lang="en-AU" sz="800" b="1" i="0" baseline="0">
              <a:latin typeface="VIC" panose="00000500000000000000" pitchFamily="2" charset="0"/>
            </a:rPr>
            <a:t> peritonitis </a:t>
          </a:r>
          <a:r>
            <a:rPr lang="en-AU" sz="800" b="1" i="0">
              <a:latin typeface="VIC" panose="00000500000000000000" pitchFamily="2" charset="0"/>
            </a:rPr>
            <a:t>episodes for</a:t>
          </a:r>
          <a:r>
            <a:rPr lang="en-AU" sz="800" b="1" i="0" baseline="0">
              <a:latin typeface="VIC" panose="00000500000000000000" pitchFamily="2" charset="0"/>
            </a:rPr>
            <a:t> every patient year</a:t>
          </a:r>
          <a:endParaRPr lang="en-AU" sz="800" b="1" i="0">
            <a:latin typeface="VIC" panose="00000500000000000000" pitchFamily="2" charset="0"/>
          </a:endParaRPr>
        </a:p>
      </cdr:txBody>
    </cdr:sp>
  </cdr:relSizeAnchor>
  <cdr:relSizeAnchor xmlns:cdr="http://schemas.openxmlformats.org/drawingml/2006/chartDrawing">
    <cdr:from>
      <cdr:x>0.18781</cdr:x>
      <cdr:y>0.94065</cdr:y>
    </cdr:from>
    <cdr:to>
      <cdr:x>0.22076</cdr:x>
      <cdr:y>0.97329</cdr:y>
    </cdr:to>
    <cdr:sp macro="" textlink="">
      <cdr:nvSpPr>
        <cdr:cNvPr id="5" name="Rectangle 4"/>
        <cdr:cNvSpPr/>
      </cdr:nvSpPr>
      <cdr:spPr>
        <a:xfrm xmlns:a="http://schemas.openxmlformats.org/drawingml/2006/main">
          <a:off x="1447800" y="4025900"/>
          <a:ext cx="254000" cy="139700"/>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0.45305</cdr:x>
      <cdr:y>0.93769</cdr:y>
    </cdr:from>
    <cdr:to>
      <cdr:x>0.486</cdr:x>
      <cdr:y>0.97033</cdr:y>
    </cdr:to>
    <cdr:sp macro="" textlink="">
      <cdr:nvSpPr>
        <cdr:cNvPr id="7" name="Rectangle 6"/>
        <cdr:cNvSpPr/>
      </cdr:nvSpPr>
      <cdr:spPr>
        <a:xfrm xmlns:a="http://schemas.openxmlformats.org/drawingml/2006/main">
          <a:off x="3492500" y="4013200"/>
          <a:ext cx="254000" cy="139700"/>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0.69357</cdr:x>
      <cdr:y>0.94065</cdr:y>
    </cdr:from>
    <cdr:to>
      <cdr:x>0.72652</cdr:x>
      <cdr:y>0.97329</cdr:y>
    </cdr:to>
    <cdr:sp macro="" textlink="">
      <cdr:nvSpPr>
        <cdr:cNvPr id="8" name="Rectangle 7"/>
        <cdr:cNvSpPr/>
      </cdr:nvSpPr>
      <cdr:spPr>
        <a:xfrm xmlns:a="http://schemas.openxmlformats.org/drawingml/2006/main">
          <a:off x="5346700" y="4025900"/>
          <a:ext cx="254000" cy="139700"/>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0.23925</cdr:x>
      <cdr:y>0.92038</cdr:y>
    </cdr:from>
    <cdr:to>
      <cdr:x>0.43342</cdr:x>
      <cdr:y>0.9682</cdr:y>
    </cdr:to>
    <cdr:sp macro="" textlink="">
      <cdr:nvSpPr>
        <cdr:cNvPr id="9" name="TextBox 1"/>
        <cdr:cNvSpPr txBox="1"/>
      </cdr:nvSpPr>
      <cdr:spPr>
        <a:xfrm xmlns:a="http://schemas.openxmlformats.org/drawingml/2006/main">
          <a:off x="1507210" y="3340100"/>
          <a:ext cx="1223290" cy="17352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Better</a:t>
          </a:r>
          <a:r>
            <a:rPr lang="en-AU" sz="800" baseline="0">
              <a:latin typeface="VIC" panose="00000500000000000000" pitchFamily="2" charset="0"/>
            </a:rPr>
            <a:t> than target</a:t>
          </a:r>
          <a:endParaRPr lang="en-AU" sz="800">
            <a:latin typeface="VIC" panose="00000500000000000000" pitchFamily="2" charset="0"/>
          </a:endParaRPr>
        </a:p>
      </cdr:txBody>
    </cdr:sp>
  </cdr:relSizeAnchor>
  <cdr:relSizeAnchor xmlns:cdr="http://schemas.openxmlformats.org/drawingml/2006/chartDrawing">
    <cdr:from>
      <cdr:x>0.50412</cdr:x>
      <cdr:y>0.92582</cdr:y>
    </cdr:from>
    <cdr:to>
      <cdr:x>0.64086</cdr:x>
      <cdr:y>0.9822</cdr:y>
    </cdr:to>
    <cdr:sp macro="" textlink="">
      <cdr:nvSpPr>
        <cdr:cNvPr id="10" name="TextBox 1"/>
        <cdr:cNvSpPr txBox="1"/>
      </cdr:nvSpPr>
      <cdr:spPr>
        <a:xfrm xmlns:a="http://schemas.openxmlformats.org/drawingml/2006/main">
          <a:off x="3886200" y="3962400"/>
          <a:ext cx="10541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0.75783</cdr:x>
      <cdr:y>0.92582</cdr:y>
    </cdr:from>
    <cdr:to>
      <cdr:x>0.95222</cdr:x>
      <cdr:y>0.9822</cdr:y>
    </cdr:to>
    <cdr:sp macro="" textlink="">
      <cdr:nvSpPr>
        <cdr:cNvPr id="11" name="TextBox 1"/>
        <cdr:cNvSpPr txBox="1"/>
      </cdr:nvSpPr>
      <cdr:spPr>
        <a:xfrm xmlns:a="http://schemas.openxmlformats.org/drawingml/2006/main">
          <a:off x="5842000" y="3962400"/>
          <a:ext cx="1498600" cy="2413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0.0854</cdr:x>
      <cdr:y>0.34607</cdr:y>
    </cdr:from>
    <cdr:to>
      <cdr:x>0.98656</cdr:x>
      <cdr:y>0.34607</cdr:y>
    </cdr:to>
    <cdr:cxnSp macro="">
      <cdr:nvCxnSpPr>
        <cdr:cNvPr id="12" name="Straight Connector 11">
          <a:extLst xmlns:a="http://schemas.openxmlformats.org/drawingml/2006/main">
            <a:ext uri="{FF2B5EF4-FFF2-40B4-BE49-F238E27FC236}">
              <a16:creationId xmlns:a16="http://schemas.microsoft.com/office/drawing/2014/main" id="{FA36BB23-5996-4414-A3F3-BCC13AD28918}"/>
            </a:ext>
          </a:extLst>
        </cdr:cNvPr>
        <cdr:cNvCxnSpPr/>
      </cdr:nvCxnSpPr>
      <cdr:spPr>
        <a:xfrm xmlns:a="http://schemas.openxmlformats.org/drawingml/2006/main" flipV="1">
          <a:off x="537980" y="1255888"/>
          <a:ext cx="5677159"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0.01411</cdr:x>
      <cdr:y>0.86439</cdr:y>
    </cdr:from>
    <cdr:to>
      <cdr:x>0.40319</cdr:x>
      <cdr:y>0.92388</cdr:y>
    </cdr:to>
    <cdr:sp macro="" textlink="">
      <cdr:nvSpPr>
        <cdr:cNvPr id="6" name="TextBox 5">
          <a:extLst xmlns:a="http://schemas.openxmlformats.org/drawingml/2006/main">
            <a:ext uri="{FF2B5EF4-FFF2-40B4-BE49-F238E27FC236}">
              <a16:creationId xmlns:a16="http://schemas.microsoft.com/office/drawing/2014/main" id="{C4E7DFDD-9606-4E2C-AEC5-551678AE85DB}"/>
            </a:ext>
          </a:extLst>
        </cdr:cNvPr>
        <cdr:cNvSpPr txBox="1"/>
      </cdr:nvSpPr>
      <cdr:spPr>
        <a:xfrm xmlns:a="http://schemas.openxmlformats.org/drawingml/2006/main">
          <a:off x="88900" y="3136900"/>
          <a:ext cx="24511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a:t>Average number of PD patients in brackets</a:t>
          </a:r>
        </a:p>
      </cdr:txBody>
    </cdr:sp>
  </cdr:relSizeAnchor>
</c:userShapes>
</file>

<file path=word/drawings/drawing12.xml><?xml version="1.0" encoding="utf-8"?>
<c:userShapes xmlns:c="http://schemas.openxmlformats.org/drawingml/2006/chart">
  <cdr:relSizeAnchor xmlns:cdr="http://schemas.openxmlformats.org/drawingml/2006/chartDrawing">
    <cdr:from>
      <cdr:x>0.11024</cdr:x>
      <cdr:y>0.12567</cdr:y>
    </cdr:from>
    <cdr:to>
      <cdr:x>0.55438</cdr:x>
      <cdr:y>0.19339</cdr:y>
    </cdr:to>
    <cdr:sp macro="" textlink="">
      <cdr:nvSpPr>
        <cdr:cNvPr id="3" name="Text Box 2"/>
        <cdr:cNvSpPr txBox="1"/>
      </cdr:nvSpPr>
      <cdr:spPr>
        <a:xfrm xmlns:a="http://schemas.openxmlformats.org/drawingml/2006/main">
          <a:off x="694494" y="470417"/>
          <a:ext cx="2798009" cy="2534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1" baseline="0">
              <a:latin typeface="VIC" panose="00000500000000000000" pitchFamily="2" charset="0"/>
            </a:rPr>
            <a:t>Target = 0.33 peritonitis episodes per patient year</a:t>
          </a:r>
        </a:p>
      </cdr:txBody>
    </cdr:sp>
  </cdr:relSizeAnchor>
  <cdr:relSizeAnchor xmlns:cdr="http://schemas.openxmlformats.org/drawingml/2006/chartDrawing">
    <cdr:from>
      <cdr:x>0.08744</cdr:x>
      <cdr:y>0.38491</cdr:y>
    </cdr:from>
    <cdr:to>
      <cdr:x>0.97023</cdr:x>
      <cdr:y>0.38746</cdr:y>
    </cdr:to>
    <cdr:cxnSp macro="">
      <cdr:nvCxnSpPr>
        <cdr:cNvPr id="4" name="Straight Connector 3">
          <a:extLst xmlns:a="http://schemas.openxmlformats.org/drawingml/2006/main">
            <a:ext uri="{FF2B5EF4-FFF2-40B4-BE49-F238E27FC236}">
              <a16:creationId xmlns:a16="http://schemas.microsoft.com/office/drawing/2014/main" id="{87685AD7-8C93-4AE8-B5F7-9A8BD7961E11}"/>
            </a:ext>
          </a:extLst>
        </cdr:cNvPr>
        <cdr:cNvCxnSpPr/>
      </cdr:nvCxnSpPr>
      <cdr:spPr>
        <a:xfrm xmlns:a="http://schemas.openxmlformats.org/drawingml/2006/main">
          <a:off x="550858" y="1440845"/>
          <a:ext cx="5561431" cy="954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3.xml><?xml version="1.0" encoding="utf-8"?>
<c:userShapes xmlns:c="http://schemas.openxmlformats.org/drawingml/2006/chart">
  <cdr:relSizeAnchor xmlns:cdr="http://schemas.openxmlformats.org/drawingml/2006/chartDrawing">
    <cdr:from>
      <cdr:x>0.06462</cdr:x>
      <cdr:y>0.53056</cdr:y>
    </cdr:from>
    <cdr:to>
      <cdr:x>0.97893</cdr:x>
      <cdr:y>0.53354</cdr:y>
    </cdr:to>
    <cdr:cxnSp macro="">
      <cdr:nvCxnSpPr>
        <cdr:cNvPr id="3" name="Straight Connector 2">
          <a:extLst xmlns:a="http://schemas.openxmlformats.org/drawingml/2006/main">
            <a:ext uri="{FF2B5EF4-FFF2-40B4-BE49-F238E27FC236}">
              <a16:creationId xmlns:a16="http://schemas.microsoft.com/office/drawing/2014/main" id="{333D340F-998B-4A32-9A9F-195C2E68B4B4}"/>
            </a:ext>
          </a:extLst>
        </cdr:cNvPr>
        <cdr:cNvCxnSpPr/>
      </cdr:nvCxnSpPr>
      <cdr:spPr>
        <a:xfrm xmlns:a="http://schemas.openxmlformats.org/drawingml/2006/main">
          <a:off x="407108" y="2162947"/>
          <a:ext cx="5760002" cy="12148"/>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0.03801</cdr:x>
      <cdr:y>0.93</cdr:y>
    </cdr:from>
    <cdr:to>
      <cdr:x>0.33333</cdr:x>
      <cdr:y>0.9775</cdr:y>
    </cdr:to>
    <cdr:sp macro="" textlink="">
      <cdr:nvSpPr>
        <cdr:cNvPr id="2" name="Text Box 1"/>
        <cdr:cNvSpPr txBox="1"/>
      </cdr:nvSpPr>
      <cdr:spPr>
        <a:xfrm xmlns:a="http://schemas.openxmlformats.org/drawingml/2006/main">
          <a:off x="247650" y="3543300"/>
          <a:ext cx="1924050" cy="1809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Live donor number in brackets</a:t>
          </a:r>
        </a:p>
      </cdr:txBody>
    </cdr:sp>
  </cdr:relSizeAnchor>
  <cdr:relSizeAnchor xmlns:cdr="http://schemas.openxmlformats.org/drawingml/2006/chartDrawing">
    <cdr:from>
      <cdr:x>0.1233</cdr:x>
      <cdr:y>0.90122</cdr:y>
    </cdr:from>
    <cdr:to>
      <cdr:x>0.15625</cdr:x>
      <cdr:y>0.93027</cdr:y>
    </cdr:to>
    <cdr:sp macro="" textlink="">
      <cdr:nvSpPr>
        <cdr:cNvPr id="4" name="Rectangle 3"/>
        <cdr:cNvSpPr/>
      </cdr:nvSpPr>
      <cdr:spPr>
        <a:xfrm xmlns:a="http://schemas.openxmlformats.org/drawingml/2006/main">
          <a:off x="776772" y="3673992"/>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0.18935</cdr:x>
      <cdr:y>0.88802</cdr:y>
    </cdr:from>
    <cdr:to>
      <cdr:x>0.32609</cdr:x>
      <cdr:y>0.9382</cdr:y>
    </cdr:to>
    <cdr:sp macro="" textlink="">
      <cdr:nvSpPr>
        <cdr:cNvPr id="5" name="TextBox 1"/>
        <cdr:cNvSpPr txBox="1"/>
      </cdr:nvSpPr>
      <cdr:spPr>
        <a:xfrm xmlns:a="http://schemas.openxmlformats.org/drawingml/2006/main">
          <a:off x="1192885" y="3620174"/>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0.41576</cdr:x>
      <cdr:y>0.90092</cdr:y>
    </cdr:from>
    <cdr:to>
      <cdr:x>0.44871</cdr:x>
      <cdr:y>0.92997</cdr:y>
    </cdr:to>
    <cdr:sp macro="" textlink="">
      <cdr:nvSpPr>
        <cdr:cNvPr id="6" name="Rectangle 5"/>
        <cdr:cNvSpPr/>
      </cdr:nvSpPr>
      <cdr:spPr>
        <a:xfrm xmlns:a="http://schemas.openxmlformats.org/drawingml/2006/main">
          <a:off x="2619190" y="3672775"/>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0.49706</cdr:x>
      <cdr:y>0.88802</cdr:y>
    </cdr:from>
    <cdr:to>
      <cdr:x>0.6338</cdr:x>
      <cdr:y>0.9382</cdr:y>
    </cdr:to>
    <cdr:sp macro="" textlink="">
      <cdr:nvSpPr>
        <cdr:cNvPr id="7" name="TextBox 1"/>
        <cdr:cNvSpPr txBox="1"/>
      </cdr:nvSpPr>
      <cdr:spPr>
        <a:xfrm xmlns:a="http://schemas.openxmlformats.org/drawingml/2006/main">
          <a:off x="3131423" y="3620174"/>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0.69407</cdr:x>
      <cdr:y>0.90589</cdr:y>
    </cdr:from>
    <cdr:to>
      <cdr:x>0.72702</cdr:x>
      <cdr:y>0.93495</cdr:y>
    </cdr:to>
    <cdr:sp macro="" textlink="">
      <cdr:nvSpPr>
        <cdr:cNvPr id="8" name="Rectangle 7"/>
        <cdr:cNvSpPr/>
      </cdr:nvSpPr>
      <cdr:spPr>
        <a:xfrm xmlns:a="http://schemas.openxmlformats.org/drawingml/2006/main">
          <a:off x="4372552" y="3693042"/>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0.77648</cdr:x>
      <cdr:y>0.89269</cdr:y>
    </cdr:from>
    <cdr:to>
      <cdr:x>0.97087</cdr:x>
      <cdr:y>0.94288</cdr:y>
    </cdr:to>
    <cdr:sp macro="" textlink="">
      <cdr:nvSpPr>
        <cdr:cNvPr id="9" name="TextBox 1"/>
        <cdr:cNvSpPr txBox="1"/>
      </cdr:nvSpPr>
      <cdr:spPr>
        <a:xfrm xmlns:a="http://schemas.openxmlformats.org/drawingml/2006/main">
          <a:off x="4891679" y="3639224"/>
          <a:ext cx="1224625"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0.06363</cdr:x>
      <cdr:y>0.19404</cdr:y>
    </cdr:from>
    <cdr:to>
      <cdr:x>0.65719</cdr:x>
      <cdr:y>0.30961</cdr:y>
    </cdr:to>
    <cdr:sp macro="" textlink="">
      <cdr:nvSpPr>
        <cdr:cNvPr id="2" name="TextBox 1"/>
        <cdr:cNvSpPr txBox="1"/>
      </cdr:nvSpPr>
      <cdr:spPr>
        <a:xfrm xmlns:a="http://schemas.openxmlformats.org/drawingml/2006/main">
          <a:off x="400859" y="715258"/>
          <a:ext cx="3739330" cy="42601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State total:    Live</a:t>
          </a:r>
          <a:r>
            <a:rPr lang="en-AU" sz="800" baseline="0">
              <a:latin typeface="VIC" panose="00000500000000000000" pitchFamily="2" charset="0"/>
            </a:rPr>
            <a:t> donor transplants that are pre-emptive </a:t>
          </a:r>
          <a:r>
            <a:rPr lang="en-AU" sz="800">
              <a:latin typeface="VIC" panose="00000500000000000000" pitchFamily="2" charset="0"/>
            </a:rPr>
            <a:t>= 25</a:t>
          </a:r>
        </a:p>
        <a:p xmlns:a="http://schemas.openxmlformats.org/drawingml/2006/main">
          <a:r>
            <a:rPr lang="en-AU" sz="800">
              <a:latin typeface="VIC" panose="00000500000000000000" pitchFamily="2" charset="0"/>
            </a:rPr>
            <a:t>                         Total live donor transplants = 61</a:t>
          </a:r>
        </a:p>
      </cdr:txBody>
    </cdr:sp>
  </cdr:relSizeAnchor>
</c:userShapes>
</file>

<file path=word/drawings/drawing15.xml><?xml version="1.0" encoding="utf-8"?>
<c:userShapes xmlns:c="http://schemas.openxmlformats.org/drawingml/2006/chart">
  <cdr:relSizeAnchor xmlns:cdr="http://schemas.openxmlformats.org/drawingml/2006/chartDrawing">
    <cdr:from>
      <cdr:x>0.06335</cdr:x>
      <cdr:y>0.53798</cdr:y>
    </cdr:from>
    <cdr:to>
      <cdr:x>0.96792</cdr:x>
      <cdr:y>0.54085</cdr:y>
    </cdr:to>
    <cdr:cxnSp macro="">
      <cdr:nvCxnSpPr>
        <cdr:cNvPr id="3" name="Straight Connector 2">
          <a:extLst xmlns:a="http://schemas.openxmlformats.org/drawingml/2006/main">
            <a:ext uri="{FF2B5EF4-FFF2-40B4-BE49-F238E27FC236}">
              <a16:creationId xmlns:a16="http://schemas.microsoft.com/office/drawing/2014/main" id="{F388A659-CCAB-4788-B8B7-CE76899E864C}"/>
            </a:ext>
          </a:extLst>
        </cdr:cNvPr>
        <cdr:cNvCxnSpPr/>
      </cdr:nvCxnSpPr>
      <cdr:spPr>
        <a:xfrm xmlns:a="http://schemas.openxmlformats.org/drawingml/2006/main">
          <a:off x="399095" y="1885729"/>
          <a:ext cx="5698641" cy="1006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6.xml><?xml version="1.0" encoding="utf-8"?>
<c:userShapes xmlns:c="http://schemas.openxmlformats.org/drawingml/2006/chart">
  <cdr:relSizeAnchor xmlns:cdr="http://schemas.openxmlformats.org/drawingml/2006/chartDrawing">
    <cdr:from>
      <cdr:x>0.6906</cdr:x>
      <cdr:y>0.92857</cdr:y>
    </cdr:from>
    <cdr:to>
      <cdr:x>0.98726</cdr:x>
      <cdr:y>1</cdr:y>
    </cdr:to>
    <cdr:sp macro="" textlink="">
      <cdr:nvSpPr>
        <cdr:cNvPr id="2" name="TextBox 1"/>
        <cdr:cNvSpPr txBox="1"/>
      </cdr:nvSpPr>
      <cdr:spPr>
        <a:xfrm xmlns:a="http://schemas.openxmlformats.org/drawingml/2006/main">
          <a:off x="4350666" y="2998328"/>
          <a:ext cx="1868909" cy="23064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N value indicates live donor number</a:t>
          </a:r>
        </a:p>
      </cdr:txBody>
    </cdr:sp>
  </cdr:relSizeAnchor>
  <cdr:relSizeAnchor xmlns:cdr="http://schemas.openxmlformats.org/drawingml/2006/chartDrawing">
    <cdr:from>
      <cdr:x>0.06552</cdr:x>
      <cdr:y>0.43273</cdr:y>
    </cdr:from>
    <cdr:to>
      <cdr:x>0.9866</cdr:x>
      <cdr:y>0.43273</cdr:y>
    </cdr:to>
    <cdr:cxnSp macro="">
      <cdr:nvCxnSpPr>
        <cdr:cNvPr id="4" name="Straight Connector 3">
          <a:extLst xmlns:a="http://schemas.openxmlformats.org/drawingml/2006/main">
            <a:ext uri="{FF2B5EF4-FFF2-40B4-BE49-F238E27FC236}">
              <a16:creationId xmlns:a16="http://schemas.microsoft.com/office/drawing/2014/main" id="{2BE37119-1230-4D01-BE28-C664AC2D0AFD}"/>
            </a:ext>
          </a:extLst>
        </cdr:cNvPr>
        <cdr:cNvCxnSpPr/>
      </cdr:nvCxnSpPr>
      <cdr:spPr>
        <a:xfrm xmlns:a="http://schemas.openxmlformats.org/drawingml/2006/main">
          <a:off x="412754" y="1504431"/>
          <a:ext cx="5802652" cy="0"/>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0.76741</cdr:x>
      <cdr:y>0.86289</cdr:y>
    </cdr:from>
    <cdr:to>
      <cdr:x>0.9618</cdr:x>
      <cdr:y>0.92625</cdr:y>
    </cdr:to>
    <cdr:sp macro="" textlink="">
      <cdr:nvSpPr>
        <cdr:cNvPr id="5" name="TextBox 1"/>
        <cdr:cNvSpPr txBox="1"/>
      </cdr:nvSpPr>
      <cdr:spPr>
        <a:xfrm xmlns:a="http://schemas.openxmlformats.org/drawingml/2006/main">
          <a:off x="4834529" y="2786246"/>
          <a:ext cx="1224625"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0.70214</cdr:x>
      <cdr:y>0.881</cdr:y>
    </cdr:from>
    <cdr:to>
      <cdr:x>0.73509</cdr:x>
      <cdr:y>0.91507</cdr:y>
    </cdr:to>
    <cdr:sp macro="" textlink="">
      <cdr:nvSpPr>
        <cdr:cNvPr id="6" name="Rectangle 5"/>
        <cdr:cNvSpPr/>
      </cdr:nvSpPr>
      <cdr:spPr>
        <a:xfrm xmlns:a="http://schemas.openxmlformats.org/drawingml/2006/main">
          <a:off x="4423352" y="3062898"/>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0.42533</cdr:x>
      <cdr:y>0.88374</cdr:y>
    </cdr:from>
    <cdr:to>
      <cdr:x>0.45828</cdr:x>
      <cdr:y>0.91781</cdr:y>
    </cdr:to>
    <cdr:sp macro="" textlink="">
      <cdr:nvSpPr>
        <cdr:cNvPr id="7" name="Rectangle 6"/>
        <cdr:cNvSpPr/>
      </cdr:nvSpPr>
      <cdr:spPr>
        <a:xfrm xmlns:a="http://schemas.openxmlformats.org/drawingml/2006/main">
          <a:off x="2679515" y="3072423"/>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0.50362</cdr:x>
      <cdr:y>0.86718</cdr:y>
    </cdr:from>
    <cdr:to>
      <cdr:x>0.64036</cdr:x>
      <cdr:y>0.92603</cdr:y>
    </cdr:to>
    <cdr:sp macro="" textlink="">
      <cdr:nvSpPr>
        <cdr:cNvPr id="8" name="TextBox 1"/>
        <cdr:cNvSpPr txBox="1"/>
      </cdr:nvSpPr>
      <cdr:spPr>
        <a:xfrm xmlns:a="http://schemas.openxmlformats.org/drawingml/2006/main">
          <a:off x="3172698" y="301484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0.15253</cdr:x>
      <cdr:y>0.881</cdr:y>
    </cdr:from>
    <cdr:to>
      <cdr:x>0.18548</cdr:x>
      <cdr:y>0.91507</cdr:y>
    </cdr:to>
    <cdr:sp macro="" textlink="">
      <cdr:nvSpPr>
        <cdr:cNvPr id="9" name="Rectangle 8"/>
        <cdr:cNvSpPr/>
      </cdr:nvSpPr>
      <cdr:spPr>
        <a:xfrm xmlns:a="http://schemas.openxmlformats.org/drawingml/2006/main">
          <a:off x="960922" y="3062898"/>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0.21858</cdr:x>
      <cdr:y>0.86718</cdr:y>
    </cdr:from>
    <cdr:to>
      <cdr:x>0.35532</cdr:x>
      <cdr:y>0.92603</cdr:y>
    </cdr:to>
    <cdr:sp macro="" textlink="">
      <cdr:nvSpPr>
        <cdr:cNvPr id="10" name="TextBox 1"/>
        <cdr:cNvSpPr txBox="1"/>
      </cdr:nvSpPr>
      <cdr:spPr>
        <a:xfrm xmlns:a="http://schemas.openxmlformats.org/drawingml/2006/main">
          <a:off x="1377035" y="301484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userShapes>
</file>

<file path=word/drawings/drawing17.xml><?xml version="1.0" encoding="utf-8"?>
<c:userShapes xmlns:c="http://schemas.openxmlformats.org/drawingml/2006/chart">
  <cdr:relSizeAnchor xmlns:cdr="http://schemas.openxmlformats.org/drawingml/2006/chartDrawing">
    <cdr:from>
      <cdr:x>0.06305</cdr:x>
      <cdr:y>0.55096</cdr:y>
    </cdr:from>
    <cdr:to>
      <cdr:x>0.96041</cdr:x>
      <cdr:y>0.55414</cdr:y>
    </cdr:to>
    <cdr:cxnSp macro="">
      <cdr:nvCxnSpPr>
        <cdr:cNvPr id="3" name="Straight Connector 2"/>
        <cdr:cNvCxnSpPr/>
      </cdr:nvCxnSpPr>
      <cdr:spPr>
        <a:xfrm xmlns:a="http://schemas.openxmlformats.org/drawingml/2006/main" flipV="1">
          <a:off x="409575" y="1647826"/>
          <a:ext cx="5829300" cy="9524"/>
        </a:xfrm>
        <a:prstGeom xmlns:a="http://schemas.openxmlformats.org/drawingml/2006/main" prst="line">
          <a:avLst/>
        </a:prstGeom>
        <a:ln xmlns:a="http://schemas.openxmlformats.org/drawingml/2006/main" w="15875">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18.xml><?xml version="1.0" encoding="utf-8"?>
<c:userShapes xmlns:c="http://schemas.openxmlformats.org/drawingml/2006/chart">
  <cdr:relSizeAnchor xmlns:cdr="http://schemas.openxmlformats.org/drawingml/2006/chartDrawing">
    <cdr:from>
      <cdr:x>0.06593</cdr:x>
      <cdr:y>0.40654</cdr:y>
    </cdr:from>
    <cdr:to>
      <cdr:x>0.98501</cdr:x>
      <cdr:y>0.40654</cdr:y>
    </cdr:to>
    <cdr:sp macro="" textlink="">
      <cdr:nvSpPr>
        <cdr:cNvPr id="3" name="Straight Connector 2"/>
        <cdr:cNvSpPr/>
      </cdr:nvSpPr>
      <cdr:spPr>
        <a:xfrm xmlns:a="http://schemas.openxmlformats.org/drawingml/2006/main" flipV="1">
          <a:off x="415181" y="1490054"/>
          <a:ext cx="5787718"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0.06431</cdr:x>
      <cdr:y>0.27669</cdr:y>
    </cdr:from>
    <cdr:to>
      <cdr:x>0.98178</cdr:x>
      <cdr:y>0.27706</cdr:y>
    </cdr:to>
    <cdr:sp macro="" textlink="">
      <cdr:nvSpPr>
        <cdr:cNvPr id="6" name="Straight Connector 5"/>
        <cdr:cNvSpPr/>
      </cdr:nvSpPr>
      <cdr:spPr>
        <a:xfrm xmlns:a="http://schemas.openxmlformats.org/drawingml/2006/main">
          <a:off x="404995" y="1014116"/>
          <a:ext cx="5777579" cy="1356"/>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0.06869</cdr:x>
      <cdr:y>0.33922</cdr:y>
    </cdr:from>
    <cdr:to>
      <cdr:x>0.45346</cdr:x>
      <cdr:y>0.39588</cdr:y>
    </cdr:to>
    <cdr:sp macro="" textlink="">
      <cdr:nvSpPr>
        <cdr:cNvPr id="7" name="TextBox 6"/>
        <cdr:cNvSpPr txBox="1"/>
      </cdr:nvSpPr>
      <cdr:spPr>
        <a:xfrm xmlns:a="http://schemas.openxmlformats.org/drawingml/2006/main">
          <a:off x="432585" y="1243334"/>
          <a:ext cx="2423010" cy="20763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b="1">
              <a:latin typeface="VIC" panose="00000500000000000000" pitchFamily="2" charset="0"/>
            </a:rPr>
            <a:t>Target = 30% within 3 months (left bar)</a:t>
          </a:r>
        </a:p>
      </cdr:txBody>
    </cdr:sp>
  </cdr:relSizeAnchor>
  <cdr:relSizeAnchor xmlns:cdr="http://schemas.openxmlformats.org/drawingml/2006/chartDrawing">
    <cdr:from>
      <cdr:x>0.07058</cdr:x>
      <cdr:y>0.21224</cdr:y>
    </cdr:from>
    <cdr:to>
      <cdr:x>0.43435</cdr:x>
      <cdr:y>0.28079</cdr:y>
    </cdr:to>
    <cdr:sp macro="" textlink="">
      <cdr:nvSpPr>
        <cdr:cNvPr id="8" name="TextBox 1"/>
        <cdr:cNvSpPr txBox="1"/>
      </cdr:nvSpPr>
      <cdr:spPr>
        <a:xfrm xmlns:a="http://schemas.openxmlformats.org/drawingml/2006/main">
          <a:off x="444487" y="777888"/>
          <a:ext cx="2290767" cy="25125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1">
              <a:latin typeface="VIC" panose="00000500000000000000" pitchFamily="2" charset="0"/>
            </a:rPr>
            <a:t>Target = 40% within 6 months (right bar)</a:t>
          </a:r>
        </a:p>
      </cdr:txBody>
    </cdr:sp>
  </cdr:relSizeAnchor>
  <cdr:relSizeAnchor xmlns:cdr="http://schemas.openxmlformats.org/drawingml/2006/chartDrawing">
    <cdr:from>
      <cdr:x>0.02346</cdr:x>
      <cdr:y>0.93216</cdr:y>
    </cdr:from>
    <cdr:to>
      <cdr:x>0.58385</cdr:x>
      <cdr:y>0.98493</cdr:y>
    </cdr:to>
    <cdr:sp macro="" textlink="">
      <cdr:nvSpPr>
        <cdr:cNvPr id="2" name="Text Box 1"/>
        <cdr:cNvSpPr txBox="1"/>
      </cdr:nvSpPr>
      <cdr:spPr>
        <a:xfrm xmlns:a="http://schemas.openxmlformats.org/drawingml/2006/main">
          <a:off x="147734" y="3416571"/>
          <a:ext cx="3528915" cy="1934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baseline="0">
              <a:latin typeface="VIC" panose="00000500000000000000" pitchFamily="2" charset="0"/>
            </a:rPr>
            <a:t>Activated or transplanted numbers at 3 or 6 months in brackets</a:t>
          </a:r>
        </a:p>
      </cdr:txBody>
    </cdr:sp>
  </cdr:relSizeAnchor>
  <cdr:relSizeAnchor xmlns:cdr="http://schemas.openxmlformats.org/drawingml/2006/chartDrawing">
    <cdr:from>
      <cdr:x>0.75309</cdr:x>
      <cdr:y>0.87913</cdr:y>
    </cdr:from>
    <cdr:to>
      <cdr:x>0.94756</cdr:x>
      <cdr:y>0.93923</cdr:y>
    </cdr:to>
    <cdr:sp macro="" textlink="">
      <cdr:nvSpPr>
        <cdr:cNvPr id="9" name="TextBox 1"/>
        <cdr:cNvSpPr txBox="1"/>
      </cdr:nvSpPr>
      <cdr:spPr>
        <a:xfrm xmlns:a="http://schemas.openxmlformats.org/drawingml/2006/main">
          <a:off x="4742454" y="3222190"/>
          <a:ext cx="1224625" cy="2202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Within</a:t>
          </a:r>
          <a:r>
            <a:rPr lang="en-AU" sz="800" baseline="0">
              <a:latin typeface="VIC" panose="00000500000000000000" pitchFamily="2" charset="0"/>
            </a:rPr>
            <a:t> target  range</a:t>
          </a:r>
          <a:endParaRPr lang="en-AU" sz="800">
            <a:latin typeface="VIC" panose="00000500000000000000" pitchFamily="2" charset="0"/>
          </a:endParaRPr>
        </a:p>
      </cdr:txBody>
    </cdr:sp>
  </cdr:relSizeAnchor>
  <cdr:relSizeAnchor xmlns:cdr="http://schemas.openxmlformats.org/drawingml/2006/chartDrawing">
    <cdr:from>
      <cdr:x>0.70595</cdr:x>
      <cdr:y>0.8937</cdr:y>
    </cdr:from>
    <cdr:to>
      <cdr:x>0.73891</cdr:x>
      <cdr:y>0.92602</cdr:y>
    </cdr:to>
    <cdr:sp macro="" textlink="">
      <cdr:nvSpPr>
        <cdr:cNvPr id="10" name="Rectangle 9"/>
        <cdr:cNvSpPr/>
      </cdr:nvSpPr>
      <cdr:spPr>
        <a:xfrm xmlns:a="http://schemas.openxmlformats.org/drawingml/2006/main">
          <a:off x="4445577" y="3275623"/>
          <a:ext cx="207579" cy="118452"/>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0.52096</cdr:x>
      <cdr:y>0.8754</cdr:y>
    </cdr:from>
    <cdr:to>
      <cdr:x>0.65776</cdr:x>
      <cdr:y>0.93122</cdr:y>
    </cdr:to>
    <cdr:sp macro="" textlink="">
      <cdr:nvSpPr>
        <cdr:cNvPr id="11" name="TextBox 1"/>
        <cdr:cNvSpPr txBox="1"/>
      </cdr:nvSpPr>
      <cdr:spPr>
        <a:xfrm xmlns:a="http://schemas.openxmlformats.org/drawingml/2006/main">
          <a:off x="3280648" y="3208521"/>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0.45021</cdr:x>
      <cdr:y>0.8937</cdr:y>
    </cdr:from>
    <cdr:to>
      <cdr:x>0.48317</cdr:x>
      <cdr:y>0.92602</cdr:y>
    </cdr:to>
    <cdr:sp macro="" textlink="">
      <cdr:nvSpPr>
        <cdr:cNvPr id="12" name="Rectangle 11"/>
        <cdr:cNvSpPr/>
      </cdr:nvSpPr>
      <cdr:spPr>
        <a:xfrm xmlns:a="http://schemas.openxmlformats.org/drawingml/2006/main">
          <a:off x="2835090" y="3275623"/>
          <a:ext cx="207580" cy="118452"/>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0.22674</cdr:x>
      <cdr:y>0.8728</cdr:y>
    </cdr:from>
    <cdr:to>
      <cdr:x>0.36353</cdr:x>
      <cdr:y>0.92862</cdr:y>
    </cdr:to>
    <cdr:sp macro="" textlink="">
      <cdr:nvSpPr>
        <cdr:cNvPr id="13" name="TextBox 1"/>
        <cdr:cNvSpPr txBox="1"/>
      </cdr:nvSpPr>
      <cdr:spPr>
        <a:xfrm xmlns:a="http://schemas.openxmlformats.org/drawingml/2006/main">
          <a:off x="1427835" y="3198996"/>
          <a:ext cx="861439" cy="2046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0.15763</cdr:x>
      <cdr:y>0.8937</cdr:y>
    </cdr:from>
    <cdr:to>
      <cdr:x>0.1906</cdr:x>
      <cdr:y>0.92602</cdr:y>
    </cdr:to>
    <cdr:sp macro="" textlink="">
      <cdr:nvSpPr>
        <cdr:cNvPr id="14" name="Rectangle 13"/>
        <cdr:cNvSpPr/>
      </cdr:nvSpPr>
      <cdr:spPr>
        <a:xfrm xmlns:a="http://schemas.openxmlformats.org/drawingml/2006/main">
          <a:off x="992672" y="3275623"/>
          <a:ext cx="207580" cy="118452"/>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19.xml><?xml version="1.0" encoding="utf-8"?>
<c:userShapes xmlns:c="http://schemas.openxmlformats.org/drawingml/2006/chart">
  <cdr:relSizeAnchor xmlns:cdr="http://schemas.openxmlformats.org/drawingml/2006/chartDrawing">
    <cdr:from>
      <cdr:x>0.05792</cdr:x>
      <cdr:y>0.39612</cdr:y>
    </cdr:from>
    <cdr:to>
      <cdr:x>0.96498</cdr:x>
      <cdr:y>0.3987</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64860" y="1403569"/>
          <a:ext cx="5714329" cy="914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0.10781</cdr:x>
      <cdr:y>0.2409</cdr:y>
    </cdr:from>
    <cdr:to>
      <cdr:x>0.46182</cdr:x>
      <cdr:y>0.34914</cdr:y>
    </cdr:to>
    <cdr:sp macro="" textlink="">
      <cdr:nvSpPr>
        <cdr:cNvPr id="2" name="TextBox 1"/>
        <cdr:cNvSpPr txBox="1"/>
      </cdr:nvSpPr>
      <cdr:spPr>
        <a:xfrm xmlns:a="http://schemas.openxmlformats.org/drawingml/2006/main">
          <a:off x="679159" y="832303"/>
          <a:ext cx="2230205" cy="37397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AU" sz="800">
              <a:latin typeface="VIC" panose="00000500000000000000" pitchFamily="2" charset="0"/>
            </a:rPr>
            <a:t>State total:    New planned patients = 588</a:t>
          </a:r>
        </a:p>
        <a:p xmlns:a="http://schemas.openxmlformats.org/drawingml/2006/main">
          <a:r>
            <a:rPr lang="en-AU" sz="800">
              <a:latin typeface="VIC" panose="00000500000000000000" pitchFamily="2" charset="0"/>
            </a:rPr>
            <a:t>                          Received education =  513</a:t>
          </a:r>
        </a:p>
      </cdr:txBody>
    </cdr:sp>
  </cdr:relSizeAnchor>
</c:userShapes>
</file>

<file path=word/drawings/drawing20.xml><?xml version="1.0" encoding="utf-8"?>
<c:userShapes xmlns:c="http://schemas.openxmlformats.org/drawingml/2006/chart">
  <cdr:relSizeAnchor xmlns:cdr="http://schemas.openxmlformats.org/drawingml/2006/chartDrawing">
    <cdr:from>
      <cdr:x>0.0558</cdr:x>
      <cdr:y>0.39798</cdr:y>
    </cdr:from>
    <cdr:to>
      <cdr:x>0.96286</cdr:x>
      <cdr:y>0.40056</cdr:y>
    </cdr:to>
    <cdr:cxnSp macro="">
      <cdr:nvCxnSpPr>
        <cdr:cNvPr id="3" name="Straight Connector 2">
          <a:extLst xmlns:a="http://schemas.openxmlformats.org/drawingml/2006/main">
            <a:ext uri="{FF2B5EF4-FFF2-40B4-BE49-F238E27FC236}">
              <a16:creationId xmlns:a16="http://schemas.microsoft.com/office/drawing/2014/main" id="{271DCCC6-288B-4E72-822E-8EF09EF481FD}"/>
            </a:ext>
          </a:extLst>
        </cdr:cNvPr>
        <cdr:cNvCxnSpPr/>
      </cdr:nvCxnSpPr>
      <cdr:spPr>
        <a:xfrm xmlns:a="http://schemas.openxmlformats.org/drawingml/2006/main" flipV="1">
          <a:off x="351555" y="1451853"/>
          <a:ext cx="5714329" cy="9412"/>
        </a:xfrm>
        <a:prstGeom xmlns:a="http://schemas.openxmlformats.org/drawingml/2006/main" prst="line">
          <a:avLst/>
        </a:prstGeom>
        <a:ln xmlns:a="http://schemas.openxmlformats.org/drawingml/2006/main" w="2540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0.12827</cdr:x>
      <cdr:y>0.1668</cdr:y>
    </cdr:from>
    <cdr:to>
      <cdr:x>0.28121</cdr:x>
      <cdr:y>0.24925</cdr:y>
    </cdr:to>
    <cdr:sp macro="" textlink="">
      <cdr:nvSpPr>
        <cdr:cNvPr id="2" name="TextBox 1"/>
        <cdr:cNvSpPr txBox="1"/>
      </cdr:nvSpPr>
      <cdr:spPr>
        <a:xfrm xmlns:a="http://schemas.openxmlformats.org/drawingml/2006/main">
          <a:off x="808104" y="523555"/>
          <a:ext cx="963497" cy="2587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a:latin typeface="VIC" panose="00000500000000000000" pitchFamily="2" charset="0"/>
            </a:rPr>
            <a:t>Target</a:t>
          </a:r>
          <a:r>
            <a:rPr lang="en-AU" sz="900" b="1" baseline="0">
              <a:latin typeface="VIC" panose="00000500000000000000" pitchFamily="2" charset="0"/>
            </a:rPr>
            <a:t>  = 80%</a:t>
          </a:r>
          <a:endParaRPr lang="en-AU" sz="900" b="1">
            <a:latin typeface="VIC" panose="00000500000000000000" pitchFamily="2" charset="0"/>
          </a:endParaRPr>
        </a:p>
      </cdr:txBody>
    </cdr:sp>
  </cdr:relSizeAnchor>
  <cdr:relSizeAnchor xmlns:cdr="http://schemas.openxmlformats.org/drawingml/2006/chartDrawing">
    <cdr:from>
      <cdr:x>0.0625</cdr:x>
      <cdr:y>0.43391</cdr:y>
    </cdr:from>
    <cdr:to>
      <cdr:x>0.9782</cdr:x>
      <cdr:y>0.43678</cdr:y>
    </cdr:to>
    <cdr:cxnSp macro="">
      <cdr:nvCxnSpPr>
        <cdr:cNvPr id="4" name="Straight Connector 3">
          <a:extLst xmlns:a="http://schemas.openxmlformats.org/drawingml/2006/main">
            <a:ext uri="{FF2B5EF4-FFF2-40B4-BE49-F238E27FC236}">
              <a16:creationId xmlns:a16="http://schemas.microsoft.com/office/drawing/2014/main" id="{A7CBC0B9-513C-4022-8738-394D32E29C01}"/>
            </a:ext>
          </a:extLst>
        </cdr:cNvPr>
        <cdr:cNvCxnSpPr/>
      </cdr:nvCxnSpPr>
      <cdr:spPr>
        <a:xfrm xmlns:a="http://schemas.openxmlformats.org/drawingml/2006/main" flipV="1">
          <a:off x="409575" y="1438275"/>
          <a:ext cx="6000750" cy="9525"/>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0.7896</cdr:x>
      <cdr:y>0.2784</cdr:y>
    </cdr:from>
    <cdr:to>
      <cdr:x>0.95555</cdr:x>
      <cdr:y>0.32684</cdr:y>
    </cdr:to>
    <cdr:sp macro="" textlink="">
      <cdr:nvSpPr>
        <cdr:cNvPr id="4" name="TextBox 3"/>
        <cdr:cNvSpPr txBox="1"/>
      </cdr:nvSpPr>
      <cdr:spPr>
        <a:xfrm xmlns:a="http://schemas.openxmlformats.org/drawingml/2006/main">
          <a:off x="4974350" y="1152082"/>
          <a:ext cx="1045449" cy="20046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r"/>
          <a:r>
            <a:rPr lang="en-AU" sz="900" b="1">
              <a:latin typeface="VIC" panose="00000500000000000000" pitchFamily="2" charset="0"/>
            </a:rPr>
            <a:t>Target = 70%</a:t>
          </a:r>
        </a:p>
      </cdr:txBody>
    </cdr:sp>
  </cdr:relSizeAnchor>
  <cdr:relSizeAnchor xmlns:cdr="http://schemas.openxmlformats.org/drawingml/2006/chartDrawing">
    <cdr:from>
      <cdr:x>0.06606</cdr:x>
      <cdr:y>0.34773</cdr:y>
    </cdr:from>
    <cdr:to>
      <cdr:x>0.97295</cdr:x>
      <cdr:y>0.3481</cdr:y>
    </cdr:to>
    <cdr:sp macro="" textlink="">
      <cdr:nvSpPr>
        <cdr:cNvPr id="8" name="Straight Connector 7"/>
        <cdr:cNvSpPr/>
      </cdr:nvSpPr>
      <cdr:spPr>
        <a:xfrm xmlns:a="http://schemas.openxmlformats.org/drawingml/2006/main">
          <a:off x="416179" y="1439016"/>
          <a:ext cx="5713258" cy="1531"/>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0.17267</cdr:x>
      <cdr:y>0.92741</cdr:y>
    </cdr:from>
    <cdr:to>
      <cdr:x>0.3066</cdr:x>
      <cdr:y>0.98371</cdr:y>
    </cdr:to>
    <cdr:sp macro="" textlink="">
      <cdr:nvSpPr>
        <cdr:cNvPr id="2" name="TextBox 1"/>
        <cdr:cNvSpPr txBox="1"/>
      </cdr:nvSpPr>
      <cdr:spPr>
        <a:xfrm xmlns:a="http://schemas.openxmlformats.org/drawingml/2006/main">
          <a:off x="1358919" y="3975103"/>
          <a:ext cx="1054051" cy="2413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Above target</a:t>
          </a:r>
        </a:p>
      </cdr:txBody>
    </cdr:sp>
  </cdr:relSizeAnchor>
  <cdr:relSizeAnchor xmlns:cdr="http://schemas.openxmlformats.org/drawingml/2006/chartDrawing">
    <cdr:from>
      <cdr:x>0.46313</cdr:x>
      <cdr:y>0.92741</cdr:y>
    </cdr:from>
    <cdr:to>
      <cdr:x>0.59706</cdr:x>
      <cdr:y>0.98371</cdr:y>
    </cdr:to>
    <cdr:sp macro="" textlink="">
      <cdr:nvSpPr>
        <cdr:cNvPr id="5" name="TextBox 1"/>
        <cdr:cNvSpPr txBox="1"/>
      </cdr:nvSpPr>
      <cdr:spPr>
        <a:xfrm xmlns:a="http://schemas.openxmlformats.org/drawingml/2006/main">
          <a:off x="3644914" y="3975098"/>
          <a:ext cx="1054050" cy="2413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VIC" panose="00000500000000000000" pitchFamily="2" charset="0"/>
            </a:rPr>
            <a:t>Below target</a:t>
          </a:r>
        </a:p>
      </cdr:txBody>
    </cdr:sp>
  </cdr:relSizeAnchor>
  <cdr:relSizeAnchor xmlns:cdr="http://schemas.openxmlformats.org/drawingml/2006/chartDrawing">
    <cdr:from>
      <cdr:x>0.72455</cdr:x>
      <cdr:y>0.93037</cdr:y>
    </cdr:from>
    <cdr:to>
      <cdr:x>0.91012</cdr:x>
      <cdr:y>0.98074</cdr:y>
    </cdr:to>
    <cdr:sp macro="" textlink="">
      <cdr:nvSpPr>
        <cdr:cNvPr id="6" name="TextBox 1"/>
        <cdr:cNvSpPr txBox="1"/>
      </cdr:nvSpPr>
      <cdr:spPr>
        <a:xfrm xmlns:a="http://schemas.openxmlformats.org/drawingml/2006/main">
          <a:off x="5702322" y="3987803"/>
          <a:ext cx="1460465" cy="2158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baseline="0">
              <a:latin typeface="VIC" panose="00000500000000000000" pitchFamily="2" charset="0"/>
            </a:rPr>
            <a:t>Within target range</a:t>
          </a:r>
        </a:p>
      </cdr:txBody>
    </cdr:sp>
  </cdr:relSizeAnchor>
  <cdr:relSizeAnchor xmlns:cdr="http://schemas.openxmlformats.org/drawingml/2006/chartDrawing">
    <cdr:from>
      <cdr:x>0.41472</cdr:x>
      <cdr:y>0.94815</cdr:y>
    </cdr:from>
    <cdr:to>
      <cdr:x>0.44699</cdr:x>
      <cdr:y>0.98074</cdr:y>
    </cdr:to>
    <cdr:sp macro="" textlink="">
      <cdr:nvSpPr>
        <cdr:cNvPr id="3" name="Rectangle 2"/>
        <cdr:cNvSpPr/>
      </cdr:nvSpPr>
      <cdr:spPr>
        <a:xfrm xmlns:a="http://schemas.openxmlformats.org/drawingml/2006/main">
          <a:off x="3263912" y="4064008"/>
          <a:ext cx="253969" cy="139689"/>
        </a:xfrm>
        <a:prstGeom xmlns:a="http://schemas.openxmlformats.org/drawingml/2006/main" prst="rect">
          <a:avLst/>
        </a:prstGeom>
        <a:solidFill xmlns:a="http://schemas.openxmlformats.org/drawingml/2006/main">
          <a:srgbClr val="DB31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0.68904</cdr:x>
      <cdr:y>0.93926</cdr:y>
    </cdr:from>
    <cdr:to>
      <cdr:x>0.72132</cdr:x>
      <cdr:y>0.97185</cdr:y>
    </cdr:to>
    <cdr:sp macro="" textlink="">
      <cdr:nvSpPr>
        <cdr:cNvPr id="9" name="Rectangle 8"/>
        <cdr:cNvSpPr/>
      </cdr:nvSpPr>
      <cdr:spPr>
        <a:xfrm xmlns:a="http://schemas.openxmlformats.org/drawingml/2006/main">
          <a:off x="5422882" y="4025895"/>
          <a:ext cx="254049" cy="139689"/>
        </a:xfrm>
        <a:prstGeom xmlns:a="http://schemas.openxmlformats.org/drawingml/2006/main" prst="rect">
          <a:avLst/>
        </a:prstGeom>
        <a:solidFill xmlns:a="http://schemas.openxmlformats.org/drawingml/2006/main">
          <a:srgbClr val="F2B8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0.13393</cdr:x>
      <cdr:y>0.94518</cdr:y>
    </cdr:from>
    <cdr:to>
      <cdr:x>0.16621</cdr:x>
      <cdr:y>0.97777</cdr:y>
    </cdr:to>
    <cdr:sp macro="" textlink="">
      <cdr:nvSpPr>
        <cdr:cNvPr id="10" name="Rectangle 9"/>
        <cdr:cNvSpPr/>
      </cdr:nvSpPr>
      <cdr:spPr>
        <a:xfrm xmlns:a="http://schemas.openxmlformats.org/drawingml/2006/main">
          <a:off x="1054079" y="4051295"/>
          <a:ext cx="254049" cy="139689"/>
        </a:xfrm>
        <a:prstGeom xmlns:a="http://schemas.openxmlformats.org/drawingml/2006/main" prst="rect">
          <a:avLst/>
        </a:prstGeom>
        <a:solidFill xmlns:a="http://schemas.openxmlformats.org/drawingml/2006/main">
          <a:srgbClr val="00863D"/>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0.06326</cdr:x>
      <cdr:y>0.24612</cdr:y>
    </cdr:from>
    <cdr:to>
      <cdr:x>0.56069</cdr:x>
      <cdr:y>0.37271</cdr:y>
    </cdr:to>
    <cdr:sp macro="" textlink="">
      <cdr:nvSpPr>
        <cdr:cNvPr id="2" name="TextBox 1"/>
        <cdr:cNvSpPr txBox="1"/>
      </cdr:nvSpPr>
      <cdr:spPr>
        <a:xfrm xmlns:a="http://schemas.openxmlformats.org/drawingml/2006/main">
          <a:off x="398552" y="864893"/>
          <a:ext cx="3133727" cy="44484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AU" sz="800" baseline="0">
              <a:latin typeface="VIC" panose="00000500000000000000" pitchFamily="2" charset="0"/>
            </a:rPr>
            <a:t>State total:    New planned patients = 376</a:t>
          </a:r>
        </a:p>
        <a:p xmlns:a="http://schemas.openxmlformats.org/drawingml/2006/main">
          <a:r>
            <a:rPr lang="en-AU" sz="800" baseline="0">
              <a:latin typeface="VIC" panose="00000500000000000000" pitchFamily="2" charset="0"/>
            </a:rPr>
            <a:t>                         Vascular access first treatment = 195</a:t>
          </a:r>
        </a:p>
      </cdr:txBody>
    </cdr:sp>
  </cdr:relSizeAnchor>
</c:userShapes>
</file>

<file path=word/drawings/drawing6.xml><?xml version="1.0" encoding="utf-8"?>
<c:userShapes xmlns:c="http://schemas.openxmlformats.org/drawingml/2006/chart">
  <cdr:relSizeAnchor xmlns:cdr="http://schemas.openxmlformats.org/drawingml/2006/chartDrawing">
    <cdr:from>
      <cdr:x>0.7918</cdr:x>
      <cdr:y>0.18209</cdr:y>
    </cdr:from>
    <cdr:to>
      <cdr:x>0.95102</cdr:x>
      <cdr:y>0.24478</cdr:y>
    </cdr:to>
    <cdr:sp macro="" textlink="">
      <cdr:nvSpPr>
        <cdr:cNvPr id="2" name="TextBox 1"/>
        <cdr:cNvSpPr txBox="1"/>
      </cdr:nvSpPr>
      <cdr:spPr>
        <a:xfrm xmlns:a="http://schemas.openxmlformats.org/drawingml/2006/main">
          <a:off x="6380446" y="774699"/>
          <a:ext cx="1283019" cy="2667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baseline="0">
              <a:latin typeface="VIC" panose="00000500000000000000" pitchFamily="2" charset="0"/>
            </a:rPr>
            <a:t>Target  = 70%</a:t>
          </a:r>
        </a:p>
      </cdr:txBody>
    </cdr:sp>
  </cdr:relSizeAnchor>
  <cdr:relSizeAnchor xmlns:cdr="http://schemas.openxmlformats.org/drawingml/2006/chartDrawing">
    <cdr:from>
      <cdr:x>0.07698</cdr:x>
      <cdr:y>0.4076</cdr:y>
    </cdr:from>
    <cdr:to>
      <cdr:x>0.98926</cdr:x>
      <cdr:y>0.4076</cdr:y>
    </cdr:to>
    <cdr:cxnSp macro="">
      <cdr:nvCxnSpPr>
        <cdr:cNvPr id="4" name="Straight Connector 3">
          <a:extLst xmlns:a="http://schemas.openxmlformats.org/drawingml/2006/main">
            <a:ext uri="{FF2B5EF4-FFF2-40B4-BE49-F238E27FC236}">
              <a16:creationId xmlns:a16="http://schemas.microsoft.com/office/drawing/2014/main" id="{A92CFB8E-13A1-4607-A585-A4C52C9B4D5E}"/>
            </a:ext>
          </a:extLst>
        </cdr:cNvPr>
        <cdr:cNvCxnSpPr/>
      </cdr:nvCxnSpPr>
      <cdr:spPr>
        <a:xfrm xmlns:a="http://schemas.openxmlformats.org/drawingml/2006/main">
          <a:off x="484961" y="1374355"/>
          <a:ext cx="5747214" cy="0"/>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7.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2" name="Straight Connector 1"/>
        <cdr:cNvSpPr/>
      </cdr:nvSpPr>
      <cdr:spPr>
        <a:xfrm xmlns:a="http://schemas.openxmlformats.org/drawingml/2006/main">
          <a:off x="-12798135" y="-5676899"/>
          <a:ext cx="0" cy="0"/>
        </a:xfrm>
        <a:prstGeom xmlns:a="http://schemas.openxmlformats.org/drawingml/2006/main" prst="line">
          <a:avLst/>
        </a:prstGeom>
        <a:ln xmlns:a="http://schemas.openxmlformats.org/drawingml/2006/main" w="1905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dr:relSizeAnchor xmlns:cdr="http://schemas.openxmlformats.org/drawingml/2006/chartDrawing">
    <cdr:from>
      <cdr:x>0.06174</cdr:x>
      <cdr:y>0.90071</cdr:y>
    </cdr:from>
    <cdr:to>
      <cdr:x>0.36312</cdr:x>
      <cdr:y>0.94849</cdr:y>
    </cdr:to>
    <cdr:sp macro="" textlink="">
      <cdr:nvSpPr>
        <cdr:cNvPr id="4" name="TextBox 3"/>
        <cdr:cNvSpPr txBox="1"/>
      </cdr:nvSpPr>
      <cdr:spPr>
        <a:xfrm xmlns:a="http://schemas.openxmlformats.org/drawingml/2006/main">
          <a:off x="392206" y="2914664"/>
          <a:ext cx="1914529" cy="1546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VIC" panose="00000500000000000000" pitchFamily="2" charset="0"/>
            </a:rPr>
            <a:t>Home patient numbers in brackets</a:t>
          </a:r>
        </a:p>
      </cdr:txBody>
    </cdr:sp>
  </cdr:relSizeAnchor>
</c:userShape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5C64D-8C9F-4C81-855F-628B1341D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5414</TotalTime>
  <Pages>31</Pages>
  <Words>3845</Words>
  <Characters>21917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Victorian Renal Key Performance Indicators</vt:lpstr>
    </vt:vector>
  </TitlesOfParts>
  <Company>Department of Treasury and Finance</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Renal Key Performance Indicators</dc:title>
  <dc:creator>Emma D Gumbleton (DHHS)</dc:creator>
  <cp:lastModifiedBy>Maree Branagan (DHHS)</cp:lastModifiedBy>
  <cp:revision>166</cp:revision>
  <cp:lastPrinted>2019-09-19T04:43:00Z</cp:lastPrinted>
  <dcterms:created xsi:type="dcterms:W3CDTF">2018-10-10T03:45:00Z</dcterms:created>
  <dcterms:modified xsi:type="dcterms:W3CDTF">2020-02-03T00:06:00Z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