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3DC5B540" w14:textId="77777777" w:rsidTr="0050356B">
        <w:trPr>
          <w:trHeight w:val="57"/>
        </w:trPr>
        <w:tc>
          <w:tcPr>
            <w:tcW w:w="6804" w:type="dxa"/>
            <w:shd w:val="clear" w:color="auto" w:fill="auto"/>
            <w:tcMar>
              <w:top w:w="312" w:type="dxa"/>
            </w:tcMar>
          </w:tcPr>
          <w:p w14:paraId="3F2D092C" w14:textId="64E38E9F" w:rsidR="0050356B" w:rsidRPr="0050356B" w:rsidRDefault="0050356B" w:rsidP="006477A6">
            <w:pPr>
              <w:pStyle w:val="Date"/>
              <w:framePr w:hSpace="0" w:wrap="auto" w:vAnchor="margin" w:hAnchor="text" w:xAlign="left" w:yAlign="inline"/>
              <w:suppressOverlap w:val="0"/>
            </w:pPr>
          </w:p>
        </w:tc>
      </w:tr>
      <w:tr w:rsidR="00A46288" w14:paraId="50851176" w14:textId="77777777" w:rsidTr="0050356B">
        <w:trPr>
          <w:trHeight w:val="2948"/>
        </w:trPr>
        <w:tc>
          <w:tcPr>
            <w:tcW w:w="6804" w:type="dxa"/>
            <w:shd w:val="clear" w:color="auto" w:fill="auto"/>
            <w:tcMar>
              <w:top w:w="312" w:type="dxa"/>
            </w:tcMar>
          </w:tcPr>
          <w:sdt>
            <w:sdtPr>
              <w:rPr>
                <w:rFonts w:asciiTheme="minorHAnsi" w:hAnsiTheme="minorHAnsi" w:cstheme="minorHAnsi"/>
              </w:rPr>
              <w:alias w:val="Title"/>
              <w:tag w:val=""/>
              <w:id w:val="-1484688983"/>
              <w:placeholder>
                <w:docPart w:val="09EEBBD2C0A542ADB339E1CA6E89A2E5"/>
              </w:placeholder>
              <w:dataBinding w:prefixMappings="xmlns:ns0='http://purl.org/dc/elements/1.1/' xmlns:ns1='http://schemas.openxmlformats.org/package/2006/metadata/core-properties' " w:xpath="/ns1:coreProperties[1]/ns0:title[1]" w:storeItemID="{6C3C8BC8-F283-45AE-878A-BAB7291924A1}"/>
              <w:text/>
            </w:sdtPr>
            <w:sdtEndPr/>
            <w:sdtContent>
              <w:p w14:paraId="64C7310A" w14:textId="0420F315" w:rsidR="00A46288" w:rsidRPr="0050356B" w:rsidRDefault="003E36BE" w:rsidP="0050356B">
                <w:pPr>
                  <w:pStyle w:val="Title"/>
                  <w:framePr w:hSpace="0" w:wrap="auto" w:vAnchor="margin" w:hAnchor="text" w:xAlign="left" w:yAlign="inline"/>
                  <w:suppressOverlap w:val="0"/>
                </w:pPr>
                <w:r w:rsidRPr="006477A6">
                  <w:rPr>
                    <w:rFonts w:asciiTheme="minorHAnsi" w:hAnsiTheme="minorHAnsi" w:cstheme="minorHAnsi"/>
                  </w:rPr>
                  <w:t>Anticipatory medicines</w:t>
                </w:r>
              </w:p>
            </w:sdtContent>
          </w:sdt>
          <w:p w14:paraId="48B12FD6" w14:textId="4B98C649" w:rsidR="00A46288" w:rsidRPr="006477A6" w:rsidRDefault="003E36BE" w:rsidP="0050356B">
            <w:pPr>
              <w:pStyle w:val="Subtitle"/>
              <w:framePr w:hSpace="0" w:wrap="auto" w:vAnchor="margin" w:hAnchor="text" w:xAlign="left" w:yAlign="inline"/>
              <w:suppressOverlap w:val="0"/>
              <w:rPr>
                <w:rFonts w:asciiTheme="minorHAnsi" w:hAnsiTheme="minorHAnsi" w:cstheme="minorHAnsi"/>
              </w:rPr>
            </w:pPr>
            <w:r w:rsidRPr="006477A6">
              <w:rPr>
                <w:rFonts w:asciiTheme="minorHAnsi" w:hAnsiTheme="minorHAnsi" w:cstheme="minorHAnsi"/>
              </w:rPr>
              <w:t>Evidence-based guidance supplement</w:t>
            </w:r>
          </w:p>
        </w:tc>
      </w:tr>
    </w:tbl>
    <w:p w14:paraId="1BFBCB37" w14:textId="77777777" w:rsidR="00A46288" w:rsidRDefault="00A46288" w:rsidP="00A46288">
      <w:pPr>
        <w:pStyle w:val="NoSpacing"/>
      </w:pPr>
    </w:p>
    <w:p w14:paraId="25AFAD50" w14:textId="77777777" w:rsidR="00A46288" w:rsidRDefault="00A46288" w:rsidP="006477A6">
      <w:pPr>
        <w:sectPr w:rsidR="00A46288" w:rsidSect="00257461">
          <w:headerReference w:type="even" r:id="rId11"/>
          <w:headerReference w:type="default" r:id="rId12"/>
          <w:footerReference w:type="even" r:id="rId13"/>
          <w:footerReference w:type="default" r:id="rId14"/>
          <w:headerReference w:type="first" r:id="rId15"/>
          <w:footerReference w:type="first" r:id="rId16"/>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395"/>
        <w:gridCol w:w="3337"/>
        <w:gridCol w:w="2484"/>
      </w:tblGrid>
      <w:tr w:rsidR="008116D8" w:rsidRPr="00736C0C" w14:paraId="565403A3" w14:textId="77777777" w:rsidTr="003E36BE">
        <w:trPr>
          <w:trHeight w:val="2041"/>
        </w:trPr>
        <w:tc>
          <w:tcPr>
            <w:tcW w:w="4395" w:type="dxa"/>
            <w:tcMar>
              <w:left w:w="113" w:type="dxa"/>
            </w:tcMar>
          </w:tcPr>
          <w:p w14:paraId="5F988F9B" w14:textId="3BC465C6" w:rsidR="008116D8" w:rsidRPr="008116D8" w:rsidRDefault="008116D8" w:rsidP="006477A6">
            <w:r w:rsidRPr="006477A6">
              <w:rPr>
                <w:sz w:val="24"/>
                <w:szCs w:val="36"/>
              </w:rPr>
              <w:lastRenderedPageBreak/>
              <w:t xml:space="preserve">To receive this publication in an accessible format phone </w:t>
            </w:r>
            <w:r w:rsidR="003E36BE" w:rsidRPr="006477A6">
              <w:rPr>
                <w:sz w:val="24"/>
                <w:szCs w:val="36"/>
              </w:rPr>
              <w:br/>
            </w:r>
            <w:r w:rsidRPr="006477A6">
              <w:rPr>
                <w:sz w:val="24"/>
                <w:szCs w:val="36"/>
              </w:rPr>
              <w:t xml:space="preserve">03 9096 1384, using the National Relay Service 13 36 </w:t>
            </w:r>
            <w:r w:rsidRPr="006477A6">
              <w:rPr>
                <w:spacing w:val="-2"/>
                <w:sz w:val="24"/>
                <w:szCs w:val="36"/>
              </w:rPr>
              <w:t xml:space="preserve">77 if required, or email </w:t>
            </w:r>
            <w:r w:rsidR="003E36BE" w:rsidRPr="006477A6">
              <w:rPr>
                <w:color w:val="007586" w:themeColor="text2"/>
                <w:spacing w:val="-2"/>
                <w:sz w:val="24"/>
                <w:szCs w:val="36"/>
              </w:rPr>
              <w:t>info@safercare.vic.gov.au</w:t>
            </w:r>
            <w:r w:rsidRPr="006477A6">
              <w:rPr>
                <w:color w:val="007586" w:themeColor="text2"/>
                <w:sz w:val="24"/>
                <w:szCs w:val="36"/>
              </w:rPr>
              <w:t xml:space="preserve"> </w:t>
            </w:r>
          </w:p>
        </w:tc>
        <w:tc>
          <w:tcPr>
            <w:tcW w:w="3337" w:type="dxa"/>
          </w:tcPr>
          <w:p w14:paraId="7ACA1A53" w14:textId="77777777" w:rsidR="008116D8" w:rsidRDefault="008116D8" w:rsidP="006477A6">
            <w:r w:rsidRPr="00736C0C">
              <w:t xml:space="preserve">Authorised and </w:t>
            </w:r>
            <w:r w:rsidRPr="00736C0C">
              <w:rPr>
                <w:spacing w:val="-2"/>
              </w:rPr>
              <w:t>published by the Victorian</w:t>
            </w:r>
            <w:r w:rsidRPr="00736C0C">
              <w:t xml:space="preserve"> Government, 1</w:t>
            </w:r>
            <w:r>
              <w:t xml:space="preserve"> </w:t>
            </w:r>
            <w:r w:rsidRPr="00736C0C">
              <w:t>Treasury Place, Melbourne.</w:t>
            </w:r>
          </w:p>
          <w:p w14:paraId="3660ED5F" w14:textId="48F3F90A" w:rsidR="008116D8" w:rsidRPr="00736C0C" w:rsidRDefault="008116D8" w:rsidP="006477A6">
            <w:r w:rsidRPr="00736C0C">
              <w:t>© State of Victoria, Australia,</w:t>
            </w:r>
            <w:r>
              <w:t xml:space="preserve"> </w:t>
            </w:r>
            <w:r w:rsidRPr="00736C0C">
              <w:t>Safer Care Victoria,</w:t>
            </w:r>
            <w:r>
              <w:t xml:space="preserve"> </w:t>
            </w:r>
            <w:r w:rsidR="006477A6">
              <w:t xml:space="preserve">March </w:t>
            </w:r>
            <w:r w:rsidR="002A5D4F">
              <w:t>2020.</w:t>
            </w:r>
          </w:p>
          <w:p w14:paraId="18653396" w14:textId="77777777" w:rsidR="009209CF" w:rsidRDefault="009209CF" w:rsidP="006477A6">
            <w:r w:rsidRPr="009209CF">
              <w:t xml:space="preserve">ISBN 978-1-76069-382-4 (pdf/online/MS word) </w:t>
            </w:r>
          </w:p>
          <w:p w14:paraId="0A5D02FF" w14:textId="03C0D983" w:rsidR="008116D8" w:rsidRPr="00736C0C" w:rsidRDefault="008116D8" w:rsidP="006477A6">
            <w:r w:rsidRPr="00736C0C">
              <w:t xml:space="preserve">Available at </w:t>
            </w:r>
            <w:hyperlink r:id="rId17" w:history="1">
              <w:r w:rsidRPr="00EE4C3F">
                <w:rPr>
                  <w:color w:val="4D92C0"/>
                </w:rPr>
                <w:t>www.</w:t>
              </w:r>
              <w:r w:rsidRPr="004A4FB7">
                <w:rPr>
                  <w:color w:val="4D92C0"/>
                </w:rPr>
                <w:t>safercare</w:t>
              </w:r>
              <w:r w:rsidRPr="00EE4C3F">
                <w:rPr>
                  <w:color w:val="4D92C0"/>
                </w:rPr>
                <w:t>.vic</w:t>
              </w:r>
            </w:hyperlink>
            <w:r>
              <w:rPr>
                <w:color w:val="4D92C0"/>
              </w:rPr>
              <w:t>.</w:t>
            </w:r>
            <w:r w:rsidRPr="00EE4C3F">
              <w:rPr>
                <w:color w:val="4D92C0"/>
              </w:rPr>
              <w:t>gov.au</w:t>
            </w:r>
            <w:r w:rsidRPr="000D01D2">
              <w:rPr>
                <w:color w:val="4382B9"/>
              </w:rPr>
              <w:t xml:space="preserve"> </w:t>
            </w:r>
          </w:p>
        </w:tc>
        <w:tc>
          <w:tcPr>
            <w:tcW w:w="2484" w:type="dxa"/>
          </w:tcPr>
          <w:p w14:paraId="2D48A0F8" w14:textId="77777777" w:rsidR="008116D8" w:rsidRPr="00736C0C" w:rsidRDefault="008116D8" w:rsidP="006477A6">
            <w:r w:rsidRPr="00736C0C">
              <w:rPr>
                <w:noProof/>
              </w:rPr>
              <w:drawing>
                <wp:inline distT="0" distB="0" distL="0" distR="0" wp14:anchorId="32B54C63" wp14:editId="70404775">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701C713C" w14:textId="77777777" w:rsidR="0086277A" w:rsidRDefault="007C4073" w:rsidP="006477A6">
      <w:r>
        <w:fldChar w:fldCharType="begin"/>
      </w:r>
      <w:r>
        <w:instrText xml:space="preserve"> Macrobutton NoMacro  </w:instrText>
      </w:r>
      <w:r>
        <w:fldChar w:fldCharType="end"/>
      </w:r>
      <w:r>
        <w:rPr>
          <w:noProof/>
        </w:rPr>
        <w:drawing>
          <wp:anchor distT="0" distB="0" distL="114300" distR="114300" simplePos="0" relativeHeight="251661312" behindDoc="1" locked="1" layoutInCell="1" allowOverlap="1" wp14:anchorId="6D023702" wp14:editId="090529F6">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E30EFA7" w14:textId="77777777" w:rsidR="0086277A" w:rsidRDefault="0086277A" w:rsidP="006477A6">
      <w:pPr>
        <w:sectPr w:rsidR="0086277A" w:rsidSect="007C4073">
          <w:headerReference w:type="first" r:id="rId20"/>
          <w:footerReference w:type="first" r:id="rId21"/>
          <w:pgSz w:w="11906" w:h="16838" w:code="9"/>
          <w:pgMar w:top="3402" w:right="851" w:bottom="1361" w:left="851" w:header="539" w:footer="624" w:gutter="0"/>
          <w:cols w:num="2" w:space="284"/>
          <w:docGrid w:linePitch="360"/>
        </w:sectPr>
      </w:pPr>
    </w:p>
    <w:p w14:paraId="0666A008" w14:textId="6783F3BD" w:rsidR="0064798F" w:rsidRPr="006477A6" w:rsidRDefault="00F00634" w:rsidP="006477A6">
      <w:pPr>
        <w:pStyle w:val="Heading1numbered"/>
        <w:framePr w:wrap="around"/>
        <w:rPr>
          <w:rFonts w:asciiTheme="majorHAnsi" w:hAnsiTheme="majorHAnsi" w:cstheme="majorHAnsi"/>
          <w:b/>
          <w:bCs/>
        </w:rPr>
      </w:pPr>
      <w:bookmarkStart w:id="0" w:name="_Toc514232174"/>
      <w:bookmarkStart w:id="1" w:name="_Toc514232870"/>
      <w:bookmarkStart w:id="2" w:name="_Toc514607538"/>
      <w:r w:rsidRPr="006477A6">
        <w:rPr>
          <w:rFonts w:asciiTheme="majorHAnsi" w:hAnsiTheme="majorHAnsi" w:cstheme="majorHAnsi"/>
          <w:b/>
          <w:bCs/>
        </w:rPr>
        <w:lastRenderedPageBreak/>
        <w:t xml:space="preserve">1. </w:t>
      </w:r>
      <w:r w:rsidR="003E36BE" w:rsidRPr="006477A6">
        <w:rPr>
          <w:rFonts w:asciiTheme="majorHAnsi" w:hAnsiTheme="majorHAnsi" w:cstheme="majorHAnsi"/>
          <w:b/>
          <w:bCs/>
        </w:rPr>
        <w:t xml:space="preserve">What we </w:t>
      </w:r>
      <w:bookmarkEnd w:id="0"/>
      <w:bookmarkEnd w:id="1"/>
      <w:bookmarkEnd w:id="2"/>
      <w:r w:rsidR="00127135" w:rsidRPr="006477A6">
        <w:rPr>
          <w:rFonts w:asciiTheme="majorHAnsi" w:hAnsiTheme="majorHAnsi" w:cstheme="majorHAnsi"/>
          <w:b/>
          <w:bCs/>
        </w:rPr>
        <w:t>delivered</w:t>
      </w:r>
    </w:p>
    <w:p w14:paraId="4B9ADBB6" w14:textId="52736437" w:rsidR="003E36BE" w:rsidRPr="006477A6" w:rsidRDefault="003E36BE" w:rsidP="006477A6">
      <w:pPr>
        <w:pStyle w:val="Heading2"/>
      </w:pPr>
      <w:r w:rsidRPr="006477A6">
        <w:t>Topic selection</w:t>
      </w:r>
    </w:p>
    <w:p w14:paraId="0EEBAA77" w14:textId="68B4AF90" w:rsidR="003E36BE" w:rsidRPr="006477A6" w:rsidRDefault="003E36BE" w:rsidP="006477A6">
      <w:pPr>
        <w:pStyle w:val="Heading3"/>
      </w:pPr>
      <w:r w:rsidRPr="006477A6">
        <w:t xml:space="preserve">Why </w:t>
      </w:r>
      <w:r w:rsidR="007214E9" w:rsidRPr="006477A6">
        <w:t>did we</w:t>
      </w:r>
      <w:r w:rsidRPr="006477A6">
        <w:t xml:space="preserve"> develop</w:t>
      </w:r>
      <w:r w:rsidR="007214E9" w:rsidRPr="006477A6">
        <w:t xml:space="preserve"> </w:t>
      </w:r>
      <w:r w:rsidRPr="006477A6">
        <w:t>this guidance?</w:t>
      </w:r>
    </w:p>
    <w:p w14:paraId="01F74670" w14:textId="0C323391" w:rsidR="003E36BE" w:rsidRDefault="003E36BE" w:rsidP="006477A6">
      <w:pPr>
        <w:pStyle w:val="Normalfollowingheading"/>
      </w:pPr>
      <w:r>
        <w:t>Safer Care Victoria’s</w:t>
      </w:r>
      <w:r w:rsidR="00AF481D">
        <w:t xml:space="preserve"> (SCV)</w:t>
      </w:r>
      <w:r>
        <w:t xml:space="preserve"> Palliative Care Clinical Network work was commissioned by the Department Health and Human Services</w:t>
      </w:r>
      <w:r w:rsidR="00AF481D">
        <w:t xml:space="preserve"> (DHHS)</w:t>
      </w:r>
      <w:r>
        <w:t xml:space="preserve"> Palliative Care Unit to develop and implement </w:t>
      </w:r>
      <w:proofErr w:type="spellStart"/>
      <w:r>
        <w:t>statewide</w:t>
      </w:r>
      <w:proofErr w:type="spellEnd"/>
      <w:r>
        <w:t xml:space="preserve"> guidance for prescribing, dispensing and administering anticipatory medicines for people receiving palliative care or end of life care at home.</w:t>
      </w:r>
    </w:p>
    <w:p w14:paraId="0655FACD" w14:textId="3532A467" w:rsidR="003E36BE" w:rsidRPr="006477A6" w:rsidRDefault="003E36BE" w:rsidP="006477A6">
      <w:r w:rsidRPr="006477A6">
        <w:t xml:space="preserve">Consumers tell us that they want to be cared for and die at home. Anticipatory medicines are one part of enabling this to happen. When anticipatory medicines are in place, the common symptoms in the last days of life such as pain, nausea, breathlessness and agitation are more easily managed and may prevent ambulance attendance and/or admission to hospital. </w:t>
      </w:r>
    </w:p>
    <w:p w14:paraId="2B834239" w14:textId="2C9C252A" w:rsidR="003E36BE" w:rsidRDefault="003E36BE" w:rsidP="006477A6">
      <w:r>
        <w:t>This initiative develop</w:t>
      </w:r>
      <w:r w:rsidR="007214E9">
        <w:t>ed</w:t>
      </w:r>
      <w:r>
        <w:t xml:space="preserve"> an evidence-based clinical practice guidance to serve as a framework for supporting clinical decisions and best practice regarding the process for the provision of anticipatory medicines in community</w:t>
      </w:r>
      <w:r w:rsidR="00207F30">
        <w:t>-</w:t>
      </w:r>
      <w:r>
        <w:t>based palliative care</w:t>
      </w:r>
    </w:p>
    <w:p w14:paraId="65905492" w14:textId="5F479066" w:rsidR="003E36BE" w:rsidRDefault="003E36BE" w:rsidP="006477A6">
      <w:r>
        <w:t xml:space="preserve">The guidance was developed with the help of an expert working group. It has used existing resources from </w:t>
      </w:r>
      <w:hyperlink r:id="rId22" w:history="1">
        <w:r w:rsidRPr="001829DA">
          <w:rPr>
            <w:rStyle w:val="Hyperlink"/>
            <w:color w:val="007586" w:themeColor="text2"/>
          </w:rPr>
          <w:t>caring@home</w:t>
        </w:r>
      </w:hyperlink>
      <w:r w:rsidRPr="001829DA">
        <w:rPr>
          <w:color w:val="007586" w:themeColor="text2"/>
        </w:rPr>
        <w:t xml:space="preserve"> </w:t>
      </w:r>
      <w:r>
        <w:t xml:space="preserve">and local services. These resources have been adapted for the Victorian context. The </w:t>
      </w:r>
      <w:proofErr w:type="spellStart"/>
      <w:r>
        <w:t>caring@home</w:t>
      </w:r>
      <w:proofErr w:type="spellEnd"/>
      <w:r>
        <w:t xml:space="preserve"> resources can be found at www.caringathomeproject.com.au</w:t>
      </w:r>
      <w:r w:rsidR="00AF481D">
        <w:t>.</w:t>
      </w:r>
    </w:p>
    <w:p w14:paraId="6D0947C1" w14:textId="0883FB76" w:rsidR="003E36BE" w:rsidRDefault="003E36BE" w:rsidP="006477A6">
      <w:r>
        <w:t xml:space="preserve">This document aligns with </w:t>
      </w:r>
      <w:r w:rsidR="00AF481D">
        <w:t>SCV’s</w:t>
      </w:r>
      <w:r>
        <w:t xml:space="preserve"> </w:t>
      </w:r>
      <w:hyperlink r:id="rId23" w:history="1">
        <w:r w:rsidRPr="001829DA">
          <w:rPr>
            <w:rStyle w:val="Hyperlink"/>
            <w:color w:val="007586" w:themeColor="text2"/>
          </w:rPr>
          <w:t>‘Evidence based guidance: A new approach to sharing best practice</w:t>
        </w:r>
        <w:r w:rsidR="00AF481D" w:rsidRPr="001829DA">
          <w:rPr>
            <w:rStyle w:val="Hyperlink"/>
            <w:color w:val="007586" w:themeColor="text2"/>
          </w:rPr>
          <w:t>’</w:t>
        </w:r>
      </w:hyperlink>
      <w:r>
        <w:t xml:space="preserve">. It supports the priorities of the </w:t>
      </w:r>
      <w:hyperlink r:id="rId24" w:history="1">
        <w:r w:rsidRPr="001829DA">
          <w:rPr>
            <w:rStyle w:val="Hyperlink"/>
            <w:color w:val="007586" w:themeColor="text2"/>
          </w:rPr>
          <w:t>Victorian end of life and palliative care framework</w:t>
        </w:r>
      </w:hyperlink>
      <w:r>
        <w:t xml:space="preserve"> that people receive services that are coordinated and integrated, and that quality end of life and palliative care is everyone’s responsibility.</w:t>
      </w:r>
    </w:p>
    <w:p w14:paraId="1812B00D" w14:textId="77777777" w:rsidR="003E36BE" w:rsidRDefault="003E36BE" w:rsidP="006477A6">
      <w:pPr>
        <w:pStyle w:val="Heading3"/>
      </w:pPr>
      <w:r>
        <w:t xml:space="preserve">Scope of the guidance </w:t>
      </w:r>
    </w:p>
    <w:p w14:paraId="1FF89CCB" w14:textId="77777777" w:rsidR="003E36BE" w:rsidRPr="006477A6" w:rsidRDefault="003E36BE" w:rsidP="006477A6">
      <w:pPr>
        <w:pStyle w:val="Heading4"/>
      </w:pPr>
      <w:r w:rsidRPr="006477A6">
        <w:t>Population</w:t>
      </w:r>
    </w:p>
    <w:p w14:paraId="6E27884B" w14:textId="41FB83B0" w:rsidR="003E36BE" w:rsidRDefault="003E36BE" w:rsidP="006477A6">
      <w:pPr>
        <w:pStyle w:val="Normalfollowingheading"/>
      </w:pPr>
      <w:r>
        <w:t>This document is intended to guide all healthcare professionals in inpatient and community settings providing a palliative approach</w:t>
      </w:r>
      <w:r w:rsidR="00AF481D">
        <w:t>,</w:t>
      </w:r>
      <w:r>
        <w:t xml:space="preserve"> or specialist palliative or end of life care to adults. This includes but is not limited to:</w:t>
      </w:r>
    </w:p>
    <w:p w14:paraId="7DA49470" w14:textId="05B4410A" w:rsidR="003E36BE" w:rsidRPr="006477A6" w:rsidRDefault="00AF481D" w:rsidP="006477A6">
      <w:pPr>
        <w:pStyle w:val="Bullet1"/>
      </w:pPr>
      <w:r w:rsidRPr="006477A6">
        <w:t>g</w:t>
      </w:r>
      <w:r w:rsidR="003E36BE" w:rsidRPr="006477A6">
        <w:t xml:space="preserve">eneral </w:t>
      </w:r>
      <w:r w:rsidRPr="006477A6">
        <w:t>p</w:t>
      </w:r>
      <w:r w:rsidR="003E36BE" w:rsidRPr="006477A6">
        <w:t>ractitioners</w:t>
      </w:r>
    </w:p>
    <w:p w14:paraId="2DDF7BCF" w14:textId="3C29DB17" w:rsidR="003E36BE" w:rsidRPr="006477A6" w:rsidRDefault="00AF481D" w:rsidP="006477A6">
      <w:pPr>
        <w:pStyle w:val="Bullet1"/>
      </w:pPr>
      <w:r w:rsidRPr="006477A6">
        <w:t>s</w:t>
      </w:r>
      <w:r w:rsidR="003E36BE" w:rsidRPr="006477A6">
        <w:t xml:space="preserve">pecialist </w:t>
      </w:r>
      <w:r w:rsidRPr="006477A6">
        <w:t>p</w:t>
      </w:r>
      <w:r w:rsidR="003E36BE" w:rsidRPr="006477A6">
        <w:t xml:space="preserve">alliative </w:t>
      </w:r>
      <w:r w:rsidRPr="006477A6">
        <w:t>c</w:t>
      </w:r>
      <w:r w:rsidR="003E36BE" w:rsidRPr="006477A6">
        <w:t xml:space="preserve">are </w:t>
      </w:r>
      <w:r w:rsidRPr="006477A6">
        <w:t>p</w:t>
      </w:r>
      <w:r w:rsidR="003E36BE" w:rsidRPr="006477A6">
        <w:t>rofessionals</w:t>
      </w:r>
    </w:p>
    <w:p w14:paraId="719D760F" w14:textId="56BBC06E" w:rsidR="003E36BE" w:rsidRPr="006477A6" w:rsidRDefault="00AF481D" w:rsidP="006477A6">
      <w:pPr>
        <w:pStyle w:val="Bullet1"/>
      </w:pPr>
      <w:r w:rsidRPr="006477A6">
        <w:t>m</w:t>
      </w:r>
      <w:r w:rsidR="003E36BE" w:rsidRPr="006477A6">
        <w:t xml:space="preserve">edical </w:t>
      </w:r>
      <w:r w:rsidRPr="006477A6">
        <w:t>p</w:t>
      </w:r>
      <w:r w:rsidR="003E36BE" w:rsidRPr="006477A6">
        <w:t xml:space="preserve">ractitioners discharging </w:t>
      </w:r>
      <w:proofErr w:type="gramStart"/>
      <w:r w:rsidR="003E36BE" w:rsidRPr="006477A6">
        <w:t>patients</w:t>
      </w:r>
      <w:proofErr w:type="gramEnd"/>
      <w:r w:rsidR="003E36BE" w:rsidRPr="006477A6">
        <w:t xml:space="preserve"> home for end of life care</w:t>
      </w:r>
    </w:p>
    <w:p w14:paraId="40C710B0" w14:textId="02EDAC52" w:rsidR="003E36BE" w:rsidRPr="006477A6" w:rsidRDefault="00AF481D" w:rsidP="006477A6">
      <w:pPr>
        <w:pStyle w:val="Bullet1"/>
      </w:pPr>
      <w:r w:rsidRPr="006477A6">
        <w:t>n</w:t>
      </w:r>
      <w:r w:rsidR="003E36BE" w:rsidRPr="006477A6">
        <w:t>urse practitioners</w:t>
      </w:r>
    </w:p>
    <w:p w14:paraId="2FD817DD" w14:textId="3FCA08F7" w:rsidR="003E36BE" w:rsidRPr="006477A6" w:rsidRDefault="00AF481D" w:rsidP="006477A6">
      <w:pPr>
        <w:pStyle w:val="Bullet1"/>
      </w:pPr>
      <w:r w:rsidRPr="006477A6">
        <w:t>n</w:t>
      </w:r>
      <w:r w:rsidR="003E36BE" w:rsidRPr="006477A6">
        <w:t>urses</w:t>
      </w:r>
    </w:p>
    <w:p w14:paraId="101850A8" w14:textId="19BB7686" w:rsidR="003E36BE" w:rsidRPr="006477A6" w:rsidRDefault="00AF481D" w:rsidP="006477A6">
      <w:pPr>
        <w:pStyle w:val="Bullet1"/>
      </w:pPr>
      <w:r w:rsidRPr="006477A6">
        <w:t>p</w:t>
      </w:r>
      <w:r w:rsidR="003E36BE" w:rsidRPr="006477A6">
        <w:t>harmacists</w:t>
      </w:r>
    </w:p>
    <w:p w14:paraId="2B5948C7" w14:textId="78271C21" w:rsidR="003E36BE" w:rsidRPr="006477A6" w:rsidRDefault="00AF481D" w:rsidP="006477A6">
      <w:pPr>
        <w:pStyle w:val="Bullet1"/>
      </w:pPr>
      <w:r w:rsidRPr="006477A6">
        <w:t>o</w:t>
      </w:r>
      <w:r w:rsidR="003E36BE" w:rsidRPr="006477A6">
        <w:t>ut of hours services</w:t>
      </w:r>
    </w:p>
    <w:p w14:paraId="5C18CA9B" w14:textId="6AE46320" w:rsidR="003E36BE" w:rsidRPr="006477A6" w:rsidRDefault="00AF481D" w:rsidP="006477A6">
      <w:pPr>
        <w:pStyle w:val="Bullet1"/>
      </w:pPr>
      <w:r w:rsidRPr="006477A6">
        <w:t>p</w:t>
      </w:r>
      <w:r w:rsidR="003E36BE" w:rsidRPr="006477A6">
        <w:t>aramedics</w:t>
      </w:r>
      <w:r w:rsidRPr="006477A6">
        <w:t>.</w:t>
      </w:r>
    </w:p>
    <w:p w14:paraId="51D20351" w14:textId="77777777" w:rsidR="003E36BE" w:rsidRDefault="003E36BE" w:rsidP="006477A6">
      <w:r>
        <w:br w:type="page"/>
      </w:r>
    </w:p>
    <w:p w14:paraId="3E218489" w14:textId="1A65E369" w:rsidR="003E36BE" w:rsidRDefault="003E36BE" w:rsidP="006477A6">
      <w:pPr>
        <w:pStyle w:val="Heading4"/>
      </w:pPr>
      <w:r>
        <w:lastRenderedPageBreak/>
        <w:t>Exclusions</w:t>
      </w:r>
    </w:p>
    <w:p w14:paraId="26E648A6" w14:textId="77777777" w:rsidR="003E36BE" w:rsidRDefault="003E36BE" w:rsidP="006477A6">
      <w:r>
        <w:t>This guidance does not cover:</w:t>
      </w:r>
    </w:p>
    <w:p w14:paraId="6B7DC9B7" w14:textId="6CD76626" w:rsidR="003E36BE" w:rsidRDefault="00AF481D" w:rsidP="006477A6">
      <w:pPr>
        <w:pStyle w:val="Bullet1"/>
      </w:pPr>
      <w:r>
        <w:t>pa</w:t>
      </w:r>
      <w:r w:rsidR="003E36BE">
        <w:t>ediatric patients</w:t>
      </w:r>
    </w:p>
    <w:p w14:paraId="53B06146" w14:textId="44164639" w:rsidR="003E36BE" w:rsidRDefault="00AF481D" w:rsidP="006477A6">
      <w:pPr>
        <w:pStyle w:val="Bullet1"/>
      </w:pPr>
      <w:r>
        <w:t>ca</w:t>
      </w:r>
      <w:r w:rsidR="003E36BE">
        <w:t>tastrophic events</w:t>
      </w:r>
      <w:r>
        <w:t>.</w:t>
      </w:r>
    </w:p>
    <w:p w14:paraId="1A2B1559" w14:textId="77777777" w:rsidR="003E36BE" w:rsidRDefault="003E36BE" w:rsidP="006477A6">
      <w:pPr>
        <w:pStyle w:val="Heading2"/>
      </w:pPr>
      <w:r>
        <w:t>Expert working group</w:t>
      </w:r>
    </w:p>
    <w:p w14:paraId="35A06C39" w14:textId="77777777" w:rsidR="003E36BE" w:rsidRDefault="003E36BE" w:rsidP="006477A6">
      <w:pPr>
        <w:pStyle w:val="Normalfollowingheading"/>
      </w:pPr>
      <w:r>
        <w:t xml:space="preserve">An expert working group was convened by SCV to develop this clinical guidance. </w:t>
      </w:r>
    </w:p>
    <w:p w14:paraId="3AE649C2" w14:textId="3EB6845F" w:rsidR="003E36BE" w:rsidRDefault="003E36BE" w:rsidP="006477A6">
      <w:pPr>
        <w:pStyle w:val="Bullet1"/>
      </w:pPr>
      <w:r>
        <w:t xml:space="preserve">An expression of interest (EOI) was promoted by SCV and </w:t>
      </w:r>
      <w:r w:rsidR="00AF481D">
        <w:t>n</w:t>
      </w:r>
      <w:r>
        <w:t xml:space="preserve">etwork communications. Applicants were asked to submit relevant information about their interest and expertise in being part of the working group. </w:t>
      </w:r>
    </w:p>
    <w:p w14:paraId="2FA87B82" w14:textId="4DE8C118" w:rsidR="003E36BE" w:rsidRDefault="003E36BE" w:rsidP="006477A6">
      <w:pPr>
        <w:pStyle w:val="Bullet1"/>
      </w:pPr>
      <w:r>
        <w:t>All expressions of interest were reviewed by SCV staff, and final membership of the group was endorsed by Palliative Care Clinical Network clinical lead.</w:t>
      </w:r>
    </w:p>
    <w:p w14:paraId="6D96F082" w14:textId="6221B42C" w:rsidR="003E36BE" w:rsidRDefault="003E36BE" w:rsidP="006477A6">
      <w:pPr>
        <w:pStyle w:val="Bullet1"/>
      </w:pPr>
      <w:r>
        <w:t>Two consumer members were involved in the expert working group process. Consumers were reimbursed for their time and travel expenses.</w:t>
      </w:r>
    </w:p>
    <w:p w14:paraId="5295939A" w14:textId="0FFABEB4" w:rsidR="003E36BE" w:rsidRDefault="003E36BE" w:rsidP="006477A6">
      <w:pPr>
        <w:pStyle w:val="Bullet1"/>
      </w:pPr>
      <w:r>
        <w:t xml:space="preserve">The membership of the expert working group included experts from medical, nursing, pharmacy and paramedic disciplines. Recruitment was purposeful to ensure representation from metropolitan and regional areas. </w:t>
      </w:r>
    </w:p>
    <w:p w14:paraId="4F4C55D5" w14:textId="3EC91B86" w:rsidR="003E36BE" w:rsidRDefault="003E36BE" w:rsidP="006477A6">
      <w:pPr>
        <w:pStyle w:val="Bullet1"/>
      </w:pPr>
      <w:r>
        <w:t xml:space="preserve">The working group was co-chaired by a senior </w:t>
      </w:r>
      <w:r w:rsidR="00AF481D">
        <w:t>p</w:t>
      </w:r>
      <w:r>
        <w:t xml:space="preserve">alliative </w:t>
      </w:r>
      <w:r w:rsidR="00AF481D">
        <w:t>c</w:t>
      </w:r>
      <w:r>
        <w:t xml:space="preserve">are </w:t>
      </w:r>
      <w:r w:rsidR="00AF481D">
        <w:t>p</w:t>
      </w:r>
      <w:r>
        <w:t xml:space="preserve">hysician and a </w:t>
      </w:r>
      <w:r w:rsidR="00AF481D">
        <w:t>p</w:t>
      </w:r>
      <w:r>
        <w:t xml:space="preserve">alliative </w:t>
      </w:r>
      <w:r w:rsidR="00AF481D">
        <w:t>c</w:t>
      </w:r>
      <w:r>
        <w:t xml:space="preserve">are </w:t>
      </w:r>
      <w:r w:rsidR="00AF481D">
        <w:t>n</w:t>
      </w:r>
      <w:r>
        <w:t xml:space="preserve">ursing </w:t>
      </w:r>
      <w:r w:rsidR="00AF481D">
        <w:t>d</w:t>
      </w:r>
      <w:r>
        <w:t>irector, both members of the Palliative Care Clinical Network Governance Committee.</w:t>
      </w:r>
    </w:p>
    <w:p w14:paraId="29181A2F" w14:textId="78F50B8B" w:rsidR="003E36BE" w:rsidRPr="006477A6" w:rsidRDefault="003E36BE" w:rsidP="006477A6">
      <w:pPr>
        <w:pStyle w:val="Tablechartdiagramheading"/>
      </w:pPr>
      <w:r w:rsidRPr="006477A6">
        <w:t>Table 1</w:t>
      </w:r>
      <w:r w:rsidR="00AF481D" w:rsidRPr="006477A6">
        <w:t>:</w:t>
      </w:r>
      <w:r w:rsidRPr="006477A6">
        <w:t xml:space="preserve"> </w:t>
      </w:r>
      <w:r w:rsidR="00AF481D" w:rsidRPr="006477A6">
        <w:t>Anticipatory medicines guidance e</w:t>
      </w:r>
      <w:r w:rsidRPr="006477A6">
        <w:t>xpert working group membership</w:t>
      </w:r>
    </w:p>
    <w:tbl>
      <w:tblPr>
        <w:tblStyle w:val="TableGrid"/>
        <w:tblW w:w="4973" w:type="pct"/>
        <w:tblLook w:val="06A0" w:firstRow="1" w:lastRow="0" w:firstColumn="1" w:lastColumn="0" w:noHBand="1" w:noVBand="1"/>
      </w:tblPr>
      <w:tblGrid>
        <w:gridCol w:w="3079"/>
        <w:gridCol w:w="3374"/>
        <w:gridCol w:w="3696"/>
      </w:tblGrid>
      <w:tr w:rsidR="003E36BE" w:rsidRPr="006477A6" w14:paraId="0D97394D" w14:textId="77777777" w:rsidTr="00E32CF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17" w:type="pct"/>
          </w:tcPr>
          <w:p w14:paraId="0706791C" w14:textId="77777777" w:rsidR="003E36BE" w:rsidRPr="006477A6" w:rsidRDefault="003E36BE" w:rsidP="006477A6">
            <w:pPr>
              <w:rPr>
                <w:rFonts w:asciiTheme="majorHAnsi" w:hAnsiTheme="majorHAnsi" w:cstheme="majorHAnsi"/>
                <w:b w:val="0"/>
                <w:sz w:val="18"/>
                <w:szCs w:val="18"/>
              </w:rPr>
            </w:pPr>
            <w:r w:rsidRPr="006477A6">
              <w:rPr>
                <w:rFonts w:asciiTheme="majorHAnsi" w:hAnsiTheme="majorHAnsi" w:cstheme="majorHAnsi"/>
                <w:sz w:val="18"/>
                <w:szCs w:val="18"/>
              </w:rPr>
              <w:t>Member</w:t>
            </w:r>
          </w:p>
        </w:tc>
        <w:tc>
          <w:tcPr>
            <w:tcW w:w="1662" w:type="pct"/>
          </w:tcPr>
          <w:p w14:paraId="1E60CB84" w14:textId="77777777" w:rsidR="003E36BE" w:rsidRPr="006477A6" w:rsidRDefault="003E36BE" w:rsidP="006477A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Role </w:t>
            </w:r>
          </w:p>
        </w:tc>
        <w:tc>
          <w:tcPr>
            <w:tcW w:w="1821" w:type="pct"/>
          </w:tcPr>
          <w:p w14:paraId="026C3E1B" w14:textId="77777777" w:rsidR="003E36BE" w:rsidRPr="006477A6" w:rsidRDefault="003E36BE" w:rsidP="006477A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Organisation</w:t>
            </w:r>
          </w:p>
        </w:tc>
      </w:tr>
      <w:tr w:rsidR="003E36BE" w:rsidRPr="006477A6" w14:paraId="553E9FB0"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7D7DE7E2"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Dr Scott King</w:t>
            </w:r>
          </w:p>
        </w:tc>
        <w:tc>
          <w:tcPr>
            <w:tcW w:w="1662" w:type="pct"/>
          </w:tcPr>
          <w:p w14:paraId="6235C0AF"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(Chair) Palliative Medicine Specialist </w:t>
            </w:r>
          </w:p>
        </w:tc>
        <w:tc>
          <w:tcPr>
            <w:tcW w:w="1821" w:type="pct"/>
          </w:tcPr>
          <w:p w14:paraId="432DF5E1"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Calvary Health Care Bethlehem</w:t>
            </w:r>
          </w:p>
        </w:tc>
      </w:tr>
      <w:tr w:rsidR="003E36BE" w:rsidRPr="006477A6" w14:paraId="69D6BF19"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5E8112CE"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Angela Dredge</w:t>
            </w:r>
          </w:p>
        </w:tc>
        <w:tc>
          <w:tcPr>
            <w:tcW w:w="1662" w:type="pct"/>
          </w:tcPr>
          <w:p w14:paraId="18BB49F2" w14:textId="61FF1598"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(Chair) Director of Nursing, Continuing </w:t>
            </w:r>
            <w:r w:rsidR="00AC692A" w:rsidRPr="006477A6">
              <w:rPr>
                <w:rFonts w:asciiTheme="majorHAnsi" w:hAnsiTheme="majorHAnsi" w:cstheme="majorHAnsi"/>
                <w:sz w:val="18"/>
                <w:szCs w:val="18"/>
              </w:rPr>
              <w:t>and</w:t>
            </w:r>
            <w:r w:rsidRPr="006477A6">
              <w:rPr>
                <w:rFonts w:asciiTheme="majorHAnsi" w:hAnsiTheme="majorHAnsi" w:cstheme="majorHAnsi"/>
                <w:sz w:val="18"/>
                <w:szCs w:val="18"/>
              </w:rPr>
              <w:t xml:space="preserve"> Palliative Care </w:t>
            </w:r>
          </w:p>
        </w:tc>
        <w:tc>
          <w:tcPr>
            <w:tcW w:w="1821" w:type="pct"/>
          </w:tcPr>
          <w:p w14:paraId="64108BF9"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Peninsula Health</w:t>
            </w:r>
          </w:p>
        </w:tc>
      </w:tr>
      <w:tr w:rsidR="003E36BE" w:rsidRPr="006477A6" w14:paraId="5F06EA1F"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6E6E14A5"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Ka-Yee Chen</w:t>
            </w:r>
          </w:p>
        </w:tc>
        <w:tc>
          <w:tcPr>
            <w:tcW w:w="1662" w:type="pct"/>
          </w:tcPr>
          <w:p w14:paraId="101AF3BB"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Chief Pharmacist </w:t>
            </w:r>
          </w:p>
        </w:tc>
        <w:tc>
          <w:tcPr>
            <w:tcW w:w="1821" w:type="pct"/>
          </w:tcPr>
          <w:p w14:paraId="75051516"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Calvary Health Care Bethlehem</w:t>
            </w:r>
          </w:p>
        </w:tc>
      </w:tr>
      <w:tr w:rsidR="003E36BE" w:rsidRPr="006477A6" w14:paraId="648134CB"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27508E4A"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Dr Peter Eastman</w:t>
            </w:r>
          </w:p>
        </w:tc>
        <w:tc>
          <w:tcPr>
            <w:tcW w:w="1662" w:type="pct"/>
          </w:tcPr>
          <w:p w14:paraId="586F7D5B"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Co-head of Palliative Care Department, Palliative Medicine Specialist </w:t>
            </w:r>
          </w:p>
        </w:tc>
        <w:tc>
          <w:tcPr>
            <w:tcW w:w="1821" w:type="pct"/>
          </w:tcPr>
          <w:p w14:paraId="4828E90B"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Barwon Health</w:t>
            </w:r>
          </w:p>
        </w:tc>
      </w:tr>
      <w:tr w:rsidR="003E36BE" w:rsidRPr="006477A6" w14:paraId="3D28AD02"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4BD33BDE"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Dr Claire Hepper</w:t>
            </w:r>
          </w:p>
        </w:tc>
        <w:tc>
          <w:tcPr>
            <w:tcW w:w="1662" w:type="pct"/>
          </w:tcPr>
          <w:p w14:paraId="01AC919D"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General Practitioner </w:t>
            </w:r>
          </w:p>
        </w:tc>
        <w:tc>
          <w:tcPr>
            <w:tcW w:w="1821" w:type="pct"/>
          </w:tcPr>
          <w:p w14:paraId="545ADEF8"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Creswick Medical Centre</w:t>
            </w:r>
          </w:p>
        </w:tc>
      </w:tr>
      <w:tr w:rsidR="003E36BE" w:rsidRPr="006477A6" w14:paraId="0C8CE034"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5C81F932"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Dr Naomi Katz</w:t>
            </w:r>
          </w:p>
        </w:tc>
        <w:tc>
          <w:tcPr>
            <w:tcW w:w="1662" w:type="pct"/>
          </w:tcPr>
          <w:p w14:paraId="0141DA58"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Palliative Medicine Specialist </w:t>
            </w:r>
          </w:p>
        </w:tc>
        <w:tc>
          <w:tcPr>
            <w:tcW w:w="1821" w:type="pct"/>
          </w:tcPr>
          <w:p w14:paraId="56621A04"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Alfred Health</w:t>
            </w:r>
          </w:p>
        </w:tc>
      </w:tr>
      <w:tr w:rsidR="003E36BE" w:rsidRPr="006477A6" w14:paraId="1C5F67F0"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1381D42E"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Dr Hanan Khalil</w:t>
            </w:r>
          </w:p>
        </w:tc>
        <w:tc>
          <w:tcPr>
            <w:tcW w:w="1662" w:type="pct"/>
          </w:tcPr>
          <w:p w14:paraId="76B59F68"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Pharmacy Academic Associate Professor </w:t>
            </w:r>
          </w:p>
        </w:tc>
        <w:tc>
          <w:tcPr>
            <w:tcW w:w="1821" w:type="pct"/>
          </w:tcPr>
          <w:p w14:paraId="30B1498D"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La Trobe University</w:t>
            </w:r>
          </w:p>
        </w:tc>
      </w:tr>
      <w:tr w:rsidR="003E36BE" w:rsidRPr="006477A6" w14:paraId="6A8366F1"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13232121"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 xml:space="preserve">Dr </w:t>
            </w:r>
            <w:proofErr w:type="spellStart"/>
            <w:r w:rsidRPr="006477A6">
              <w:rPr>
                <w:rFonts w:asciiTheme="majorHAnsi" w:hAnsiTheme="majorHAnsi" w:cstheme="majorHAnsi"/>
                <w:sz w:val="18"/>
                <w:szCs w:val="18"/>
              </w:rPr>
              <w:t>Chien</w:t>
            </w:r>
            <w:proofErr w:type="spellEnd"/>
            <w:r w:rsidRPr="006477A6">
              <w:rPr>
                <w:rFonts w:asciiTheme="majorHAnsi" w:hAnsiTheme="majorHAnsi" w:cstheme="majorHAnsi"/>
                <w:sz w:val="18"/>
                <w:szCs w:val="18"/>
              </w:rPr>
              <w:t>-Che Lin</w:t>
            </w:r>
          </w:p>
        </w:tc>
        <w:tc>
          <w:tcPr>
            <w:tcW w:w="1662" w:type="pct"/>
          </w:tcPr>
          <w:p w14:paraId="45BAB8A5"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Palliative Medicine Specialist</w:t>
            </w:r>
          </w:p>
        </w:tc>
        <w:tc>
          <w:tcPr>
            <w:tcW w:w="1821" w:type="pct"/>
          </w:tcPr>
          <w:p w14:paraId="274A5AA0"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Banksia Palliative Care</w:t>
            </w:r>
          </w:p>
        </w:tc>
      </w:tr>
      <w:tr w:rsidR="003E36BE" w:rsidRPr="006477A6" w14:paraId="2ADEC397"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4E111BF1"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 xml:space="preserve">Melanie </w:t>
            </w:r>
            <w:proofErr w:type="spellStart"/>
            <w:r w:rsidRPr="006477A6">
              <w:rPr>
                <w:rFonts w:asciiTheme="majorHAnsi" w:hAnsiTheme="majorHAnsi" w:cstheme="majorHAnsi"/>
                <w:sz w:val="18"/>
                <w:szCs w:val="18"/>
              </w:rPr>
              <w:t>Mattinson</w:t>
            </w:r>
            <w:proofErr w:type="spellEnd"/>
          </w:p>
        </w:tc>
        <w:tc>
          <w:tcPr>
            <w:tcW w:w="1662" w:type="pct"/>
          </w:tcPr>
          <w:p w14:paraId="0169D814"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Palliative Care Nurse Specialist </w:t>
            </w:r>
          </w:p>
        </w:tc>
        <w:tc>
          <w:tcPr>
            <w:tcW w:w="1821" w:type="pct"/>
          </w:tcPr>
          <w:p w14:paraId="54931D7A"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Ballarat Hospice Care</w:t>
            </w:r>
          </w:p>
        </w:tc>
      </w:tr>
      <w:tr w:rsidR="003E36BE" w:rsidRPr="006477A6" w14:paraId="7209BB7C"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3F0236DF"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lastRenderedPageBreak/>
              <w:t>Jeremy McKnight</w:t>
            </w:r>
          </w:p>
        </w:tc>
        <w:tc>
          <w:tcPr>
            <w:tcW w:w="1662" w:type="pct"/>
          </w:tcPr>
          <w:p w14:paraId="52FFD9A2" w14:textId="7ECC52F3"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Lived </w:t>
            </w:r>
            <w:r w:rsidR="00F01DD6" w:rsidRPr="006477A6">
              <w:rPr>
                <w:rFonts w:asciiTheme="majorHAnsi" w:hAnsiTheme="majorHAnsi" w:cstheme="majorHAnsi"/>
                <w:sz w:val="18"/>
                <w:szCs w:val="18"/>
              </w:rPr>
              <w:t>e</w:t>
            </w:r>
            <w:r w:rsidRPr="006477A6">
              <w:rPr>
                <w:rFonts w:asciiTheme="majorHAnsi" w:hAnsiTheme="majorHAnsi" w:cstheme="majorHAnsi"/>
                <w:sz w:val="18"/>
                <w:szCs w:val="18"/>
              </w:rPr>
              <w:t>xperience</w:t>
            </w:r>
          </w:p>
        </w:tc>
        <w:tc>
          <w:tcPr>
            <w:tcW w:w="1821" w:type="pct"/>
          </w:tcPr>
          <w:p w14:paraId="3C4D06C6"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3E36BE" w:rsidRPr="006477A6" w14:paraId="0DB4464D"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7A6A70EA"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Adriana Mulla</w:t>
            </w:r>
          </w:p>
        </w:tc>
        <w:tc>
          <w:tcPr>
            <w:tcW w:w="1662" w:type="pct"/>
          </w:tcPr>
          <w:p w14:paraId="607ABE5C" w14:textId="10CD7E9B"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 xml:space="preserve">Lived </w:t>
            </w:r>
            <w:r w:rsidR="00AF481D" w:rsidRPr="006477A6">
              <w:rPr>
                <w:rFonts w:asciiTheme="majorHAnsi" w:hAnsiTheme="majorHAnsi" w:cstheme="majorHAnsi"/>
                <w:sz w:val="18"/>
                <w:szCs w:val="18"/>
              </w:rPr>
              <w:t>e</w:t>
            </w:r>
            <w:r w:rsidRPr="006477A6">
              <w:rPr>
                <w:rFonts w:asciiTheme="majorHAnsi" w:hAnsiTheme="majorHAnsi" w:cstheme="majorHAnsi"/>
                <w:sz w:val="18"/>
                <w:szCs w:val="18"/>
              </w:rPr>
              <w:t>xperience</w:t>
            </w:r>
          </w:p>
        </w:tc>
        <w:tc>
          <w:tcPr>
            <w:tcW w:w="1821" w:type="pct"/>
          </w:tcPr>
          <w:p w14:paraId="5FE5CB47"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3E36BE" w:rsidRPr="006477A6" w14:paraId="412B838E"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57F9B3D7"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 xml:space="preserve">Kirsten </w:t>
            </w:r>
            <w:proofErr w:type="spellStart"/>
            <w:r w:rsidRPr="006477A6">
              <w:rPr>
                <w:rFonts w:asciiTheme="majorHAnsi" w:hAnsiTheme="majorHAnsi" w:cstheme="majorHAnsi"/>
                <w:sz w:val="18"/>
                <w:szCs w:val="18"/>
              </w:rPr>
              <w:t>Oataway</w:t>
            </w:r>
            <w:proofErr w:type="spellEnd"/>
          </w:p>
        </w:tc>
        <w:tc>
          <w:tcPr>
            <w:tcW w:w="1662" w:type="pct"/>
          </w:tcPr>
          <w:p w14:paraId="21751DF8"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ANUM Palliative Care</w:t>
            </w:r>
          </w:p>
        </w:tc>
        <w:tc>
          <w:tcPr>
            <w:tcW w:w="1821" w:type="pct"/>
          </w:tcPr>
          <w:p w14:paraId="250B64EC"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Austin Health</w:t>
            </w:r>
          </w:p>
        </w:tc>
      </w:tr>
      <w:tr w:rsidR="003E36BE" w:rsidRPr="006477A6" w14:paraId="18AF623B"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3D62C5EA"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James Oswald</w:t>
            </w:r>
          </w:p>
        </w:tc>
        <w:tc>
          <w:tcPr>
            <w:tcW w:w="1662" w:type="pct"/>
          </w:tcPr>
          <w:p w14:paraId="114F67FE"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Paramedic</w:t>
            </w:r>
          </w:p>
        </w:tc>
        <w:tc>
          <w:tcPr>
            <w:tcW w:w="1821" w:type="pct"/>
          </w:tcPr>
          <w:p w14:paraId="2E5547C7"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Ambulance Victoria</w:t>
            </w:r>
          </w:p>
        </w:tc>
      </w:tr>
      <w:tr w:rsidR="003E36BE" w:rsidRPr="006477A6" w14:paraId="4C788781"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1B58291C"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Joanne Spurge</w:t>
            </w:r>
          </w:p>
        </w:tc>
        <w:tc>
          <w:tcPr>
            <w:tcW w:w="1662" w:type="pct"/>
          </w:tcPr>
          <w:p w14:paraId="202DC914"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Clinical Nurse Consultant</w:t>
            </w:r>
          </w:p>
        </w:tc>
        <w:tc>
          <w:tcPr>
            <w:tcW w:w="1821" w:type="pct"/>
          </w:tcPr>
          <w:p w14:paraId="1787B6B2"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Portland District Health</w:t>
            </w:r>
          </w:p>
        </w:tc>
      </w:tr>
      <w:tr w:rsidR="003E36BE" w:rsidRPr="006477A6" w14:paraId="7C7CEF49"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46F34C96"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Dr Anh Tran</w:t>
            </w:r>
          </w:p>
        </w:tc>
        <w:tc>
          <w:tcPr>
            <w:tcW w:w="1662" w:type="pct"/>
          </w:tcPr>
          <w:p w14:paraId="7ECDDF78"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Emergency Physician</w:t>
            </w:r>
          </w:p>
        </w:tc>
        <w:tc>
          <w:tcPr>
            <w:tcW w:w="1821" w:type="pct"/>
          </w:tcPr>
          <w:p w14:paraId="3B02FBA6"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Mercy Health</w:t>
            </w:r>
          </w:p>
        </w:tc>
      </w:tr>
      <w:tr w:rsidR="003E36BE" w:rsidRPr="006477A6" w14:paraId="52C18529"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5FF4B782"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Tim Wendt</w:t>
            </w:r>
          </w:p>
        </w:tc>
        <w:tc>
          <w:tcPr>
            <w:tcW w:w="1662" w:type="pct"/>
          </w:tcPr>
          <w:p w14:paraId="4A30D6F5"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Director of Pharmacy</w:t>
            </w:r>
          </w:p>
        </w:tc>
        <w:tc>
          <w:tcPr>
            <w:tcW w:w="1821" w:type="pct"/>
          </w:tcPr>
          <w:p w14:paraId="4EB361F3"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West Gippsland Healthcare Group</w:t>
            </w:r>
          </w:p>
        </w:tc>
      </w:tr>
      <w:tr w:rsidR="003E36BE" w:rsidRPr="006477A6" w14:paraId="73EF381D"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651E6696"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Heather Wickham</w:t>
            </w:r>
          </w:p>
        </w:tc>
        <w:tc>
          <w:tcPr>
            <w:tcW w:w="1662" w:type="pct"/>
          </w:tcPr>
          <w:p w14:paraId="5A526986"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Palliative Care Nurse Consultant</w:t>
            </w:r>
          </w:p>
        </w:tc>
        <w:tc>
          <w:tcPr>
            <w:tcW w:w="1821" w:type="pct"/>
          </w:tcPr>
          <w:p w14:paraId="26A71C23"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Northeast Health Wangaratta</w:t>
            </w:r>
          </w:p>
        </w:tc>
      </w:tr>
      <w:tr w:rsidR="003E36BE" w:rsidRPr="006477A6" w14:paraId="67B4C186"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3B48A2BA"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Anita Wild</w:t>
            </w:r>
          </w:p>
        </w:tc>
        <w:tc>
          <w:tcPr>
            <w:tcW w:w="1662" w:type="pct"/>
          </w:tcPr>
          <w:p w14:paraId="6C978C83"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Nurse Practitioner</w:t>
            </w:r>
          </w:p>
        </w:tc>
        <w:tc>
          <w:tcPr>
            <w:tcW w:w="1821" w:type="pct"/>
          </w:tcPr>
          <w:p w14:paraId="0CF680B8"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Bendigo Health</w:t>
            </w:r>
          </w:p>
        </w:tc>
      </w:tr>
      <w:tr w:rsidR="003E36BE" w:rsidRPr="006477A6" w14:paraId="01BF5E08"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1517" w:type="pct"/>
          </w:tcPr>
          <w:p w14:paraId="1C7111BE" w14:textId="77777777" w:rsidR="003E36BE" w:rsidRPr="006477A6" w:rsidRDefault="003E36BE" w:rsidP="006477A6">
            <w:pPr>
              <w:rPr>
                <w:rFonts w:asciiTheme="majorHAnsi" w:hAnsiTheme="majorHAnsi" w:cstheme="majorHAnsi"/>
                <w:sz w:val="18"/>
                <w:szCs w:val="18"/>
              </w:rPr>
            </w:pPr>
            <w:r w:rsidRPr="006477A6">
              <w:rPr>
                <w:rFonts w:asciiTheme="majorHAnsi" w:hAnsiTheme="majorHAnsi" w:cstheme="majorHAnsi"/>
                <w:sz w:val="18"/>
                <w:szCs w:val="18"/>
              </w:rPr>
              <w:t>Loretta Williams</w:t>
            </w:r>
          </w:p>
        </w:tc>
        <w:tc>
          <w:tcPr>
            <w:tcW w:w="1662" w:type="pct"/>
          </w:tcPr>
          <w:p w14:paraId="38C25441"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Palliative Care Nurse Consultant</w:t>
            </w:r>
          </w:p>
        </w:tc>
        <w:tc>
          <w:tcPr>
            <w:tcW w:w="1821" w:type="pct"/>
          </w:tcPr>
          <w:p w14:paraId="12271E3A" w14:textId="77777777" w:rsidR="003E36BE" w:rsidRPr="006477A6" w:rsidRDefault="003E36BE" w:rsidP="006477A6">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477A6">
              <w:rPr>
                <w:rFonts w:asciiTheme="majorHAnsi" w:hAnsiTheme="majorHAnsi" w:cstheme="majorHAnsi"/>
                <w:sz w:val="18"/>
                <w:szCs w:val="18"/>
              </w:rPr>
              <w:t>Western Health</w:t>
            </w:r>
          </w:p>
        </w:tc>
      </w:tr>
    </w:tbl>
    <w:p w14:paraId="1FDBE294" w14:textId="77777777" w:rsidR="003E36BE" w:rsidRDefault="003E36BE" w:rsidP="006477A6">
      <w:pPr>
        <w:pStyle w:val="Heading3"/>
      </w:pPr>
      <w:r>
        <w:t>Conflict of interest</w:t>
      </w:r>
    </w:p>
    <w:p w14:paraId="518FFD6A" w14:textId="1313C5A0" w:rsidR="003E36BE" w:rsidRDefault="003E36BE" w:rsidP="006477A6">
      <w:pPr>
        <w:pStyle w:val="Normalfollowingheading"/>
      </w:pPr>
      <w:r>
        <w:t>No relevant conflicts were identified.</w:t>
      </w:r>
    </w:p>
    <w:p w14:paraId="12DAFA2D" w14:textId="77777777" w:rsidR="003E36BE" w:rsidRDefault="003E36BE" w:rsidP="006477A6">
      <w:pPr>
        <w:pStyle w:val="Heading2"/>
      </w:pPr>
      <w:r>
        <w:t>Methodology to develop the guidance</w:t>
      </w:r>
    </w:p>
    <w:p w14:paraId="53999562" w14:textId="77777777" w:rsidR="003E36BE" w:rsidRDefault="003E36BE" w:rsidP="006477A6">
      <w:pPr>
        <w:pStyle w:val="Heading3"/>
      </w:pPr>
      <w:r>
        <w:t>Development timeline</w:t>
      </w:r>
    </w:p>
    <w:p w14:paraId="4604A9B1" w14:textId="558DC447" w:rsidR="003E36BE" w:rsidRDefault="003E36BE" w:rsidP="006477A6">
      <w:pPr>
        <w:pStyle w:val="Normalfollowingheading"/>
      </w:pPr>
      <w:r>
        <w:t xml:space="preserve">This guidance was developed from November 2018 to January 2020. </w:t>
      </w:r>
    </w:p>
    <w:p w14:paraId="3BEEC404" w14:textId="77777777" w:rsidR="003E36BE" w:rsidRDefault="003E36BE" w:rsidP="006477A6">
      <w:pPr>
        <w:pStyle w:val="Heading3"/>
      </w:pPr>
      <w:r>
        <w:t xml:space="preserve">Search method to review the evidence </w:t>
      </w:r>
    </w:p>
    <w:p w14:paraId="51E2A9B0" w14:textId="008C2D8C" w:rsidR="003E36BE" w:rsidRDefault="003E36BE" w:rsidP="006477A6">
      <w:pPr>
        <w:pStyle w:val="Bullet1"/>
      </w:pPr>
      <w:r>
        <w:t xml:space="preserve">A comprehensive literature review was performed. Existing guidelines were identified and reviewed. </w:t>
      </w:r>
    </w:p>
    <w:p w14:paraId="7F94B5C7" w14:textId="381B36A1" w:rsidR="003E36BE" w:rsidRDefault="003E36BE" w:rsidP="006477A6">
      <w:pPr>
        <w:pStyle w:val="Bullet1"/>
      </w:pPr>
      <w:r>
        <w:t xml:space="preserve">Working group members were allocated one of </w:t>
      </w:r>
      <w:r w:rsidR="00AF481D">
        <w:t>11</w:t>
      </w:r>
      <w:r>
        <w:t xml:space="preserve"> existing guidelines to assess and asked to determine its appropriateness for implementation in Victoria.</w:t>
      </w:r>
    </w:p>
    <w:p w14:paraId="070E8244" w14:textId="0F87680C" w:rsidR="003E36BE" w:rsidRDefault="003E36BE" w:rsidP="006477A6">
      <w:pPr>
        <w:pStyle w:val="Bullet1"/>
      </w:pPr>
      <w:r>
        <w:t>Members of the working group presented their research, specific to the topic, at the first learning session.</w:t>
      </w:r>
    </w:p>
    <w:p w14:paraId="52A81EA1" w14:textId="77777777" w:rsidR="003E36BE" w:rsidRDefault="003E36BE" w:rsidP="006477A6">
      <w:pPr>
        <w:pStyle w:val="Heading3"/>
      </w:pPr>
      <w:r>
        <w:t>Sources of evidence</w:t>
      </w:r>
    </w:p>
    <w:p w14:paraId="16ABDB9C" w14:textId="570A926C" w:rsidR="003E36BE" w:rsidRDefault="003E36BE" w:rsidP="006477A6">
      <w:pPr>
        <w:pStyle w:val="Bullet1"/>
      </w:pPr>
      <w:r>
        <w:t xml:space="preserve">The strengths and limitations of three guidelines were compared and reviewed – </w:t>
      </w:r>
      <w:proofErr w:type="spellStart"/>
      <w:r>
        <w:t>caring@home</w:t>
      </w:r>
      <w:proofErr w:type="spellEnd"/>
      <w:r>
        <w:t xml:space="preserve"> (QLD), Last Days of Life Toolkit (NSW) and the Scottish Palliative Care guidelines. </w:t>
      </w:r>
      <w:proofErr w:type="spellStart"/>
      <w:r>
        <w:t>caring@home</w:t>
      </w:r>
      <w:proofErr w:type="spellEnd"/>
      <w:r>
        <w:t xml:space="preserve"> was identified and endorsed as the guideline that could be implemented in Victoria. </w:t>
      </w:r>
    </w:p>
    <w:p w14:paraId="5A14B055" w14:textId="070B7F3B" w:rsidR="003E36BE" w:rsidRDefault="003E36BE" w:rsidP="006477A6">
      <w:pPr>
        <w:pStyle w:val="Bullet1"/>
      </w:pPr>
      <w:r>
        <w:t xml:space="preserve">The </w:t>
      </w:r>
      <w:proofErr w:type="spellStart"/>
      <w:r>
        <w:t>caring@home</w:t>
      </w:r>
      <w:proofErr w:type="spellEnd"/>
      <w:r>
        <w:t xml:space="preserve"> guideline was selected on consensus</w:t>
      </w:r>
      <w:r w:rsidR="00AF481D">
        <w:t>.</w:t>
      </w:r>
    </w:p>
    <w:p w14:paraId="66BDA3B7" w14:textId="77777777" w:rsidR="003E36BE" w:rsidRDefault="003E36BE" w:rsidP="006477A6">
      <w:pPr>
        <w:pStyle w:val="Heading3"/>
      </w:pPr>
      <w:r>
        <w:t xml:space="preserve">Referencing </w:t>
      </w:r>
    </w:p>
    <w:p w14:paraId="143E8078" w14:textId="5F1CAB83" w:rsidR="003E36BE" w:rsidRDefault="003E36BE" w:rsidP="006477A6">
      <w:pPr>
        <w:pStyle w:val="Normalfollowingheading"/>
      </w:pPr>
      <w:r>
        <w:t>Modified Vancouver style with superscript</w:t>
      </w:r>
      <w:r w:rsidR="00AF481D">
        <w:t>.</w:t>
      </w:r>
    </w:p>
    <w:p w14:paraId="73B8285F" w14:textId="77777777" w:rsidR="003E36BE" w:rsidRDefault="003E36BE" w:rsidP="006477A6">
      <w:pPr>
        <w:rPr>
          <w:rFonts w:ascii="VIC SemiBold" w:eastAsiaTheme="majorEastAsia" w:hAnsi="VIC SemiBold" w:cstheme="majorBidi"/>
          <w:color w:val="007586" w:themeColor="text2"/>
          <w:sz w:val="24"/>
          <w:szCs w:val="26"/>
        </w:rPr>
      </w:pPr>
      <w:r>
        <w:br w:type="page"/>
      </w:r>
    </w:p>
    <w:p w14:paraId="7845683B" w14:textId="19BC9BF8" w:rsidR="003E36BE" w:rsidRDefault="003E36BE" w:rsidP="006477A6">
      <w:pPr>
        <w:pStyle w:val="Heading2"/>
      </w:pPr>
      <w:r>
        <w:lastRenderedPageBreak/>
        <w:t>Reaching consensus</w:t>
      </w:r>
    </w:p>
    <w:p w14:paraId="0F25DBAB" w14:textId="522DC563" w:rsidR="003E36BE" w:rsidRDefault="003E36BE" w:rsidP="006477A6">
      <w:pPr>
        <w:pStyle w:val="Normalfollowingheading"/>
      </w:pPr>
      <w:r>
        <w:t>Consensus was reached through a variety of techniques, including</w:t>
      </w:r>
      <w:r w:rsidR="00E97259">
        <w:t>:</w:t>
      </w:r>
    </w:p>
    <w:p w14:paraId="3A68E6B8" w14:textId="25DE2BC8" w:rsidR="003E36BE" w:rsidRDefault="003E36BE" w:rsidP="006477A6">
      <w:pPr>
        <w:pStyle w:val="Bullet1"/>
      </w:pPr>
      <w:r>
        <w:t>the use of a standardised Existing Guidelines Assessment Tool (Appendix 1) to compare guidelines</w:t>
      </w:r>
    </w:p>
    <w:p w14:paraId="6567F224" w14:textId="284006E2" w:rsidR="003E36BE" w:rsidRDefault="003E36BE" w:rsidP="006477A6">
      <w:pPr>
        <w:pStyle w:val="Bullet1"/>
      </w:pPr>
      <w:r>
        <w:t xml:space="preserve">voting on key definitions for anticipatory prescribing and on the appropriateness of the </w:t>
      </w:r>
      <w:proofErr w:type="spellStart"/>
      <w:r>
        <w:t>caring@home</w:t>
      </w:r>
      <w:proofErr w:type="spellEnd"/>
      <w:r>
        <w:t xml:space="preserve"> guideline for Victoria</w:t>
      </w:r>
    </w:p>
    <w:p w14:paraId="5FC12BFD" w14:textId="40FA44A0" w:rsidR="003E36BE" w:rsidRDefault="003E36BE" w:rsidP="006477A6">
      <w:pPr>
        <w:pStyle w:val="Bullet1"/>
      </w:pPr>
      <w:r>
        <w:t>circulation of a draft guideline for comments from the group</w:t>
      </w:r>
      <w:r w:rsidR="00E97259">
        <w:t>.</w:t>
      </w:r>
    </w:p>
    <w:p w14:paraId="262FCD9B" w14:textId="77777777" w:rsidR="003E36BE" w:rsidRDefault="003E36BE" w:rsidP="006477A6">
      <w:pPr>
        <w:pStyle w:val="Heading2"/>
      </w:pPr>
      <w:r>
        <w:t>Consultation</w:t>
      </w:r>
    </w:p>
    <w:p w14:paraId="674F21E7" w14:textId="583B6A6B" w:rsidR="003E36BE" w:rsidRDefault="00AF481D" w:rsidP="006477A6">
      <w:pPr>
        <w:pStyle w:val="Normalfollowingheading"/>
      </w:pPr>
      <w:r>
        <w:t>After</w:t>
      </w:r>
      <w:r w:rsidR="003E36BE">
        <w:t xml:space="preserve"> the expert working group </w:t>
      </w:r>
      <w:r>
        <w:t>developed a</w:t>
      </w:r>
      <w:r w:rsidR="003E36BE">
        <w:t xml:space="preserve"> draft document, </w:t>
      </w:r>
      <w:r>
        <w:t xml:space="preserve">we ran </w:t>
      </w:r>
      <w:r w:rsidR="003E36BE">
        <w:t xml:space="preserve">targeted public consultation. The draft guidance was shared with representatives from two community palliative care services who shared their feedback on the useability of the document. The services subsequently carried out testing and implementation of the guidance (see </w:t>
      </w:r>
      <w:r>
        <w:t>‘</w:t>
      </w:r>
      <w:r w:rsidR="003E36BE">
        <w:t>Implementation</w:t>
      </w:r>
      <w:r>
        <w:t>’</w:t>
      </w:r>
      <w:r w:rsidR="003E36BE">
        <w:t>).</w:t>
      </w:r>
    </w:p>
    <w:p w14:paraId="0212F86E" w14:textId="77777777" w:rsidR="00F533B5" w:rsidRDefault="000C4FBD" w:rsidP="006477A6">
      <w:pPr>
        <w:pStyle w:val="Heading3"/>
      </w:pPr>
      <w:r w:rsidRPr="000C4FBD">
        <w:t>Response to feedback</w:t>
      </w:r>
    </w:p>
    <w:p w14:paraId="3E48BFF1" w14:textId="2CD1444B" w:rsidR="000C4FBD" w:rsidRDefault="000C4FBD" w:rsidP="006477A6">
      <w:pPr>
        <w:pStyle w:val="Normalfollowingheading"/>
      </w:pPr>
      <w:r w:rsidRPr="000C4FBD">
        <w:t>Feedback from consultation with experts is summarised below.</w:t>
      </w:r>
    </w:p>
    <w:p w14:paraId="5C28C3C7" w14:textId="16208430" w:rsidR="00F533B5" w:rsidRDefault="00725FBF" w:rsidP="006477A6">
      <w:pPr>
        <w:pStyle w:val="Tablechartdiagramheading"/>
      </w:pPr>
      <w:r>
        <w:t>Table 2: Feedback</w:t>
      </w:r>
      <w:r w:rsidR="00E32CFA">
        <w:t xml:space="preserve"> themes and decisions</w:t>
      </w:r>
    </w:p>
    <w:tbl>
      <w:tblPr>
        <w:tblStyle w:val="TableGrid"/>
        <w:tblW w:w="0" w:type="auto"/>
        <w:tblLook w:val="04A0" w:firstRow="1" w:lastRow="0" w:firstColumn="1" w:lastColumn="0" w:noHBand="0" w:noVBand="1"/>
      </w:tblPr>
      <w:tblGrid>
        <w:gridCol w:w="4253"/>
        <w:gridCol w:w="5951"/>
      </w:tblGrid>
      <w:tr w:rsidR="00725FBF" w:rsidRPr="006477A6" w14:paraId="27988A44" w14:textId="77777777" w:rsidTr="00E32CF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53" w:type="dxa"/>
          </w:tcPr>
          <w:p w14:paraId="148D9CA7" w14:textId="2840B928" w:rsidR="00725FBF" w:rsidRPr="006477A6" w:rsidRDefault="00FE7CE9" w:rsidP="006477A6">
            <w:pPr>
              <w:rPr>
                <w:sz w:val="18"/>
                <w:szCs w:val="22"/>
              </w:rPr>
            </w:pPr>
            <w:r w:rsidRPr="006477A6">
              <w:rPr>
                <w:sz w:val="18"/>
                <w:szCs w:val="22"/>
              </w:rPr>
              <w:t>Feedback theme</w:t>
            </w:r>
          </w:p>
        </w:tc>
        <w:tc>
          <w:tcPr>
            <w:tcW w:w="5951" w:type="dxa"/>
          </w:tcPr>
          <w:p w14:paraId="17BF792E" w14:textId="03EAB846" w:rsidR="00725FBF" w:rsidRPr="006477A6" w:rsidRDefault="00FE7CE9" w:rsidP="006477A6">
            <w:pPr>
              <w:cnfStyle w:val="100000000000" w:firstRow="1" w:lastRow="0" w:firstColumn="0" w:lastColumn="0" w:oddVBand="0" w:evenVBand="0" w:oddHBand="0" w:evenHBand="0" w:firstRowFirstColumn="0" w:firstRowLastColumn="0" w:lastRowFirstColumn="0" w:lastRowLastColumn="0"/>
              <w:rPr>
                <w:sz w:val="18"/>
                <w:szCs w:val="22"/>
              </w:rPr>
            </w:pPr>
            <w:r w:rsidRPr="006477A6">
              <w:rPr>
                <w:sz w:val="18"/>
                <w:szCs w:val="22"/>
              </w:rPr>
              <w:t>Decision</w:t>
            </w:r>
          </w:p>
        </w:tc>
      </w:tr>
      <w:tr w:rsidR="00725FBF" w:rsidRPr="006477A6" w14:paraId="686545A1"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4253" w:type="dxa"/>
          </w:tcPr>
          <w:p w14:paraId="21FD2128" w14:textId="08C99A94" w:rsidR="00725FBF" w:rsidRPr="006477A6" w:rsidRDefault="00FE7CE9" w:rsidP="006477A6">
            <w:pPr>
              <w:rPr>
                <w:sz w:val="18"/>
                <w:szCs w:val="22"/>
              </w:rPr>
            </w:pPr>
            <w:r w:rsidRPr="006477A6">
              <w:rPr>
                <w:sz w:val="18"/>
                <w:szCs w:val="22"/>
              </w:rPr>
              <w:t>Definition of anticipatory prescribing as used in guidance</w:t>
            </w:r>
          </w:p>
        </w:tc>
        <w:tc>
          <w:tcPr>
            <w:tcW w:w="5951" w:type="dxa"/>
          </w:tcPr>
          <w:p w14:paraId="06EDB5D4" w14:textId="6B0D0E2C" w:rsidR="00725FBF" w:rsidRPr="006477A6" w:rsidRDefault="00FE7CE9" w:rsidP="006477A6">
            <w:pPr>
              <w:cnfStyle w:val="000000000000" w:firstRow="0" w:lastRow="0" w:firstColumn="0" w:lastColumn="0" w:oddVBand="0" w:evenVBand="0" w:oddHBand="0" w:evenHBand="0" w:firstRowFirstColumn="0" w:firstRowLastColumn="0" w:lastRowFirstColumn="0" w:lastRowLastColumn="0"/>
              <w:rPr>
                <w:sz w:val="18"/>
                <w:szCs w:val="22"/>
              </w:rPr>
            </w:pPr>
            <w:r w:rsidRPr="006477A6">
              <w:rPr>
                <w:sz w:val="18"/>
                <w:szCs w:val="22"/>
              </w:rPr>
              <w:t>The definition was decided by voting within the expert working group.</w:t>
            </w:r>
          </w:p>
        </w:tc>
      </w:tr>
      <w:tr w:rsidR="00725FBF" w:rsidRPr="006477A6" w14:paraId="56368BE9"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4253" w:type="dxa"/>
          </w:tcPr>
          <w:p w14:paraId="102D137F" w14:textId="6E841AC1" w:rsidR="00725FBF" w:rsidRPr="006477A6" w:rsidRDefault="00FE7CE9" w:rsidP="006477A6">
            <w:pPr>
              <w:rPr>
                <w:sz w:val="18"/>
                <w:szCs w:val="22"/>
              </w:rPr>
            </w:pPr>
            <w:r w:rsidRPr="006477A6">
              <w:rPr>
                <w:sz w:val="18"/>
                <w:szCs w:val="22"/>
              </w:rPr>
              <w:t>Exclusion of oral medications in anticipatory prescribing from scope of guidance</w:t>
            </w:r>
          </w:p>
        </w:tc>
        <w:tc>
          <w:tcPr>
            <w:tcW w:w="5951" w:type="dxa"/>
          </w:tcPr>
          <w:p w14:paraId="2C51B918" w14:textId="4C7FBE1C" w:rsidR="00725FBF" w:rsidRPr="006477A6" w:rsidRDefault="00FE7CE9" w:rsidP="006477A6">
            <w:pPr>
              <w:cnfStyle w:val="000000000000" w:firstRow="0" w:lastRow="0" w:firstColumn="0" w:lastColumn="0" w:oddVBand="0" w:evenVBand="0" w:oddHBand="0" w:evenHBand="0" w:firstRowFirstColumn="0" w:firstRowLastColumn="0" w:lastRowFirstColumn="0" w:lastRowLastColumn="0"/>
              <w:rPr>
                <w:sz w:val="18"/>
                <w:szCs w:val="22"/>
              </w:rPr>
            </w:pPr>
            <w:r w:rsidRPr="006477A6">
              <w:rPr>
                <w:sz w:val="18"/>
                <w:szCs w:val="22"/>
              </w:rPr>
              <w:t>Consultation with experts from the working group supported the statements used in this guidance.</w:t>
            </w:r>
          </w:p>
        </w:tc>
      </w:tr>
      <w:tr w:rsidR="00725FBF" w:rsidRPr="006477A6" w14:paraId="46039E92"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4253" w:type="dxa"/>
          </w:tcPr>
          <w:p w14:paraId="05A23A59" w14:textId="7ABACB34" w:rsidR="00725FBF" w:rsidRPr="006477A6" w:rsidRDefault="00FE7CE9" w:rsidP="006477A6">
            <w:pPr>
              <w:rPr>
                <w:sz w:val="18"/>
                <w:szCs w:val="22"/>
              </w:rPr>
            </w:pPr>
            <w:r w:rsidRPr="006477A6">
              <w:rPr>
                <w:sz w:val="18"/>
                <w:szCs w:val="22"/>
              </w:rPr>
              <w:t>Exclusion of catastrophic events from scope of guidance</w:t>
            </w:r>
          </w:p>
        </w:tc>
        <w:tc>
          <w:tcPr>
            <w:tcW w:w="5951" w:type="dxa"/>
          </w:tcPr>
          <w:p w14:paraId="3BA50D7F" w14:textId="6D18F7B4" w:rsidR="00725FBF" w:rsidRPr="006477A6" w:rsidRDefault="00FE7CE9" w:rsidP="006477A6">
            <w:pPr>
              <w:cnfStyle w:val="000000000000" w:firstRow="0" w:lastRow="0" w:firstColumn="0" w:lastColumn="0" w:oddVBand="0" w:evenVBand="0" w:oddHBand="0" w:evenHBand="0" w:firstRowFirstColumn="0" w:firstRowLastColumn="0" w:lastRowFirstColumn="0" w:lastRowLastColumn="0"/>
              <w:rPr>
                <w:sz w:val="18"/>
                <w:szCs w:val="22"/>
              </w:rPr>
            </w:pPr>
            <w:r w:rsidRPr="006477A6">
              <w:rPr>
                <w:sz w:val="18"/>
                <w:szCs w:val="22"/>
              </w:rPr>
              <w:t>The management of catastrophic events is out of scope for this guidance.</w:t>
            </w:r>
          </w:p>
        </w:tc>
      </w:tr>
      <w:tr w:rsidR="00725FBF" w:rsidRPr="006477A6" w14:paraId="17AF9C38"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4253" w:type="dxa"/>
          </w:tcPr>
          <w:p w14:paraId="13E7344A" w14:textId="462665E1" w:rsidR="00725FBF" w:rsidRPr="006477A6" w:rsidRDefault="00FE7CE9" w:rsidP="006477A6">
            <w:pPr>
              <w:rPr>
                <w:sz w:val="18"/>
                <w:szCs w:val="22"/>
              </w:rPr>
            </w:pPr>
            <w:r w:rsidRPr="006477A6">
              <w:rPr>
                <w:sz w:val="18"/>
                <w:szCs w:val="22"/>
              </w:rPr>
              <w:t>Exclusion of carer availability to administer medications as a criterion for eligibility</w:t>
            </w:r>
          </w:p>
        </w:tc>
        <w:tc>
          <w:tcPr>
            <w:tcW w:w="5951" w:type="dxa"/>
          </w:tcPr>
          <w:p w14:paraId="27CDA7EB" w14:textId="037EBB90" w:rsidR="00725FBF" w:rsidRPr="006477A6" w:rsidRDefault="00FE7CE9" w:rsidP="006477A6">
            <w:pPr>
              <w:cnfStyle w:val="000000000000" w:firstRow="0" w:lastRow="0" w:firstColumn="0" w:lastColumn="0" w:oddVBand="0" w:evenVBand="0" w:oddHBand="0" w:evenHBand="0" w:firstRowFirstColumn="0" w:firstRowLastColumn="0" w:lastRowFirstColumn="0" w:lastRowLastColumn="0"/>
              <w:rPr>
                <w:sz w:val="18"/>
                <w:szCs w:val="22"/>
              </w:rPr>
            </w:pPr>
            <w:r w:rsidRPr="006477A6">
              <w:rPr>
                <w:sz w:val="18"/>
                <w:szCs w:val="22"/>
              </w:rPr>
              <w:t>Consultation with DHHS Palliative Care and expert working group members supported the statements used in this guidance.</w:t>
            </w:r>
          </w:p>
        </w:tc>
      </w:tr>
      <w:tr w:rsidR="00725FBF" w:rsidRPr="006477A6" w14:paraId="3FDE5213"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4253" w:type="dxa"/>
          </w:tcPr>
          <w:p w14:paraId="4708CC83" w14:textId="591A253B" w:rsidR="00725FBF" w:rsidRPr="006477A6" w:rsidRDefault="00D3478C" w:rsidP="006477A6">
            <w:pPr>
              <w:rPr>
                <w:sz w:val="18"/>
                <w:szCs w:val="22"/>
              </w:rPr>
            </w:pPr>
            <w:r w:rsidRPr="006477A6">
              <w:rPr>
                <w:sz w:val="18"/>
                <w:szCs w:val="22"/>
              </w:rPr>
              <w:t>Table 2: Challenges and solutions to obtaining anticipatory prescriptions and medications</w:t>
            </w:r>
          </w:p>
        </w:tc>
        <w:tc>
          <w:tcPr>
            <w:tcW w:w="5951" w:type="dxa"/>
          </w:tcPr>
          <w:p w14:paraId="379A91F6" w14:textId="3E52A29D" w:rsidR="00725FBF" w:rsidRPr="006477A6" w:rsidRDefault="00D3478C" w:rsidP="006477A6">
            <w:pPr>
              <w:cnfStyle w:val="000000000000" w:firstRow="0" w:lastRow="0" w:firstColumn="0" w:lastColumn="0" w:oddVBand="0" w:evenVBand="0" w:oddHBand="0" w:evenHBand="0" w:firstRowFirstColumn="0" w:firstRowLastColumn="0" w:lastRowFirstColumn="0" w:lastRowLastColumn="0"/>
              <w:rPr>
                <w:sz w:val="18"/>
                <w:szCs w:val="22"/>
              </w:rPr>
            </w:pPr>
            <w:r w:rsidRPr="006477A6">
              <w:rPr>
                <w:sz w:val="18"/>
                <w:szCs w:val="22"/>
              </w:rPr>
              <w:t>Consultation with DHHS Palliative Care and expert working group members, including pharmacists and healthcare practitioners from remote and regional areas, informed the development of the content in this table.</w:t>
            </w:r>
          </w:p>
        </w:tc>
      </w:tr>
      <w:tr w:rsidR="00725FBF" w:rsidRPr="006477A6" w14:paraId="4959C791"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4253" w:type="dxa"/>
          </w:tcPr>
          <w:p w14:paraId="4EFF7639" w14:textId="18BB90EE" w:rsidR="00725FBF" w:rsidRPr="006477A6" w:rsidRDefault="00D3478C" w:rsidP="006477A6">
            <w:pPr>
              <w:rPr>
                <w:sz w:val="18"/>
                <w:szCs w:val="22"/>
              </w:rPr>
            </w:pPr>
            <w:r w:rsidRPr="006477A6">
              <w:rPr>
                <w:sz w:val="18"/>
                <w:szCs w:val="22"/>
              </w:rPr>
              <w:t xml:space="preserve">Preparing and administering medications </w:t>
            </w:r>
            <w:r w:rsidR="009B2157" w:rsidRPr="006477A6">
              <w:rPr>
                <w:sz w:val="18"/>
                <w:szCs w:val="22"/>
              </w:rPr>
              <w:t xml:space="preserve">– </w:t>
            </w:r>
            <w:r w:rsidRPr="006477A6">
              <w:rPr>
                <w:sz w:val="18"/>
                <w:szCs w:val="22"/>
              </w:rPr>
              <w:t>healthcare practitioner role in preparing medications for later administration by carer</w:t>
            </w:r>
          </w:p>
        </w:tc>
        <w:tc>
          <w:tcPr>
            <w:tcW w:w="5951" w:type="dxa"/>
          </w:tcPr>
          <w:p w14:paraId="396741F3" w14:textId="47D0610B" w:rsidR="00725FBF" w:rsidRPr="006477A6" w:rsidRDefault="00D3478C" w:rsidP="006477A6">
            <w:pPr>
              <w:cnfStyle w:val="000000000000" w:firstRow="0" w:lastRow="0" w:firstColumn="0" w:lastColumn="0" w:oddVBand="0" w:evenVBand="0" w:oddHBand="0" w:evenHBand="0" w:firstRowFirstColumn="0" w:firstRowLastColumn="0" w:lastRowFirstColumn="0" w:lastRowLastColumn="0"/>
              <w:rPr>
                <w:sz w:val="18"/>
                <w:szCs w:val="22"/>
              </w:rPr>
            </w:pPr>
            <w:r w:rsidRPr="006477A6">
              <w:rPr>
                <w:sz w:val="18"/>
                <w:szCs w:val="22"/>
              </w:rPr>
              <w:t xml:space="preserve">Extensive consultation with DHHS Legal Services Branch, DHHS Medicines and Poisons Regulation, Health Protection </w:t>
            </w:r>
            <w:r w:rsidR="00483779" w:rsidRPr="006477A6">
              <w:rPr>
                <w:sz w:val="18"/>
                <w:szCs w:val="22"/>
              </w:rPr>
              <w:t>and</w:t>
            </w:r>
            <w:r w:rsidRPr="006477A6">
              <w:rPr>
                <w:sz w:val="18"/>
                <w:szCs w:val="22"/>
              </w:rPr>
              <w:t xml:space="preserve"> Emergency Management Division, DHHS Palliative Care and members of the multidisciplinary expert working group supported the statements used in this guidance.</w:t>
            </w:r>
          </w:p>
        </w:tc>
      </w:tr>
      <w:tr w:rsidR="00725FBF" w:rsidRPr="006477A6" w14:paraId="0BE13C0C"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4253" w:type="dxa"/>
          </w:tcPr>
          <w:p w14:paraId="1449D9AC" w14:textId="6B0C88DF" w:rsidR="00725FBF" w:rsidRPr="006477A6" w:rsidRDefault="00E32CFA" w:rsidP="006477A6">
            <w:pPr>
              <w:rPr>
                <w:sz w:val="18"/>
                <w:szCs w:val="22"/>
              </w:rPr>
            </w:pPr>
            <w:r w:rsidRPr="006477A6">
              <w:rPr>
                <w:sz w:val="18"/>
                <w:szCs w:val="22"/>
              </w:rPr>
              <w:t>Table 5: Patient’s own medication and stock medication</w:t>
            </w:r>
          </w:p>
        </w:tc>
        <w:tc>
          <w:tcPr>
            <w:tcW w:w="5951" w:type="dxa"/>
          </w:tcPr>
          <w:p w14:paraId="703066B6" w14:textId="7D683A41" w:rsidR="00725FBF" w:rsidRPr="006477A6" w:rsidRDefault="00E32CFA" w:rsidP="006477A6">
            <w:pPr>
              <w:cnfStyle w:val="000000000000" w:firstRow="0" w:lastRow="0" w:firstColumn="0" w:lastColumn="0" w:oddVBand="0" w:evenVBand="0" w:oddHBand="0" w:evenHBand="0" w:firstRowFirstColumn="0" w:firstRowLastColumn="0" w:lastRowFirstColumn="0" w:lastRowLastColumn="0"/>
              <w:rPr>
                <w:sz w:val="18"/>
                <w:szCs w:val="22"/>
              </w:rPr>
            </w:pPr>
            <w:r w:rsidRPr="006477A6">
              <w:rPr>
                <w:sz w:val="18"/>
                <w:szCs w:val="22"/>
              </w:rPr>
              <w:t>Extensive consultation with DHHS Medicines and Poisons Regulation, Health Protection &amp; Emergency Management Division and members of the multidisciplinary expert working group (including pharmacy) supported the content of this table.</w:t>
            </w:r>
          </w:p>
        </w:tc>
      </w:tr>
      <w:tr w:rsidR="00E32CFA" w:rsidRPr="006477A6" w14:paraId="65084E8E" w14:textId="77777777" w:rsidTr="00E32CFA">
        <w:trPr>
          <w:cantSplit/>
        </w:trPr>
        <w:tc>
          <w:tcPr>
            <w:cnfStyle w:val="001000000000" w:firstRow="0" w:lastRow="0" w:firstColumn="1" w:lastColumn="0" w:oddVBand="0" w:evenVBand="0" w:oddHBand="0" w:evenHBand="0" w:firstRowFirstColumn="0" w:firstRowLastColumn="0" w:lastRowFirstColumn="0" w:lastRowLastColumn="0"/>
            <w:tcW w:w="4253" w:type="dxa"/>
          </w:tcPr>
          <w:p w14:paraId="38E67478" w14:textId="1F665B3E" w:rsidR="00E32CFA" w:rsidRPr="006477A6" w:rsidRDefault="00E32CFA" w:rsidP="006477A6">
            <w:pPr>
              <w:rPr>
                <w:sz w:val="18"/>
                <w:szCs w:val="22"/>
              </w:rPr>
            </w:pPr>
            <w:r w:rsidRPr="006477A6">
              <w:rPr>
                <w:sz w:val="18"/>
                <w:szCs w:val="22"/>
              </w:rPr>
              <w:lastRenderedPageBreak/>
              <w:t>Appendix 2: Drugs commonly used as anticipatory medicines</w:t>
            </w:r>
          </w:p>
        </w:tc>
        <w:tc>
          <w:tcPr>
            <w:tcW w:w="5951" w:type="dxa"/>
          </w:tcPr>
          <w:p w14:paraId="7C0EF635" w14:textId="64A66369" w:rsidR="00E32CFA" w:rsidRPr="006477A6" w:rsidRDefault="00E32CFA" w:rsidP="006477A6">
            <w:pPr>
              <w:cnfStyle w:val="000000000000" w:firstRow="0" w:lastRow="0" w:firstColumn="0" w:lastColumn="0" w:oddVBand="0" w:evenVBand="0" w:oddHBand="0" w:evenHBand="0" w:firstRowFirstColumn="0" w:firstRowLastColumn="0" w:lastRowFirstColumn="0" w:lastRowLastColumn="0"/>
              <w:rPr>
                <w:sz w:val="18"/>
                <w:szCs w:val="22"/>
              </w:rPr>
            </w:pPr>
            <w:r w:rsidRPr="006477A6">
              <w:rPr>
                <w:sz w:val="18"/>
                <w:szCs w:val="22"/>
              </w:rPr>
              <w:t>Consultation with a wide range of experts including members of the multidisciplinary expert working group (including pharmacy), sector leaders and palliative care services involved in testing guidance</w:t>
            </w:r>
            <w:r w:rsidR="00DC3228" w:rsidRPr="006477A6">
              <w:rPr>
                <w:sz w:val="18"/>
                <w:szCs w:val="22"/>
              </w:rPr>
              <w:t>,</w:t>
            </w:r>
            <w:r w:rsidRPr="006477A6">
              <w:rPr>
                <w:sz w:val="18"/>
                <w:szCs w:val="22"/>
              </w:rPr>
              <w:t xml:space="preserve"> supported the content in this section of the guidance.</w:t>
            </w:r>
          </w:p>
        </w:tc>
      </w:tr>
    </w:tbl>
    <w:p w14:paraId="61D47880" w14:textId="4889FB56" w:rsidR="003E36BE" w:rsidRDefault="003E36BE" w:rsidP="006477A6">
      <w:pPr>
        <w:pStyle w:val="Heading3"/>
      </w:pPr>
      <w:r>
        <w:t>Endorsement</w:t>
      </w:r>
    </w:p>
    <w:p w14:paraId="2F1FC1AF" w14:textId="48A2447E" w:rsidR="003E36BE" w:rsidRDefault="003E36BE" w:rsidP="006477A6">
      <w:pPr>
        <w:pStyle w:val="Normalfollowingheading"/>
      </w:pPr>
      <w:r>
        <w:t xml:space="preserve">The guidance was endorsed by </w:t>
      </w:r>
      <w:r w:rsidR="00AF481D">
        <w:t>DHHS</w:t>
      </w:r>
      <w:r>
        <w:t xml:space="preserve"> Palliative </w:t>
      </w:r>
      <w:r w:rsidR="00AF481D">
        <w:t>C</w:t>
      </w:r>
      <w:r>
        <w:t xml:space="preserve">are </w:t>
      </w:r>
      <w:r w:rsidR="00AF481D">
        <w:t xml:space="preserve">Unit </w:t>
      </w:r>
      <w:r>
        <w:t>and the Palliative Care Clinical Network Governance Committee in January 2020</w:t>
      </w:r>
      <w:r w:rsidR="00AF481D">
        <w:t>.</w:t>
      </w:r>
    </w:p>
    <w:p w14:paraId="272E9D6D" w14:textId="13306CD8" w:rsidR="003E36BE" w:rsidRDefault="003E36BE" w:rsidP="006477A6">
      <w:pPr>
        <w:pStyle w:val="Heading2"/>
      </w:pPr>
      <w:r>
        <w:t>Consumer information</w:t>
      </w:r>
    </w:p>
    <w:p w14:paraId="3358BD87" w14:textId="14FE2E5F" w:rsidR="003E36BE" w:rsidRDefault="003E36BE" w:rsidP="006477A6">
      <w:pPr>
        <w:pStyle w:val="Normalfollowingheading"/>
      </w:pPr>
      <w:r>
        <w:t>Two consumers were involved in the expert working group phase of this project and provided consumer insights as the guidance document was drafted.</w:t>
      </w:r>
    </w:p>
    <w:p w14:paraId="6B1B86B1" w14:textId="07430D0D" w:rsidR="003E36BE" w:rsidRDefault="003E36BE" w:rsidP="006477A6">
      <w:pPr>
        <w:pStyle w:val="Heading2"/>
      </w:pPr>
      <w:r>
        <w:t>Review</w:t>
      </w:r>
    </w:p>
    <w:p w14:paraId="5B6D7FDF" w14:textId="46702FBC" w:rsidR="003E36BE" w:rsidRDefault="003E36BE" w:rsidP="006477A6">
      <w:pPr>
        <w:pStyle w:val="Normalfollowingheading"/>
      </w:pPr>
      <w:r>
        <w:t>At the time of development, the expert working group determined that the guidance will be reviewed by the</w:t>
      </w:r>
      <w:r w:rsidR="00AF481D">
        <w:t xml:space="preserve"> Palliative Care Clinical Network </w:t>
      </w:r>
      <w:r>
        <w:t xml:space="preserve">Governance Committee every </w:t>
      </w:r>
      <w:r w:rsidR="00AF481D">
        <w:t>five</w:t>
      </w:r>
      <w:r>
        <w:t xml:space="preserve"> years, or more frequently if required, to reflect any changes in evidence and best practice.</w:t>
      </w:r>
    </w:p>
    <w:p w14:paraId="7A534A47" w14:textId="68558C83" w:rsidR="003E36BE" w:rsidRDefault="003E36BE" w:rsidP="006477A6">
      <w:r>
        <w:br w:type="page"/>
      </w:r>
    </w:p>
    <w:p w14:paraId="175775F8" w14:textId="4701BB61" w:rsidR="003E36BE" w:rsidRPr="003E36BE" w:rsidRDefault="00F00634" w:rsidP="006477A6">
      <w:pPr>
        <w:pStyle w:val="Heading1"/>
        <w:framePr w:wrap="around"/>
      </w:pPr>
      <w:r>
        <w:lastRenderedPageBreak/>
        <w:t xml:space="preserve">2. </w:t>
      </w:r>
      <w:r w:rsidR="003E36BE" w:rsidRPr="003E36BE">
        <w:t>Supporting health services</w:t>
      </w:r>
      <w:r>
        <w:t xml:space="preserve"> to</w:t>
      </w:r>
      <w:r w:rsidR="003E36BE" w:rsidRPr="003E36BE">
        <w:t xml:space="preserve"> implement guidance</w:t>
      </w:r>
    </w:p>
    <w:p w14:paraId="74D5502C" w14:textId="77777777" w:rsidR="003E36BE" w:rsidRDefault="003E36BE" w:rsidP="006477A6">
      <w:pPr>
        <w:pStyle w:val="Heading2"/>
      </w:pPr>
      <w:r>
        <w:t>Implementation</w:t>
      </w:r>
    </w:p>
    <w:p w14:paraId="3EE5E60E" w14:textId="7A6E7770" w:rsidR="003E36BE" w:rsidRDefault="003E36BE" w:rsidP="006477A6">
      <w:pPr>
        <w:pStyle w:val="Normalfollowingheading"/>
      </w:pPr>
      <w:r>
        <w:t xml:space="preserve">As part of </w:t>
      </w:r>
      <w:r w:rsidR="00360579">
        <w:t xml:space="preserve">our </w:t>
      </w:r>
      <w:r>
        <w:t>implementation activity, two community palliative care services participated in the clinical testing and refinement of the guidance</w:t>
      </w:r>
      <w:r w:rsidR="00AF481D">
        <w:t>.</w:t>
      </w:r>
    </w:p>
    <w:p w14:paraId="14B786B3" w14:textId="59696670" w:rsidR="003E36BE" w:rsidRDefault="003E36BE" w:rsidP="006477A6">
      <w:r>
        <w:t xml:space="preserve">The aim of the testing was to develop guidance </w:t>
      </w:r>
      <w:r w:rsidR="00360579">
        <w:t xml:space="preserve">to </w:t>
      </w:r>
      <w:r>
        <w:t>support clinicians in participating health services to increase the number of patients with anticipatory medicines in place, by December 2019</w:t>
      </w:r>
      <w:r w:rsidR="00AF481D">
        <w:t>.</w:t>
      </w:r>
    </w:p>
    <w:p w14:paraId="5FB72BCF" w14:textId="68928DCF" w:rsidR="003E36BE" w:rsidRDefault="003E36BE" w:rsidP="006477A6">
      <w:r>
        <w:t>A measurement strategy and data collection tool were developed</w:t>
      </w:r>
      <w:r w:rsidR="00AF481D">
        <w:t>.</w:t>
      </w:r>
    </w:p>
    <w:p w14:paraId="1118998A" w14:textId="705D6E62" w:rsidR="003E36BE" w:rsidRDefault="003E36BE" w:rsidP="006477A6">
      <w:r>
        <w:t xml:space="preserve">Health services collected data in order to identify and test change ideas. Data collection involved: </w:t>
      </w:r>
    </w:p>
    <w:p w14:paraId="77C707D7" w14:textId="7F1C53F6" w:rsidR="003E36BE" w:rsidRDefault="00AF481D" w:rsidP="006477A6">
      <w:pPr>
        <w:pStyle w:val="Bullet1"/>
      </w:pPr>
      <w:r>
        <w:t>b</w:t>
      </w:r>
      <w:r w:rsidR="003E36BE">
        <w:t>aseline data collection – retrospective audit of 20 consecutive days of service</w:t>
      </w:r>
    </w:p>
    <w:p w14:paraId="2984B29A" w14:textId="6FE96179" w:rsidR="003E36BE" w:rsidRDefault="00AF481D" w:rsidP="006477A6">
      <w:pPr>
        <w:pStyle w:val="Bullet1"/>
      </w:pPr>
      <w:r>
        <w:t>d</w:t>
      </w:r>
      <w:r w:rsidR="003E36BE">
        <w:t>aily data collection over a period of five weeks</w:t>
      </w:r>
      <w:r>
        <w:t>.</w:t>
      </w:r>
    </w:p>
    <w:p w14:paraId="62C47C35" w14:textId="5B12B698" w:rsidR="003E36BE" w:rsidRDefault="003E36BE" w:rsidP="006477A6">
      <w:r>
        <w:t>As a result of testing, one health service increased their percentage of eligible patients with anticipatory medicines in place from 13</w:t>
      </w:r>
      <w:r w:rsidR="00AF481D">
        <w:t xml:space="preserve"> per cent</w:t>
      </w:r>
      <w:r>
        <w:t xml:space="preserve"> to 29</w:t>
      </w:r>
      <w:r w:rsidR="00AF481D">
        <w:t xml:space="preserve"> per cent</w:t>
      </w:r>
      <w:r>
        <w:t>.</w:t>
      </w:r>
    </w:p>
    <w:p w14:paraId="26DDFB49" w14:textId="77F3C80C" w:rsidR="003E36BE" w:rsidRDefault="003E36BE" w:rsidP="006477A6">
      <w:r>
        <w:t>Several change ideas were identified during the testing period. These included</w:t>
      </w:r>
      <w:r w:rsidR="00AF481D">
        <w:t>:</w:t>
      </w:r>
    </w:p>
    <w:p w14:paraId="2CFDE6ED" w14:textId="007645AF" w:rsidR="003E36BE" w:rsidRDefault="00AF481D" w:rsidP="006477A6">
      <w:pPr>
        <w:pStyle w:val="Bullet1"/>
      </w:pPr>
      <w:r>
        <w:t>d</w:t>
      </w:r>
      <w:r w:rsidR="003E36BE">
        <w:t>evelopment of an eligibility checklist</w:t>
      </w:r>
    </w:p>
    <w:p w14:paraId="2390EFE9" w14:textId="69841B01" w:rsidR="003E36BE" w:rsidRDefault="00AF481D" w:rsidP="006477A6">
      <w:pPr>
        <w:pStyle w:val="Bullet1"/>
      </w:pPr>
      <w:r>
        <w:t>a</w:t>
      </w:r>
      <w:r w:rsidR="003E36BE">
        <w:t>ddition of a team huddle that identified patients requiring injectable medicines</w:t>
      </w:r>
    </w:p>
    <w:p w14:paraId="0A508102" w14:textId="7F9F587D" w:rsidR="003E36BE" w:rsidRDefault="00AF481D" w:rsidP="006477A6">
      <w:pPr>
        <w:pStyle w:val="Bullet1"/>
      </w:pPr>
      <w:r>
        <w:t>a</w:t>
      </w:r>
      <w:r w:rsidR="003E36BE">
        <w:t xml:space="preserve">ddition of a </w:t>
      </w:r>
      <w:r>
        <w:t>‘</w:t>
      </w:r>
      <w:r w:rsidR="003E36BE">
        <w:t>flag</w:t>
      </w:r>
      <w:r>
        <w:t>’</w:t>
      </w:r>
      <w:r w:rsidR="003E36BE">
        <w:t xml:space="preserve"> on the electronic patient management system to identify patients requiring follow up re: anticipatory medicines</w:t>
      </w:r>
      <w:r>
        <w:t>.</w:t>
      </w:r>
    </w:p>
    <w:p w14:paraId="5FADC219" w14:textId="77777777" w:rsidR="003E36BE" w:rsidRDefault="003E36BE" w:rsidP="006477A6">
      <w:pPr>
        <w:pStyle w:val="Heading2"/>
      </w:pPr>
      <w:r>
        <w:t>Dissemination</w:t>
      </w:r>
    </w:p>
    <w:p w14:paraId="25F1F209" w14:textId="2CC07181" w:rsidR="003E36BE" w:rsidRDefault="003E36BE" w:rsidP="006477A6">
      <w:pPr>
        <w:pStyle w:val="Normalfollowingheading"/>
      </w:pPr>
      <w:r>
        <w:t>The guidance will be uploaded to the SCV website</w:t>
      </w:r>
      <w:r w:rsidR="00AF481D">
        <w:t>.</w:t>
      </w:r>
    </w:p>
    <w:p w14:paraId="4DDF1431" w14:textId="40E51A93" w:rsidR="003E36BE" w:rsidRDefault="003E36BE" w:rsidP="006477A6">
      <w:r>
        <w:t>Promotion of the new guidance will occur via SCV social media and newsletter platforms</w:t>
      </w:r>
      <w:r w:rsidR="00AF481D">
        <w:t>.</w:t>
      </w:r>
    </w:p>
    <w:p w14:paraId="02167C3D" w14:textId="3039636D" w:rsidR="003E36BE" w:rsidRDefault="003E36BE" w:rsidP="006477A6">
      <w:r>
        <w:t>Health services are encouraged to link to the guidance page on the SCV website in their local policies and education packages</w:t>
      </w:r>
      <w:r w:rsidR="00AF481D">
        <w:t>.</w:t>
      </w:r>
    </w:p>
    <w:p w14:paraId="33A8DADF" w14:textId="24A82743" w:rsidR="003E36BE" w:rsidRDefault="003E36BE" w:rsidP="006477A6">
      <w:r>
        <w:t>A webinar will be held to introduce the guidance to the sector</w:t>
      </w:r>
      <w:r w:rsidR="00AF481D">
        <w:t>.</w:t>
      </w:r>
    </w:p>
    <w:p w14:paraId="7A375529" w14:textId="569F0E1A" w:rsidR="003E36BE" w:rsidRDefault="003E36BE" w:rsidP="006477A6">
      <w:pPr>
        <w:pStyle w:val="Heading2"/>
      </w:pPr>
      <w:r>
        <w:t>Measuring th</w:t>
      </w:r>
      <w:r w:rsidR="00C5016E">
        <w:t>e</w:t>
      </w:r>
      <w:r>
        <w:t xml:space="preserve"> impact of our guidance</w:t>
      </w:r>
    </w:p>
    <w:p w14:paraId="34ED50A7" w14:textId="77777777" w:rsidR="003E36BE" w:rsidRDefault="003E36BE" w:rsidP="006477A6">
      <w:pPr>
        <w:pStyle w:val="Heading3"/>
      </w:pPr>
      <w:r>
        <w:t>Evaluation strategy</w:t>
      </w:r>
    </w:p>
    <w:p w14:paraId="0F3BD66F" w14:textId="47258C98" w:rsidR="003E36BE" w:rsidRDefault="003E36BE" w:rsidP="006477A6">
      <w:pPr>
        <w:pStyle w:val="Normalfollowingheading"/>
      </w:pPr>
      <w:r>
        <w:t xml:space="preserve">The guidance will be available to health services </w:t>
      </w:r>
      <w:r w:rsidR="00AF481D">
        <w:t>on</w:t>
      </w:r>
      <w:r>
        <w:t xml:space="preserve"> the SCV website to use and adopt into their local policies.</w:t>
      </w:r>
    </w:p>
    <w:p w14:paraId="1FBA6AFF" w14:textId="14E61ABB" w:rsidR="003E36BE" w:rsidRDefault="003E36BE" w:rsidP="006477A6">
      <w:r>
        <w:t xml:space="preserve">In addition to the completed testing with two health services, a </w:t>
      </w:r>
      <w:r w:rsidR="00AF481D">
        <w:t>‘</w:t>
      </w:r>
      <w:r>
        <w:t>pulse check</w:t>
      </w:r>
      <w:r w:rsidR="00AF481D">
        <w:t>’</w:t>
      </w:r>
      <w:r>
        <w:t xml:space="preserve"> survey will be conducted </w:t>
      </w:r>
      <w:r w:rsidR="00AF481D">
        <w:t>six</w:t>
      </w:r>
      <w:r>
        <w:t xml:space="preserve"> months after the guidance is published to determine u</w:t>
      </w:r>
      <w:r w:rsidR="00AF481D">
        <w:t>se/</w:t>
      </w:r>
      <w:r>
        <w:t>reach.</w:t>
      </w:r>
    </w:p>
    <w:p w14:paraId="4DA77793" w14:textId="77777777" w:rsidR="003E36BE" w:rsidRDefault="003E36BE" w:rsidP="006477A6">
      <w:pPr>
        <w:pStyle w:val="Heading3"/>
      </w:pPr>
      <w:r>
        <w:lastRenderedPageBreak/>
        <w:t xml:space="preserve">Auditable measures </w:t>
      </w:r>
    </w:p>
    <w:p w14:paraId="2CA3326C" w14:textId="0C2E9B1E" w:rsidR="003E36BE" w:rsidRDefault="003E36BE" w:rsidP="006477A6">
      <w:pPr>
        <w:pStyle w:val="Normalfollowingheading"/>
      </w:pPr>
      <w:r>
        <w:t>The list below of locally collected measures may assist services to locally govern and monitor quality and safety in palliative care.</w:t>
      </w:r>
    </w:p>
    <w:p w14:paraId="176BEF31" w14:textId="79CEF366" w:rsidR="003E36BE" w:rsidRDefault="003E36BE" w:rsidP="006477A6">
      <w:r>
        <w:t xml:space="preserve">These measures were tested as part of a </w:t>
      </w:r>
      <w:proofErr w:type="spellStart"/>
      <w:r>
        <w:t>smallscale</w:t>
      </w:r>
      <w:proofErr w:type="spellEnd"/>
      <w:r>
        <w:t xml:space="preserve"> improvement project</w:t>
      </w:r>
      <w:r w:rsidR="00C5016E">
        <w:t>.</w:t>
      </w:r>
    </w:p>
    <w:p w14:paraId="0E80E778" w14:textId="77777777" w:rsidR="00C5016E" w:rsidRDefault="00C5016E" w:rsidP="006477A6">
      <w:r>
        <w:t>Data is collected for all eligible* patients seen on each day of service.</w:t>
      </w:r>
    </w:p>
    <w:p w14:paraId="34FC6E35" w14:textId="5B821439" w:rsidR="003E36BE" w:rsidRPr="003E36BE" w:rsidRDefault="00C5016E" w:rsidP="006477A6">
      <w:pPr>
        <w:pStyle w:val="Tablechartdiagramheading"/>
      </w:pPr>
      <w:r>
        <w:t xml:space="preserve">Table </w:t>
      </w:r>
      <w:r w:rsidR="00C8111B">
        <w:t>3</w:t>
      </w:r>
      <w:r>
        <w:t>: Auditable measures</w:t>
      </w:r>
    </w:p>
    <w:tbl>
      <w:tblPr>
        <w:tblStyle w:val="TableGrid1"/>
        <w:tblW w:w="9478" w:type="dxa"/>
        <w:tblLook w:val="04A0" w:firstRow="1" w:lastRow="0" w:firstColumn="1" w:lastColumn="0" w:noHBand="0" w:noVBand="1"/>
      </w:tblPr>
      <w:tblGrid>
        <w:gridCol w:w="3535"/>
        <w:gridCol w:w="5943"/>
      </w:tblGrid>
      <w:tr w:rsidR="003E36BE" w:rsidRPr="00C8111B" w14:paraId="59EE047C" w14:textId="77777777" w:rsidTr="00C50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shd w:val="clear" w:color="auto" w:fill="CCE3E7" w:themeFill="accent2" w:themeFillTint="66"/>
          </w:tcPr>
          <w:p w14:paraId="0132ACC2" w14:textId="77777777" w:rsidR="003E36BE" w:rsidRPr="00C8111B" w:rsidRDefault="003E36BE" w:rsidP="006477A6">
            <w:r w:rsidRPr="00C8111B">
              <w:t xml:space="preserve">Measure </w:t>
            </w:r>
          </w:p>
        </w:tc>
        <w:tc>
          <w:tcPr>
            <w:tcW w:w="5943" w:type="dxa"/>
            <w:shd w:val="clear" w:color="auto" w:fill="CCE3E7" w:themeFill="accent2" w:themeFillTint="66"/>
          </w:tcPr>
          <w:p w14:paraId="101A3EF5" w14:textId="77777777" w:rsidR="003E36BE" w:rsidRPr="00C8111B" w:rsidRDefault="003E36BE" w:rsidP="006477A6">
            <w:pPr>
              <w:cnfStyle w:val="100000000000" w:firstRow="1" w:lastRow="0" w:firstColumn="0" w:lastColumn="0" w:oddVBand="0" w:evenVBand="0" w:oddHBand="0" w:evenHBand="0" w:firstRowFirstColumn="0" w:firstRowLastColumn="0" w:lastRowFirstColumn="0" w:lastRowLastColumn="0"/>
            </w:pPr>
            <w:r w:rsidRPr="00C8111B">
              <w:t xml:space="preserve">Numerator/Denominator </w:t>
            </w:r>
          </w:p>
        </w:tc>
      </w:tr>
      <w:tr w:rsidR="003E36BE" w:rsidRPr="00C8111B" w14:paraId="04E59A4C" w14:textId="77777777" w:rsidTr="00C5016E">
        <w:tc>
          <w:tcPr>
            <w:cnfStyle w:val="001000000000" w:firstRow="0" w:lastRow="0" w:firstColumn="1" w:lastColumn="0" w:oddVBand="0" w:evenVBand="0" w:oddHBand="0" w:evenHBand="0" w:firstRowFirstColumn="0" w:firstRowLastColumn="0" w:lastRowFirstColumn="0" w:lastRowLastColumn="0"/>
            <w:tcW w:w="9478" w:type="dxa"/>
            <w:gridSpan w:val="2"/>
            <w:shd w:val="clear" w:color="auto" w:fill="EDF5F7" w:themeFill="background2"/>
          </w:tcPr>
          <w:p w14:paraId="741FD970" w14:textId="39CE0940" w:rsidR="003E36BE" w:rsidRPr="00C8111B" w:rsidRDefault="00C5016E" w:rsidP="006477A6">
            <w:pPr>
              <w:rPr>
                <w:bCs/>
              </w:rPr>
            </w:pPr>
            <w:r w:rsidRPr="00C8111B">
              <w:t>Outcome measures</w:t>
            </w:r>
          </w:p>
        </w:tc>
      </w:tr>
      <w:tr w:rsidR="003E36BE" w:rsidRPr="00C8111B" w14:paraId="55FAA012" w14:textId="77777777" w:rsidTr="00C5016E">
        <w:tblPrEx>
          <w:tblCellMar>
            <w:left w:w="108" w:type="dxa"/>
            <w:right w:w="108" w:type="dxa"/>
          </w:tblCellMar>
        </w:tblPrEx>
        <w:trPr>
          <w:trHeight w:val="794"/>
        </w:trPr>
        <w:tc>
          <w:tcPr>
            <w:cnfStyle w:val="001000000000" w:firstRow="0" w:lastRow="0" w:firstColumn="1" w:lastColumn="0" w:oddVBand="0" w:evenVBand="0" w:oddHBand="0" w:evenHBand="0" w:firstRowFirstColumn="0" w:firstRowLastColumn="0" w:lastRowFirstColumn="0" w:lastRowLastColumn="0"/>
            <w:tcW w:w="3535" w:type="dxa"/>
            <w:shd w:val="clear" w:color="auto" w:fill="auto"/>
          </w:tcPr>
          <w:p w14:paraId="775D0BC8" w14:textId="77777777" w:rsidR="003E36BE" w:rsidRPr="006477A6" w:rsidRDefault="003E36BE" w:rsidP="006477A6">
            <w:pPr>
              <w:pStyle w:val="ListParagraph"/>
              <w:numPr>
                <w:ilvl w:val="0"/>
                <w:numId w:val="12"/>
              </w:numPr>
            </w:pPr>
            <w:bookmarkStart w:id="3" w:name="_Hlk17879612"/>
            <w:r w:rsidRPr="006477A6">
              <w:t>Percentage of eligible* patients with anticipatory medicines in place at their residence</w:t>
            </w:r>
            <w:bookmarkEnd w:id="3"/>
          </w:p>
        </w:tc>
        <w:tc>
          <w:tcPr>
            <w:tcW w:w="5943" w:type="dxa"/>
            <w:shd w:val="clear" w:color="auto" w:fill="auto"/>
          </w:tcPr>
          <w:p w14:paraId="4799DE02" w14:textId="29201F0A"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pPr>
            <w:r w:rsidRPr="00C8111B">
              <w:t>Numerator: Number of eligible* patients with anticipatory medicines in place at their residence</w:t>
            </w:r>
          </w:p>
          <w:p w14:paraId="74E6D15C" w14:textId="77777777"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rPr>
                <w:b/>
              </w:rPr>
            </w:pPr>
            <w:r w:rsidRPr="00C8111B">
              <w:t xml:space="preserve">Denominator: Number of patients identified as eligible* </w:t>
            </w:r>
            <w:r w:rsidRPr="00C8111B">
              <w:rPr>
                <w:rFonts w:eastAsiaTheme="minorEastAsia"/>
                <w:lang w:eastAsia="en-AU"/>
              </w:rPr>
              <w:t>for anticipatory medicines</w:t>
            </w:r>
          </w:p>
        </w:tc>
      </w:tr>
      <w:tr w:rsidR="003E36BE" w:rsidRPr="00C8111B" w14:paraId="64725379" w14:textId="77777777" w:rsidTr="00C5016E">
        <w:tc>
          <w:tcPr>
            <w:cnfStyle w:val="001000000000" w:firstRow="0" w:lastRow="0" w:firstColumn="1" w:lastColumn="0" w:oddVBand="0" w:evenVBand="0" w:oddHBand="0" w:evenHBand="0" w:firstRowFirstColumn="0" w:firstRowLastColumn="0" w:lastRowFirstColumn="0" w:lastRowLastColumn="0"/>
            <w:tcW w:w="3535" w:type="dxa"/>
            <w:shd w:val="clear" w:color="auto" w:fill="EDF5F7" w:themeFill="background2"/>
          </w:tcPr>
          <w:p w14:paraId="0ADBB0E1" w14:textId="0D438049" w:rsidR="003E36BE" w:rsidRPr="00C8111B" w:rsidRDefault="00C5016E" w:rsidP="006477A6">
            <w:r w:rsidRPr="00C8111B">
              <w:t>Process measures</w:t>
            </w:r>
          </w:p>
        </w:tc>
        <w:tc>
          <w:tcPr>
            <w:tcW w:w="5943" w:type="dxa"/>
            <w:shd w:val="clear" w:color="auto" w:fill="EDF5F7" w:themeFill="background2"/>
          </w:tcPr>
          <w:p w14:paraId="291D4F27" w14:textId="77777777"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pPr>
          </w:p>
        </w:tc>
      </w:tr>
      <w:tr w:rsidR="003E36BE" w:rsidRPr="00C8111B" w14:paraId="6A97B6FC" w14:textId="77777777" w:rsidTr="00C5016E">
        <w:trPr>
          <w:trHeight w:val="794"/>
        </w:trPr>
        <w:tc>
          <w:tcPr>
            <w:cnfStyle w:val="001000000000" w:firstRow="0" w:lastRow="0" w:firstColumn="1" w:lastColumn="0" w:oddVBand="0" w:evenVBand="0" w:oddHBand="0" w:evenHBand="0" w:firstRowFirstColumn="0" w:firstRowLastColumn="0" w:lastRowFirstColumn="0" w:lastRowLastColumn="0"/>
            <w:tcW w:w="3535" w:type="dxa"/>
          </w:tcPr>
          <w:p w14:paraId="10F92DAA" w14:textId="77777777" w:rsidR="003E36BE" w:rsidRPr="006477A6" w:rsidRDefault="003E36BE" w:rsidP="006477A6">
            <w:pPr>
              <w:pStyle w:val="ListParagraph"/>
              <w:numPr>
                <w:ilvl w:val="0"/>
                <w:numId w:val="12"/>
              </w:numPr>
              <w:rPr>
                <w:lang w:eastAsia="en-AU"/>
              </w:rPr>
            </w:pPr>
            <w:bookmarkStart w:id="4" w:name="_Hlk17886574"/>
            <w:r w:rsidRPr="006477A6">
              <w:rPr>
                <w:lang w:eastAsia="en-AU"/>
              </w:rPr>
              <w:t>Percentage of patients documented as eligible* for anticipatory medicines</w:t>
            </w:r>
            <w:bookmarkEnd w:id="4"/>
          </w:p>
        </w:tc>
        <w:tc>
          <w:tcPr>
            <w:tcW w:w="5943" w:type="dxa"/>
          </w:tcPr>
          <w:p w14:paraId="42598B07" w14:textId="773B6315"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rPr>
                <w:lang w:eastAsia="en-AU"/>
              </w:rPr>
            </w:pPr>
            <w:r w:rsidRPr="00C8111B">
              <w:t xml:space="preserve">Numerator: </w:t>
            </w:r>
            <w:r w:rsidRPr="00C8111B">
              <w:rPr>
                <w:lang w:eastAsia="en-AU"/>
              </w:rPr>
              <w:t xml:space="preserve">Number of patients identified as eligible* for anticipatory medicines </w:t>
            </w:r>
          </w:p>
          <w:p w14:paraId="00377532" w14:textId="77777777"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pPr>
            <w:r w:rsidRPr="00C8111B">
              <w:t xml:space="preserve">Denominator: </w:t>
            </w:r>
            <w:r w:rsidRPr="00C8111B">
              <w:rPr>
                <w:lang w:eastAsia="en-AU"/>
              </w:rPr>
              <w:t>Total number of patients</w:t>
            </w:r>
          </w:p>
        </w:tc>
      </w:tr>
      <w:tr w:rsidR="003E36BE" w:rsidRPr="00C8111B" w14:paraId="6ACD5925" w14:textId="77777777" w:rsidTr="00C5016E">
        <w:trPr>
          <w:trHeight w:val="794"/>
        </w:trPr>
        <w:tc>
          <w:tcPr>
            <w:cnfStyle w:val="001000000000" w:firstRow="0" w:lastRow="0" w:firstColumn="1" w:lastColumn="0" w:oddVBand="0" w:evenVBand="0" w:oddHBand="0" w:evenHBand="0" w:firstRowFirstColumn="0" w:firstRowLastColumn="0" w:lastRowFirstColumn="0" w:lastRowLastColumn="0"/>
            <w:tcW w:w="3535" w:type="dxa"/>
          </w:tcPr>
          <w:p w14:paraId="5953C7C0" w14:textId="77777777" w:rsidR="003E36BE" w:rsidRPr="006477A6" w:rsidRDefault="003E36BE" w:rsidP="006477A6">
            <w:pPr>
              <w:pStyle w:val="ListParagraph"/>
              <w:numPr>
                <w:ilvl w:val="0"/>
                <w:numId w:val="12"/>
              </w:numPr>
              <w:rPr>
                <w:lang w:eastAsia="en-AU"/>
              </w:rPr>
            </w:pPr>
            <w:bookmarkStart w:id="5" w:name="_Hlk17888084"/>
            <w:r w:rsidRPr="006477A6">
              <w:rPr>
                <w:lang w:eastAsia="en-AU"/>
              </w:rPr>
              <w:t>Percentage of prescriptions written for anticipatory medicines</w:t>
            </w:r>
            <w:bookmarkEnd w:id="5"/>
          </w:p>
        </w:tc>
        <w:tc>
          <w:tcPr>
            <w:tcW w:w="5943" w:type="dxa"/>
          </w:tcPr>
          <w:p w14:paraId="7E22EFAE" w14:textId="3C5522AD"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pPr>
            <w:r w:rsidRPr="00C8111B">
              <w:t xml:space="preserve">Numerator: </w:t>
            </w:r>
            <w:r w:rsidRPr="00C8111B">
              <w:rPr>
                <w:lang w:eastAsia="en-AU"/>
              </w:rPr>
              <w:t>Number of eligible* patients with written prescriptions for anticipatory medicines</w:t>
            </w:r>
          </w:p>
          <w:p w14:paraId="1D51EBBC" w14:textId="77777777"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pPr>
            <w:r w:rsidRPr="00C8111B">
              <w:t xml:space="preserve">Denominator: </w:t>
            </w:r>
            <w:r w:rsidRPr="00C8111B">
              <w:rPr>
                <w:lang w:eastAsia="en-AU"/>
              </w:rPr>
              <w:t>Number of patients identified as eligible* for anticipatory medicines</w:t>
            </w:r>
          </w:p>
        </w:tc>
      </w:tr>
      <w:tr w:rsidR="003E36BE" w:rsidRPr="00C8111B" w14:paraId="2B9B2E04" w14:textId="77777777" w:rsidTr="00C5016E">
        <w:trPr>
          <w:trHeight w:val="794"/>
        </w:trPr>
        <w:tc>
          <w:tcPr>
            <w:cnfStyle w:val="001000000000" w:firstRow="0" w:lastRow="0" w:firstColumn="1" w:lastColumn="0" w:oddVBand="0" w:evenVBand="0" w:oddHBand="0" w:evenHBand="0" w:firstRowFirstColumn="0" w:firstRowLastColumn="0" w:lastRowFirstColumn="0" w:lastRowLastColumn="0"/>
            <w:tcW w:w="3535" w:type="dxa"/>
          </w:tcPr>
          <w:p w14:paraId="62E1D614" w14:textId="77777777" w:rsidR="003E36BE" w:rsidRPr="006477A6" w:rsidRDefault="003E36BE" w:rsidP="006477A6">
            <w:pPr>
              <w:pStyle w:val="ListParagraph"/>
              <w:numPr>
                <w:ilvl w:val="0"/>
                <w:numId w:val="12"/>
              </w:numPr>
              <w:rPr>
                <w:lang w:eastAsia="en-AU"/>
              </w:rPr>
            </w:pPr>
            <w:bookmarkStart w:id="6" w:name="_Hlk17893379"/>
            <w:r w:rsidRPr="006477A6">
              <w:rPr>
                <w:lang w:eastAsia="en-AU"/>
              </w:rPr>
              <w:t>Percentage of patients with anticipatory medicines dispensed</w:t>
            </w:r>
            <w:bookmarkEnd w:id="6"/>
          </w:p>
        </w:tc>
        <w:tc>
          <w:tcPr>
            <w:tcW w:w="5943" w:type="dxa"/>
          </w:tcPr>
          <w:p w14:paraId="0CDE9E00" w14:textId="50539474"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pPr>
            <w:r w:rsidRPr="00C8111B">
              <w:t xml:space="preserve">Numerator: </w:t>
            </w:r>
            <w:r w:rsidRPr="00C8111B">
              <w:rPr>
                <w:lang w:eastAsia="en-AU"/>
              </w:rPr>
              <w:t>Number of eligible* patients with anticipatory medicines dispensed</w:t>
            </w:r>
          </w:p>
          <w:p w14:paraId="53602C95" w14:textId="77777777"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pPr>
            <w:r w:rsidRPr="00C8111B">
              <w:t xml:space="preserve">Denominator: </w:t>
            </w:r>
            <w:r w:rsidRPr="00C8111B">
              <w:rPr>
                <w:lang w:eastAsia="en-AU"/>
              </w:rPr>
              <w:t>Number of eligible* patients with prescriptions written for anticipatory medicines</w:t>
            </w:r>
          </w:p>
        </w:tc>
      </w:tr>
      <w:tr w:rsidR="003E36BE" w:rsidRPr="00C8111B" w14:paraId="527FB878" w14:textId="77777777" w:rsidTr="00C5016E">
        <w:tc>
          <w:tcPr>
            <w:cnfStyle w:val="001000000000" w:firstRow="0" w:lastRow="0" w:firstColumn="1" w:lastColumn="0" w:oddVBand="0" w:evenVBand="0" w:oddHBand="0" w:evenHBand="0" w:firstRowFirstColumn="0" w:firstRowLastColumn="0" w:lastRowFirstColumn="0" w:lastRowLastColumn="0"/>
            <w:tcW w:w="3535" w:type="dxa"/>
            <w:shd w:val="clear" w:color="auto" w:fill="EDF5F7" w:themeFill="background2"/>
          </w:tcPr>
          <w:p w14:paraId="7B4119C7" w14:textId="446D773F" w:rsidR="003E36BE" w:rsidRPr="00C8111B" w:rsidRDefault="00C5016E" w:rsidP="006477A6">
            <w:r w:rsidRPr="00C8111B">
              <w:t>Balancing measures</w:t>
            </w:r>
          </w:p>
        </w:tc>
        <w:tc>
          <w:tcPr>
            <w:tcW w:w="5943" w:type="dxa"/>
            <w:shd w:val="clear" w:color="auto" w:fill="EDF5F7" w:themeFill="background2"/>
          </w:tcPr>
          <w:p w14:paraId="0B86EEB1" w14:textId="77777777"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pPr>
          </w:p>
        </w:tc>
      </w:tr>
      <w:tr w:rsidR="003E36BE" w:rsidRPr="00C8111B" w14:paraId="67987A01" w14:textId="77777777" w:rsidTr="00C5016E">
        <w:trPr>
          <w:trHeight w:val="794"/>
        </w:trPr>
        <w:tc>
          <w:tcPr>
            <w:cnfStyle w:val="001000000000" w:firstRow="0" w:lastRow="0" w:firstColumn="1" w:lastColumn="0" w:oddVBand="0" w:evenVBand="0" w:oddHBand="0" w:evenHBand="0" w:firstRowFirstColumn="0" w:firstRowLastColumn="0" w:lastRowFirstColumn="0" w:lastRowLastColumn="0"/>
            <w:tcW w:w="3535" w:type="dxa"/>
          </w:tcPr>
          <w:p w14:paraId="08D4A7F7" w14:textId="77777777" w:rsidR="003E36BE" w:rsidRPr="006477A6" w:rsidRDefault="003E36BE" w:rsidP="006477A6">
            <w:pPr>
              <w:pStyle w:val="ListParagraph"/>
              <w:numPr>
                <w:ilvl w:val="0"/>
                <w:numId w:val="12"/>
              </w:numPr>
              <w:rPr>
                <w:lang w:eastAsia="en-AU"/>
              </w:rPr>
            </w:pPr>
            <w:bookmarkStart w:id="7" w:name="_Hlk17899452"/>
            <w:r w:rsidRPr="006477A6">
              <w:rPr>
                <w:lang w:eastAsia="en-AU"/>
              </w:rPr>
              <w:t>Number of patients who had anticipatory medicines in place but were admitted to hospital</w:t>
            </w:r>
            <w:bookmarkEnd w:id="7"/>
          </w:p>
        </w:tc>
        <w:tc>
          <w:tcPr>
            <w:tcW w:w="5943" w:type="dxa"/>
          </w:tcPr>
          <w:p w14:paraId="613C766F" w14:textId="77777777" w:rsidR="003E36BE" w:rsidRPr="00C8111B" w:rsidRDefault="003E36BE" w:rsidP="006477A6">
            <w:pPr>
              <w:cnfStyle w:val="000000000000" w:firstRow="0" w:lastRow="0" w:firstColumn="0" w:lastColumn="0" w:oddVBand="0" w:evenVBand="0" w:oddHBand="0" w:evenHBand="0" w:firstRowFirstColumn="0" w:firstRowLastColumn="0" w:lastRowFirstColumn="0" w:lastRowLastColumn="0"/>
            </w:pPr>
            <w:r w:rsidRPr="00C8111B">
              <w:t>Count of patients admitted</w:t>
            </w:r>
          </w:p>
        </w:tc>
      </w:tr>
    </w:tbl>
    <w:p w14:paraId="750852A4" w14:textId="159BCAB1" w:rsidR="000C4FBD" w:rsidRPr="006F2921" w:rsidRDefault="000C4FBD" w:rsidP="006477A6">
      <w:pPr>
        <w:rPr>
          <w:rFonts w:eastAsiaTheme="majorEastAsia"/>
        </w:rPr>
      </w:pPr>
      <w:r w:rsidRPr="006F2921">
        <w:rPr>
          <w:rFonts w:eastAsiaTheme="majorEastAsia"/>
          <w:caps/>
        </w:rPr>
        <w:t>*</w:t>
      </w:r>
      <w:r w:rsidRPr="006F2921">
        <w:rPr>
          <w:rFonts w:eastAsiaTheme="majorEastAsia"/>
          <w:b/>
          <w:caps/>
        </w:rPr>
        <w:t>E</w:t>
      </w:r>
      <w:r w:rsidRPr="006F2921">
        <w:rPr>
          <w:rFonts w:eastAsiaTheme="majorEastAsia"/>
          <w:b/>
        </w:rPr>
        <w:t>ligible patient</w:t>
      </w:r>
      <w:r w:rsidRPr="006F2921">
        <w:rPr>
          <w:rFonts w:eastAsiaTheme="majorEastAsia"/>
        </w:rPr>
        <w:t>:</w:t>
      </w:r>
      <w:r w:rsidRPr="006F2921">
        <w:rPr>
          <w:rFonts w:ascii="VIC SemiBold" w:eastAsiaTheme="majorEastAsia" w:hAnsi="VIC SemiBold"/>
        </w:rPr>
        <w:t xml:space="preserve"> </w:t>
      </w:r>
      <w:r w:rsidRPr="006F2921">
        <w:rPr>
          <w:rFonts w:eastAsiaTheme="majorEastAsia"/>
        </w:rPr>
        <w:t>wishes to be cared for and/or die at home, no contraindications and carer in place</w:t>
      </w:r>
    </w:p>
    <w:p w14:paraId="38D0CD92" w14:textId="77777777" w:rsidR="003E36BE" w:rsidRDefault="003E36BE" w:rsidP="006477A6">
      <w:r>
        <w:br w:type="page"/>
      </w:r>
    </w:p>
    <w:p w14:paraId="1CCF3748" w14:textId="37CDA0D8" w:rsidR="003E36BE" w:rsidRDefault="00F00634" w:rsidP="006477A6">
      <w:pPr>
        <w:pStyle w:val="Heading1"/>
        <w:framePr w:wrap="around"/>
      </w:pPr>
      <w:r>
        <w:lastRenderedPageBreak/>
        <w:t xml:space="preserve">3. </w:t>
      </w:r>
      <w:r w:rsidR="003E36BE">
        <w:t xml:space="preserve">Governance </w:t>
      </w:r>
    </w:p>
    <w:p w14:paraId="548892EE" w14:textId="3C9C5724" w:rsidR="003E36BE" w:rsidRDefault="003E36BE" w:rsidP="006477A6">
      <w:pPr>
        <w:pStyle w:val="Heading2"/>
      </w:pPr>
      <w:r>
        <w:t>APPROVAL</w:t>
      </w:r>
    </w:p>
    <w:p w14:paraId="1679A322" w14:textId="290C21A8" w:rsidR="003E36BE" w:rsidRDefault="003E36BE" w:rsidP="006477A6">
      <w:pPr>
        <w:pStyle w:val="Normalfollowingheading"/>
      </w:pPr>
      <w:r>
        <w:t>This guidance was approved by the Palliative Care Clinical Network Governance Committee and Clinicians as Partners Director</w:t>
      </w:r>
      <w:r w:rsidR="00C5016E">
        <w:t>.</w:t>
      </w:r>
    </w:p>
    <w:p w14:paraId="53740DB1" w14:textId="7238C055" w:rsidR="003E36BE" w:rsidRDefault="003E36BE" w:rsidP="006477A6">
      <w:pPr>
        <w:pStyle w:val="Heading2"/>
      </w:pPr>
      <w:r>
        <w:t>Funding</w:t>
      </w:r>
    </w:p>
    <w:p w14:paraId="6A72532B" w14:textId="0053FB79" w:rsidR="003E36BE" w:rsidRDefault="003E36BE" w:rsidP="006477A6">
      <w:pPr>
        <w:pStyle w:val="Normalfollowingheading"/>
      </w:pPr>
      <w:r>
        <w:t xml:space="preserve">Funding was received from the </w:t>
      </w:r>
      <w:r w:rsidR="00C5016E">
        <w:t>DHHS</w:t>
      </w:r>
      <w:r>
        <w:t xml:space="preserve"> Palliative Care </w:t>
      </w:r>
      <w:r w:rsidR="00C5016E">
        <w:t>U</w:t>
      </w:r>
      <w:r>
        <w:t>nit to enable the development of this clinical guidance.</w:t>
      </w:r>
    </w:p>
    <w:p w14:paraId="3E7C6708" w14:textId="77777777" w:rsidR="003E36BE" w:rsidRDefault="003E36BE" w:rsidP="006477A6">
      <w:r>
        <w:br w:type="page"/>
      </w:r>
    </w:p>
    <w:p w14:paraId="64ED2724" w14:textId="2A0F80C0" w:rsidR="003E36BE" w:rsidRDefault="003E36BE" w:rsidP="006477A6">
      <w:pPr>
        <w:pStyle w:val="Heading1"/>
        <w:framePr w:wrap="around"/>
      </w:pPr>
      <w:r>
        <w:lastRenderedPageBreak/>
        <w:t>Appendix 1</w:t>
      </w:r>
      <w:r w:rsidR="00DC6323">
        <w:t>.</w:t>
      </w:r>
      <w:r>
        <w:t xml:space="preserve"> Existing guidelines assessment tool</w:t>
      </w:r>
    </w:p>
    <w:tbl>
      <w:tblPr>
        <w:tblStyle w:val="TableGrid"/>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2"/>
        <w:gridCol w:w="790"/>
        <w:gridCol w:w="769"/>
        <w:gridCol w:w="425"/>
        <w:gridCol w:w="569"/>
        <w:gridCol w:w="172"/>
        <w:gridCol w:w="677"/>
        <w:gridCol w:w="283"/>
        <w:gridCol w:w="567"/>
        <w:gridCol w:w="145"/>
        <w:gridCol w:w="1395"/>
        <w:gridCol w:w="449"/>
        <w:gridCol w:w="279"/>
        <w:gridCol w:w="235"/>
        <w:gridCol w:w="1471"/>
      </w:tblGrid>
      <w:tr w:rsidR="006477A6" w:rsidRPr="006477A6" w14:paraId="2BA1C757" w14:textId="77777777" w:rsidTr="00DA5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gridSpan w:val="3"/>
            <w:tcBorders>
              <w:right w:val="single" w:sz="2" w:space="0" w:color="EDF5F7" w:themeColor="background2"/>
            </w:tcBorders>
            <w:shd w:val="clear" w:color="auto" w:fill="auto"/>
          </w:tcPr>
          <w:p w14:paraId="183EBC14" w14:textId="15571965" w:rsidR="00C5016E" w:rsidRPr="006477A6" w:rsidRDefault="00C5016E" w:rsidP="006477A6">
            <w:pPr>
              <w:pStyle w:val="Normalfollowingheading"/>
              <w:rPr>
                <w:rFonts w:asciiTheme="majorHAnsi" w:hAnsiTheme="majorHAnsi" w:cstheme="majorHAnsi"/>
                <w:color w:val="auto"/>
                <w:sz w:val="18"/>
                <w:szCs w:val="18"/>
              </w:rPr>
            </w:pPr>
            <w:r w:rsidRPr="006477A6">
              <w:rPr>
                <w:rFonts w:asciiTheme="majorHAnsi" w:hAnsiTheme="majorHAnsi" w:cstheme="majorHAnsi"/>
                <w:color w:val="auto"/>
                <w:sz w:val="18"/>
                <w:szCs w:val="18"/>
              </w:rPr>
              <w:t>Name of guideline:</w:t>
            </w:r>
          </w:p>
        </w:tc>
        <w:tc>
          <w:tcPr>
            <w:tcW w:w="7436" w:type="dxa"/>
            <w:gridSpan w:val="13"/>
            <w:tcBorders>
              <w:left w:val="single" w:sz="2" w:space="0" w:color="EDF5F7" w:themeColor="background2"/>
            </w:tcBorders>
            <w:shd w:val="clear" w:color="auto" w:fill="auto"/>
          </w:tcPr>
          <w:p w14:paraId="07463667" w14:textId="77777777" w:rsidR="00C5016E" w:rsidRPr="006477A6" w:rsidRDefault="00C5016E" w:rsidP="006477A6">
            <w:pPr>
              <w:pStyle w:val="Normalfollowinghead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p>
        </w:tc>
      </w:tr>
      <w:tr w:rsidR="006477A6" w:rsidRPr="006477A6" w14:paraId="2633C775" w14:textId="77777777" w:rsidTr="00DA5A71">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58DD35FC" w14:textId="1B424B87" w:rsidR="00C5016E" w:rsidRPr="006477A6" w:rsidRDefault="00C5016E" w:rsidP="006477A6">
            <w:pPr>
              <w:pStyle w:val="Normalfollowingheading"/>
              <w:rPr>
                <w:rFonts w:asciiTheme="majorHAnsi" w:hAnsiTheme="majorHAnsi" w:cstheme="majorHAnsi"/>
                <w:color w:val="auto"/>
                <w:sz w:val="18"/>
                <w:szCs w:val="18"/>
              </w:rPr>
            </w:pPr>
            <w:r w:rsidRPr="006477A6">
              <w:rPr>
                <w:rFonts w:asciiTheme="majorHAnsi" w:hAnsiTheme="majorHAnsi" w:cstheme="majorHAnsi"/>
                <w:color w:val="auto"/>
                <w:sz w:val="18"/>
                <w:szCs w:val="18"/>
              </w:rPr>
              <w:t>Source:</w:t>
            </w:r>
          </w:p>
        </w:tc>
        <w:tc>
          <w:tcPr>
            <w:tcW w:w="7436" w:type="dxa"/>
            <w:gridSpan w:val="13"/>
            <w:shd w:val="clear" w:color="auto" w:fill="auto"/>
          </w:tcPr>
          <w:p w14:paraId="78711B5D" w14:textId="77777777" w:rsidR="00C5016E" w:rsidRPr="006477A6" w:rsidRDefault="00C5016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C5016E" w:rsidRPr="006477A6" w14:paraId="36E7DAD6"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2AD134EB" w14:textId="569484F3" w:rsidR="00C5016E" w:rsidRPr="006477A6" w:rsidRDefault="00C5016E" w:rsidP="006477A6">
            <w:pPr>
              <w:rPr>
                <w:rFonts w:asciiTheme="majorHAnsi" w:hAnsiTheme="majorHAnsi" w:cstheme="majorHAnsi"/>
                <w:sz w:val="18"/>
                <w:szCs w:val="18"/>
              </w:rPr>
            </w:pPr>
            <w:r w:rsidRPr="006477A6">
              <w:rPr>
                <w:rFonts w:asciiTheme="majorHAnsi" w:hAnsiTheme="majorHAnsi" w:cstheme="majorHAnsi"/>
                <w:sz w:val="18"/>
                <w:szCs w:val="18"/>
              </w:rPr>
              <w:t>1.</w:t>
            </w:r>
            <w:r w:rsidR="00DA5A71" w:rsidRPr="006477A6">
              <w:rPr>
                <w:rFonts w:asciiTheme="majorHAnsi" w:hAnsiTheme="majorHAnsi" w:cstheme="majorHAnsi"/>
                <w:sz w:val="18"/>
                <w:szCs w:val="18"/>
              </w:rPr>
              <w:t xml:space="preserve"> </w:t>
            </w:r>
            <w:r w:rsidRPr="006477A6">
              <w:rPr>
                <w:rFonts w:asciiTheme="majorHAnsi" w:hAnsiTheme="majorHAnsi" w:cstheme="majorHAnsi"/>
                <w:sz w:val="18"/>
                <w:szCs w:val="18"/>
              </w:rPr>
              <w:t>RELEVANT</w:t>
            </w:r>
          </w:p>
        </w:tc>
      </w:tr>
      <w:tr w:rsidR="00C5016E" w:rsidRPr="006477A6" w14:paraId="111FB1D2"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0213E61E" w14:textId="77777777" w:rsidR="00C5016E" w:rsidRPr="006477A6" w:rsidRDefault="00C5016E" w:rsidP="006477A6">
            <w:pPr>
              <w:rPr>
                <w:rFonts w:asciiTheme="majorHAnsi" w:hAnsiTheme="majorHAnsi" w:cstheme="majorHAnsi"/>
                <w:b w:val="0"/>
                <w:sz w:val="18"/>
                <w:szCs w:val="18"/>
              </w:rPr>
            </w:pPr>
            <w:r w:rsidRPr="006477A6">
              <w:rPr>
                <w:rFonts w:asciiTheme="majorHAnsi" w:hAnsiTheme="majorHAnsi" w:cstheme="majorHAnsi"/>
                <w:sz w:val="18"/>
                <w:szCs w:val="18"/>
              </w:rPr>
              <w:t>Applicability</w:t>
            </w:r>
          </w:p>
          <w:p w14:paraId="223973E4" w14:textId="62E83A5D" w:rsidR="00C5016E" w:rsidRPr="006477A6" w:rsidRDefault="00C5016E" w:rsidP="006477A6">
            <w:pPr>
              <w:rPr>
                <w:rFonts w:asciiTheme="majorHAnsi" w:hAnsiTheme="majorHAnsi" w:cstheme="majorHAnsi"/>
                <w:b w:val="0"/>
                <w:bCs/>
                <w:sz w:val="18"/>
                <w:szCs w:val="18"/>
              </w:rPr>
            </w:pPr>
            <w:r w:rsidRPr="006477A6">
              <w:rPr>
                <w:rFonts w:asciiTheme="majorHAnsi" w:hAnsiTheme="majorHAnsi" w:cstheme="majorHAnsi"/>
                <w:b w:val="0"/>
                <w:bCs/>
                <w:sz w:val="18"/>
                <w:szCs w:val="18"/>
              </w:rPr>
              <w:t>The guideline is applicable to palliative care or end of life care at home setting. Clinical management options, clinical risks and benefits are mentioned. This guideline is not covered in other areas.</w:t>
            </w:r>
          </w:p>
        </w:tc>
      </w:tr>
      <w:tr w:rsidR="003E36BE" w:rsidRPr="006477A6" w14:paraId="37C9B1A4" w14:textId="77777777" w:rsidTr="00DA5A71">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11A43F58" w14:textId="5D1B9134" w:rsidR="00C5016E" w:rsidRPr="006477A6" w:rsidRDefault="002F1154" w:rsidP="006477A6">
            <w:pPr>
              <w:rPr>
                <w:rFonts w:asciiTheme="majorHAnsi" w:hAnsiTheme="majorHAnsi" w:cstheme="majorHAnsi"/>
                <w:b w:val="0"/>
                <w:bCs/>
                <w:sz w:val="18"/>
                <w:szCs w:val="18"/>
              </w:rPr>
            </w:pPr>
            <w:sdt>
              <w:sdtPr>
                <w:rPr>
                  <w:rFonts w:asciiTheme="majorHAnsi" w:hAnsiTheme="majorHAnsi" w:cstheme="majorHAnsi"/>
                  <w:b w:val="0"/>
                  <w:bCs/>
                  <w:color w:val="auto"/>
                  <w:sz w:val="18"/>
                  <w:szCs w:val="18"/>
                </w:rPr>
                <w:id w:val="1554883128"/>
                <w14:checkbox>
                  <w14:checked w14:val="0"/>
                  <w14:checkedState w14:val="2612" w14:font="MS Gothic"/>
                  <w14:uncheckedState w14:val="2610" w14:font="MS Gothic"/>
                </w14:checkbox>
              </w:sdtPr>
              <w:sdtEndPr/>
              <w:sdtContent>
                <w:r w:rsidR="003E36BE" w:rsidRPr="006477A6">
                  <w:rPr>
                    <w:rFonts w:ascii="Segoe UI Symbol" w:hAnsi="Segoe UI Symbol" w:cs="Segoe UI Symbol"/>
                    <w:b w:val="0"/>
                    <w:bCs/>
                    <w:color w:val="auto"/>
                    <w:sz w:val="18"/>
                    <w:szCs w:val="18"/>
                    <w:lang w:eastAsia="en-AU"/>
                  </w:rPr>
                  <w:t>☐</w:t>
                </w:r>
              </w:sdtContent>
            </w:sdt>
            <w:r w:rsidR="00C5016E" w:rsidRPr="006477A6">
              <w:rPr>
                <w:rFonts w:asciiTheme="majorHAnsi" w:hAnsiTheme="majorHAnsi" w:cstheme="majorHAnsi"/>
                <w:b w:val="0"/>
                <w:bCs/>
                <w:color w:val="auto"/>
                <w:sz w:val="18"/>
                <w:szCs w:val="18"/>
              </w:rPr>
              <w:t xml:space="preserve"> </w:t>
            </w:r>
            <w:r w:rsidR="00C5016E" w:rsidRPr="006477A6">
              <w:rPr>
                <w:rFonts w:asciiTheme="majorHAnsi" w:hAnsiTheme="majorHAnsi" w:cstheme="majorHAnsi"/>
                <w:b w:val="0"/>
                <w:bCs/>
                <w:color w:val="auto"/>
                <w:sz w:val="18"/>
                <w:szCs w:val="18"/>
                <w:lang w:eastAsia="en-AU"/>
              </w:rPr>
              <w:t>Strongly disagree*</w:t>
            </w:r>
          </w:p>
        </w:tc>
        <w:tc>
          <w:tcPr>
            <w:tcW w:w="1763" w:type="dxa"/>
            <w:gridSpan w:val="3"/>
            <w:shd w:val="clear" w:color="auto" w:fill="auto"/>
          </w:tcPr>
          <w:p w14:paraId="651EC35F" w14:textId="6A976BA8"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76750966"/>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b/>
                <w:sz w:val="18"/>
                <w:szCs w:val="18"/>
              </w:rPr>
              <w:t xml:space="preserve"> </w:t>
            </w:r>
            <w:r w:rsidR="003E36BE" w:rsidRPr="006477A6">
              <w:rPr>
                <w:rFonts w:asciiTheme="majorHAnsi" w:hAnsiTheme="majorHAnsi" w:cstheme="majorHAnsi"/>
                <w:sz w:val="18"/>
                <w:szCs w:val="18"/>
                <w:lang w:eastAsia="en-AU"/>
              </w:rPr>
              <w:t xml:space="preserve">Disagree </w:t>
            </w:r>
          </w:p>
        </w:tc>
        <w:tc>
          <w:tcPr>
            <w:tcW w:w="1844" w:type="dxa"/>
            <w:gridSpan w:val="5"/>
            <w:shd w:val="clear" w:color="auto" w:fill="auto"/>
          </w:tcPr>
          <w:p w14:paraId="6839FA63" w14:textId="5A42BEE5"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676418722"/>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b/>
                <w:sz w:val="18"/>
                <w:szCs w:val="18"/>
              </w:rPr>
              <w:t xml:space="preserve"> </w:t>
            </w:r>
            <w:r w:rsidR="003E36BE" w:rsidRPr="006477A6">
              <w:rPr>
                <w:rFonts w:asciiTheme="majorHAnsi" w:hAnsiTheme="majorHAnsi" w:cstheme="majorHAnsi"/>
                <w:sz w:val="18"/>
                <w:szCs w:val="18"/>
                <w:lang w:eastAsia="en-AU"/>
              </w:rPr>
              <w:t xml:space="preserve">Neutral </w:t>
            </w:r>
          </w:p>
        </w:tc>
        <w:tc>
          <w:tcPr>
            <w:tcW w:w="1844" w:type="dxa"/>
            <w:gridSpan w:val="2"/>
            <w:shd w:val="clear" w:color="auto" w:fill="auto"/>
          </w:tcPr>
          <w:p w14:paraId="134790DE" w14:textId="7AFF1B87"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690055888"/>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b/>
                <w:sz w:val="18"/>
                <w:szCs w:val="18"/>
              </w:rPr>
              <w:t xml:space="preserve"> </w:t>
            </w:r>
            <w:r w:rsidR="003E36BE" w:rsidRPr="006477A6">
              <w:rPr>
                <w:rFonts w:asciiTheme="majorHAnsi" w:hAnsiTheme="majorHAnsi" w:cstheme="majorHAnsi"/>
                <w:sz w:val="18"/>
                <w:szCs w:val="18"/>
                <w:lang w:eastAsia="en-AU"/>
              </w:rPr>
              <w:t xml:space="preserve">Agree </w:t>
            </w:r>
          </w:p>
        </w:tc>
        <w:tc>
          <w:tcPr>
            <w:tcW w:w="1985" w:type="dxa"/>
            <w:gridSpan w:val="3"/>
            <w:shd w:val="clear" w:color="auto" w:fill="auto"/>
          </w:tcPr>
          <w:p w14:paraId="3B8D5384" w14:textId="632AB512"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335878461"/>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b/>
                <w:sz w:val="18"/>
                <w:szCs w:val="18"/>
              </w:rPr>
              <w:t xml:space="preserve"> </w:t>
            </w:r>
            <w:r w:rsidR="003E36BE" w:rsidRPr="006477A6">
              <w:rPr>
                <w:rFonts w:asciiTheme="majorHAnsi" w:hAnsiTheme="majorHAnsi" w:cstheme="majorHAnsi"/>
                <w:sz w:val="18"/>
                <w:szCs w:val="18"/>
                <w:lang w:eastAsia="en-AU"/>
              </w:rPr>
              <w:t xml:space="preserve">Strongly agree </w:t>
            </w:r>
          </w:p>
        </w:tc>
      </w:tr>
      <w:tr w:rsidR="00C5016E" w:rsidRPr="006477A6" w14:paraId="6F275DDE"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5C3EC563" w14:textId="0C1D5A3D" w:rsidR="00C5016E" w:rsidRPr="006477A6" w:rsidRDefault="00C5016E" w:rsidP="006477A6">
            <w:pPr>
              <w:rPr>
                <w:rFonts w:asciiTheme="majorHAnsi" w:hAnsiTheme="majorHAnsi" w:cstheme="majorHAnsi"/>
                <w:b w:val="0"/>
                <w:bCs/>
                <w:sz w:val="18"/>
                <w:szCs w:val="18"/>
              </w:rPr>
            </w:pPr>
            <w:r w:rsidRPr="006477A6">
              <w:rPr>
                <w:rFonts w:asciiTheme="majorHAnsi" w:hAnsiTheme="majorHAnsi" w:cstheme="majorHAnsi"/>
                <w:b w:val="0"/>
                <w:bCs/>
                <w:color w:val="auto"/>
                <w:sz w:val="18"/>
                <w:szCs w:val="18"/>
              </w:rPr>
              <w:t>* no further assessment required</w:t>
            </w:r>
          </w:p>
        </w:tc>
      </w:tr>
      <w:tr w:rsidR="00C5016E" w:rsidRPr="006477A6" w14:paraId="70C86D9D"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5F56F3F2" w14:textId="49107A75" w:rsidR="00C5016E" w:rsidRPr="006477A6" w:rsidRDefault="00C5016E" w:rsidP="006477A6">
            <w:pPr>
              <w:rPr>
                <w:rFonts w:asciiTheme="majorHAnsi" w:hAnsiTheme="majorHAnsi" w:cstheme="majorHAnsi"/>
                <w:sz w:val="18"/>
                <w:szCs w:val="18"/>
              </w:rPr>
            </w:pPr>
            <w:r w:rsidRPr="006477A6">
              <w:rPr>
                <w:rFonts w:asciiTheme="majorHAnsi" w:hAnsiTheme="majorHAnsi" w:cstheme="majorHAnsi"/>
                <w:sz w:val="18"/>
                <w:szCs w:val="18"/>
              </w:rPr>
              <w:t>Scope</w:t>
            </w:r>
          </w:p>
          <w:p w14:paraId="18AE4637" w14:textId="25D9765D" w:rsidR="00C5016E" w:rsidRPr="006477A6" w:rsidRDefault="00C5016E" w:rsidP="006477A6">
            <w:pPr>
              <w:rPr>
                <w:rFonts w:asciiTheme="majorHAnsi" w:hAnsiTheme="majorHAnsi" w:cstheme="majorHAnsi"/>
                <w:b w:val="0"/>
                <w:bCs/>
                <w:sz w:val="18"/>
                <w:szCs w:val="18"/>
              </w:rPr>
            </w:pPr>
            <w:r w:rsidRPr="006477A6">
              <w:rPr>
                <w:rFonts w:asciiTheme="majorHAnsi" w:hAnsiTheme="majorHAnsi" w:cstheme="majorHAnsi"/>
                <w:b w:val="0"/>
                <w:bCs/>
                <w:sz w:val="18"/>
                <w:szCs w:val="18"/>
              </w:rPr>
              <w:t>Is the guideline for:</w:t>
            </w:r>
          </w:p>
        </w:tc>
      </w:tr>
      <w:tr w:rsidR="003E36BE" w:rsidRPr="006477A6" w14:paraId="40CEF490" w14:textId="77777777" w:rsidTr="00DA5A71">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6296F468" w14:textId="5039FA65" w:rsidR="003E36BE" w:rsidRPr="006477A6" w:rsidRDefault="002F1154" w:rsidP="006477A6">
            <w:pPr>
              <w:rPr>
                <w:rFonts w:asciiTheme="majorHAnsi" w:hAnsiTheme="majorHAnsi" w:cstheme="majorHAnsi"/>
                <w:b w:val="0"/>
                <w:bCs/>
                <w:sz w:val="18"/>
                <w:szCs w:val="18"/>
                <w:lang w:eastAsia="en-AU"/>
              </w:rPr>
            </w:pPr>
            <w:sdt>
              <w:sdtPr>
                <w:rPr>
                  <w:rFonts w:asciiTheme="majorHAnsi" w:hAnsiTheme="majorHAnsi" w:cstheme="majorHAnsi"/>
                  <w:b w:val="0"/>
                  <w:bCs/>
                  <w:color w:val="auto"/>
                  <w:sz w:val="18"/>
                  <w:szCs w:val="18"/>
                </w:rPr>
                <w:id w:val="106393435"/>
                <w14:checkbox>
                  <w14:checked w14:val="0"/>
                  <w14:checkedState w14:val="2612" w14:font="MS Gothic"/>
                  <w14:uncheckedState w14:val="2610" w14:font="MS Gothic"/>
                </w14:checkbox>
              </w:sdtPr>
              <w:sdtEndPr/>
              <w:sdtContent>
                <w:r w:rsidR="00C5016E" w:rsidRPr="006477A6">
                  <w:rPr>
                    <w:rFonts w:ascii="Segoe UI Symbol" w:hAnsi="Segoe UI Symbol" w:cs="Segoe UI Symbol"/>
                    <w:b w:val="0"/>
                    <w:bCs/>
                    <w:color w:val="auto"/>
                    <w:sz w:val="18"/>
                    <w:szCs w:val="18"/>
                    <w:lang w:eastAsia="en-AU"/>
                  </w:rPr>
                  <w:t>☐</w:t>
                </w:r>
              </w:sdtContent>
            </w:sdt>
            <w:r w:rsidR="00C5016E" w:rsidRPr="006477A6">
              <w:rPr>
                <w:rFonts w:asciiTheme="majorHAnsi" w:hAnsiTheme="majorHAnsi" w:cstheme="majorHAnsi"/>
                <w:b w:val="0"/>
                <w:bCs/>
                <w:color w:val="auto"/>
                <w:sz w:val="18"/>
                <w:szCs w:val="18"/>
                <w:lang w:eastAsia="en-AU"/>
              </w:rPr>
              <w:t xml:space="preserve"> </w:t>
            </w:r>
            <w:r w:rsidR="003E36BE" w:rsidRPr="006477A6">
              <w:rPr>
                <w:rFonts w:asciiTheme="majorHAnsi" w:hAnsiTheme="majorHAnsi" w:cstheme="majorHAnsi"/>
                <w:b w:val="0"/>
                <w:bCs/>
                <w:color w:val="auto"/>
                <w:sz w:val="18"/>
                <w:szCs w:val="18"/>
                <w:lang w:eastAsia="en-AU"/>
              </w:rPr>
              <w:t xml:space="preserve">Adults </w:t>
            </w:r>
          </w:p>
        </w:tc>
        <w:tc>
          <w:tcPr>
            <w:tcW w:w="1935" w:type="dxa"/>
            <w:gridSpan w:val="4"/>
            <w:shd w:val="clear" w:color="auto" w:fill="auto"/>
          </w:tcPr>
          <w:p w14:paraId="542B2AD9" w14:textId="5AFD4DDC"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2070299472"/>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Children </w:t>
            </w:r>
          </w:p>
        </w:tc>
        <w:tc>
          <w:tcPr>
            <w:tcW w:w="3067" w:type="dxa"/>
            <w:gridSpan w:val="5"/>
            <w:shd w:val="clear" w:color="auto" w:fill="auto"/>
          </w:tcPr>
          <w:p w14:paraId="1717A458" w14:textId="7243A3B9"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219903857"/>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No age specification </w:t>
            </w:r>
          </w:p>
        </w:tc>
        <w:tc>
          <w:tcPr>
            <w:tcW w:w="2434" w:type="dxa"/>
            <w:gridSpan w:val="4"/>
            <w:shd w:val="clear" w:color="auto" w:fill="auto"/>
          </w:tcPr>
          <w:p w14:paraId="010891D3" w14:textId="6B008690"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2105414953"/>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All ages </w:t>
            </w:r>
          </w:p>
        </w:tc>
      </w:tr>
      <w:tr w:rsidR="00C5016E" w:rsidRPr="006477A6" w14:paraId="4DE87C65"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019861B1" w14:textId="6A465612" w:rsidR="00C5016E" w:rsidRPr="006477A6" w:rsidRDefault="00C5016E" w:rsidP="006477A6">
            <w:pPr>
              <w:rPr>
                <w:rFonts w:asciiTheme="majorHAnsi" w:hAnsiTheme="majorHAnsi" w:cstheme="majorHAnsi"/>
                <w:sz w:val="18"/>
                <w:szCs w:val="18"/>
              </w:rPr>
            </w:pPr>
            <w:r w:rsidRPr="006477A6">
              <w:rPr>
                <w:rFonts w:asciiTheme="majorHAnsi" w:hAnsiTheme="majorHAnsi" w:cstheme="majorHAnsi"/>
                <w:sz w:val="18"/>
                <w:szCs w:val="18"/>
              </w:rPr>
              <w:t>Does the guideline include common symptoms?</w:t>
            </w:r>
          </w:p>
        </w:tc>
      </w:tr>
      <w:tr w:rsidR="003E36BE" w:rsidRPr="006477A6" w14:paraId="52A208A4" w14:textId="77777777" w:rsidTr="00DA5A7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C8CF3AA" w14:textId="3EE3F444" w:rsidR="003E36BE" w:rsidRPr="006477A6" w:rsidRDefault="002F1154" w:rsidP="006477A6">
            <w:pPr>
              <w:rPr>
                <w:rFonts w:asciiTheme="majorHAnsi" w:hAnsiTheme="majorHAnsi" w:cstheme="majorHAnsi"/>
                <w:b w:val="0"/>
                <w:bCs/>
                <w:sz w:val="18"/>
                <w:szCs w:val="18"/>
                <w:lang w:eastAsia="en-AU"/>
              </w:rPr>
            </w:pPr>
            <w:sdt>
              <w:sdtPr>
                <w:rPr>
                  <w:rFonts w:asciiTheme="majorHAnsi" w:hAnsiTheme="majorHAnsi" w:cstheme="majorHAnsi"/>
                  <w:b w:val="0"/>
                  <w:bCs/>
                  <w:color w:val="auto"/>
                  <w:sz w:val="18"/>
                  <w:szCs w:val="18"/>
                </w:rPr>
                <w:id w:val="1027140085"/>
                <w14:checkbox>
                  <w14:checked w14:val="0"/>
                  <w14:checkedState w14:val="2612" w14:font="MS Gothic"/>
                  <w14:uncheckedState w14:val="2610" w14:font="MS Gothic"/>
                </w14:checkbox>
              </w:sdtPr>
              <w:sdtEndPr/>
              <w:sdtContent>
                <w:r w:rsidR="00C5016E" w:rsidRPr="006477A6">
                  <w:rPr>
                    <w:rFonts w:ascii="Segoe UI Symbol" w:hAnsi="Segoe UI Symbol" w:cs="Segoe UI Symbol"/>
                    <w:b w:val="0"/>
                    <w:bCs/>
                    <w:color w:val="auto"/>
                    <w:sz w:val="18"/>
                    <w:szCs w:val="18"/>
                    <w:lang w:eastAsia="en-AU"/>
                  </w:rPr>
                  <w:t>☐</w:t>
                </w:r>
              </w:sdtContent>
            </w:sdt>
            <w:r w:rsidR="00C5016E" w:rsidRPr="006477A6">
              <w:rPr>
                <w:rFonts w:asciiTheme="majorHAnsi" w:hAnsiTheme="majorHAnsi" w:cstheme="majorHAnsi"/>
                <w:b w:val="0"/>
                <w:bCs/>
                <w:color w:val="auto"/>
                <w:sz w:val="18"/>
                <w:szCs w:val="18"/>
                <w:lang w:eastAsia="en-AU"/>
              </w:rPr>
              <w:t xml:space="preserve"> </w:t>
            </w:r>
            <w:r w:rsidR="003E36BE" w:rsidRPr="006477A6">
              <w:rPr>
                <w:rFonts w:asciiTheme="majorHAnsi" w:hAnsiTheme="majorHAnsi" w:cstheme="majorHAnsi"/>
                <w:b w:val="0"/>
                <w:bCs/>
                <w:color w:val="auto"/>
                <w:sz w:val="18"/>
                <w:szCs w:val="18"/>
                <w:lang w:eastAsia="en-AU"/>
              </w:rPr>
              <w:t xml:space="preserve">Pain </w:t>
            </w:r>
          </w:p>
        </w:tc>
        <w:tc>
          <w:tcPr>
            <w:tcW w:w="1701" w:type="dxa"/>
            <w:gridSpan w:val="3"/>
            <w:shd w:val="clear" w:color="auto" w:fill="auto"/>
          </w:tcPr>
          <w:p w14:paraId="566C9EDE" w14:textId="196C0D1E"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709718201"/>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Nausea </w:t>
            </w:r>
          </w:p>
        </w:tc>
        <w:tc>
          <w:tcPr>
            <w:tcW w:w="2126" w:type="dxa"/>
            <w:gridSpan w:val="5"/>
            <w:shd w:val="clear" w:color="auto" w:fill="auto"/>
          </w:tcPr>
          <w:p w14:paraId="201789E2" w14:textId="20386020"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2065284066"/>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Dyspnoea </w:t>
            </w:r>
          </w:p>
        </w:tc>
        <w:tc>
          <w:tcPr>
            <w:tcW w:w="3070" w:type="dxa"/>
            <w:gridSpan w:val="6"/>
            <w:shd w:val="clear" w:color="auto" w:fill="auto"/>
          </w:tcPr>
          <w:p w14:paraId="421177C5" w14:textId="1FCAE575"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2141948532"/>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Respiratory symptoms </w:t>
            </w:r>
          </w:p>
        </w:tc>
        <w:tc>
          <w:tcPr>
            <w:tcW w:w="1471" w:type="dxa"/>
            <w:shd w:val="clear" w:color="auto" w:fill="auto"/>
          </w:tcPr>
          <w:p w14:paraId="332CA426" w14:textId="4F9CC963"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46450303"/>
                <w14:checkbox>
                  <w14:checked w14:val="0"/>
                  <w14:checkedState w14:val="2612" w14:font="MS Gothic"/>
                  <w14:uncheckedState w14:val="2610" w14:font="MS Gothic"/>
                </w14:checkbox>
              </w:sdtPr>
              <w:sdtEndPr/>
              <w:sdtContent>
                <w:r w:rsidR="00C5016E" w:rsidRPr="006477A6">
                  <w:rPr>
                    <w:rFonts w:ascii="Segoe UI Symbol" w:hAnsi="Segoe UI Symbol" w:cs="Segoe UI Symbol"/>
                    <w:sz w:val="18"/>
                    <w:szCs w:val="18"/>
                    <w:lang w:eastAsia="en-AU"/>
                  </w:rPr>
                  <w:t>☐</w:t>
                </w:r>
              </w:sdtContent>
            </w:sdt>
            <w:r w:rsidR="00C5016E"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Delirium </w:t>
            </w:r>
          </w:p>
        </w:tc>
      </w:tr>
      <w:tr w:rsidR="00C5016E" w:rsidRPr="006477A6" w14:paraId="58C5462F"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513AD334" w14:textId="4AA0918C" w:rsidR="00C5016E" w:rsidRPr="006477A6" w:rsidRDefault="00C5016E" w:rsidP="006477A6">
            <w:pPr>
              <w:rPr>
                <w:rFonts w:asciiTheme="majorHAnsi" w:hAnsiTheme="majorHAnsi" w:cstheme="majorHAnsi"/>
                <w:sz w:val="18"/>
                <w:szCs w:val="18"/>
              </w:rPr>
            </w:pPr>
            <w:r w:rsidRPr="006477A6">
              <w:rPr>
                <w:rFonts w:asciiTheme="majorHAnsi" w:hAnsiTheme="majorHAnsi" w:cstheme="majorHAnsi"/>
                <w:sz w:val="18"/>
                <w:szCs w:val="18"/>
              </w:rPr>
              <w:t>Are there symptoms missing that you think should be included?</w:t>
            </w:r>
          </w:p>
        </w:tc>
      </w:tr>
      <w:tr w:rsidR="00796A1C" w:rsidRPr="006477A6" w14:paraId="1F61ADF1"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0DF2C9AC" w14:textId="72F460AD" w:rsidR="00C5016E" w:rsidRPr="006477A6" w:rsidRDefault="00C5016E" w:rsidP="006477A6">
            <w:pPr>
              <w:rPr>
                <w:rFonts w:asciiTheme="majorHAnsi" w:hAnsiTheme="majorHAnsi" w:cstheme="majorHAnsi"/>
                <w:sz w:val="18"/>
                <w:szCs w:val="18"/>
              </w:rPr>
            </w:pPr>
          </w:p>
          <w:p w14:paraId="242DBA2C" w14:textId="77777777" w:rsidR="00796A1C" w:rsidRPr="006477A6" w:rsidRDefault="00796A1C" w:rsidP="006477A6">
            <w:pPr>
              <w:rPr>
                <w:rFonts w:asciiTheme="majorHAnsi" w:hAnsiTheme="majorHAnsi" w:cstheme="majorHAnsi"/>
                <w:sz w:val="18"/>
                <w:szCs w:val="18"/>
              </w:rPr>
            </w:pPr>
          </w:p>
          <w:p w14:paraId="3D8CD1A4" w14:textId="77777777" w:rsidR="00DA5A71" w:rsidRPr="006477A6" w:rsidRDefault="00DA5A71" w:rsidP="006477A6">
            <w:pPr>
              <w:rPr>
                <w:rFonts w:asciiTheme="majorHAnsi" w:hAnsiTheme="majorHAnsi" w:cstheme="majorHAnsi"/>
                <w:sz w:val="18"/>
                <w:szCs w:val="18"/>
              </w:rPr>
            </w:pPr>
          </w:p>
          <w:p w14:paraId="080E15A9" w14:textId="64A44B8A" w:rsidR="00DA5A71" w:rsidRPr="006477A6" w:rsidRDefault="00DA5A71" w:rsidP="006477A6">
            <w:pPr>
              <w:rPr>
                <w:rFonts w:asciiTheme="majorHAnsi" w:hAnsiTheme="majorHAnsi" w:cstheme="majorHAnsi"/>
                <w:sz w:val="18"/>
                <w:szCs w:val="18"/>
              </w:rPr>
            </w:pPr>
          </w:p>
        </w:tc>
      </w:tr>
      <w:tr w:rsidR="00C5016E" w:rsidRPr="006477A6" w14:paraId="1A2E1B62"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11197F1C" w14:textId="5F70D0D1" w:rsidR="00C5016E" w:rsidRPr="006477A6" w:rsidRDefault="00C5016E" w:rsidP="006477A6">
            <w:pPr>
              <w:rPr>
                <w:rFonts w:asciiTheme="majorHAnsi" w:hAnsiTheme="majorHAnsi" w:cstheme="majorHAnsi"/>
                <w:sz w:val="18"/>
                <w:szCs w:val="18"/>
              </w:rPr>
            </w:pPr>
            <w:r w:rsidRPr="006477A6">
              <w:rPr>
                <w:rFonts w:asciiTheme="majorHAnsi" w:hAnsiTheme="majorHAnsi" w:cstheme="majorHAnsi"/>
                <w:sz w:val="18"/>
                <w:szCs w:val="18"/>
              </w:rPr>
              <w:t>What is the timeframe of the guideline?</w:t>
            </w:r>
          </w:p>
        </w:tc>
      </w:tr>
      <w:tr w:rsidR="003E36BE" w:rsidRPr="006477A6" w14:paraId="77132CB6" w14:textId="77777777" w:rsidTr="00DA5A71">
        <w:tc>
          <w:tcPr>
            <w:cnfStyle w:val="001000000000" w:firstRow="0" w:lastRow="0" w:firstColumn="1" w:lastColumn="0" w:oddVBand="0" w:evenVBand="0" w:oddHBand="0" w:evenHBand="0" w:firstRowFirstColumn="0" w:firstRowLastColumn="0" w:lastRowFirstColumn="0" w:lastRowLastColumn="0"/>
            <w:tcW w:w="1555" w:type="dxa"/>
            <w:gridSpan w:val="2"/>
            <w:shd w:val="clear" w:color="auto" w:fill="auto"/>
          </w:tcPr>
          <w:p w14:paraId="387E09B4" w14:textId="1AAC0114" w:rsidR="003E36BE" w:rsidRPr="006477A6" w:rsidRDefault="002F1154" w:rsidP="006477A6">
            <w:pPr>
              <w:rPr>
                <w:rFonts w:asciiTheme="majorHAnsi" w:hAnsiTheme="majorHAnsi" w:cstheme="majorHAnsi"/>
                <w:b w:val="0"/>
                <w:bCs/>
                <w:sz w:val="18"/>
                <w:szCs w:val="18"/>
                <w:lang w:eastAsia="en-AU"/>
              </w:rPr>
            </w:pPr>
            <w:sdt>
              <w:sdtPr>
                <w:rPr>
                  <w:rFonts w:asciiTheme="majorHAnsi" w:hAnsiTheme="majorHAnsi" w:cstheme="majorHAnsi"/>
                  <w:b w:val="0"/>
                  <w:bCs/>
                  <w:color w:val="auto"/>
                  <w:sz w:val="18"/>
                  <w:szCs w:val="18"/>
                </w:rPr>
                <w:id w:val="536091323"/>
                <w14:checkbox>
                  <w14:checked w14:val="0"/>
                  <w14:checkedState w14:val="2612" w14:font="MS Gothic"/>
                  <w14:uncheckedState w14:val="2610" w14:font="MS Gothic"/>
                </w14:checkbox>
              </w:sdtPr>
              <w:sdtEndPr/>
              <w:sdtContent>
                <w:r w:rsidR="00DA5A71" w:rsidRPr="006477A6">
                  <w:rPr>
                    <w:rFonts w:ascii="Segoe UI Symbol" w:hAnsi="Segoe UI Symbol" w:cs="Segoe UI Symbol"/>
                    <w:b w:val="0"/>
                    <w:bCs/>
                    <w:color w:val="auto"/>
                    <w:sz w:val="18"/>
                    <w:szCs w:val="18"/>
                    <w:lang w:eastAsia="en-AU"/>
                  </w:rPr>
                  <w:t>☐</w:t>
                </w:r>
              </w:sdtContent>
            </w:sdt>
            <w:r w:rsidR="00DA5A71" w:rsidRPr="006477A6">
              <w:rPr>
                <w:rFonts w:asciiTheme="majorHAnsi" w:hAnsiTheme="majorHAnsi" w:cstheme="majorHAnsi"/>
                <w:b w:val="0"/>
                <w:bCs/>
                <w:color w:val="auto"/>
                <w:sz w:val="18"/>
                <w:szCs w:val="18"/>
                <w:lang w:eastAsia="en-AU"/>
              </w:rPr>
              <w:t xml:space="preserve"> </w:t>
            </w:r>
            <w:r w:rsidR="003E36BE" w:rsidRPr="006477A6">
              <w:rPr>
                <w:rFonts w:asciiTheme="majorHAnsi" w:hAnsiTheme="majorHAnsi" w:cstheme="majorHAnsi"/>
                <w:b w:val="0"/>
                <w:bCs/>
                <w:color w:val="auto"/>
                <w:sz w:val="18"/>
                <w:szCs w:val="18"/>
                <w:lang w:eastAsia="en-AU"/>
              </w:rPr>
              <w:t>Last days</w:t>
            </w:r>
          </w:p>
        </w:tc>
        <w:tc>
          <w:tcPr>
            <w:tcW w:w="1984" w:type="dxa"/>
            <w:gridSpan w:val="3"/>
            <w:shd w:val="clear" w:color="auto" w:fill="auto"/>
          </w:tcPr>
          <w:p w14:paraId="56470BA4" w14:textId="3D9B80B5"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486626509"/>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Week to days </w:t>
            </w:r>
          </w:p>
        </w:tc>
        <w:tc>
          <w:tcPr>
            <w:tcW w:w="2268" w:type="dxa"/>
            <w:gridSpan w:val="5"/>
            <w:shd w:val="clear" w:color="auto" w:fill="auto"/>
          </w:tcPr>
          <w:p w14:paraId="7E96824B" w14:textId="576D4EBF"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389311694"/>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Weeks to months</w:t>
            </w:r>
          </w:p>
        </w:tc>
        <w:tc>
          <w:tcPr>
            <w:tcW w:w="2268" w:type="dxa"/>
            <w:gridSpan w:val="4"/>
            <w:shd w:val="clear" w:color="auto" w:fill="auto"/>
          </w:tcPr>
          <w:p w14:paraId="6F1170C7" w14:textId="4835DDAE"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842820280"/>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Months to years </w:t>
            </w:r>
          </w:p>
        </w:tc>
        <w:tc>
          <w:tcPr>
            <w:tcW w:w="1706" w:type="dxa"/>
            <w:gridSpan w:val="2"/>
            <w:shd w:val="clear" w:color="auto" w:fill="auto"/>
          </w:tcPr>
          <w:p w14:paraId="0B20741D" w14:textId="5045F3A5"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236288760"/>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Unspecified</w:t>
            </w:r>
          </w:p>
        </w:tc>
      </w:tr>
      <w:tr w:rsidR="00DA5A71" w:rsidRPr="006477A6" w14:paraId="17B5B8EF"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7ACCA3D2" w14:textId="7B598961"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t>Are there any exclusions?</w:t>
            </w:r>
          </w:p>
        </w:tc>
      </w:tr>
      <w:tr w:rsidR="003E36BE" w:rsidRPr="006477A6" w14:paraId="2B767C0C" w14:textId="77777777" w:rsidTr="00DA5A71">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6B7A4330" w14:textId="7148FAD3" w:rsidR="003E36BE" w:rsidRPr="006477A6" w:rsidRDefault="002F1154" w:rsidP="006477A6">
            <w:pPr>
              <w:rPr>
                <w:rFonts w:asciiTheme="majorHAnsi" w:hAnsiTheme="majorHAnsi" w:cstheme="majorHAnsi"/>
                <w:b w:val="0"/>
                <w:bCs/>
                <w:sz w:val="18"/>
                <w:szCs w:val="18"/>
                <w:lang w:eastAsia="en-AU"/>
              </w:rPr>
            </w:pPr>
            <w:sdt>
              <w:sdtPr>
                <w:rPr>
                  <w:rFonts w:asciiTheme="majorHAnsi" w:hAnsiTheme="majorHAnsi" w:cstheme="majorHAnsi"/>
                  <w:b w:val="0"/>
                  <w:bCs/>
                  <w:color w:val="auto"/>
                  <w:sz w:val="18"/>
                  <w:szCs w:val="18"/>
                </w:rPr>
                <w:id w:val="2084261123"/>
                <w14:checkbox>
                  <w14:checked w14:val="0"/>
                  <w14:checkedState w14:val="2612" w14:font="MS Gothic"/>
                  <w14:uncheckedState w14:val="2610" w14:font="MS Gothic"/>
                </w14:checkbox>
              </w:sdtPr>
              <w:sdtEndPr/>
              <w:sdtContent>
                <w:r w:rsidR="00DA5A71" w:rsidRPr="006477A6">
                  <w:rPr>
                    <w:rFonts w:ascii="Segoe UI Symbol" w:hAnsi="Segoe UI Symbol" w:cs="Segoe UI Symbol"/>
                    <w:b w:val="0"/>
                    <w:bCs/>
                    <w:color w:val="auto"/>
                    <w:sz w:val="18"/>
                    <w:szCs w:val="18"/>
                    <w:lang w:eastAsia="en-AU"/>
                  </w:rPr>
                  <w:t>☐</w:t>
                </w:r>
              </w:sdtContent>
            </w:sdt>
            <w:r w:rsidR="00DA5A71" w:rsidRPr="006477A6">
              <w:rPr>
                <w:rFonts w:asciiTheme="majorHAnsi" w:hAnsiTheme="majorHAnsi" w:cstheme="majorHAnsi"/>
                <w:b w:val="0"/>
                <w:bCs/>
                <w:color w:val="auto"/>
                <w:sz w:val="18"/>
                <w:szCs w:val="18"/>
                <w:lang w:eastAsia="en-AU"/>
              </w:rPr>
              <w:t xml:space="preserve"> </w:t>
            </w:r>
            <w:r w:rsidR="003E36BE" w:rsidRPr="006477A6">
              <w:rPr>
                <w:rFonts w:asciiTheme="majorHAnsi" w:hAnsiTheme="majorHAnsi" w:cstheme="majorHAnsi"/>
                <w:b w:val="0"/>
                <w:bCs/>
                <w:color w:val="auto"/>
                <w:sz w:val="18"/>
                <w:szCs w:val="18"/>
                <w:lang w:eastAsia="en-AU"/>
              </w:rPr>
              <w:t xml:space="preserve">No </w:t>
            </w:r>
          </w:p>
        </w:tc>
        <w:tc>
          <w:tcPr>
            <w:tcW w:w="7436" w:type="dxa"/>
            <w:gridSpan w:val="13"/>
            <w:shd w:val="clear" w:color="auto" w:fill="auto"/>
          </w:tcPr>
          <w:p w14:paraId="4C707A7A" w14:textId="4E7D6A91" w:rsidR="003E36BE"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962920164"/>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Yes</w:t>
            </w:r>
            <w:r w:rsidR="00DA5A71" w:rsidRPr="006477A6">
              <w:rPr>
                <w:rFonts w:asciiTheme="majorHAnsi" w:hAnsiTheme="majorHAnsi" w:cstheme="majorHAnsi"/>
                <w:sz w:val="18"/>
                <w:szCs w:val="18"/>
                <w:lang w:eastAsia="en-AU"/>
              </w:rPr>
              <w:t>, p</w:t>
            </w:r>
            <w:r w:rsidR="003E36BE" w:rsidRPr="006477A6">
              <w:rPr>
                <w:rFonts w:asciiTheme="majorHAnsi" w:hAnsiTheme="majorHAnsi" w:cstheme="majorHAnsi"/>
                <w:sz w:val="18"/>
                <w:szCs w:val="18"/>
                <w:lang w:eastAsia="en-AU"/>
              </w:rPr>
              <w:t>lease specify</w:t>
            </w:r>
          </w:p>
          <w:p w14:paraId="121785D8" w14:textId="77777777" w:rsidR="003E36BE" w:rsidRPr="006477A6" w:rsidRDefault="003E36BE"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DA5A71" w:rsidRPr="006477A6" w14:paraId="336C1224"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10193DFF" w14:textId="0B3FEE67"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t>Does the guideline include medications and dosages?</w:t>
            </w:r>
          </w:p>
        </w:tc>
      </w:tr>
      <w:tr w:rsidR="00DA5A71" w:rsidRPr="006477A6" w14:paraId="40223CEF" w14:textId="77777777" w:rsidTr="00DA5A71">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67FE6C9C" w14:textId="77777777" w:rsidR="00DA5A71" w:rsidRPr="006477A6" w:rsidRDefault="002F1154" w:rsidP="006477A6">
            <w:pPr>
              <w:rPr>
                <w:rFonts w:asciiTheme="majorHAnsi" w:hAnsiTheme="majorHAnsi" w:cstheme="majorHAnsi"/>
                <w:b w:val="0"/>
                <w:bCs/>
                <w:sz w:val="18"/>
                <w:szCs w:val="18"/>
                <w:lang w:eastAsia="en-AU"/>
              </w:rPr>
            </w:pPr>
            <w:sdt>
              <w:sdtPr>
                <w:rPr>
                  <w:rFonts w:asciiTheme="majorHAnsi" w:hAnsiTheme="majorHAnsi" w:cstheme="majorHAnsi"/>
                  <w:b w:val="0"/>
                  <w:bCs/>
                  <w:color w:val="auto"/>
                  <w:sz w:val="18"/>
                  <w:szCs w:val="18"/>
                </w:rPr>
                <w:id w:val="1517504881"/>
                <w14:checkbox>
                  <w14:checked w14:val="0"/>
                  <w14:checkedState w14:val="2612" w14:font="MS Gothic"/>
                  <w14:uncheckedState w14:val="2610" w14:font="MS Gothic"/>
                </w14:checkbox>
              </w:sdtPr>
              <w:sdtEndPr/>
              <w:sdtContent>
                <w:r w:rsidR="00DA5A71" w:rsidRPr="006477A6">
                  <w:rPr>
                    <w:rFonts w:ascii="Segoe UI Symbol" w:hAnsi="Segoe UI Symbol" w:cs="Segoe UI Symbol"/>
                    <w:b w:val="0"/>
                    <w:bCs/>
                    <w:color w:val="auto"/>
                    <w:sz w:val="18"/>
                    <w:szCs w:val="18"/>
                    <w:lang w:eastAsia="en-AU"/>
                  </w:rPr>
                  <w:t>☐</w:t>
                </w:r>
              </w:sdtContent>
            </w:sdt>
            <w:r w:rsidR="00DA5A71" w:rsidRPr="006477A6">
              <w:rPr>
                <w:rFonts w:asciiTheme="majorHAnsi" w:hAnsiTheme="majorHAnsi" w:cstheme="majorHAnsi"/>
                <w:b w:val="0"/>
                <w:bCs/>
                <w:color w:val="auto"/>
                <w:sz w:val="18"/>
                <w:szCs w:val="18"/>
                <w:lang w:eastAsia="en-AU"/>
              </w:rPr>
              <w:t xml:space="preserve"> No </w:t>
            </w:r>
          </w:p>
        </w:tc>
        <w:tc>
          <w:tcPr>
            <w:tcW w:w="7436" w:type="dxa"/>
            <w:gridSpan w:val="13"/>
            <w:shd w:val="clear" w:color="auto" w:fill="auto"/>
          </w:tcPr>
          <w:p w14:paraId="68FCAA68" w14:textId="6B54772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139958999"/>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sz w:val="18"/>
                <w:szCs w:val="18"/>
                <w:lang w:eastAsia="en-AU"/>
              </w:rPr>
              <w:t xml:space="preserve"> Yes</w:t>
            </w:r>
          </w:p>
        </w:tc>
      </w:tr>
      <w:tr w:rsidR="00DA5A71" w:rsidRPr="006477A6" w14:paraId="664A90F6"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12C9E45D" w14:textId="2F89C153"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t>Does the guideline specify who can administer the medication?</w:t>
            </w:r>
          </w:p>
        </w:tc>
      </w:tr>
      <w:tr w:rsidR="003E36BE" w:rsidRPr="006477A6" w14:paraId="67C5A232" w14:textId="77777777" w:rsidTr="00DA5A71">
        <w:tc>
          <w:tcPr>
            <w:cnfStyle w:val="001000000000" w:firstRow="0" w:lastRow="0" w:firstColumn="1" w:lastColumn="0" w:oddVBand="0" w:evenVBand="0" w:oddHBand="0" w:evenHBand="0" w:firstRowFirstColumn="0" w:firstRowLastColumn="0" w:lastRowFirstColumn="0" w:lastRowLastColumn="0"/>
            <w:tcW w:w="4957" w:type="dxa"/>
            <w:gridSpan w:val="8"/>
            <w:shd w:val="clear" w:color="auto" w:fill="auto"/>
          </w:tcPr>
          <w:p w14:paraId="67B52271" w14:textId="76149199" w:rsidR="003E36BE" w:rsidRPr="006477A6" w:rsidRDefault="002F1154" w:rsidP="006477A6">
            <w:pPr>
              <w:rPr>
                <w:rFonts w:asciiTheme="majorHAnsi" w:hAnsiTheme="majorHAnsi" w:cstheme="majorHAnsi"/>
                <w:b w:val="0"/>
                <w:bCs/>
                <w:color w:val="auto"/>
                <w:sz w:val="18"/>
                <w:szCs w:val="18"/>
              </w:rPr>
            </w:pPr>
            <w:sdt>
              <w:sdtPr>
                <w:rPr>
                  <w:rFonts w:asciiTheme="majorHAnsi" w:hAnsiTheme="majorHAnsi" w:cstheme="majorHAnsi"/>
                  <w:b w:val="0"/>
                  <w:bCs/>
                  <w:color w:val="auto"/>
                  <w:sz w:val="18"/>
                  <w:szCs w:val="18"/>
                </w:rPr>
                <w:id w:val="-1997801719"/>
                <w14:checkbox>
                  <w14:checked w14:val="0"/>
                  <w14:checkedState w14:val="2612" w14:font="MS Gothic"/>
                  <w14:uncheckedState w14:val="2610" w14:font="MS Gothic"/>
                </w14:checkbox>
              </w:sdtPr>
              <w:sdtEndPr/>
              <w:sdtContent>
                <w:r w:rsidR="00DA5A71" w:rsidRPr="006477A6">
                  <w:rPr>
                    <w:rFonts w:ascii="Segoe UI Symbol" w:hAnsi="Segoe UI Symbol" w:cs="Segoe UI Symbol"/>
                    <w:b w:val="0"/>
                    <w:bCs/>
                    <w:color w:val="auto"/>
                    <w:sz w:val="18"/>
                    <w:szCs w:val="18"/>
                  </w:rPr>
                  <w:t>☐</w:t>
                </w:r>
              </w:sdtContent>
            </w:sdt>
            <w:r w:rsidR="00DA5A71" w:rsidRPr="006477A6">
              <w:rPr>
                <w:rFonts w:asciiTheme="majorHAnsi" w:hAnsiTheme="majorHAnsi" w:cstheme="majorHAnsi"/>
                <w:b w:val="0"/>
                <w:bCs/>
                <w:color w:val="auto"/>
                <w:sz w:val="18"/>
                <w:szCs w:val="18"/>
              </w:rPr>
              <w:t xml:space="preserve"> </w:t>
            </w:r>
            <w:r w:rsidR="003E36BE" w:rsidRPr="006477A6">
              <w:rPr>
                <w:rFonts w:asciiTheme="majorHAnsi" w:hAnsiTheme="majorHAnsi" w:cstheme="majorHAnsi"/>
                <w:b w:val="0"/>
                <w:bCs/>
                <w:color w:val="auto"/>
                <w:sz w:val="18"/>
                <w:szCs w:val="18"/>
              </w:rPr>
              <w:t>Health professionals</w:t>
            </w:r>
          </w:p>
        </w:tc>
        <w:tc>
          <w:tcPr>
            <w:tcW w:w="4824" w:type="dxa"/>
            <w:gridSpan w:val="8"/>
            <w:shd w:val="clear" w:color="auto" w:fill="auto"/>
          </w:tcPr>
          <w:p w14:paraId="2AF72EA8" w14:textId="705B2055"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474266395"/>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sz w:val="18"/>
                <w:szCs w:val="18"/>
                <w:lang w:eastAsia="en-AU"/>
              </w:rPr>
              <w:t xml:space="preserve"> </w:t>
            </w:r>
            <w:r w:rsidR="003E36BE" w:rsidRPr="006477A6">
              <w:rPr>
                <w:rFonts w:asciiTheme="majorHAnsi" w:hAnsiTheme="majorHAnsi" w:cstheme="majorHAnsi"/>
                <w:sz w:val="18"/>
                <w:szCs w:val="18"/>
                <w:lang w:eastAsia="en-AU"/>
              </w:rPr>
              <w:t xml:space="preserve">Carers </w:t>
            </w:r>
          </w:p>
        </w:tc>
      </w:tr>
      <w:tr w:rsidR="00DA5A71" w:rsidRPr="006477A6" w14:paraId="05A5EE88"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12A2ABCF" w14:textId="061D62DE"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lastRenderedPageBreak/>
              <w:t>Does the guideline include or refer to educational resources?</w:t>
            </w:r>
          </w:p>
        </w:tc>
      </w:tr>
      <w:tr w:rsidR="00DA5A71" w:rsidRPr="006477A6" w14:paraId="7080AA2F" w14:textId="77777777" w:rsidTr="00DA5A71">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37AB02CF" w14:textId="77777777" w:rsidR="00DA5A71" w:rsidRPr="006477A6" w:rsidRDefault="002F1154" w:rsidP="006477A6">
            <w:pPr>
              <w:rPr>
                <w:rFonts w:asciiTheme="majorHAnsi" w:hAnsiTheme="majorHAnsi" w:cstheme="majorHAnsi"/>
                <w:sz w:val="18"/>
                <w:szCs w:val="18"/>
                <w:lang w:eastAsia="en-AU"/>
              </w:rPr>
            </w:pPr>
            <w:sdt>
              <w:sdtPr>
                <w:rPr>
                  <w:rFonts w:asciiTheme="majorHAnsi" w:hAnsiTheme="majorHAnsi" w:cstheme="majorHAnsi"/>
                  <w:b w:val="0"/>
                  <w:bCs/>
                  <w:color w:val="auto"/>
                  <w:sz w:val="18"/>
                  <w:szCs w:val="18"/>
                </w:rPr>
                <w:id w:val="1071768236"/>
                <w14:checkbox>
                  <w14:checked w14:val="0"/>
                  <w14:checkedState w14:val="2612" w14:font="MS Gothic"/>
                  <w14:uncheckedState w14:val="2610" w14:font="MS Gothic"/>
                </w14:checkbox>
              </w:sdtPr>
              <w:sdtEndPr/>
              <w:sdtContent>
                <w:r w:rsidR="00DA5A71" w:rsidRPr="006477A6">
                  <w:rPr>
                    <w:rFonts w:ascii="Segoe UI Symbol" w:hAnsi="Segoe UI Symbol" w:cs="Segoe UI Symbol"/>
                    <w:b w:val="0"/>
                    <w:bCs/>
                    <w:color w:val="auto"/>
                    <w:sz w:val="18"/>
                    <w:szCs w:val="18"/>
                  </w:rPr>
                  <w:t>☐</w:t>
                </w:r>
              </w:sdtContent>
            </w:sdt>
            <w:r w:rsidR="00DA5A71" w:rsidRPr="006477A6">
              <w:rPr>
                <w:rFonts w:asciiTheme="majorHAnsi" w:hAnsiTheme="majorHAnsi" w:cstheme="majorHAnsi"/>
                <w:b w:val="0"/>
                <w:bCs/>
                <w:color w:val="auto"/>
                <w:sz w:val="18"/>
                <w:szCs w:val="18"/>
              </w:rPr>
              <w:t xml:space="preserve"> No</w:t>
            </w:r>
            <w:r w:rsidR="00DA5A71" w:rsidRPr="006477A6">
              <w:rPr>
                <w:rFonts w:asciiTheme="majorHAnsi" w:hAnsiTheme="majorHAnsi" w:cstheme="majorHAnsi"/>
                <w:sz w:val="18"/>
                <w:szCs w:val="18"/>
                <w:lang w:eastAsia="en-AU"/>
              </w:rPr>
              <w:t xml:space="preserve"> </w:t>
            </w:r>
          </w:p>
        </w:tc>
        <w:tc>
          <w:tcPr>
            <w:tcW w:w="7436" w:type="dxa"/>
            <w:gridSpan w:val="13"/>
            <w:shd w:val="clear" w:color="auto" w:fill="auto"/>
          </w:tcPr>
          <w:p w14:paraId="369796CB"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039163720"/>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sz w:val="18"/>
                <w:szCs w:val="18"/>
                <w:lang w:eastAsia="en-AU"/>
              </w:rPr>
              <w:t xml:space="preserve"> Yes</w:t>
            </w:r>
          </w:p>
        </w:tc>
      </w:tr>
      <w:tr w:rsidR="00DA5A71" w:rsidRPr="006477A6" w14:paraId="3651D195"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1B52108E" w14:textId="186414CF" w:rsidR="00DA5A71" w:rsidRPr="006477A6" w:rsidRDefault="00DA5A71" w:rsidP="006477A6">
            <w:pPr>
              <w:rPr>
                <w:rFonts w:asciiTheme="majorHAnsi" w:hAnsiTheme="majorHAnsi" w:cstheme="majorHAnsi"/>
                <w:bCs/>
                <w:sz w:val="18"/>
                <w:szCs w:val="18"/>
              </w:rPr>
            </w:pPr>
            <w:r w:rsidRPr="006477A6">
              <w:rPr>
                <w:rFonts w:asciiTheme="majorHAnsi" w:hAnsiTheme="majorHAnsi" w:cstheme="majorHAnsi"/>
                <w:sz w:val="18"/>
                <w:szCs w:val="18"/>
              </w:rPr>
              <w:t>Comments:</w:t>
            </w:r>
          </w:p>
        </w:tc>
      </w:tr>
      <w:tr w:rsidR="00796A1C" w:rsidRPr="006477A6" w14:paraId="2CEBA0D7"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3D6D7BAC" w14:textId="094BDE10" w:rsidR="00DA5A71" w:rsidRPr="006477A6" w:rsidRDefault="00DA5A71" w:rsidP="006477A6">
            <w:pPr>
              <w:rPr>
                <w:rFonts w:asciiTheme="majorHAnsi" w:hAnsiTheme="majorHAnsi" w:cstheme="majorHAnsi"/>
                <w:sz w:val="18"/>
                <w:szCs w:val="18"/>
              </w:rPr>
            </w:pPr>
          </w:p>
          <w:p w14:paraId="3E92C881" w14:textId="2022DBA6" w:rsidR="00796A1C" w:rsidRPr="006477A6" w:rsidRDefault="00796A1C" w:rsidP="006477A6">
            <w:pPr>
              <w:rPr>
                <w:rFonts w:asciiTheme="majorHAnsi" w:hAnsiTheme="majorHAnsi" w:cstheme="majorHAnsi"/>
                <w:sz w:val="18"/>
                <w:szCs w:val="18"/>
              </w:rPr>
            </w:pPr>
          </w:p>
          <w:p w14:paraId="74514086" w14:textId="77777777" w:rsidR="00796A1C" w:rsidRPr="006477A6" w:rsidRDefault="00796A1C" w:rsidP="006477A6">
            <w:pPr>
              <w:rPr>
                <w:rFonts w:asciiTheme="majorHAnsi" w:hAnsiTheme="majorHAnsi" w:cstheme="majorHAnsi"/>
                <w:sz w:val="18"/>
                <w:szCs w:val="18"/>
              </w:rPr>
            </w:pPr>
          </w:p>
          <w:p w14:paraId="07BA13EC" w14:textId="77777777" w:rsidR="00DA5A71" w:rsidRPr="006477A6" w:rsidRDefault="00DA5A71" w:rsidP="006477A6">
            <w:pPr>
              <w:rPr>
                <w:rFonts w:asciiTheme="majorHAnsi" w:hAnsiTheme="majorHAnsi" w:cstheme="majorHAnsi"/>
                <w:sz w:val="18"/>
                <w:szCs w:val="18"/>
              </w:rPr>
            </w:pPr>
          </w:p>
          <w:p w14:paraId="21EA19C7" w14:textId="2C2E4FD9" w:rsidR="00DA5A71" w:rsidRPr="006477A6" w:rsidRDefault="00DA5A71" w:rsidP="006477A6">
            <w:pPr>
              <w:rPr>
                <w:rFonts w:asciiTheme="majorHAnsi" w:hAnsiTheme="majorHAnsi" w:cstheme="majorHAnsi"/>
                <w:sz w:val="18"/>
                <w:szCs w:val="18"/>
              </w:rPr>
            </w:pPr>
          </w:p>
        </w:tc>
      </w:tr>
      <w:tr w:rsidR="00DA5A71" w:rsidRPr="006477A6" w14:paraId="6807F118"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357BC381" w14:textId="53247F8D"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t>2. Reliable</w:t>
            </w:r>
          </w:p>
        </w:tc>
      </w:tr>
      <w:tr w:rsidR="00DA5A71" w:rsidRPr="006477A6" w14:paraId="2CC1F89C"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6CA3B87E" w14:textId="1E7B8207"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t xml:space="preserve">Guideline </w:t>
            </w:r>
            <w:r w:rsidR="0048576E" w:rsidRPr="006477A6">
              <w:rPr>
                <w:rFonts w:asciiTheme="majorHAnsi" w:hAnsiTheme="majorHAnsi" w:cstheme="majorHAnsi"/>
                <w:sz w:val="18"/>
                <w:szCs w:val="18"/>
              </w:rPr>
              <w:t>c</w:t>
            </w:r>
            <w:r w:rsidRPr="006477A6">
              <w:rPr>
                <w:rFonts w:asciiTheme="majorHAnsi" w:hAnsiTheme="majorHAnsi" w:cstheme="majorHAnsi"/>
                <w:sz w:val="18"/>
                <w:szCs w:val="18"/>
              </w:rPr>
              <w:t>reation</w:t>
            </w:r>
          </w:p>
          <w:p w14:paraId="7BC0C13B" w14:textId="77900F31" w:rsidR="00DA5A71" w:rsidRPr="006477A6" w:rsidRDefault="00DA5A71" w:rsidP="006477A6">
            <w:pPr>
              <w:rPr>
                <w:rFonts w:asciiTheme="majorHAnsi" w:hAnsiTheme="majorHAnsi" w:cstheme="majorHAnsi"/>
                <w:b w:val="0"/>
                <w:bCs/>
                <w:sz w:val="18"/>
                <w:szCs w:val="18"/>
              </w:rPr>
            </w:pPr>
            <w:r w:rsidRPr="006477A6">
              <w:rPr>
                <w:rFonts w:asciiTheme="majorHAnsi" w:hAnsiTheme="majorHAnsi" w:cstheme="majorHAnsi"/>
                <w:b w:val="0"/>
                <w:bCs/>
                <w:sz w:val="18"/>
                <w:szCs w:val="18"/>
              </w:rPr>
              <w:t>The guidelines were created in consultation with individuals from all relevant professional groups. This was clearly mentioned as were potential conflicts of interest.</w:t>
            </w:r>
          </w:p>
        </w:tc>
      </w:tr>
      <w:tr w:rsidR="00DA5A71" w:rsidRPr="006477A6" w14:paraId="233B4FCA" w14:textId="77777777" w:rsidTr="00DA5A71">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37446163" w14:textId="6D4C0FED" w:rsidR="00DA5A71" w:rsidRPr="006477A6" w:rsidRDefault="002F1154" w:rsidP="006477A6">
            <w:pPr>
              <w:rPr>
                <w:rFonts w:asciiTheme="majorHAnsi" w:hAnsiTheme="majorHAnsi" w:cstheme="majorHAnsi"/>
                <w:sz w:val="18"/>
                <w:szCs w:val="18"/>
              </w:rPr>
            </w:pPr>
            <w:sdt>
              <w:sdtPr>
                <w:rPr>
                  <w:rFonts w:asciiTheme="majorHAnsi" w:hAnsiTheme="majorHAnsi" w:cstheme="majorHAnsi"/>
                  <w:b w:val="0"/>
                  <w:bCs/>
                  <w:color w:val="auto"/>
                  <w:sz w:val="18"/>
                  <w:szCs w:val="18"/>
                </w:rPr>
                <w:id w:val="527604237"/>
                <w14:checkbox>
                  <w14:checked w14:val="0"/>
                  <w14:checkedState w14:val="2612" w14:font="MS Gothic"/>
                  <w14:uncheckedState w14:val="2610" w14:font="MS Gothic"/>
                </w14:checkbox>
              </w:sdtPr>
              <w:sdtEndPr/>
              <w:sdtContent>
                <w:r w:rsidR="00DA5A71" w:rsidRPr="006477A6">
                  <w:rPr>
                    <w:rFonts w:ascii="Segoe UI Symbol" w:hAnsi="Segoe UI Symbol" w:cs="Segoe UI Symbol"/>
                    <w:b w:val="0"/>
                    <w:bCs/>
                    <w:color w:val="auto"/>
                    <w:sz w:val="18"/>
                    <w:szCs w:val="18"/>
                  </w:rPr>
                  <w:t>☐</w:t>
                </w:r>
              </w:sdtContent>
            </w:sdt>
            <w:r w:rsidR="00DA5A71" w:rsidRPr="006477A6">
              <w:rPr>
                <w:rFonts w:asciiTheme="majorHAnsi" w:hAnsiTheme="majorHAnsi" w:cstheme="majorHAnsi"/>
                <w:b w:val="0"/>
                <w:bCs/>
                <w:color w:val="auto"/>
                <w:sz w:val="18"/>
                <w:szCs w:val="18"/>
              </w:rPr>
              <w:t xml:space="preserve"> Strongly disagree</w:t>
            </w:r>
          </w:p>
        </w:tc>
        <w:tc>
          <w:tcPr>
            <w:tcW w:w="1763" w:type="dxa"/>
            <w:gridSpan w:val="3"/>
            <w:shd w:val="clear" w:color="auto" w:fill="auto"/>
          </w:tcPr>
          <w:p w14:paraId="5558E7B5"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141081055"/>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Disagree </w:t>
            </w:r>
          </w:p>
        </w:tc>
        <w:tc>
          <w:tcPr>
            <w:tcW w:w="1844" w:type="dxa"/>
            <w:gridSpan w:val="5"/>
            <w:shd w:val="clear" w:color="auto" w:fill="auto"/>
          </w:tcPr>
          <w:p w14:paraId="4EBDF54D"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804276744"/>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Neutral </w:t>
            </w:r>
          </w:p>
        </w:tc>
        <w:tc>
          <w:tcPr>
            <w:tcW w:w="1844" w:type="dxa"/>
            <w:gridSpan w:val="2"/>
            <w:shd w:val="clear" w:color="auto" w:fill="auto"/>
          </w:tcPr>
          <w:p w14:paraId="6878700C"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320114114"/>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Agree </w:t>
            </w:r>
          </w:p>
        </w:tc>
        <w:tc>
          <w:tcPr>
            <w:tcW w:w="1985" w:type="dxa"/>
            <w:gridSpan w:val="3"/>
            <w:shd w:val="clear" w:color="auto" w:fill="auto"/>
          </w:tcPr>
          <w:p w14:paraId="6F6F7DD5"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278397992"/>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Strongly agree </w:t>
            </w:r>
          </w:p>
        </w:tc>
      </w:tr>
      <w:tr w:rsidR="00DA5A71" w:rsidRPr="006477A6" w14:paraId="10F3A485"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588C144D" w14:textId="77777777" w:rsidR="00DA5A71" w:rsidRPr="006477A6" w:rsidRDefault="00DA5A71" w:rsidP="006477A6">
            <w:pPr>
              <w:rPr>
                <w:rFonts w:asciiTheme="majorHAnsi" w:hAnsiTheme="majorHAnsi" w:cstheme="majorHAnsi"/>
                <w:bCs/>
                <w:sz w:val="18"/>
                <w:szCs w:val="18"/>
              </w:rPr>
            </w:pPr>
            <w:r w:rsidRPr="006477A6">
              <w:rPr>
                <w:rFonts w:asciiTheme="majorHAnsi" w:hAnsiTheme="majorHAnsi" w:cstheme="majorHAnsi"/>
                <w:sz w:val="18"/>
                <w:szCs w:val="18"/>
              </w:rPr>
              <w:t>Comments:</w:t>
            </w:r>
          </w:p>
        </w:tc>
      </w:tr>
      <w:tr w:rsidR="00796A1C" w:rsidRPr="006477A6" w14:paraId="3E22DB25"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6DFB2DEC" w14:textId="6C2550FC" w:rsidR="00DA5A71" w:rsidRPr="006477A6" w:rsidRDefault="00DA5A71" w:rsidP="006477A6">
            <w:pPr>
              <w:rPr>
                <w:rFonts w:asciiTheme="majorHAnsi" w:hAnsiTheme="majorHAnsi" w:cstheme="majorHAnsi"/>
                <w:sz w:val="18"/>
                <w:szCs w:val="18"/>
              </w:rPr>
            </w:pPr>
          </w:p>
          <w:p w14:paraId="6EA0BA92" w14:textId="272269F4" w:rsidR="00796A1C" w:rsidRPr="006477A6" w:rsidRDefault="00796A1C" w:rsidP="006477A6">
            <w:pPr>
              <w:rPr>
                <w:rFonts w:asciiTheme="majorHAnsi" w:hAnsiTheme="majorHAnsi" w:cstheme="majorHAnsi"/>
                <w:sz w:val="18"/>
                <w:szCs w:val="18"/>
              </w:rPr>
            </w:pPr>
          </w:p>
          <w:p w14:paraId="6E47734E" w14:textId="77777777" w:rsidR="00796A1C" w:rsidRPr="006477A6" w:rsidRDefault="00796A1C" w:rsidP="006477A6">
            <w:pPr>
              <w:rPr>
                <w:rFonts w:asciiTheme="majorHAnsi" w:hAnsiTheme="majorHAnsi" w:cstheme="majorHAnsi"/>
                <w:sz w:val="18"/>
                <w:szCs w:val="18"/>
              </w:rPr>
            </w:pPr>
          </w:p>
          <w:p w14:paraId="581DABFF" w14:textId="77777777" w:rsidR="00DA5A71" w:rsidRPr="006477A6" w:rsidRDefault="00DA5A71" w:rsidP="006477A6">
            <w:pPr>
              <w:rPr>
                <w:rFonts w:asciiTheme="majorHAnsi" w:hAnsiTheme="majorHAnsi" w:cstheme="majorHAnsi"/>
                <w:sz w:val="18"/>
                <w:szCs w:val="18"/>
              </w:rPr>
            </w:pPr>
          </w:p>
          <w:p w14:paraId="055C39D2" w14:textId="77777777" w:rsidR="00DA5A71" w:rsidRPr="006477A6" w:rsidRDefault="00DA5A71" w:rsidP="006477A6">
            <w:pPr>
              <w:rPr>
                <w:rFonts w:asciiTheme="majorHAnsi" w:hAnsiTheme="majorHAnsi" w:cstheme="majorHAnsi"/>
                <w:sz w:val="18"/>
                <w:szCs w:val="18"/>
              </w:rPr>
            </w:pPr>
          </w:p>
        </w:tc>
      </w:tr>
      <w:tr w:rsidR="00DA5A71" w:rsidRPr="006477A6" w14:paraId="4C9D920A"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46A54038" w14:textId="4E3DEFF6"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t>3. Valid</w:t>
            </w:r>
          </w:p>
        </w:tc>
      </w:tr>
      <w:tr w:rsidR="00DA5A71" w:rsidRPr="006477A6" w14:paraId="424D3BC2" w14:textId="77777777" w:rsidTr="00DA5A71">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6C36370B" w14:textId="77777777"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t>Use of evidence</w:t>
            </w:r>
          </w:p>
          <w:p w14:paraId="1DBBA247" w14:textId="6E87D654" w:rsidR="00DA5A71" w:rsidRPr="006477A6" w:rsidRDefault="00DA5A71" w:rsidP="006477A6">
            <w:pPr>
              <w:rPr>
                <w:rFonts w:asciiTheme="majorHAnsi" w:hAnsiTheme="majorHAnsi" w:cstheme="majorHAnsi"/>
                <w:b w:val="0"/>
                <w:bCs/>
                <w:sz w:val="18"/>
                <w:szCs w:val="18"/>
              </w:rPr>
            </w:pPr>
            <w:r w:rsidRPr="006477A6">
              <w:rPr>
                <w:rFonts w:asciiTheme="majorHAnsi" w:hAnsiTheme="majorHAnsi" w:cstheme="majorHAnsi"/>
                <w:b w:val="0"/>
                <w:bCs/>
                <w:sz w:val="18"/>
                <w:szCs w:val="18"/>
              </w:rPr>
              <w:t>Systematic methods</w:t>
            </w:r>
            <w:r w:rsidRPr="006477A6">
              <w:rPr>
                <w:rFonts w:asciiTheme="majorHAnsi" w:hAnsiTheme="majorHAnsi" w:cstheme="majorHAnsi"/>
                <w:b w:val="0"/>
                <w:bCs/>
                <w:sz w:val="18"/>
                <w:szCs w:val="18"/>
                <w:vertAlign w:val="superscript"/>
              </w:rPr>
              <w:t>1</w:t>
            </w:r>
            <w:r w:rsidRPr="006477A6">
              <w:rPr>
                <w:rFonts w:asciiTheme="majorHAnsi" w:hAnsiTheme="majorHAnsi" w:cstheme="majorHAnsi"/>
                <w:b w:val="0"/>
                <w:bCs/>
                <w:sz w:val="18"/>
                <w:szCs w:val="18"/>
              </w:rPr>
              <w:t xml:space="preserve"> were used to search for evidence. The quality of evidence was assessed and graded</w:t>
            </w:r>
            <w:r w:rsidRPr="006477A6">
              <w:rPr>
                <w:rFonts w:asciiTheme="majorHAnsi" w:hAnsiTheme="majorHAnsi" w:cstheme="majorHAnsi"/>
                <w:b w:val="0"/>
                <w:bCs/>
                <w:sz w:val="18"/>
                <w:szCs w:val="18"/>
                <w:vertAlign w:val="superscript"/>
              </w:rPr>
              <w:t>2</w:t>
            </w:r>
            <w:r w:rsidRPr="006477A6">
              <w:rPr>
                <w:rFonts w:asciiTheme="majorHAnsi" w:hAnsiTheme="majorHAnsi" w:cstheme="majorHAnsi"/>
                <w:b w:val="0"/>
                <w:bCs/>
                <w:sz w:val="18"/>
                <w:szCs w:val="18"/>
              </w:rPr>
              <w:t>. Good quality evidence was used to support the key recommendations.</w:t>
            </w:r>
          </w:p>
        </w:tc>
      </w:tr>
      <w:tr w:rsidR="00DA5A71" w:rsidRPr="006477A6" w14:paraId="25AF3A63" w14:textId="77777777" w:rsidTr="00DA5A71">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4E7E4D06" w14:textId="77777777" w:rsidR="00DA5A71" w:rsidRPr="006477A6" w:rsidRDefault="002F1154" w:rsidP="006477A6">
            <w:pPr>
              <w:rPr>
                <w:rFonts w:asciiTheme="majorHAnsi" w:hAnsiTheme="majorHAnsi" w:cstheme="majorHAnsi"/>
                <w:b w:val="0"/>
                <w:bCs/>
                <w:sz w:val="18"/>
                <w:szCs w:val="18"/>
              </w:rPr>
            </w:pPr>
            <w:sdt>
              <w:sdtPr>
                <w:rPr>
                  <w:rFonts w:asciiTheme="majorHAnsi" w:hAnsiTheme="majorHAnsi" w:cstheme="majorHAnsi"/>
                  <w:b w:val="0"/>
                  <w:bCs/>
                  <w:color w:val="auto"/>
                  <w:sz w:val="18"/>
                  <w:szCs w:val="18"/>
                </w:rPr>
                <w:id w:val="1938014110"/>
                <w14:checkbox>
                  <w14:checked w14:val="0"/>
                  <w14:checkedState w14:val="2612" w14:font="MS Gothic"/>
                  <w14:uncheckedState w14:val="2610" w14:font="MS Gothic"/>
                </w14:checkbox>
              </w:sdtPr>
              <w:sdtEndPr/>
              <w:sdtContent>
                <w:r w:rsidR="00DA5A71" w:rsidRPr="006477A6">
                  <w:rPr>
                    <w:rFonts w:ascii="Segoe UI Symbol" w:hAnsi="Segoe UI Symbol" w:cs="Segoe UI Symbol"/>
                    <w:b w:val="0"/>
                    <w:bCs/>
                    <w:color w:val="auto"/>
                    <w:sz w:val="18"/>
                    <w:szCs w:val="18"/>
                    <w:lang w:eastAsia="en-AU"/>
                  </w:rPr>
                  <w:t>☐</w:t>
                </w:r>
              </w:sdtContent>
            </w:sdt>
            <w:r w:rsidR="00DA5A71" w:rsidRPr="006477A6">
              <w:rPr>
                <w:rFonts w:asciiTheme="majorHAnsi" w:hAnsiTheme="majorHAnsi" w:cstheme="majorHAnsi"/>
                <w:b w:val="0"/>
                <w:bCs/>
                <w:color w:val="auto"/>
                <w:sz w:val="18"/>
                <w:szCs w:val="18"/>
              </w:rPr>
              <w:t xml:space="preserve"> </w:t>
            </w:r>
            <w:r w:rsidR="00DA5A71" w:rsidRPr="006477A6">
              <w:rPr>
                <w:rFonts w:asciiTheme="majorHAnsi" w:hAnsiTheme="majorHAnsi" w:cstheme="majorHAnsi"/>
                <w:b w:val="0"/>
                <w:bCs/>
                <w:color w:val="auto"/>
                <w:sz w:val="18"/>
                <w:szCs w:val="18"/>
                <w:lang w:eastAsia="en-AU"/>
              </w:rPr>
              <w:t>Strongly disagree</w:t>
            </w:r>
          </w:p>
        </w:tc>
        <w:tc>
          <w:tcPr>
            <w:tcW w:w="1763" w:type="dxa"/>
            <w:gridSpan w:val="3"/>
            <w:shd w:val="clear" w:color="auto" w:fill="auto"/>
          </w:tcPr>
          <w:p w14:paraId="5E5DBC64"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2018295965"/>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Disagree </w:t>
            </w:r>
          </w:p>
        </w:tc>
        <w:tc>
          <w:tcPr>
            <w:tcW w:w="1844" w:type="dxa"/>
            <w:gridSpan w:val="5"/>
            <w:shd w:val="clear" w:color="auto" w:fill="auto"/>
          </w:tcPr>
          <w:p w14:paraId="4D1120AB"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482819550"/>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Neutral </w:t>
            </w:r>
          </w:p>
        </w:tc>
        <w:tc>
          <w:tcPr>
            <w:tcW w:w="1844" w:type="dxa"/>
            <w:gridSpan w:val="2"/>
            <w:shd w:val="clear" w:color="auto" w:fill="auto"/>
          </w:tcPr>
          <w:p w14:paraId="251F1FE2"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773945134"/>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Agree </w:t>
            </w:r>
          </w:p>
        </w:tc>
        <w:tc>
          <w:tcPr>
            <w:tcW w:w="1985" w:type="dxa"/>
            <w:gridSpan w:val="3"/>
            <w:shd w:val="clear" w:color="auto" w:fill="auto"/>
          </w:tcPr>
          <w:p w14:paraId="3616D9D3"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107466520"/>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Strongly agree </w:t>
            </w:r>
          </w:p>
        </w:tc>
      </w:tr>
      <w:tr w:rsidR="00DA5A71" w:rsidRPr="006477A6" w14:paraId="39A7542B" w14:textId="77777777" w:rsidTr="003F36D9">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49576AC1" w14:textId="77777777" w:rsidR="00DA5A71" w:rsidRPr="006477A6" w:rsidRDefault="00DA5A71" w:rsidP="006477A6">
            <w:pPr>
              <w:rPr>
                <w:rFonts w:asciiTheme="majorHAnsi" w:hAnsiTheme="majorHAnsi" w:cstheme="majorHAnsi"/>
                <w:bCs/>
                <w:sz w:val="18"/>
                <w:szCs w:val="18"/>
              </w:rPr>
            </w:pPr>
            <w:r w:rsidRPr="006477A6">
              <w:rPr>
                <w:rFonts w:asciiTheme="majorHAnsi" w:hAnsiTheme="majorHAnsi" w:cstheme="majorHAnsi"/>
                <w:sz w:val="18"/>
                <w:szCs w:val="18"/>
              </w:rPr>
              <w:t>Comments:</w:t>
            </w:r>
          </w:p>
        </w:tc>
      </w:tr>
      <w:tr w:rsidR="00796A1C" w:rsidRPr="006477A6" w14:paraId="126FB727" w14:textId="77777777" w:rsidTr="003F36D9">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1436345D" w14:textId="461F63FB" w:rsidR="00DA5A71" w:rsidRPr="006477A6" w:rsidRDefault="00DA5A71" w:rsidP="006477A6">
            <w:pPr>
              <w:rPr>
                <w:rFonts w:asciiTheme="majorHAnsi" w:hAnsiTheme="majorHAnsi" w:cstheme="majorHAnsi"/>
                <w:sz w:val="18"/>
                <w:szCs w:val="18"/>
              </w:rPr>
            </w:pPr>
          </w:p>
          <w:p w14:paraId="3D4B7CB6" w14:textId="13FC1482" w:rsidR="00796A1C" w:rsidRPr="006477A6" w:rsidRDefault="00796A1C" w:rsidP="006477A6">
            <w:pPr>
              <w:rPr>
                <w:rFonts w:asciiTheme="majorHAnsi" w:hAnsiTheme="majorHAnsi" w:cstheme="majorHAnsi"/>
                <w:sz w:val="18"/>
                <w:szCs w:val="18"/>
              </w:rPr>
            </w:pPr>
          </w:p>
          <w:p w14:paraId="48AB7028" w14:textId="77777777" w:rsidR="00796A1C" w:rsidRPr="006477A6" w:rsidRDefault="00796A1C" w:rsidP="006477A6">
            <w:pPr>
              <w:rPr>
                <w:rFonts w:asciiTheme="majorHAnsi" w:hAnsiTheme="majorHAnsi" w:cstheme="majorHAnsi"/>
                <w:sz w:val="18"/>
                <w:szCs w:val="18"/>
              </w:rPr>
            </w:pPr>
          </w:p>
          <w:p w14:paraId="15C0D456" w14:textId="77777777" w:rsidR="00DA5A71" w:rsidRPr="006477A6" w:rsidRDefault="00DA5A71" w:rsidP="006477A6">
            <w:pPr>
              <w:rPr>
                <w:rFonts w:asciiTheme="majorHAnsi" w:hAnsiTheme="majorHAnsi" w:cstheme="majorHAnsi"/>
                <w:sz w:val="18"/>
                <w:szCs w:val="18"/>
              </w:rPr>
            </w:pPr>
          </w:p>
          <w:p w14:paraId="7BE81B64" w14:textId="7E837F8A" w:rsidR="00DA5A71" w:rsidRPr="006477A6" w:rsidRDefault="00DA5A71" w:rsidP="006477A6">
            <w:pPr>
              <w:rPr>
                <w:rFonts w:asciiTheme="majorHAnsi" w:hAnsiTheme="majorHAnsi" w:cstheme="majorHAnsi"/>
                <w:sz w:val="18"/>
                <w:szCs w:val="18"/>
              </w:rPr>
            </w:pPr>
          </w:p>
        </w:tc>
      </w:tr>
      <w:tr w:rsidR="00DA5A71" w:rsidRPr="006477A6" w14:paraId="6A917447" w14:textId="77777777" w:rsidTr="003F36D9">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006677A4" w14:textId="77777777"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lastRenderedPageBreak/>
              <w:t>Currency</w:t>
            </w:r>
          </w:p>
          <w:p w14:paraId="5CF2D2E5" w14:textId="76086FFE" w:rsidR="00DA5A71" w:rsidRPr="006477A6" w:rsidRDefault="00DA5A71" w:rsidP="006477A6">
            <w:pPr>
              <w:rPr>
                <w:rFonts w:asciiTheme="majorHAnsi" w:hAnsiTheme="majorHAnsi" w:cstheme="majorHAnsi"/>
                <w:b w:val="0"/>
                <w:bCs/>
                <w:sz w:val="18"/>
                <w:szCs w:val="18"/>
              </w:rPr>
            </w:pPr>
            <w:r w:rsidRPr="006477A6">
              <w:rPr>
                <w:rFonts w:asciiTheme="majorHAnsi" w:hAnsiTheme="majorHAnsi" w:cstheme="majorHAnsi"/>
                <w:b w:val="0"/>
                <w:bCs/>
                <w:sz w:val="18"/>
                <w:szCs w:val="18"/>
              </w:rPr>
              <w:t>The guideline was developed in the last five years or is not due to expire in the next year. There is a planned review date or process which is clearly stated.</w:t>
            </w:r>
          </w:p>
        </w:tc>
      </w:tr>
      <w:tr w:rsidR="00DA5A71" w:rsidRPr="006477A6" w14:paraId="511A16B2" w14:textId="77777777" w:rsidTr="003F36D9">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6A4E8338" w14:textId="77777777" w:rsidR="00DA5A71" w:rsidRPr="006477A6" w:rsidRDefault="002F1154" w:rsidP="006477A6">
            <w:pPr>
              <w:rPr>
                <w:rFonts w:asciiTheme="majorHAnsi" w:hAnsiTheme="majorHAnsi" w:cstheme="majorHAnsi"/>
                <w:sz w:val="18"/>
                <w:szCs w:val="18"/>
              </w:rPr>
            </w:pPr>
            <w:sdt>
              <w:sdtPr>
                <w:rPr>
                  <w:rFonts w:asciiTheme="majorHAnsi" w:hAnsiTheme="majorHAnsi" w:cstheme="majorHAnsi"/>
                  <w:b w:val="0"/>
                  <w:bCs/>
                  <w:color w:val="auto"/>
                  <w:sz w:val="18"/>
                  <w:szCs w:val="18"/>
                </w:rPr>
                <w:id w:val="355241005"/>
                <w14:checkbox>
                  <w14:checked w14:val="0"/>
                  <w14:checkedState w14:val="2612" w14:font="MS Gothic"/>
                  <w14:uncheckedState w14:val="2610" w14:font="MS Gothic"/>
                </w14:checkbox>
              </w:sdtPr>
              <w:sdtEndPr/>
              <w:sdtContent>
                <w:r w:rsidR="00DA5A71" w:rsidRPr="006477A6">
                  <w:rPr>
                    <w:rFonts w:ascii="Segoe UI Symbol" w:hAnsi="Segoe UI Symbol" w:cs="Segoe UI Symbol"/>
                    <w:b w:val="0"/>
                    <w:bCs/>
                    <w:color w:val="auto"/>
                    <w:sz w:val="18"/>
                    <w:szCs w:val="18"/>
                  </w:rPr>
                  <w:t>☐</w:t>
                </w:r>
              </w:sdtContent>
            </w:sdt>
            <w:r w:rsidR="00DA5A71" w:rsidRPr="006477A6">
              <w:rPr>
                <w:rFonts w:asciiTheme="majorHAnsi" w:hAnsiTheme="majorHAnsi" w:cstheme="majorHAnsi"/>
                <w:b w:val="0"/>
                <w:bCs/>
                <w:color w:val="auto"/>
                <w:sz w:val="18"/>
                <w:szCs w:val="18"/>
              </w:rPr>
              <w:t xml:space="preserve"> Strongly disagree</w:t>
            </w:r>
          </w:p>
        </w:tc>
        <w:tc>
          <w:tcPr>
            <w:tcW w:w="1763" w:type="dxa"/>
            <w:gridSpan w:val="3"/>
            <w:shd w:val="clear" w:color="auto" w:fill="auto"/>
          </w:tcPr>
          <w:p w14:paraId="610CDB66"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25602293"/>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Disagree </w:t>
            </w:r>
          </w:p>
        </w:tc>
        <w:tc>
          <w:tcPr>
            <w:tcW w:w="1844" w:type="dxa"/>
            <w:gridSpan w:val="5"/>
            <w:shd w:val="clear" w:color="auto" w:fill="auto"/>
          </w:tcPr>
          <w:p w14:paraId="4549D303"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617571478"/>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Neutral </w:t>
            </w:r>
          </w:p>
        </w:tc>
        <w:tc>
          <w:tcPr>
            <w:tcW w:w="1844" w:type="dxa"/>
            <w:gridSpan w:val="2"/>
            <w:shd w:val="clear" w:color="auto" w:fill="auto"/>
          </w:tcPr>
          <w:p w14:paraId="3C30F6B4"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561601997"/>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Agree </w:t>
            </w:r>
          </w:p>
        </w:tc>
        <w:tc>
          <w:tcPr>
            <w:tcW w:w="1985" w:type="dxa"/>
            <w:gridSpan w:val="3"/>
            <w:shd w:val="clear" w:color="auto" w:fill="auto"/>
          </w:tcPr>
          <w:p w14:paraId="3D751E59"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540052598"/>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Strongly agree </w:t>
            </w:r>
          </w:p>
        </w:tc>
      </w:tr>
      <w:tr w:rsidR="00DA5A71" w:rsidRPr="006477A6" w14:paraId="14448893" w14:textId="77777777" w:rsidTr="003F36D9">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3D5C2D59" w14:textId="77777777" w:rsidR="00DA5A71" w:rsidRPr="006477A6" w:rsidRDefault="00DA5A71" w:rsidP="006477A6">
            <w:pPr>
              <w:rPr>
                <w:rFonts w:asciiTheme="majorHAnsi" w:hAnsiTheme="majorHAnsi" w:cstheme="majorHAnsi"/>
                <w:bCs/>
                <w:sz w:val="18"/>
                <w:szCs w:val="18"/>
              </w:rPr>
            </w:pPr>
            <w:r w:rsidRPr="006477A6">
              <w:rPr>
                <w:rFonts w:asciiTheme="majorHAnsi" w:hAnsiTheme="majorHAnsi" w:cstheme="majorHAnsi"/>
                <w:sz w:val="18"/>
                <w:szCs w:val="18"/>
              </w:rPr>
              <w:t>Comments:</w:t>
            </w:r>
          </w:p>
        </w:tc>
      </w:tr>
      <w:tr w:rsidR="00796A1C" w:rsidRPr="006477A6" w14:paraId="65F244AA" w14:textId="77777777" w:rsidTr="003F36D9">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24382FB1" w14:textId="73FA7975" w:rsidR="00DA5A71" w:rsidRPr="006477A6" w:rsidRDefault="00DA5A71" w:rsidP="006477A6">
            <w:pPr>
              <w:rPr>
                <w:rFonts w:asciiTheme="majorHAnsi" w:hAnsiTheme="majorHAnsi" w:cstheme="majorHAnsi"/>
                <w:sz w:val="18"/>
                <w:szCs w:val="18"/>
              </w:rPr>
            </w:pPr>
          </w:p>
          <w:p w14:paraId="6B126FEB" w14:textId="3D5C724C" w:rsidR="00796A1C" w:rsidRPr="006477A6" w:rsidRDefault="00796A1C" w:rsidP="006477A6">
            <w:pPr>
              <w:rPr>
                <w:rFonts w:asciiTheme="majorHAnsi" w:hAnsiTheme="majorHAnsi" w:cstheme="majorHAnsi"/>
                <w:sz w:val="18"/>
                <w:szCs w:val="18"/>
              </w:rPr>
            </w:pPr>
          </w:p>
          <w:p w14:paraId="1E99A50E" w14:textId="77777777" w:rsidR="00796A1C" w:rsidRPr="006477A6" w:rsidRDefault="00796A1C" w:rsidP="006477A6">
            <w:pPr>
              <w:rPr>
                <w:rFonts w:asciiTheme="majorHAnsi" w:hAnsiTheme="majorHAnsi" w:cstheme="majorHAnsi"/>
                <w:sz w:val="18"/>
                <w:szCs w:val="18"/>
              </w:rPr>
            </w:pPr>
          </w:p>
          <w:p w14:paraId="1A8A6D4C" w14:textId="55D55651" w:rsidR="00DA5A71" w:rsidRDefault="00DA5A71" w:rsidP="006477A6">
            <w:pPr>
              <w:rPr>
                <w:rFonts w:asciiTheme="majorHAnsi" w:hAnsiTheme="majorHAnsi" w:cstheme="majorHAnsi"/>
                <w:b w:val="0"/>
                <w:sz w:val="18"/>
                <w:szCs w:val="18"/>
              </w:rPr>
            </w:pPr>
          </w:p>
          <w:p w14:paraId="745D4201" w14:textId="77777777" w:rsidR="006477A6" w:rsidRPr="006477A6" w:rsidRDefault="006477A6" w:rsidP="006477A6">
            <w:pPr>
              <w:rPr>
                <w:rFonts w:asciiTheme="majorHAnsi" w:hAnsiTheme="majorHAnsi" w:cstheme="majorHAnsi"/>
                <w:sz w:val="18"/>
                <w:szCs w:val="18"/>
              </w:rPr>
            </w:pPr>
          </w:p>
          <w:p w14:paraId="4B8FC7D6" w14:textId="77777777" w:rsidR="00DA5A71" w:rsidRPr="006477A6" w:rsidRDefault="00DA5A71" w:rsidP="006477A6">
            <w:pPr>
              <w:rPr>
                <w:rFonts w:asciiTheme="majorHAnsi" w:hAnsiTheme="majorHAnsi" w:cstheme="majorHAnsi"/>
                <w:sz w:val="18"/>
                <w:szCs w:val="18"/>
              </w:rPr>
            </w:pPr>
          </w:p>
        </w:tc>
      </w:tr>
      <w:tr w:rsidR="00DA5A71" w:rsidRPr="006477A6" w14:paraId="2AF00A10" w14:textId="77777777" w:rsidTr="003F36D9">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677C69B4" w14:textId="43DA5491"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t>4. Usable</w:t>
            </w:r>
          </w:p>
        </w:tc>
      </w:tr>
      <w:tr w:rsidR="00DA5A71" w:rsidRPr="006477A6" w14:paraId="145EBD04" w14:textId="77777777" w:rsidTr="003F36D9">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47A56B36" w14:textId="5F361065" w:rsidR="00DA5A71" w:rsidRPr="006477A6" w:rsidRDefault="00DA5A71" w:rsidP="006477A6">
            <w:pPr>
              <w:rPr>
                <w:rFonts w:asciiTheme="majorHAnsi" w:hAnsiTheme="majorHAnsi" w:cstheme="majorHAnsi"/>
                <w:sz w:val="18"/>
                <w:szCs w:val="18"/>
              </w:rPr>
            </w:pPr>
            <w:r w:rsidRPr="006477A6">
              <w:rPr>
                <w:rFonts w:asciiTheme="majorHAnsi" w:hAnsiTheme="majorHAnsi" w:cstheme="majorHAnsi"/>
                <w:sz w:val="18"/>
                <w:szCs w:val="18"/>
              </w:rPr>
              <w:t>Presentation</w:t>
            </w:r>
          </w:p>
          <w:p w14:paraId="5A025464" w14:textId="2FD98A8F" w:rsidR="00DA5A71" w:rsidRPr="006477A6" w:rsidRDefault="00DA5A71" w:rsidP="006477A6">
            <w:pPr>
              <w:rPr>
                <w:rFonts w:asciiTheme="majorHAnsi" w:hAnsiTheme="majorHAnsi" w:cstheme="majorHAnsi"/>
                <w:b w:val="0"/>
                <w:bCs/>
                <w:sz w:val="18"/>
                <w:szCs w:val="18"/>
              </w:rPr>
            </w:pPr>
            <w:r w:rsidRPr="006477A6">
              <w:rPr>
                <w:rFonts w:asciiTheme="majorHAnsi" w:hAnsiTheme="majorHAnsi" w:cstheme="majorHAnsi"/>
                <w:b w:val="0"/>
                <w:bCs/>
                <w:sz w:val="18"/>
                <w:szCs w:val="18"/>
              </w:rPr>
              <w:t>The key recommendations are:</w:t>
            </w:r>
          </w:p>
          <w:p w14:paraId="266C6376" w14:textId="77777777" w:rsidR="00DA5A71" w:rsidRPr="006477A6" w:rsidRDefault="00DA5A71" w:rsidP="006477A6">
            <w:pPr>
              <w:pStyle w:val="Bullet1"/>
              <w:rPr>
                <w:b w:val="0"/>
                <w:bCs/>
                <w:sz w:val="18"/>
                <w:szCs w:val="18"/>
              </w:rPr>
            </w:pPr>
            <w:r w:rsidRPr="006477A6">
              <w:rPr>
                <w:b w:val="0"/>
                <w:bCs/>
                <w:sz w:val="18"/>
                <w:szCs w:val="18"/>
              </w:rPr>
              <w:t>summarised in a flow chart or algorithm</w:t>
            </w:r>
          </w:p>
          <w:p w14:paraId="27306542" w14:textId="7A365CC0" w:rsidR="00DA5A71" w:rsidRPr="006477A6" w:rsidRDefault="00DA5A71" w:rsidP="006477A6">
            <w:pPr>
              <w:pStyle w:val="Bullet1"/>
              <w:rPr>
                <w:b w:val="0"/>
                <w:bCs/>
                <w:sz w:val="18"/>
                <w:szCs w:val="18"/>
              </w:rPr>
            </w:pPr>
            <w:r w:rsidRPr="006477A6">
              <w:rPr>
                <w:b w:val="0"/>
                <w:bCs/>
                <w:sz w:val="18"/>
                <w:szCs w:val="18"/>
              </w:rPr>
              <w:t>easily identified</w:t>
            </w:r>
            <w:r w:rsidR="009F0913" w:rsidRPr="006477A6">
              <w:rPr>
                <w:b w:val="0"/>
                <w:bCs/>
                <w:sz w:val="18"/>
                <w:szCs w:val="18"/>
              </w:rPr>
              <w:t>, for example</w:t>
            </w:r>
            <w:r w:rsidRPr="006477A6">
              <w:rPr>
                <w:b w:val="0"/>
                <w:bCs/>
                <w:sz w:val="18"/>
                <w:szCs w:val="18"/>
              </w:rPr>
              <w:t xml:space="preserve"> summarised in a box, highlighted in bold</w:t>
            </w:r>
          </w:p>
          <w:p w14:paraId="06A96215" w14:textId="77777777" w:rsidR="00DA5A71" w:rsidRPr="006477A6" w:rsidRDefault="00DA5A71" w:rsidP="006477A6">
            <w:pPr>
              <w:pStyle w:val="Bullet1"/>
              <w:rPr>
                <w:b w:val="0"/>
                <w:bCs/>
                <w:sz w:val="18"/>
                <w:szCs w:val="18"/>
              </w:rPr>
            </w:pPr>
            <w:r w:rsidRPr="006477A6">
              <w:rPr>
                <w:b w:val="0"/>
                <w:bCs/>
                <w:sz w:val="18"/>
                <w:szCs w:val="18"/>
              </w:rPr>
              <w:t xml:space="preserve">easy to read (unambiguous, specific) </w:t>
            </w:r>
          </w:p>
          <w:p w14:paraId="16FD742E" w14:textId="67311957" w:rsidR="00DA5A71" w:rsidRPr="006477A6" w:rsidRDefault="00DA5A71" w:rsidP="006477A6">
            <w:pPr>
              <w:pStyle w:val="Bullet1"/>
              <w:rPr>
                <w:sz w:val="18"/>
                <w:szCs w:val="18"/>
                <w:u w:val="single"/>
              </w:rPr>
            </w:pPr>
            <w:r w:rsidRPr="006477A6">
              <w:rPr>
                <w:b w:val="0"/>
                <w:bCs/>
                <w:sz w:val="18"/>
                <w:szCs w:val="18"/>
              </w:rPr>
              <w:t>actionable (available in the palliative care or end of life care context)</w:t>
            </w:r>
          </w:p>
        </w:tc>
      </w:tr>
      <w:tr w:rsidR="00DA5A71" w:rsidRPr="006477A6" w14:paraId="51742956" w14:textId="77777777" w:rsidTr="003F36D9">
        <w:tc>
          <w:tcPr>
            <w:cnfStyle w:val="001000000000" w:firstRow="0" w:lastRow="0" w:firstColumn="1" w:lastColumn="0" w:oddVBand="0" w:evenVBand="0" w:oddHBand="0" w:evenHBand="0" w:firstRowFirstColumn="0" w:firstRowLastColumn="0" w:lastRowFirstColumn="0" w:lastRowLastColumn="0"/>
            <w:tcW w:w="2345" w:type="dxa"/>
            <w:gridSpan w:val="3"/>
            <w:shd w:val="clear" w:color="auto" w:fill="auto"/>
          </w:tcPr>
          <w:p w14:paraId="1830AE71" w14:textId="77777777" w:rsidR="00DA5A71" w:rsidRPr="006477A6" w:rsidRDefault="002F1154" w:rsidP="006477A6">
            <w:pPr>
              <w:rPr>
                <w:rFonts w:asciiTheme="majorHAnsi" w:hAnsiTheme="majorHAnsi" w:cstheme="majorHAnsi"/>
                <w:b w:val="0"/>
                <w:bCs/>
                <w:sz w:val="18"/>
                <w:szCs w:val="18"/>
              </w:rPr>
            </w:pPr>
            <w:sdt>
              <w:sdtPr>
                <w:rPr>
                  <w:rFonts w:asciiTheme="majorHAnsi" w:hAnsiTheme="majorHAnsi" w:cstheme="majorHAnsi"/>
                  <w:b w:val="0"/>
                  <w:bCs/>
                  <w:color w:val="auto"/>
                  <w:sz w:val="18"/>
                  <w:szCs w:val="18"/>
                </w:rPr>
                <w:id w:val="-268084188"/>
                <w14:checkbox>
                  <w14:checked w14:val="0"/>
                  <w14:checkedState w14:val="2612" w14:font="MS Gothic"/>
                  <w14:uncheckedState w14:val="2610" w14:font="MS Gothic"/>
                </w14:checkbox>
              </w:sdtPr>
              <w:sdtEndPr/>
              <w:sdtContent>
                <w:r w:rsidR="00DA5A71" w:rsidRPr="006477A6">
                  <w:rPr>
                    <w:rFonts w:ascii="Segoe UI Symbol" w:hAnsi="Segoe UI Symbol" w:cs="Segoe UI Symbol"/>
                    <w:b w:val="0"/>
                    <w:bCs/>
                    <w:color w:val="auto"/>
                    <w:sz w:val="18"/>
                    <w:szCs w:val="18"/>
                    <w:lang w:eastAsia="en-AU"/>
                  </w:rPr>
                  <w:t>☐</w:t>
                </w:r>
              </w:sdtContent>
            </w:sdt>
            <w:r w:rsidR="00DA5A71" w:rsidRPr="006477A6">
              <w:rPr>
                <w:rFonts w:asciiTheme="majorHAnsi" w:hAnsiTheme="majorHAnsi" w:cstheme="majorHAnsi"/>
                <w:b w:val="0"/>
                <w:bCs/>
                <w:color w:val="auto"/>
                <w:sz w:val="18"/>
                <w:szCs w:val="18"/>
              </w:rPr>
              <w:t xml:space="preserve"> </w:t>
            </w:r>
            <w:r w:rsidR="00DA5A71" w:rsidRPr="006477A6">
              <w:rPr>
                <w:rFonts w:asciiTheme="majorHAnsi" w:hAnsiTheme="majorHAnsi" w:cstheme="majorHAnsi"/>
                <w:b w:val="0"/>
                <w:bCs/>
                <w:color w:val="auto"/>
                <w:sz w:val="18"/>
                <w:szCs w:val="18"/>
                <w:lang w:eastAsia="en-AU"/>
              </w:rPr>
              <w:t>Strongly disagree</w:t>
            </w:r>
          </w:p>
        </w:tc>
        <w:tc>
          <w:tcPr>
            <w:tcW w:w="1763" w:type="dxa"/>
            <w:gridSpan w:val="3"/>
            <w:shd w:val="clear" w:color="auto" w:fill="auto"/>
          </w:tcPr>
          <w:p w14:paraId="1EA0DFB9"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795571080"/>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Disagree </w:t>
            </w:r>
          </w:p>
        </w:tc>
        <w:tc>
          <w:tcPr>
            <w:tcW w:w="1844" w:type="dxa"/>
            <w:gridSpan w:val="5"/>
            <w:shd w:val="clear" w:color="auto" w:fill="auto"/>
          </w:tcPr>
          <w:p w14:paraId="1CB3784D"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912612835"/>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Neutral </w:t>
            </w:r>
          </w:p>
        </w:tc>
        <w:tc>
          <w:tcPr>
            <w:tcW w:w="1844" w:type="dxa"/>
            <w:gridSpan w:val="2"/>
            <w:shd w:val="clear" w:color="auto" w:fill="auto"/>
          </w:tcPr>
          <w:p w14:paraId="2C1AEF60"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1098680930"/>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Agree </w:t>
            </w:r>
          </w:p>
        </w:tc>
        <w:tc>
          <w:tcPr>
            <w:tcW w:w="1985" w:type="dxa"/>
            <w:gridSpan w:val="3"/>
            <w:shd w:val="clear" w:color="auto" w:fill="auto"/>
          </w:tcPr>
          <w:p w14:paraId="205E01B4" w14:textId="77777777" w:rsidR="00DA5A71"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sdt>
              <w:sdtPr>
                <w:rPr>
                  <w:rFonts w:asciiTheme="majorHAnsi" w:hAnsiTheme="majorHAnsi" w:cstheme="majorHAnsi"/>
                  <w:sz w:val="18"/>
                  <w:szCs w:val="18"/>
                </w:rPr>
                <w:id w:val="493920194"/>
                <w14:checkbox>
                  <w14:checked w14:val="0"/>
                  <w14:checkedState w14:val="2612" w14:font="MS Gothic"/>
                  <w14:uncheckedState w14:val="2610" w14:font="MS Gothic"/>
                </w14:checkbox>
              </w:sdtPr>
              <w:sdtEndPr/>
              <w:sdtContent>
                <w:r w:rsidR="00DA5A71" w:rsidRPr="006477A6">
                  <w:rPr>
                    <w:rFonts w:ascii="Segoe UI Symbol" w:hAnsi="Segoe UI Symbol" w:cs="Segoe UI Symbol"/>
                    <w:sz w:val="18"/>
                    <w:szCs w:val="18"/>
                    <w:lang w:eastAsia="en-AU"/>
                  </w:rPr>
                  <w:t>☐</w:t>
                </w:r>
              </w:sdtContent>
            </w:sdt>
            <w:r w:rsidR="00DA5A71" w:rsidRPr="006477A6">
              <w:rPr>
                <w:rFonts w:asciiTheme="majorHAnsi" w:hAnsiTheme="majorHAnsi" w:cstheme="majorHAnsi"/>
                <w:b/>
                <w:sz w:val="18"/>
                <w:szCs w:val="18"/>
              </w:rPr>
              <w:t xml:space="preserve"> </w:t>
            </w:r>
            <w:r w:rsidR="00DA5A71" w:rsidRPr="006477A6">
              <w:rPr>
                <w:rFonts w:asciiTheme="majorHAnsi" w:hAnsiTheme="majorHAnsi" w:cstheme="majorHAnsi"/>
                <w:sz w:val="18"/>
                <w:szCs w:val="18"/>
                <w:lang w:eastAsia="en-AU"/>
              </w:rPr>
              <w:t xml:space="preserve">Strongly agree </w:t>
            </w:r>
          </w:p>
        </w:tc>
      </w:tr>
      <w:tr w:rsidR="00DA5A71" w:rsidRPr="006477A6" w14:paraId="2D9D511D" w14:textId="77777777" w:rsidTr="003F36D9">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27E5954C" w14:textId="77777777" w:rsidR="00DA5A71" w:rsidRPr="006477A6" w:rsidRDefault="00DA5A71" w:rsidP="006477A6">
            <w:pPr>
              <w:rPr>
                <w:rFonts w:asciiTheme="majorHAnsi" w:hAnsiTheme="majorHAnsi" w:cstheme="majorHAnsi"/>
                <w:bCs/>
                <w:sz w:val="18"/>
                <w:szCs w:val="18"/>
              </w:rPr>
            </w:pPr>
            <w:r w:rsidRPr="006477A6">
              <w:rPr>
                <w:rFonts w:asciiTheme="majorHAnsi" w:hAnsiTheme="majorHAnsi" w:cstheme="majorHAnsi"/>
                <w:sz w:val="18"/>
                <w:szCs w:val="18"/>
              </w:rPr>
              <w:t>Comments:</w:t>
            </w:r>
          </w:p>
        </w:tc>
      </w:tr>
      <w:tr w:rsidR="00796A1C" w:rsidRPr="006477A6" w14:paraId="62D8EFE7" w14:textId="77777777" w:rsidTr="003F36D9">
        <w:tc>
          <w:tcPr>
            <w:cnfStyle w:val="001000000000" w:firstRow="0" w:lastRow="0" w:firstColumn="1" w:lastColumn="0" w:oddVBand="0" w:evenVBand="0" w:oddHBand="0" w:evenHBand="0" w:firstRowFirstColumn="0" w:firstRowLastColumn="0" w:lastRowFirstColumn="0" w:lastRowLastColumn="0"/>
            <w:tcW w:w="9781" w:type="dxa"/>
            <w:gridSpan w:val="16"/>
            <w:shd w:val="clear" w:color="auto" w:fill="auto"/>
          </w:tcPr>
          <w:p w14:paraId="073D8A79" w14:textId="075DBC97" w:rsidR="00DA5A71" w:rsidRPr="006477A6" w:rsidRDefault="00DA5A71" w:rsidP="006477A6">
            <w:pPr>
              <w:rPr>
                <w:rFonts w:asciiTheme="majorHAnsi" w:hAnsiTheme="majorHAnsi" w:cstheme="majorHAnsi"/>
                <w:sz w:val="18"/>
                <w:szCs w:val="18"/>
              </w:rPr>
            </w:pPr>
          </w:p>
          <w:p w14:paraId="3218B0AB" w14:textId="783E525B" w:rsidR="00796A1C" w:rsidRPr="006477A6" w:rsidRDefault="00796A1C" w:rsidP="006477A6">
            <w:pPr>
              <w:rPr>
                <w:rFonts w:asciiTheme="majorHAnsi" w:hAnsiTheme="majorHAnsi" w:cstheme="majorHAnsi"/>
                <w:sz w:val="18"/>
                <w:szCs w:val="18"/>
              </w:rPr>
            </w:pPr>
          </w:p>
          <w:p w14:paraId="09EA5CC8" w14:textId="77777777" w:rsidR="00796A1C" w:rsidRPr="006477A6" w:rsidRDefault="00796A1C" w:rsidP="006477A6">
            <w:pPr>
              <w:rPr>
                <w:rFonts w:asciiTheme="majorHAnsi" w:hAnsiTheme="majorHAnsi" w:cstheme="majorHAnsi"/>
                <w:sz w:val="18"/>
                <w:szCs w:val="18"/>
              </w:rPr>
            </w:pPr>
          </w:p>
          <w:p w14:paraId="5EF5FBA1" w14:textId="77777777" w:rsidR="00DA5A71" w:rsidRPr="006477A6" w:rsidRDefault="00DA5A71" w:rsidP="006477A6">
            <w:pPr>
              <w:rPr>
                <w:rFonts w:asciiTheme="majorHAnsi" w:hAnsiTheme="majorHAnsi" w:cstheme="majorHAnsi"/>
                <w:sz w:val="18"/>
                <w:szCs w:val="18"/>
              </w:rPr>
            </w:pPr>
          </w:p>
          <w:p w14:paraId="1DC327C2" w14:textId="77777777" w:rsidR="00DA5A71" w:rsidRPr="006477A6" w:rsidRDefault="00DA5A71" w:rsidP="006477A6">
            <w:pPr>
              <w:rPr>
                <w:rFonts w:asciiTheme="majorHAnsi" w:hAnsiTheme="majorHAnsi" w:cstheme="majorHAnsi"/>
                <w:sz w:val="18"/>
                <w:szCs w:val="18"/>
              </w:rPr>
            </w:pPr>
          </w:p>
        </w:tc>
      </w:tr>
    </w:tbl>
    <w:p w14:paraId="489BAAB6" w14:textId="77777777" w:rsidR="006477A6" w:rsidRDefault="006477A6" w:rsidP="006477A6"/>
    <w:tbl>
      <w:tblPr>
        <w:tblStyle w:val="TableGrid"/>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8"/>
        <w:gridCol w:w="2191"/>
        <w:gridCol w:w="2694"/>
        <w:gridCol w:w="2551"/>
      </w:tblGrid>
      <w:tr w:rsidR="00796A1C" w:rsidRPr="006477A6" w14:paraId="484533E0" w14:textId="77777777" w:rsidTr="00AF6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gridSpan w:val="2"/>
            <w:tcBorders>
              <w:right w:val="single" w:sz="2" w:space="0" w:color="EDF5F7" w:themeColor="background2"/>
            </w:tcBorders>
            <w:shd w:val="clear" w:color="auto" w:fill="auto"/>
          </w:tcPr>
          <w:p w14:paraId="71EB5794" w14:textId="38CEBE6D" w:rsidR="00796A1C" w:rsidRPr="006477A6" w:rsidRDefault="00796A1C" w:rsidP="006477A6">
            <w:pPr>
              <w:pStyle w:val="Normalfollowingheading"/>
              <w:rPr>
                <w:rFonts w:asciiTheme="majorHAnsi" w:hAnsiTheme="majorHAnsi" w:cstheme="majorHAnsi"/>
                <w:sz w:val="18"/>
                <w:szCs w:val="22"/>
              </w:rPr>
            </w:pPr>
            <w:r w:rsidRPr="006477A6">
              <w:rPr>
                <w:rFonts w:asciiTheme="majorHAnsi" w:hAnsiTheme="majorHAnsi" w:cstheme="majorHAnsi"/>
                <w:sz w:val="18"/>
                <w:szCs w:val="22"/>
              </w:rPr>
              <w:lastRenderedPageBreak/>
              <w:t>Overall assessment</w:t>
            </w:r>
          </w:p>
        </w:tc>
        <w:tc>
          <w:tcPr>
            <w:tcW w:w="7436" w:type="dxa"/>
            <w:gridSpan w:val="3"/>
            <w:tcBorders>
              <w:left w:val="single" w:sz="2" w:space="0" w:color="EDF5F7" w:themeColor="background2"/>
            </w:tcBorders>
            <w:shd w:val="clear" w:color="auto" w:fill="auto"/>
          </w:tcPr>
          <w:p w14:paraId="6C8BBFAD" w14:textId="77777777" w:rsidR="00796A1C" w:rsidRPr="006477A6" w:rsidRDefault="00796A1C" w:rsidP="006477A6">
            <w:pPr>
              <w:pStyle w:val="Normalfollowinghead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22"/>
              </w:rPr>
            </w:pPr>
          </w:p>
        </w:tc>
      </w:tr>
      <w:tr w:rsidR="00796A1C" w:rsidRPr="006477A6" w14:paraId="47503D8A" w14:textId="77777777" w:rsidTr="00AF6FD7">
        <w:tc>
          <w:tcPr>
            <w:cnfStyle w:val="001000000000" w:firstRow="0" w:lastRow="0" w:firstColumn="1" w:lastColumn="0" w:oddVBand="0" w:evenVBand="0" w:oddHBand="0" w:evenHBand="0" w:firstRowFirstColumn="0" w:firstRowLastColumn="0" w:lastRowFirstColumn="0" w:lastRowLastColumn="0"/>
            <w:tcW w:w="9781" w:type="dxa"/>
            <w:gridSpan w:val="5"/>
            <w:shd w:val="clear" w:color="auto" w:fill="auto"/>
          </w:tcPr>
          <w:p w14:paraId="02E2868B" w14:textId="7007AB6A" w:rsidR="00796A1C" w:rsidRPr="006477A6" w:rsidRDefault="00796A1C" w:rsidP="006477A6">
            <w:pPr>
              <w:rPr>
                <w:rFonts w:asciiTheme="majorHAnsi" w:hAnsiTheme="majorHAnsi" w:cstheme="majorHAnsi"/>
                <w:sz w:val="18"/>
                <w:szCs w:val="22"/>
              </w:rPr>
            </w:pPr>
            <w:r w:rsidRPr="006477A6">
              <w:rPr>
                <w:rFonts w:asciiTheme="majorHAnsi" w:hAnsiTheme="majorHAnsi" w:cstheme="majorHAnsi"/>
                <w:sz w:val="18"/>
                <w:szCs w:val="22"/>
              </w:rPr>
              <w:t>This guideline is recommended for use</w:t>
            </w:r>
            <w:r w:rsidR="00D2195E" w:rsidRPr="006477A6">
              <w:rPr>
                <w:rFonts w:asciiTheme="majorHAnsi" w:hAnsiTheme="majorHAnsi" w:cstheme="majorHAnsi"/>
                <w:sz w:val="18"/>
                <w:szCs w:val="22"/>
              </w:rPr>
              <w:t>:</w:t>
            </w:r>
          </w:p>
        </w:tc>
      </w:tr>
      <w:tr w:rsidR="00796A1C" w:rsidRPr="006477A6" w14:paraId="65A84BBC" w14:textId="77777777" w:rsidTr="00AF6FD7">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6C55C470" w14:textId="6B4B027F" w:rsidR="00796A1C" w:rsidRPr="006477A6" w:rsidRDefault="002F1154" w:rsidP="006477A6">
            <w:pPr>
              <w:rPr>
                <w:rFonts w:asciiTheme="majorHAnsi" w:hAnsiTheme="majorHAnsi" w:cstheme="majorHAnsi"/>
                <w:b w:val="0"/>
                <w:bCs/>
                <w:sz w:val="18"/>
                <w:szCs w:val="22"/>
              </w:rPr>
            </w:pPr>
            <w:sdt>
              <w:sdtPr>
                <w:rPr>
                  <w:rFonts w:asciiTheme="majorHAnsi" w:hAnsiTheme="majorHAnsi" w:cstheme="majorHAnsi"/>
                  <w:b w:val="0"/>
                  <w:bCs/>
                  <w:sz w:val="18"/>
                  <w:szCs w:val="22"/>
                </w:rPr>
                <w:id w:val="1893229384"/>
                <w14:checkbox>
                  <w14:checked w14:val="0"/>
                  <w14:checkedState w14:val="2612" w14:font="MS Gothic"/>
                  <w14:uncheckedState w14:val="2610" w14:font="MS Gothic"/>
                </w14:checkbox>
              </w:sdtPr>
              <w:sdtEndPr/>
              <w:sdtContent>
                <w:r w:rsidR="00796A1C" w:rsidRPr="006477A6">
                  <w:rPr>
                    <w:rFonts w:ascii="Segoe UI Symbol" w:eastAsiaTheme="minorEastAsia" w:hAnsi="Segoe UI Symbol" w:cs="Segoe UI Symbol"/>
                    <w:b w:val="0"/>
                    <w:bCs/>
                    <w:color w:val="auto"/>
                    <w:sz w:val="18"/>
                    <w:szCs w:val="22"/>
                    <w:lang w:eastAsia="en-AU"/>
                  </w:rPr>
                  <w:t>☐</w:t>
                </w:r>
              </w:sdtContent>
            </w:sdt>
            <w:r w:rsidR="00796A1C" w:rsidRPr="006477A6">
              <w:rPr>
                <w:rFonts w:asciiTheme="majorHAnsi" w:hAnsiTheme="majorHAnsi" w:cstheme="majorHAnsi"/>
                <w:b w:val="0"/>
                <w:bCs/>
                <w:sz w:val="18"/>
                <w:szCs w:val="22"/>
              </w:rPr>
              <w:t xml:space="preserve"> </w:t>
            </w:r>
            <w:r w:rsidR="00796A1C" w:rsidRPr="006477A6">
              <w:rPr>
                <w:rFonts w:asciiTheme="majorHAnsi" w:eastAsiaTheme="minorEastAsia" w:hAnsiTheme="majorHAnsi" w:cstheme="majorHAnsi"/>
                <w:b w:val="0"/>
                <w:bCs/>
                <w:color w:val="auto"/>
                <w:sz w:val="18"/>
                <w:szCs w:val="22"/>
                <w:lang w:eastAsia="en-AU"/>
              </w:rPr>
              <w:t>Yes</w:t>
            </w:r>
          </w:p>
        </w:tc>
        <w:tc>
          <w:tcPr>
            <w:tcW w:w="2409" w:type="dxa"/>
            <w:gridSpan w:val="2"/>
            <w:shd w:val="clear" w:color="auto" w:fill="auto"/>
          </w:tcPr>
          <w:p w14:paraId="315DFD7E" w14:textId="5BD2EE7C" w:rsidR="00796A1C"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eastAsia="en-AU"/>
              </w:rPr>
            </w:pPr>
            <w:sdt>
              <w:sdtPr>
                <w:rPr>
                  <w:rFonts w:asciiTheme="majorHAnsi" w:hAnsiTheme="majorHAnsi" w:cstheme="majorHAnsi"/>
                  <w:sz w:val="18"/>
                  <w:szCs w:val="22"/>
                </w:rPr>
                <w:id w:val="228116329"/>
                <w14:checkbox>
                  <w14:checked w14:val="0"/>
                  <w14:checkedState w14:val="2612" w14:font="MS Gothic"/>
                  <w14:uncheckedState w14:val="2610" w14:font="MS Gothic"/>
                </w14:checkbox>
              </w:sdtPr>
              <w:sdtEndPr/>
              <w:sdtContent>
                <w:r w:rsidR="00796A1C" w:rsidRPr="006477A6">
                  <w:rPr>
                    <w:rFonts w:ascii="Segoe UI Symbol" w:hAnsi="Segoe UI Symbol" w:cs="Segoe UI Symbol"/>
                    <w:sz w:val="18"/>
                    <w:szCs w:val="22"/>
                    <w:lang w:eastAsia="en-AU"/>
                  </w:rPr>
                  <w:t>☐</w:t>
                </w:r>
              </w:sdtContent>
            </w:sdt>
            <w:r w:rsidR="00796A1C" w:rsidRPr="006477A6">
              <w:rPr>
                <w:rFonts w:asciiTheme="majorHAnsi" w:hAnsiTheme="majorHAnsi" w:cstheme="majorHAnsi"/>
                <w:b/>
                <w:sz w:val="18"/>
                <w:szCs w:val="22"/>
              </w:rPr>
              <w:t xml:space="preserve"> </w:t>
            </w:r>
            <w:r w:rsidR="00796A1C" w:rsidRPr="006477A6">
              <w:rPr>
                <w:rFonts w:asciiTheme="majorHAnsi" w:hAnsiTheme="majorHAnsi" w:cstheme="majorHAnsi"/>
                <w:sz w:val="18"/>
                <w:szCs w:val="22"/>
                <w:lang w:eastAsia="en-AU"/>
              </w:rPr>
              <w:t>Yes (with modification)</w:t>
            </w:r>
          </w:p>
        </w:tc>
        <w:tc>
          <w:tcPr>
            <w:tcW w:w="2694" w:type="dxa"/>
            <w:shd w:val="clear" w:color="auto" w:fill="auto"/>
          </w:tcPr>
          <w:p w14:paraId="7DD28789" w14:textId="15CFAB1A" w:rsidR="00796A1C"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eastAsia="en-AU"/>
              </w:rPr>
            </w:pPr>
            <w:sdt>
              <w:sdtPr>
                <w:rPr>
                  <w:rFonts w:asciiTheme="majorHAnsi" w:hAnsiTheme="majorHAnsi" w:cstheme="majorHAnsi"/>
                  <w:sz w:val="18"/>
                  <w:szCs w:val="22"/>
                </w:rPr>
                <w:id w:val="1970703119"/>
                <w14:checkbox>
                  <w14:checked w14:val="0"/>
                  <w14:checkedState w14:val="2612" w14:font="MS Gothic"/>
                  <w14:uncheckedState w14:val="2610" w14:font="MS Gothic"/>
                </w14:checkbox>
              </w:sdtPr>
              <w:sdtEndPr/>
              <w:sdtContent>
                <w:r w:rsidR="00796A1C" w:rsidRPr="006477A6">
                  <w:rPr>
                    <w:rFonts w:ascii="Segoe UI Symbol" w:hAnsi="Segoe UI Symbol" w:cs="Segoe UI Symbol"/>
                    <w:sz w:val="18"/>
                    <w:szCs w:val="22"/>
                    <w:lang w:eastAsia="en-AU"/>
                  </w:rPr>
                  <w:t>☐</w:t>
                </w:r>
              </w:sdtContent>
            </w:sdt>
            <w:r w:rsidR="00796A1C" w:rsidRPr="006477A6">
              <w:rPr>
                <w:rFonts w:asciiTheme="majorHAnsi" w:hAnsiTheme="majorHAnsi" w:cstheme="majorHAnsi"/>
                <w:b/>
                <w:sz w:val="18"/>
                <w:szCs w:val="22"/>
              </w:rPr>
              <w:t xml:space="preserve"> </w:t>
            </w:r>
            <w:r w:rsidR="00796A1C" w:rsidRPr="006477A6">
              <w:rPr>
                <w:rFonts w:asciiTheme="majorHAnsi" w:hAnsiTheme="majorHAnsi" w:cstheme="majorHAnsi"/>
                <w:sz w:val="18"/>
                <w:szCs w:val="22"/>
                <w:lang w:eastAsia="en-AU"/>
              </w:rPr>
              <w:t>No (needs a guideline developed)</w:t>
            </w:r>
          </w:p>
        </w:tc>
        <w:tc>
          <w:tcPr>
            <w:tcW w:w="2551" w:type="dxa"/>
            <w:shd w:val="clear" w:color="auto" w:fill="auto"/>
          </w:tcPr>
          <w:p w14:paraId="10A69EE3" w14:textId="3C19D382" w:rsidR="00796A1C" w:rsidRPr="006477A6" w:rsidRDefault="002F1154" w:rsidP="006477A6">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bCs/>
                <w:sz w:val="18"/>
                <w:szCs w:val="22"/>
                <w:lang w:eastAsia="en-AU"/>
              </w:rPr>
            </w:pPr>
            <w:sdt>
              <w:sdtPr>
                <w:rPr>
                  <w:rFonts w:asciiTheme="majorHAnsi" w:hAnsiTheme="majorHAnsi" w:cstheme="majorHAnsi"/>
                  <w:bCs/>
                  <w:sz w:val="18"/>
                  <w:szCs w:val="22"/>
                </w:rPr>
                <w:id w:val="778679203"/>
                <w14:checkbox>
                  <w14:checked w14:val="0"/>
                  <w14:checkedState w14:val="2612" w14:font="MS Gothic"/>
                  <w14:uncheckedState w14:val="2610" w14:font="MS Gothic"/>
                </w14:checkbox>
              </w:sdtPr>
              <w:sdtEndPr/>
              <w:sdtContent>
                <w:r w:rsidR="00796A1C" w:rsidRPr="006477A6">
                  <w:rPr>
                    <w:rFonts w:ascii="Segoe UI Symbol" w:eastAsiaTheme="minorEastAsia" w:hAnsi="Segoe UI Symbol" w:cs="Segoe UI Symbol"/>
                    <w:bCs/>
                    <w:sz w:val="18"/>
                    <w:szCs w:val="22"/>
                    <w:lang w:eastAsia="en-AU"/>
                  </w:rPr>
                  <w:t>☐</w:t>
                </w:r>
              </w:sdtContent>
            </w:sdt>
            <w:r w:rsidR="00796A1C" w:rsidRPr="006477A6">
              <w:rPr>
                <w:rFonts w:asciiTheme="majorHAnsi" w:hAnsiTheme="majorHAnsi" w:cstheme="majorHAnsi"/>
                <w:b/>
                <w:bCs/>
                <w:sz w:val="18"/>
                <w:szCs w:val="22"/>
              </w:rPr>
              <w:t xml:space="preserve"> </w:t>
            </w:r>
            <w:r w:rsidR="00796A1C" w:rsidRPr="006477A6">
              <w:rPr>
                <w:rFonts w:asciiTheme="majorHAnsi" w:hAnsiTheme="majorHAnsi" w:cstheme="majorHAnsi"/>
                <w:sz w:val="18"/>
                <w:szCs w:val="22"/>
              </w:rPr>
              <w:t>No (not a priority area)</w:t>
            </w:r>
            <w:r w:rsidR="00796A1C" w:rsidRPr="006477A6">
              <w:rPr>
                <w:rFonts w:asciiTheme="majorHAnsi" w:eastAsiaTheme="minorEastAsia" w:hAnsiTheme="majorHAnsi" w:cstheme="majorHAnsi"/>
                <w:bCs/>
                <w:sz w:val="18"/>
                <w:szCs w:val="22"/>
                <w:lang w:eastAsia="en-AU"/>
              </w:rPr>
              <w:t xml:space="preserve"> </w:t>
            </w:r>
          </w:p>
        </w:tc>
      </w:tr>
      <w:tr w:rsidR="00796A1C" w:rsidRPr="006477A6" w14:paraId="115AF9EB" w14:textId="77777777" w:rsidTr="00AF6FD7">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6633536F" w14:textId="7F8BA163" w:rsidR="00796A1C" w:rsidRPr="006477A6" w:rsidRDefault="00796A1C" w:rsidP="006477A6">
            <w:pPr>
              <w:rPr>
                <w:rFonts w:asciiTheme="majorHAnsi" w:hAnsiTheme="majorHAnsi" w:cstheme="majorHAnsi"/>
                <w:sz w:val="18"/>
                <w:szCs w:val="22"/>
              </w:rPr>
            </w:pPr>
            <w:r w:rsidRPr="006477A6">
              <w:rPr>
                <w:rFonts w:asciiTheme="majorHAnsi" w:hAnsiTheme="majorHAnsi" w:cstheme="majorHAnsi"/>
                <w:sz w:val="18"/>
                <w:szCs w:val="22"/>
              </w:rPr>
              <w:t>Name of reviewer</w:t>
            </w:r>
          </w:p>
        </w:tc>
        <w:tc>
          <w:tcPr>
            <w:tcW w:w="2409" w:type="dxa"/>
            <w:gridSpan w:val="2"/>
            <w:shd w:val="clear" w:color="auto" w:fill="auto"/>
          </w:tcPr>
          <w:p w14:paraId="199EF659" w14:textId="5497FF8B" w:rsidR="00796A1C" w:rsidRPr="006477A6" w:rsidRDefault="00796A1C"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rPr>
            </w:pPr>
          </w:p>
        </w:tc>
        <w:tc>
          <w:tcPr>
            <w:tcW w:w="2694" w:type="dxa"/>
            <w:shd w:val="clear" w:color="auto" w:fill="auto"/>
          </w:tcPr>
          <w:p w14:paraId="025D6929" w14:textId="2ABB4801" w:rsidR="00796A1C" w:rsidRPr="006477A6" w:rsidRDefault="00796A1C"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rPr>
            </w:pPr>
            <w:r w:rsidRPr="006477A6">
              <w:rPr>
                <w:rFonts w:asciiTheme="majorHAnsi" w:hAnsiTheme="majorHAnsi" w:cstheme="majorHAnsi"/>
                <w:sz w:val="18"/>
                <w:szCs w:val="22"/>
              </w:rPr>
              <w:t>Date of review</w:t>
            </w:r>
          </w:p>
        </w:tc>
        <w:tc>
          <w:tcPr>
            <w:tcW w:w="2551" w:type="dxa"/>
            <w:shd w:val="clear" w:color="auto" w:fill="auto"/>
          </w:tcPr>
          <w:p w14:paraId="6D8E90EE" w14:textId="73763A14" w:rsidR="00796A1C" w:rsidRPr="006477A6" w:rsidRDefault="00796A1C" w:rsidP="006477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rPr>
            </w:pPr>
          </w:p>
        </w:tc>
      </w:tr>
      <w:tr w:rsidR="00796A1C" w:rsidRPr="006477A6" w14:paraId="0B87E9D2" w14:textId="77777777" w:rsidTr="00AF6FD7">
        <w:tc>
          <w:tcPr>
            <w:cnfStyle w:val="001000000000" w:firstRow="0" w:lastRow="0" w:firstColumn="1" w:lastColumn="0" w:oddVBand="0" w:evenVBand="0" w:oddHBand="0" w:evenHBand="0" w:firstRowFirstColumn="0" w:firstRowLastColumn="0" w:lastRowFirstColumn="0" w:lastRowLastColumn="0"/>
            <w:tcW w:w="9781" w:type="dxa"/>
            <w:gridSpan w:val="5"/>
            <w:shd w:val="clear" w:color="auto" w:fill="auto"/>
          </w:tcPr>
          <w:p w14:paraId="67ADA460" w14:textId="0DE799F5" w:rsidR="00796A1C" w:rsidRPr="006477A6" w:rsidRDefault="00796A1C" w:rsidP="006477A6">
            <w:pPr>
              <w:rPr>
                <w:rFonts w:asciiTheme="majorHAnsi" w:hAnsiTheme="majorHAnsi" w:cstheme="majorHAnsi"/>
                <w:bCs/>
                <w:sz w:val="18"/>
                <w:szCs w:val="22"/>
              </w:rPr>
            </w:pPr>
            <w:r w:rsidRPr="006477A6">
              <w:rPr>
                <w:rFonts w:asciiTheme="majorHAnsi" w:hAnsiTheme="majorHAnsi" w:cstheme="majorHAnsi"/>
                <w:sz w:val="18"/>
                <w:szCs w:val="22"/>
              </w:rPr>
              <w:t>Expert working group comments:</w:t>
            </w:r>
          </w:p>
        </w:tc>
      </w:tr>
      <w:tr w:rsidR="00796A1C" w:rsidRPr="006477A6" w14:paraId="78E58DEE" w14:textId="77777777" w:rsidTr="00AF6FD7">
        <w:tc>
          <w:tcPr>
            <w:cnfStyle w:val="001000000000" w:firstRow="0" w:lastRow="0" w:firstColumn="1" w:lastColumn="0" w:oddVBand="0" w:evenVBand="0" w:oddHBand="0" w:evenHBand="0" w:firstRowFirstColumn="0" w:firstRowLastColumn="0" w:lastRowFirstColumn="0" w:lastRowLastColumn="0"/>
            <w:tcW w:w="9781" w:type="dxa"/>
            <w:gridSpan w:val="5"/>
            <w:shd w:val="clear" w:color="auto" w:fill="auto"/>
          </w:tcPr>
          <w:p w14:paraId="7821C2D3" w14:textId="77777777" w:rsidR="00796A1C" w:rsidRPr="006477A6" w:rsidRDefault="00796A1C" w:rsidP="006477A6">
            <w:pPr>
              <w:rPr>
                <w:rFonts w:asciiTheme="majorHAnsi" w:hAnsiTheme="majorHAnsi" w:cstheme="majorHAnsi"/>
                <w:sz w:val="18"/>
                <w:szCs w:val="22"/>
              </w:rPr>
            </w:pPr>
          </w:p>
          <w:p w14:paraId="423C18EE" w14:textId="77777777" w:rsidR="00796A1C" w:rsidRPr="006477A6" w:rsidRDefault="00796A1C" w:rsidP="006477A6">
            <w:pPr>
              <w:rPr>
                <w:rFonts w:asciiTheme="majorHAnsi" w:hAnsiTheme="majorHAnsi" w:cstheme="majorHAnsi"/>
                <w:sz w:val="18"/>
                <w:szCs w:val="22"/>
              </w:rPr>
            </w:pPr>
          </w:p>
          <w:p w14:paraId="16953B1B" w14:textId="77777777" w:rsidR="00796A1C" w:rsidRPr="006477A6" w:rsidRDefault="00796A1C" w:rsidP="006477A6">
            <w:pPr>
              <w:rPr>
                <w:rFonts w:asciiTheme="majorHAnsi" w:hAnsiTheme="majorHAnsi" w:cstheme="majorHAnsi"/>
                <w:sz w:val="18"/>
                <w:szCs w:val="22"/>
              </w:rPr>
            </w:pPr>
          </w:p>
          <w:p w14:paraId="760929B6" w14:textId="77777777" w:rsidR="00796A1C" w:rsidRPr="006477A6" w:rsidRDefault="00796A1C" w:rsidP="006477A6">
            <w:pPr>
              <w:rPr>
                <w:rFonts w:asciiTheme="majorHAnsi" w:hAnsiTheme="majorHAnsi" w:cstheme="majorHAnsi"/>
                <w:sz w:val="18"/>
                <w:szCs w:val="22"/>
              </w:rPr>
            </w:pPr>
          </w:p>
          <w:p w14:paraId="58922014" w14:textId="77777777" w:rsidR="00796A1C" w:rsidRPr="006477A6" w:rsidRDefault="00796A1C" w:rsidP="006477A6">
            <w:pPr>
              <w:rPr>
                <w:rFonts w:asciiTheme="majorHAnsi" w:hAnsiTheme="majorHAnsi" w:cstheme="majorHAnsi"/>
                <w:sz w:val="18"/>
                <w:szCs w:val="22"/>
              </w:rPr>
            </w:pPr>
          </w:p>
        </w:tc>
      </w:tr>
      <w:tr w:rsidR="00796A1C" w:rsidRPr="006477A6" w14:paraId="4F058FAD" w14:textId="77777777" w:rsidTr="00AF6FD7">
        <w:tc>
          <w:tcPr>
            <w:cnfStyle w:val="001000000000" w:firstRow="0" w:lastRow="0" w:firstColumn="1" w:lastColumn="0" w:oddVBand="0" w:evenVBand="0" w:oddHBand="0" w:evenHBand="0" w:firstRowFirstColumn="0" w:firstRowLastColumn="0" w:lastRowFirstColumn="0" w:lastRowLastColumn="0"/>
            <w:tcW w:w="9781" w:type="dxa"/>
            <w:gridSpan w:val="5"/>
            <w:shd w:val="clear" w:color="auto" w:fill="auto"/>
          </w:tcPr>
          <w:p w14:paraId="1982EE88" w14:textId="22CCE4D8" w:rsidR="00796A1C" w:rsidRPr="006477A6" w:rsidRDefault="00796A1C" w:rsidP="006477A6">
            <w:pPr>
              <w:rPr>
                <w:rFonts w:asciiTheme="majorHAnsi" w:hAnsiTheme="majorHAnsi" w:cstheme="majorHAnsi"/>
                <w:bCs/>
                <w:sz w:val="18"/>
                <w:szCs w:val="22"/>
              </w:rPr>
            </w:pPr>
            <w:r w:rsidRPr="006477A6">
              <w:rPr>
                <w:rFonts w:asciiTheme="majorHAnsi" w:hAnsiTheme="majorHAnsi" w:cstheme="majorHAnsi"/>
                <w:sz w:val="18"/>
                <w:szCs w:val="22"/>
              </w:rPr>
              <w:t>Governance committee comments:</w:t>
            </w:r>
          </w:p>
        </w:tc>
      </w:tr>
      <w:tr w:rsidR="00796A1C" w:rsidRPr="006477A6" w14:paraId="68CF4233" w14:textId="77777777" w:rsidTr="00AF6FD7">
        <w:tc>
          <w:tcPr>
            <w:cnfStyle w:val="001000000000" w:firstRow="0" w:lastRow="0" w:firstColumn="1" w:lastColumn="0" w:oddVBand="0" w:evenVBand="0" w:oddHBand="0" w:evenHBand="0" w:firstRowFirstColumn="0" w:firstRowLastColumn="0" w:lastRowFirstColumn="0" w:lastRowLastColumn="0"/>
            <w:tcW w:w="9781" w:type="dxa"/>
            <w:gridSpan w:val="5"/>
            <w:shd w:val="clear" w:color="auto" w:fill="auto"/>
          </w:tcPr>
          <w:p w14:paraId="2365C980" w14:textId="77777777" w:rsidR="00796A1C" w:rsidRPr="006477A6" w:rsidRDefault="00796A1C" w:rsidP="006477A6">
            <w:pPr>
              <w:rPr>
                <w:rFonts w:asciiTheme="majorHAnsi" w:hAnsiTheme="majorHAnsi" w:cstheme="majorHAnsi"/>
                <w:sz w:val="18"/>
                <w:szCs w:val="22"/>
              </w:rPr>
            </w:pPr>
          </w:p>
          <w:p w14:paraId="12EFEB53" w14:textId="77777777" w:rsidR="00796A1C" w:rsidRPr="006477A6" w:rsidRDefault="00796A1C" w:rsidP="006477A6">
            <w:pPr>
              <w:rPr>
                <w:rFonts w:asciiTheme="majorHAnsi" w:hAnsiTheme="majorHAnsi" w:cstheme="majorHAnsi"/>
                <w:sz w:val="18"/>
                <w:szCs w:val="22"/>
              </w:rPr>
            </w:pPr>
          </w:p>
          <w:p w14:paraId="19238EFE" w14:textId="77777777" w:rsidR="00796A1C" w:rsidRPr="006477A6" w:rsidRDefault="00796A1C" w:rsidP="006477A6">
            <w:pPr>
              <w:rPr>
                <w:rFonts w:asciiTheme="majorHAnsi" w:hAnsiTheme="majorHAnsi" w:cstheme="majorHAnsi"/>
                <w:sz w:val="18"/>
                <w:szCs w:val="22"/>
              </w:rPr>
            </w:pPr>
          </w:p>
          <w:p w14:paraId="043176D3" w14:textId="77777777" w:rsidR="00796A1C" w:rsidRPr="006477A6" w:rsidRDefault="00796A1C" w:rsidP="006477A6">
            <w:pPr>
              <w:rPr>
                <w:rFonts w:asciiTheme="majorHAnsi" w:hAnsiTheme="majorHAnsi" w:cstheme="majorHAnsi"/>
                <w:sz w:val="18"/>
                <w:szCs w:val="22"/>
              </w:rPr>
            </w:pPr>
          </w:p>
          <w:p w14:paraId="78A83A3E" w14:textId="77777777" w:rsidR="00796A1C" w:rsidRPr="006477A6" w:rsidRDefault="00796A1C" w:rsidP="006477A6">
            <w:pPr>
              <w:rPr>
                <w:rFonts w:asciiTheme="majorHAnsi" w:hAnsiTheme="majorHAnsi" w:cstheme="majorHAnsi"/>
                <w:sz w:val="18"/>
                <w:szCs w:val="22"/>
              </w:rPr>
            </w:pPr>
          </w:p>
        </w:tc>
      </w:tr>
    </w:tbl>
    <w:p w14:paraId="7D52B52A" w14:textId="39A90315" w:rsidR="003E36BE" w:rsidRDefault="003E36BE" w:rsidP="006477A6">
      <w:r w:rsidRPr="00FF036B">
        <w:t xml:space="preserve">NB. This tool will be assessed in the context of </w:t>
      </w:r>
      <w:r w:rsidR="00796A1C">
        <w:t>SCV’s</w:t>
      </w:r>
      <w:r w:rsidRPr="00FF036B">
        <w:t xml:space="preserve"> Palliative Care </w:t>
      </w:r>
      <w:r w:rsidR="00796A1C">
        <w:t>C</w:t>
      </w:r>
      <w:r w:rsidRPr="00FF036B">
        <w:t xml:space="preserve">linical </w:t>
      </w:r>
      <w:r w:rsidR="00796A1C">
        <w:t>N</w:t>
      </w:r>
      <w:r w:rsidRPr="00FF036B">
        <w:t xml:space="preserve">etwork where the guideline review and development process </w:t>
      </w:r>
      <w:proofErr w:type="gramStart"/>
      <w:r w:rsidRPr="00FF036B">
        <w:t>is</w:t>
      </w:r>
      <w:proofErr w:type="gramEnd"/>
      <w:r w:rsidRPr="00FF036B">
        <w:t xml:space="preserve"> undertaken in partnership with consumers.</w:t>
      </w:r>
      <w:bookmarkStart w:id="8" w:name="_GoBack"/>
      <w:bookmarkEnd w:id="8"/>
      <w:r w:rsidR="00AF6FD7">
        <w:rPr>
          <w:noProof/>
        </w:rPr>
        <mc:AlternateContent>
          <mc:Choice Requires="wps">
            <w:drawing>
              <wp:anchor distT="0" distB="0" distL="114300" distR="114300" simplePos="0" relativeHeight="251664384" behindDoc="0" locked="0" layoutInCell="1" allowOverlap="1" wp14:anchorId="504C7A3F" wp14:editId="6C0A828A">
                <wp:simplePos x="0" y="0"/>
                <wp:positionH relativeFrom="column">
                  <wp:posOffset>3709882</wp:posOffset>
                </wp:positionH>
                <wp:positionV relativeFrom="paragraph">
                  <wp:posOffset>7559463</wp:posOffset>
                </wp:positionV>
                <wp:extent cx="3064933" cy="728134"/>
                <wp:effectExtent l="0" t="0" r="2540" b="0"/>
                <wp:wrapNone/>
                <wp:docPr id="1" name="Rectangle 1"/>
                <wp:cNvGraphicFramePr/>
                <a:graphic xmlns:a="http://schemas.openxmlformats.org/drawingml/2006/main">
                  <a:graphicData uri="http://schemas.microsoft.com/office/word/2010/wordprocessingShape">
                    <wps:wsp>
                      <wps:cNvSpPr/>
                      <wps:spPr>
                        <a:xfrm>
                          <a:off x="0" y="0"/>
                          <a:ext cx="3064933" cy="7281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B0A71" id="Rectangle 1" o:spid="_x0000_s1026" style="position:absolute;margin-left:292.1pt;margin-top:595.25pt;width:241.35pt;height:5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" fillcolor="white [3212]" stroked="f" strokeweight="2pt"/>
            </w:pict>
          </mc:Fallback>
        </mc:AlternateContent>
      </w:r>
    </w:p>
    <w:p w14:paraId="524B6DE4" w14:textId="717C0810" w:rsidR="0064798F" w:rsidRDefault="0064798F" w:rsidP="006477A6">
      <w:pPr>
        <w:pStyle w:val="Heading2"/>
        <w:sectPr w:rsidR="0064798F" w:rsidSect="00265EC8">
          <w:pgSz w:w="11906" w:h="16838" w:code="9"/>
          <w:pgMar w:top="3402" w:right="851" w:bottom="1361" w:left="851" w:header="539" w:footer="624" w:gutter="0"/>
          <w:pgNumType w:start="1"/>
          <w:cols w:space="284"/>
          <w:docGrid w:linePitch="360"/>
        </w:sectPr>
      </w:pPr>
    </w:p>
    <w:p w14:paraId="7E558AA8" w14:textId="77777777" w:rsidR="00727C45" w:rsidRDefault="00727C45" w:rsidP="006477A6">
      <w:r>
        <w:rPr>
          <w:noProof/>
        </w:rPr>
        <w:lastRenderedPageBreak/>
        <w:drawing>
          <wp:anchor distT="0" distB="0" distL="114300" distR="114300" simplePos="0" relativeHeight="251663360" behindDoc="1" locked="0" layoutInCell="1" allowOverlap="1" wp14:anchorId="622A6CD1" wp14:editId="109D872A">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265EC8">
      <w:type w:val="continuous"/>
      <w:pgSz w:w="11906" w:h="16838" w:code="9"/>
      <w:pgMar w:top="3402" w:right="851" w:bottom="1361" w:left="851" w:header="539" w:footer="624" w:gutter="0"/>
      <w:cols w:num="2"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8CA5" w14:textId="77777777" w:rsidR="00DE3273" w:rsidRDefault="00DE3273" w:rsidP="006477A6">
      <w:r>
        <w:separator/>
      </w:r>
    </w:p>
  </w:endnote>
  <w:endnote w:type="continuationSeparator" w:id="0">
    <w:p w14:paraId="3BF74CFA" w14:textId="77777777" w:rsidR="00DE3273" w:rsidRDefault="00DE3273" w:rsidP="0064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SemiBold">
    <w:altName w:val="Calibri"/>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altName w:val="Calibri"/>
    <w:panose1 w:val="000006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C878" w14:textId="2A37277F" w:rsidR="00C5016E" w:rsidRDefault="00C5016E" w:rsidP="006477A6">
    <w:pPr>
      <w:pStyle w:val="FooterEven"/>
      <w:framePr w:wrap="around"/>
    </w:pPr>
    <w:r>
      <w:rPr>
        <w:noProof w:val="0"/>
      </w:rPr>
      <w:fldChar w:fldCharType="begin"/>
    </w:r>
    <w:r>
      <w:instrText xml:space="preserve"> PAGE   \* MERGEFORMAT </w:instrText>
    </w:r>
    <w:r>
      <w:rPr>
        <w:noProof w:val="0"/>
      </w:rPr>
      <w:fldChar w:fldCharType="separate"/>
    </w:r>
    <w:r>
      <w:t>4</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t>Anticipatory medicines</w:t>
        </w:r>
      </w:sdtContent>
    </w:sdt>
    <w:r>
      <w:t xml:space="preserve"> </w:t>
    </w:r>
    <w:r>
      <w:drawing>
        <wp:anchor distT="0" distB="0" distL="114300" distR="114300" simplePos="0" relativeHeight="251675648" behindDoc="0" locked="0" layoutInCell="1" allowOverlap="1" wp14:anchorId="6C8A2BBB" wp14:editId="0BBC9BB3">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62425891" w14:textId="77777777" w:rsidR="00C5016E" w:rsidRPr="002A5891" w:rsidRDefault="00C5016E" w:rsidP="00647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79D1" w14:textId="7961F018" w:rsidR="00C5016E" w:rsidRDefault="002F1154" w:rsidP="006477A6">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C5016E">
          <w:t>Anticipatory medicines</w:t>
        </w:r>
      </w:sdtContent>
    </w:sdt>
    <w:r w:rsidR="00C5016E">
      <w:t> </w:t>
    </w:r>
    <w:r w:rsidR="00C5016E">
      <w:t> </w:t>
    </w:r>
    <w:r w:rsidR="00C5016E" w:rsidRPr="0097403D">
      <w:rPr>
        <w:b/>
      </w:rPr>
      <w:t>Safer Care Victoria</w:t>
    </w:r>
    <w:r w:rsidR="00C5016E">
      <w:t> </w:t>
    </w:r>
    <w:r w:rsidR="00C5016E">
      <w:t> </w:t>
    </w:r>
    <w:r w:rsidR="00C5016E">
      <w:rPr>
        <w:noProof w:val="0"/>
      </w:rPr>
      <w:fldChar w:fldCharType="begin"/>
    </w:r>
    <w:r w:rsidR="00C5016E">
      <w:instrText xml:space="preserve"> PAGE   \* MERGEFORMAT </w:instrText>
    </w:r>
    <w:r w:rsidR="00C5016E">
      <w:rPr>
        <w:noProof w:val="0"/>
      </w:rPr>
      <w:fldChar w:fldCharType="separate"/>
    </w:r>
    <w:r w:rsidR="00C5016E">
      <w:t>5</w:t>
    </w:r>
    <w:r w:rsidR="00C5016E">
      <w:fldChar w:fldCharType="end"/>
    </w:r>
  </w:p>
  <w:p w14:paraId="734B4301" w14:textId="77777777" w:rsidR="00C5016E" w:rsidRPr="002A5891" w:rsidRDefault="00C5016E" w:rsidP="00647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EC24" w14:textId="77777777" w:rsidR="00DC3228" w:rsidRDefault="00DC3228" w:rsidP="006477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2D20" w14:textId="77777777" w:rsidR="00C5016E" w:rsidRDefault="00C5016E" w:rsidP="00647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DD778" w14:textId="77777777" w:rsidR="00DE3273" w:rsidRDefault="00DE3273" w:rsidP="006477A6"/>
  </w:footnote>
  <w:footnote w:type="continuationSeparator" w:id="0">
    <w:p w14:paraId="0FD649D2" w14:textId="77777777" w:rsidR="00DE3273" w:rsidRDefault="00DE3273" w:rsidP="00647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28BD" w14:textId="77777777" w:rsidR="00DC3228" w:rsidRDefault="00DC3228" w:rsidP="00647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93CC" w14:textId="77777777" w:rsidR="00C5016E" w:rsidRDefault="00C5016E" w:rsidP="006477A6">
    <w:pPr>
      <w:pStyle w:val="Header"/>
    </w:pPr>
    <w:r>
      <w:rPr>
        <w:noProof/>
      </w:rPr>
      <w:drawing>
        <wp:anchor distT="0" distB="0" distL="114300" distR="114300" simplePos="0" relativeHeight="251673600" behindDoc="1" locked="0" layoutInCell="1" allowOverlap="1" wp14:anchorId="13E9EC61" wp14:editId="101E114B">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02DF" w14:textId="77777777" w:rsidR="00C5016E" w:rsidRDefault="00C5016E" w:rsidP="0023694D">
    <w:pPr>
      <w:pStyle w:val="NoSpacing"/>
    </w:pPr>
    <w:r>
      <w:rPr>
        <w:noProof/>
      </w:rPr>
      <w:drawing>
        <wp:anchor distT="0" distB="0" distL="114300" distR="114300" simplePos="0" relativeHeight="251676672" behindDoc="1" locked="0" layoutInCell="1" allowOverlap="1" wp14:anchorId="5DADD1C1" wp14:editId="7054CE00">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CC63" w14:textId="77777777" w:rsidR="00C5016E" w:rsidRDefault="00C5016E"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15B"/>
    <w:multiLevelType w:val="hybridMultilevel"/>
    <w:tmpl w:val="723A7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BD1654"/>
    <w:multiLevelType w:val="hybridMultilevel"/>
    <w:tmpl w:val="AFE0D0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8C44A72"/>
    <w:multiLevelType w:val="hybridMultilevel"/>
    <w:tmpl w:val="7E3AF952"/>
    <w:lvl w:ilvl="0" w:tplc="8B42D8AA">
      <w:start w:val="1"/>
      <w:numFmt w:val="decimal"/>
      <w:lvlText w:val="%1."/>
      <w:lvlJc w:val="left"/>
      <w:pPr>
        <w:ind w:left="360" w:hanging="360"/>
      </w:pPr>
      <w:rPr>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pStyle w:val="Heading2numbered"/>
      <w:suff w:val="space"/>
      <w:lvlText w:val="%1.%2"/>
      <w:lvlJc w:val="left"/>
      <w:pPr>
        <w:ind w:left="3828"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6B400E74"/>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73F13536"/>
    <w:multiLevelType w:val="hybridMultilevel"/>
    <w:tmpl w:val="03320B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8"/>
  </w:num>
  <w:num w:numId="2">
    <w:abstractNumId w:val="8"/>
  </w:num>
  <w:num w:numId="3">
    <w:abstractNumId w:val="8"/>
  </w:num>
  <w:num w:numId="4">
    <w:abstractNumId w:val="11"/>
  </w:num>
  <w:num w:numId="5">
    <w:abstractNumId w:val="4"/>
  </w:num>
  <w:num w:numId="6">
    <w:abstractNumId w:val="7"/>
  </w:num>
  <w:num w:numId="7">
    <w:abstractNumId w:val="10"/>
  </w:num>
  <w:num w:numId="8">
    <w:abstractNumId w:val="6"/>
  </w:num>
  <w:num w:numId="9">
    <w:abstractNumId w:val="6"/>
  </w:num>
  <w:num w:numId="10">
    <w:abstractNumId w:val="5"/>
  </w:num>
  <w:num w:numId="11">
    <w:abstractNumId w:val="1"/>
  </w:num>
  <w:num w:numId="12">
    <w:abstractNumId w:val="3"/>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proofState w:spelling="clean" w:grammar="clean"/>
  <w:attachedTemplate r:id="rId1"/>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BE"/>
    <w:rsid w:val="00012F6F"/>
    <w:rsid w:val="00014213"/>
    <w:rsid w:val="00014B55"/>
    <w:rsid w:val="00020E3E"/>
    <w:rsid w:val="00023BF3"/>
    <w:rsid w:val="00026811"/>
    <w:rsid w:val="0004185E"/>
    <w:rsid w:val="000442F0"/>
    <w:rsid w:val="00056988"/>
    <w:rsid w:val="00072279"/>
    <w:rsid w:val="00073407"/>
    <w:rsid w:val="00075E6C"/>
    <w:rsid w:val="00081C12"/>
    <w:rsid w:val="00087D42"/>
    <w:rsid w:val="000B29AD"/>
    <w:rsid w:val="000C4FBD"/>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27135"/>
    <w:rsid w:val="001332DE"/>
    <w:rsid w:val="001422CC"/>
    <w:rsid w:val="00144937"/>
    <w:rsid w:val="00145346"/>
    <w:rsid w:val="001617B6"/>
    <w:rsid w:val="00165E66"/>
    <w:rsid w:val="001829DA"/>
    <w:rsid w:val="001960C5"/>
    <w:rsid w:val="00196143"/>
    <w:rsid w:val="001A24FC"/>
    <w:rsid w:val="001C7BAE"/>
    <w:rsid w:val="001E31FA"/>
    <w:rsid w:val="001E48F9"/>
    <w:rsid w:val="001E64F6"/>
    <w:rsid w:val="001E7AEB"/>
    <w:rsid w:val="00204B82"/>
    <w:rsid w:val="00207F30"/>
    <w:rsid w:val="00222BEB"/>
    <w:rsid w:val="0022437A"/>
    <w:rsid w:val="00225E60"/>
    <w:rsid w:val="00230BBB"/>
    <w:rsid w:val="0023202C"/>
    <w:rsid w:val="00234619"/>
    <w:rsid w:val="0023694D"/>
    <w:rsid w:val="00245043"/>
    <w:rsid w:val="00255DD0"/>
    <w:rsid w:val="00257461"/>
    <w:rsid w:val="0026028E"/>
    <w:rsid w:val="00263221"/>
    <w:rsid w:val="00265EC8"/>
    <w:rsid w:val="00284FA2"/>
    <w:rsid w:val="00292D36"/>
    <w:rsid w:val="00294A5A"/>
    <w:rsid w:val="00297281"/>
    <w:rsid w:val="00297A47"/>
    <w:rsid w:val="002A5891"/>
    <w:rsid w:val="002A5D4F"/>
    <w:rsid w:val="002B03F1"/>
    <w:rsid w:val="002B5E2B"/>
    <w:rsid w:val="002B6DAA"/>
    <w:rsid w:val="002D70F7"/>
    <w:rsid w:val="002D711A"/>
    <w:rsid w:val="002D7336"/>
    <w:rsid w:val="002E3396"/>
    <w:rsid w:val="002F1154"/>
    <w:rsid w:val="002F2953"/>
    <w:rsid w:val="0031149C"/>
    <w:rsid w:val="00340EEC"/>
    <w:rsid w:val="00360579"/>
    <w:rsid w:val="0036258C"/>
    <w:rsid w:val="0036778F"/>
    <w:rsid w:val="0038771C"/>
    <w:rsid w:val="003A430B"/>
    <w:rsid w:val="003A50B3"/>
    <w:rsid w:val="003A541A"/>
    <w:rsid w:val="003A6923"/>
    <w:rsid w:val="003B1BA5"/>
    <w:rsid w:val="003B7B6F"/>
    <w:rsid w:val="003C2C67"/>
    <w:rsid w:val="003C2D4C"/>
    <w:rsid w:val="003C3B3A"/>
    <w:rsid w:val="003C5BA4"/>
    <w:rsid w:val="003C7395"/>
    <w:rsid w:val="003D27D1"/>
    <w:rsid w:val="003E36BE"/>
    <w:rsid w:val="003E3E26"/>
    <w:rsid w:val="003E5DFC"/>
    <w:rsid w:val="003E608A"/>
    <w:rsid w:val="003F1295"/>
    <w:rsid w:val="003F5102"/>
    <w:rsid w:val="003F76FC"/>
    <w:rsid w:val="004002EB"/>
    <w:rsid w:val="00407A79"/>
    <w:rsid w:val="00422DDC"/>
    <w:rsid w:val="004231B5"/>
    <w:rsid w:val="004236C8"/>
    <w:rsid w:val="00427681"/>
    <w:rsid w:val="00433DB7"/>
    <w:rsid w:val="00453750"/>
    <w:rsid w:val="00456941"/>
    <w:rsid w:val="00465BF2"/>
    <w:rsid w:val="004702EA"/>
    <w:rsid w:val="0048259C"/>
    <w:rsid w:val="00482D02"/>
    <w:rsid w:val="00483779"/>
    <w:rsid w:val="00484326"/>
    <w:rsid w:val="0048576E"/>
    <w:rsid w:val="00490369"/>
    <w:rsid w:val="004A7519"/>
    <w:rsid w:val="004B3DBC"/>
    <w:rsid w:val="004B64B1"/>
    <w:rsid w:val="004C6C48"/>
    <w:rsid w:val="004D01AC"/>
    <w:rsid w:val="004D3518"/>
    <w:rsid w:val="004D62D6"/>
    <w:rsid w:val="004D6898"/>
    <w:rsid w:val="004E251D"/>
    <w:rsid w:val="004F3F4E"/>
    <w:rsid w:val="0050356B"/>
    <w:rsid w:val="00510167"/>
    <w:rsid w:val="00513E86"/>
    <w:rsid w:val="005306A2"/>
    <w:rsid w:val="0053416C"/>
    <w:rsid w:val="00540588"/>
    <w:rsid w:val="00541C2F"/>
    <w:rsid w:val="00551B95"/>
    <w:rsid w:val="00552DE4"/>
    <w:rsid w:val="00563527"/>
    <w:rsid w:val="0057407A"/>
    <w:rsid w:val="0058124E"/>
    <w:rsid w:val="005875A3"/>
    <w:rsid w:val="005953EA"/>
    <w:rsid w:val="005A3416"/>
    <w:rsid w:val="005A6325"/>
    <w:rsid w:val="005B27FE"/>
    <w:rsid w:val="005B76DF"/>
    <w:rsid w:val="005B79CB"/>
    <w:rsid w:val="005E08D7"/>
    <w:rsid w:val="005E2B6E"/>
    <w:rsid w:val="005E4C16"/>
    <w:rsid w:val="005E5947"/>
    <w:rsid w:val="005F15F1"/>
    <w:rsid w:val="005F61DF"/>
    <w:rsid w:val="0060163A"/>
    <w:rsid w:val="006023F9"/>
    <w:rsid w:val="00610559"/>
    <w:rsid w:val="00614076"/>
    <w:rsid w:val="00632F2E"/>
    <w:rsid w:val="006332F6"/>
    <w:rsid w:val="006413F2"/>
    <w:rsid w:val="006477A6"/>
    <w:rsid w:val="0064798F"/>
    <w:rsid w:val="006534B2"/>
    <w:rsid w:val="0065615D"/>
    <w:rsid w:val="00657011"/>
    <w:rsid w:val="006650B5"/>
    <w:rsid w:val="006651B1"/>
    <w:rsid w:val="00665778"/>
    <w:rsid w:val="00676E5F"/>
    <w:rsid w:val="0069041D"/>
    <w:rsid w:val="006945CA"/>
    <w:rsid w:val="006A3309"/>
    <w:rsid w:val="006A3A5A"/>
    <w:rsid w:val="006A5B34"/>
    <w:rsid w:val="006C77A9"/>
    <w:rsid w:val="006D4720"/>
    <w:rsid w:val="006D77F1"/>
    <w:rsid w:val="006E6CDF"/>
    <w:rsid w:val="006F37F2"/>
    <w:rsid w:val="006F6693"/>
    <w:rsid w:val="00707FE8"/>
    <w:rsid w:val="00714AAE"/>
    <w:rsid w:val="007214E9"/>
    <w:rsid w:val="00724962"/>
    <w:rsid w:val="00724A0F"/>
    <w:rsid w:val="00725FBF"/>
    <w:rsid w:val="00726D2F"/>
    <w:rsid w:val="00727C45"/>
    <w:rsid w:val="00736732"/>
    <w:rsid w:val="00740019"/>
    <w:rsid w:val="00746426"/>
    <w:rsid w:val="00750BF9"/>
    <w:rsid w:val="00750CBE"/>
    <w:rsid w:val="007650D2"/>
    <w:rsid w:val="00766B5A"/>
    <w:rsid w:val="00772209"/>
    <w:rsid w:val="007770A5"/>
    <w:rsid w:val="007834F2"/>
    <w:rsid w:val="00791020"/>
    <w:rsid w:val="00796A1C"/>
    <w:rsid w:val="007A04D2"/>
    <w:rsid w:val="007A5F82"/>
    <w:rsid w:val="007C4073"/>
    <w:rsid w:val="007D5F9E"/>
    <w:rsid w:val="007E098F"/>
    <w:rsid w:val="007E3BA2"/>
    <w:rsid w:val="007F05A8"/>
    <w:rsid w:val="007F1A4C"/>
    <w:rsid w:val="007F723F"/>
    <w:rsid w:val="008022C3"/>
    <w:rsid w:val="00803465"/>
    <w:rsid w:val="008041E6"/>
    <w:rsid w:val="008065D2"/>
    <w:rsid w:val="008116D8"/>
    <w:rsid w:val="008136B4"/>
    <w:rsid w:val="00815A8A"/>
    <w:rsid w:val="0082194C"/>
    <w:rsid w:val="008222FF"/>
    <w:rsid w:val="008241FF"/>
    <w:rsid w:val="008411E9"/>
    <w:rsid w:val="00841617"/>
    <w:rsid w:val="0084200F"/>
    <w:rsid w:val="00843B2C"/>
    <w:rsid w:val="00844F16"/>
    <w:rsid w:val="00855FF9"/>
    <w:rsid w:val="0086277A"/>
    <w:rsid w:val="008668A8"/>
    <w:rsid w:val="008768AD"/>
    <w:rsid w:val="00880AC4"/>
    <w:rsid w:val="00897447"/>
    <w:rsid w:val="008A39CF"/>
    <w:rsid w:val="008A4900"/>
    <w:rsid w:val="008A55FE"/>
    <w:rsid w:val="008B146D"/>
    <w:rsid w:val="008B42AD"/>
    <w:rsid w:val="008B5666"/>
    <w:rsid w:val="008D0281"/>
    <w:rsid w:val="008D442A"/>
    <w:rsid w:val="008D5BA3"/>
    <w:rsid w:val="008E2348"/>
    <w:rsid w:val="008F6D45"/>
    <w:rsid w:val="009209CF"/>
    <w:rsid w:val="00922944"/>
    <w:rsid w:val="00936479"/>
    <w:rsid w:val="00937A10"/>
    <w:rsid w:val="00966115"/>
    <w:rsid w:val="009834C0"/>
    <w:rsid w:val="00986AAC"/>
    <w:rsid w:val="009945B6"/>
    <w:rsid w:val="00995526"/>
    <w:rsid w:val="009A1DA2"/>
    <w:rsid w:val="009A3704"/>
    <w:rsid w:val="009A4739"/>
    <w:rsid w:val="009A674F"/>
    <w:rsid w:val="009A6D22"/>
    <w:rsid w:val="009B199C"/>
    <w:rsid w:val="009B2157"/>
    <w:rsid w:val="009B61F1"/>
    <w:rsid w:val="009B62E0"/>
    <w:rsid w:val="009C3D88"/>
    <w:rsid w:val="009D159B"/>
    <w:rsid w:val="009E1651"/>
    <w:rsid w:val="009E3858"/>
    <w:rsid w:val="009E467D"/>
    <w:rsid w:val="009E70DD"/>
    <w:rsid w:val="009F0913"/>
    <w:rsid w:val="009F2ED9"/>
    <w:rsid w:val="009F3231"/>
    <w:rsid w:val="009F5C58"/>
    <w:rsid w:val="009F7C10"/>
    <w:rsid w:val="00A023A0"/>
    <w:rsid w:val="00A05EBC"/>
    <w:rsid w:val="00A1562B"/>
    <w:rsid w:val="00A170F4"/>
    <w:rsid w:val="00A21408"/>
    <w:rsid w:val="00A21CFD"/>
    <w:rsid w:val="00A24A37"/>
    <w:rsid w:val="00A25B78"/>
    <w:rsid w:val="00A46288"/>
    <w:rsid w:val="00A46BA8"/>
    <w:rsid w:val="00A47634"/>
    <w:rsid w:val="00A612FE"/>
    <w:rsid w:val="00A70B49"/>
    <w:rsid w:val="00A92D94"/>
    <w:rsid w:val="00AA26B8"/>
    <w:rsid w:val="00AC0B87"/>
    <w:rsid w:val="00AC2624"/>
    <w:rsid w:val="00AC32A8"/>
    <w:rsid w:val="00AC692A"/>
    <w:rsid w:val="00AD7E4E"/>
    <w:rsid w:val="00AF481D"/>
    <w:rsid w:val="00AF4D58"/>
    <w:rsid w:val="00AF6666"/>
    <w:rsid w:val="00AF6FD7"/>
    <w:rsid w:val="00AF7BC5"/>
    <w:rsid w:val="00B53BF5"/>
    <w:rsid w:val="00B81B44"/>
    <w:rsid w:val="00B9053B"/>
    <w:rsid w:val="00BA0C37"/>
    <w:rsid w:val="00BA3782"/>
    <w:rsid w:val="00BB4D98"/>
    <w:rsid w:val="00BB4EBF"/>
    <w:rsid w:val="00BB59E0"/>
    <w:rsid w:val="00BC3422"/>
    <w:rsid w:val="00BC6E19"/>
    <w:rsid w:val="00BD11C2"/>
    <w:rsid w:val="00BD5018"/>
    <w:rsid w:val="00BE5ADC"/>
    <w:rsid w:val="00BF3854"/>
    <w:rsid w:val="00BF4F96"/>
    <w:rsid w:val="00C015B9"/>
    <w:rsid w:val="00C022F9"/>
    <w:rsid w:val="00C032EA"/>
    <w:rsid w:val="00C06EB5"/>
    <w:rsid w:val="00C1145F"/>
    <w:rsid w:val="00C11CD1"/>
    <w:rsid w:val="00C32D49"/>
    <w:rsid w:val="00C33AD3"/>
    <w:rsid w:val="00C41B3C"/>
    <w:rsid w:val="00C43F06"/>
    <w:rsid w:val="00C47DAA"/>
    <w:rsid w:val="00C5016E"/>
    <w:rsid w:val="00C51C01"/>
    <w:rsid w:val="00C637E1"/>
    <w:rsid w:val="00C67EAC"/>
    <w:rsid w:val="00C70D50"/>
    <w:rsid w:val="00C72252"/>
    <w:rsid w:val="00C8111B"/>
    <w:rsid w:val="00C907D7"/>
    <w:rsid w:val="00C92338"/>
    <w:rsid w:val="00C954FA"/>
    <w:rsid w:val="00CA05DC"/>
    <w:rsid w:val="00CA7B47"/>
    <w:rsid w:val="00CB3976"/>
    <w:rsid w:val="00CB5275"/>
    <w:rsid w:val="00CD0307"/>
    <w:rsid w:val="00CD3D1B"/>
    <w:rsid w:val="00D02663"/>
    <w:rsid w:val="00D0633E"/>
    <w:rsid w:val="00D12E74"/>
    <w:rsid w:val="00D2195E"/>
    <w:rsid w:val="00D2312F"/>
    <w:rsid w:val="00D23B04"/>
    <w:rsid w:val="00D269C1"/>
    <w:rsid w:val="00D3478C"/>
    <w:rsid w:val="00D41B2F"/>
    <w:rsid w:val="00D44953"/>
    <w:rsid w:val="00D542F3"/>
    <w:rsid w:val="00D54513"/>
    <w:rsid w:val="00D54AAE"/>
    <w:rsid w:val="00D5644B"/>
    <w:rsid w:val="00D56E25"/>
    <w:rsid w:val="00D57E89"/>
    <w:rsid w:val="00D6560D"/>
    <w:rsid w:val="00D65D77"/>
    <w:rsid w:val="00D718D7"/>
    <w:rsid w:val="00D775D4"/>
    <w:rsid w:val="00D814B7"/>
    <w:rsid w:val="00D90688"/>
    <w:rsid w:val="00DA3AAD"/>
    <w:rsid w:val="00DA5A71"/>
    <w:rsid w:val="00DB1478"/>
    <w:rsid w:val="00DB312B"/>
    <w:rsid w:val="00DC3228"/>
    <w:rsid w:val="00DC5654"/>
    <w:rsid w:val="00DC6323"/>
    <w:rsid w:val="00DC658F"/>
    <w:rsid w:val="00DC674A"/>
    <w:rsid w:val="00DE3273"/>
    <w:rsid w:val="00DE60CC"/>
    <w:rsid w:val="00E213A3"/>
    <w:rsid w:val="00E26B32"/>
    <w:rsid w:val="00E31CD4"/>
    <w:rsid w:val="00E31E60"/>
    <w:rsid w:val="00E32CFA"/>
    <w:rsid w:val="00E33E08"/>
    <w:rsid w:val="00E407B6"/>
    <w:rsid w:val="00E41EF1"/>
    <w:rsid w:val="00E42942"/>
    <w:rsid w:val="00E63564"/>
    <w:rsid w:val="00E65A0A"/>
    <w:rsid w:val="00E71BDF"/>
    <w:rsid w:val="00E75CCB"/>
    <w:rsid w:val="00E77E60"/>
    <w:rsid w:val="00E8245B"/>
    <w:rsid w:val="00E82C21"/>
    <w:rsid w:val="00E82F59"/>
    <w:rsid w:val="00E83CA7"/>
    <w:rsid w:val="00E92192"/>
    <w:rsid w:val="00E95A71"/>
    <w:rsid w:val="00E97259"/>
    <w:rsid w:val="00EB01C5"/>
    <w:rsid w:val="00EB7014"/>
    <w:rsid w:val="00EC5CDE"/>
    <w:rsid w:val="00ED3077"/>
    <w:rsid w:val="00ED487E"/>
    <w:rsid w:val="00ED64F1"/>
    <w:rsid w:val="00EE33A1"/>
    <w:rsid w:val="00EE7A0D"/>
    <w:rsid w:val="00F00634"/>
    <w:rsid w:val="00F01DD6"/>
    <w:rsid w:val="00F0222C"/>
    <w:rsid w:val="00F12312"/>
    <w:rsid w:val="00F17CE1"/>
    <w:rsid w:val="00F2115C"/>
    <w:rsid w:val="00F22ABA"/>
    <w:rsid w:val="00F25F4B"/>
    <w:rsid w:val="00F36B12"/>
    <w:rsid w:val="00F533B5"/>
    <w:rsid w:val="00F60F9F"/>
    <w:rsid w:val="00F64F08"/>
    <w:rsid w:val="00F70055"/>
    <w:rsid w:val="00F734F5"/>
    <w:rsid w:val="00F73B5B"/>
    <w:rsid w:val="00F90EA5"/>
    <w:rsid w:val="00F91F5A"/>
    <w:rsid w:val="00F966B1"/>
    <w:rsid w:val="00F97D48"/>
    <w:rsid w:val="00FA0311"/>
    <w:rsid w:val="00FA1489"/>
    <w:rsid w:val="00FD50F0"/>
    <w:rsid w:val="00FD640F"/>
    <w:rsid w:val="00FD6B4C"/>
    <w:rsid w:val="00FE0553"/>
    <w:rsid w:val="00FE25D0"/>
    <w:rsid w:val="00FE6CB3"/>
    <w:rsid w:val="00FE7C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92F592"/>
  <w15:docId w15:val="{69DD6261-5641-4604-A3A3-DEFD6AD1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6477A6"/>
    <w:rPr>
      <w:rFonts w:cstheme="minorHAnsi"/>
    </w:rPr>
  </w:style>
  <w:style w:type="paragraph" w:styleId="Heading1">
    <w:name w:val="heading 1"/>
    <w:basedOn w:val="Normal"/>
    <w:next w:val="Normalfollowingheading"/>
    <w:link w:val="Heading1Char"/>
    <w:qFormat/>
    <w:rsid w:val="003E36BE"/>
    <w:pPr>
      <w:keepNext/>
      <w:keepLines/>
      <w:framePr w:wrap="around" w:vAnchor="page" w:hAnchor="margin" w:y="1022"/>
      <w:spacing w:before="0" w:after="120" w:line="240" w:lineRule="auto"/>
      <w:outlineLvl w:val="0"/>
    </w:pPr>
    <w:rPr>
      <w:rFonts w:ascii="VIC SemiBold" w:eastAsiaTheme="majorEastAsia" w:hAnsi="VIC SemiBold" w:cstheme="majorBidi"/>
      <w:color w:val="007586" w:themeColor="text2"/>
      <w:spacing w:val="-1"/>
      <w:sz w:val="48"/>
      <w:szCs w:val="28"/>
    </w:rPr>
  </w:style>
  <w:style w:type="paragraph" w:styleId="Heading2">
    <w:name w:val="heading 2"/>
    <w:basedOn w:val="Normal"/>
    <w:next w:val="Normalfollowingheading"/>
    <w:link w:val="Heading2Char"/>
    <w:qFormat/>
    <w:rsid w:val="006477A6"/>
    <w:pPr>
      <w:keepNext/>
      <w:keepLines/>
      <w:spacing w:before="280" w:after="60" w:line="240" w:lineRule="auto"/>
      <w:outlineLvl w:val="1"/>
    </w:pPr>
    <w:rPr>
      <w:rFonts w:eastAsiaTheme="majorEastAsia"/>
      <w:b/>
      <w:bCs/>
      <w:caps/>
      <w:color w:val="007586" w:themeColor="text2"/>
      <w:sz w:val="24"/>
      <w:szCs w:val="26"/>
    </w:rPr>
  </w:style>
  <w:style w:type="paragraph" w:styleId="Heading3">
    <w:name w:val="heading 3"/>
    <w:basedOn w:val="Normal"/>
    <w:next w:val="Normalfollowingheading"/>
    <w:link w:val="Heading3Char"/>
    <w:qFormat/>
    <w:rsid w:val="006477A6"/>
    <w:pPr>
      <w:keepNext/>
      <w:keepLines/>
      <w:spacing w:before="240" w:after="50" w:line="240" w:lineRule="auto"/>
      <w:outlineLvl w:val="2"/>
    </w:pPr>
    <w:rPr>
      <w:rFonts w:asciiTheme="majorHAnsi" w:eastAsiaTheme="majorEastAsia" w:hAnsiTheme="majorHAnsi" w:cstheme="majorHAnsi"/>
      <w:b/>
      <w:bCs/>
      <w:color w:val="000000" w:themeColor="text1"/>
      <w:sz w:val="24"/>
      <w:szCs w:val="22"/>
    </w:rPr>
  </w:style>
  <w:style w:type="paragraph" w:styleId="Heading4">
    <w:name w:val="heading 4"/>
    <w:basedOn w:val="Normal"/>
    <w:next w:val="Normalfollowingheading"/>
    <w:link w:val="Heading4Char"/>
    <w:qFormat/>
    <w:rsid w:val="006477A6"/>
    <w:pPr>
      <w:keepNext/>
      <w:keepLines/>
      <w:spacing w:before="320" w:after="70" w:line="240" w:lineRule="auto"/>
      <w:outlineLvl w:val="3"/>
    </w:pPr>
    <w:rPr>
      <w:rFonts w:asciiTheme="majorHAnsi" w:eastAsiaTheme="majorEastAsia" w:hAnsiTheme="majorHAnsi" w:cstheme="majorHAnsi"/>
      <w:b/>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3E36BE"/>
    <w:rPr>
      <w:rFonts w:ascii="VIC SemiBold" w:eastAsiaTheme="majorEastAsia" w:hAnsi="VIC SemiBold" w:cstheme="majorBidi"/>
      <w:color w:val="007586" w:themeColor="text2"/>
      <w:spacing w:val="-1"/>
      <w:sz w:val="48"/>
      <w:szCs w:val="28"/>
    </w:rPr>
  </w:style>
  <w:style w:type="character" w:customStyle="1" w:styleId="Heading2Char">
    <w:name w:val="Heading 2 Char"/>
    <w:basedOn w:val="DefaultParagraphFont"/>
    <w:link w:val="Heading2"/>
    <w:rsid w:val="006477A6"/>
    <w:rPr>
      <w:rFonts w:eastAsiaTheme="majorEastAsia" w:cstheme="minorHAnsi"/>
      <w:b/>
      <w:bCs/>
      <w:caps/>
      <w:color w:val="007586" w:themeColor="text2"/>
      <w:sz w:val="24"/>
      <w:szCs w:val="26"/>
    </w:rPr>
  </w:style>
  <w:style w:type="paragraph" w:customStyle="1" w:styleId="Bullet1">
    <w:name w:val="Bullet 1"/>
    <w:uiPriority w:val="1"/>
    <w:qFormat/>
    <w:rsid w:val="006477A6"/>
    <w:pPr>
      <w:numPr>
        <w:numId w:val="9"/>
      </w:numPr>
      <w:spacing w:before="60" w:after="60"/>
    </w:pPr>
    <w:rPr>
      <w:rFonts w:asciiTheme="majorHAnsi" w:eastAsia="Times New Roman" w:hAnsiTheme="majorHAnsi" w:cstheme="majorHAns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C47DAA"/>
    <w:pPr>
      <w:framePr w:wrap="around"/>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6477A6"/>
    <w:rPr>
      <w:rFonts w:asciiTheme="majorHAnsi" w:eastAsiaTheme="majorEastAsia" w:hAnsiTheme="majorHAnsi" w:cstheme="majorHAns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6477A6"/>
    <w:rPr>
      <w:rFonts w:asciiTheme="majorHAnsi" w:eastAsiaTheme="majorEastAsia" w:hAnsiTheme="majorHAnsi" w:cstheme="majorHAns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6477A6"/>
    <w:pPr>
      <w:tabs>
        <w:tab w:val="left" w:pos="1080"/>
      </w:tabs>
      <w:spacing w:before="280" w:after="210" w:line="260" w:lineRule="atLeast"/>
    </w:pPr>
    <w:rPr>
      <w:rFonts w:asciiTheme="majorHAnsi" w:hAnsiTheme="majorHAnsi" w:cstheme="majorHAnsi"/>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3E36BE"/>
    <w:pPr>
      <w:spacing w:before="280" w:after="60"/>
    </w:pPr>
    <w:rPr>
      <w:rFonts w:ascii="VIC Medium" w:hAnsi="VIC Medium"/>
      <w:bCs/>
      <w:color w:val="007586" w:themeColor="text2"/>
      <w:sz w:val="22"/>
      <w:szCs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table" w:customStyle="1" w:styleId="TableGrid1">
    <w:name w:val="Table Grid1"/>
    <w:basedOn w:val="TableNormal"/>
    <w:next w:val="TableGrid"/>
    <w:uiPriority w:val="59"/>
    <w:rsid w:val="003E36BE"/>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character" w:styleId="CommentReference">
    <w:name w:val="annotation reference"/>
    <w:basedOn w:val="DefaultParagraphFont"/>
    <w:uiPriority w:val="1"/>
    <w:semiHidden/>
    <w:unhideWhenUsed/>
    <w:rsid w:val="00360579"/>
    <w:rPr>
      <w:sz w:val="16"/>
      <w:szCs w:val="16"/>
    </w:rPr>
  </w:style>
  <w:style w:type="paragraph" w:styleId="CommentText">
    <w:name w:val="annotation text"/>
    <w:basedOn w:val="Normal"/>
    <w:link w:val="CommentTextChar"/>
    <w:uiPriority w:val="1"/>
    <w:semiHidden/>
    <w:unhideWhenUsed/>
    <w:rsid w:val="00360579"/>
    <w:pPr>
      <w:spacing w:line="240" w:lineRule="auto"/>
    </w:pPr>
  </w:style>
  <w:style w:type="character" w:customStyle="1" w:styleId="CommentTextChar">
    <w:name w:val="Comment Text Char"/>
    <w:basedOn w:val="DefaultParagraphFont"/>
    <w:link w:val="CommentText"/>
    <w:uiPriority w:val="1"/>
    <w:semiHidden/>
    <w:rsid w:val="00360579"/>
    <w:rPr>
      <w:rFonts w:ascii="VIC" w:hAnsi="VIC"/>
    </w:rPr>
  </w:style>
  <w:style w:type="paragraph" w:styleId="CommentSubject">
    <w:name w:val="annotation subject"/>
    <w:basedOn w:val="CommentText"/>
    <w:next w:val="CommentText"/>
    <w:link w:val="CommentSubjectChar"/>
    <w:uiPriority w:val="1"/>
    <w:semiHidden/>
    <w:unhideWhenUsed/>
    <w:rsid w:val="00360579"/>
    <w:rPr>
      <w:b/>
      <w:bCs/>
    </w:rPr>
  </w:style>
  <w:style w:type="character" w:customStyle="1" w:styleId="CommentSubjectChar">
    <w:name w:val="Comment Subject Char"/>
    <w:basedOn w:val="CommentTextChar"/>
    <w:link w:val="CommentSubject"/>
    <w:uiPriority w:val="1"/>
    <w:semiHidden/>
    <w:rsid w:val="00360579"/>
    <w:rPr>
      <w:rFonts w:ascii="VIC" w:hAnsi="VIC"/>
      <w:b/>
      <w:bCs/>
    </w:rPr>
  </w:style>
  <w:style w:type="character" w:styleId="UnresolvedMention">
    <w:name w:val="Unresolved Mention"/>
    <w:basedOn w:val="DefaultParagraphFont"/>
    <w:uiPriority w:val="99"/>
    <w:semiHidden/>
    <w:unhideWhenUsed/>
    <w:rsid w:val="0018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fercare.vic"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health.vic.gov.au/about/publications/policiesandguidelines/end-of-life-and-palliative-care-framewor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ettersafercare.vic.gov.au/reports-and-publications/evidence-based-guidance-a-new-approach-to-sharing-best-practi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aringathomeproject.com.au/"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1.%20Templates\1.%20Safer%20Care%20Victoria\Report%20no%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EEBBD2C0A542ADB339E1CA6E89A2E5"/>
        <w:category>
          <w:name w:val="General"/>
          <w:gallery w:val="placeholder"/>
        </w:category>
        <w:types>
          <w:type w:val="bbPlcHdr"/>
        </w:types>
        <w:behaviors>
          <w:behavior w:val="content"/>
        </w:behaviors>
        <w:guid w:val="{E8DBDE03-BADF-461F-BB55-F2E43879927E}"/>
      </w:docPartPr>
      <w:docPartBody>
        <w:p w:rsidR="00D25FB6" w:rsidRDefault="00D25FB6">
          <w:pPr>
            <w:pStyle w:val="09EEBBD2C0A542ADB339E1CA6E89A2E5"/>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SemiBold">
    <w:altName w:val="Calibri"/>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altName w:val="Calibri"/>
    <w:panose1 w:val="000006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B6"/>
    <w:rsid w:val="001F31BA"/>
    <w:rsid w:val="00505082"/>
    <w:rsid w:val="00D25FB6"/>
    <w:rsid w:val="00F20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09EEBBD2C0A542ADB339E1CA6E89A2E5">
    <w:name w:val="09EEBBD2C0A542ADB339E1CA6E89A2E5"/>
  </w:style>
  <w:style w:type="paragraph" w:customStyle="1" w:styleId="03FC6EB3B4C648E4BBD8CEEFB78E06BF">
    <w:name w:val="03FC6EB3B4C648E4BBD8CEEFB78E06BF"/>
  </w:style>
  <w:style w:type="paragraph" w:customStyle="1" w:styleId="8137C1765D6648F0A33C4AB8FCBCABDB">
    <w:name w:val="8137C1765D6648F0A33C4AB8FCBCA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6" ma:contentTypeDescription="Create a new document." ma:contentTypeScope="" ma:versionID="177b91d590c54fcbbcb55484cbbf5566">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890b1f636de2a1fb1ea481693e3aeb83"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EC96-91EA-4D34-9302-2561AF853011}">
  <ds:schemaRefs>
    <ds:schemaRef ds:uri="http://schemas.microsoft.com/sharepoint/v3/contenttype/forms"/>
  </ds:schemaRefs>
</ds:datastoreItem>
</file>

<file path=customXml/itemProps2.xml><?xml version="1.0" encoding="utf-8"?>
<ds:datastoreItem xmlns:ds="http://schemas.openxmlformats.org/officeDocument/2006/customXml" ds:itemID="{7B805431-149D-4100-9B69-46A3A2557194}">
  <ds:schemaRefs>
    <ds:schemaRef ds:uri="http://purl.org/dc/elements/1.1/"/>
    <ds:schemaRef ds:uri="http://schemas.microsoft.com/office/2006/metadata/properties"/>
    <ds:schemaRef ds:uri="http://purl.org/dc/terms/"/>
    <ds:schemaRef ds:uri="31b2e4f9-c376-4e2f-bd2e-796d1bcd5746"/>
    <ds:schemaRef ds:uri="http://schemas.microsoft.com/office/infopath/2007/PartnerControls"/>
    <ds:schemaRef ds:uri="http://schemas.microsoft.com/office/2006/documentManagement/types"/>
    <ds:schemaRef ds:uri="http://schemas.openxmlformats.org/package/2006/metadata/core-properties"/>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934A0C4D-B367-43F6-894C-2A0D35AB0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104F9-33C4-47C6-A003-012DB311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no image.dotx</Template>
  <TotalTime>1</TotalTime>
  <Pages>14</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Anticipatory medicines</vt:lpstr>
    </vt:vector>
  </TitlesOfParts>
  <Company>Department of Treasury and Finance</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Anticipatory medicines</dc:title>
  <dc:creator>Emma Gumbleton (DHHS)</dc:creator>
  <cp:lastModifiedBy>Emma Gumbleton (DHHS)</cp:lastModifiedBy>
  <cp:revision>3</cp:revision>
  <cp:lastPrinted>2020-03-29T22:24:00Z</cp:lastPrinted>
  <dcterms:created xsi:type="dcterms:W3CDTF">2020-03-29T22:29:00Z</dcterms:created>
  <dcterms:modified xsi:type="dcterms:W3CDTF">2020-03-29T22:30:00Z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0x01010026D179483B3A4E458E2DA955233B6DD4</vt:lpwstr>
  </property>
</Properties>
</file>