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CEC007C" w14:textId="77777777" w:rsidTr="0050356B">
        <w:trPr>
          <w:trHeight w:val="57"/>
        </w:trPr>
        <w:tc>
          <w:tcPr>
            <w:tcW w:w="6804" w:type="dxa"/>
            <w:shd w:val="clear" w:color="auto" w:fill="auto"/>
            <w:tcMar>
              <w:top w:w="312" w:type="dxa"/>
            </w:tcMar>
          </w:tcPr>
          <w:p w14:paraId="5055F6DB" w14:textId="77777777" w:rsidR="0050356B" w:rsidRPr="0050356B" w:rsidRDefault="0050356B" w:rsidP="00743826">
            <w:pPr>
              <w:pStyle w:val="Date"/>
              <w:framePr w:hSpace="0" w:wrap="auto" w:vAnchor="margin" w:hAnchor="text" w:xAlign="left" w:yAlign="inline"/>
              <w:suppressOverlap w:val="0"/>
            </w:pPr>
          </w:p>
        </w:tc>
      </w:tr>
      <w:tr w:rsidR="00A46288" w14:paraId="7CB9D276" w14:textId="77777777" w:rsidTr="0050356B">
        <w:trPr>
          <w:trHeight w:val="2948"/>
        </w:trPr>
        <w:tc>
          <w:tcPr>
            <w:tcW w:w="6804" w:type="dxa"/>
            <w:shd w:val="clear" w:color="auto" w:fill="auto"/>
            <w:tcMar>
              <w:top w:w="312" w:type="dxa"/>
            </w:tcMar>
          </w:tcPr>
          <w:sdt>
            <w:sdtPr>
              <w:rPr>
                <w:rFonts w:asciiTheme="minorHAnsi" w:hAnsiTheme="minorHAnsi" w:cstheme="minorHAnsi"/>
                <w:bCs/>
              </w:rPr>
              <w:alias w:val="Title"/>
              <w:tag w:val=""/>
              <w:id w:val="-1484688983"/>
              <w:placeholder>
                <w:docPart w:val="B31317D461C844E7BA18A0730925AB93"/>
              </w:placeholder>
              <w:dataBinding w:prefixMappings="xmlns:ns0='http://purl.org/dc/elements/1.1/' xmlns:ns1='http://schemas.openxmlformats.org/package/2006/metadata/core-properties' " w:xpath="/ns1:coreProperties[1]/ns0:title[1]" w:storeItemID="{6C3C8BC8-F283-45AE-878A-BAB7291924A1}"/>
              <w:text/>
            </w:sdtPr>
            <w:sdtContent>
              <w:p w14:paraId="54DB4F1E" w14:textId="77777777" w:rsidR="00A46288" w:rsidRPr="00743826" w:rsidRDefault="00E21DFB" w:rsidP="00743826">
                <w:pPr>
                  <w:pStyle w:val="Title"/>
                  <w:framePr w:hSpace="0" w:wrap="auto" w:vAnchor="margin" w:hAnchor="text" w:xAlign="left" w:yAlign="inline"/>
                  <w:spacing w:line="240" w:lineRule="auto"/>
                  <w:suppressOverlap w:val="0"/>
                  <w:rPr>
                    <w:rFonts w:asciiTheme="minorHAnsi" w:hAnsiTheme="minorHAnsi" w:cstheme="minorHAnsi"/>
                    <w:bCs/>
                  </w:rPr>
                </w:pPr>
                <w:r w:rsidRPr="00743826">
                  <w:rPr>
                    <w:rFonts w:asciiTheme="minorHAnsi" w:hAnsiTheme="minorHAnsi" w:cstheme="minorHAnsi"/>
                    <w:bCs/>
                  </w:rPr>
                  <w:t>Caring for people displaying acute behavioural disturbance</w:t>
                </w:r>
              </w:p>
            </w:sdtContent>
          </w:sdt>
          <w:p w14:paraId="7C7702F8" w14:textId="7AD0C46C" w:rsidR="00E21DFB" w:rsidRPr="00743826" w:rsidRDefault="00E21DFB" w:rsidP="00E21DFB">
            <w:pPr>
              <w:pStyle w:val="Subtitle"/>
              <w:framePr w:hSpace="0" w:wrap="auto" w:vAnchor="margin" w:hAnchor="text" w:xAlign="left" w:yAlign="inline"/>
              <w:suppressOverlap w:val="0"/>
              <w:rPr>
                <w:rFonts w:ascii="Arial" w:hAnsi="Arial" w:cs="Arial"/>
              </w:rPr>
            </w:pPr>
            <w:r w:rsidRPr="00743826">
              <w:rPr>
                <w:rFonts w:ascii="Arial" w:hAnsi="Arial" w:cs="Arial"/>
              </w:rPr>
              <w:t>Clinical guidance to improve care in emergency settings</w:t>
            </w:r>
          </w:p>
        </w:tc>
      </w:tr>
    </w:tbl>
    <w:p w14:paraId="7FCBE822" w14:textId="77777777" w:rsidR="00A46288" w:rsidRDefault="00A46288" w:rsidP="00A46288">
      <w:pPr>
        <w:pStyle w:val="NoSpacing"/>
      </w:pPr>
    </w:p>
    <w:p w14:paraId="4C955683" w14:textId="77777777" w:rsidR="00A46288" w:rsidRDefault="00A46288" w:rsidP="00743826">
      <w:pPr>
        <w:sectPr w:rsidR="00A46288" w:rsidSect="00257461">
          <w:headerReference w:type="even" r:id="rId11"/>
          <w:headerReference w:type="default" r:id="rId12"/>
          <w:footerReference w:type="even" r:id="rId13"/>
          <w:footerReference w:type="default" r:id="rId14"/>
          <w:headerReference w:type="first" r:id="rId15"/>
          <w:footerReference w:type="first" r:id="rId16"/>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536"/>
        <w:gridCol w:w="3196"/>
        <w:gridCol w:w="2484"/>
      </w:tblGrid>
      <w:tr w:rsidR="008116D8" w:rsidRPr="00736C0C" w14:paraId="32324424" w14:textId="77777777" w:rsidTr="005D09C0">
        <w:trPr>
          <w:trHeight w:val="2041"/>
        </w:trPr>
        <w:tc>
          <w:tcPr>
            <w:tcW w:w="4536" w:type="dxa"/>
            <w:tcMar>
              <w:left w:w="113" w:type="dxa"/>
            </w:tcMar>
          </w:tcPr>
          <w:p w14:paraId="1824CAAA" w14:textId="77777777" w:rsidR="008116D8" w:rsidRPr="0051501B" w:rsidRDefault="008116D8" w:rsidP="00743826">
            <w:pPr>
              <w:spacing w:line="280" w:lineRule="atLeast"/>
            </w:pPr>
            <w:r w:rsidRPr="00743826">
              <w:rPr>
                <w:sz w:val="24"/>
                <w:szCs w:val="36"/>
              </w:rPr>
              <w:lastRenderedPageBreak/>
              <w:t xml:space="preserve">To receive this publication in an accessible format phone </w:t>
            </w:r>
            <w:r w:rsidRPr="00743826">
              <w:rPr>
                <w:sz w:val="24"/>
                <w:szCs w:val="36"/>
              </w:rPr>
              <w:br/>
              <w:t xml:space="preserve">03 9096 1384, using the National Relay Service 13 36 </w:t>
            </w:r>
            <w:r w:rsidRPr="00743826">
              <w:rPr>
                <w:spacing w:val="-2"/>
                <w:sz w:val="24"/>
                <w:szCs w:val="36"/>
              </w:rPr>
              <w:t xml:space="preserve">77 if required, or email </w:t>
            </w:r>
            <w:r w:rsidR="0051501B" w:rsidRPr="00743826">
              <w:rPr>
                <w:sz w:val="24"/>
                <w:szCs w:val="36"/>
              </w:rPr>
              <w:t>info@safercare.vic.gov.au</w:t>
            </w:r>
          </w:p>
        </w:tc>
        <w:tc>
          <w:tcPr>
            <w:tcW w:w="3196" w:type="dxa"/>
          </w:tcPr>
          <w:p w14:paraId="567FA4E3" w14:textId="77777777" w:rsidR="008116D8" w:rsidRPr="0051501B" w:rsidRDefault="008116D8" w:rsidP="00322C5E">
            <w:pPr>
              <w:spacing w:before="60" w:after="60"/>
            </w:pPr>
            <w:r w:rsidRPr="0051501B">
              <w:t xml:space="preserve">Authorised and </w:t>
            </w:r>
            <w:r w:rsidRPr="0051501B">
              <w:rPr>
                <w:spacing w:val="-2"/>
              </w:rPr>
              <w:t>published by the Victorian</w:t>
            </w:r>
            <w:r w:rsidRPr="0051501B">
              <w:t xml:space="preserve"> Government, 1 Treasury Place, Melbourne.</w:t>
            </w:r>
          </w:p>
          <w:p w14:paraId="79E57D17" w14:textId="7CE7E43D" w:rsidR="008116D8" w:rsidRDefault="008116D8" w:rsidP="00322C5E">
            <w:pPr>
              <w:spacing w:before="60" w:after="60"/>
            </w:pPr>
            <w:r w:rsidRPr="0051501B">
              <w:t xml:space="preserve">© State of Victoria, Australia, Safer Care Victoria, </w:t>
            </w:r>
            <w:r w:rsidR="00750301">
              <w:t>January</w:t>
            </w:r>
            <w:r w:rsidR="005D09C0">
              <w:t xml:space="preserve"> 202</w:t>
            </w:r>
            <w:r w:rsidR="00750301">
              <w:t>1</w:t>
            </w:r>
          </w:p>
          <w:p w14:paraId="0681427D" w14:textId="78482EA9" w:rsidR="003C1DCD" w:rsidRPr="0051501B" w:rsidRDefault="003C1DCD" w:rsidP="00322C5E">
            <w:pPr>
              <w:spacing w:before="60" w:after="60"/>
            </w:pPr>
            <w:r>
              <w:t>ISBN 978-1-76069-243-8 (pdf/online/MS Word)</w:t>
            </w:r>
          </w:p>
          <w:p w14:paraId="73FCD962" w14:textId="3205AEF8" w:rsidR="008116D8" w:rsidRPr="00736C0C" w:rsidRDefault="008116D8" w:rsidP="00322C5E">
            <w:pPr>
              <w:spacing w:before="60" w:after="60"/>
            </w:pPr>
            <w:r w:rsidRPr="0051501B">
              <w:rPr>
                <w:sz w:val="16"/>
              </w:rPr>
              <w:t xml:space="preserve">Available at </w:t>
            </w:r>
            <w:hyperlink r:id="rId17" w:history="1">
              <w:r w:rsidRPr="007846B7">
                <w:rPr>
                  <w:rStyle w:val="Hyperlink"/>
                  <w:sz w:val="16"/>
                </w:rPr>
                <w:t>www.safercare.vic.gov.au</w:t>
              </w:r>
            </w:hyperlink>
            <w:r w:rsidRPr="0051501B">
              <w:rPr>
                <w:color w:val="4382B9"/>
                <w:sz w:val="16"/>
              </w:rPr>
              <w:t xml:space="preserve"> </w:t>
            </w:r>
          </w:p>
        </w:tc>
        <w:tc>
          <w:tcPr>
            <w:tcW w:w="2484" w:type="dxa"/>
          </w:tcPr>
          <w:p w14:paraId="47C9107C" w14:textId="77777777" w:rsidR="008116D8" w:rsidRDefault="008116D8" w:rsidP="00743826">
            <w:r w:rsidRPr="00736C0C">
              <w:rPr>
                <w:noProof/>
              </w:rPr>
              <w:drawing>
                <wp:inline distT="0" distB="0" distL="0" distR="0" wp14:anchorId="51ADEC9B" wp14:editId="7EBB9B8E">
                  <wp:extent cx="795600" cy="453600"/>
                  <wp:effectExtent l="0" t="0" r="5080" b="3810"/>
                  <wp:docPr id="16" name="Picture 16" descr="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p w14:paraId="462C7285" w14:textId="078A4BED" w:rsidR="005D0C30" w:rsidRPr="00736C0C" w:rsidRDefault="005D0C30" w:rsidP="00743826">
            <w:r>
              <w:rPr>
                <w:noProof/>
              </w:rPr>
              <w:drawing>
                <wp:inline distT="0" distB="0" distL="0" distR="0" wp14:anchorId="5F8F85A2" wp14:editId="4BBB1445">
                  <wp:extent cx="1152000" cy="440976"/>
                  <wp:effectExtent l="0" t="0" r="0" b="0"/>
                  <wp:docPr id="12" name="Picture 12" descr="CE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NA_logo_transparent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2000" cy="440976"/>
                          </a:xfrm>
                          <a:prstGeom prst="rect">
                            <a:avLst/>
                          </a:prstGeom>
                        </pic:spPr>
                      </pic:pic>
                    </a:graphicData>
                  </a:graphic>
                </wp:inline>
              </w:drawing>
            </w:r>
          </w:p>
        </w:tc>
      </w:tr>
    </w:tbl>
    <w:p w14:paraId="64313CFC" w14:textId="77777777" w:rsidR="00A1211B" w:rsidRDefault="007C4073" w:rsidP="00743826">
      <w:r>
        <w:fldChar w:fldCharType="begin"/>
      </w:r>
      <w:r>
        <w:instrText xml:space="preserve"> Macrobutton NoMacro  </w:instrText>
      </w:r>
      <w:r>
        <w:fldChar w:fldCharType="end"/>
      </w:r>
    </w:p>
    <w:p w14:paraId="4CF690A1" w14:textId="46C3A232" w:rsidR="00A1211B" w:rsidRDefault="00A1211B" w:rsidP="00743826">
      <w:r>
        <w:br w:type="page"/>
      </w:r>
      <w:bookmarkStart w:id="0" w:name="_GoBack"/>
      <w:bookmarkEnd w:id="0"/>
      <w:r w:rsidR="00D93CCF">
        <w:rPr>
          <w:noProof/>
        </w:rPr>
        <w:drawing>
          <wp:anchor distT="0" distB="0" distL="114300" distR="114300" simplePos="0" relativeHeight="251665408" behindDoc="1" locked="1" layoutInCell="1" allowOverlap="1" wp14:anchorId="5A323E4A" wp14:editId="1DFE8C79">
            <wp:simplePos x="0" y="0"/>
            <wp:positionH relativeFrom="page">
              <wp:posOffset>29845</wp:posOffset>
            </wp:positionH>
            <wp:positionV relativeFrom="page">
              <wp:posOffset>-15875</wp:posOffset>
            </wp:positionV>
            <wp:extent cx="7559675" cy="1069149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4D6CDB2A" w14:textId="39993CF0" w:rsidR="0086277A" w:rsidRPr="00C1099B" w:rsidRDefault="0086277A" w:rsidP="00743826"/>
    <w:p w14:paraId="6420BC0A" w14:textId="77777777" w:rsidR="0086277A" w:rsidRPr="00C1099B" w:rsidRDefault="0086277A" w:rsidP="00743826">
      <w:pPr>
        <w:sectPr w:rsidR="0086277A" w:rsidRPr="00C1099B" w:rsidSect="007A23A1">
          <w:headerReference w:type="even" r:id="rId21"/>
          <w:headerReference w:type="default" r:id="rId22"/>
          <w:headerReference w:type="first" r:id="rId23"/>
          <w:footerReference w:type="first" r:id="rId24"/>
          <w:pgSz w:w="11906" w:h="16838" w:code="9"/>
          <w:pgMar w:top="3402" w:right="851" w:bottom="1361" w:left="851" w:header="539" w:footer="624" w:gutter="0"/>
          <w:pgNumType w:start="0"/>
          <w:cols w:num="2" w:space="284"/>
          <w:docGrid w:linePitch="360"/>
        </w:sectPr>
      </w:pPr>
    </w:p>
    <w:sdt>
      <w:sdtPr>
        <w:rPr>
          <w:rFonts w:ascii="VIC" w:eastAsiaTheme="minorEastAsia" w:hAnsi="VIC" w:cstheme="minorBidi"/>
          <w:b w:val="0"/>
          <w:color w:val="auto"/>
          <w:spacing w:val="0"/>
          <w:sz w:val="20"/>
          <w:szCs w:val="20"/>
        </w:rPr>
        <w:id w:val="845449380"/>
        <w:docPartObj>
          <w:docPartGallery w:val="Table of Contents"/>
          <w:docPartUnique/>
        </w:docPartObj>
      </w:sdtPr>
      <w:sdtEndPr>
        <w:rPr>
          <w:rFonts w:ascii="Arial" w:hAnsi="Arial" w:cs="Arial"/>
          <w:noProof/>
        </w:rPr>
      </w:sdtEndPr>
      <w:sdtContent>
        <w:p w14:paraId="56DAA70B" w14:textId="77777777" w:rsidR="00A825C3" w:rsidRPr="00322C5E" w:rsidRDefault="00A825C3" w:rsidP="00322C5E">
          <w:pPr>
            <w:pStyle w:val="TOCHeading"/>
            <w:framePr w:wrap="around"/>
          </w:pPr>
          <w:r w:rsidRPr="00322C5E">
            <w:t>Contents</w:t>
          </w:r>
        </w:p>
        <w:p w14:paraId="5513A734" w14:textId="1150ABFA" w:rsidR="00CB0B64" w:rsidRPr="00322C5E" w:rsidRDefault="00A825C3" w:rsidP="00322C5E">
          <w:pPr>
            <w:pStyle w:val="TOC1"/>
            <w:spacing w:before="60" w:after="60"/>
            <w:rPr>
              <w:rFonts w:asciiTheme="majorHAnsi" w:hAnsiTheme="majorHAnsi" w:cstheme="majorHAnsi"/>
              <w:sz w:val="22"/>
              <w:szCs w:val="22"/>
              <w:lang w:eastAsia="en-AU"/>
            </w:rPr>
          </w:pPr>
          <w:r w:rsidRPr="00322C5E">
            <w:rPr>
              <w:rFonts w:asciiTheme="majorHAnsi" w:hAnsiTheme="majorHAnsi" w:cstheme="majorHAnsi"/>
            </w:rPr>
            <w:fldChar w:fldCharType="begin"/>
          </w:r>
          <w:r w:rsidRPr="00322C5E">
            <w:rPr>
              <w:rFonts w:asciiTheme="majorHAnsi" w:hAnsiTheme="majorHAnsi" w:cstheme="majorHAnsi"/>
            </w:rPr>
            <w:instrText xml:space="preserve"> TOC \o "1-2" \h \z \u </w:instrText>
          </w:r>
          <w:r w:rsidRPr="00322C5E">
            <w:rPr>
              <w:rFonts w:asciiTheme="majorHAnsi" w:hAnsiTheme="majorHAnsi" w:cstheme="majorHAnsi"/>
            </w:rPr>
            <w:fldChar w:fldCharType="separate"/>
          </w:r>
          <w:hyperlink w:anchor="_Toc36120110" w:history="1">
            <w:r w:rsidR="00CB0B64" w:rsidRPr="00322C5E">
              <w:rPr>
                <w:rStyle w:val="Hyperlink"/>
                <w:rFonts w:asciiTheme="majorHAnsi" w:hAnsiTheme="majorHAnsi" w:cstheme="majorHAnsi"/>
                <w:b w:val="0"/>
                <w:bCs/>
              </w:rPr>
              <w:t>Introduction</w:t>
            </w:r>
            <w:r w:rsidR="00CB0B64" w:rsidRPr="00322C5E">
              <w:rPr>
                <w:rFonts w:asciiTheme="majorHAnsi" w:hAnsiTheme="majorHAnsi" w:cstheme="majorHAnsi"/>
                <w:webHidden/>
              </w:rPr>
              <w:tab/>
            </w:r>
            <w:r w:rsidR="00CB0B64" w:rsidRPr="00322C5E">
              <w:rPr>
                <w:rFonts w:asciiTheme="majorHAnsi" w:hAnsiTheme="majorHAnsi" w:cstheme="majorHAnsi"/>
                <w:webHidden/>
              </w:rPr>
              <w:fldChar w:fldCharType="begin"/>
            </w:r>
            <w:r w:rsidR="00CB0B64" w:rsidRPr="00322C5E">
              <w:rPr>
                <w:rFonts w:asciiTheme="majorHAnsi" w:hAnsiTheme="majorHAnsi" w:cstheme="majorHAnsi"/>
                <w:webHidden/>
              </w:rPr>
              <w:instrText xml:space="preserve"> PAGEREF _Toc36120110 \h </w:instrText>
            </w:r>
            <w:r w:rsidR="00CB0B64" w:rsidRPr="00322C5E">
              <w:rPr>
                <w:rFonts w:asciiTheme="majorHAnsi" w:hAnsiTheme="majorHAnsi" w:cstheme="majorHAnsi"/>
                <w:webHidden/>
              </w:rPr>
            </w:r>
            <w:r w:rsidR="00CB0B64" w:rsidRPr="00322C5E">
              <w:rPr>
                <w:rFonts w:asciiTheme="majorHAnsi" w:hAnsiTheme="majorHAnsi" w:cstheme="majorHAnsi"/>
                <w:webHidden/>
              </w:rPr>
              <w:fldChar w:fldCharType="separate"/>
            </w:r>
            <w:r w:rsidR="00116296" w:rsidRPr="00322C5E">
              <w:rPr>
                <w:rFonts w:asciiTheme="majorHAnsi" w:hAnsiTheme="majorHAnsi" w:cstheme="majorHAnsi"/>
                <w:webHidden/>
              </w:rPr>
              <w:t>2</w:t>
            </w:r>
            <w:r w:rsidR="00CB0B64" w:rsidRPr="00322C5E">
              <w:rPr>
                <w:rFonts w:asciiTheme="majorHAnsi" w:hAnsiTheme="majorHAnsi" w:cstheme="majorHAnsi"/>
                <w:webHidden/>
              </w:rPr>
              <w:fldChar w:fldCharType="end"/>
            </w:r>
          </w:hyperlink>
        </w:p>
        <w:p w14:paraId="6E0264B5" w14:textId="0029426E" w:rsidR="00CB0B64" w:rsidRPr="00322C5E" w:rsidRDefault="005D0C30" w:rsidP="00322C5E">
          <w:pPr>
            <w:pStyle w:val="TOC1"/>
            <w:spacing w:before="60" w:after="60"/>
            <w:rPr>
              <w:rStyle w:val="Hyperlink"/>
              <w:rFonts w:asciiTheme="majorHAnsi" w:hAnsiTheme="majorHAnsi" w:cstheme="majorHAnsi"/>
            </w:rPr>
          </w:pPr>
          <w:hyperlink w:anchor="_Toc36120111" w:history="1">
            <w:r w:rsidR="00CB0B64" w:rsidRPr="00322C5E">
              <w:rPr>
                <w:rStyle w:val="Hyperlink"/>
                <w:rFonts w:asciiTheme="majorHAnsi" w:hAnsiTheme="majorHAnsi" w:cstheme="majorHAnsi"/>
              </w:rPr>
              <w:t>1. Assessment</w:t>
            </w:r>
            <w:r w:rsidR="00CB0B64" w:rsidRPr="00322C5E">
              <w:rPr>
                <w:rStyle w:val="Hyperlink"/>
                <w:rFonts w:asciiTheme="majorHAnsi" w:hAnsiTheme="majorHAnsi" w:cstheme="majorHAnsi"/>
                <w:webHidden/>
              </w:rPr>
              <w:tab/>
            </w:r>
            <w:r w:rsidR="00CB0B64" w:rsidRPr="00322C5E">
              <w:rPr>
                <w:rStyle w:val="Hyperlink"/>
                <w:rFonts w:asciiTheme="majorHAnsi" w:hAnsiTheme="majorHAnsi" w:cstheme="majorHAnsi"/>
                <w:webHidden/>
              </w:rPr>
              <w:fldChar w:fldCharType="begin"/>
            </w:r>
            <w:r w:rsidR="00CB0B64" w:rsidRPr="00322C5E">
              <w:rPr>
                <w:rStyle w:val="Hyperlink"/>
                <w:rFonts w:asciiTheme="majorHAnsi" w:hAnsiTheme="majorHAnsi" w:cstheme="majorHAnsi"/>
                <w:webHidden/>
              </w:rPr>
              <w:instrText xml:space="preserve"> PAGEREF _Toc36120111 \h </w:instrText>
            </w:r>
            <w:r w:rsidR="00CB0B64" w:rsidRPr="00322C5E">
              <w:rPr>
                <w:rStyle w:val="Hyperlink"/>
                <w:rFonts w:asciiTheme="majorHAnsi" w:hAnsiTheme="majorHAnsi" w:cstheme="majorHAnsi"/>
                <w:webHidden/>
              </w:rPr>
            </w:r>
            <w:r w:rsidR="00CB0B64" w:rsidRPr="00322C5E">
              <w:rPr>
                <w:rStyle w:val="Hyperlink"/>
                <w:rFonts w:asciiTheme="majorHAnsi" w:hAnsiTheme="majorHAnsi" w:cstheme="majorHAnsi"/>
                <w:webHidden/>
              </w:rPr>
              <w:fldChar w:fldCharType="separate"/>
            </w:r>
            <w:r w:rsidR="00116296" w:rsidRPr="00322C5E">
              <w:rPr>
                <w:rStyle w:val="Hyperlink"/>
                <w:rFonts w:asciiTheme="majorHAnsi" w:hAnsiTheme="majorHAnsi" w:cstheme="majorHAnsi"/>
                <w:webHidden/>
              </w:rPr>
              <w:t>4</w:t>
            </w:r>
            <w:r w:rsidR="00CB0B64" w:rsidRPr="00322C5E">
              <w:rPr>
                <w:rStyle w:val="Hyperlink"/>
                <w:rFonts w:asciiTheme="majorHAnsi" w:hAnsiTheme="majorHAnsi" w:cstheme="majorHAnsi"/>
                <w:webHidden/>
              </w:rPr>
              <w:fldChar w:fldCharType="end"/>
            </w:r>
          </w:hyperlink>
        </w:p>
        <w:p w14:paraId="6CDE6664" w14:textId="1CB6CC0A" w:rsidR="00CB0B64" w:rsidRPr="00322C5E" w:rsidRDefault="005D0C30" w:rsidP="00322C5E">
          <w:pPr>
            <w:pStyle w:val="TOC2"/>
            <w:spacing w:before="60"/>
            <w:rPr>
              <w:rFonts w:asciiTheme="majorHAnsi" w:hAnsiTheme="majorHAnsi" w:cstheme="majorHAnsi"/>
              <w:color w:val="auto"/>
              <w:sz w:val="22"/>
              <w:szCs w:val="22"/>
            </w:rPr>
          </w:pPr>
          <w:hyperlink w:anchor="_Toc36120112" w:history="1">
            <w:r w:rsidR="00CB0B64" w:rsidRPr="00322C5E">
              <w:rPr>
                <w:rStyle w:val="Hyperlink"/>
                <w:rFonts w:asciiTheme="majorHAnsi" w:hAnsiTheme="majorHAnsi" w:cstheme="majorHAnsi"/>
                <w:b w:val="0"/>
                <w:bCs/>
              </w:rPr>
              <w:t>Where to get assessment information</w:t>
            </w:r>
            <w:r w:rsidR="00CB0B64" w:rsidRPr="00322C5E">
              <w:rPr>
                <w:rFonts w:asciiTheme="majorHAnsi" w:hAnsiTheme="majorHAnsi" w:cstheme="majorHAnsi"/>
                <w:webHidden/>
              </w:rPr>
              <w:tab/>
            </w:r>
            <w:r w:rsidR="00CB0B64" w:rsidRPr="00322C5E">
              <w:rPr>
                <w:rFonts w:asciiTheme="majorHAnsi" w:hAnsiTheme="majorHAnsi" w:cstheme="majorHAnsi"/>
                <w:webHidden/>
              </w:rPr>
              <w:fldChar w:fldCharType="begin"/>
            </w:r>
            <w:r w:rsidR="00CB0B64" w:rsidRPr="00322C5E">
              <w:rPr>
                <w:rFonts w:asciiTheme="majorHAnsi" w:hAnsiTheme="majorHAnsi" w:cstheme="majorHAnsi"/>
                <w:webHidden/>
              </w:rPr>
              <w:instrText xml:space="preserve"> PAGEREF _Toc36120112 \h </w:instrText>
            </w:r>
            <w:r w:rsidR="00CB0B64" w:rsidRPr="00322C5E">
              <w:rPr>
                <w:rFonts w:asciiTheme="majorHAnsi" w:hAnsiTheme="majorHAnsi" w:cstheme="majorHAnsi"/>
                <w:webHidden/>
              </w:rPr>
            </w:r>
            <w:r w:rsidR="00CB0B64" w:rsidRPr="00322C5E">
              <w:rPr>
                <w:rFonts w:asciiTheme="majorHAnsi" w:hAnsiTheme="majorHAnsi" w:cstheme="majorHAnsi"/>
                <w:webHidden/>
              </w:rPr>
              <w:fldChar w:fldCharType="separate"/>
            </w:r>
            <w:r w:rsidR="00116296" w:rsidRPr="00322C5E">
              <w:rPr>
                <w:rFonts w:asciiTheme="majorHAnsi" w:hAnsiTheme="majorHAnsi" w:cstheme="majorHAnsi"/>
                <w:webHidden/>
              </w:rPr>
              <w:t>4</w:t>
            </w:r>
            <w:r w:rsidR="00CB0B64" w:rsidRPr="00322C5E">
              <w:rPr>
                <w:rFonts w:asciiTheme="majorHAnsi" w:hAnsiTheme="majorHAnsi" w:cstheme="majorHAnsi"/>
                <w:webHidden/>
              </w:rPr>
              <w:fldChar w:fldCharType="end"/>
            </w:r>
          </w:hyperlink>
        </w:p>
        <w:p w14:paraId="2B0B073C" w14:textId="3E4CBE16" w:rsidR="00CB0B64" w:rsidRPr="00322C5E" w:rsidRDefault="005D0C30" w:rsidP="00322C5E">
          <w:pPr>
            <w:pStyle w:val="TOC2"/>
            <w:spacing w:before="60"/>
            <w:rPr>
              <w:rFonts w:asciiTheme="majorHAnsi" w:hAnsiTheme="majorHAnsi" w:cstheme="majorHAnsi"/>
              <w:color w:val="auto"/>
              <w:sz w:val="22"/>
              <w:szCs w:val="22"/>
            </w:rPr>
          </w:pPr>
          <w:hyperlink w:anchor="_Toc36120113" w:history="1">
            <w:r w:rsidR="00CB0B64" w:rsidRPr="00322C5E">
              <w:rPr>
                <w:rStyle w:val="Hyperlink"/>
                <w:rFonts w:asciiTheme="majorHAnsi" w:hAnsiTheme="majorHAnsi" w:cstheme="majorHAnsi"/>
                <w:b w:val="0"/>
                <w:bCs/>
              </w:rPr>
              <w:t>Where to assess</w:t>
            </w:r>
            <w:r w:rsidR="00CB0B64" w:rsidRPr="00322C5E">
              <w:rPr>
                <w:rFonts w:asciiTheme="majorHAnsi" w:hAnsiTheme="majorHAnsi" w:cstheme="majorHAnsi"/>
                <w:webHidden/>
              </w:rPr>
              <w:tab/>
            </w:r>
            <w:r w:rsidR="00CB0B64" w:rsidRPr="00322C5E">
              <w:rPr>
                <w:rFonts w:asciiTheme="majorHAnsi" w:hAnsiTheme="majorHAnsi" w:cstheme="majorHAnsi"/>
                <w:webHidden/>
              </w:rPr>
              <w:fldChar w:fldCharType="begin"/>
            </w:r>
            <w:r w:rsidR="00CB0B64" w:rsidRPr="00322C5E">
              <w:rPr>
                <w:rFonts w:asciiTheme="majorHAnsi" w:hAnsiTheme="majorHAnsi" w:cstheme="majorHAnsi"/>
                <w:webHidden/>
              </w:rPr>
              <w:instrText xml:space="preserve"> PAGEREF _Toc36120113 \h </w:instrText>
            </w:r>
            <w:r w:rsidR="00CB0B64" w:rsidRPr="00322C5E">
              <w:rPr>
                <w:rFonts w:asciiTheme="majorHAnsi" w:hAnsiTheme="majorHAnsi" w:cstheme="majorHAnsi"/>
                <w:webHidden/>
              </w:rPr>
            </w:r>
            <w:r w:rsidR="00CB0B64" w:rsidRPr="00322C5E">
              <w:rPr>
                <w:rFonts w:asciiTheme="majorHAnsi" w:hAnsiTheme="majorHAnsi" w:cstheme="majorHAnsi"/>
                <w:webHidden/>
              </w:rPr>
              <w:fldChar w:fldCharType="separate"/>
            </w:r>
            <w:r w:rsidR="00116296" w:rsidRPr="00322C5E">
              <w:rPr>
                <w:rFonts w:asciiTheme="majorHAnsi" w:hAnsiTheme="majorHAnsi" w:cstheme="majorHAnsi"/>
                <w:webHidden/>
              </w:rPr>
              <w:t>4</w:t>
            </w:r>
            <w:r w:rsidR="00CB0B64" w:rsidRPr="00322C5E">
              <w:rPr>
                <w:rFonts w:asciiTheme="majorHAnsi" w:hAnsiTheme="majorHAnsi" w:cstheme="majorHAnsi"/>
                <w:webHidden/>
              </w:rPr>
              <w:fldChar w:fldCharType="end"/>
            </w:r>
          </w:hyperlink>
        </w:p>
        <w:p w14:paraId="61215AD7" w14:textId="2A151BCB" w:rsidR="00CB0B64" w:rsidRPr="00322C5E" w:rsidRDefault="005D0C30" w:rsidP="00322C5E">
          <w:pPr>
            <w:pStyle w:val="TOC2"/>
            <w:spacing w:before="60"/>
            <w:rPr>
              <w:rFonts w:asciiTheme="majorHAnsi" w:hAnsiTheme="majorHAnsi" w:cstheme="majorHAnsi"/>
              <w:color w:val="auto"/>
              <w:sz w:val="22"/>
              <w:szCs w:val="22"/>
            </w:rPr>
          </w:pPr>
          <w:hyperlink w:anchor="_Toc36120114" w:history="1">
            <w:r w:rsidR="00CB0B64" w:rsidRPr="00322C5E">
              <w:rPr>
                <w:rStyle w:val="Hyperlink"/>
                <w:rFonts w:asciiTheme="majorHAnsi" w:hAnsiTheme="majorHAnsi" w:cstheme="majorHAnsi"/>
                <w:b w:val="0"/>
                <w:bCs/>
              </w:rPr>
              <w:t>How to assess level of distress and sedation</w:t>
            </w:r>
            <w:r w:rsidR="00CB0B64" w:rsidRPr="00322C5E">
              <w:rPr>
                <w:rFonts w:asciiTheme="majorHAnsi" w:hAnsiTheme="majorHAnsi" w:cstheme="majorHAnsi"/>
                <w:webHidden/>
              </w:rPr>
              <w:tab/>
            </w:r>
            <w:r w:rsidR="00CB0B64" w:rsidRPr="00322C5E">
              <w:rPr>
                <w:rFonts w:asciiTheme="majorHAnsi" w:hAnsiTheme="majorHAnsi" w:cstheme="majorHAnsi"/>
                <w:webHidden/>
              </w:rPr>
              <w:fldChar w:fldCharType="begin"/>
            </w:r>
            <w:r w:rsidR="00CB0B64" w:rsidRPr="00322C5E">
              <w:rPr>
                <w:rFonts w:asciiTheme="majorHAnsi" w:hAnsiTheme="majorHAnsi" w:cstheme="majorHAnsi"/>
                <w:webHidden/>
              </w:rPr>
              <w:instrText xml:space="preserve"> PAGEREF _Toc36120114 \h </w:instrText>
            </w:r>
            <w:r w:rsidR="00CB0B64" w:rsidRPr="00322C5E">
              <w:rPr>
                <w:rFonts w:asciiTheme="majorHAnsi" w:hAnsiTheme="majorHAnsi" w:cstheme="majorHAnsi"/>
                <w:webHidden/>
              </w:rPr>
            </w:r>
            <w:r w:rsidR="00CB0B64" w:rsidRPr="00322C5E">
              <w:rPr>
                <w:rFonts w:asciiTheme="majorHAnsi" w:hAnsiTheme="majorHAnsi" w:cstheme="majorHAnsi"/>
                <w:webHidden/>
              </w:rPr>
              <w:fldChar w:fldCharType="separate"/>
            </w:r>
            <w:r w:rsidR="00116296" w:rsidRPr="00322C5E">
              <w:rPr>
                <w:rFonts w:asciiTheme="majorHAnsi" w:hAnsiTheme="majorHAnsi" w:cstheme="majorHAnsi"/>
                <w:webHidden/>
              </w:rPr>
              <w:t>5</w:t>
            </w:r>
            <w:r w:rsidR="00CB0B64" w:rsidRPr="00322C5E">
              <w:rPr>
                <w:rFonts w:asciiTheme="majorHAnsi" w:hAnsiTheme="majorHAnsi" w:cstheme="majorHAnsi"/>
                <w:webHidden/>
              </w:rPr>
              <w:fldChar w:fldCharType="end"/>
            </w:r>
          </w:hyperlink>
        </w:p>
        <w:p w14:paraId="57A6E656" w14:textId="294D1F2B" w:rsidR="00CB0B64" w:rsidRPr="00322C5E" w:rsidRDefault="005D0C30" w:rsidP="00322C5E">
          <w:pPr>
            <w:pStyle w:val="TOC2"/>
            <w:spacing w:before="60"/>
            <w:rPr>
              <w:rFonts w:asciiTheme="majorHAnsi" w:hAnsiTheme="majorHAnsi" w:cstheme="majorHAnsi"/>
              <w:color w:val="auto"/>
              <w:sz w:val="22"/>
              <w:szCs w:val="22"/>
            </w:rPr>
          </w:pPr>
          <w:hyperlink w:anchor="_Toc36120115" w:history="1">
            <w:r w:rsidR="00CB0B64" w:rsidRPr="00322C5E">
              <w:rPr>
                <w:rStyle w:val="Hyperlink"/>
                <w:rFonts w:asciiTheme="majorHAnsi" w:hAnsiTheme="majorHAnsi" w:cstheme="majorHAnsi"/>
                <w:b w:val="0"/>
                <w:bCs/>
              </w:rPr>
              <w:t>Underlying causes of acute behavioural disturbance</w:t>
            </w:r>
            <w:r w:rsidR="00CB0B64" w:rsidRPr="00322C5E">
              <w:rPr>
                <w:rFonts w:asciiTheme="majorHAnsi" w:hAnsiTheme="majorHAnsi" w:cstheme="majorHAnsi"/>
                <w:webHidden/>
              </w:rPr>
              <w:tab/>
            </w:r>
            <w:r w:rsidR="00CB0B64" w:rsidRPr="00322C5E">
              <w:rPr>
                <w:rFonts w:asciiTheme="majorHAnsi" w:hAnsiTheme="majorHAnsi" w:cstheme="majorHAnsi"/>
                <w:webHidden/>
              </w:rPr>
              <w:fldChar w:fldCharType="begin"/>
            </w:r>
            <w:r w:rsidR="00CB0B64" w:rsidRPr="00322C5E">
              <w:rPr>
                <w:rFonts w:asciiTheme="majorHAnsi" w:hAnsiTheme="majorHAnsi" w:cstheme="majorHAnsi"/>
                <w:webHidden/>
              </w:rPr>
              <w:instrText xml:space="preserve"> PAGEREF _Toc36120115 \h </w:instrText>
            </w:r>
            <w:r w:rsidR="00CB0B64" w:rsidRPr="00322C5E">
              <w:rPr>
                <w:rFonts w:asciiTheme="majorHAnsi" w:hAnsiTheme="majorHAnsi" w:cstheme="majorHAnsi"/>
                <w:webHidden/>
              </w:rPr>
            </w:r>
            <w:r w:rsidR="00CB0B64" w:rsidRPr="00322C5E">
              <w:rPr>
                <w:rFonts w:asciiTheme="majorHAnsi" w:hAnsiTheme="majorHAnsi" w:cstheme="majorHAnsi"/>
                <w:webHidden/>
              </w:rPr>
              <w:fldChar w:fldCharType="separate"/>
            </w:r>
            <w:r w:rsidR="00116296" w:rsidRPr="00322C5E">
              <w:rPr>
                <w:rFonts w:asciiTheme="majorHAnsi" w:hAnsiTheme="majorHAnsi" w:cstheme="majorHAnsi"/>
                <w:webHidden/>
              </w:rPr>
              <w:t>6</w:t>
            </w:r>
            <w:r w:rsidR="00CB0B64" w:rsidRPr="00322C5E">
              <w:rPr>
                <w:rFonts w:asciiTheme="majorHAnsi" w:hAnsiTheme="majorHAnsi" w:cstheme="majorHAnsi"/>
                <w:webHidden/>
              </w:rPr>
              <w:fldChar w:fldCharType="end"/>
            </w:r>
          </w:hyperlink>
        </w:p>
        <w:p w14:paraId="38DF513A" w14:textId="49887B02" w:rsidR="00CB0B64" w:rsidRPr="00322C5E" w:rsidRDefault="005D0C30" w:rsidP="00322C5E">
          <w:pPr>
            <w:pStyle w:val="TOC1"/>
            <w:spacing w:before="60" w:after="60"/>
            <w:rPr>
              <w:rStyle w:val="Hyperlink"/>
              <w:rFonts w:asciiTheme="majorHAnsi" w:hAnsiTheme="majorHAnsi" w:cstheme="majorHAnsi"/>
            </w:rPr>
          </w:pPr>
          <w:hyperlink w:anchor="_Toc36120116" w:history="1">
            <w:r w:rsidR="00CB0B64" w:rsidRPr="00322C5E">
              <w:rPr>
                <w:rStyle w:val="Hyperlink"/>
                <w:rFonts w:asciiTheme="majorHAnsi" w:hAnsiTheme="majorHAnsi" w:cstheme="majorHAnsi"/>
              </w:rPr>
              <w:t>2. Transition from prehospital care</w:t>
            </w:r>
            <w:r w:rsidR="00CB0B64" w:rsidRPr="00322C5E">
              <w:rPr>
                <w:rStyle w:val="Hyperlink"/>
                <w:rFonts w:asciiTheme="majorHAnsi" w:hAnsiTheme="majorHAnsi" w:cstheme="majorHAnsi"/>
                <w:webHidden/>
              </w:rPr>
              <w:tab/>
            </w:r>
            <w:r w:rsidR="00CB0B64" w:rsidRPr="00322C5E">
              <w:rPr>
                <w:rStyle w:val="Hyperlink"/>
                <w:rFonts w:asciiTheme="majorHAnsi" w:hAnsiTheme="majorHAnsi" w:cstheme="majorHAnsi"/>
                <w:webHidden/>
              </w:rPr>
              <w:fldChar w:fldCharType="begin"/>
            </w:r>
            <w:r w:rsidR="00CB0B64" w:rsidRPr="00322C5E">
              <w:rPr>
                <w:rStyle w:val="Hyperlink"/>
                <w:rFonts w:asciiTheme="majorHAnsi" w:hAnsiTheme="majorHAnsi" w:cstheme="majorHAnsi"/>
                <w:webHidden/>
              </w:rPr>
              <w:instrText xml:space="preserve"> PAGEREF _Toc36120116 \h </w:instrText>
            </w:r>
            <w:r w:rsidR="00CB0B64" w:rsidRPr="00322C5E">
              <w:rPr>
                <w:rStyle w:val="Hyperlink"/>
                <w:rFonts w:asciiTheme="majorHAnsi" w:hAnsiTheme="majorHAnsi" w:cstheme="majorHAnsi"/>
                <w:webHidden/>
              </w:rPr>
            </w:r>
            <w:r w:rsidR="00CB0B64" w:rsidRPr="00322C5E">
              <w:rPr>
                <w:rStyle w:val="Hyperlink"/>
                <w:rFonts w:asciiTheme="majorHAnsi" w:hAnsiTheme="majorHAnsi" w:cstheme="majorHAnsi"/>
                <w:webHidden/>
              </w:rPr>
              <w:fldChar w:fldCharType="separate"/>
            </w:r>
            <w:r w:rsidR="00116296" w:rsidRPr="00322C5E">
              <w:rPr>
                <w:rStyle w:val="Hyperlink"/>
                <w:rFonts w:asciiTheme="majorHAnsi" w:hAnsiTheme="majorHAnsi" w:cstheme="majorHAnsi"/>
                <w:webHidden/>
              </w:rPr>
              <w:t>7</w:t>
            </w:r>
            <w:r w:rsidR="00CB0B64" w:rsidRPr="00322C5E">
              <w:rPr>
                <w:rStyle w:val="Hyperlink"/>
                <w:rFonts w:asciiTheme="majorHAnsi" w:hAnsiTheme="majorHAnsi" w:cstheme="majorHAnsi"/>
                <w:webHidden/>
              </w:rPr>
              <w:fldChar w:fldCharType="end"/>
            </w:r>
          </w:hyperlink>
        </w:p>
        <w:p w14:paraId="6A3BEBB2" w14:textId="2822DABA" w:rsidR="00CB0B64" w:rsidRPr="00322C5E" w:rsidRDefault="005D0C30" w:rsidP="00322C5E">
          <w:pPr>
            <w:pStyle w:val="TOC2"/>
            <w:spacing w:before="60"/>
            <w:rPr>
              <w:rStyle w:val="Hyperlink"/>
              <w:rFonts w:asciiTheme="majorHAnsi" w:hAnsiTheme="majorHAnsi" w:cstheme="majorHAnsi"/>
              <w:b w:val="0"/>
              <w:bCs/>
            </w:rPr>
          </w:pPr>
          <w:hyperlink w:anchor="_Toc36120117" w:history="1">
            <w:r w:rsidR="00CB0B64" w:rsidRPr="00322C5E">
              <w:rPr>
                <w:rStyle w:val="Hyperlink"/>
                <w:rFonts w:asciiTheme="majorHAnsi" w:hAnsiTheme="majorHAnsi" w:cstheme="majorHAnsi"/>
                <w:b w:val="0"/>
                <w:bCs/>
              </w:rPr>
              <w:t>Pre-arrival notification</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_Toc36120117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7</w:t>
            </w:r>
            <w:r w:rsidR="00CB0B64" w:rsidRPr="00322C5E">
              <w:rPr>
                <w:rStyle w:val="Hyperlink"/>
                <w:rFonts w:asciiTheme="majorHAnsi" w:hAnsiTheme="majorHAnsi" w:cstheme="majorHAnsi"/>
                <w:b w:val="0"/>
                <w:bCs/>
                <w:webHidden/>
              </w:rPr>
              <w:fldChar w:fldCharType="end"/>
            </w:r>
          </w:hyperlink>
        </w:p>
        <w:p w14:paraId="17CDEC66" w14:textId="65E9CCA1" w:rsidR="00CB0B64" w:rsidRPr="00322C5E" w:rsidRDefault="005D0C30" w:rsidP="00322C5E">
          <w:pPr>
            <w:pStyle w:val="TOC2"/>
            <w:spacing w:before="60"/>
            <w:rPr>
              <w:rStyle w:val="Hyperlink"/>
              <w:rFonts w:asciiTheme="majorHAnsi" w:hAnsiTheme="majorHAnsi" w:cstheme="majorHAnsi"/>
              <w:b w:val="0"/>
              <w:bCs/>
            </w:rPr>
          </w:pPr>
          <w:hyperlink w:anchor="_Toc36120118" w:history="1">
            <w:r w:rsidR="00CB0B64" w:rsidRPr="00322C5E">
              <w:rPr>
                <w:rStyle w:val="Hyperlink"/>
                <w:rFonts w:asciiTheme="majorHAnsi" w:hAnsiTheme="majorHAnsi" w:cstheme="majorHAnsi"/>
                <w:b w:val="0"/>
                <w:bCs/>
              </w:rPr>
              <w:t>Preparing for arrival</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_Toc36120118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7</w:t>
            </w:r>
            <w:r w:rsidR="00CB0B64" w:rsidRPr="00322C5E">
              <w:rPr>
                <w:rStyle w:val="Hyperlink"/>
                <w:rFonts w:asciiTheme="majorHAnsi" w:hAnsiTheme="majorHAnsi" w:cstheme="majorHAnsi"/>
                <w:b w:val="0"/>
                <w:bCs/>
                <w:webHidden/>
              </w:rPr>
              <w:fldChar w:fldCharType="end"/>
            </w:r>
          </w:hyperlink>
        </w:p>
        <w:p w14:paraId="51F2CBA3" w14:textId="4B32CAC5" w:rsidR="00CB0B64" w:rsidRPr="00322C5E" w:rsidRDefault="005D0C30" w:rsidP="00322C5E">
          <w:pPr>
            <w:pStyle w:val="TOC2"/>
            <w:spacing w:before="60"/>
            <w:rPr>
              <w:rStyle w:val="Hyperlink"/>
              <w:rFonts w:asciiTheme="majorHAnsi" w:hAnsiTheme="majorHAnsi" w:cstheme="majorHAnsi"/>
              <w:b w:val="0"/>
              <w:bCs/>
            </w:rPr>
          </w:pPr>
          <w:hyperlink w:anchor="_Toc36120119" w:history="1">
            <w:r w:rsidR="00CB0B64" w:rsidRPr="00322C5E">
              <w:rPr>
                <w:rStyle w:val="Hyperlink"/>
                <w:rFonts w:asciiTheme="majorHAnsi" w:hAnsiTheme="majorHAnsi" w:cstheme="majorHAnsi"/>
                <w:b w:val="0"/>
                <w:bCs/>
              </w:rPr>
              <w:t>Handover and transfer of care</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_Toc36120119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8</w:t>
            </w:r>
            <w:r w:rsidR="00CB0B64" w:rsidRPr="00322C5E">
              <w:rPr>
                <w:rStyle w:val="Hyperlink"/>
                <w:rFonts w:asciiTheme="majorHAnsi" w:hAnsiTheme="majorHAnsi" w:cstheme="majorHAnsi"/>
                <w:b w:val="0"/>
                <w:bCs/>
                <w:webHidden/>
              </w:rPr>
              <w:fldChar w:fldCharType="end"/>
            </w:r>
          </w:hyperlink>
        </w:p>
        <w:p w14:paraId="6A7B0A19" w14:textId="04D9B63B" w:rsidR="00CB0B64" w:rsidRPr="00322C5E" w:rsidRDefault="005D0C30" w:rsidP="00322C5E">
          <w:pPr>
            <w:pStyle w:val="TOC1"/>
            <w:spacing w:before="60" w:after="60"/>
            <w:rPr>
              <w:rStyle w:val="Hyperlink"/>
              <w:rFonts w:asciiTheme="majorHAnsi" w:hAnsiTheme="majorHAnsi" w:cstheme="majorHAnsi"/>
            </w:rPr>
          </w:pPr>
          <w:hyperlink w:anchor="_Toc36120120" w:history="1">
            <w:r w:rsidR="00CB0B64" w:rsidRPr="00322C5E">
              <w:rPr>
                <w:rStyle w:val="Hyperlink"/>
                <w:rFonts w:asciiTheme="majorHAnsi" w:hAnsiTheme="majorHAnsi" w:cstheme="majorHAnsi"/>
              </w:rPr>
              <w:t>3. De-escalation</w:t>
            </w:r>
            <w:r w:rsidR="00CB0B64" w:rsidRPr="00322C5E">
              <w:rPr>
                <w:rStyle w:val="Hyperlink"/>
                <w:rFonts w:asciiTheme="majorHAnsi" w:hAnsiTheme="majorHAnsi" w:cstheme="majorHAnsi"/>
                <w:webHidden/>
              </w:rPr>
              <w:tab/>
            </w:r>
            <w:r w:rsidR="00CB0B64" w:rsidRPr="00322C5E">
              <w:rPr>
                <w:rStyle w:val="Hyperlink"/>
                <w:rFonts w:asciiTheme="majorHAnsi" w:hAnsiTheme="majorHAnsi" w:cstheme="majorHAnsi"/>
                <w:webHidden/>
              </w:rPr>
              <w:fldChar w:fldCharType="begin"/>
            </w:r>
            <w:r w:rsidR="00CB0B64" w:rsidRPr="00322C5E">
              <w:rPr>
                <w:rStyle w:val="Hyperlink"/>
                <w:rFonts w:asciiTheme="majorHAnsi" w:hAnsiTheme="majorHAnsi" w:cstheme="majorHAnsi"/>
                <w:webHidden/>
              </w:rPr>
              <w:instrText xml:space="preserve"> PAGEREF _Toc36120120 \h </w:instrText>
            </w:r>
            <w:r w:rsidR="00CB0B64" w:rsidRPr="00322C5E">
              <w:rPr>
                <w:rStyle w:val="Hyperlink"/>
                <w:rFonts w:asciiTheme="majorHAnsi" w:hAnsiTheme="majorHAnsi" w:cstheme="majorHAnsi"/>
                <w:webHidden/>
              </w:rPr>
            </w:r>
            <w:r w:rsidR="00CB0B64" w:rsidRPr="00322C5E">
              <w:rPr>
                <w:rStyle w:val="Hyperlink"/>
                <w:rFonts w:asciiTheme="majorHAnsi" w:hAnsiTheme="majorHAnsi" w:cstheme="majorHAnsi"/>
                <w:webHidden/>
              </w:rPr>
              <w:fldChar w:fldCharType="separate"/>
            </w:r>
            <w:r w:rsidR="00116296" w:rsidRPr="00322C5E">
              <w:rPr>
                <w:rStyle w:val="Hyperlink"/>
                <w:rFonts w:asciiTheme="majorHAnsi" w:hAnsiTheme="majorHAnsi" w:cstheme="majorHAnsi"/>
                <w:webHidden/>
              </w:rPr>
              <w:t>9</w:t>
            </w:r>
            <w:r w:rsidR="00CB0B64" w:rsidRPr="00322C5E">
              <w:rPr>
                <w:rStyle w:val="Hyperlink"/>
                <w:rFonts w:asciiTheme="majorHAnsi" w:hAnsiTheme="majorHAnsi" w:cstheme="majorHAnsi"/>
                <w:webHidden/>
              </w:rPr>
              <w:fldChar w:fldCharType="end"/>
            </w:r>
          </w:hyperlink>
        </w:p>
        <w:p w14:paraId="0D3F51C7" w14:textId="79C9B8EF" w:rsidR="00CB0B64" w:rsidRPr="00322C5E" w:rsidRDefault="005D0C30" w:rsidP="00322C5E">
          <w:pPr>
            <w:pStyle w:val="TOC2"/>
            <w:spacing w:before="60"/>
            <w:rPr>
              <w:rStyle w:val="Hyperlink"/>
              <w:rFonts w:asciiTheme="majorHAnsi" w:hAnsiTheme="majorHAnsi" w:cstheme="majorHAnsi"/>
              <w:b w:val="0"/>
              <w:bCs/>
            </w:rPr>
          </w:pPr>
          <w:hyperlink w:anchor="_Toc36120121" w:history="1">
            <w:r w:rsidR="00CB0B64" w:rsidRPr="00322C5E">
              <w:rPr>
                <w:rStyle w:val="Hyperlink"/>
                <w:rFonts w:asciiTheme="majorHAnsi" w:hAnsiTheme="majorHAnsi" w:cstheme="majorHAnsi"/>
                <w:b w:val="0"/>
                <w:bCs/>
              </w:rPr>
              <w:t>How to de-escalate</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_Toc36120121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9</w:t>
            </w:r>
            <w:r w:rsidR="00CB0B64" w:rsidRPr="00322C5E">
              <w:rPr>
                <w:rStyle w:val="Hyperlink"/>
                <w:rFonts w:asciiTheme="majorHAnsi" w:hAnsiTheme="majorHAnsi" w:cstheme="majorHAnsi"/>
                <w:b w:val="0"/>
                <w:bCs/>
                <w:webHidden/>
              </w:rPr>
              <w:fldChar w:fldCharType="end"/>
            </w:r>
          </w:hyperlink>
        </w:p>
        <w:p w14:paraId="5130F9F6" w14:textId="0C5D2213" w:rsidR="00CB0B64" w:rsidRPr="00322C5E" w:rsidRDefault="005D0C30" w:rsidP="00322C5E">
          <w:pPr>
            <w:pStyle w:val="TOC2"/>
            <w:spacing w:before="60"/>
            <w:rPr>
              <w:rStyle w:val="Hyperlink"/>
              <w:rFonts w:asciiTheme="majorHAnsi" w:hAnsiTheme="majorHAnsi" w:cstheme="majorHAnsi"/>
              <w:b w:val="0"/>
              <w:bCs/>
            </w:rPr>
          </w:pPr>
          <w:hyperlink w:anchor="_Toc36120122" w:history="1">
            <w:r w:rsidR="00CB0B64" w:rsidRPr="00322C5E">
              <w:rPr>
                <w:rStyle w:val="Hyperlink"/>
                <w:rFonts w:asciiTheme="majorHAnsi" w:hAnsiTheme="majorHAnsi" w:cstheme="majorHAnsi"/>
                <w:b w:val="0"/>
                <w:bCs/>
              </w:rPr>
              <w:t xml:space="preserve">Verbal </w:t>
            </w:r>
            <w:r w:rsidR="00C37E40" w:rsidRPr="00322C5E">
              <w:rPr>
                <w:rStyle w:val="Hyperlink"/>
                <w:rFonts w:asciiTheme="majorHAnsi" w:hAnsiTheme="majorHAnsi" w:cstheme="majorHAnsi"/>
                <w:b w:val="0"/>
                <w:bCs/>
              </w:rPr>
              <w:t>d</w:t>
            </w:r>
            <w:r w:rsidR="00CB0B64" w:rsidRPr="00322C5E">
              <w:rPr>
                <w:rStyle w:val="Hyperlink"/>
                <w:rFonts w:asciiTheme="majorHAnsi" w:hAnsiTheme="majorHAnsi" w:cstheme="majorHAnsi"/>
                <w:b w:val="0"/>
                <w:bCs/>
              </w:rPr>
              <w:t>e-escalation</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_Toc36120122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10</w:t>
            </w:r>
            <w:r w:rsidR="00CB0B64" w:rsidRPr="00322C5E">
              <w:rPr>
                <w:rStyle w:val="Hyperlink"/>
                <w:rFonts w:asciiTheme="majorHAnsi" w:hAnsiTheme="majorHAnsi" w:cstheme="majorHAnsi"/>
                <w:b w:val="0"/>
                <w:bCs/>
                <w:webHidden/>
              </w:rPr>
              <w:fldChar w:fldCharType="end"/>
            </w:r>
          </w:hyperlink>
        </w:p>
        <w:p w14:paraId="5EF234D2" w14:textId="123EDA5F" w:rsidR="00CB0B64" w:rsidRPr="00322C5E" w:rsidRDefault="005D0C30" w:rsidP="00322C5E">
          <w:pPr>
            <w:pStyle w:val="TOC1"/>
            <w:spacing w:before="60" w:after="60"/>
            <w:rPr>
              <w:rStyle w:val="Hyperlink"/>
              <w:rFonts w:asciiTheme="majorHAnsi" w:hAnsiTheme="majorHAnsi" w:cstheme="majorHAnsi"/>
            </w:rPr>
          </w:pPr>
          <w:hyperlink w:anchor="_Toc36120123" w:history="1">
            <w:r w:rsidR="00CB0B64" w:rsidRPr="00322C5E">
              <w:rPr>
                <w:rStyle w:val="Hyperlink"/>
                <w:rFonts w:asciiTheme="majorHAnsi" w:hAnsiTheme="majorHAnsi" w:cstheme="majorHAnsi"/>
              </w:rPr>
              <w:t>4. Sedation and ongoing care post-sedation</w:t>
            </w:r>
            <w:r w:rsidR="00CB0B64" w:rsidRPr="00322C5E">
              <w:rPr>
                <w:rStyle w:val="Hyperlink"/>
                <w:rFonts w:asciiTheme="majorHAnsi" w:hAnsiTheme="majorHAnsi" w:cstheme="majorHAnsi"/>
                <w:webHidden/>
              </w:rPr>
              <w:tab/>
            </w:r>
            <w:r w:rsidR="00CB0B64" w:rsidRPr="00322C5E">
              <w:rPr>
                <w:rStyle w:val="Hyperlink"/>
                <w:rFonts w:asciiTheme="majorHAnsi" w:hAnsiTheme="majorHAnsi" w:cstheme="majorHAnsi"/>
                <w:webHidden/>
              </w:rPr>
              <w:fldChar w:fldCharType="begin"/>
            </w:r>
            <w:r w:rsidR="00CB0B64" w:rsidRPr="00322C5E">
              <w:rPr>
                <w:rStyle w:val="Hyperlink"/>
                <w:rFonts w:asciiTheme="majorHAnsi" w:hAnsiTheme="majorHAnsi" w:cstheme="majorHAnsi"/>
                <w:webHidden/>
              </w:rPr>
              <w:instrText xml:space="preserve"> PAGEREF _Toc36120123 \h </w:instrText>
            </w:r>
            <w:r w:rsidR="00CB0B64" w:rsidRPr="00322C5E">
              <w:rPr>
                <w:rStyle w:val="Hyperlink"/>
                <w:rFonts w:asciiTheme="majorHAnsi" w:hAnsiTheme="majorHAnsi" w:cstheme="majorHAnsi"/>
                <w:webHidden/>
              </w:rPr>
            </w:r>
            <w:r w:rsidR="00CB0B64" w:rsidRPr="00322C5E">
              <w:rPr>
                <w:rStyle w:val="Hyperlink"/>
                <w:rFonts w:asciiTheme="majorHAnsi" w:hAnsiTheme="majorHAnsi" w:cstheme="majorHAnsi"/>
                <w:webHidden/>
              </w:rPr>
              <w:fldChar w:fldCharType="separate"/>
            </w:r>
            <w:r w:rsidR="00116296" w:rsidRPr="00322C5E">
              <w:rPr>
                <w:rStyle w:val="Hyperlink"/>
                <w:rFonts w:asciiTheme="majorHAnsi" w:hAnsiTheme="majorHAnsi" w:cstheme="majorHAnsi"/>
                <w:webHidden/>
              </w:rPr>
              <w:t>11</w:t>
            </w:r>
            <w:r w:rsidR="00CB0B64" w:rsidRPr="00322C5E">
              <w:rPr>
                <w:rStyle w:val="Hyperlink"/>
                <w:rFonts w:asciiTheme="majorHAnsi" w:hAnsiTheme="majorHAnsi" w:cstheme="majorHAnsi"/>
                <w:webHidden/>
              </w:rPr>
              <w:fldChar w:fldCharType="end"/>
            </w:r>
          </w:hyperlink>
        </w:p>
        <w:p w14:paraId="0CE1500F" w14:textId="569517FE" w:rsidR="00CB0B64" w:rsidRPr="00322C5E" w:rsidRDefault="005D0C30" w:rsidP="00322C5E">
          <w:pPr>
            <w:pStyle w:val="TOC2"/>
            <w:spacing w:before="60"/>
            <w:rPr>
              <w:rStyle w:val="Hyperlink"/>
              <w:rFonts w:asciiTheme="majorHAnsi" w:hAnsiTheme="majorHAnsi" w:cstheme="majorHAnsi"/>
              <w:b w:val="0"/>
              <w:bCs/>
            </w:rPr>
          </w:pPr>
          <w:hyperlink w:anchor="_Toc36120124" w:history="1">
            <w:r w:rsidR="00CB0B64" w:rsidRPr="00322C5E">
              <w:rPr>
                <w:rStyle w:val="Hyperlink"/>
                <w:rFonts w:asciiTheme="majorHAnsi" w:hAnsiTheme="majorHAnsi" w:cstheme="majorHAnsi"/>
                <w:b w:val="0"/>
                <w:bCs/>
              </w:rPr>
              <w:t>When to give sedation</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_Toc36120124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11</w:t>
            </w:r>
            <w:r w:rsidR="00CB0B64" w:rsidRPr="00322C5E">
              <w:rPr>
                <w:rStyle w:val="Hyperlink"/>
                <w:rFonts w:asciiTheme="majorHAnsi" w:hAnsiTheme="majorHAnsi" w:cstheme="majorHAnsi"/>
                <w:b w:val="0"/>
                <w:bCs/>
                <w:webHidden/>
              </w:rPr>
              <w:fldChar w:fldCharType="end"/>
            </w:r>
          </w:hyperlink>
        </w:p>
        <w:p w14:paraId="3AC8F4EA" w14:textId="40DD80A4" w:rsidR="00CB0B64" w:rsidRPr="00322C5E" w:rsidRDefault="005D0C30" w:rsidP="00322C5E">
          <w:pPr>
            <w:pStyle w:val="TOC2"/>
            <w:spacing w:before="60"/>
            <w:rPr>
              <w:rStyle w:val="Hyperlink"/>
              <w:rFonts w:asciiTheme="majorHAnsi" w:hAnsiTheme="majorHAnsi" w:cstheme="majorHAnsi"/>
              <w:b w:val="0"/>
              <w:bCs/>
            </w:rPr>
          </w:pPr>
          <w:hyperlink w:anchor="_Toc36120125" w:history="1">
            <w:r w:rsidR="00CB0B64" w:rsidRPr="00322C5E">
              <w:rPr>
                <w:rStyle w:val="Hyperlink"/>
                <w:rFonts w:asciiTheme="majorHAnsi" w:hAnsiTheme="majorHAnsi" w:cstheme="majorHAnsi"/>
                <w:b w:val="0"/>
                <w:bCs/>
              </w:rPr>
              <w:t>How to give sedation</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_Toc36120125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12</w:t>
            </w:r>
            <w:r w:rsidR="00CB0B64" w:rsidRPr="00322C5E">
              <w:rPr>
                <w:rStyle w:val="Hyperlink"/>
                <w:rFonts w:asciiTheme="majorHAnsi" w:hAnsiTheme="majorHAnsi" w:cstheme="majorHAnsi"/>
                <w:b w:val="0"/>
                <w:bCs/>
                <w:webHidden/>
              </w:rPr>
              <w:fldChar w:fldCharType="end"/>
            </w:r>
          </w:hyperlink>
        </w:p>
        <w:p w14:paraId="4A6887F4" w14:textId="786D14A6" w:rsidR="00CB0B64" w:rsidRPr="00322C5E" w:rsidRDefault="005D0C30" w:rsidP="00322C5E">
          <w:pPr>
            <w:pStyle w:val="TOC2"/>
            <w:spacing w:before="60"/>
            <w:rPr>
              <w:rStyle w:val="Hyperlink"/>
              <w:rFonts w:asciiTheme="majorHAnsi" w:hAnsiTheme="majorHAnsi" w:cstheme="majorHAnsi"/>
              <w:b w:val="0"/>
              <w:bCs/>
            </w:rPr>
          </w:pPr>
          <w:hyperlink w:anchor="_Toc36120126" w:history="1">
            <w:r w:rsidR="00CB0B64" w:rsidRPr="00322C5E">
              <w:rPr>
                <w:rStyle w:val="Hyperlink"/>
                <w:rFonts w:asciiTheme="majorHAnsi" w:hAnsiTheme="majorHAnsi" w:cstheme="majorHAnsi"/>
                <w:b w:val="0"/>
                <w:bCs/>
              </w:rPr>
              <w:t>Post-sedation care</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_Toc36120126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14</w:t>
            </w:r>
            <w:r w:rsidR="00CB0B64" w:rsidRPr="00322C5E">
              <w:rPr>
                <w:rStyle w:val="Hyperlink"/>
                <w:rFonts w:asciiTheme="majorHAnsi" w:hAnsiTheme="majorHAnsi" w:cstheme="majorHAnsi"/>
                <w:b w:val="0"/>
                <w:bCs/>
                <w:webHidden/>
              </w:rPr>
              <w:fldChar w:fldCharType="end"/>
            </w:r>
          </w:hyperlink>
        </w:p>
        <w:p w14:paraId="27347867" w14:textId="159A42DC" w:rsidR="00CB0B64" w:rsidRPr="00322C5E" w:rsidRDefault="005D0C30" w:rsidP="00322C5E">
          <w:pPr>
            <w:pStyle w:val="TOC1"/>
            <w:spacing w:before="60" w:after="60"/>
            <w:rPr>
              <w:rStyle w:val="Hyperlink"/>
              <w:rFonts w:asciiTheme="majorHAnsi" w:hAnsiTheme="majorHAnsi" w:cstheme="majorHAnsi"/>
            </w:rPr>
          </w:pPr>
          <w:hyperlink w:anchor="_Toc36120127" w:history="1">
            <w:r w:rsidR="00CB0B64" w:rsidRPr="00322C5E">
              <w:rPr>
                <w:rStyle w:val="Hyperlink"/>
                <w:rFonts w:asciiTheme="majorHAnsi" w:hAnsiTheme="majorHAnsi" w:cstheme="majorHAnsi"/>
              </w:rPr>
              <w:t>5. Physical and mechanical restraint and ongoing care while restrained</w:t>
            </w:r>
            <w:r w:rsidR="00CB0B64" w:rsidRPr="00322C5E">
              <w:rPr>
                <w:rStyle w:val="Hyperlink"/>
                <w:rFonts w:asciiTheme="majorHAnsi" w:hAnsiTheme="majorHAnsi" w:cstheme="majorHAnsi"/>
                <w:webHidden/>
              </w:rPr>
              <w:tab/>
            </w:r>
            <w:r w:rsidR="00CB0B64" w:rsidRPr="00322C5E">
              <w:rPr>
                <w:rStyle w:val="Hyperlink"/>
                <w:rFonts w:asciiTheme="majorHAnsi" w:hAnsiTheme="majorHAnsi" w:cstheme="majorHAnsi"/>
                <w:webHidden/>
              </w:rPr>
              <w:fldChar w:fldCharType="begin"/>
            </w:r>
            <w:r w:rsidR="00CB0B64" w:rsidRPr="00322C5E">
              <w:rPr>
                <w:rStyle w:val="Hyperlink"/>
                <w:rFonts w:asciiTheme="majorHAnsi" w:hAnsiTheme="majorHAnsi" w:cstheme="majorHAnsi"/>
                <w:webHidden/>
              </w:rPr>
              <w:instrText xml:space="preserve"> PAGEREF _Toc36120127 \h </w:instrText>
            </w:r>
            <w:r w:rsidR="00CB0B64" w:rsidRPr="00322C5E">
              <w:rPr>
                <w:rStyle w:val="Hyperlink"/>
                <w:rFonts w:asciiTheme="majorHAnsi" w:hAnsiTheme="majorHAnsi" w:cstheme="majorHAnsi"/>
                <w:webHidden/>
              </w:rPr>
            </w:r>
            <w:r w:rsidR="00CB0B64" w:rsidRPr="00322C5E">
              <w:rPr>
                <w:rStyle w:val="Hyperlink"/>
                <w:rFonts w:asciiTheme="majorHAnsi" w:hAnsiTheme="majorHAnsi" w:cstheme="majorHAnsi"/>
                <w:webHidden/>
              </w:rPr>
              <w:fldChar w:fldCharType="separate"/>
            </w:r>
            <w:r w:rsidR="00116296" w:rsidRPr="00322C5E">
              <w:rPr>
                <w:rStyle w:val="Hyperlink"/>
                <w:rFonts w:asciiTheme="majorHAnsi" w:hAnsiTheme="majorHAnsi" w:cstheme="majorHAnsi"/>
                <w:webHidden/>
              </w:rPr>
              <w:t>15</w:t>
            </w:r>
            <w:r w:rsidR="00CB0B64" w:rsidRPr="00322C5E">
              <w:rPr>
                <w:rStyle w:val="Hyperlink"/>
                <w:rFonts w:asciiTheme="majorHAnsi" w:hAnsiTheme="majorHAnsi" w:cstheme="majorHAnsi"/>
                <w:webHidden/>
              </w:rPr>
              <w:fldChar w:fldCharType="end"/>
            </w:r>
          </w:hyperlink>
        </w:p>
        <w:p w14:paraId="22FBDC50" w14:textId="5ABBD6E7" w:rsidR="00CB0B64" w:rsidRPr="00322C5E" w:rsidRDefault="005D0C30" w:rsidP="00322C5E">
          <w:pPr>
            <w:pStyle w:val="TOC2"/>
            <w:spacing w:before="60"/>
            <w:rPr>
              <w:rStyle w:val="Hyperlink"/>
              <w:rFonts w:asciiTheme="majorHAnsi" w:hAnsiTheme="majorHAnsi" w:cstheme="majorHAnsi"/>
              <w:b w:val="0"/>
              <w:bCs/>
            </w:rPr>
          </w:pPr>
          <w:hyperlink w:anchor="_Toc36120128" w:history="1">
            <w:r w:rsidR="00CB0B64" w:rsidRPr="00322C5E">
              <w:rPr>
                <w:rStyle w:val="Hyperlink"/>
                <w:rFonts w:asciiTheme="majorHAnsi" w:hAnsiTheme="majorHAnsi" w:cstheme="majorHAnsi"/>
                <w:b w:val="0"/>
                <w:bCs/>
              </w:rPr>
              <w:t>When to restrain</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_Toc36120128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15</w:t>
            </w:r>
            <w:r w:rsidR="00CB0B64" w:rsidRPr="00322C5E">
              <w:rPr>
                <w:rStyle w:val="Hyperlink"/>
                <w:rFonts w:asciiTheme="majorHAnsi" w:hAnsiTheme="majorHAnsi" w:cstheme="majorHAnsi"/>
                <w:b w:val="0"/>
                <w:bCs/>
                <w:webHidden/>
              </w:rPr>
              <w:fldChar w:fldCharType="end"/>
            </w:r>
          </w:hyperlink>
        </w:p>
        <w:p w14:paraId="333FBB2F" w14:textId="1F87973D" w:rsidR="00CB0B64" w:rsidRPr="00322C5E" w:rsidRDefault="005D0C30" w:rsidP="00322C5E">
          <w:pPr>
            <w:pStyle w:val="TOC2"/>
            <w:spacing w:before="60"/>
            <w:rPr>
              <w:rStyle w:val="Hyperlink"/>
              <w:rFonts w:asciiTheme="majorHAnsi" w:hAnsiTheme="majorHAnsi" w:cstheme="majorHAnsi"/>
              <w:b w:val="0"/>
              <w:bCs/>
            </w:rPr>
          </w:pPr>
          <w:hyperlink w:anchor="_Toc36120129" w:history="1">
            <w:r w:rsidR="00CB0B64" w:rsidRPr="00322C5E">
              <w:rPr>
                <w:rStyle w:val="Hyperlink"/>
                <w:rFonts w:asciiTheme="majorHAnsi" w:hAnsiTheme="majorHAnsi" w:cstheme="majorHAnsi"/>
                <w:b w:val="0"/>
                <w:bCs/>
              </w:rPr>
              <w:t>How to restrain</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_Toc36120129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16</w:t>
            </w:r>
            <w:r w:rsidR="00CB0B64" w:rsidRPr="00322C5E">
              <w:rPr>
                <w:rStyle w:val="Hyperlink"/>
                <w:rFonts w:asciiTheme="majorHAnsi" w:hAnsiTheme="majorHAnsi" w:cstheme="majorHAnsi"/>
                <w:b w:val="0"/>
                <w:bCs/>
                <w:webHidden/>
              </w:rPr>
              <w:fldChar w:fldCharType="end"/>
            </w:r>
          </w:hyperlink>
        </w:p>
        <w:p w14:paraId="2EFCD6E9" w14:textId="39D9F03E" w:rsidR="00CB0B64" w:rsidRPr="00322C5E" w:rsidRDefault="005D0C30" w:rsidP="00322C5E">
          <w:pPr>
            <w:pStyle w:val="TOC2"/>
            <w:spacing w:before="60"/>
            <w:rPr>
              <w:rStyle w:val="Hyperlink"/>
              <w:rFonts w:asciiTheme="majorHAnsi" w:hAnsiTheme="majorHAnsi" w:cstheme="majorHAnsi"/>
              <w:b w:val="0"/>
              <w:bCs/>
            </w:rPr>
          </w:pPr>
          <w:hyperlink w:anchor="_Toc36120130" w:history="1">
            <w:r w:rsidR="00CB0B64" w:rsidRPr="00322C5E">
              <w:rPr>
                <w:rStyle w:val="Hyperlink"/>
                <w:rFonts w:asciiTheme="majorHAnsi" w:hAnsiTheme="majorHAnsi" w:cstheme="majorHAnsi"/>
                <w:b w:val="0"/>
                <w:bCs/>
              </w:rPr>
              <w:t>Post-restraint care</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_Toc36120130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18</w:t>
            </w:r>
            <w:r w:rsidR="00CB0B64" w:rsidRPr="00322C5E">
              <w:rPr>
                <w:rStyle w:val="Hyperlink"/>
                <w:rFonts w:asciiTheme="majorHAnsi" w:hAnsiTheme="majorHAnsi" w:cstheme="majorHAnsi"/>
                <w:b w:val="0"/>
                <w:bCs/>
                <w:webHidden/>
              </w:rPr>
              <w:fldChar w:fldCharType="end"/>
            </w:r>
          </w:hyperlink>
        </w:p>
        <w:p w14:paraId="34CD8482" w14:textId="1D6F4999" w:rsidR="00CB0B64" w:rsidRPr="00322C5E" w:rsidRDefault="005D0C30" w:rsidP="00743826">
          <w:pPr>
            <w:pStyle w:val="TOC1"/>
            <w:rPr>
              <w:rStyle w:val="Hyperlink"/>
              <w:rFonts w:asciiTheme="majorHAnsi" w:hAnsiTheme="majorHAnsi" w:cstheme="majorHAnsi"/>
              <w:b w:val="0"/>
              <w:bCs/>
            </w:rPr>
          </w:pPr>
          <w:hyperlink w:anchor="_Toc36120131" w:history="1">
            <w:r w:rsidR="00CB0B64" w:rsidRPr="00322C5E">
              <w:rPr>
                <w:rStyle w:val="Hyperlink"/>
                <w:rFonts w:asciiTheme="majorHAnsi" w:hAnsiTheme="majorHAnsi" w:cstheme="majorHAnsi"/>
                <w:b w:val="0"/>
                <w:bCs/>
              </w:rPr>
              <w:t>6. Transition from the emergency care setting</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_Toc36120131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19</w:t>
            </w:r>
            <w:r w:rsidR="00CB0B64" w:rsidRPr="00322C5E">
              <w:rPr>
                <w:rStyle w:val="Hyperlink"/>
                <w:rFonts w:asciiTheme="majorHAnsi" w:hAnsiTheme="majorHAnsi" w:cstheme="majorHAnsi"/>
                <w:b w:val="0"/>
                <w:bCs/>
                <w:webHidden/>
              </w:rPr>
              <w:fldChar w:fldCharType="end"/>
            </w:r>
          </w:hyperlink>
        </w:p>
        <w:p w14:paraId="4B613D3A" w14:textId="7FA442AA" w:rsidR="00CB0B64" w:rsidRPr="00322C5E" w:rsidRDefault="005D0C30" w:rsidP="00322C5E">
          <w:pPr>
            <w:pStyle w:val="TOC2"/>
            <w:spacing w:before="60"/>
            <w:rPr>
              <w:rStyle w:val="Hyperlink"/>
              <w:rFonts w:asciiTheme="majorHAnsi" w:hAnsiTheme="majorHAnsi" w:cstheme="majorHAnsi"/>
              <w:b w:val="0"/>
              <w:bCs/>
            </w:rPr>
          </w:pPr>
          <w:hyperlink w:anchor="_Toc36120132" w:history="1">
            <w:r w:rsidR="00CB0B64" w:rsidRPr="00322C5E">
              <w:rPr>
                <w:rStyle w:val="Hyperlink"/>
                <w:rFonts w:asciiTheme="majorHAnsi" w:hAnsiTheme="majorHAnsi" w:cstheme="majorHAnsi"/>
                <w:b w:val="0"/>
                <w:bCs/>
              </w:rPr>
              <w:t>Debriefing and feedback</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_Toc36120132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19</w:t>
            </w:r>
            <w:r w:rsidR="00CB0B64" w:rsidRPr="00322C5E">
              <w:rPr>
                <w:rStyle w:val="Hyperlink"/>
                <w:rFonts w:asciiTheme="majorHAnsi" w:hAnsiTheme="majorHAnsi" w:cstheme="majorHAnsi"/>
                <w:b w:val="0"/>
                <w:bCs/>
                <w:webHidden/>
              </w:rPr>
              <w:fldChar w:fldCharType="end"/>
            </w:r>
          </w:hyperlink>
        </w:p>
        <w:p w14:paraId="6C76B747" w14:textId="6ADE9E93" w:rsidR="00CB0B64" w:rsidRPr="00322C5E" w:rsidRDefault="005D0C30" w:rsidP="00322C5E">
          <w:pPr>
            <w:pStyle w:val="TOC2"/>
            <w:spacing w:before="60"/>
            <w:rPr>
              <w:rStyle w:val="Hyperlink"/>
              <w:rFonts w:asciiTheme="majorHAnsi" w:hAnsiTheme="majorHAnsi" w:cstheme="majorHAnsi"/>
              <w:b w:val="0"/>
              <w:bCs/>
            </w:rPr>
          </w:pPr>
          <w:hyperlink w:anchor="_Toc36120133" w:history="1">
            <w:r w:rsidR="00CB0B64" w:rsidRPr="00322C5E">
              <w:rPr>
                <w:rStyle w:val="Hyperlink"/>
                <w:rFonts w:asciiTheme="majorHAnsi" w:hAnsiTheme="majorHAnsi" w:cstheme="majorHAnsi"/>
                <w:b w:val="0"/>
                <w:bCs/>
              </w:rPr>
              <w:t>Admission</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_Toc36120133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19</w:t>
            </w:r>
            <w:r w:rsidR="00CB0B64" w:rsidRPr="00322C5E">
              <w:rPr>
                <w:rStyle w:val="Hyperlink"/>
                <w:rFonts w:asciiTheme="majorHAnsi" w:hAnsiTheme="majorHAnsi" w:cstheme="majorHAnsi"/>
                <w:b w:val="0"/>
                <w:bCs/>
                <w:webHidden/>
              </w:rPr>
              <w:fldChar w:fldCharType="end"/>
            </w:r>
          </w:hyperlink>
        </w:p>
        <w:p w14:paraId="21621D80" w14:textId="4D271E33" w:rsidR="00CB0B64" w:rsidRPr="00322C5E" w:rsidRDefault="005D0C30" w:rsidP="00322C5E">
          <w:pPr>
            <w:pStyle w:val="TOC2"/>
            <w:spacing w:before="60"/>
            <w:rPr>
              <w:rStyle w:val="Hyperlink"/>
              <w:rFonts w:asciiTheme="majorHAnsi" w:hAnsiTheme="majorHAnsi" w:cstheme="majorHAnsi"/>
              <w:b w:val="0"/>
              <w:bCs/>
            </w:rPr>
          </w:pPr>
          <w:hyperlink w:anchor="_Toc36120134" w:history="1">
            <w:r w:rsidR="00CB0B64" w:rsidRPr="00322C5E">
              <w:rPr>
                <w:rStyle w:val="Hyperlink"/>
                <w:rFonts w:asciiTheme="majorHAnsi" w:hAnsiTheme="majorHAnsi" w:cstheme="majorHAnsi"/>
                <w:b w:val="0"/>
                <w:bCs/>
              </w:rPr>
              <w:t>Transfer considerations</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_Toc36120134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20</w:t>
            </w:r>
            <w:r w:rsidR="00CB0B64" w:rsidRPr="00322C5E">
              <w:rPr>
                <w:rStyle w:val="Hyperlink"/>
                <w:rFonts w:asciiTheme="majorHAnsi" w:hAnsiTheme="majorHAnsi" w:cstheme="majorHAnsi"/>
                <w:b w:val="0"/>
                <w:bCs/>
                <w:webHidden/>
              </w:rPr>
              <w:fldChar w:fldCharType="end"/>
            </w:r>
          </w:hyperlink>
        </w:p>
        <w:p w14:paraId="4C1270F8" w14:textId="52C13FF5" w:rsidR="00CB0B64" w:rsidRPr="00322C5E" w:rsidRDefault="005D0C30" w:rsidP="00322C5E">
          <w:pPr>
            <w:pStyle w:val="TOC2"/>
            <w:spacing w:before="60"/>
            <w:rPr>
              <w:rStyle w:val="Hyperlink"/>
              <w:rFonts w:asciiTheme="majorHAnsi" w:hAnsiTheme="majorHAnsi" w:cstheme="majorHAnsi"/>
              <w:b w:val="0"/>
              <w:bCs/>
            </w:rPr>
          </w:pPr>
          <w:hyperlink w:anchor="_Toc36120135" w:history="1">
            <w:r w:rsidR="00CB0B64" w:rsidRPr="00322C5E">
              <w:rPr>
                <w:rStyle w:val="Hyperlink"/>
                <w:rFonts w:asciiTheme="majorHAnsi" w:hAnsiTheme="majorHAnsi" w:cstheme="majorHAnsi"/>
                <w:b w:val="0"/>
                <w:bCs/>
              </w:rPr>
              <w:t>Discharge</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_Toc36120135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20</w:t>
            </w:r>
            <w:r w:rsidR="00CB0B64" w:rsidRPr="00322C5E">
              <w:rPr>
                <w:rStyle w:val="Hyperlink"/>
                <w:rFonts w:asciiTheme="majorHAnsi" w:hAnsiTheme="majorHAnsi" w:cstheme="majorHAnsi"/>
                <w:b w:val="0"/>
                <w:bCs/>
                <w:webHidden/>
              </w:rPr>
              <w:fldChar w:fldCharType="end"/>
            </w:r>
          </w:hyperlink>
        </w:p>
        <w:p w14:paraId="7A84C025" w14:textId="00445AB1" w:rsidR="00CB0B64" w:rsidRPr="00322C5E" w:rsidRDefault="005D0C30" w:rsidP="00743826">
          <w:pPr>
            <w:pStyle w:val="TOC1"/>
            <w:rPr>
              <w:rStyle w:val="Hyperlink"/>
              <w:rFonts w:asciiTheme="majorHAnsi" w:hAnsiTheme="majorHAnsi" w:cstheme="majorHAnsi"/>
            </w:rPr>
          </w:pPr>
          <w:hyperlink w:anchor="_Toc36120136" w:history="1">
            <w:r w:rsidR="00CB0B64" w:rsidRPr="00322C5E">
              <w:rPr>
                <w:rStyle w:val="Hyperlink"/>
                <w:rFonts w:asciiTheme="majorHAnsi" w:hAnsiTheme="majorHAnsi" w:cstheme="majorHAnsi"/>
              </w:rPr>
              <w:t>7. Staff support and case review</w:t>
            </w:r>
            <w:r w:rsidR="00CB0B64" w:rsidRPr="00322C5E">
              <w:rPr>
                <w:rStyle w:val="Hyperlink"/>
                <w:rFonts w:asciiTheme="majorHAnsi" w:hAnsiTheme="majorHAnsi" w:cstheme="majorHAnsi"/>
                <w:webHidden/>
              </w:rPr>
              <w:tab/>
            </w:r>
            <w:r w:rsidR="00CB0B64" w:rsidRPr="00322C5E">
              <w:rPr>
                <w:rStyle w:val="Hyperlink"/>
                <w:rFonts w:asciiTheme="majorHAnsi" w:hAnsiTheme="majorHAnsi" w:cstheme="majorHAnsi"/>
                <w:webHidden/>
              </w:rPr>
              <w:fldChar w:fldCharType="begin"/>
            </w:r>
            <w:r w:rsidR="00CB0B64" w:rsidRPr="00322C5E">
              <w:rPr>
                <w:rStyle w:val="Hyperlink"/>
                <w:rFonts w:asciiTheme="majorHAnsi" w:hAnsiTheme="majorHAnsi" w:cstheme="majorHAnsi"/>
                <w:webHidden/>
              </w:rPr>
              <w:instrText xml:space="preserve"> PAGEREF _Toc36120136 \h </w:instrText>
            </w:r>
            <w:r w:rsidR="00CB0B64" w:rsidRPr="00322C5E">
              <w:rPr>
                <w:rStyle w:val="Hyperlink"/>
                <w:rFonts w:asciiTheme="majorHAnsi" w:hAnsiTheme="majorHAnsi" w:cstheme="majorHAnsi"/>
                <w:webHidden/>
              </w:rPr>
            </w:r>
            <w:r w:rsidR="00CB0B64" w:rsidRPr="00322C5E">
              <w:rPr>
                <w:rStyle w:val="Hyperlink"/>
                <w:rFonts w:asciiTheme="majorHAnsi" w:hAnsiTheme="majorHAnsi" w:cstheme="majorHAnsi"/>
                <w:webHidden/>
              </w:rPr>
              <w:fldChar w:fldCharType="separate"/>
            </w:r>
            <w:r w:rsidR="00116296" w:rsidRPr="00322C5E">
              <w:rPr>
                <w:rStyle w:val="Hyperlink"/>
                <w:rFonts w:asciiTheme="majorHAnsi" w:hAnsiTheme="majorHAnsi" w:cstheme="majorHAnsi"/>
                <w:webHidden/>
              </w:rPr>
              <w:t>22</w:t>
            </w:r>
            <w:r w:rsidR="00CB0B64" w:rsidRPr="00322C5E">
              <w:rPr>
                <w:rStyle w:val="Hyperlink"/>
                <w:rFonts w:asciiTheme="majorHAnsi" w:hAnsiTheme="majorHAnsi" w:cstheme="majorHAnsi"/>
                <w:webHidden/>
              </w:rPr>
              <w:fldChar w:fldCharType="end"/>
            </w:r>
          </w:hyperlink>
        </w:p>
        <w:p w14:paraId="51CC346A" w14:textId="1F082B6E" w:rsidR="00CB0B64" w:rsidRPr="00322C5E" w:rsidRDefault="005D0C30" w:rsidP="00322C5E">
          <w:pPr>
            <w:pStyle w:val="TOC2"/>
            <w:spacing w:before="60"/>
            <w:rPr>
              <w:rStyle w:val="Hyperlink"/>
              <w:rFonts w:asciiTheme="majorHAnsi" w:hAnsiTheme="majorHAnsi" w:cstheme="majorHAnsi"/>
              <w:b w:val="0"/>
              <w:bCs/>
            </w:rPr>
          </w:pPr>
          <w:hyperlink w:anchor="_Toc36120137" w:history="1">
            <w:r w:rsidR="00CB0B64" w:rsidRPr="00322C5E">
              <w:rPr>
                <w:rStyle w:val="Hyperlink"/>
                <w:rFonts w:asciiTheme="majorHAnsi" w:hAnsiTheme="majorHAnsi" w:cstheme="majorHAnsi"/>
                <w:b w:val="0"/>
                <w:bCs/>
              </w:rPr>
              <w:t>Staff support</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_Toc36120137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22</w:t>
            </w:r>
            <w:r w:rsidR="00CB0B64" w:rsidRPr="00322C5E">
              <w:rPr>
                <w:rStyle w:val="Hyperlink"/>
                <w:rFonts w:asciiTheme="majorHAnsi" w:hAnsiTheme="majorHAnsi" w:cstheme="majorHAnsi"/>
                <w:b w:val="0"/>
                <w:bCs/>
                <w:webHidden/>
              </w:rPr>
              <w:fldChar w:fldCharType="end"/>
            </w:r>
          </w:hyperlink>
        </w:p>
        <w:p w14:paraId="2203B2C8" w14:textId="48863A8F" w:rsidR="00CB0B64" w:rsidRPr="00322C5E" w:rsidRDefault="005D0C30" w:rsidP="00322C5E">
          <w:pPr>
            <w:pStyle w:val="TOC2"/>
            <w:spacing w:before="60"/>
            <w:rPr>
              <w:rStyle w:val="Hyperlink"/>
              <w:rFonts w:asciiTheme="majorHAnsi" w:hAnsiTheme="majorHAnsi" w:cstheme="majorHAnsi"/>
              <w:b w:val="0"/>
              <w:bCs/>
            </w:rPr>
          </w:pPr>
          <w:hyperlink w:anchor="_Toc36120138" w:history="1">
            <w:r w:rsidR="00CB0B64" w:rsidRPr="00322C5E">
              <w:rPr>
                <w:rStyle w:val="Hyperlink"/>
                <w:rFonts w:asciiTheme="majorHAnsi" w:hAnsiTheme="majorHAnsi" w:cstheme="majorHAnsi"/>
                <w:b w:val="0"/>
                <w:bCs/>
              </w:rPr>
              <w:t>Case review</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_Toc36120138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22</w:t>
            </w:r>
            <w:r w:rsidR="00CB0B64" w:rsidRPr="00322C5E">
              <w:rPr>
                <w:rStyle w:val="Hyperlink"/>
                <w:rFonts w:asciiTheme="majorHAnsi" w:hAnsiTheme="majorHAnsi" w:cstheme="majorHAnsi"/>
                <w:b w:val="0"/>
                <w:bCs/>
                <w:webHidden/>
              </w:rPr>
              <w:fldChar w:fldCharType="end"/>
            </w:r>
          </w:hyperlink>
        </w:p>
        <w:p w14:paraId="02EE6832" w14:textId="5F191823" w:rsidR="00CB0B64" w:rsidRPr="00322C5E" w:rsidRDefault="005D0C30" w:rsidP="00743826">
          <w:pPr>
            <w:pStyle w:val="TOC1"/>
            <w:rPr>
              <w:rStyle w:val="Hyperlink"/>
              <w:rFonts w:asciiTheme="majorHAnsi" w:hAnsiTheme="majorHAnsi" w:cstheme="majorHAnsi"/>
              <w:b w:val="0"/>
              <w:bCs/>
            </w:rPr>
          </w:pPr>
          <w:hyperlink w:anchor="_Toc36120139" w:history="1">
            <w:r w:rsidR="00CB0B64" w:rsidRPr="00322C5E">
              <w:rPr>
                <w:rStyle w:val="Hyperlink"/>
                <w:rFonts w:asciiTheme="majorHAnsi" w:hAnsiTheme="majorHAnsi" w:cstheme="majorHAnsi"/>
                <w:b w:val="0"/>
                <w:bCs/>
              </w:rPr>
              <w:t>Glossary of terms and abbreviations</w:t>
            </w:r>
            <w:r w:rsidR="00CB0B64" w:rsidRPr="00322C5E">
              <w:rPr>
                <w:rStyle w:val="Hyperlink"/>
                <w:rFonts w:asciiTheme="majorHAnsi" w:hAnsiTheme="majorHAnsi" w:cstheme="majorHAnsi"/>
                <w:b w:val="0"/>
                <w:bCs/>
                <w:webHidden/>
              </w:rPr>
              <w:tab/>
            </w:r>
            <w:r w:rsidR="00CB0B64" w:rsidRPr="00322C5E">
              <w:rPr>
                <w:rStyle w:val="Hyperlink"/>
                <w:rFonts w:asciiTheme="majorHAnsi" w:hAnsiTheme="majorHAnsi" w:cstheme="majorHAnsi"/>
                <w:b w:val="0"/>
                <w:bCs/>
                <w:webHidden/>
              </w:rPr>
              <w:fldChar w:fldCharType="begin"/>
            </w:r>
            <w:r w:rsidR="00CB0B64" w:rsidRPr="00322C5E">
              <w:rPr>
                <w:rStyle w:val="Hyperlink"/>
                <w:rFonts w:asciiTheme="majorHAnsi" w:hAnsiTheme="majorHAnsi" w:cstheme="majorHAnsi"/>
                <w:b w:val="0"/>
                <w:bCs/>
                <w:webHidden/>
              </w:rPr>
              <w:instrText xml:space="preserve"> PAGEREF _Toc36120139 \h </w:instrText>
            </w:r>
            <w:r w:rsidR="00CB0B64" w:rsidRPr="00322C5E">
              <w:rPr>
                <w:rStyle w:val="Hyperlink"/>
                <w:rFonts w:asciiTheme="majorHAnsi" w:hAnsiTheme="majorHAnsi" w:cstheme="majorHAnsi"/>
                <w:b w:val="0"/>
                <w:bCs/>
                <w:webHidden/>
              </w:rPr>
            </w:r>
            <w:r w:rsidR="00CB0B64" w:rsidRPr="00322C5E">
              <w:rPr>
                <w:rStyle w:val="Hyperlink"/>
                <w:rFonts w:asciiTheme="majorHAnsi" w:hAnsiTheme="majorHAnsi" w:cstheme="majorHAnsi"/>
                <w:b w:val="0"/>
                <w:bCs/>
                <w:webHidden/>
              </w:rPr>
              <w:fldChar w:fldCharType="separate"/>
            </w:r>
            <w:r w:rsidR="00116296" w:rsidRPr="00322C5E">
              <w:rPr>
                <w:rStyle w:val="Hyperlink"/>
                <w:rFonts w:asciiTheme="majorHAnsi" w:hAnsiTheme="majorHAnsi" w:cstheme="majorHAnsi"/>
                <w:b w:val="0"/>
                <w:bCs/>
                <w:webHidden/>
              </w:rPr>
              <w:t>23</w:t>
            </w:r>
            <w:r w:rsidR="00CB0B64" w:rsidRPr="00322C5E">
              <w:rPr>
                <w:rStyle w:val="Hyperlink"/>
                <w:rFonts w:asciiTheme="majorHAnsi" w:hAnsiTheme="majorHAnsi" w:cstheme="majorHAnsi"/>
                <w:b w:val="0"/>
                <w:bCs/>
                <w:webHidden/>
              </w:rPr>
              <w:fldChar w:fldCharType="end"/>
            </w:r>
          </w:hyperlink>
        </w:p>
        <w:p w14:paraId="61FEAAC9" w14:textId="7C43EE23" w:rsidR="00A825C3" w:rsidRDefault="00A825C3" w:rsidP="00743826">
          <w:r w:rsidRPr="00322C5E">
            <w:rPr>
              <w:rFonts w:asciiTheme="majorHAnsi" w:hAnsiTheme="majorHAnsi" w:cstheme="majorHAnsi"/>
              <w:bCs/>
              <w:noProof/>
            </w:rPr>
            <w:fldChar w:fldCharType="end"/>
          </w:r>
        </w:p>
      </w:sdtContent>
    </w:sdt>
    <w:p w14:paraId="01EAB95D" w14:textId="77777777" w:rsidR="00A825C3" w:rsidRPr="00CB0B64" w:rsidRDefault="00A825C3" w:rsidP="00743826">
      <w:pPr>
        <w:rPr>
          <w:color w:val="007586" w:themeColor="text2"/>
        </w:rPr>
      </w:pPr>
      <w:r w:rsidRPr="00CB0B64">
        <w:br w:type="page"/>
      </w:r>
    </w:p>
    <w:p w14:paraId="24D5DE2F" w14:textId="77777777" w:rsidR="00A825C3" w:rsidRPr="005D09C0" w:rsidRDefault="00A825C3" w:rsidP="00322C5E">
      <w:pPr>
        <w:pStyle w:val="Heading1"/>
        <w:framePr w:wrap="around"/>
      </w:pPr>
      <w:bookmarkStart w:id="1" w:name="_Toc36120110"/>
      <w:r w:rsidRPr="005D09C0">
        <w:lastRenderedPageBreak/>
        <w:t>Introduction</w:t>
      </w:r>
      <w:bookmarkEnd w:id="1"/>
    </w:p>
    <w:p w14:paraId="3BB969CC" w14:textId="0A7D4DE1" w:rsidR="0064798F" w:rsidRPr="00322C5E" w:rsidRDefault="009357B8" w:rsidP="00322C5E">
      <w:pPr>
        <w:pStyle w:val="IntroductoryText"/>
      </w:pPr>
      <w:r w:rsidRPr="00322C5E">
        <w:t xml:space="preserve">Everyone deserves to feel safe in emergency care settings, but this can be challenging when caring for people experiencing acute behavioural disturbance. This clinical guidance aims to support emergency care clinicians to provide person-centred, evidence-based care for some of our most vulnerable Victorians. </w:t>
      </w:r>
    </w:p>
    <w:p w14:paraId="4CA77BD3" w14:textId="77777777" w:rsidR="009357B8" w:rsidRPr="00322C5E" w:rsidRDefault="009357B8" w:rsidP="00322C5E">
      <w:pPr>
        <w:pStyle w:val="Heading3"/>
      </w:pPr>
      <w:r w:rsidRPr="00322C5E">
        <w:t>How to use this clinical guidance</w:t>
      </w:r>
    </w:p>
    <w:p w14:paraId="504623F8" w14:textId="77777777" w:rsidR="009357B8" w:rsidRPr="00C73037" w:rsidRDefault="009357B8" w:rsidP="00743826">
      <w:pPr>
        <w:pStyle w:val="Normalfollowingheading"/>
      </w:pPr>
      <w:r w:rsidRPr="00C73037">
        <w:t xml:space="preserve">This guidance provides advice for emergency clinicians caring for a person displaying acute behavioural disturbance. Assessment is an ongoing and repeating core component of care, so is presented first alongside six other possible moments: </w:t>
      </w:r>
    </w:p>
    <w:p w14:paraId="2DDEC486" w14:textId="77777777" w:rsidR="009357B8" w:rsidRPr="00C73037" w:rsidRDefault="009357B8" w:rsidP="00743826">
      <w:pPr>
        <w:pStyle w:val="Listnum"/>
        <w:numPr>
          <w:ilvl w:val="0"/>
          <w:numId w:val="18"/>
        </w:numPr>
      </w:pPr>
      <w:r w:rsidRPr="00C73037">
        <w:t xml:space="preserve">assessment </w:t>
      </w:r>
    </w:p>
    <w:p w14:paraId="562623F1" w14:textId="77777777" w:rsidR="009357B8" w:rsidRPr="00C73037" w:rsidRDefault="009357B8" w:rsidP="00743826">
      <w:pPr>
        <w:pStyle w:val="Listnum"/>
        <w:numPr>
          <w:ilvl w:val="0"/>
          <w:numId w:val="18"/>
        </w:numPr>
      </w:pPr>
      <w:r w:rsidRPr="00C73037">
        <w:t>transition from prehospital care</w:t>
      </w:r>
    </w:p>
    <w:p w14:paraId="103DB789" w14:textId="77777777" w:rsidR="009357B8" w:rsidRPr="00C73037" w:rsidRDefault="009357B8" w:rsidP="00743826">
      <w:pPr>
        <w:pStyle w:val="Listnum"/>
        <w:numPr>
          <w:ilvl w:val="0"/>
          <w:numId w:val="18"/>
        </w:numPr>
      </w:pPr>
      <w:r w:rsidRPr="00C73037">
        <w:t>de-escalation</w:t>
      </w:r>
    </w:p>
    <w:p w14:paraId="2AB6B439" w14:textId="77777777" w:rsidR="009357B8" w:rsidRPr="00C73037" w:rsidRDefault="009357B8" w:rsidP="00743826">
      <w:pPr>
        <w:pStyle w:val="Listnum"/>
        <w:numPr>
          <w:ilvl w:val="0"/>
          <w:numId w:val="18"/>
        </w:numPr>
      </w:pPr>
      <w:r w:rsidRPr="00C73037">
        <w:t>sedation and ongoing care post-sedation</w:t>
      </w:r>
    </w:p>
    <w:p w14:paraId="3E2CC40D" w14:textId="77777777" w:rsidR="009357B8" w:rsidRPr="00C73037" w:rsidRDefault="009357B8" w:rsidP="00743826">
      <w:pPr>
        <w:pStyle w:val="Listnum"/>
        <w:numPr>
          <w:ilvl w:val="0"/>
          <w:numId w:val="18"/>
        </w:numPr>
      </w:pPr>
      <w:r w:rsidRPr="00C73037">
        <w:t>physical and mechanical restraint and ongoing care while restrained</w:t>
      </w:r>
    </w:p>
    <w:p w14:paraId="5669FC4A" w14:textId="77777777" w:rsidR="009357B8" w:rsidRPr="00C73037" w:rsidRDefault="009357B8" w:rsidP="00743826">
      <w:pPr>
        <w:pStyle w:val="Listnum"/>
        <w:numPr>
          <w:ilvl w:val="0"/>
          <w:numId w:val="18"/>
        </w:numPr>
      </w:pPr>
      <w:r w:rsidRPr="00C73037">
        <w:t>transition from the emergency care setting</w:t>
      </w:r>
    </w:p>
    <w:p w14:paraId="3B008D5B" w14:textId="4C669A11" w:rsidR="009357B8" w:rsidRPr="00C73037" w:rsidRDefault="009A7450" w:rsidP="00743826">
      <w:pPr>
        <w:pStyle w:val="Listnum"/>
        <w:numPr>
          <w:ilvl w:val="0"/>
          <w:numId w:val="18"/>
        </w:numPr>
      </w:pPr>
      <w:r>
        <w:t>staff support and case review</w:t>
      </w:r>
      <w:r w:rsidR="009357B8" w:rsidRPr="00C73037">
        <w:t>.</w:t>
      </w:r>
    </w:p>
    <w:p w14:paraId="1F3BBA2C" w14:textId="51513342" w:rsidR="009357B8" w:rsidRPr="00C73037" w:rsidRDefault="009357B8" w:rsidP="00743826">
      <w:r w:rsidRPr="00C73037">
        <w:t xml:space="preserve">This clinical guidance applies to </w:t>
      </w:r>
      <w:r w:rsidRPr="00C73037">
        <w:rPr>
          <w:b/>
        </w:rPr>
        <w:t>adults aged 16–65 years of age</w:t>
      </w:r>
      <w:r w:rsidRPr="00C73037">
        <w:t>, with acknowledg</w:t>
      </w:r>
      <w:r w:rsidR="00F97A8A">
        <w:t>e</w:t>
      </w:r>
      <w:r w:rsidRPr="00C73037">
        <w:t>ment that some concepts may apply to people outside this range.</w:t>
      </w:r>
      <w:r w:rsidRPr="00C73037">
        <w:rPr>
          <w:rStyle w:val="FootnoteReference"/>
        </w:rPr>
        <w:footnoteReference w:id="1"/>
      </w:r>
      <w:r w:rsidRPr="00C73037">
        <w:t xml:space="preserve"> It applies to people in emergency departments and urgent care centres and may be adapted for prehospital care such as ambulance services. It does not apply to people with a clear organic cause for their acute behavioural disturbance such as a closed head injury, dementia or delirium. </w:t>
      </w:r>
    </w:p>
    <w:p w14:paraId="5161E2DB" w14:textId="49870B63" w:rsidR="009357B8" w:rsidRPr="00743826" w:rsidRDefault="009357B8" w:rsidP="00743826">
      <w:r w:rsidRPr="00743826">
        <w:t>We have also developed an A3 size quick reference visual summary (Appendix 1) to use with this guidance.</w:t>
      </w:r>
    </w:p>
    <w:p w14:paraId="5CCCBF49" w14:textId="201C823C" w:rsidR="002A2807" w:rsidRPr="005D09C0" w:rsidRDefault="002A2807" w:rsidP="00743826">
      <w:r w:rsidRPr="0033747D">
        <w:rPr>
          <w:noProof/>
        </w:rPr>
        <mc:AlternateContent>
          <mc:Choice Requires="wps">
            <w:drawing>
              <wp:inline distT="0" distB="0" distL="0" distR="0" wp14:anchorId="00BCFC10" wp14:editId="5B5BAC6A">
                <wp:extent cx="6480000" cy="2146852"/>
                <wp:effectExtent l="0" t="0" r="16510" b="254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2146852"/>
                        </a:xfrm>
                        <a:prstGeom prst="rect">
                          <a:avLst/>
                        </a:prstGeom>
                        <a:solidFill>
                          <a:schemeClr val="bg2"/>
                        </a:solidFill>
                        <a:ln w="6350">
                          <a:solidFill>
                            <a:schemeClr val="bg2"/>
                          </a:solidFill>
                          <a:miter lim="800000"/>
                          <a:headEnd/>
                          <a:tailEnd/>
                        </a:ln>
                      </wps:spPr>
                      <wps:txbx>
                        <w:txbxContent>
                          <w:p w14:paraId="35D34A0F" w14:textId="16C76C44" w:rsidR="005D0C30" w:rsidRPr="001B23B9" w:rsidRDefault="005D0C30" w:rsidP="00743826">
                            <w:pPr>
                              <w:pStyle w:val="PulloutHeading"/>
                            </w:pPr>
                            <w:r>
                              <w:t>Key principles</w:t>
                            </w:r>
                          </w:p>
                          <w:p w14:paraId="13E30CD5" w14:textId="12DE0AB2" w:rsidR="005D0C30" w:rsidRDefault="005D0C30" w:rsidP="00743826">
                            <w:pPr>
                              <w:pStyle w:val="PulloutText"/>
                            </w:pPr>
                            <w:r>
                              <w:t>The key principles that underpin this guidance are:</w:t>
                            </w:r>
                          </w:p>
                          <w:p w14:paraId="087012FC" w14:textId="0106AC4E" w:rsidR="005D0C30" w:rsidRDefault="005D0C30" w:rsidP="00743826">
                            <w:pPr>
                              <w:pStyle w:val="PulloutText"/>
                              <w:numPr>
                                <w:ilvl w:val="0"/>
                                <w:numId w:val="19"/>
                              </w:numPr>
                            </w:pPr>
                            <w:r>
                              <w:t>safety for all</w:t>
                            </w:r>
                          </w:p>
                          <w:p w14:paraId="4E950B96" w14:textId="1E6F1D35" w:rsidR="005D0C30" w:rsidRDefault="005D0C30" w:rsidP="00743826">
                            <w:pPr>
                              <w:pStyle w:val="PulloutText"/>
                              <w:numPr>
                                <w:ilvl w:val="0"/>
                                <w:numId w:val="19"/>
                              </w:numPr>
                            </w:pPr>
                            <w:r>
                              <w:t>provide the least restrictive care possible</w:t>
                            </w:r>
                          </w:p>
                          <w:p w14:paraId="46EA629E" w14:textId="14AC9954" w:rsidR="005D0C30" w:rsidRDefault="005D0C30" w:rsidP="00743826">
                            <w:pPr>
                              <w:pStyle w:val="PulloutText"/>
                              <w:numPr>
                                <w:ilvl w:val="0"/>
                                <w:numId w:val="19"/>
                              </w:numPr>
                            </w:pPr>
                            <w:r>
                              <w:t>value and partner with the person and their networks</w:t>
                            </w:r>
                          </w:p>
                          <w:p w14:paraId="28D61B2C" w14:textId="07719CC1" w:rsidR="005D0C30" w:rsidRDefault="005D0C30" w:rsidP="00743826">
                            <w:pPr>
                              <w:pStyle w:val="PulloutText"/>
                              <w:numPr>
                                <w:ilvl w:val="0"/>
                                <w:numId w:val="19"/>
                              </w:numPr>
                            </w:pPr>
                            <w:r>
                              <w:t>reduce unwarranted variation in care</w:t>
                            </w:r>
                          </w:p>
                          <w:p w14:paraId="38DD1D4F" w14:textId="43DCAA49" w:rsidR="005D0C30" w:rsidRDefault="005D0C30" w:rsidP="00743826">
                            <w:pPr>
                              <w:pStyle w:val="PulloutText"/>
                              <w:numPr>
                                <w:ilvl w:val="0"/>
                                <w:numId w:val="19"/>
                              </w:numPr>
                            </w:pPr>
                            <w:r>
                              <w:t>practical and evidence-based guidance</w:t>
                            </w:r>
                          </w:p>
                          <w:p w14:paraId="05CCE291" w14:textId="025638E9" w:rsidR="005D0C30" w:rsidRPr="001B23B9" w:rsidRDefault="005D0C30" w:rsidP="00743826">
                            <w:pPr>
                              <w:pStyle w:val="PulloutText"/>
                              <w:numPr>
                                <w:ilvl w:val="0"/>
                                <w:numId w:val="19"/>
                              </w:numPr>
                            </w:pPr>
                            <w:r>
                              <w:t>effective communication.</w:t>
                            </w:r>
                          </w:p>
                        </w:txbxContent>
                      </wps:txbx>
                      <wps:bodyPr rot="0" vert="horz" wrap="square" lIns="180000" tIns="180000" rIns="144000" bIns="36000" anchor="t" anchorCtr="0">
                        <a:noAutofit/>
                      </wps:bodyPr>
                    </wps:wsp>
                  </a:graphicData>
                </a:graphic>
              </wp:inline>
            </w:drawing>
          </mc:Choice>
          <mc:Fallback>
            <w:pict>
              <v:shapetype w14:anchorId="00BCFC10" id="_x0000_t202" coordsize="21600,21600" o:spt="202" path="m,l,21600r21600,l21600,xe">
                <v:stroke joinstyle="miter"/>
                <v:path gradientshapeok="t" o:connecttype="rect"/>
              </v:shapetype>
              <v:shape id="Text Box 2" o:spid="_x0000_s1026" type="#_x0000_t202" style="width:510.25pt;height:16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" fillcolor="#edf5f7 [3214]" strokecolor="#edf5f7 [3214]" strokeweight=".5pt">
                <v:textbox inset="5mm,5mm,4mm,1mm">
                  <w:txbxContent>
                    <w:p w14:paraId="35D34A0F" w14:textId="16C76C44" w:rsidR="005D0C30" w:rsidRPr="001B23B9" w:rsidRDefault="005D0C30" w:rsidP="00743826">
                      <w:pPr>
                        <w:pStyle w:val="PulloutHeading"/>
                      </w:pPr>
                      <w:r>
                        <w:t>Key principles</w:t>
                      </w:r>
                    </w:p>
                    <w:p w14:paraId="13E30CD5" w14:textId="12DE0AB2" w:rsidR="005D0C30" w:rsidRDefault="005D0C30" w:rsidP="00743826">
                      <w:pPr>
                        <w:pStyle w:val="PulloutText"/>
                      </w:pPr>
                      <w:r>
                        <w:t>The key principles that underpin this guidance are:</w:t>
                      </w:r>
                    </w:p>
                    <w:p w14:paraId="087012FC" w14:textId="0106AC4E" w:rsidR="005D0C30" w:rsidRDefault="005D0C30" w:rsidP="00743826">
                      <w:pPr>
                        <w:pStyle w:val="PulloutText"/>
                        <w:numPr>
                          <w:ilvl w:val="0"/>
                          <w:numId w:val="19"/>
                        </w:numPr>
                      </w:pPr>
                      <w:r>
                        <w:t>safety for all</w:t>
                      </w:r>
                    </w:p>
                    <w:p w14:paraId="4E950B96" w14:textId="1E6F1D35" w:rsidR="005D0C30" w:rsidRDefault="005D0C30" w:rsidP="00743826">
                      <w:pPr>
                        <w:pStyle w:val="PulloutText"/>
                        <w:numPr>
                          <w:ilvl w:val="0"/>
                          <w:numId w:val="19"/>
                        </w:numPr>
                      </w:pPr>
                      <w:r>
                        <w:t>provide the least restrictive care possible</w:t>
                      </w:r>
                    </w:p>
                    <w:p w14:paraId="46EA629E" w14:textId="14AC9954" w:rsidR="005D0C30" w:rsidRDefault="005D0C30" w:rsidP="00743826">
                      <w:pPr>
                        <w:pStyle w:val="PulloutText"/>
                        <w:numPr>
                          <w:ilvl w:val="0"/>
                          <w:numId w:val="19"/>
                        </w:numPr>
                      </w:pPr>
                      <w:r>
                        <w:t>value and partner with the person and their networks</w:t>
                      </w:r>
                    </w:p>
                    <w:p w14:paraId="28D61B2C" w14:textId="07719CC1" w:rsidR="005D0C30" w:rsidRDefault="005D0C30" w:rsidP="00743826">
                      <w:pPr>
                        <w:pStyle w:val="PulloutText"/>
                        <w:numPr>
                          <w:ilvl w:val="0"/>
                          <w:numId w:val="19"/>
                        </w:numPr>
                      </w:pPr>
                      <w:r>
                        <w:t>reduce unwarranted variation in care</w:t>
                      </w:r>
                    </w:p>
                    <w:p w14:paraId="38DD1D4F" w14:textId="43DCAA49" w:rsidR="005D0C30" w:rsidRDefault="005D0C30" w:rsidP="00743826">
                      <w:pPr>
                        <w:pStyle w:val="PulloutText"/>
                        <w:numPr>
                          <w:ilvl w:val="0"/>
                          <w:numId w:val="19"/>
                        </w:numPr>
                      </w:pPr>
                      <w:r>
                        <w:t>practical and evidence-based guidance</w:t>
                      </w:r>
                    </w:p>
                    <w:p w14:paraId="05CCE291" w14:textId="025638E9" w:rsidR="005D0C30" w:rsidRPr="001B23B9" w:rsidRDefault="005D0C30" w:rsidP="00743826">
                      <w:pPr>
                        <w:pStyle w:val="PulloutText"/>
                        <w:numPr>
                          <w:ilvl w:val="0"/>
                          <w:numId w:val="19"/>
                        </w:numPr>
                      </w:pPr>
                      <w:r>
                        <w:t>effective communication.</w:t>
                      </w:r>
                    </w:p>
                  </w:txbxContent>
                </v:textbox>
                <w10:anchorlock/>
              </v:shape>
            </w:pict>
          </mc:Fallback>
        </mc:AlternateContent>
      </w:r>
    </w:p>
    <w:p w14:paraId="57C0FFF5" w14:textId="77777777" w:rsidR="00F3635D" w:rsidRDefault="00F3635D" w:rsidP="00322C5E">
      <w:pPr>
        <w:pStyle w:val="Heading3"/>
      </w:pPr>
      <w:r>
        <w:t>Guidance development</w:t>
      </w:r>
    </w:p>
    <w:p w14:paraId="345FE500" w14:textId="5FE7B96A" w:rsidR="00CB0B64" w:rsidRDefault="007338C9" w:rsidP="00743826">
      <w:pPr>
        <w:pStyle w:val="Normalfollowingheading"/>
      </w:pPr>
      <w:r>
        <w:t>This guidance</w:t>
      </w:r>
      <w:r w:rsidR="00CB0B64" w:rsidRPr="005D09C0">
        <w:t xml:space="preserve"> was developed by experts including clinicians and healthcare consumers and underwent public consultation. You can read about our development method and supporting evidence in the clinical guidance supplement.</w:t>
      </w:r>
    </w:p>
    <w:p w14:paraId="5B251653" w14:textId="77777777" w:rsidR="00F3635D" w:rsidRPr="00C73037" w:rsidRDefault="00F3635D" w:rsidP="00322C5E">
      <w:pPr>
        <w:pStyle w:val="Heading3"/>
      </w:pPr>
      <w:r w:rsidRPr="00C73037">
        <w:lastRenderedPageBreak/>
        <w:t>Acknowledgements</w:t>
      </w:r>
    </w:p>
    <w:p w14:paraId="1D04B304" w14:textId="37C3704B" w:rsidR="007338C9" w:rsidRDefault="00C73037" w:rsidP="00743826">
      <w:pPr>
        <w:pStyle w:val="Normalfollowingheading"/>
        <w:rPr>
          <w:iCs/>
        </w:rPr>
      </w:pPr>
      <w:r w:rsidRPr="00C73037">
        <w:t xml:space="preserve">The ‘Physical and mechanical restraint and ongoing care while restrained’ section of this clinical guidance has been adapted with permission from the Alfred Health 2019 guideline </w:t>
      </w:r>
      <w:r w:rsidR="007338C9">
        <w:t>‘</w:t>
      </w:r>
      <w:r w:rsidRPr="007338C9">
        <w:rPr>
          <w:iCs/>
        </w:rPr>
        <w:t>Physical and mechanical restraint: assessment and application</w:t>
      </w:r>
      <w:r w:rsidR="00770302">
        <w:rPr>
          <w:iCs/>
        </w:rPr>
        <w:t>’</w:t>
      </w:r>
      <w:r w:rsidRPr="007338C9">
        <w:rPr>
          <w:iCs/>
        </w:rPr>
        <w:t>.</w:t>
      </w:r>
    </w:p>
    <w:p w14:paraId="090354A7" w14:textId="6CB5FF01" w:rsidR="00B11FBB" w:rsidRDefault="00B11FBB" w:rsidP="00743826">
      <w:pPr>
        <w:pStyle w:val="Normalfollowingheading"/>
      </w:pPr>
      <w:r>
        <w:br w:type="page"/>
      </w:r>
    </w:p>
    <w:p w14:paraId="5FD34D81" w14:textId="77777777" w:rsidR="00B11FBB" w:rsidRPr="00322C5E" w:rsidRDefault="00B11FBB" w:rsidP="00322C5E">
      <w:pPr>
        <w:pStyle w:val="Heading1"/>
        <w:framePr w:wrap="around"/>
      </w:pPr>
      <w:bookmarkStart w:id="2" w:name="_Toc36120111"/>
      <w:r w:rsidRPr="00322C5E">
        <w:lastRenderedPageBreak/>
        <w:t>1. Assessment</w:t>
      </w:r>
      <w:bookmarkEnd w:id="2"/>
    </w:p>
    <w:p w14:paraId="4851289A" w14:textId="77777777" w:rsidR="00B11FBB" w:rsidRPr="0033747D" w:rsidRDefault="00B11FBB" w:rsidP="00743826">
      <w:pPr>
        <w:pStyle w:val="Normalfollowingheading"/>
      </w:pPr>
      <w:r w:rsidRPr="0033747D">
        <w:t xml:space="preserve">Assessment is the interpretation of all information available at that moment in time. The aim is to learn how a person displaying acute behavioural disturbance can be best supported, including identifying any underlying causes of the behaviour and the most appropriate care. </w:t>
      </w:r>
    </w:p>
    <w:p w14:paraId="6C8F7482" w14:textId="77777777" w:rsidR="00B11FBB" w:rsidRPr="0033747D" w:rsidRDefault="00B11FBB" w:rsidP="00743826">
      <w:r w:rsidRPr="0033747D">
        <w:t>Assessment is an ongoing and repeating process. Frequent engagement with the person can help you learn more about them and prevent escalation. The clinical condition of people displaying acute behavioural disturbance can change quickly, so regular reassessment is very important.</w:t>
      </w:r>
    </w:p>
    <w:p w14:paraId="567593E4" w14:textId="77777777" w:rsidR="00B11FBB" w:rsidRPr="00322C5E" w:rsidRDefault="00B11FBB" w:rsidP="00322C5E">
      <w:pPr>
        <w:pStyle w:val="Heading2"/>
      </w:pPr>
      <w:bookmarkStart w:id="3" w:name="_Toc36120112"/>
      <w:r w:rsidRPr="00322C5E">
        <w:t>Where to get assessment information</w:t>
      </w:r>
      <w:bookmarkEnd w:id="3"/>
    </w:p>
    <w:p w14:paraId="77B7649F" w14:textId="11AF29C3" w:rsidR="00B11FBB" w:rsidRPr="0033747D" w:rsidRDefault="00B11FBB" w:rsidP="00743826">
      <w:pPr>
        <w:pStyle w:val="Normalfollowingheading"/>
      </w:pPr>
      <w:r w:rsidRPr="0033747D">
        <w:t xml:space="preserve">Be aware of </w:t>
      </w:r>
      <w:r w:rsidR="0098592C">
        <w:t xml:space="preserve">the </w:t>
      </w:r>
      <w:r w:rsidRPr="0033747D">
        <w:t xml:space="preserve">past experiences and individual needs of the person such as cultural identity, gender identity, trauma history and preferred language. </w:t>
      </w:r>
    </w:p>
    <w:p w14:paraId="09673378" w14:textId="77777777" w:rsidR="00322C5E" w:rsidRDefault="00B11FBB" w:rsidP="00322C5E">
      <w:r w:rsidRPr="0033747D">
        <w:t>Seek assessment information from many sources, for example:</w:t>
      </w:r>
    </w:p>
    <w:p w14:paraId="04CB7AE2" w14:textId="34B7C757" w:rsidR="00B11FBB" w:rsidRPr="00322C5E" w:rsidRDefault="00B11FBB" w:rsidP="00322C5E">
      <w:pPr>
        <w:pStyle w:val="Bullet1"/>
      </w:pPr>
      <w:r w:rsidRPr="00322C5E">
        <w:t>the person</w:t>
      </w:r>
    </w:p>
    <w:p w14:paraId="0D35EDC5" w14:textId="4ED5D8FD" w:rsidR="00B11FBB" w:rsidRPr="00322C5E" w:rsidRDefault="00B11FBB" w:rsidP="00322C5E">
      <w:pPr>
        <w:pStyle w:val="Bullet1"/>
      </w:pPr>
      <w:r w:rsidRPr="00322C5E">
        <w:t>family, carers, friends of the person while respecting the person’s right to privacy</w:t>
      </w:r>
    </w:p>
    <w:p w14:paraId="68EF64D9" w14:textId="77777777" w:rsidR="00B11FBB" w:rsidRPr="00322C5E" w:rsidRDefault="00B11FBB" w:rsidP="00322C5E">
      <w:pPr>
        <w:pStyle w:val="Bullet1"/>
      </w:pPr>
      <w:r w:rsidRPr="00322C5E">
        <w:t>prehospital care staff handover</w:t>
      </w:r>
    </w:p>
    <w:p w14:paraId="42FCC135" w14:textId="77777777" w:rsidR="00B11FBB" w:rsidRPr="00322C5E" w:rsidRDefault="00B11FBB" w:rsidP="00322C5E">
      <w:pPr>
        <w:pStyle w:val="Bullet1"/>
      </w:pPr>
      <w:r w:rsidRPr="00322C5E">
        <w:t>previous medical records, including electronic medical records</w:t>
      </w:r>
    </w:p>
    <w:p w14:paraId="758CE910" w14:textId="77777777" w:rsidR="00B11FBB" w:rsidRPr="00322C5E" w:rsidRDefault="00B11FBB" w:rsidP="00322C5E">
      <w:pPr>
        <w:pStyle w:val="Bullet1"/>
      </w:pPr>
      <w:r w:rsidRPr="00322C5E">
        <w:t>emergency department management plans</w:t>
      </w:r>
    </w:p>
    <w:p w14:paraId="39D610B6" w14:textId="77777777" w:rsidR="00B11FBB" w:rsidRPr="0033747D" w:rsidRDefault="00B11FBB" w:rsidP="00322C5E">
      <w:pPr>
        <w:pStyle w:val="Bullet1"/>
      </w:pPr>
      <w:r w:rsidRPr="0033747D">
        <w:t>My Health Record</w:t>
      </w:r>
    </w:p>
    <w:p w14:paraId="644BE05F" w14:textId="77777777" w:rsidR="00B11FBB" w:rsidRPr="0033747D" w:rsidRDefault="00B11FBB" w:rsidP="00322C5E">
      <w:pPr>
        <w:pStyle w:val="Bullet1"/>
      </w:pPr>
      <w:r w:rsidRPr="0033747D">
        <w:t>advance statements and wellness plans</w:t>
      </w:r>
    </w:p>
    <w:p w14:paraId="4DEB7693" w14:textId="77777777" w:rsidR="00B11FBB" w:rsidRPr="0033747D" w:rsidRDefault="00B11FBB" w:rsidP="00322C5E">
      <w:pPr>
        <w:pStyle w:val="Bullet2"/>
      </w:pPr>
      <w:r w:rsidRPr="0033747D">
        <w:t>access these on the client management interface (CMI)</w:t>
      </w:r>
    </w:p>
    <w:p w14:paraId="5D30CBFA" w14:textId="77777777" w:rsidR="00B11FBB" w:rsidRPr="0033747D" w:rsidRDefault="00B11FBB" w:rsidP="00322C5E">
      <w:pPr>
        <w:pStyle w:val="Bullet1"/>
      </w:pPr>
      <w:r w:rsidRPr="0033747D">
        <w:t>community treatment team</w:t>
      </w:r>
    </w:p>
    <w:p w14:paraId="0A5A6C1E" w14:textId="572E346C" w:rsidR="00B11FBB" w:rsidRDefault="00DF4040" w:rsidP="00322C5E">
      <w:pPr>
        <w:pStyle w:val="Bullet1"/>
      </w:pPr>
      <w:r>
        <w:t>b</w:t>
      </w:r>
      <w:r w:rsidR="0017532A" w:rsidRPr="0017532A">
        <w:t>ehaviour</w:t>
      </w:r>
      <w:r w:rsidR="0017532A">
        <w:t>al</w:t>
      </w:r>
      <w:r w:rsidR="0017532A" w:rsidRPr="0017532A">
        <w:t xml:space="preserve"> support plans</w:t>
      </w:r>
      <w:r w:rsidR="0017532A">
        <w:t>.</w:t>
      </w:r>
    </w:p>
    <w:p w14:paraId="08980819" w14:textId="77777777" w:rsidR="005D09C0" w:rsidRDefault="002450DC" w:rsidP="00743826">
      <w:pPr>
        <w:rPr>
          <w:rStyle w:val="Heading3Char"/>
        </w:rPr>
      </w:pPr>
      <w:r w:rsidRPr="0033747D">
        <w:rPr>
          <w:noProof/>
        </w:rPr>
        <mc:AlternateContent>
          <mc:Choice Requires="wps">
            <w:drawing>
              <wp:inline distT="0" distB="0" distL="0" distR="0" wp14:anchorId="63946D7A" wp14:editId="076299F8">
                <wp:extent cx="6480000" cy="1653872"/>
                <wp:effectExtent l="0" t="0" r="16510" b="2286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1653872"/>
                        </a:xfrm>
                        <a:prstGeom prst="rect">
                          <a:avLst/>
                        </a:prstGeom>
                        <a:solidFill>
                          <a:schemeClr val="bg2"/>
                        </a:solidFill>
                        <a:ln w="6350">
                          <a:solidFill>
                            <a:schemeClr val="bg2"/>
                          </a:solidFill>
                          <a:miter lim="800000"/>
                          <a:headEnd/>
                          <a:tailEnd/>
                        </a:ln>
                      </wps:spPr>
                      <wps:txbx>
                        <w:txbxContent>
                          <w:p w14:paraId="6E7A7DC8" w14:textId="77777777" w:rsidR="005D0C30" w:rsidRPr="001B23B9" w:rsidRDefault="005D0C30" w:rsidP="00743826">
                            <w:pPr>
                              <w:pStyle w:val="PulloutHeading"/>
                            </w:pPr>
                            <w:r w:rsidRPr="001B23B9">
                              <w:t>Maintain safety for all: know when to call for help</w:t>
                            </w:r>
                          </w:p>
                          <w:p w14:paraId="445A4261" w14:textId="77777777" w:rsidR="005D0C30" w:rsidRDefault="005D0C30" w:rsidP="00743826">
                            <w:pPr>
                              <w:pStyle w:val="PulloutText"/>
                            </w:pPr>
                            <w:r w:rsidRPr="001B23B9">
                              <w:t xml:space="preserve">Do not attempt to care for a person displaying acute behavioural disturbance without adequate support or resources. Emergency care settings with fewer resources may have lower thresholds for escalation and referral. </w:t>
                            </w:r>
                          </w:p>
                          <w:p w14:paraId="6C38472F" w14:textId="0171F6DE" w:rsidR="005D0C30" w:rsidRPr="001B23B9" w:rsidRDefault="005D0C30" w:rsidP="00743826">
                            <w:pPr>
                              <w:pStyle w:val="PulloutText"/>
                            </w:pPr>
                            <w:r w:rsidRPr="001B23B9">
                              <w:t xml:space="preserve">Activate your health service’s emergency response procedures if you feel unsafe, including </w:t>
                            </w:r>
                            <w:hyperlink r:id="rId25" w:history="1">
                              <w:r w:rsidRPr="00CC39F0">
                                <w:rPr>
                                  <w:color w:val="0070C0"/>
                                  <w:u w:val="single"/>
                                </w:rPr>
                                <w:t>code grey or code black</w:t>
                              </w:r>
                            </w:hyperlink>
                            <w:r w:rsidRPr="001B23B9">
                              <w:t>.</w:t>
                            </w:r>
                            <w:r>
                              <w:t xml:space="preserve"> The Department of Health and Human Services</w:t>
                            </w:r>
                            <w:r w:rsidRPr="001B23B9">
                              <w:t xml:space="preserve"> </w:t>
                            </w:r>
                            <w:r>
                              <w:t>(</w:t>
                            </w:r>
                            <w:r w:rsidRPr="001B23B9">
                              <w:t>DHHS</w:t>
                            </w:r>
                            <w:r>
                              <w:t>)</w:t>
                            </w:r>
                            <w:r w:rsidRPr="001B23B9">
                              <w:t xml:space="preserve"> has also prepared some </w:t>
                            </w:r>
                            <w:hyperlink r:id="rId26" w:history="1">
                              <w:r w:rsidRPr="00CC39F0">
                                <w:rPr>
                                  <w:color w:val="0070C0"/>
                                  <w:u w:val="single"/>
                                </w:rPr>
                                <w:t>weapons management principles and guidelines</w:t>
                              </w:r>
                            </w:hyperlink>
                            <w:r w:rsidRPr="001B23B9">
                              <w:rPr>
                                <w:rStyle w:val="Hyperlink"/>
                                <w:color w:val="007586" w:themeColor="text2"/>
                              </w:rPr>
                              <w:t>.</w:t>
                            </w:r>
                          </w:p>
                        </w:txbxContent>
                      </wps:txbx>
                      <wps:bodyPr rot="0" vert="horz" wrap="square" lIns="180000" tIns="180000" rIns="144000" bIns="36000" anchor="t" anchorCtr="0">
                        <a:noAutofit/>
                      </wps:bodyPr>
                    </wps:wsp>
                  </a:graphicData>
                </a:graphic>
              </wp:inline>
            </w:drawing>
          </mc:Choice>
          <mc:Fallback>
            <w:pict>
              <v:shape w14:anchorId="63946D7A" id="_x0000_s1027" type="#_x0000_t202" style="width:510.25pt;height:1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" fillcolor="#edf5f7 [3214]" strokecolor="#edf5f7 [3214]" strokeweight=".5pt">
                <v:textbox inset="5mm,5mm,4mm,1mm">
                  <w:txbxContent>
                    <w:p w14:paraId="6E7A7DC8" w14:textId="77777777" w:rsidR="005D0C30" w:rsidRPr="001B23B9" w:rsidRDefault="005D0C30" w:rsidP="00743826">
                      <w:pPr>
                        <w:pStyle w:val="PulloutHeading"/>
                      </w:pPr>
                      <w:r w:rsidRPr="001B23B9">
                        <w:t>Maintain safety for all: know when to call for help</w:t>
                      </w:r>
                    </w:p>
                    <w:p w14:paraId="445A4261" w14:textId="77777777" w:rsidR="005D0C30" w:rsidRDefault="005D0C30" w:rsidP="00743826">
                      <w:pPr>
                        <w:pStyle w:val="PulloutText"/>
                      </w:pPr>
                      <w:r w:rsidRPr="001B23B9">
                        <w:t xml:space="preserve">Do not attempt to care for a person displaying acute behavioural disturbance without adequate support or resources. Emergency care settings with fewer resources may have lower thresholds for escalation and referral. </w:t>
                      </w:r>
                    </w:p>
                    <w:p w14:paraId="6C38472F" w14:textId="0171F6DE" w:rsidR="005D0C30" w:rsidRPr="001B23B9" w:rsidRDefault="005D0C30" w:rsidP="00743826">
                      <w:pPr>
                        <w:pStyle w:val="PulloutText"/>
                      </w:pPr>
                      <w:r w:rsidRPr="001B23B9">
                        <w:t xml:space="preserve">Activate your health service’s emergency response procedures if you feel unsafe, including </w:t>
                      </w:r>
                      <w:hyperlink r:id="rId27" w:history="1">
                        <w:r w:rsidRPr="00CC39F0">
                          <w:rPr>
                            <w:color w:val="0070C0"/>
                            <w:u w:val="single"/>
                          </w:rPr>
                          <w:t>code grey or code black</w:t>
                        </w:r>
                      </w:hyperlink>
                      <w:r w:rsidRPr="001B23B9">
                        <w:t>.</w:t>
                      </w:r>
                      <w:r>
                        <w:t xml:space="preserve"> The Department of Health and Human Services</w:t>
                      </w:r>
                      <w:r w:rsidRPr="001B23B9">
                        <w:t xml:space="preserve"> </w:t>
                      </w:r>
                      <w:r>
                        <w:t>(</w:t>
                      </w:r>
                      <w:r w:rsidRPr="001B23B9">
                        <w:t>DHHS</w:t>
                      </w:r>
                      <w:r>
                        <w:t>)</w:t>
                      </w:r>
                      <w:r w:rsidRPr="001B23B9">
                        <w:t xml:space="preserve"> has also prepared some </w:t>
                      </w:r>
                      <w:hyperlink r:id="rId28" w:history="1">
                        <w:r w:rsidRPr="00CC39F0">
                          <w:rPr>
                            <w:color w:val="0070C0"/>
                            <w:u w:val="single"/>
                          </w:rPr>
                          <w:t>weapons management principles and guidelines</w:t>
                        </w:r>
                      </w:hyperlink>
                      <w:r w:rsidRPr="001B23B9">
                        <w:rPr>
                          <w:rStyle w:val="Hyperlink"/>
                          <w:color w:val="007586" w:themeColor="text2"/>
                        </w:rPr>
                        <w:t>.</w:t>
                      </w:r>
                    </w:p>
                  </w:txbxContent>
                </v:textbox>
                <w10:anchorlock/>
              </v:shape>
            </w:pict>
          </mc:Fallback>
        </mc:AlternateContent>
      </w:r>
    </w:p>
    <w:p w14:paraId="7650AA47" w14:textId="01A741E8" w:rsidR="00B11FBB" w:rsidRPr="00322C5E" w:rsidRDefault="00B11FBB" w:rsidP="00322C5E">
      <w:pPr>
        <w:pStyle w:val="Heading2"/>
        <w:rPr>
          <w:rStyle w:val="Heading3Char"/>
          <w:b/>
          <w:bCs/>
        </w:rPr>
      </w:pPr>
      <w:bookmarkStart w:id="4" w:name="_Toc36120113"/>
      <w:r w:rsidRPr="00322C5E">
        <w:rPr>
          <w:rStyle w:val="Heading3Char"/>
          <w:b/>
          <w:bCs/>
        </w:rPr>
        <w:t>Where to assess</w:t>
      </w:r>
      <w:bookmarkEnd w:id="4"/>
    </w:p>
    <w:p w14:paraId="0FA1670C" w14:textId="58D3585E" w:rsidR="00B11FBB" w:rsidRPr="0033747D" w:rsidRDefault="00B11FBB" w:rsidP="00743826">
      <w:pPr>
        <w:pStyle w:val="Normalfollowingheading"/>
      </w:pPr>
      <w:r w:rsidRPr="0033747D">
        <w:t>Assess the person in a</w:t>
      </w:r>
      <w:r w:rsidR="002450DC">
        <w:t xml:space="preserve"> safe</w:t>
      </w:r>
      <w:r w:rsidRPr="0033747D">
        <w:t xml:space="preserve"> space where distractions are </w:t>
      </w:r>
      <w:proofErr w:type="gramStart"/>
      <w:r w:rsidRPr="0033747D">
        <w:t>minimised</w:t>
      </w:r>
      <w:proofErr w:type="gramEnd"/>
      <w:r w:rsidRPr="0033747D">
        <w:t xml:space="preserve"> and you can give your full attention. Remove bystanders and unnecessary staff, acknowledging that family and carers may be important during assessment.</w:t>
      </w:r>
    </w:p>
    <w:p w14:paraId="1FE658D5" w14:textId="301F56E2" w:rsidR="002450DC" w:rsidRDefault="00B11FBB" w:rsidP="00743826">
      <w:r w:rsidRPr="0033747D">
        <w:t xml:space="preserve">Use a behavioural assessment room (BAR) if available, </w:t>
      </w:r>
      <w:r w:rsidR="002450DC">
        <w:t>adhering to</w:t>
      </w:r>
      <w:r w:rsidRPr="0033747D">
        <w:t xml:space="preserve"> the</w:t>
      </w:r>
      <w:r w:rsidR="0055663B">
        <w:t xml:space="preserve"> </w:t>
      </w:r>
      <w:r w:rsidRPr="0033747D">
        <w:t xml:space="preserve">DHHS </w:t>
      </w:r>
      <w:r w:rsidR="007D7D64">
        <w:t>‘</w:t>
      </w:r>
      <w:hyperlink r:id="rId29" w:history="1">
        <w:r w:rsidRPr="003B35A3">
          <w:rPr>
            <w:rStyle w:val="Hyperlink"/>
            <w:color w:val="0070C0"/>
            <w:u w:val="single"/>
          </w:rPr>
          <w:t>Guidelines for behavioural assessment rooms in emergency departments</w:t>
        </w:r>
        <w:r w:rsidR="007D7D64">
          <w:rPr>
            <w:rStyle w:val="Hyperlink"/>
            <w:color w:val="0070C0"/>
            <w:u w:val="single"/>
          </w:rPr>
          <w:t>’</w:t>
        </w:r>
      </w:hyperlink>
      <w:r w:rsidR="0055663B">
        <w:t xml:space="preserve">. </w:t>
      </w:r>
      <w:r w:rsidRPr="0033747D">
        <w:t>If unavailable, assess the person in the highest acuity area possible, such as a resuscitation bay.</w:t>
      </w:r>
      <w:r w:rsidR="002450DC">
        <w:t xml:space="preserve"> </w:t>
      </w:r>
    </w:p>
    <w:p w14:paraId="5DA33E4F" w14:textId="77777777" w:rsidR="00B11FBB" w:rsidRPr="0033747D" w:rsidRDefault="00B11FBB" w:rsidP="00322C5E">
      <w:pPr>
        <w:pStyle w:val="Heading2"/>
      </w:pPr>
      <w:bookmarkStart w:id="5" w:name="_How_to_assess"/>
      <w:bookmarkStart w:id="6" w:name="_Toc36120114"/>
      <w:bookmarkEnd w:id="5"/>
      <w:r w:rsidRPr="0033747D">
        <w:lastRenderedPageBreak/>
        <w:t>How to assess level of distress and sedation</w:t>
      </w:r>
      <w:bookmarkEnd w:id="6"/>
    </w:p>
    <w:p w14:paraId="5A9A4440" w14:textId="77777777" w:rsidR="00B11FBB" w:rsidRPr="0033747D" w:rsidRDefault="00B11FBB" w:rsidP="00743826">
      <w:pPr>
        <w:pStyle w:val="Normalfollowingheading"/>
      </w:pPr>
      <w:r w:rsidRPr="0033747D">
        <w:t>Use the sedation assessment tool (SAT) in Table 1 to measure and describe the person’s level of distress and sedation throughout the care episode.</w:t>
      </w:r>
    </w:p>
    <w:p w14:paraId="6B392623" w14:textId="3478CA77" w:rsidR="00B11FBB" w:rsidRPr="00322C5E" w:rsidRDefault="00B11FBB" w:rsidP="00322C5E">
      <w:pPr>
        <w:pStyle w:val="Tablechartdiagramheading"/>
      </w:pPr>
      <w:bookmarkStart w:id="7" w:name="satscore"/>
      <w:bookmarkEnd w:id="7"/>
      <w:r w:rsidRPr="00322C5E">
        <w:t xml:space="preserve">Table </w:t>
      </w:r>
      <w:fldSimple w:instr=" SEQ Table \* ARABIC ">
        <w:r w:rsidR="00116296" w:rsidRPr="00322C5E">
          <w:t>1</w:t>
        </w:r>
      </w:fldSimple>
      <w:r w:rsidRPr="00322C5E">
        <w:t>: Sedation assessment tool (SAT)</w:t>
      </w:r>
    </w:p>
    <w:tbl>
      <w:tblPr>
        <w:tblStyle w:val="TableGrid"/>
        <w:tblW w:w="0" w:type="auto"/>
        <w:tblLook w:val="04A0" w:firstRow="1" w:lastRow="0" w:firstColumn="1" w:lastColumn="0" w:noHBand="0" w:noVBand="1"/>
      </w:tblPr>
      <w:tblGrid>
        <w:gridCol w:w="1106"/>
        <w:gridCol w:w="4110"/>
        <w:gridCol w:w="4864"/>
      </w:tblGrid>
      <w:tr w:rsidR="00B11FBB" w:rsidRPr="007D7D64" w14:paraId="5B139EA4" w14:textId="77777777" w:rsidTr="00B11FBB">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106" w:type="dxa"/>
          </w:tcPr>
          <w:p w14:paraId="0A78F338" w14:textId="77777777" w:rsidR="00B11FBB" w:rsidRPr="007D7D64" w:rsidRDefault="00B11FBB" w:rsidP="00743826">
            <w:pPr>
              <w:pStyle w:val="Tabletext"/>
            </w:pPr>
            <w:r w:rsidRPr="007D7D64">
              <w:t>Score</w:t>
            </w:r>
          </w:p>
        </w:tc>
        <w:tc>
          <w:tcPr>
            <w:tcW w:w="4110" w:type="dxa"/>
          </w:tcPr>
          <w:p w14:paraId="5D177166" w14:textId="77777777" w:rsidR="00B11FBB" w:rsidRPr="007D7D64" w:rsidRDefault="00B11FBB" w:rsidP="00743826">
            <w:pPr>
              <w:pStyle w:val="Tabletext"/>
              <w:cnfStyle w:val="100000000000" w:firstRow="1" w:lastRow="0" w:firstColumn="0" w:lastColumn="0" w:oddVBand="0" w:evenVBand="0" w:oddHBand="0" w:evenHBand="0" w:firstRowFirstColumn="0" w:firstRowLastColumn="0" w:lastRowFirstColumn="0" w:lastRowLastColumn="0"/>
            </w:pPr>
            <w:r w:rsidRPr="007D7D64">
              <w:t>Responsiveness</w:t>
            </w:r>
          </w:p>
        </w:tc>
        <w:tc>
          <w:tcPr>
            <w:tcW w:w="4864" w:type="dxa"/>
          </w:tcPr>
          <w:p w14:paraId="67664FE3" w14:textId="77777777" w:rsidR="00B11FBB" w:rsidRPr="007D7D64" w:rsidRDefault="00B11FBB" w:rsidP="00743826">
            <w:pPr>
              <w:pStyle w:val="Tabletext"/>
              <w:cnfStyle w:val="100000000000" w:firstRow="1" w:lastRow="0" w:firstColumn="0" w:lastColumn="0" w:oddVBand="0" w:evenVBand="0" w:oddHBand="0" w:evenHBand="0" w:firstRowFirstColumn="0" w:firstRowLastColumn="0" w:lastRowFirstColumn="0" w:lastRowLastColumn="0"/>
            </w:pPr>
            <w:r w:rsidRPr="007D7D64">
              <w:t>Speech</w:t>
            </w:r>
          </w:p>
        </w:tc>
      </w:tr>
      <w:tr w:rsidR="00B11FBB" w:rsidRPr="007D7D64" w14:paraId="175A1110" w14:textId="77777777" w:rsidTr="002B24B5">
        <w:tc>
          <w:tcPr>
            <w:cnfStyle w:val="001000000000" w:firstRow="0" w:lastRow="0" w:firstColumn="1" w:lastColumn="0" w:oddVBand="0" w:evenVBand="0" w:oddHBand="0" w:evenHBand="0" w:firstRowFirstColumn="0" w:firstRowLastColumn="0" w:lastRowFirstColumn="0" w:lastRowLastColumn="0"/>
            <w:tcW w:w="1106" w:type="dxa"/>
          </w:tcPr>
          <w:p w14:paraId="1AB9D7FE" w14:textId="77777777" w:rsidR="00B11FBB" w:rsidRPr="007D7D64" w:rsidRDefault="00B11FBB" w:rsidP="00743826">
            <w:pPr>
              <w:pStyle w:val="Tabletext"/>
            </w:pPr>
            <w:r w:rsidRPr="007D7D64">
              <w:t>+3</w:t>
            </w:r>
          </w:p>
        </w:tc>
        <w:tc>
          <w:tcPr>
            <w:tcW w:w="4110" w:type="dxa"/>
          </w:tcPr>
          <w:p w14:paraId="669FD9A7"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Combative, violent, out of control</w:t>
            </w:r>
          </w:p>
        </w:tc>
        <w:tc>
          <w:tcPr>
            <w:tcW w:w="4864" w:type="dxa"/>
          </w:tcPr>
          <w:p w14:paraId="1D6DC638"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Continual loud outbursts</w:t>
            </w:r>
          </w:p>
        </w:tc>
      </w:tr>
      <w:tr w:rsidR="00B11FBB" w:rsidRPr="007D7D64" w14:paraId="1EAB9E5E" w14:textId="77777777" w:rsidTr="002B24B5">
        <w:tc>
          <w:tcPr>
            <w:cnfStyle w:val="001000000000" w:firstRow="0" w:lastRow="0" w:firstColumn="1" w:lastColumn="0" w:oddVBand="0" w:evenVBand="0" w:oddHBand="0" w:evenHBand="0" w:firstRowFirstColumn="0" w:firstRowLastColumn="0" w:lastRowFirstColumn="0" w:lastRowLastColumn="0"/>
            <w:tcW w:w="1106" w:type="dxa"/>
          </w:tcPr>
          <w:p w14:paraId="754D478F" w14:textId="77777777" w:rsidR="00B11FBB" w:rsidRPr="007D7D64" w:rsidRDefault="00B11FBB" w:rsidP="00743826">
            <w:pPr>
              <w:pStyle w:val="Tabletext"/>
            </w:pPr>
            <w:r w:rsidRPr="007D7D64">
              <w:t>+2</w:t>
            </w:r>
          </w:p>
        </w:tc>
        <w:tc>
          <w:tcPr>
            <w:tcW w:w="4110" w:type="dxa"/>
          </w:tcPr>
          <w:p w14:paraId="30BF345B"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Very anxious and agitated</w:t>
            </w:r>
          </w:p>
        </w:tc>
        <w:tc>
          <w:tcPr>
            <w:tcW w:w="4864" w:type="dxa"/>
          </w:tcPr>
          <w:p w14:paraId="32486731"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Loud outbursts</w:t>
            </w:r>
          </w:p>
        </w:tc>
      </w:tr>
      <w:tr w:rsidR="00B11FBB" w:rsidRPr="007D7D64" w14:paraId="15688614" w14:textId="77777777" w:rsidTr="002B24B5">
        <w:tc>
          <w:tcPr>
            <w:cnfStyle w:val="001000000000" w:firstRow="0" w:lastRow="0" w:firstColumn="1" w:lastColumn="0" w:oddVBand="0" w:evenVBand="0" w:oddHBand="0" w:evenHBand="0" w:firstRowFirstColumn="0" w:firstRowLastColumn="0" w:lastRowFirstColumn="0" w:lastRowLastColumn="0"/>
            <w:tcW w:w="1106" w:type="dxa"/>
          </w:tcPr>
          <w:p w14:paraId="38E72E47" w14:textId="77777777" w:rsidR="00B11FBB" w:rsidRPr="007D7D64" w:rsidRDefault="00B11FBB" w:rsidP="00743826">
            <w:pPr>
              <w:pStyle w:val="Tabletext"/>
            </w:pPr>
            <w:r w:rsidRPr="007D7D64">
              <w:t>+1</w:t>
            </w:r>
          </w:p>
        </w:tc>
        <w:tc>
          <w:tcPr>
            <w:tcW w:w="4110" w:type="dxa"/>
          </w:tcPr>
          <w:p w14:paraId="17E72121"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Anxious/restless</w:t>
            </w:r>
          </w:p>
        </w:tc>
        <w:tc>
          <w:tcPr>
            <w:tcW w:w="4864" w:type="dxa"/>
          </w:tcPr>
          <w:p w14:paraId="18EE9F78"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Normal/talkative</w:t>
            </w:r>
          </w:p>
        </w:tc>
      </w:tr>
      <w:tr w:rsidR="00B11FBB" w:rsidRPr="007D7D64" w14:paraId="057F4CEB" w14:textId="77777777" w:rsidTr="002B24B5">
        <w:tc>
          <w:tcPr>
            <w:cnfStyle w:val="001000000000" w:firstRow="0" w:lastRow="0" w:firstColumn="1" w:lastColumn="0" w:oddVBand="0" w:evenVBand="0" w:oddHBand="0" w:evenHBand="0" w:firstRowFirstColumn="0" w:firstRowLastColumn="0" w:lastRowFirstColumn="0" w:lastRowLastColumn="0"/>
            <w:tcW w:w="1106" w:type="dxa"/>
          </w:tcPr>
          <w:p w14:paraId="65EC6BAE" w14:textId="77777777" w:rsidR="00B11FBB" w:rsidRPr="007D7D64" w:rsidRDefault="00B11FBB" w:rsidP="00743826">
            <w:pPr>
              <w:pStyle w:val="Tabletext"/>
            </w:pPr>
            <w:r w:rsidRPr="007D7D64">
              <w:t>0</w:t>
            </w:r>
          </w:p>
        </w:tc>
        <w:tc>
          <w:tcPr>
            <w:tcW w:w="4110" w:type="dxa"/>
          </w:tcPr>
          <w:p w14:paraId="39EBD7D0"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Awake and calm/cooperative</w:t>
            </w:r>
          </w:p>
        </w:tc>
        <w:tc>
          <w:tcPr>
            <w:tcW w:w="4864" w:type="dxa"/>
          </w:tcPr>
          <w:p w14:paraId="27C32C18"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Speaks normally</w:t>
            </w:r>
          </w:p>
        </w:tc>
      </w:tr>
      <w:tr w:rsidR="00B11FBB" w:rsidRPr="007D7D64" w14:paraId="441F5DC4" w14:textId="77777777" w:rsidTr="002B24B5">
        <w:tc>
          <w:tcPr>
            <w:cnfStyle w:val="001000000000" w:firstRow="0" w:lastRow="0" w:firstColumn="1" w:lastColumn="0" w:oddVBand="0" w:evenVBand="0" w:oddHBand="0" w:evenHBand="0" w:firstRowFirstColumn="0" w:firstRowLastColumn="0" w:lastRowFirstColumn="0" w:lastRowLastColumn="0"/>
            <w:tcW w:w="1106" w:type="dxa"/>
          </w:tcPr>
          <w:p w14:paraId="7FB68FAF" w14:textId="77777777" w:rsidR="00B11FBB" w:rsidRPr="007D7D64" w:rsidRDefault="00B11FBB" w:rsidP="00743826">
            <w:pPr>
              <w:pStyle w:val="Tabletext"/>
            </w:pPr>
            <w:r w:rsidRPr="007D7D64">
              <w:t>–1</w:t>
            </w:r>
          </w:p>
        </w:tc>
        <w:tc>
          <w:tcPr>
            <w:tcW w:w="4110" w:type="dxa"/>
          </w:tcPr>
          <w:p w14:paraId="19B3353F"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Asleep but rouses if name is called</w:t>
            </w:r>
          </w:p>
        </w:tc>
        <w:tc>
          <w:tcPr>
            <w:tcW w:w="4864" w:type="dxa"/>
          </w:tcPr>
          <w:p w14:paraId="0B0E715B"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Slurring or prominent slowing</w:t>
            </w:r>
          </w:p>
        </w:tc>
      </w:tr>
      <w:tr w:rsidR="00B11FBB" w:rsidRPr="007D7D64" w14:paraId="6E400022" w14:textId="77777777" w:rsidTr="002B24B5">
        <w:tc>
          <w:tcPr>
            <w:cnfStyle w:val="001000000000" w:firstRow="0" w:lastRow="0" w:firstColumn="1" w:lastColumn="0" w:oddVBand="0" w:evenVBand="0" w:oddHBand="0" w:evenHBand="0" w:firstRowFirstColumn="0" w:firstRowLastColumn="0" w:lastRowFirstColumn="0" w:lastRowLastColumn="0"/>
            <w:tcW w:w="1106" w:type="dxa"/>
          </w:tcPr>
          <w:p w14:paraId="025CFA67" w14:textId="77777777" w:rsidR="00B11FBB" w:rsidRPr="007D7D64" w:rsidRDefault="00B11FBB" w:rsidP="00743826">
            <w:pPr>
              <w:pStyle w:val="Tabletext"/>
            </w:pPr>
            <w:r w:rsidRPr="007D7D64">
              <w:t>–2</w:t>
            </w:r>
          </w:p>
        </w:tc>
        <w:tc>
          <w:tcPr>
            <w:tcW w:w="4110" w:type="dxa"/>
          </w:tcPr>
          <w:p w14:paraId="43FEFEDC"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Responds to physical stimulation</w:t>
            </w:r>
          </w:p>
        </w:tc>
        <w:tc>
          <w:tcPr>
            <w:tcW w:w="4864" w:type="dxa"/>
          </w:tcPr>
          <w:p w14:paraId="288415AB"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Few recognisable words</w:t>
            </w:r>
          </w:p>
        </w:tc>
      </w:tr>
      <w:tr w:rsidR="00B11FBB" w:rsidRPr="007D7D64" w14:paraId="12561D96" w14:textId="77777777" w:rsidTr="002B24B5">
        <w:tc>
          <w:tcPr>
            <w:cnfStyle w:val="001000000000" w:firstRow="0" w:lastRow="0" w:firstColumn="1" w:lastColumn="0" w:oddVBand="0" w:evenVBand="0" w:oddHBand="0" w:evenHBand="0" w:firstRowFirstColumn="0" w:firstRowLastColumn="0" w:lastRowFirstColumn="0" w:lastRowLastColumn="0"/>
            <w:tcW w:w="1106" w:type="dxa"/>
          </w:tcPr>
          <w:p w14:paraId="28520F57" w14:textId="77777777" w:rsidR="00B11FBB" w:rsidRPr="007D7D64" w:rsidRDefault="00B11FBB" w:rsidP="00743826">
            <w:pPr>
              <w:pStyle w:val="Tabletext"/>
            </w:pPr>
            <w:r w:rsidRPr="007D7D64">
              <w:t>–3</w:t>
            </w:r>
          </w:p>
        </w:tc>
        <w:tc>
          <w:tcPr>
            <w:tcW w:w="4110" w:type="dxa"/>
          </w:tcPr>
          <w:p w14:paraId="6F23412A"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No response to stimulation</w:t>
            </w:r>
          </w:p>
        </w:tc>
        <w:tc>
          <w:tcPr>
            <w:tcW w:w="4864" w:type="dxa"/>
          </w:tcPr>
          <w:p w14:paraId="3687C9D1" w14:textId="77777777" w:rsidR="00B11FBB" w:rsidRPr="007D7D64" w:rsidRDefault="00B11FBB" w:rsidP="00743826">
            <w:pPr>
              <w:pStyle w:val="Tabletext"/>
              <w:cnfStyle w:val="000000000000" w:firstRow="0" w:lastRow="0" w:firstColumn="0" w:lastColumn="0" w:oddVBand="0" w:evenVBand="0" w:oddHBand="0" w:evenHBand="0" w:firstRowFirstColumn="0" w:firstRowLastColumn="0" w:lastRowFirstColumn="0" w:lastRowLastColumn="0"/>
            </w:pPr>
            <w:r w:rsidRPr="007D7D64">
              <w:t>Nil</w:t>
            </w:r>
          </w:p>
        </w:tc>
      </w:tr>
    </w:tbl>
    <w:p w14:paraId="0CB9C1FC" w14:textId="2256C50A" w:rsidR="00B11FBB" w:rsidRPr="0033747D" w:rsidRDefault="00B11FBB" w:rsidP="00743826">
      <w:r w:rsidRPr="0033747D">
        <w:t>While not always present,</w:t>
      </w:r>
      <w:r w:rsidR="00B246A3">
        <w:t xml:space="preserve"> increased frequency or intensity of</w:t>
      </w:r>
      <w:r w:rsidRPr="0033747D">
        <w:t xml:space="preserve"> behaviours described by the STAMP framework in Table 2 may indicate increasing distress and predict behavioural escalation.</w:t>
      </w:r>
    </w:p>
    <w:p w14:paraId="4D53A6C1" w14:textId="26D0CF9D" w:rsidR="00B11FBB" w:rsidRPr="0033747D" w:rsidRDefault="00B11FBB" w:rsidP="00322C5E">
      <w:pPr>
        <w:pStyle w:val="Tablechartdiagramheading"/>
      </w:pPr>
      <w:r w:rsidRPr="0033747D">
        <w:t xml:space="preserve">Table </w:t>
      </w:r>
      <w:fldSimple w:instr=" SEQ Table \* ARABIC ">
        <w:r w:rsidR="00116296">
          <w:rPr>
            <w:noProof/>
          </w:rPr>
          <w:t>2</w:t>
        </w:r>
      </w:fldSimple>
      <w:r w:rsidRPr="0033747D">
        <w:rPr>
          <w:noProof/>
        </w:rPr>
        <w:t>:</w:t>
      </w:r>
      <w:r w:rsidRPr="0033747D">
        <w:t xml:space="preserve"> STAMP framework of behaviours that may indicate increasing distress</w:t>
      </w:r>
    </w:p>
    <w:tbl>
      <w:tblPr>
        <w:tblStyle w:val="TableGrid"/>
        <w:tblW w:w="0" w:type="auto"/>
        <w:tblLook w:val="0420" w:firstRow="1" w:lastRow="0" w:firstColumn="0" w:lastColumn="0" w:noHBand="0" w:noVBand="1"/>
      </w:tblPr>
      <w:tblGrid>
        <w:gridCol w:w="2016"/>
        <w:gridCol w:w="1812"/>
        <w:gridCol w:w="2220"/>
        <w:gridCol w:w="2016"/>
        <w:gridCol w:w="2016"/>
      </w:tblGrid>
      <w:tr w:rsidR="00B11FBB" w:rsidRPr="00D44AC8" w14:paraId="5F2FD760" w14:textId="77777777" w:rsidTr="00020A34">
        <w:trPr>
          <w:cnfStyle w:val="100000000000" w:firstRow="1" w:lastRow="0" w:firstColumn="0" w:lastColumn="0" w:oddVBand="0" w:evenVBand="0" w:oddHBand="0" w:evenHBand="0" w:firstRowFirstColumn="0" w:firstRowLastColumn="0" w:lastRowFirstColumn="0" w:lastRowLastColumn="0"/>
          <w:tblHeader/>
        </w:trPr>
        <w:tc>
          <w:tcPr>
            <w:tcW w:w="2016" w:type="dxa"/>
          </w:tcPr>
          <w:p w14:paraId="1D311B86" w14:textId="77777777" w:rsidR="00B11FBB" w:rsidRPr="00D44AC8" w:rsidRDefault="00B11FBB" w:rsidP="00743826">
            <w:r w:rsidRPr="00D44AC8">
              <w:t>Staring</w:t>
            </w:r>
          </w:p>
        </w:tc>
        <w:tc>
          <w:tcPr>
            <w:tcW w:w="1812" w:type="dxa"/>
          </w:tcPr>
          <w:p w14:paraId="7FF99C3F" w14:textId="77777777" w:rsidR="00B11FBB" w:rsidRPr="00D44AC8" w:rsidRDefault="00B11FBB" w:rsidP="00743826">
            <w:r w:rsidRPr="00D44AC8">
              <w:t>Tone and volume of voice</w:t>
            </w:r>
          </w:p>
        </w:tc>
        <w:tc>
          <w:tcPr>
            <w:tcW w:w="2220" w:type="dxa"/>
          </w:tcPr>
          <w:p w14:paraId="25EC2269" w14:textId="77777777" w:rsidR="00B11FBB" w:rsidRPr="00D44AC8" w:rsidRDefault="00B11FBB" w:rsidP="00743826">
            <w:r w:rsidRPr="00D44AC8">
              <w:t>Anxiety</w:t>
            </w:r>
          </w:p>
        </w:tc>
        <w:tc>
          <w:tcPr>
            <w:tcW w:w="2016" w:type="dxa"/>
          </w:tcPr>
          <w:p w14:paraId="6EF0E3FE" w14:textId="77777777" w:rsidR="00B11FBB" w:rsidRPr="00D44AC8" w:rsidRDefault="00B11FBB" w:rsidP="00743826">
            <w:r w:rsidRPr="00D44AC8">
              <w:t>Mumbling</w:t>
            </w:r>
          </w:p>
        </w:tc>
        <w:tc>
          <w:tcPr>
            <w:tcW w:w="2016" w:type="dxa"/>
          </w:tcPr>
          <w:p w14:paraId="2A677CEA" w14:textId="77777777" w:rsidR="00B11FBB" w:rsidRPr="00D44AC8" w:rsidRDefault="00B11FBB" w:rsidP="00743826">
            <w:r w:rsidRPr="00D44AC8">
              <w:t>Pacing</w:t>
            </w:r>
          </w:p>
        </w:tc>
      </w:tr>
      <w:tr w:rsidR="00B11FBB" w:rsidRPr="00D44AC8" w14:paraId="59F79CA0" w14:textId="77777777" w:rsidTr="00020A34">
        <w:tc>
          <w:tcPr>
            <w:tcW w:w="2016" w:type="dxa"/>
          </w:tcPr>
          <w:p w14:paraId="49666AD2" w14:textId="77777777" w:rsidR="00B11FBB" w:rsidRPr="00D44AC8" w:rsidRDefault="00B11FBB" w:rsidP="00743826">
            <w:pPr>
              <w:pStyle w:val="Tablebullet"/>
            </w:pPr>
            <w:r w:rsidRPr="00D44AC8">
              <w:t>Prolonged glaring at staff</w:t>
            </w:r>
          </w:p>
          <w:p w14:paraId="791CD82C" w14:textId="4E68C6F5" w:rsidR="00B11FBB" w:rsidRPr="00D44AC8" w:rsidRDefault="00B11FBB" w:rsidP="00743826">
            <w:pPr>
              <w:pStyle w:val="Tablebullet"/>
            </w:pPr>
            <w:r w:rsidRPr="00D44AC8">
              <w:t>Absence of eye contact (culture</w:t>
            </w:r>
            <w:r w:rsidR="00D73616" w:rsidRPr="00D44AC8">
              <w:t xml:space="preserve"> and disability </w:t>
            </w:r>
            <w:r w:rsidRPr="00D44AC8">
              <w:t>dependent)</w:t>
            </w:r>
          </w:p>
        </w:tc>
        <w:tc>
          <w:tcPr>
            <w:tcW w:w="1812" w:type="dxa"/>
          </w:tcPr>
          <w:p w14:paraId="629E00AD" w14:textId="77777777" w:rsidR="00B11FBB" w:rsidRPr="00D44AC8" w:rsidRDefault="00B11FBB" w:rsidP="00743826">
            <w:pPr>
              <w:pStyle w:val="Tablebullet"/>
            </w:pPr>
            <w:r w:rsidRPr="00D44AC8">
              <w:t>Sharp retorts</w:t>
            </w:r>
          </w:p>
          <w:p w14:paraId="628CCDE1" w14:textId="77777777" w:rsidR="00B11FBB" w:rsidRPr="00D44AC8" w:rsidRDefault="00B11FBB" w:rsidP="00743826">
            <w:pPr>
              <w:pStyle w:val="Tablebullet"/>
            </w:pPr>
            <w:r w:rsidRPr="00D44AC8">
              <w:t>Sarcasm</w:t>
            </w:r>
          </w:p>
          <w:p w14:paraId="4EC31332" w14:textId="77777777" w:rsidR="00B11FBB" w:rsidRPr="00D44AC8" w:rsidRDefault="00B11FBB" w:rsidP="00743826">
            <w:pPr>
              <w:pStyle w:val="Tablebullet"/>
            </w:pPr>
            <w:r w:rsidRPr="00D44AC8">
              <w:t>Increased volume</w:t>
            </w:r>
          </w:p>
          <w:p w14:paraId="2CC43291" w14:textId="77777777" w:rsidR="00B11FBB" w:rsidRPr="00D44AC8" w:rsidRDefault="00B11FBB" w:rsidP="00743826">
            <w:pPr>
              <w:pStyle w:val="Tablebullet"/>
            </w:pPr>
            <w:r w:rsidRPr="00D44AC8">
              <w:t>Demeaning inflection</w:t>
            </w:r>
          </w:p>
        </w:tc>
        <w:tc>
          <w:tcPr>
            <w:tcW w:w="2220" w:type="dxa"/>
          </w:tcPr>
          <w:p w14:paraId="7DD4B080" w14:textId="77777777" w:rsidR="00B11FBB" w:rsidRPr="00D44AC8" w:rsidRDefault="00B11FBB" w:rsidP="00743826">
            <w:pPr>
              <w:pStyle w:val="Tablebullet"/>
            </w:pPr>
            <w:r w:rsidRPr="00D44AC8">
              <w:t>Flushed appearance</w:t>
            </w:r>
          </w:p>
          <w:p w14:paraId="638417CF" w14:textId="77777777" w:rsidR="00B11FBB" w:rsidRPr="00D44AC8" w:rsidRDefault="00B11FBB" w:rsidP="00743826">
            <w:pPr>
              <w:pStyle w:val="Tablebullet"/>
            </w:pPr>
            <w:r w:rsidRPr="00D44AC8">
              <w:t>Hyperventilation</w:t>
            </w:r>
          </w:p>
          <w:p w14:paraId="5D923D09" w14:textId="77777777" w:rsidR="00B11FBB" w:rsidRPr="00D44AC8" w:rsidRDefault="00B11FBB" w:rsidP="00743826">
            <w:pPr>
              <w:pStyle w:val="Tablebullet"/>
            </w:pPr>
            <w:r w:rsidRPr="00D44AC8">
              <w:t>Rapid speech</w:t>
            </w:r>
          </w:p>
          <w:p w14:paraId="4E3C5E22" w14:textId="77777777" w:rsidR="00B11FBB" w:rsidRPr="00D44AC8" w:rsidRDefault="00B11FBB" w:rsidP="00743826">
            <w:pPr>
              <w:pStyle w:val="Tablebullet"/>
            </w:pPr>
            <w:r w:rsidRPr="00D44AC8">
              <w:t>Expressed lack of understanding about care processes</w:t>
            </w:r>
          </w:p>
        </w:tc>
        <w:tc>
          <w:tcPr>
            <w:tcW w:w="2016" w:type="dxa"/>
          </w:tcPr>
          <w:p w14:paraId="7CF40C59" w14:textId="77777777" w:rsidR="00B11FBB" w:rsidRPr="00D44AC8" w:rsidRDefault="00B11FBB" w:rsidP="00743826">
            <w:pPr>
              <w:pStyle w:val="Tablebullet"/>
            </w:pPr>
            <w:r w:rsidRPr="00D44AC8">
              <w:t>Talking under their breath</w:t>
            </w:r>
          </w:p>
          <w:p w14:paraId="398AB5E8" w14:textId="77777777" w:rsidR="00B11FBB" w:rsidRPr="00D44AC8" w:rsidRDefault="00B11FBB" w:rsidP="00743826">
            <w:pPr>
              <w:pStyle w:val="Tablebullet"/>
            </w:pPr>
            <w:r w:rsidRPr="00D44AC8">
              <w:t>Criticising care just loud enough to be heard</w:t>
            </w:r>
          </w:p>
          <w:p w14:paraId="19715DA0" w14:textId="77777777" w:rsidR="00B11FBB" w:rsidRPr="00D44AC8" w:rsidRDefault="00B11FBB" w:rsidP="00743826">
            <w:pPr>
              <w:pStyle w:val="Tablebullet"/>
            </w:pPr>
            <w:r w:rsidRPr="00D44AC8">
              <w:t>Repetition of same or similar phrases</w:t>
            </w:r>
          </w:p>
        </w:tc>
        <w:tc>
          <w:tcPr>
            <w:tcW w:w="2016" w:type="dxa"/>
          </w:tcPr>
          <w:p w14:paraId="2D217C86" w14:textId="77777777" w:rsidR="00B11FBB" w:rsidRPr="00D44AC8" w:rsidRDefault="00B11FBB" w:rsidP="00743826">
            <w:pPr>
              <w:pStyle w:val="Tablebullet"/>
            </w:pPr>
            <w:r w:rsidRPr="00D44AC8">
              <w:t>Walking around confined areas</w:t>
            </w:r>
          </w:p>
          <w:p w14:paraId="78B2D966" w14:textId="77777777" w:rsidR="00B11FBB" w:rsidRPr="00D44AC8" w:rsidRDefault="00B11FBB" w:rsidP="00743826">
            <w:pPr>
              <w:pStyle w:val="Tablebullet"/>
            </w:pPr>
            <w:r w:rsidRPr="00D44AC8">
              <w:t>Walking back and forth to staff station</w:t>
            </w:r>
          </w:p>
          <w:p w14:paraId="004B0B28" w14:textId="77777777" w:rsidR="00B11FBB" w:rsidRPr="00D44AC8" w:rsidRDefault="00B11FBB" w:rsidP="00743826">
            <w:pPr>
              <w:pStyle w:val="Tablebullet"/>
            </w:pPr>
            <w:r w:rsidRPr="00D44AC8">
              <w:t>Flailing around in bed</w:t>
            </w:r>
          </w:p>
        </w:tc>
      </w:tr>
    </w:tbl>
    <w:p w14:paraId="0B408E94" w14:textId="01CCC413" w:rsidR="003B4F35" w:rsidRPr="0033747D" w:rsidRDefault="003B4F35" w:rsidP="00322C5E">
      <w:pPr>
        <w:pStyle w:val="Heading2"/>
      </w:pPr>
      <w:bookmarkStart w:id="8" w:name="_Underlying_causes_of"/>
      <w:bookmarkStart w:id="9" w:name="redflags"/>
      <w:bookmarkStart w:id="10" w:name="_Toc36120115"/>
      <w:bookmarkEnd w:id="8"/>
      <w:bookmarkEnd w:id="9"/>
      <w:r w:rsidRPr="0033747D">
        <w:t>Underlying causes of acute behavioural disturbance</w:t>
      </w:r>
      <w:bookmarkEnd w:id="10"/>
      <w:r w:rsidRPr="0033747D">
        <w:t xml:space="preserve"> </w:t>
      </w:r>
    </w:p>
    <w:p w14:paraId="285E851E" w14:textId="77777777" w:rsidR="00D1174C" w:rsidRDefault="003B4F35" w:rsidP="00743826">
      <w:pPr>
        <w:pStyle w:val="Normalfollowingheading"/>
      </w:pPr>
      <w:r w:rsidRPr="0033747D">
        <w:t xml:space="preserve">Consider the underlying causes of acute behavioural disturbance in Table 3. Some underlying causes can be serious and possibly life threatening. </w:t>
      </w:r>
    </w:p>
    <w:p w14:paraId="46AA8D92" w14:textId="1C4B7BBB" w:rsidR="003B4F35" w:rsidRDefault="003B4F35" w:rsidP="00743826">
      <w:pPr>
        <w:pStyle w:val="Normalfollowingheading"/>
      </w:pPr>
      <w:r w:rsidRPr="0033747D">
        <w:t xml:space="preserve">These require immediate intervention and can be identified by these ‘red flag indicators’: </w:t>
      </w:r>
    </w:p>
    <w:p w14:paraId="36EE35F9" w14:textId="77777777" w:rsidR="003B4F35" w:rsidRPr="0033747D" w:rsidRDefault="003B4F35" w:rsidP="00322C5E">
      <w:pPr>
        <w:pStyle w:val="Bullet1"/>
      </w:pPr>
      <w:r w:rsidRPr="0033747D">
        <w:t>first episode of acute behavioural disturbance in a person aged 45 years or older</w:t>
      </w:r>
    </w:p>
    <w:p w14:paraId="6B995C3C" w14:textId="77777777" w:rsidR="003B4F35" w:rsidRPr="0033747D" w:rsidRDefault="003B4F35" w:rsidP="00322C5E">
      <w:pPr>
        <w:pStyle w:val="Bullet1"/>
      </w:pPr>
      <w:r w:rsidRPr="0033747D">
        <w:t>abnormal vital signs</w:t>
      </w:r>
    </w:p>
    <w:p w14:paraId="75744E46" w14:textId="77777777" w:rsidR="003B4F35" w:rsidRPr="0033747D" w:rsidRDefault="003B4F35" w:rsidP="00322C5E">
      <w:pPr>
        <w:pStyle w:val="Bullet1"/>
      </w:pPr>
      <w:r w:rsidRPr="0033747D">
        <w:t>evidence of a head injury</w:t>
      </w:r>
    </w:p>
    <w:p w14:paraId="09EBC39A" w14:textId="77777777" w:rsidR="003B4F35" w:rsidRPr="0033747D" w:rsidRDefault="003B4F35" w:rsidP="00322C5E">
      <w:pPr>
        <w:pStyle w:val="Bullet1"/>
      </w:pPr>
      <w:r w:rsidRPr="0033747D">
        <w:t>focal neurologic findings</w:t>
      </w:r>
    </w:p>
    <w:p w14:paraId="34BB9B46" w14:textId="4E3D2F46" w:rsidR="003B4F35" w:rsidRPr="0033747D" w:rsidRDefault="003B4F35" w:rsidP="00322C5E">
      <w:pPr>
        <w:pStyle w:val="Bullet1"/>
      </w:pPr>
      <w:r w:rsidRPr="0033747D">
        <w:t>decreased awareness with difficulty paying attention</w:t>
      </w:r>
    </w:p>
    <w:p w14:paraId="1C40AC57" w14:textId="1EDB0EC8" w:rsidR="003B4F35" w:rsidRDefault="003B4F35" w:rsidP="00322C5E">
      <w:pPr>
        <w:pStyle w:val="Bullet1"/>
      </w:pPr>
      <w:r w:rsidRPr="0033747D">
        <w:t>substance withdrawal</w:t>
      </w:r>
      <w:r w:rsidR="0010501E">
        <w:t xml:space="preserve"> or intoxication</w:t>
      </w:r>
    </w:p>
    <w:p w14:paraId="54D2CA00" w14:textId="0F39E92B" w:rsidR="00B11344" w:rsidRPr="0033747D" w:rsidRDefault="00B11344" w:rsidP="00322C5E">
      <w:pPr>
        <w:pStyle w:val="Bullet1"/>
      </w:pPr>
      <w:r>
        <w:lastRenderedPageBreak/>
        <w:t>no clear trigger for behaviour in people with intellectual disability or autism</w:t>
      </w:r>
    </w:p>
    <w:p w14:paraId="78204C42" w14:textId="77777777" w:rsidR="003B4F35" w:rsidRPr="0033747D" w:rsidRDefault="003B4F35" w:rsidP="00322C5E">
      <w:pPr>
        <w:pStyle w:val="Bullet1"/>
      </w:pPr>
      <w:r w:rsidRPr="0033747D">
        <w:t>exposure to toxins</w:t>
      </w:r>
      <w:r w:rsidR="0010501E">
        <w:t>.</w:t>
      </w:r>
    </w:p>
    <w:p w14:paraId="4C1E8E16" w14:textId="15CE5DD1" w:rsidR="003B4F35" w:rsidRPr="00B11344" w:rsidRDefault="003B4F35" w:rsidP="00743826">
      <w:pPr>
        <w:rPr>
          <w:rFonts w:eastAsia="Times New Roman" w:cs="Calibri"/>
          <w:spacing w:val="2"/>
          <w:sz w:val="2"/>
          <w:szCs w:val="2"/>
        </w:rPr>
      </w:pPr>
      <w:r w:rsidRPr="0033747D">
        <w:t>Medical investigations are not routinely indicated. However, when safe and appropriate always obtain a:</w:t>
      </w:r>
    </w:p>
    <w:p w14:paraId="4B3DC1E6" w14:textId="77777777" w:rsidR="003B4F35" w:rsidRPr="001B23B9" w:rsidRDefault="003B4F35" w:rsidP="00322C5E">
      <w:pPr>
        <w:pStyle w:val="Bullet1"/>
      </w:pPr>
      <w:r w:rsidRPr="001B23B9">
        <w:t>detailed history</w:t>
      </w:r>
    </w:p>
    <w:p w14:paraId="1B448194" w14:textId="77777777" w:rsidR="003B4F35" w:rsidRPr="001B23B9" w:rsidRDefault="003B4F35" w:rsidP="00322C5E">
      <w:pPr>
        <w:pStyle w:val="Bullet1"/>
      </w:pPr>
      <w:r w:rsidRPr="001B23B9">
        <w:t>physical examination, at an appropriate and safe time</w:t>
      </w:r>
    </w:p>
    <w:p w14:paraId="2E2BC942" w14:textId="77777777" w:rsidR="003B4F35" w:rsidRPr="001B23B9" w:rsidRDefault="003B4F35" w:rsidP="00322C5E">
      <w:pPr>
        <w:pStyle w:val="Bullet1"/>
      </w:pPr>
      <w:r w:rsidRPr="001B23B9">
        <w:t>set of vital signs (heart rate, respiratory rate, blood pressure, temperature, conscious state)</w:t>
      </w:r>
    </w:p>
    <w:p w14:paraId="60D4AF2F" w14:textId="77777777" w:rsidR="00B11FBB" w:rsidRPr="001B23B9" w:rsidRDefault="003B4F35" w:rsidP="00322C5E">
      <w:pPr>
        <w:pStyle w:val="Bullet1"/>
      </w:pPr>
      <w:r w:rsidRPr="001B23B9">
        <w:t>blood sugar level.</w:t>
      </w:r>
    </w:p>
    <w:p w14:paraId="5A517F7B" w14:textId="40044866" w:rsidR="003B4F35" w:rsidRPr="0033747D" w:rsidRDefault="003B4F35" w:rsidP="00322C5E">
      <w:pPr>
        <w:pStyle w:val="Tablechartdiagramheading"/>
      </w:pPr>
      <w:r w:rsidRPr="0033747D">
        <w:t xml:space="preserve">Table </w:t>
      </w:r>
      <w:fldSimple w:instr=" SEQ Table \* ARABIC ">
        <w:r w:rsidR="00116296">
          <w:rPr>
            <w:noProof/>
          </w:rPr>
          <w:t>3</w:t>
        </w:r>
      </w:fldSimple>
      <w:r w:rsidRPr="0033747D">
        <w:rPr>
          <w:noProof/>
        </w:rPr>
        <w:t>:</w:t>
      </w:r>
      <w:r w:rsidRPr="0033747D">
        <w:t xml:space="preserve"> Possible underlying causes of acute behavioural disturbance</w:t>
      </w:r>
    </w:p>
    <w:tbl>
      <w:tblPr>
        <w:tblStyle w:val="TableGrid"/>
        <w:tblW w:w="0" w:type="auto"/>
        <w:tblLook w:val="0420" w:firstRow="1" w:lastRow="0" w:firstColumn="0" w:lastColumn="0" w:noHBand="0" w:noVBand="1"/>
      </w:tblPr>
      <w:tblGrid>
        <w:gridCol w:w="2520"/>
        <w:gridCol w:w="2867"/>
        <w:gridCol w:w="2173"/>
        <w:gridCol w:w="2520"/>
      </w:tblGrid>
      <w:tr w:rsidR="003B4F35" w:rsidRPr="00673125" w14:paraId="4A3F160F" w14:textId="77777777" w:rsidTr="00673125">
        <w:trPr>
          <w:cnfStyle w:val="100000000000" w:firstRow="1" w:lastRow="0" w:firstColumn="0" w:lastColumn="0" w:oddVBand="0" w:evenVBand="0" w:oddHBand="0" w:evenHBand="0" w:firstRowFirstColumn="0" w:firstRowLastColumn="0" w:lastRowFirstColumn="0" w:lastRowLastColumn="0"/>
          <w:tblHeader/>
        </w:trPr>
        <w:tc>
          <w:tcPr>
            <w:tcW w:w="2520" w:type="dxa"/>
          </w:tcPr>
          <w:p w14:paraId="0394709F" w14:textId="77777777" w:rsidR="003B4F35" w:rsidRPr="00673125" w:rsidRDefault="003B4F35" w:rsidP="00743826">
            <w:r w:rsidRPr="00673125">
              <w:t>Non-medical</w:t>
            </w:r>
          </w:p>
        </w:tc>
        <w:tc>
          <w:tcPr>
            <w:tcW w:w="2867" w:type="dxa"/>
          </w:tcPr>
          <w:p w14:paraId="70B13C8E" w14:textId="77777777" w:rsidR="003B4F35" w:rsidRPr="00673125" w:rsidRDefault="003B4F35" w:rsidP="00743826">
            <w:r w:rsidRPr="00673125">
              <w:t>General medical</w:t>
            </w:r>
          </w:p>
        </w:tc>
        <w:tc>
          <w:tcPr>
            <w:tcW w:w="2173" w:type="dxa"/>
          </w:tcPr>
          <w:p w14:paraId="5A6D07A6" w14:textId="77777777" w:rsidR="003B4F35" w:rsidRPr="00673125" w:rsidRDefault="003B4F35" w:rsidP="00743826">
            <w:r w:rsidRPr="00673125">
              <w:t>Psychiatric</w:t>
            </w:r>
          </w:p>
        </w:tc>
        <w:tc>
          <w:tcPr>
            <w:tcW w:w="2520" w:type="dxa"/>
          </w:tcPr>
          <w:p w14:paraId="23CB5315" w14:textId="77777777" w:rsidR="003B4F35" w:rsidRPr="00673125" w:rsidRDefault="003B4F35" w:rsidP="00743826">
            <w:r w:rsidRPr="00673125">
              <w:t>Intoxication or withdrawal</w:t>
            </w:r>
          </w:p>
        </w:tc>
      </w:tr>
      <w:tr w:rsidR="003B4F35" w:rsidRPr="00673125" w14:paraId="0D39CF23" w14:textId="77777777" w:rsidTr="00673125">
        <w:tc>
          <w:tcPr>
            <w:tcW w:w="2520" w:type="dxa"/>
          </w:tcPr>
          <w:p w14:paraId="713E1796" w14:textId="77777777" w:rsidR="003B4F35" w:rsidRPr="00673125" w:rsidRDefault="003B4F35" w:rsidP="00743826">
            <w:pPr>
              <w:pStyle w:val="Tablebullet"/>
            </w:pPr>
            <w:r w:rsidRPr="00673125">
              <w:t>Relationship conflict</w:t>
            </w:r>
          </w:p>
          <w:p w14:paraId="761BC309" w14:textId="77777777" w:rsidR="003B4F35" w:rsidRPr="00673125" w:rsidRDefault="003B4F35" w:rsidP="00743826">
            <w:pPr>
              <w:pStyle w:val="Tablebullet"/>
            </w:pPr>
            <w:r w:rsidRPr="00673125">
              <w:t>Anniversaries of past traumatic events</w:t>
            </w:r>
          </w:p>
          <w:p w14:paraId="22161FB1" w14:textId="77777777" w:rsidR="003B4F35" w:rsidRPr="00673125" w:rsidRDefault="003B4F35" w:rsidP="00743826">
            <w:pPr>
              <w:pStyle w:val="Tablebullet"/>
            </w:pPr>
            <w:r w:rsidRPr="00673125">
              <w:t>Interactions with police or security staff</w:t>
            </w:r>
          </w:p>
          <w:p w14:paraId="45CA80AC" w14:textId="14AD4174" w:rsidR="003B4F35" w:rsidRPr="00673125" w:rsidRDefault="00DF4040" w:rsidP="00743826">
            <w:pPr>
              <w:pStyle w:val="Tablebullet"/>
            </w:pPr>
            <w:r w:rsidRPr="00673125">
              <w:t>Distress experienced by people with intellectual disability or autism</w:t>
            </w:r>
          </w:p>
          <w:p w14:paraId="04B7293E" w14:textId="77777777" w:rsidR="003B4F35" w:rsidRPr="00673125" w:rsidRDefault="003B4F35" w:rsidP="00743826">
            <w:pPr>
              <w:pStyle w:val="Tablebullet"/>
            </w:pPr>
            <w:r w:rsidRPr="00673125">
              <w:t xml:space="preserve">Family violence </w:t>
            </w:r>
          </w:p>
          <w:p w14:paraId="01B5F270" w14:textId="77777777" w:rsidR="003B4F35" w:rsidRPr="00673125" w:rsidRDefault="003B4F35" w:rsidP="00743826">
            <w:pPr>
              <w:pStyle w:val="Tablebullet"/>
            </w:pPr>
            <w:r w:rsidRPr="00673125">
              <w:t>Prehospital care</w:t>
            </w:r>
          </w:p>
        </w:tc>
        <w:tc>
          <w:tcPr>
            <w:tcW w:w="2867" w:type="dxa"/>
          </w:tcPr>
          <w:p w14:paraId="3C226E08" w14:textId="77777777" w:rsidR="003B4F35" w:rsidRPr="00673125" w:rsidRDefault="003B4F35" w:rsidP="00743826">
            <w:pPr>
              <w:pStyle w:val="Tablebullet"/>
            </w:pPr>
            <w:r w:rsidRPr="00673125">
              <w:t>Head trauma</w:t>
            </w:r>
          </w:p>
          <w:p w14:paraId="0FE3FD5B" w14:textId="77777777" w:rsidR="003B4F35" w:rsidRPr="00673125" w:rsidRDefault="003B4F35" w:rsidP="00743826">
            <w:pPr>
              <w:pStyle w:val="Tablebullet"/>
            </w:pPr>
            <w:r w:rsidRPr="00673125">
              <w:t>Encephalitis, meningitis or other infection</w:t>
            </w:r>
          </w:p>
          <w:p w14:paraId="387B4B60" w14:textId="77777777" w:rsidR="003B4F35" w:rsidRPr="00673125" w:rsidRDefault="003B4F35" w:rsidP="00743826">
            <w:pPr>
              <w:pStyle w:val="Tablebullet"/>
            </w:pPr>
            <w:r w:rsidRPr="00673125">
              <w:t>Encephalopathy, particularly from liver or renal failure</w:t>
            </w:r>
          </w:p>
          <w:p w14:paraId="6D076801" w14:textId="77777777" w:rsidR="003B4F35" w:rsidRPr="00673125" w:rsidRDefault="003B4F35" w:rsidP="00743826">
            <w:pPr>
              <w:pStyle w:val="Tablebullet"/>
            </w:pPr>
            <w:r w:rsidRPr="00673125">
              <w:t>Toxins, including prescription medication</w:t>
            </w:r>
          </w:p>
          <w:p w14:paraId="502DEF2A" w14:textId="77777777" w:rsidR="003B4F35" w:rsidRPr="00673125" w:rsidRDefault="003B4F35" w:rsidP="00743826">
            <w:pPr>
              <w:pStyle w:val="Tablebullet"/>
            </w:pPr>
            <w:r w:rsidRPr="00673125">
              <w:t>Metabolic derangement e.g. hyponatraemia</w:t>
            </w:r>
          </w:p>
          <w:p w14:paraId="0D3D0164" w14:textId="77777777" w:rsidR="003B4F35" w:rsidRPr="00673125" w:rsidRDefault="003B4F35" w:rsidP="00743826">
            <w:pPr>
              <w:pStyle w:val="Tablebullet"/>
            </w:pPr>
            <w:r w:rsidRPr="00673125">
              <w:t>Hypoxia</w:t>
            </w:r>
          </w:p>
          <w:p w14:paraId="786B18B7" w14:textId="77777777" w:rsidR="003B4F35" w:rsidRPr="00673125" w:rsidRDefault="003B4F35" w:rsidP="00743826">
            <w:pPr>
              <w:pStyle w:val="Tablebullet"/>
            </w:pPr>
            <w:r w:rsidRPr="00673125">
              <w:t>Thyroid disease</w:t>
            </w:r>
          </w:p>
          <w:p w14:paraId="3FA017F2" w14:textId="77777777" w:rsidR="003B4F35" w:rsidRPr="00673125" w:rsidRDefault="003B4F35" w:rsidP="00743826">
            <w:pPr>
              <w:pStyle w:val="Tablebullet"/>
            </w:pPr>
            <w:r w:rsidRPr="00673125">
              <w:t>Seizures or postictal</w:t>
            </w:r>
          </w:p>
          <w:p w14:paraId="7BC3754E" w14:textId="640B4175" w:rsidR="003B4F35" w:rsidRPr="00673125" w:rsidRDefault="003B4F35" w:rsidP="00743826">
            <w:pPr>
              <w:pStyle w:val="Tablebullet"/>
            </w:pPr>
            <w:r w:rsidRPr="00673125">
              <w:t>Pain</w:t>
            </w:r>
            <w:r w:rsidR="00B11344" w:rsidRPr="00673125">
              <w:t>, especially in people with intellectual disability or autism</w:t>
            </w:r>
          </w:p>
        </w:tc>
        <w:tc>
          <w:tcPr>
            <w:tcW w:w="2173" w:type="dxa"/>
          </w:tcPr>
          <w:p w14:paraId="14781BBD" w14:textId="77777777" w:rsidR="003B4F35" w:rsidRPr="00673125" w:rsidRDefault="003B4F35" w:rsidP="00743826">
            <w:pPr>
              <w:pStyle w:val="Tablebullet"/>
            </w:pPr>
            <w:r w:rsidRPr="00673125">
              <w:t>Psychotic disorders</w:t>
            </w:r>
          </w:p>
          <w:p w14:paraId="5ECCD270" w14:textId="77777777" w:rsidR="003B4F35" w:rsidRPr="00673125" w:rsidRDefault="003B4F35" w:rsidP="00743826">
            <w:pPr>
              <w:pStyle w:val="Tablebullet"/>
            </w:pPr>
            <w:r w:rsidRPr="00673125">
              <w:t>Mania</w:t>
            </w:r>
          </w:p>
          <w:p w14:paraId="72B1F60A" w14:textId="77777777" w:rsidR="003B4F35" w:rsidRPr="00673125" w:rsidRDefault="003B4F35" w:rsidP="00743826">
            <w:pPr>
              <w:pStyle w:val="Tablebullet"/>
            </w:pPr>
            <w:r w:rsidRPr="00673125">
              <w:t>Agitated depression</w:t>
            </w:r>
          </w:p>
          <w:p w14:paraId="3038D84B" w14:textId="77777777" w:rsidR="003B4F35" w:rsidRPr="00673125" w:rsidRDefault="003B4F35" w:rsidP="00743826">
            <w:pPr>
              <w:pStyle w:val="Tablebullet"/>
            </w:pPr>
            <w:r w:rsidRPr="00673125">
              <w:t>Anxiety disorders</w:t>
            </w:r>
          </w:p>
          <w:p w14:paraId="0FCE7610" w14:textId="77777777" w:rsidR="0010501E" w:rsidRPr="00673125" w:rsidRDefault="0010501E" w:rsidP="00743826">
            <w:pPr>
              <w:pStyle w:val="Tablebullet"/>
            </w:pPr>
            <w:r w:rsidRPr="00673125">
              <w:t>Personality disorders</w:t>
            </w:r>
          </w:p>
        </w:tc>
        <w:tc>
          <w:tcPr>
            <w:tcW w:w="2520" w:type="dxa"/>
          </w:tcPr>
          <w:p w14:paraId="7E93FBDB" w14:textId="3691F267" w:rsidR="003B4F35" w:rsidRDefault="003B4F35" w:rsidP="00743826">
            <w:pPr>
              <w:pStyle w:val="Tablebullet"/>
            </w:pPr>
            <w:r w:rsidRPr="00673125">
              <w:t>Alcohol</w:t>
            </w:r>
          </w:p>
          <w:p w14:paraId="180D239A" w14:textId="4B1B77AD" w:rsidR="002371CD" w:rsidRPr="00673125" w:rsidRDefault="002371CD" w:rsidP="00743826">
            <w:pPr>
              <w:pStyle w:val="Tablebullet"/>
            </w:pPr>
            <w:r w:rsidRPr="00673125">
              <w:t>Nicotine</w:t>
            </w:r>
          </w:p>
          <w:p w14:paraId="0E31FBAB" w14:textId="7EDD26CC" w:rsidR="003B4F35" w:rsidRPr="00673125" w:rsidRDefault="001A1647" w:rsidP="00743826">
            <w:pPr>
              <w:pStyle w:val="Tablebullet"/>
            </w:pPr>
            <w:r w:rsidRPr="00673125">
              <w:t>CNS s</w:t>
            </w:r>
            <w:r w:rsidR="003B4F35" w:rsidRPr="00673125">
              <w:t>timulants e.g. cocaine, amphetamine-type substances</w:t>
            </w:r>
          </w:p>
          <w:p w14:paraId="052649C3" w14:textId="2D651503" w:rsidR="001A1647" w:rsidRPr="00673125" w:rsidRDefault="001A1647" w:rsidP="00743826">
            <w:pPr>
              <w:pStyle w:val="Tablebullet"/>
            </w:pPr>
            <w:r w:rsidRPr="00673125">
              <w:t>CNS depressants e.g. GHB, benzodiazepines, opioids</w:t>
            </w:r>
          </w:p>
          <w:p w14:paraId="19E3E743" w14:textId="5D90BCF0" w:rsidR="00083E77" w:rsidRPr="00673125" w:rsidRDefault="00083E77" w:rsidP="00743826">
            <w:pPr>
              <w:pStyle w:val="Tablebullet"/>
            </w:pPr>
            <w:r w:rsidRPr="00673125">
              <w:t>Novel psychoactive substances</w:t>
            </w:r>
            <w:r w:rsidR="00D9709F" w:rsidRPr="00673125">
              <w:t xml:space="preserve"> e.g. synthetic cannabinoids</w:t>
            </w:r>
          </w:p>
          <w:p w14:paraId="57E87E15" w14:textId="69F69683" w:rsidR="002450DC" w:rsidRPr="002371CD" w:rsidRDefault="003B4F35" w:rsidP="00743826">
            <w:pPr>
              <w:pStyle w:val="Tablebullet"/>
            </w:pPr>
            <w:r w:rsidRPr="00673125">
              <w:t>Hallucinogens</w:t>
            </w:r>
            <w:r w:rsidR="00435DF6" w:rsidRPr="00673125">
              <w:t xml:space="preserve"> and </w:t>
            </w:r>
            <w:proofErr w:type="spellStart"/>
            <w:r w:rsidR="00435DF6" w:rsidRPr="00673125">
              <w:t>dissociatives</w:t>
            </w:r>
            <w:proofErr w:type="spellEnd"/>
            <w:r w:rsidRPr="00673125">
              <w:t xml:space="preserve"> e.g. LSD, magic mushrooms</w:t>
            </w:r>
          </w:p>
        </w:tc>
      </w:tr>
    </w:tbl>
    <w:p w14:paraId="7DCC390B" w14:textId="77777777" w:rsidR="003B4F35" w:rsidRPr="00673125" w:rsidRDefault="003B4F35" w:rsidP="00743826">
      <w:pPr>
        <w:rPr>
          <w:rFonts w:eastAsiaTheme="majorEastAsia" w:cstheme="majorBidi"/>
          <w:color w:val="007586" w:themeColor="text2"/>
        </w:rPr>
      </w:pPr>
      <w:r w:rsidRPr="00673125">
        <w:br w:type="page"/>
      </w:r>
    </w:p>
    <w:p w14:paraId="1EB55834" w14:textId="77777777" w:rsidR="003B4F35" w:rsidRPr="00A96717" w:rsidRDefault="00A96717" w:rsidP="00322C5E">
      <w:pPr>
        <w:pStyle w:val="Heading1"/>
        <w:framePr w:wrap="around"/>
      </w:pPr>
      <w:bookmarkStart w:id="11" w:name="_Toc36120116"/>
      <w:r w:rsidRPr="00A96717">
        <w:lastRenderedPageBreak/>
        <w:t>2. Transition from prehospital care</w:t>
      </w:r>
      <w:bookmarkEnd w:id="11"/>
    </w:p>
    <w:p w14:paraId="56AD506C" w14:textId="2220D500" w:rsidR="00731C0D" w:rsidRPr="00731C0D" w:rsidRDefault="00731C0D" w:rsidP="00743826">
      <w:r w:rsidRPr="00731C0D">
        <w:t>This section applies if the person displaying acute behavioural disturbance has received prehospital care such as from paramedics, police or a community treatment team.</w:t>
      </w:r>
    </w:p>
    <w:p w14:paraId="2E058A73" w14:textId="58913BBB" w:rsidR="00A96717" w:rsidRPr="00A96717" w:rsidRDefault="00A96717" w:rsidP="00322C5E">
      <w:pPr>
        <w:pStyle w:val="Heading2"/>
      </w:pPr>
      <w:bookmarkStart w:id="12" w:name="_Toc36120117"/>
      <w:r w:rsidRPr="00A96717">
        <w:t>Pre-arrival notification</w:t>
      </w:r>
      <w:bookmarkEnd w:id="12"/>
    </w:p>
    <w:p w14:paraId="259D232A" w14:textId="77777777" w:rsidR="00A96717" w:rsidRPr="00A96717" w:rsidRDefault="00A96717" w:rsidP="00743826">
      <w:pPr>
        <w:pStyle w:val="Normalfollowingheading"/>
      </w:pPr>
      <w:r w:rsidRPr="00A96717">
        <w:t xml:space="preserve">Anticipate pre-arrival notification from prehospital care providers if the person they are transporting is: </w:t>
      </w:r>
    </w:p>
    <w:p w14:paraId="185ABD61" w14:textId="77777777" w:rsidR="00A96717" w:rsidRPr="00A96717" w:rsidRDefault="00A96717" w:rsidP="00322C5E">
      <w:pPr>
        <w:pStyle w:val="Bullet1"/>
      </w:pPr>
      <w:r w:rsidRPr="00A96717">
        <w:t>agitated, with a SAT score above zero</w:t>
      </w:r>
    </w:p>
    <w:p w14:paraId="6C1FF1C6" w14:textId="77777777" w:rsidR="00A96717" w:rsidRPr="00A96717" w:rsidRDefault="00A96717" w:rsidP="00322C5E">
      <w:pPr>
        <w:pStyle w:val="Bullet1"/>
      </w:pPr>
      <w:r w:rsidRPr="00A96717">
        <w:t>escorted by police</w:t>
      </w:r>
    </w:p>
    <w:p w14:paraId="208B3A55" w14:textId="77777777" w:rsidR="00A96717" w:rsidRPr="00A96717" w:rsidRDefault="00A96717" w:rsidP="00322C5E">
      <w:pPr>
        <w:pStyle w:val="Bullet1"/>
      </w:pPr>
      <w:r w:rsidRPr="00A96717">
        <w:t>sedated with parenteral medication</w:t>
      </w:r>
    </w:p>
    <w:p w14:paraId="18499D08" w14:textId="77777777" w:rsidR="00A96717" w:rsidRPr="00A96717" w:rsidRDefault="00A96717" w:rsidP="00322C5E">
      <w:pPr>
        <w:pStyle w:val="Bullet1"/>
      </w:pPr>
      <w:r w:rsidRPr="00A96717">
        <w:t>physically or mechanically restrained.</w:t>
      </w:r>
    </w:p>
    <w:p w14:paraId="5B1A00B0" w14:textId="77777777" w:rsidR="00A96717" w:rsidRPr="00A96717" w:rsidRDefault="00A96717" w:rsidP="00322C5E">
      <w:pPr>
        <w:pStyle w:val="Heading2"/>
      </w:pPr>
      <w:bookmarkStart w:id="13" w:name="_Toc36120118"/>
      <w:r w:rsidRPr="00A96717">
        <w:t>Preparing for arrival</w:t>
      </w:r>
      <w:bookmarkEnd w:id="13"/>
      <w:r w:rsidRPr="00A96717">
        <w:t xml:space="preserve"> </w:t>
      </w:r>
    </w:p>
    <w:p w14:paraId="0F995667" w14:textId="77777777" w:rsidR="00A96717" w:rsidRPr="00A96717" w:rsidRDefault="00A96717" w:rsidP="00322C5E">
      <w:pPr>
        <w:pStyle w:val="Bullet1"/>
      </w:pPr>
      <w:r w:rsidRPr="00A96717">
        <w:t xml:space="preserve">Allocate a safe and private care space that minimises interruptions. Use a BAR if available. </w:t>
      </w:r>
    </w:p>
    <w:p w14:paraId="08946791" w14:textId="5560EED4" w:rsidR="00A96717" w:rsidRPr="00A96717" w:rsidRDefault="00A96717" w:rsidP="00322C5E">
      <w:pPr>
        <w:pStyle w:val="Bullet1"/>
      </w:pPr>
      <w:r w:rsidRPr="00A96717">
        <w:t>Assemble a team of adequately skilled and trained staff to receive care of the person. This</w:t>
      </w:r>
      <w:r w:rsidR="008C0FAE">
        <w:t xml:space="preserve"> will vary with local resources but</w:t>
      </w:r>
      <w:r w:rsidRPr="00A96717">
        <w:t xml:space="preserve"> may include:</w:t>
      </w:r>
    </w:p>
    <w:p w14:paraId="4659F3B4" w14:textId="551CBF3E" w:rsidR="008C0FAE" w:rsidRDefault="008C0FAE" w:rsidP="00322C5E">
      <w:pPr>
        <w:pStyle w:val="Bullet2"/>
      </w:pPr>
      <w:r>
        <w:t xml:space="preserve">staff who are part of your health service’s code grey response  </w:t>
      </w:r>
    </w:p>
    <w:p w14:paraId="4055D75B" w14:textId="7177402A" w:rsidR="00A96717" w:rsidRPr="00A96717" w:rsidRDefault="00A96717" w:rsidP="00322C5E">
      <w:pPr>
        <w:pStyle w:val="Bullet2"/>
      </w:pPr>
      <w:r w:rsidRPr="00A96717">
        <w:t xml:space="preserve">senior medical staff </w:t>
      </w:r>
    </w:p>
    <w:p w14:paraId="383381F2" w14:textId="06E58D7D" w:rsidR="00A96717" w:rsidRPr="00A96717" w:rsidRDefault="00A96717" w:rsidP="00322C5E">
      <w:pPr>
        <w:pStyle w:val="Bullet2"/>
      </w:pPr>
      <w:r w:rsidRPr="00A96717">
        <w:t xml:space="preserve">senior nursing staff </w:t>
      </w:r>
    </w:p>
    <w:p w14:paraId="2B0CEA1F" w14:textId="77777777" w:rsidR="00A96717" w:rsidRPr="00A96717" w:rsidRDefault="00A96717" w:rsidP="00322C5E">
      <w:pPr>
        <w:pStyle w:val="Bullet2"/>
      </w:pPr>
      <w:r w:rsidRPr="00A96717">
        <w:t>nursing staff</w:t>
      </w:r>
    </w:p>
    <w:p w14:paraId="297E6C7F" w14:textId="7D786E28" w:rsidR="00A96717" w:rsidRPr="00A96717" w:rsidRDefault="00A96717" w:rsidP="00322C5E">
      <w:pPr>
        <w:pStyle w:val="Bullet2"/>
      </w:pPr>
      <w:r w:rsidRPr="00A96717">
        <w:t>mental health clinician</w:t>
      </w:r>
      <w:r w:rsidR="00D34D32">
        <w:t>s</w:t>
      </w:r>
    </w:p>
    <w:p w14:paraId="721517AE" w14:textId="77777777" w:rsidR="00A96717" w:rsidRPr="00A96717" w:rsidRDefault="00A96717" w:rsidP="00322C5E">
      <w:pPr>
        <w:pStyle w:val="Bullet2"/>
      </w:pPr>
      <w:r w:rsidRPr="00A96717">
        <w:t>security staff.</w:t>
      </w:r>
    </w:p>
    <w:p w14:paraId="2E3A5C5B" w14:textId="77777777" w:rsidR="00A96717" w:rsidRPr="00A96717" w:rsidRDefault="00A96717" w:rsidP="00322C5E">
      <w:pPr>
        <w:pStyle w:val="Bullet1"/>
      </w:pPr>
      <w:r w:rsidRPr="00A96717">
        <w:t xml:space="preserve">Allocate roles for team members, including </w:t>
      </w:r>
      <w:r w:rsidRPr="00A96717">
        <w:rPr>
          <w:b/>
        </w:rPr>
        <w:t>one person</w:t>
      </w:r>
      <w:r w:rsidRPr="00A96717">
        <w:t xml:space="preserve"> as lead communicator.</w:t>
      </w:r>
    </w:p>
    <w:p w14:paraId="0FF5E980" w14:textId="77777777" w:rsidR="00A96717" w:rsidRPr="00A96717" w:rsidRDefault="00A96717" w:rsidP="00322C5E">
      <w:pPr>
        <w:pStyle w:val="Bullet1"/>
      </w:pPr>
      <w:r w:rsidRPr="00A96717">
        <w:t>Discuss and prepare de-escalation strategies.</w:t>
      </w:r>
    </w:p>
    <w:p w14:paraId="680B9031" w14:textId="77777777" w:rsidR="00A96717" w:rsidRPr="00A96717" w:rsidRDefault="00A96717" w:rsidP="00322C5E">
      <w:pPr>
        <w:pStyle w:val="Bullet1"/>
      </w:pPr>
      <w:r w:rsidRPr="00A96717">
        <w:t>Discuss and prepare to meet the person’s unique needs such as sensory items, gender identity, cultural identity and language preference.</w:t>
      </w:r>
    </w:p>
    <w:p w14:paraId="1EA78696" w14:textId="77777777" w:rsidR="00A96717" w:rsidRPr="00A96717" w:rsidRDefault="00A96717" w:rsidP="00322C5E">
      <w:pPr>
        <w:pStyle w:val="Bullet1"/>
      </w:pPr>
      <w:r w:rsidRPr="00A96717">
        <w:t>Prepare any medications that might be needed for urgent sedation after clinical assessment.</w:t>
      </w:r>
    </w:p>
    <w:p w14:paraId="1BE2F9B8" w14:textId="2FE52982" w:rsidR="00A96717" w:rsidRPr="00A96717" w:rsidRDefault="00A96717" w:rsidP="00322C5E">
      <w:pPr>
        <w:pStyle w:val="Bullet1"/>
      </w:pPr>
      <w:r w:rsidRPr="00A96717">
        <w:t>Ensure that emergency resuscitation</w:t>
      </w:r>
      <w:r w:rsidR="009001A2">
        <w:t xml:space="preserve"> equipment</w:t>
      </w:r>
      <w:r w:rsidRPr="00A96717">
        <w:t xml:space="preserve"> is readily available and </w:t>
      </w:r>
      <w:r w:rsidR="009001A2">
        <w:t>in working order</w:t>
      </w:r>
      <w:r w:rsidRPr="00A96717">
        <w:t xml:space="preserve">. </w:t>
      </w:r>
    </w:p>
    <w:p w14:paraId="6D92B76C" w14:textId="77777777" w:rsidR="00A96717" w:rsidRPr="00A96717" w:rsidRDefault="00A96717" w:rsidP="00322C5E">
      <w:pPr>
        <w:pStyle w:val="Bullet1"/>
      </w:pPr>
      <w:r w:rsidRPr="00A96717">
        <w:t xml:space="preserve">If you reasonably think it may be required, ensure equipment for physical or mechanical restraint is available and in working order. Do not have this visible to the person. </w:t>
      </w:r>
    </w:p>
    <w:p w14:paraId="30939130" w14:textId="4AE1A077" w:rsidR="00A96717" w:rsidRDefault="00A96717" w:rsidP="00322C5E">
      <w:pPr>
        <w:pStyle w:val="Bullet1"/>
      </w:pPr>
      <w:r w:rsidRPr="00A96717">
        <w:t>Access medical records, advance statements and wellness plans, including from external systems such as the CMI and My Health Record.</w:t>
      </w:r>
    </w:p>
    <w:p w14:paraId="4CD5C122" w14:textId="61701544" w:rsidR="008C0FAE" w:rsidRPr="00A96717" w:rsidRDefault="008C0FAE" w:rsidP="00322C5E">
      <w:pPr>
        <w:pStyle w:val="Bullet1"/>
      </w:pPr>
      <w:r>
        <w:t>Consider if a planned code grey response is needed, according to your health service’s procedures.</w:t>
      </w:r>
    </w:p>
    <w:p w14:paraId="2835A818" w14:textId="77777777" w:rsidR="006A0A41" w:rsidRDefault="006A0A41" w:rsidP="00743826">
      <w:pPr>
        <w:rPr>
          <w:rFonts w:eastAsiaTheme="majorEastAsia" w:cstheme="majorBidi"/>
          <w:color w:val="007586" w:themeColor="text2"/>
          <w:sz w:val="24"/>
          <w:szCs w:val="26"/>
        </w:rPr>
      </w:pPr>
      <w:r>
        <w:br w:type="page"/>
      </w:r>
    </w:p>
    <w:p w14:paraId="2D7E6967" w14:textId="77777777" w:rsidR="00A96717" w:rsidRPr="00A96717" w:rsidRDefault="00A96717" w:rsidP="00322C5E">
      <w:pPr>
        <w:pStyle w:val="Heading2"/>
      </w:pPr>
      <w:bookmarkStart w:id="14" w:name="_Toc36120119"/>
      <w:r w:rsidRPr="00A96717">
        <w:lastRenderedPageBreak/>
        <w:t>Handover and transfer of care</w:t>
      </w:r>
      <w:bookmarkEnd w:id="14"/>
    </w:p>
    <w:p w14:paraId="659E4F3C" w14:textId="77777777" w:rsidR="00A96717" w:rsidRPr="00A96717" w:rsidRDefault="00A96717" w:rsidP="00743826">
      <w:pPr>
        <w:pStyle w:val="Normalfollowingheading"/>
      </w:pPr>
      <w:r w:rsidRPr="00A96717">
        <w:t>When safe to do so, explain the handover process to the person displaying acute behavioural disturbance and invite them to share information at the end of handover.</w:t>
      </w:r>
    </w:p>
    <w:p w14:paraId="0552A131" w14:textId="77777777" w:rsidR="00A96717" w:rsidRPr="00A96717" w:rsidRDefault="00A96717" w:rsidP="00743826">
      <w:r w:rsidRPr="00A96717">
        <w:t>Use a structured handover tool to communicate information between care teams. Include information about:</w:t>
      </w:r>
    </w:p>
    <w:p w14:paraId="4DFE99F6" w14:textId="77777777" w:rsidR="00A96717" w:rsidRPr="00A96717" w:rsidRDefault="00A96717" w:rsidP="00322C5E">
      <w:pPr>
        <w:pStyle w:val="Bullet1"/>
      </w:pPr>
      <w:r w:rsidRPr="00A96717">
        <w:t xml:space="preserve">the precipitating </w:t>
      </w:r>
      <w:proofErr w:type="gramStart"/>
      <w:r w:rsidRPr="00A96717">
        <w:t>event</w:t>
      </w:r>
      <w:proofErr w:type="gramEnd"/>
    </w:p>
    <w:p w14:paraId="3B653EF2" w14:textId="77777777" w:rsidR="00A96717" w:rsidRPr="00A96717" w:rsidRDefault="00A96717" w:rsidP="00322C5E">
      <w:pPr>
        <w:pStyle w:val="Bullet1"/>
      </w:pPr>
      <w:r w:rsidRPr="00A96717">
        <w:t>the person’s wishes for care</w:t>
      </w:r>
    </w:p>
    <w:p w14:paraId="362C95D1" w14:textId="77777777" w:rsidR="00A96717" w:rsidRPr="00A96717" w:rsidRDefault="00A96717" w:rsidP="00322C5E">
      <w:pPr>
        <w:pStyle w:val="Bullet1"/>
      </w:pPr>
      <w:r w:rsidRPr="00A96717">
        <w:t>de-escalation techniques used</w:t>
      </w:r>
    </w:p>
    <w:p w14:paraId="677C4CD6" w14:textId="77777777" w:rsidR="00A96717" w:rsidRPr="00A96717" w:rsidRDefault="00A96717" w:rsidP="00322C5E">
      <w:pPr>
        <w:pStyle w:val="Bullet1"/>
      </w:pPr>
      <w:r w:rsidRPr="00A96717">
        <w:t>the effects of medication given, including SAT score</w:t>
      </w:r>
    </w:p>
    <w:p w14:paraId="269CACBF" w14:textId="77777777" w:rsidR="00A96717" w:rsidRPr="00A96717" w:rsidRDefault="00A96717" w:rsidP="00322C5E">
      <w:pPr>
        <w:pStyle w:val="Bullet1"/>
      </w:pPr>
      <w:r w:rsidRPr="00A96717">
        <w:t>the social situation</w:t>
      </w:r>
    </w:p>
    <w:p w14:paraId="639BF0A7" w14:textId="77777777" w:rsidR="00A96717" w:rsidRPr="00A96717" w:rsidRDefault="00A96717" w:rsidP="00322C5E">
      <w:pPr>
        <w:pStyle w:val="Bullet1"/>
      </w:pPr>
      <w:r w:rsidRPr="00A96717">
        <w:t>members of the person’s network who may positively or negatively affect care</w:t>
      </w:r>
    </w:p>
    <w:p w14:paraId="706C2BA1" w14:textId="77777777" w:rsidR="00A96717" w:rsidRPr="00A96717" w:rsidRDefault="00A96717" w:rsidP="00322C5E">
      <w:pPr>
        <w:pStyle w:val="Bullet1"/>
      </w:pPr>
      <w:r w:rsidRPr="00A96717">
        <w:t>medical, drug and alcohol, mental health and any other relevant history.</w:t>
      </w:r>
    </w:p>
    <w:p w14:paraId="00D2AE16" w14:textId="77777777" w:rsidR="006D0002" w:rsidRPr="00A96717" w:rsidRDefault="00A96717" w:rsidP="00743826">
      <w:r w:rsidRPr="00A96717">
        <w:t>Do not share information with members of the person’s network without consent.</w:t>
      </w:r>
    </w:p>
    <w:p w14:paraId="2D6D395E" w14:textId="77777777" w:rsidR="00A96717" w:rsidRDefault="00A96717" w:rsidP="00743826">
      <w:pPr>
        <w:rPr>
          <w:rFonts w:eastAsia="Times New Roman" w:cs="Calibri"/>
          <w:spacing w:val="2"/>
        </w:rPr>
      </w:pPr>
      <w:r>
        <w:br w:type="page"/>
      </w:r>
    </w:p>
    <w:p w14:paraId="523E878B" w14:textId="77777777" w:rsidR="006D0002" w:rsidRPr="00BA560C" w:rsidRDefault="00BA560C" w:rsidP="00322C5E">
      <w:pPr>
        <w:pStyle w:val="Heading1"/>
        <w:framePr w:wrap="around"/>
      </w:pPr>
      <w:bookmarkStart w:id="15" w:name="_Toc36120120"/>
      <w:r w:rsidRPr="00BA560C">
        <w:lastRenderedPageBreak/>
        <w:t>3. De-escalation</w:t>
      </w:r>
      <w:bookmarkEnd w:id="15"/>
      <w:r w:rsidRPr="00BA560C">
        <w:t xml:space="preserve"> </w:t>
      </w:r>
    </w:p>
    <w:p w14:paraId="188F4BBE" w14:textId="4C596D86" w:rsidR="00251A66" w:rsidRPr="00251A66" w:rsidRDefault="00BA560C" w:rsidP="00743826">
      <w:pPr>
        <w:pStyle w:val="Normalfollowingheading"/>
      </w:pPr>
      <w:r w:rsidRPr="00BA560C">
        <w:t xml:space="preserve">De-escalation is the combination of strategies, techniques and methods to reduce a person’s agitation or aggression. It involves verbal and non-verbal communication, environmental modification and working with the person to find solutions. </w:t>
      </w:r>
      <w:r w:rsidR="00251A66">
        <w:t>Begin</w:t>
      </w:r>
      <w:r w:rsidR="00731C0D">
        <w:t xml:space="preserve"> de-escalation </w:t>
      </w:r>
      <w:r w:rsidR="00731C0D">
        <w:rPr>
          <w:b/>
          <w:bCs/>
        </w:rPr>
        <w:t>early</w:t>
      </w:r>
      <w:r w:rsidR="00731C0D">
        <w:t xml:space="preserve"> to have the best chance of success. </w:t>
      </w:r>
    </w:p>
    <w:p w14:paraId="3F99769F" w14:textId="30CBA5E4" w:rsidR="00251A66" w:rsidRPr="00BA560C" w:rsidRDefault="00BA560C" w:rsidP="00743826">
      <w:r w:rsidRPr="00BA560C">
        <w:t xml:space="preserve">The aim is to support the person displaying acute behavioural disturbance to calm their behaviour and regain control. Assign </w:t>
      </w:r>
      <w:r w:rsidRPr="00BA560C">
        <w:rPr>
          <w:b/>
        </w:rPr>
        <w:t>only one</w:t>
      </w:r>
      <w:r w:rsidRPr="00BA560C">
        <w:t xml:space="preserve"> clinical staff member as the </w:t>
      </w:r>
      <w:r w:rsidRPr="00BA560C">
        <w:rPr>
          <w:b/>
        </w:rPr>
        <w:t>lead communicator</w:t>
      </w:r>
      <w:r w:rsidRPr="00BA560C">
        <w:t xml:space="preserve"> to guide de-escalation.</w:t>
      </w:r>
      <w:r w:rsidR="00251A66">
        <w:t xml:space="preserve"> </w:t>
      </w:r>
    </w:p>
    <w:p w14:paraId="49E5EB02" w14:textId="77777777" w:rsidR="006D0002" w:rsidRPr="00BA560C" w:rsidRDefault="00BA560C" w:rsidP="00743826">
      <w:r w:rsidRPr="00BA560C">
        <w:rPr>
          <w:noProof/>
        </w:rPr>
        <mc:AlternateContent>
          <mc:Choice Requires="wps">
            <w:drawing>
              <wp:inline distT="0" distB="0" distL="0" distR="0" wp14:anchorId="21BDD906" wp14:editId="042EFFCE">
                <wp:extent cx="6391275" cy="1574359"/>
                <wp:effectExtent l="0" t="0" r="28575" b="260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574359"/>
                        </a:xfrm>
                        <a:prstGeom prst="rect">
                          <a:avLst/>
                        </a:prstGeom>
                        <a:solidFill>
                          <a:schemeClr val="bg2"/>
                        </a:solidFill>
                        <a:ln w="6350">
                          <a:solidFill>
                            <a:schemeClr val="bg2"/>
                          </a:solidFill>
                          <a:miter lim="800000"/>
                          <a:headEnd/>
                          <a:tailEnd/>
                        </a:ln>
                      </wps:spPr>
                      <wps:txbx>
                        <w:txbxContent>
                          <w:p w14:paraId="4B135AAA" w14:textId="77777777" w:rsidR="005D0C30" w:rsidRPr="00BA560C" w:rsidRDefault="005D0C30" w:rsidP="00743826">
                            <w:pPr>
                              <w:pStyle w:val="PulloutHeading"/>
                              <w:rPr>
                                <w:i/>
                              </w:rPr>
                            </w:pPr>
                            <w:r w:rsidRPr="00BA560C">
                              <w:t>De-escalation training resources</w:t>
                            </w:r>
                          </w:p>
                          <w:p w14:paraId="408A0227" w14:textId="77777777" w:rsidR="005D0C30" w:rsidRPr="00BA560C" w:rsidRDefault="005D0C30" w:rsidP="00743826">
                            <w:pPr>
                              <w:pStyle w:val="PulloutText"/>
                              <w:numPr>
                                <w:ilvl w:val="0"/>
                                <w:numId w:val="12"/>
                              </w:numPr>
                            </w:pPr>
                            <w:r w:rsidRPr="00BA560C">
                              <w:t xml:space="preserve">The Safewards model is designed to improve safety in mental health services. It has been implemented in Victorian inpatient services and an adapted version is being piloted and tested in emergency departments. </w:t>
                            </w:r>
                            <w:hyperlink r:id="rId30" w:history="1">
                              <w:r w:rsidRPr="00BA560C">
                                <w:rPr>
                                  <w:color w:val="0070C0"/>
                                  <w:u w:val="single"/>
                                </w:rPr>
                                <w:t>Training resources</w:t>
                              </w:r>
                            </w:hyperlink>
                            <w:r w:rsidRPr="00BA560C">
                              <w:t xml:space="preserve"> are available from the DHHS website.</w:t>
                            </w:r>
                          </w:p>
                          <w:p w14:paraId="09815635" w14:textId="77777777" w:rsidR="005D0C30" w:rsidRPr="00BA560C" w:rsidRDefault="005D0C30" w:rsidP="00743826">
                            <w:pPr>
                              <w:pStyle w:val="PulloutText"/>
                              <w:numPr>
                                <w:ilvl w:val="0"/>
                                <w:numId w:val="12"/>
                              </w:numPr>
                            </w:pPr>
                            <w:r w:rsidRPr="00BA560C">
                              <w:t xml:space="preserve">DHHS has four free </w:t>
                            </w:r>
                            <w:hyperlink r:id="rId31" w:history="1">
                              <w:r w:rsidRPr="00BA560C">
                                <w:rPr>
                                  <w:rStyle w:val="Hyperlink"/>
                                  <w:color w:val="0070C0"/>
                                  <w:u w:val="single"/>
                                </w:rPr>
                                <w:t>e-learning modules</w:t>
                              </w:r>
                            </w:hyperlink>
                            <w:r w:rsidRPr="00BA560C">
                              <w:t xml:space="preserve"> to reduce violence and aggression in health services. </w:t>
                            </w:r>
                          </w:p>
                          <w:p w14:paraId="41D4E008" w14:textId="5288A87E" w:rsidR="005D0C30" w:rsidRPr="00BA560C" w:rsidRDefault="005D0C30" w:rsidP="00743826">
                            <w:pPr>
                              <w:pStyle w:val="PulloutText"/>
                              <w:numPr>
                                <w:ilvl w:val="0"/>
                                <w:numId w:val="12"/>
                              </w:numPr>
                            </w:pPr>
                            <w:r w:rsidRPr="00BA560C">
                              <w:t xml:space="preserve">The DHHS </w:t>
                            </w:r>
                            <w:r>
                              <w:t>‘</w:t>
                            </w:r>
                            <w:hyperlink r:id="rId32" w:history="1">
                              <w:r w:rsidRPr="00641174">
                                <w:rPr>
                                  <w:rStyle w:val="Hyperlink"/>
                                  <w:color w:val="0070C0"/>
                                  <w:u w:val="single"/>
                                </w:rPr>
                                <w:t>Guide for violence and aggression training in Victorian health services</w:t>
                              </w:r>
                            </w:hyperlink>
                            <w:r>
                              <w:rPr>
                                <w:rStyle w:val="Hyperlink"/>
                                <w:color w:val="0070C0"/>
                                <w:u w:val="single"/>
                              </w:rPr>
                              <w:t>’</w:t>
                            </w:r>
                            <w:r w:rsidRPr="00641174">
                              <w:t xml:space="preserve"> </w:t>
                            </w:r>
                            <w:r w:rsidRPr="00BA560C">
                              <w:t xml:space="preserve">describes best-practice training principles for different staff groups. </w:t>
                            </w:r>
                          </w:p>
                        </w:txbxContent>
                      </wps:txbx>
                      <wps:bodyPr rot="0" vert="horz" wrap="square" lIns="180000" tIns="180000" rIns="144000" bIns="36000" anchor="t" anchorCtr="0">
                        <a:noAutofit/>
                      </wps:bodyPr>
                    </wps:wsp>
                  </a:graphicData>
                </a:graphic>
              </wp:inline>
            </w:drawing>
          </mc:Choice>
          <mc:Fallback>
            <w:pict>
              <v:shape w14:anchorId="21BDD906" id="_x0000_s1028" type="#_x0000_t202" style="width:503.25pt;height:1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" fillcolor="#edf5f7 [3214]" strokecolor="#edf5f7 [3214]" strokeweight=".5pt">
                <v:textbox inset="5mm,5mm,4mm,1mm">
                  <w:txbxContent>
                    <w:p w14:paraId="4B135AAA" w14:textId="77777777" w:rsidR="005D0C30" w:rsidRPr="00BA560C" w:rsidRDefault="005D0C30" w:rsidP="00743826">
                      <w:pPr>
                        <w:pStyle w:val="PulloutHeading"/>
                        <w:rPr>
                          <w:i/>
                        </w:rPr>
                      </w:pPr>
                      <w:r w:rsidRPr="00BA560C">
                        <w:t>De-escalation training resources</w:t>
                      </w:r>
                    </w:p>
                    <w:p w14:paraId="408A0227" w14:textId="77777777" w:rsidR="005D0C30" w:rsidRPr="00BA560C" w:rsidRDefault="005D0C30" w:rsidP="00743826">
                      <w:pPr>
                        <w:pStyle w:val="PulloutText"/>
                        <w:numPr>
                          <w:ilvl w:val="0"/>
                          <w:numId w:val="12"/>
                        </w:numPr>
                      </w:pPr>
                      <w:r w:rsidRPr="00BA560C">
                        <w:t xml:space="preserve">The Safewards model is designed to improve safety in mental health services. It has been implemented in Victorian inpatient services and an adapted version is being piloted and tested in emergency departments. </w:t>
                      </w:r>
                      <w:hyperlink r:id="rId33" w:history="1">
                        <w:r w:rsidRPr="00BA560C">
                          <w:rPr>
                            <w:color w:val="0070C0"/>
                            <w:u w:val="single"/>
                          </w:rPr>
                          <w:t>Training resources</w:t>
                        </w:r>
                      </w:hyperlink>
                      <w:r w:rsidRPr="00BA560C">
                        <w:t xml:space="preserve"> are available from the DHHS website.</w:t>
                      </w:r>
                    </w:p>
                    <w:p w14:paraId="09815635" w14:textId="77777777" w:rsidR="005D0C30" w:rsidRPr="00BA560C" w:rsidRDefault="005D0C30" w:rsidP="00743826">
                      <w:pPr>
                        <w:pStyle w:val="PulloutText"/>
                        <w:numPr>
                          <w:ilvl w:val="0"/>
                          <w:numId w:val="12"/>
                        </w:numPr>
                      </w:pPr>
                      <w:r w:rsidRPr="00BA560C">
                        <w:t xml:space="preserve">DHHS has four free </w:t>
                      </w:r>
                      <w:hyperlink r:id="rId34" w:history="1">
                        <w:r w:rsidRPr="00BA560C">
                          <w:rPr>
                            <w:rStyle w:val="Hyperlink"/>
                            <w:color w:val="0070C0"/>
                            <w:u w:val="single"/>
                          </w:rPr>
                          <w:t>e-learning modules</w:t>
                        </w:r>
                      </w:hyperlink>
                      <w:r w:rsidRPr="00BA560C">
                        <w:t xml:space="preserve"> to reduce violence and aggression in health services. </w:t>
                      </w:r>
                    </w:p>
                    <w:p w14:paraId="41D4E008" w14:textId="5288A87E" w:rsidR="005D0C30" w:rsidRPr="00BA560C" w:rsidRDefault="005D0C30" w:rsidP="00743826">
                      <w:pPr>
                        <w:pStyle w:val="PulloutText"/>
                        <w:numPr>
                          <w:ilvl w:val="0"/>
                          <w:numId w:val="12"/>
                        </w:numPr>
                      </w:pPr>
                      <w:r w:rsidRPr="00BA560C">
                        <w:t xml:space="preserve">The DHHS </w:t>
                      </w:r>
                      <w:r>
                        <w:t>‘</w:t>
                      </w:r>
                      <w:hyperlink r:id="rId35" w:history="1">
                        <w:r w:rsidRPr="00641174">
                          <w:rPr>
                            <w:rStyle w:val="Hyperlink"/>
                            <w:color w:val="0070C0"/>
                            <w:u w:val="single"/>
                          </w:rPr>
                          <w:t>Guide for violence and aggression training in Victorian health services</w:t>
                        </w:r>
                      </w:hyperlink>
                      <w:r>
                        <w:rPr>
                          <w:rStyle w:val="Hyperlink"/>
                          <w:color w:val="0070C0"/>
                          <w:u w:val="single"/>
                        </w:rPr>
                        <w:t>’</w:t>
                      </w:r>
                      <w:r w:rsidRPr="00641174">
                        <w:t xml:space="preserve"> </w:t>
                      </w:r>
                      <w:r w:rsidRPr="00BA560C">
                        <w:t xml:space="preserve">describes best-practice training principles for different staff groups. </w:t>
                      </w:r>
                    </w:p>
                  </w:txbxContent>
                </v:textbox>
                <w10:anchorlock/>
              </v:shape>
            </w:pict>
          </mc:Fallback>
        </mc:AlternateContent>
      </w:r>
    </w:p>
    <w:p w14:paraId="1475784E" w14:textId="77777777" w:rsidR="00BA560C" w:rsidRPr="00BA560C" w:rsidRDefault="004C2A21" w:rsidP="00322C5E">
      <w:pPr>
        <w:pStyle w:val="Heading2"/>
      </w:pPr>
      <w:bookmarkStart w:id="16" w:name="_How_to_de-escalate"/>
      <w:bookmarkStart w:id="17" w:name="_Toc36120121"/>
      <w:bookmarkEnd w:id="16"/>
      <w:r>
        <w:t>How to de-escalate</w:t>
      </w:r>
      <w:bookmarkEnd w:id="17"/>
    </w:p>
    <w:p w14:paraId="38FE7900" w14:textId="62F98CBC" w:rsidR="00251A66" w:rsidRDefault="00BA560C" w:rsidP="00743826">
      <w:pPr>
        <w:pStyle w:val="Normalfollowingheading"/>
      </w:pPr>
      <w:r w:rsidRPr="00BA560C">
        <w:t>Consider the impact of gender identity, cultural identity, language, trauma history, medical conditions and</w:t>
      </w:r>
      <w:r w:rsidR="00E65B67">
        <w:t xml:space="preserve"> the</w:t>
      </w:r>
      <w:r w:rsidRPr="00BA560C">
        <w:t xml:space="preserve"> individual needs of the person. </w:t>
      </w:r>
    </w:p>
    <w:p w14:paraId="22549F6D" w14:textId="42B133D3" w:rsidR="00251A66" w:rsidRPr="00251A66" w:rsidRDefault="00251A66" w:rsidP="00743826">
      <w:r w:rsidRPr="00251A66">
        <w:t>If you feel unsafe</w:t>
      </w:r>
      <w:r>
        <w:t xml:space="preserve"> at any time,</w:t>
      </w:r>
      <w:r w:rsidRPr="00251A66">
        <w:t xml:space="preserve"> activate </w:t>
      </w:r>
      <w:r w:rsidRPr="0033747D">
        <w:t xml:space="preserve">your health service’s emergency response procedures, including </w:t>
      </w:r>
      <w:hyperlink r:id="rId36" w:history="1">
        <w:r w:rsidRPr="002450DC">
          <w:rPr>
            <w:rStyle w:val="Hyperlink"/>
            <w:color w:val="00B0F0"/>
            <w:u w:val="single"/>
          </w:rPr>
          <w:t>code grey or code black</w:t>
        </w:r>
      </w:hyperlink>
      <w:r w:rsidRPr="0033747D">
        <w:t>.</w:t>
      </w:r>
    </w:p>
    <w:p w14:paraId="67364212" w14:textId="77777777" w:rsidR="006D0002" w:rsidRPr="00BA560C" w:rsidRDefault="00BA560C" w:rsidP="00743826">
      <w:r w:rsidRPr="00BA560C">
        <w:t>Approach de-escalation with respect and empathy. Try to manage your emotions. Anticipate any potential triggers for conflict and plan your de-escalation according to the principles in Table 4.</w:t>
      </w:r>
    </w:p>
    <w:p w14:paraId="2791AB8B" w14:textId="395DF914" w:rsidR="00BA560C" w:rsidRPr="00BA560C" w:rsidRDefault="00BA560C" w:rsidP="00322C5E">
      <w:pPr>
        <w:pStyle w:val="Tablechartdiagramheading"/>
      </w:pPr>
      <w:r w:rsidRPr="00BA560C">
        <w:t xml:space="preserve">Table </w:t>
      </w:r>
      <w:fldSimple w:instr=" SEQ Table \* ARABIC ">
        <w:r w:rsidR="00116296">
          <w:rPr>
            <w:noProof/>
          </w:rPr>
          <w:t>4</w:t>
        </w:r>
      </w:fldSimple>
      <w:r w:rsidRPr="00BA560C">
        <w:rPr>
          <w:noProof/>
        </w:rPr>
        <w:t>:</w:t>
      </w:r>
      <w:r w:rsidRPr="00BA560C">
        <w:t xml:space="preserve"> Principles of de-escalation</w:t>
      </w:r>
    </w:p>
    <w:tbl>
      <w:tblPr>
        <w:tblStyle w:val="TableGrid"/>
        <w:tblW w:w="0" w:type="auto"/>
        <w:tblLook w:val="0420" w:firstRow="1" w:lastRow="0" w:firstColumn="0" w:lastColumn="0" w:noHBand="0" w:noVBand="1"/>
      </w:tblPr>
      <w:tblGrid>
        <w:gridCol w:w="3360"/>
        <w:gridCol w:w="3360"/>
        <w:gridCol w:w="3360"/>
      </w:tblGrid>
      <w:tr w:rsidR="00BA560C" w:rsidRPr="00FE1865" w14:paraId="677551E9" w14:textId="77777777" w:rsidTr="00BA560C">
        <w:trPr>
          <w:cnfStyle w:val="100000000000" w:firstRow="1" w:lastRow="0" w:firstColumn="0" w:lastColumn="0" w:oddVBand="0" w:evenVBand="0" w:oddHBand="0" w:evenHBand="0" w:firstRowFirstColumn="0" w:firstRowLastColumn="0" w:lastRowFirstColumn="0" w:lastRowLastColumn="0"/>
          <w:tblHeader/>
        </w:trPr>
        <w:tc>
          <w:tcPr>
            <w:tcW w:w="3360" w:type="dxa"/>
          </w:tcPr>
          <w:p w14:paraId="1A6EC8C4" w14:textId="77777777" w:rsidR="00BA560C" w:rsidRPr="00FE1865" w:rsidRDefault="00BA560C" w:rsidP="00743826">
            <w:pPr>
              <w:pStyle w:val="Normalfollowingheading"/>
            </w:pPr>
            <w:r w:rsidRPr="00FE1865">
              <w:t>Non-verbal communication</w:t>
            </w:r>
          </w:p>
        </w:tc>
        <w:tc>
          <w:tcPr>
            <w:tcW w:w="3360" w:type="dxa"/>
          </w:tcPr>
          <w:p w14:paraId="2718D5CE" w14:textId="77777777" w:rsidR="00BA560C" w:rsidRPr="00FE1865" w:rsidRDefault="00BA560C" w:rsidP="00743826">
            <w:pPr>
              <w:pStyle w:val="Normalfollowingheading"/>
            </w:pPr>
            <w:r w:rsidRPr="00FE1865">
              <w:t>Verbal communication</w:t>
            </w:r>
          </w:p>
        </w:tc>
        <w:tc>
          <w:tcPr>
            <w:tcW w:w="3360" w:type="dxa"/>
          </w:tcPr>
          <w:p w14:paraId="7ECF0810" w14:textId="77777777" w:rsidR="00BA560C" w:rsidRPr="00FE1865" w:rsidRDefault="00BA560C" w:rsidP="00743826">
            <w:pPr>
              <w:pStyle w:val="Normalfollowingheading"/>
            </w:pPr>
            <w:r w:rsidRPr="00FE1865">
              <w:t>Environment</w:t>
            </w:r>
          </w:p>
        </w:tc>
      </w:tr>
      <w:tr w:rsidR="00BA560C" w:rsidRPr="00FE1865" w14:paraId="7D02FDB0" w14:textId="77777777" w:rsidTr="002B24B5">
        <w:tc>
          <w:tcPr>
            <w:tcW w:w="3360" w:type="dxa"/>
          </w:tcPr>
          <w:p w14:paraId="1AD43A7A" w14:textId="77777777" w:rsidR="00BA560C" w:rsidRPr="00FE1865" w:rsidRDefault="00BA560C" w:rsidP="00743826">
            <w:pPr>
              <w:pStyle w:val="Tablebullet"/>
            </w:pPr>
            <w:r w:rsidRPr="00FE1865">
              <w:t xml:space="preserve">Allow time for open communication. Don’t rush. </w:t>
            </w:r>
          </w:p>
          <w:p w14:paraId="5AD42433" w14:textId="77777777" w:rsidR="00BA560C" w:rsidRPr="00FE1865" w:rsidRDefault="00BA560C" w:rsidP="00743826">
            <w:pPr>
              <w:pStyle w:val="Tablebullet"/>
            </w:pPr>
            <w:r w:rsidRPr="00FE1865">
              <w:t>Move slowly and gently.</w:t>
            </w:r>
          </w:p>
          <w:p w14:paraId="177D961E" w14:textId="77777777" w:rsidR="00BA560C" w:rsidRPr="00FE1865" w:rsidRDefault="00BA560C" w:rsidP="00743826">
            <w:pPr>
              <w:pStyle w:val="Tablebullet"/>
            </w:pPr>
            <w:r w:rsidRPr="00FE1865">
              <w:t>Use culturally appropriate eye contact.</w:t>
            </w:r>
          </w:p>
          <w:p w14:paraId="47F4AB5B" w14:textId="77777777" w:rsidR="00BA560C" w:rsidRPr="00FE1865" w:rsidRDefault="00BA560C" w:rsidP="00743826">
            <w:pPr>
              <w:pStyle w:val="Tablebullet"/>
            </w:pPr>
            <w:r w:rsidRPr="00FE1865">
              <w:t xml:space="preserve">Relax your body. </w:t>
            </w:r>
          </w:p>
          <w:p w14:paraId="105E8D37" w14:textId="77777777" w:rsidR="00BA560C" w:rsidRPr="00FE1865" w:rsidRDefault="00BA560C" w:rsidP="00743826">
            <w:pPr>
              <w:pStyle w:val="Tabledash"/>
            </w:pPr>
            <w:r w:rsidRPr="00FE1865">
              <w:t xml:space="preserve">Do not place hands on hips or in pockets, finger wag or prod, cross arms or clench fists. </w:t>
            </w:r>
          </w:p>
          <w:p w14:paraId="3265CA49" w14:textId="11DDFAF3" w:rsidR="00BA560C" w:rsidRPr="00FE1865" w:rsidRDefault="00BA560C" w:rsidP="00743826">
            <w:pPr>
              <w:pStyle w:val="Tablebullet"/>
            </w:pPr>
            <w:r w:rsidRPr="00FE1865">
              <w:t>Give at least two arms</w:t>
            </w:r>
            <w:r w:rsidR="00AB4428">
              <w:t>’</w:t>
            </w:r>
            <w:r w:rsidRPr="00FE1865">
              <w:t xml:space="preserve"> length of personal space.</w:t>
            </w:r>
          </w:p>
          <w:p w14:paraId="165C3194" w14:textId="78AA4FC8" w:rsidR="00820BAA" w:rsidRPr="00FE1865" w:rsidRDefault="00820BAA" w:rsidP="00743826">
            <w:pPr>
              <w:pStyle w:val="Tablebullet"/>
            </w:pPr>
            <w:r w:rsidRPr="00FE1865">
              <w:t>Consider alternative forms of communication e.g. communication boards, symbols or signs.</w:t>
            </w:r>
          </w:p>
        </w:tc>
        <w:tc>
          <w:tcPr>
            <w:tcW w:w="3360" w:type="dxa"/>
          </w:tcPr>
          <w:p w14:paraId="69E6AFE3" w14:textId="77777777" w:rsidR="00BA560C" w:rsidRPr="00FE1865" w:rsidRDefault="00BA560C" w:rsidP="00743826">
            <w:pPr>
              <w:pStyle w:val="Tablebullet"/>
            </w:pPr>
            <w:r w:rsidRPr="00FE1865">
              <w:t>Keep the conversation centred on the person’s needs.</w:t>
            </w:r>
          </w:p>
          <w:p w14:paraId="51F68F59" w14:textId="77777777" w:rsidR="00BA560C" w:rsidRPr="00FE1865" w:rsidRDefault="00BA560C" w:rsidP="00743826">
            <w:pPr>
              <w:pStyle w:val="Tablebullet"/>
            </w:pPr>
            <w:r w:rsidRPr="00FE1865">
              <w:t>Have a concerned and interested tone of voice.</w:t>
            </w:r>
          </w:p>
          <w:p w14:paraId="7AE63B25" w14:textId="77777777" w:rsidR="00BA560C" w:rsidRPr="00FE1865" w:rsidRDefault="00BA560C" w:rsidP="00743826">
            <w:pPr>
              <w:pStyle w:val="Tablebullet"/>
            </w:pPr>
            <w:r w:rsidRPr="00FE1865">
              <w:t>Ask open questions to build discussion.</w:t>
            </w:r>
          </w:p>
          <w:p w14:paraId="6D77F745" w14:textId="77777777" w:rsidR="00BA560C" w:rsidRPr="00FE1865" w:rsidRDefault="00BA560C" w:rsidP="00743826">
            <w:pPr>
              <w:pStyle w:val="Tablebullet"/>
            </w:pPr>
            <w:r w:rsidRPr="00FE1865">
              <w:t>Do not shout or raise your voice.</w:t>
            </w:r>
          </w:p>
          <w:p w14:paraId="2E560396" w14:textId="77777777" w:rsidR="00BA560C" w:rsidRPr="00FE1865" w:rsidRDefault="00BA560C" w:rsidP="00743826">
            <w:pPr>
              <w:pStyle w:val="Tablebullet"/>
            </w:pPr>
            <w:r w:rsidRPr="00FE1865">
              <w:t xml:space="preserve">Do not give threats, orders or advice. </w:t>
            </w:r>
          </w:p>
          <w:p w14:paraId="34D44C29" w14:textId="77777777" w:rsidR="00BA560C" w:rsidRPr="00FE1865" w:rsidRDefault="00BA560C" w:rsidP="00743826">
            <w:pPr>
              <w:pStyle w:val="Tabledash"/>
            </w:pPr>
            <w:r w:rsidRPr="00FE1865">
              <w:t>Avoid ‘If I were you…’ or ‘You’d better stop that right now or…’</w:t>
            </w:r>
          </w:p>
          <w:p w14:paraId="4F7AA35A" w14:textId="77777777" w:rsidR="00BA560C" w:rsidRPr="00FE1865" w:rsidRDefault="00BA560C" w:rsidP="00743826">
            <w:pPr>
              <w:pStyle w:val="Tablebullet"/>
            </w:pPr>
            <w:r w:rsidRPr="00FE1865">
              <w:t xml:space="preserve">Do not argue the point. You don’t need to defend or justify yourself. </w:t>
            </w:r>
          </w:p>
        </w:tc>
        <w:tc>
          <w:tcPr>
            <w:tcW w:w="3360" w:type="dxa"/>
          </w:tcPr>
          <w:p w14:paraId="2ED98119" w14:textId="77777777" w:rsidR="00BA560C" w:rsidRPr="00FE1865" w:rsidRDefault="00BA560C" w:rsidP="00743826">
            <w:pPr>
              <w:pStyle w:val="Tablebullet"/>
            </w:pPr>
            <w:r w:rsidRPr="00FE1865">
              <w:t>Remove bystanders and unnecessary staff from the view of the person.</w:t>
            </w:r>
          </w:p>
          <w:p w14:paraId="693A67E8" w14:textId="77777777" w:rsidR="00BA560C" w:rsidRPr="00FE1865" w:rsidRDefault="00BA560C" w:rsidP="00743826">
            <w:pPr>
              <w:pStyle w:val="Tablebullet"/>
            </w:pPr>
            <w:r w:rsidRPr="00FE1865">
              <w:t>Consider the impact of sensory needs e.g. lighting, noise, sensory items.</w:t>
            </w:r>
          </w:p>
          <w:p w14:paraId="00B12898" w14:textId="77777777" w:rsidR="00BA560C" w:rsidRPr="00FE1865" w:rsidRDefault="00BA560C" w:rsidP="00743826">
            <w:pPr>
              <w:pStyle w:val="Tablebullet"/>
            </w:pPr>
            <w:r w:rsidRPr="00FE1865">
              <w:t xml:space="preserve">Ensure the person’s privacy. </w:t>
            </w:r>
          </w:p>
          <w:p w14:paraId="276F059E" w14:textId="77777777" w:rsidR="00BA560C" w:rsidRPr="00FE1865" w:rsidRDefault="00BA560C" w:rsidP="00743826">
            <w:pPr>
              <w:pStyle w:val="Tablebullet"/>
            </w:pPr>
            <w:r w:rsidRPr="00FE1865">
              <w:t>Keep exits clear and accessible.</w:t>
            </w:r>
          </w:p>
          <w:p w14:paraId="6937534B" w14:textId="77777777" w:rsidR="00BA560C" w:rsidRPr="00FE1865" w:rsidRDefault="00BA560C" w:rsidP="00743826">
            <w:pPr>
              <w:pStyle w:val="Tablebullet"/>
            </w:pPr>
            <w:r w:rsidRPr="00FE1865">
              <w:t xml:space="preserve">Remove potentially dangerous items. </w:t>
            </w:r>
          </w:p>
          <w:p w14:paraId="0A8341DF" w14:textId="77777777" w:rsidR="00BA560C" w:rsidRPr="00FE1865" w:rsidRDefault="00BA560C" w:rsidP="00743826">
            <w:pPr>
              <w:pStyle w:val="Tablebullet"/>
            </w:pPr>
            <w:r w:rsidRPr="00FE1865">
              <w:t>Make available food, drink, toilet, bedding and appropriate access to phone calls.</w:t>
            </w:r>
          </w:p>
          <w:p w14:paraId="6882CD18" w14:textId="77777777" w:rsidR="00BA560C" w:rsidRPr="00FE1865" w:rsidRDefault="00BA560C" w:rsidP="00743826">
            <w:pPr>
              <w:pStyle w:val="Tablebullet"/>
            </w:pPr>
            <w:r w:rsidRPr="00FE1865">
              <w:t>Consider nicotine replacement therapy.</w:t>
            </w:r>
          </w:p>
        </w:tc>
      </w:tr>
    </w:tbl>
    <w:p w14:paraId="02CE0634" w14:textId="77777777" w:rsidR="00322C5E" w:rsidRDefault="00322C5E">
      <w:pPr>
        <w:spacing w:before="160" w:after="160" w:line="280" w:lineRule="atLeast"/>
        <w:rPr>
          <w:rFonts w:eastAsiaTheme="majorEastAsia"/>
          <w:b/>
          <w:bCs/>
          <w:caps/>
          <w:color w:val="007586" w:themeColor="text2"/>
          <w:sz w:val="24"/>
          <w:szCs w:val="26"/>
        </w:rPr>
      </w:pPr>
      <w:bookmarkStart w:id="18" w:name="_Toc36120122"/>
      <w:r>
        <w:br w:type="page"/>
      </w:r>
    </w:p>
    <w:p w14:paraId="76CB3F52" w14:textId="7AC8C22C" w:rsidR="00BA560C" w:rsidRPr="00BA560C" w:rsidRDefault="00BA560C" w:rsidP="00322C5E">
      <w:pPr>
        <w:pStyle w:val="Heading2"/>
      </w:pPr>
      <w:r w:rsidRPr="00BA560C">
        <w:lastRenderedPageBreak/>
        <w:t>Verbal De-escalation</w:t>
      </w:r>
      <w:bookmarkEnd w:id="18"/>
    </w:p>
    <w:p w14:paraId="6E492CB0" w14:textId="77777777" w:rsidR="00BA560C" w:rsidRPr="00BA560C" w:rsidRDefault="00BA560C" w:rsidP="00743826">
      <w:pPr>
        <w:pStyle w:val="Normalfollowingheading"/>
      </w:pPr>
      <w:r w:rsidRPr="00BA560C">
        <w:t>Conversation is the safest and most common form of de-escalation. After considering the principles of de-escalation in Table 4, follow the stages of verbal de-escalation in Figure 1.</w:t>
      </w:r>
    </w:p>
    <w:p w14:paraId="08445E8B" w14:textId="679975B4" w:rsidR="00BA560C" w:rsidRPr="00BA560C" w:rsidRDefault="00BA560C" w:rsidP="00322C5E">
      <w:pPr>
        <w:pStyle w:val="Tablechartdiagramheading"/>
      </w:pPr>
      <w:r w:rsidRPr="00BA560C">
        <w:t xml:space="preserve">Figure </w:t>
      </w:r>
      <w:fldSimple w:instr=" SEQ Figure \* ARABIC ">
        <w:r w:rsidR="00116296">
          <w:rPr>
            <w:noProof/>
          </w:rPr>
          <w:t>1</w:t>
        </w:r>
      </w:fldSimple>
      <w:r w:rsidRPr="00BA560C">
        <w:rPr>
          <w:noProof/>
        </w:rPr>
        <w:t>:</w:t>
      </w:r>
      <w:r w:rsidRPr="00BA560C">
        <w:t xml:space="preserve"> Stages of verbal de-escalation </w:t>
      </w:r>
    </w:p>
    <w:p w14:paraId="41EB9EB0" w14:textId="77777777" w:rsidR="00BA560C" w:rsidRPr="00BA560C" w:rsidRDefault="00BA560C" w:rsidP="00743826">
      <w:r w:rsidRPr="00BA560C">
        <w:rPr>
          <w:noProof/>
        </w:rPr>
        <w:drawing>
          <wp:inline distT="0" distB="0" distL="0" distR="0" wp14:anchorId="031C48AE" wp14:editId="5F4F31A7">
            <wp:extent cx="6176010" cy="3886200"/>
            <wp:effectExtent l="19050" t="0" r="15240" b="0"/>
            <wp:docPr id="1" name="Diagram 1" descr="This flowchart shows the stages of verbal de-escalation: 1. Get started, 2. Work out what the problem is and 3. Find solution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7339584" w14:textId="77777777" w:rsidR="00BA560C" w:rsidRPr="00BA560C" w:rsidRDefault="00BA560C" w:rsidP="00743826">
      <w:r w:rsidRPr="00BA560C">
        <w:br w:type="page"/>
      </w:r>
    </w:p>
    <w:p w14:paraId="60FB98AE" w14:textId="2896C84D" w:rsidR="00BA560C" w:rsidRPr="002B24B5" w:rsidRDefault="00BA560C" w:rsidP="00322C5E">
      <w:pPr>
        <w:pStyle w:val="Heading1"/>
        <w:framePr w:wrap="around"/>
      </w:pPr>
      <w:bookmarkStart w:id="19" w:name="_Toc36120123"/>
      <w:r w:rsidRPr="002B24B5">
        <w:lastRenderedPageBreak/>
        <w:t xml:space="preserve">4. Sedation and ongoing care </w:t>
      </w:r>
      <w:r w:rsidR="00E10E38">
        <w:br/>
      </w:r>
      <w:r w:rsidRPr="002B24B5">
        <w:t>post-sedation</w:t>
      </w:r>
      <w:bookmarkEnd w:id="19"/>
      <w:r w:rsidRPr="002B24B5">
        <w:t xml:space="preserve"> </w:t>
      </w:r>
    </w:p>
    <w:p w14:paraId="2F1D401A" w14:textId="77777777" w:rsidR="00BA560C" w:rsidRPr="002B24B5" w:rsidRDefault="00BA560C" w:rsidP="00322C5E">
      <w:pPr>
        <w:pStyle w:val="Heading2"/>
      </w:pPr>
      <w:bookmarkStart w:id="20" w:name="_Toc36120124"/>
      <w:r w:rsidRPr="002B24B5">
        <w:t>When to give sedation</w:t>
      </w:r>
      <w:bookmarkEnd w:id="20"/>
    </w:p>
    <w:p w14:paraId="1030E6B6" w14:textId="465452AB" w:rsidR="00BA560C" w:rsidRPr="002B24B5" w:rsidRDefault="00BA560C" w:rsidP="00743826">
      <w:pPr>
        <w:pStyle w:val="Normalfollowingheading"/>
      </w:pPr>
      <w:r w:rsidRPr="002B24B5">
        <w:t xml:space="preserve">A person displaying acute behavioural disturbance may be sedated with medication only when </w:t>
      </w:r>
      <w:r w:rsidR="00FB0ACB">
        <w:br/>
      </w:r>
      <w:r w:rsidRPr="002B24B5">
        <w:t>de-escalation and all reasonable</w:t>
      </w:r>
      <w:r w:rsidR="007440BD">
        <w:t>,</w:t>
      </w:r>
      <w:r w:rsidRPr="002B24B5">
        <w:t xml:space="preserve"> less restrictive methods have been unsuccessful </w:t>
      </w:r>
      <w:r w:rsidRPr="00FD2328">
        <w:rPr>
          <w:b/>
          <w:bCs/>
        </w:rPr>
        <w:t>or</w:t>
      </w:r>
      <w:r w:rsidRPr="002B24B5">
        <w:t xml:space="preserve"> are found to be unsuitable by clinical staff because of the person’s acute behavioural disturbance or clinical condition. </w:t>
      </w:r>
    </w:p>
    <w:p w14:paraId="3F0F8F9C" w14:textId="77777777" w:rsidR="00BA560C" w:rsidRPr="002B24B5" w:rsidRDefault="00BA560C" w:rsidP="00743826">
      <w:r w:rsidRPr="002B24B5">
        <w:t xml:space="preserve">Sedation is not the first-line treatment for people displaying acute behavioural disturbance. Give sedation to prevent serious and imminent harm to the person or others and to facilitate assessment and management of the person’s underlying condition. </w:t>
      </w:r>
    </w:p>
    <w:p w14:paraId="5305360D" w14:textId="77777777" w:rsidR="00BA560C" w:rsidRPr="002B24B5" w:rsidRDefault="00BA560C" w:rsidP="00743826">
      <w:r w:rsidRPr="002B24B5">
        <w:t>Aim for the person to be drowsy but rousable with a SAT score of –1 or 0.</w:t>
      </w:r>
    </w:p>
    <w:p w14:paraId="09F77D86" w14:textId="77777777" w:rsidR="00BA560C" w:rsidRPr="00CB0B64" w:rsidRDefault="00BA560C" w:rsidP="00322C5E">
      <w:pPr>
        <w:pStyle w:val="Heading3"/>
      </w:pPr>
      <w:r w:rsidRPr="00CB0B64">
        <w:t>Legal requirements for urgent sedation</w:t>
      </w:r>
    </w:p>
    <w:p w14:paraId="384B1602" w14:textId="45DB5675" w:rsidR="00754665" w:rsidRDefault="00BA560C" w:rsidP="00743826">
      <w:pPr>
        <w:pStyle w:val="Normalfollowingheading"/>
      </w:pPr>
      <w:r w:rsidRPr="002B24B5">
        <w:t xml:space="preserve">Always try to obtain informed consent before giving sedation. Everyone has a human right to decide what happens to their own body. </w:t>
      </w:r>
      <w:r w:rsidR="00182646">
        <w:t xml:space="preserve">The care you provide must adhere to the </w:t>
      </w:r>
      <w:hyperlink r:id="rId42" w:history="1">
        <w:r w:rsidR="00182646" w:rsidRPr="003C1DCD">
          <w:rPr>
            <w:rStyle w:val="Hyperlink"/>
            <w:color w:val="00B0F0"/>
            <w:u w:val="single"/>
          </w:rPr>
          <w:t>Victorian Charter of Human Rights</w:t>
        </w:r>
        <w:r w:rsidR="003C1DCD" w:rsidRPr="003C1DCD">
          <w:rPr>
            <w:rStyle w:val="Hyperlink"/>
            <w:color w:val="00B0F0"/>
            <w:u w:val="single"/>
          </w:rPr>
          <w:t xml:space="preserve"> and Responsibilities</w:t>
        </w:r>
      </w:hyperlink>
      <w:r w:rsidR="00754665">
        <w:t>.</w:t>
      </w:r>
    </w:p>
    <w:p w14:paraId="1FCA2E47" w14:textId="1A61E2EB" w:rsidR="00BA560C" w:rsidRPr="002B24B5" w:rsidRDefault="00BA560C" w:rsidP="00743826">
      <w:r w:rsidRPr="002B24B5">
        <w:t>When informed consent cannot be obtained from the person, try to get consent from a substitute decision-maker. In exceptional cases and when this is not reasonably possible, the law supports clinicians to treat a person displaying acute behavioural disturbance without their informed consent if you reasonably believe that:</w:t>
      </w:r>
    </w:p>
    <w:p w14:paraId="2A5E13DD" w14:textId="77777777" w:rsidR="00BA560C" w:rsidRPr="002B24B5" w:rsidRDefault="00BA560C" w:rsidP="00322C5E">
      <w:pPr>
        <w:pStyle w:val="Bullet1"/>
      </w:pPr>
      <w:r w:rsidRPr="002B24B5">
        <w:t>you need to act immediately due to a sudden or extraordinary emergency and it is not practical to obtain consent</w:t>
      </w:r>
    </w:p>
    <w:p w14:paraId="762CD65B" w14:textId="77777777" w:rsidR="00BA560C" w:rsidRPr="002B24B5" w:rsidRDefault="00BA560C" w:rsidP="00322C5E">
      <w:pPr>
        <w:pStyle w:val="Bullet1"/>
      </w:pPr>
      <w:r w:rsidRPr="002B24B5">
        <w:t>urgent care is required to prevent serious and imminent harm to the person or others.</w:t>
      </w:r>
    </w:p>
    <w:p w14:paraId="31284F6E" w14:textId="77777777" w:rsidR="00BA560C" w:rsidRPr="002B24B5" w:rsidRDefault="00BA560C" w:rsidP="00743826">
      <w:r w:rsidRPr="002B24B5">
        <w:t>The care you provide must be:</w:t>
      </w:r>
    </w:p>
    <w:p w14:paraId="727BF7DD" w14:textId="77777777" w:rsidR="00BA560C" w:rsidRPr="002B24B5" w:rsidRDefault="00BA560C" w:rsidP="00322C5E">
      <w:pPr>
        <w:pStyle w:val="Bullet1"/>
      </w:pPr>
      <w:r w:rsidRPr="002B24B5">
        <w:t>the least restrictive care possible, after trying or considering all other less restrictive options</w:t>
      </w:r>
    </w:p>
    <w:p w14:paraId="18E0CF60" w14:textId="77777777" w:rsidR="00BA560C" w:rsidRPr="002B24B5" w:rsidRDefault="00BA560C" w:rsidP="00322C5E">
      <w:pPr>
        <w:pStyle w:val="Bullet1"/>
      </w:pPr>
      <w:r w:rsidRPr="002B24B5">
        <w:t>a reasonable response to the emergency</w:t>
      </w:r>
    </w:p>
    <w:p w14:paraId="0380538C" w14:textId="5316DA53" w:rsidR="00BA560C" w:rsidRPr="002B24B5" w:rsidRDefault="00BA560C" w:rsidP="00322C5E">
      <w:pPr>
        <w:pStyle w:val="Bullet1"/>
      </w:pPr>
      <w:r w:rsidRPr="002B24B5">
        <w:t>what a reasonable clinician would do acting in the best interests of the person</w:t>
      </w:r>
      <w:r w:rsidR="00A231FC">
        <w:t>.</w:t>
      </w:r>
    </w:p>
    <w:p w14:paraId="5D43D7AB" w14:textId="77777777" w:rsidR="00BA560C" w:rsidRPr="002B24B5" w:rsidRDefault="00BA560C" w:rsidP="00743826">
      <w:r w:rsidRPr="002B24B5">
        <w:t>Document your decision-making process and how you have considered these points.</w:t>
      </w:r>
    </w:p>
    <w:p w14:paraId="6748B13A" w14:textId="77777777" w:rsidR="00BA560C" w:rsidRPr="002B24B5" w:rsidRDefault="00BA560C" w:rsidP="00322C5E">
      <w:pPr>
        <w:pStyle w:val="Heading3"/>
      </w:pPr>
      <w:r w:rsidRPr="002B24B5">
        <w:t>People at high risk of harm from sedation</w:t>
      </w:r>
    </w:p>
    <w:p w14:paraId="6AC3EA7D" w14:textId="77777777" w:rsidR="00BA560C" w:rsidRPr="002B24B5" w:rsidRDefault="00BA560C" w:rsidP="00743826">
      <w:pPr>
        <w:pStyle w:val="Normalfollowingheading"/>
      </w:pPr>
      <w:r w:rsidRPr="002B24B5">
        <w:t>People displaying acute behavioural disturbance may have experienced trauma that may increase psychological harm from sedation. Minimise this through effective communication and sensitivity to issues such as gender identity and cultural identity.</w:t>
      </w:r>
    </w:p>
    <w:p w14:paraId="7907B73E" w14:textId="77777777" w:rsidR="00BA560C" w:rsidRPr="002B24B5" w:rsidRDefault="00BA560C" w:rsidP="00743826">
      <w:r w:rsidRPr="002B24B5">
        <w:t>Gather relevant information from multiple sources as listed in the assessment section to make an informed clinical decision about giving sedation. There is a higher risk of adverse physical effects from sedation if the person is:</w:t>
      </w:r>
    </w:p>
    <w:p w14:paraId="380DACB3" w14:textId="77777777" w:rsidR="00BA560C" w:rsidRPr="002B24B5" w:rsidRDefault="00BA560C" w:rsidP="00322C5E">
      <w:pPr>
        <w:pStyle w:val="Bullet1"/>
      </w:pPr>
      <w:r w:rsidRPr="002B24B5">
        <w:t>obese</w:t>
      </w:r>
    </w:p>
    <w:p w14:paraId="7FA72D82" w14:textId="77777777" w:rsidR="00BA560C" w:rsidRPr="002B24B5" w:rsidRDefault="00BA560C" w:rsidP="00322C5E">
      <w:pPr>
        <w:pStyle w:val="Bullet1"/>
      </w:pPr>
      <w:r w:rsidRPr="002B24B5">
        <w:t>pregnant</w:t>
      </w:r>
    </w:p>
    <w:p w14:paraId="4B89D64D" w14:textId="77777777" w:rsidR="00BA560C" w:rsidRPr="002B24B5" w:rsidRDefault="00BA560C" w:rsidP="00322C5E">
      <w:pPr>
        <w:pStyle w:val="Bullet1"/>
      </w:pPr>
      <w:r w:rsidRPr="002B24B5">
        <w:t xml:space="preserve">in </w:t>
      </w:r>
      <w:proofErr w:type="gramStart"/>
      <w:r w:rsidRPr="002B24B5">
        <w:t>general</w:t>
      </w:r>
      <w:proofErr w:type="gramEnd"/>
      <w:r w:rsidRPr="002B24B5">
        <w:t xml:space="preserve"> poor health</w:t>
      </w:r>
    </w:p>
    <w:p w14:paraId="01EF2E67" w14:textId="77777777" w:rsidR="00BA560C" w:rsidRPr="002B24B5" w:rsidRDefault="00BA560C" w:rsidP="00322C5E">
      <w:pPr>
        <w:pStyle w:val="Bullet1"/>
      </w:pPr>
      <w:r w:rsidRPr="002B24B5">
        <w:t>intoxicated with alcohol.</w:t>
      </w:r>
    </w:p>
    <w:p w14:paraId="71FEAB96" w14:textId="77777777" w:rsidR="00322C5E" w:rsidRDefault="00322C5E">
      <w:pPr>
        <w:spacing w:before="160" w:after="160" w:line="280" w:lineRule="atLeast"/>
        <w:rPr>
          <w:rFonts w:eastAsiaTheme="majorEastAsia"/>
          <w:b/>
          <w:bCs/>
          <w:caps/>
          <w:color w:val="007586" w:themeColor="text2"/>
          <w:sz w:val="24"/>
          <w:szCs w:val="26"/>
        </w:rPr>
      </w:pPr>
      <w:bookmarkStart w:id="21" w:name="_Toc36120125"/>
      <w:r>
        <w:br w:type="page"/>
      </w:r>
    </w:p>
    <w:p w14:paraId="4FD3E482" w14:textId="7C30AA35" w:rsidR="004C2A21" w:rsidRPr="002B24B5" w:rsidRDefault="00720CE7" w:rsidP="00322C5E">
      <w:pPr>
        <w:pStyle w:val="Heading2"/>
      </w:pPr>
      <w:r>
        <w:lastRenderedPageBreak/>
        <w:t>How to give sedation</w:t>
      </w:r>
      <w:bookmarkEnd w:id="21"/>
    </w:p>
    <w:p w14:paraId="0EF226D3" w14:textId="77777777" w:rsidR="004C2A21" w:rsidRPr="002B24B5" w:rsidRDefault="004C2A21" w:rsidP="00743826">
      <w:pPr>
        <w:pStyle w:val="Normalfollowingheading"/>
      </w:pPr>
      <w:r w:rsidRPr="002B24B5">
        <w:t xml:space="preserve">All medications in this guidance have the potential for adverse effects. Use clinical decision making to determine if the need for sedation outweighs any potential adverse effects. </w:t>
      </w:r>
    </w:p>
    <w:p w14:paraId="7AC81DBA" w14:textId="77777777" w:rsidR="004C2A21" w:rsidRPr="002B24B5" w:rsidRDefault="004C2A21" w:rsidP="00743826">
      <w:r w:rsidRPr="002B24B5">
        <w:t xml:space="preserve">Ensure monitoring and resuscitation equipment is readily available </w:t>
      </w:r>
      <w:r w:rsidRPr="002B24B5">
        <w:rPr>
          <w:b/>
        </w:rPr>
        <w:t>before</w:t>
      </w:r>
      <w:r w:rsidRPr="002B24B5">
        <w:t xml:space="preserve"> giving sedation.</w:t>
      </w:r>
    </w:p>
    <w:p w14:paraId="6A2967CC" w14:textId="77777777" w:rsidR="004C2A21" w:rsidRPr="002B24B5" w:rsidRDefault="004C2A21" w:rsidP="00743826">
      <w:r w:rsidRPr="002B24B5">
        <w:t xml:space="preserve">This sedation guidance applies to </w:t>
      </w:r>
      <w:r w:rsidRPr="002B24B5">
        <w:rPr>
          <w:b/>
        </w:rPr>
        <w:t>adults aged 16–65 years</w:t>
      </w:r>
      <w:r w:rsidRPr="00B132C3">
        <w:rPr>
          <w:bCs/>
        </w:rPr>
        <w:t xml:space="preserve">. </w:t>
      </w:r>
    </w:p>
    <w:p w14:paraId="517FE76F" w14:textId="77777777" w:rsidR="004C2A21" w:rsidRPr="002B24B5" w:rsidRDefault="004C2A21" w:rsidP="00322C5E">
      <w:pPr>
        <w:pStyle w:val="Heading3"/>
      </w:pPr>
      <w:r w:rsidRPr="002B24B5">
        <w:t>Oral sedation</w:t>
      </w:r>
    </w:p>
    <w:p w14:paraId="32DE5D80" w14:textId="77777777" w:rsidR="00BA560C" w:rsidRPr="002B24B5" w:rsidRDefault="004C2A21" w:rsidP="00743826">
      <w:pPr>
        <w:pStyle w:val="Normalfollowingheading"/>
      </w:pPr>
      <w:r w:rsidRPr="002B24B5">
        <w:t>Offer oral sedation according to Table 5 as the first option.</w:t>
      </w:r>
    </w:p>
    <w:p w14:paraId="17B5B89E" w14:textId="05892BD6" w:rsidR="004C2A21" w:rsidRPr="002B24B5" w:rsidRDefault="004C2A21" w:rsidP="00322C5E">
      <w:pPr>
        <w:pStyle w:val="Tablechartdiagramheading"/>
      </w:pPr>
      <w:r w:rsidRPr="002B24B5">
        <w:t xml:space="preserve">Table </w:t>
      </w:r>
      <w:fldSimple w:instr=" SEQ Table \* ARABIC ">
        <w:r w:rsidR="00116296">
          <w:rPr>
            <w:noProof/>
          </w:rPr>
          <w:t>5</w:t>
        </w:r>
      </w:fldSimple>
      <w:r w:rsidRPr="002B24B5">
        <w:rPr>
          <w:noProof/>
        </w:rPr>
        <w:t>:</w:t>
      </w:r>
      <w:r w:rsidRPr="002B24B5">
        <w:t xml:space="preserve"> Oral sedation for adults aged 16–65 years</w:t>
      </w:r>
    </w:p>
    <w:tbl>
      <w:tblPr>
        <w:tblStyle w:val="TableGrid"/>
        <w:tblW w:w="0" w:type="auto"/>
        <w:tblLook w:val="0420" w:firstRow="1" w:lastRow="0" w:firstColumn="0" w:lastColumn="0" w:noHBand="0" w:noVBand="1"/>
      </w:tblPr>
      <w:tblGrid>
        <w:gridCol w:w="2520"/>
        <w:gridCol w:w="2016"/>
        <w:gridCol w:w="2552"/>
        <w:gridCol w:w="2992"/>
      </w:tblGrid>
      <w:tr w:rsidR="004C2A21" w:rsidRPr="00A231FC" w14:paraId="62C02729" w14:textId="77777777" w:rsidTr="00FB0ACB">
        <w:trPr>
          <w:cnfStyle w:val="100000000000" w:firstRow="1" w:lastRow="0" w:firstColumn="0" w:lastColumn="0" w:oddVBand="0" w:evenVBand="0" w:oddHBand="0" w:evenHBand="0" w:firstRowFirstColumn="0" w:firstRowLastColumn="0" w:lastRowFirstColumn="0" w:lastRowLastColumn="0"/>
        </w:trPr>
        <w:tc>
          <w:tcPr>
            <w:tcW w:w="2520" w:type="dxa"/>
          </w:tcPr>
          <w:p w14:paraId="317832F5" w14:textId="77777777" w:rsidR="004C2A21" w:rsidRPr="00A231FC" w:rsidRDefault="004C2A21" w:rsidP="00743826">
            <w:r w:rsidRPr="00A231FC">
              <w:t>Medication</w:t>
            </w:r>
          </w:p>
        </w:tc>
        <w:tc>
          <w:tcPr>
            <w:tcW w:w="2016" w:type="dxa"/>
          </w:tcPr>
          <w:p w14:paraId="6B47A543" w14:textId="77777777" w:rsidR="004C2A21" w:rsidRPr="00A231FC" w:rsidRDefault="004C2A21" w:rsidP="00743826">
            <w:r w:rsidRPr="00A231FC">
              <w:t>Dose</w:t>
            </w:r>
          </w:p>
        </w:tc>
        <w:tc>
          <w:tcPr>
            <w:tcW w:w="2552" w:type="dxa"/>
          </w:tcPr>
          <w:p w14:paraId="369BE763" w14:textId="77777777" w:rsidR="004C2A21" w:rsidRPr="00A231FC" w:rsidRDefault="004C2A21" w:rsidP="00743826">
            <w:r w:rsidRPr="00A231FC">
              <w:t>Onset time</w:t>
            </w:r>
          </w:p>
        </w:tc>
        <w:tc>
          <w:tcPr>
            <w:tcW w:w="2992" w:type="dxa"/>
          </w:tcPr>
          <w:p w14:paraId="1608981C" w14:textId="77777777" w:rsidR="004C2A21" w:rsidRPr="00A231FC" w:rsidRDefault="004C2A21" w:rsidP="00743826">
            <w:r w:rsidRPr="00A231FC">
              <w:t>Adverse effects</w:t>
            </w:r>
          </w:p>
        </w:tc>
      </w:tr>
      <w:tr w:rsidR="004C2A21" w:rsidRPr="00A231FC" w14:paraId="18444D05" w14:textId="77777777" w:rsidTr="00FB0ACB">
        <w:tc>
          <w:tcPr>
            <w:tcW w:w="2520" w:type="dxa"/>
          </w:tcPr>
          <w:p w14:paraId="00AB4A8E" w14:textId="77777777" w:rsidR="004C2A21" w:rsidRPr="00A231FC" w:rsidRDefault="004C2A21" w:rsidP="00743826">
            <w:r w:rsidRPr="00A231FC">
              <w:t>Oral diazepam</w:t>
            </w:r>
          </w:p>
        </w:tc>
        <w:tc>
          <w:tcPr>
            <w:tcW w:w="2016" w:type="dxa"/>
          </w:tcPr>
          <w:p w14:paraId="4657EA53" w14:textId="2EC28DE7" w:rsidR="004C2A21" w:rsidRPr="00A231FC" w:rsidRDefault="004C2A21" w:rsidP="00743826">
            <w:r w:rsidRPr="00A231FC">
              <w:t>5–20</w:t>
            </w:r>
            <w:r w:rsidR="00A231FC">
              <w:t xml:space="preserve"> </w:t>
            </w:r>
            <w:r w:rsidRPr="00A231FC">
              <w:t>mg</w:t>
            </w:r>
          </w:p>
        </w:tc>
        <w:tc>
          <w:tcPr>
            <w:tcW w:w="2552" w:type="dxa"/>
          </w:tcPr>
          <w:p w14:paraId="35C54999" w14:textId="77777777" w:rsidR="004C2A21" w:rsidRPr="00A231FC" w:rsidRDefault="004C2A21" w:rsidP="00743826">
            <w:r w:rsidRPr="00A231FC">
              <w:t>30–60 minutes</w:t>
            </w:r>
          </w:p>
        </w:tc>
        <w:tc>
          <w:tcPr>
            <w:tcW w:w="2992" w:type="dxa"/>
            <w:shd w:val="clear" w:color="auto" w:fill="auto"/>
          </w:tcPr>
          <w:p w14:paraId="6CA5308C" w14:textId="77777777" w:rsidR="004C2A21" w:rsidRPr="00A231FC" w:rsidRDefault="004C2A21" w:rsidP="00743826">
            <w:pPr>
              <w:pStyle w:val="Tablebullet"/>
            </w:pPr>
            <w:r w:rsidRPr="00A231FC">
              <w:t>Drowsiness</w:t>
            </w:r>
          </w:p>
        </w:tc>
      </w:tr>
      <w:tr w:rsidR="004C2A21" w:rsidRPr="00A231FC" w14:paraId="5B414E05" w14:textId="77777777" w:rsidTr="002B24B5">
        <w:tc>
          <w:tcPr>
            <w:tcW w:w="10080" w:type="dxa"/>
            <w:gridSpan w:val="4"/>
            <w:shd w:val="clear" w:color="auto" w:fill="BFDDE1" w:themeFill="accent3"/>
          </w:tcPr>
          <w:p w14:paraId="0F4B6A7F" w14:textId="77777777" w:rsidR="004C2A21" w:rsidRPr="00A231FC" w:rsidRDefault="004C2A21" w:rsidP="00743826">
            <w:pPr>
              <w:pStyle w:val="Tabletextcentred"/>
            </w:pPr>
            <w:r w:rsidRPr="00A231FC">
              <w:t>and/or</w:t>
            </w:r>
          </w:p>
        </w:tc>
      </w:tr>
      <w:tr w:rsidR="004C2A21" w:rsidRPr="00A231FC" w14:paraId="0092FE68" w14:textId="77777777" w:rsidTr="00FB0ACB">
        <w:tc>
          <w:tcPr>
            <w:tcW w:w="2520" w:type="dxa"/>
          </w:tcPr>
          <w:p w14:paraId="735B0562" w14:textId="77777777" w:rsidR="004C2A21" w:rsidRPr="00A231FC" w:rsidRDefault="004C2A21" w:rsidP="00743826">
            <w:r w:rsidRPr="00A231FC">
              <w:t>Oral olanzapine</w:t>
            </w:r>
          </w:p>
        </w:tc>
        <w:tc>
          <w:tcPr>
            <w:tcW w:w="2016" w:type="dxa"/>
          </w:tcPr>
          <w:p w14:paraId="05EA6C34" w14:textId="78CA9209" w:rsidR="004C2A21" w:rsidRPr="00A231FC" w:rsidRDefault="004C2A21" w:rsidP="00743826">
            <w:r w:rsidRPr="00A231FC">
              <w:t>5–10</w:t>
            </w:r>
            <w:r w:rsidR="00A231FC">
              <w:t xml:space="preserve"> </w:t>
            </w:r>
            <w:r w:rsidRPr="00A231FC">
              <w:t>mg</w:t>
            </w:r>
          </w:p>
        </w:tc>
        <w:tc>
          <w:tcPr>
            <w:tcW w:w="2552" w:type="dxa"/>
          </w:tcPr>
          <w:p w14:paraId="0D45B413" w14:textId="77777777" w:rsidR="004C2A21" w:rsidRPr="00A231FC" w:rsidRDefault="004C2A21" w:rsidP="00743826">
            <w:r w:rsidRPr="00A231FC">
              <w:t>30–60 minutes</w:t>
            </w:r>
          </w:p>
        </w:tc>
        <w:tc>
          <w:tcPr>
            <w:tcW w:w="2992" w:type="dxa"/>
            <w:shd w:val="clear" w:color="auto" w:fill="auto"/>
          </w:tcPr>
          <w:p w14:paraId="461A04AF" w14:textId="77777777" w:rsidR="004C2A21" w:rsidRPr="00A231FC" w:rsidRDefault="004C2A21" w:rsidP="00743826">
            <w:pPr>
              <w:pStyle w:val="Tablebullet"/>
            </w:pPr>
            <w:r w:rsidRPr="00A231FC">
              <w:t>Extrapyramidal reactions</w:t>
            </w:r>
          </w:p>
          <w:p w14:paraId="6F3287DC" w14:textId="77777777" w:rsidR="004C2A21" w:rsidRPr="00A231FC" w:rsidRDefault="004C2A21" w:rsidP="00743826">
            <w:pPr>
              <w:pStyle w:val="Tablebullet"/>
            </w:pPr>
            <w:r w:rsidRPr="00A231FC">
              <w:t>Hypotension</w:t>
            </w:r>
          </w:p>
        </w:tc>
      </w:tr>
    </w:tbl>
    <w:p w14:paraId="241C91E4" w14:textId="77777777" w:rsidR="004C2A21" w:rsidRPr="002B24B5" w:rsidRDefault="004C2A21" w:rsidP="00322C5E">
      <w:pPr>
        <w:pStyle w:val="Heading3"/>
      </w:pPr>
      <w:r w:rsidRPr="002B24B5">
        <w:t>Parenteral sedation</w:t>
      </w:r>
    </w:p>
    <w:p w14:paraId="0FCC38EF" w14:textId="28B0F16E" w:rsidR="000F4882" w:rsidRPr="000F4882" w:rsidRDefault="004C2A21" w:rsidP="00743826">
      <w:pPr>
        <w:pStyle w:val="Normalfollowingheading"/>
      </w:pPr>
      <w:r w:rsidRPr="002B24B5">
        <w:t xml:space="preserve">Give parenteral sedation according to Table 6 if sedation is required but oral sedation is refused or considered inappropriate by clinical staff because of the person’s acute behavioural disturbance or clinical condition. </w:t>
      </w:r>
    </w:p>
    <w:p w14:paraId="12BFF7BA" w14:textId="77777777" w:rsidR="004C2A21" w:rsidRPr="002B24B5" w:rsidRDefault="004C2A21" w:rsidP="00743826">
      <w:r w:rsidRPr="002B24B5">
        <w:t>Do not get intravenous (IV) access just to give sedation. Intramuscular (IM) administration is at least as effective, faster and has less risk of needlestick injury.</w:t>
      </w:r>
    </w:p>
    <w:p w14:paraId="698F60C7" w14:textId="77777777" w:rsidR="004C2A21" w:rsidRPr="002B24B5" w:rsidRDefault="004C2A21" w:rsidP="00743826">
      <w:r w:rsidRPr="002B24B5">
        <w:t>Assemble a team of adequately skilled and trained staff to give parenteral sedation. This may include:</w:t>
      </w:r>
    </w:p>
    <w:p w14:paraId="3C8093B3" w14:textId="77777777" w:rsidR="004C2A21" w:rsidRPr="002B24B5" w:rsidRDefault="004C2A21" w:rsidP="00322C5E">
      <w:pPr>
        <w:pStyle w:val="Bullet1"/>
      </w:pPr>
      <w:r w:rsidRPr="002B24B5">
        <w:t>a clinical leader to monitor the patient, order medications and give direction</w:t>
      </w:r>
    </w:p>
    <w:p w14:paraId="2BAF18F7" w14:textId="77777777" w:rsidR="004C2A21" w:rsidRPr="002B24B5" w:rsidRDefault="004C2A21" w:rsidP="00322C5E">
      <w:pPr>
        <w:pStyle w:val="Bullet1"/>
      </w:pPr>
      <w:r w:rsidRPr="002B24B5">
        <w:t>clinical staff to give the medication</w:t>
      </w:r>
    </w:p>
    <w:p w14:paraId="775D7486" w14:textId="77777777" w:rsidR="004C2A21" w:rsidRPr="002B24B5" w:rsidRDefault="004C2A21" w:rsidP="00322C5E">
      <w:pPr>
        <w:pStyle w:val="Bullet1"/>
      </w:pPr>
      <w:r w:rsidRPr="002B24B5">
        <w:rPr>
          <w:b/>
        </w:rPr>
        <w:t>one</w:t>
      </w:r>
      <w:r w:rsidRPr="002B24B5">
        <w:t xml:space="preserve"> clinical staff member assigned as the lead communicator with the person </w:t>
      </w:r>
    </w:p>
    <w:p w14:paraId="574C2CBE" w14:textId="77777777" w:rsidR="00BA560C" w:rsidRPr="002B24B5" w:rsidRDefault="004C2A21" w:rsidP="00322C5E">
      <w:pPr>
        <w:pStyle w:val="Bullet1"/>
      </w:pPr>
      <w:r w:rsidRPr="002B24B5">
        <w:t>security staff.</w:t>
      </w:r>
    </w:p>
    <w:p w14:paraId="53BC2608" w14:textId="77777777" w:rsidR="00322C5E" w:rsidRDefault="00322C5E">
      <w:pPr>
        <w:spacing w:before="160" w:after="160" w:line="280" w:lineRule="atLeast"/>
        <w:rPr>
          <w:b/>
          <w:bCs/>
          <w:color w:val="007586" w:themeColor="text2"/>
          <w:spacing w:val="2"/>
          <w:szCs w:val="18"/>
        </w:rPr>
      </w:pPr>
      <w:r>
        <w:br w:type="page"/>
      </w:r>
    </w:p>
    <w:p w14:paraId="205D5CCD" w14:textId="52098EE7" w:rsidR="004C2A21" w:rsidRPr="002B24B5" w:rsidRDefault="004C2A21" w:rsidP="00322C5E">
      <w:pPr>
        <w:pStyle w:val="Tablechartdiagramheading"/>
      </w:pPr>
      <w:r w:rsidRPr="002B24B5">
        <w:lastRenderedPageBreak/>
        <w:t xml:space="preserve">Table </w:t>
      </w:r>
      <w:fldSimple w:instr=" SEQ Table \* ARABIC ">
        <w:r w:rsidR="00116296">
          <w:rPr>
            <w:noProof/>
          </w:rPr>
          <w:t>6</w:t>
        </w:r>
      </w:fldSimple>
      <w:r w:rsidRPr="002B24B5">
        <w:rPr>
          <w:noProof/>
        </w:rPr>
        <w:t>:</w:t>
      </w:r>
      <w:r w:rsidRPr="002B24B5">
        <w:t xml:space="preserve"> Parenteral sedation for adults aged 16–65 years</w:t>
      </w:r>
    </w:p>
    <w:tbl>
      <w:tblPr>
        <w:tblStyle w:val="TableGrid"/>
        <w:tblW w:w="0" w:type="auto"/>
        <w:tblLook w:val="0420" w:firstRow="1" w:lastRow="0" w:firstColumn="0" w:lastColumn="0" w:noHBand="0" w:noVBand="1"/>
      </w:tblPr>
      <w:tblGrid>
        <w:gridCol w:w="2307"/>
        <w:gridCol w:w="2516"/>
        <w:gridCol w:w="2123"/>
        <w:gridCol w:w="3144"/>
      </w:tblGrid>
      <w:tr w:rsidR="004C2A21" w:rsidRPr="00A231FC" w14:paraId="2B2AE034" w14:textId="77777777" w:rsidTr="00587949">
        <w:trPr>
          <w:cnfStyle w:val="100000000000" w:firstRow="1" w:lastRow="0" w:firstColumn="0" w:lastColumn="0" w:oddVBand="0" w:evenVBand="0" w:oddHBand="0" w:evenHBand="0" w:firstRowFirstColumn="0" w:firstRowLastColumn="0" w:lastRowFirstColumn="0" w:lastRowLastColumn="0"/>
          <w:trHeight w:val="203"/>
          <w:tblHeader/>
        </w:trPr>
        <w:tc>
          <w:tcPr>
            <w:tcW w:w="2307" w:type="dxa"/>
          </w:tcPr>
          <w:p w14:paraId="38BDEDE7" w14:textId="77777777" w:rsidR="004C2A21" w:rsidRPr="00A231FC" w:rsidRDefault="004C2A21" w:rsidP="00743826">
            <w:pPr>
              <w:pStyle w:val="Normalfollowingheading"/>
            </w:pPr>
            <w:r w:rsidRPr="00A231FC">
              <w:t>Medication</w:t>
            </w:r>
          </w:p>
        </w:tc>
        <w:tc>
          <w:tcPr>
            <w:tcW w:w="2516" w:type="dxa"/>
          </w:tcPr>
          <w:p w14:paraId="695C910E" w14:textId="77777777" w:rsidR="004C2A21" w:rsidRPr="00A231FC" w:rsidRDefault="004C2A21" w:rsidP="00743826">
            <w:pPr>
              <w:pStyle w:val="Normalfollowingheading"/>
            </w:pPr>
            <w:r w:rsidRPr="00A231FC">
              <w:t>Dose</w:t>
            </w:r>
          </w:p>
        </w:tc>
        <w:tc>
          <w:tcPr>
            <w:tcW w:w="2123" w:type="dxa"/>
          </w:tcPr>
          <w:p w14:paraId="1F35B3A2" w14:textId="77777777" w:rsidR="004C2A21" w:rsidRPr="00A231FC" w:rsidRDefault="004C2A21" w:rsidP="00743826">
            <w:pPr>
              <w:pStyle w:val="Normalfollowingheading"/>
            </w:pPr>
            <w:r w:rsidRPr="00A231FC">
              <w:t>Onset time</w:t>
            </w:r>
          </w:p>
        </w:tc>
        <w:tc>
          <w:tcPr>
            <w:tcW w:w="3144" w:type="dxa"/>
          </w:tcPr>
          <w:p w14:paraId="6A3916C1" w14:textId="77777777" w:rsidR="004C2A21" w:rsidRPr="00A231FC" w:rsidRDefault="004C2A21" w:rsidP="00743826">
            <w:pPr>
              <w:pStyle w:val="Normalfollowingheading"/>
            </w:pPr>
            <w:r w:rsidRPr="00A231FC">
              <w:t>Adverse effects</w:t>
            </w:r>
          </w:p>
        </w:tc>
      </w:tr>
      <w:tr w:rsidR="000F4882" w:rsidRPr="002B24B5" w14:paraId="1F450A49" w14:textId="77777777" w:rsidTr="00A231FC">
        <w:trPr>
          <w:trHeight w:val="175"/>
        </w:trPr>
        <w:tc>
          <w:tcPr>
            <w:tcW w:w="10090" w:type="dxa"/>
            <w:gridSpan w:val="4"/>
            <w:shd w:val="clear" w:color="auto" w:fill="auto"/>
            <w:vAlign w:val="center"/>
          </w:tcPr>
          <w:p w14:paraId="335A0380" w14:textId="5F70F805" w:rsidR="000F4882" w:rsidRPr="00CB0B64" w:rsidRDefault="00A231FC" w:rsidP="00743826">
            <w:pPr>
              <w:pStyle w:val="Tabletextcentred"/>
            </w:pPr>
            <w:r>
              <w:rPr>
                <w:noProof/>
              </w:rPr>
              <w:drawing>
                <wp:inline distT="0" distB="0" distL="0" distR="0" wp14:anchorId="0BE7CC42" wp14:editId="5C31EE31">
                  <wp:extent cx="360000" cy="360000"/>
                  <wp:effectExtent l="0" t="0" r="2540" b="2540"/>
                  <wp:docPr id="10" name="Graphic 10"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llseye.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60000" cy="360000"/>
                          </a:xfrm>
                          <a:prstGeom prst="rect">
                            <a:avLst/>
                          </a:prstGeom>
                        </pic:spPr>
                      </pic:pic>
                    </a:graphicData>
                  </a:graphic>
                </wp:inline>
              </w:drawing>
            </w:r>
            <w:r w:rsidR="000F4882" w:rsidRPr="00CB0B64">
              <w:t>Aim for the person to be drowsy but rousable with a SAT score of –1 or 0</w:t>
            </w:r>
          </w:p>
        </w:tc>
      </w:tr>
      <w:tr w:rsidR="004C2A21" w:rsidRPr="003512CF" w14:paraId="29D17C3C" w14:textId="77777777" w:rsidTr="000F4882">
        <w:trPr>
          <w:trHeight w:val="175"/>
        </w:trPr>
        <w:tc>
          <w:tcPr>
            <w:tcW w:w="10090" w:type="dxa"/>
            <w:gridSpan w:val="4"/>
            <w:shd w:val="clear" w:color="auto" w:fill="BFDDE1" w:themeFill="accent3"/>
          </w:tcPr>
          <w:p w14:paraId="26E7E88F" w14:textId="0C920CDB" w:rsidR="004C2A21" w:rsidRPr="003512CF" w:rsidRDefault="004C2A21" w:rsidP="00743826">
            <w:pPr>
              <w:pStyle w:val="Tabletextcentred"/>
            </w:pPr>
            <w:r w:rsidRPr="003512CF">
              <w:t>F</w:t>
            </w:r>
            <w:r w:rsidR="00487841" w:rsidRPr="003512CF">
              <w:t>or most people requiring parenteral sedation</w:t>
            </w:r>
          </w:p>
        </w:tc>
      </w:tr>
      <w:tr w:rsidR="004C2A21" w:rsidRPr="003512CF" w14:paraId="35EE0A67" w14:textId="77777777" w:rsidTr="00587949">
        <w:trPr>
          <w:trHeight w:val="514"/>
        </w:trPr>
        <w:tc>
          <w:tcPr>
            <w:tcW w:w="2307" w:type="dxa"/>
          </w:tcPr>
          <w:p w14:paraId="6497CBCF" w14:textId="77777777" w:rsidR="004C2A21" w:rsidRPr="003512CF" w:rsidRDefault="004C2A21" w:rsidP="00743826">
            <w:pPr>
              <w:pStyle w:val="Tabletext"/>
            </w:pPr>
            <w:r w:rsidRPr="003512CF">
              <w:t xml:space="preserve">IM </w:t>
            </w:r>
            <w:proofErr w:type="spellStart"/>
            <w:r w:rsidRPr="003512CF">
              <w:t>droperidol</w:t>
            </w:r>
            <w:proofErr w:type="spellEnd"/>
          </w:p>
        </w:tc>
        <w:tc>
          <w:tcPr>
            <w:tcW w:w="2516" w:type="dxa"/>
          </w:tcPr>
          <w:p w14:paraId="2E729F04" w14:textId="31C972A5" w:rsidR="004C2A21" w:rsidRPr="003512CF" w:rsidRDefault="004C2A21" w:rsidP="00743826">
            <w:pPr>
              <w:pStyle w:val="Tabletext"/>
            </w:pPr>
            <w:r w:rsidRPr="003512CF">
              <w:t>5–10</w:t>
            </w:r>
            <w:r w:rsidR="003512CF">
              <w:t xml:space="preserve"> </w:t>
            </w:r>
            <w:r w:rsidRPr="003512CF">
              <w:t>mg. Repeat in 15 minutes.</w:t>
            </w:r>
            <w:r w:rsidRPr="003512CF">
              <w:rPr>
                <w:i/>
              </w:rPr>
              <w:t xml:space="preserve"> </w:t>
            </w:r>
            <w:r w:rsidRPr="003512CF">
              <w:t>Maximum total dose 20</w:t>
            </w:r>
            <w:r w:rsidR="003512CF">
              <w:t xml:space="preserve"> </w:t>
            </w:r>
            <w:r w:rsidRPr="003512CF">
              <w:t>mg.</w:t>
            </w:r>
          </w:p>
        </w:tc>
        <w:tc>
          <w:tcPr>
            <w:tcW w:w="2123" w:type="dxa"/>
          </w:tcPr>
          <w:p w14:paraId="7E4B159F" w14:textId="77777777" w:rsidR="004C2A21" w:rsidRPr="003512CF" w:rsidRDefault="004C2A21" w:rsidP="00743826">
            <w:pPr>
              <w:pStyle w:val="Tabletext"/>
            </w:pPr>
            <w:r w:rsidRPr="003512CF">
              <w:t>3–10 minutes</w:t>
            </w:r>
          </w:p>
        </w:tc>
        <w:tc>
          <w:tcPr>
            <w:tcW w:w="3144" w:type="dxa"/>
          </w:tcPr>
          <w:p w14:paraId="2189654E" w14:textId="77777777" w:rsidR="004C2A21" w:rsidRPr="003512CF" w:rsidRDefault="004C2A21" w:rsidP="00743826">
            <w:pPr>
              <w:pStyle w:val="Tablebullet"/>
            </w:pPr>
            <w:r w:rsidRPr="003512CF">
              <w:t>Extrapyramidal reactions</w:t>
            </w:r>
          </w:p>
          <w:p w14:paraId="2F003495" w14:textId="77777777" w:rsidR="004C2A21" w:rsidRPr="003512CF" w:rsidRDefault="004C2A21" w:rsidP="00743826">
            <w:pPr>
              <w:pStyle w:val="Tablebullet"/>
            </w:pPr>
            <w:r w:rsidRPr="003512CF">
              <w:t>QT segment prolongation (minimal clinical significance)</w:t>
            </w:r>
          </w:p>
        </w:tc>
      </w:tr>
      <w:tr w:rsidR="004C2A21" w:rsidRPr="003512CF" w14:paraId="2F44F9A3" w14:textId="77777777" w:rsidTr="000F4882">
        <w:trPr>
          <w:trHeight w:val="277"/>
        </w:trPr>
        <w:tc>
          <w:tcPr>
            <w:tcW w:w="10090" w:type="dxa"/>
            <w:gridSpan w:val="4"/>
            <w:shd w:val="clear" w:color="auto" w:fill="BFDDE1" w:themeFill="accent3"/>
          </w:tcPr>
          <w:p w14:paraId="0811D5D5" w14:textId="70614B24" w:rsidR="004C2A21" w:rsidRPr="003512CF" w:rsidRDefault="00487841" w:rsidP="00743826">
            <w:pPr>
              <w:pStyle w:val="Tabletextcentred"/>
            </w:pPr>
            <w:r w:rsidRPr="003512CF">
              <w:t>F</w:t>
            </w:r>
            <w:r w:rsidR="004C2A21" w:rsidRPr="003512CF">
              <w:t>or people with suspected psychostimulant toxicity or alcohol withdrawal</w:t>
            </w:r>
            <w:r w:rsidR="00B12737">
              <w:t xml:space="preserve"> consider adding</w:t>
            </w:r>
          </w:p>
        </w:tc>
      </w:tr>
      <w:tr w:rsidR="004C2A21" w:rsidRPr="003512CF" w14:paraId="7254F3EF" w14:textId="77777777" w:rsidTr="00587949">
        <w:trPr>
          <w:trHeight w:val="514"/>
        </w:trPr>
        <w:tc>
          <w:tcPr>
            <w:tcW w:w="2307" w:type="dxa"/>
          </w:tcPr>
          <w:p w14:paraId="0429B0F8" w14:textId="77777777" w:rsidR="004C2A21" w:rsidRPr="003512CF" w:rsidRDefault="004C2A21" w:rsidP="00743826">
            <w:pPr>
              <w:pStyle w:val="Tabletext"/>
            </w:pPr>
            <w:r w:rsidRPr="003512CF">
              <w:t>IM midazolam</w:t>
            </w:r>
          </w:p>
        </w:tc>
        <w:tc>
          <w:tcPr>
            <w:tcW w:w="2516" w:type="dxa"/>
          </w:tcPr>
          <w:p w14:paraId="4E76C9E6" w14:textId="183FE296" w:rsidR="004C2A21" w:rsidRPr="003512CF" w:rsidRDefault="004C2A21" w:rsidP="00743826">
            <w:pPr>
              <w:pStyle w:val="Tabletext"/>
            </w:pPr>
            <w:r w:rsidRPr="003512CF">
              <w:t>5–10</w:t>
            </w:r>
            <w:r w:rsidR="003512CF">
              <w:t xml:space="preserve"> </w:t>
            </w:r>
            <w:r w:rsidRPr="003512CF">
              <w:t>mg. Repeat in 15 minutes. Maximum total dose 20mg.</w:t>
            </w:r>
          </w:p>
        </w:tc>
        <w:tc>
          <w:tcPr>
            <w:tcW w:w="2123" w:type="dxa"/>
          </w:tcPr>
          <w:p w14:paraId="3E2C520C" w14:textId="77777777" w:rsidR="004C2A21" w:rsidRPr="003512CF" w:rsidRDefault="004C2A21" w:rsidP="00743826">
            <w:pPr>
              <w:pStyle w:val="Tabletext"/>
            </w:pPr>
            <w:r w:rsidRPr="003512CF">
              <w:t>2–15 minutes</w:t>
            </w:r>
          </w:p>
        </w:tc>
        <w:tc>
          <w:tcPr>
            <w:tcW w:w="3144" w:type="dxa"/>
          </w:tcPr>
          <w:p w14:paraId="455479DD" w14:textId="77777777" w:rsidR="004C2A21" w:rsidRPr="003512CF" w:rsidRDefault="004C2A21" w:rsidP="00743826">
            <w:pPr>
              <w:pStyle w:val="Tablebullet"/>
            </w:pPr>
            <w:r w:rsidRPr="003512CF">
              <w:t>Respiratory depression</w:t>
            </w:r>
          </w:p>
          <w:p w14:paraId="54D3F584" w14:textId="77777777" w:rsidR="004C2A21" w:rsidRPr="003512CF" w:rsidRDefault="004C2A21" w:rsidP="00743826">
            <w:pPr>
              <w:pStyle w:val="Tablebullet"/>
            </w:pPr>
            <w:r w:rsidRPr="003512CF">
              <w:t>Oxygen desaturation</w:t>
            </w:r>
          </w:p>
          <w:p w14:paraId="627EA7D0" w14:textId="77777777" w:rsidR="004C2A21" w:rsidRPr="003512CF" w:rsidRDefault="004C2A21" w:rsidP="00743826">
            <w:pPr>
              <w:pStyle w:val="Tablebullet"/>
            </w:pPr>
            <w:r w:rsidRPr="003512CF">
              <w:t>Airway obstruction</w:t>
            </w:r>
          </w:p>
          <w:p w14:paraId="2FF8AEC1" w14:textId="77777777" w:rsidR="004C2A21" w:rsidRPr="003512CF" w:rsidRDefault="004C2A21" w:rsidP="00743826">
            <w:pPr>
              <w:pStyle w:val="Tablebullet"/>
            </w:pPr>
            <w:r w:rsidRPr="003512CF">
              <w:t>Hypotension</w:t>
            </w:r>
          </w:p>
        </w:tc>
      </w:tr>
      <w:tr w:rsidR="004C2A21" w:rsidRPr="003512CF" w14:paraId="002F413B" w14:textId="77777777" w:rsidTr="000F4882">
        <w:trPr>
          <w:trHeight w:val="312"/>
        </w:trPr>
        <w:tc>
          <w:tcPr>
            <w:tcW w:w="10090" w:type="dxa"/>
            <w:gridSpan w:val="4"/>
            <w:shd w:val="clear" w:color="auto" w:fill="BFDDE1" w:themeFill="accent3"/>
          </w:tcPr>
          <w:p w14:paraId="401EFF27" w14:textId="6033563F" w:rsidR="004C2A21" w:rsidRPr="003512CF" w:rsidRDefault="00487841" w:rsidP="00743826">
            <w:pPr>
              <w:pStyle w:val="Tabletextcentred"/>
            </w:pPr>
            <w:r w:rsidRPr="003512CF">
              <w:t>W</w:t>
            </w:r>
            <w:r w:rsidR="004C2A21" w:rsidRPr="003512CF">
              <w:t>hen safety is at</w:t>
            </w:r>
            <w:r w:rsidRPr="003512CF">
              <w:t xml:space="preserve"> extraordinary and</w:t>
            </w:r>
            <w:r w:rsidR="004C2A21" w:rsidRPr="003512CF">
              <w:t xml:space="preserve"> immediate risk </w:t>
            </w:r>
            <w:r w:rsidR="00B12737" w:rsidRPr="00B12737">
              <w:t>consider as first line or rescue therapy</w:t>
            </w:r>
          </w:p>
        </w:tc>
      </w:tr>
      <w:tr w:rsidR="004C2A21" w:rsidRPr="003512CF" w14:paraId="5C84F7B7" w14:textId="77777777" w:rsidTr="00587949">
        <w:trPr>
          <w:trHeight w:val="514"/>
        </w:trPr>
        <w:tc>
          <w:tcPr>
            <w:tcW w:w="2307" w:type="dxa"/>
          </w:tcPr>
          <w:p w14:paraId="2FE6218B" w14:textId="77777777" w:rsidR="004C2A21" w:rsidRPr="003512CF" w:rsidRDefault="004C2A21" w:rsidP="00743826">
            <w:pPr>
              <w:pStyle w:val="Tabletext"/>
            </w:pPr>
            <w:r w:rsidRPr="003512CF">
              <w:t>IM ketamine</w:t>
            </w:r>
          </w:p>
        </w:tc>
        <w:tc>
          <w:tcPr>
            <w:tcW w:w="2516" w:type="dxa"/>
          </w:tcPr>
          <w:p w14:paraId="2AA19250" w14:textId="65E44245" w:rsidR="004C2A21" w:rsidRPr="003512CF" w:rsidRDefault="004C2A21" w:rsidP="00743826">
            <w:pPr>
              <w:pStyle w:val="Tabletext"/>
            </w:pPr>
            <w:r w:rsidRPr="003512CF">
              <w:t>4–5</w:t>
            </w:r>
            <w:r w:rsidR="003512CF">
              <w:t xml:space="preserve"> </w:t>
            </w:r>
            <w:r w:rsidRPr="003512CF">
              <w:t>mg/kg</w:t>
            </w:r>
          </w:p>
        </w:tc>
        <w:tc>
          <w:tcPr>
            <w:tcW w:w="2123" w:type="dxa"/>
          </w:tcPr>
          <w:p w14:paraId="1376CD80" w14:textId="77777777" w:rsidR="004C2A21" w:rsidRPr="003512CF" w:rsidRDefault="004C2A21" w:rsidP="00743826">
            <w:pPr>
              <w:pStyle w:val="Tabletext"/>
            </w:pPr>
            <w:r w:rsidRPr="003512CF">
              <w:t>3–4 minutes</w:t>
            </w:r>
          </w:p>
        </w:tc>
        <w:tc>
          <w:tcPr>
            <w:tcW w:w="3144" w:type="dxa"/>
          </w:tcPr>
          <w:p w14:paraId="4FB65116" w14:textId="77777777" w:rsidR="004C2A21" w:rsidRPr="003512CF" w:rsidRDefault="004C2A21" w:rsidP="00743826">
            <w:pPr>
              <w:pStyle w:val="Tablebullet"/>
            </w:pPr>
            <w:r w:rsidRPr="003512CF">
              <w:t>Hypertension</w:t>
            </w:r>
          </w:p>
          <w:p w14:paraId="20518B91" w14:textId="77777777" w:rsidR="004C2A21" w:rsidRPr="003512CF" w:rsidRDefault="004C2A21" w:rsidP="00743826">
            <w:pPr>
              <w:pStyle w:val="Tablebullet"/>
            </w:pPr>
            <w:r w:rsidRPr="003512CF">
              <w:t>Emergence reactions</w:t>
            </w:r>
          </w:p>
          <w:p w14:paraId="7363F398" w14:textId="77777777" w:rsidR="004C2A21" w:rsidRPr="003512CF" w:rsidRDefault="004C2A21" w:rsidP="00743826">
            <w:pPr>
              <w:pStyle w:val="Tablebullet"/>
            </w:pPr>
            <w:r w:rsidRPr="003512CF">
              <w:t>Tachycardia</w:t>
            </w:r>
          </w:p>
        </w:tc>
      </w:tr>
    </w:tbl>
    <w:p w14:paraId="74201E17" w14:textId="7852016E" w:rsidR="004C2A21" w:rsidRPr="002B24B5" w:rsidRDefault="004C2A21" w:rsidP="00743826">
      <w:r w:rsidRPr="002B24B5">
        <w:t>Seek specialist advice about additional sedation options if:</w:t>
      </w:r>
    </w:p>
    <w:p w14:paraId="0F2F46CE" w14:textId="77777777" w:rsidR="004C2A21" w:rsidRPr="002B24B5" w:rsidRDefault="004C2A21" w:rsidP="00322C5E">
      <w:pPr>
        <w:pStyle w:val="Bullet1"/>
      </w:pPr>
      <w:r w:rsidRPr="002B24B5">
        <w:t>the sedation in Table 6 has not been effective</w:t>
      </w:r>
    </w:p>
    <w:p w14:paraId="23BBF66C" w14:textId="79BFCE0C" w:rsidR="004C2A21" w:rsidRPr="002B24B5" w:rsidRDefault="004C2A21" w:rsidP="00322C5E">
      <w:pPr>
        <w:pStyle w:val="Bullet1"/>
      </w:pPr>
      <w:r w:rsidRPr="002B24B5">
        <w:t xml:space="preserve">the person continues to display </w:t>
      </w:r>
      <w:r w:rsidRPr="0081262B">
        <w:t>‘</w:t>
      </w:r>
      <w:hyperlink w:anchor="redflags" w:history="1">
        <w:r w:rsidRPr="0081262B">
          <w:rPr>
            <w:rStyle w:val="Hyperlink"/>
            <w:color w:val="0070C0"/>
            <w:u w:val="single"/>
          </w:rPr>
          <w:t>red flag indicators</w:t>
        </w:r>
      </w:hyperlink>
      <w:r w:rsidRPr="0081262B">
        <w:t>’</w:t>
      </w:r>
      <w:r w:rsidRPr="002B24B5">
        <w:t>, especially abnormal vital signs</w:t>
      </w:r>
    </w:p>
    <w:p w14:paraId="7CE95FCD" w14:textId="77777777" w:rsidR="004C2A21" w:rsidRPr="002B24B5" w:rsidRDefault="004C2A21" w:rsidP="00322C5E">
      <w:pPr>
        <w:pStyle w:val="Bullet1"/>
      </w:pPr>
      <w:r w:rsidRPr="002B24B5">
        <w:t>the person already has IV access and you want to give IV sedation</w:t>
      </w:r>
    </w:p>
    <w:p w14:paraId="200D421F" w14:textId="2C2E0DEA" w:rsidR="00BA560C" w:rsidRPr="002B24B5" w:rsidRDefault="004C2A21" w:rsidP="00322C5E">
      <w:pPr>
        <w:pStyle w:val="Bullet2"/>
      </w:pPr>
      <w:r w:rsidRPr="002B24B5">
        <w:t xml:space="preserve">suggested </w:t>
      </w:r>
      <w:r w:rsidR="00563FAB">
        <w:t xml:space="preserve">IV </w:t>
      </w:r>
      <w:r w:rsidRPr="002B24B5">
        <w:t xml:space="preserve">doses: </w:t>
      </w:r>
      <w:proofErr w:type="spellStart"/>
      <w:r w:rsidRPr="002B24B5">
        <w:t>droperidol</w:t>
      </w:r>
      <w:proofErr w:type="spellEnd"/>
      <w:r w:rsidRPr="002B24B5">
        <w:t xml:space="preserve"> 5–10</w:t>
      </w:r>
      <w:r w:rsidR="003512CF">
        <w:t xml:space="preserve"> </w:t>
      </w:r>
      <w:r w:rsidRPr="002B24B5">
        <w:t>mg</w:t>
      </w:r>
      <w:r w:rsidR="00635D7F">
        <w:t>,</w:t>
      </w:r>
      <w:r w:rsidRPr="002B24B5">
        <w:t xml:space="preserve"> maximum total dose 60</w:t>
      </w:r>
      <w:r w:rsidR="003512CF">
        <w:t xml:space="preserve"> </w:t>
      </w:r>
      <w:r w:rsidRPr="002B24B5">
        <w:t>mg</w:t>
      </w:r>
      <w:r w:rsidR="002A4EF9">
        <w:t>;</w:t>
      </w:r>
      <w:r w:rsidRPr="002B24B5">
        <w:t xml:space="preserve"> midazolam 2.5–5</w:t>
      </w:r>
      <w:r w:rsidR="003512CF">
        <w:t xml:space="preserve"> </w:t>
      </w:r>
      <w:r w:rsidRPr="002B24B5">
        <w:t>mg</w:t>
      </w:r>
      <w:r w:rsidR="00635D7F">
        <w:t>,</w:t>
      </w:r>
      <w:r w:rsidRPr="002B24B5">
        <w:t xml:space="preserve"> maximum total dose 20</w:t>
      </w:r>
      <w:r w:rsidR="003512CF">
        <w:t xml:space="preserve"> </w:t>
      </w:r>
      <w:r w:rsidRPr="002B24B5">
        <w:t>mg</w:t>
      </w:r>
      <w:r w:rsidR="002A4EF9">
        <w:t>;</w:t>
      </w:r>
      <w:r w:rsidRPr="002B24B5">
        <w:t xml:space="preserve"> ketamine 1</w:t>
      </w:r>
      <w:r w:rsidR="003512CF">
        <w:t xml:space="preserve"> </w:t>
      </w:r>
      <w:r w:rsidRPr="002B24B5">
        <w:t>mg/kg.</w:t>
      </w:r>
    </w:p>
    <w:p w14:paraId="37AE6279" w14:textId="77777777" w:rsidR="00956C9C" w:rsidRPr="002B24B5" w:rsidRDefault="00956C9C" w:rsidP="00322C5E">
      <w:pPr>
        <w:pStyle w:val="Heading2"/>
      </w:pPr>
      <w:bookmarkStart w:id="22" w:name="_Toc36120126"/>
      <w:r w:rsidRPr="002B24B5">
        <w:t>Post-sedation care</w:t>
      </w:r>
      <w:bookmarkEnd w:id="22"/>
    </w:p>
    <w:p w14:paraId="3804932D" w14:textId="77777777" w:rsidR="00956C9C" w:rsidRPr="002B24B5" w:rsidRDefault="00956C9C" w:rsidP="00322C5E">
      <w:pPr>
        <w:pStyle w:val="Heading3"/>
      </w:pPr>
      <w:bookmarkStart w:id="23" w:name="_Clinical_monitoring"/>
      <w:bookmarkEnd w:id="23"/>
      <w:r w:rsidRPr="002B24B5">
        <w:t>Clinical monitoring</w:t>
      </w:r>
    </w:p>
    <w:p w14:paraId="228EE94F" w14:textId="6C9BE738" w:rsidR="00956C9C" w:rsidRPr="002B24B5" w:rsidRDefault="00956C9C" w:rsidP="00743826">
      <w:pPr>
        <w:pStyle w:val="Normalfollowingheading"/>
      </w:pPr>
      <w:r w:rsidRPr="002B24B5">
        <w:t>The person should be monitored by a clinician able to recognise and man</w:t>
      </w:r>
      <w:r w:rsidR="003512CF">
        <w:t>a</w:t>
      </w:r>
      <w:r w:rsidRPr="002B24B5">
        <w:t>ge:</w:t>
      </w:r>
    </w:p>
    <w:p w14:paraId="5F994BDF" w14:textId="77777777" w:rsidR="00956C9C" w:rsidRPr="002B24B5" w:rsidRDefault="00956C9C" w:rsidP="00322C5E">
      <w:pPr>
        <w:pStyle w:val="Bullet1"/>
      </w:pPr>
      <w:r w:rsidRPr="002B24B5">
        <w:t>an obstructed airway</w:t>
      </w:r>
    </w:p>
    <w:p w14:paraId="1700917E" w14:textId="77777777" w:rsidR="00956C9C" w:rsidRPr="002B24B5" w:rsidRDefault="00956C9C" w:rsidP="00322C5E">
      <w:pPr>
        <w:pStyle w:val="Bullet1"/>
      </w:pPr>
      <w:r w:rsidRPr="002B24B5">
        <w:t xml:space="preserve">inadequate oxygenation </w:t>
      </w:r>
    </w:p>
    <w:p w14:paraId="0BDA3C55" w14:textId="77777777" w:rsidR="00956C9C" w:rsidRPr="002B24B5" w:rsidRDefault="00956C9C" w:rsidP="00322C5E">
      <w:pPr>
        <w:pStyle w:val="Bullet1"/>
      </w:pPr>
      <w:r w:rsidRPr="002B24B5">
        <w:t>inadequate ventilation</w:t>
      </w:r>
    </w:p>
    <w:p w14:paraId="4E494D23" w14:textId="77777777" w:rsidR="00956C9C" w:rsidRPr="002B24B5" w:rsidRDefault="00956C9C" w:rsidP="00322C5E">
      <w:pPr>
        <w:pStyle w:val="Bullet1"/>
      </w:pPr>
      <w:r w:rsidRPr="002B24B5">
        <w:t xml:space="preserve">hypotension </w:t>
      </w:r>
    </w:p>
    <w:p w14:paraId="6D2123C2" w14:textId="0A074736" w:rsidR="00956C9C" w:rsidRPr="002B24B5" w:rsidRDefault="00956C9C" w:rsidP="00322C5E">
      <w:pPr>
        <w:pStyle w:val="Bullet1"/>
      </w:pPr>
      <w:r w:rsidRPr="002B24B5">
        <w:t>cardiac arr</w:t>
      </w:r>
      <w:r w:rsidR="003A6771">
        <w:t>h</w:t>
      </w:r>
      <w:r w:rsidRPr="002B24B5">
        <w:t xml:space="preserve">ythmias. </w:t>
      </w:r>
    </w:p>
    <w:p w14:paraId="25A5A3F3" w14:textId="60806763" w:rsidR="00BA07DD" w:rsidRDefault="00956C9C" w:rsidP="00743826">
      <w:r w:rsidRPr="002B24B5">
        <w:t xml:space="preserve">Determine the level of post-sedation monitoring based on clinical judgement. Table 7 describes suggested frequency of clinical assessment and documentation in relation to </w:t>
      </w:r>
      <w:hyperlink w:anchor="satscore" w:history="1">
        <w:r w:rsidRPr="00ED2592">
          <w:rPr>
            <w:rStyle w:val="Hyperlink"/>
            <w:color w:val="0070C0"/>
            <w:u w:val="single"/>
          </w:rPr>
          <w:t>SAT score</w:t>
        </w:r>
      </w:hyperlink>
      <w:r w:rsidR="00BA07DD">
        <w:t>.</w:t>
      </w:r>
    </w:p>
    <w:p w14:paraId="7A89AEDE" w14:textId="6032F63E" w:rsidR="00956C9C" w:rsidRPr="002B24B5" w:rsidRDefault="00956C9C" w:rsidP="00743826">
      <w:r w:rsidRPr="002B24B5">
        <w:t xml:space="preserve">For people who received parenteral sedation, in addition to Table 7 perform a clinical assessment </w:t>
      </w:r>
      <w:r w:rsidRPr="002B24B5">
        <w:rPr>
          <w:b/>
        </w:rPr>
        <w:t>at least every 15 minutes for the first hour</w:t>
      </w:r>
      <w:r w:rsidRPr="002B24B5">
        <w:t xml:space="preserve"> after parenteral sedation </w:t>
      </w:r>
      <w:r w:rsidR="009C36AF">
        <w:t>i</w:t>
      </w:r>
      <w:r w:rsidRPr="002B24B5">
        <w:t xml:space="preserve">s given. </w:t>
      </w:r>
    </w:p>
    <w:p w14:paraId="0F068485" w14:textId="02763762" w:rsidR="00956C9C" w:rsidRPr="002B24B5" w:rsidRDefault="00956C9C" w:rsidP="00743826">
      <w:r w:rsidRPr="002B24B5">
        <w:lastRenderedPageBreak/>
        <w:t>If obtaining vital signs will compromise safety, continu</w:t>
      </w:r>
      <w:r w:rsidR="00CB38A7">
        <w:t>e to</w:t>
      </w:r>
      <w:r w:rsidRPr="002B24B5">
        <w:t xml:space="preserve"> visually observe the person until vital signs can be obtained.</w:t>
      </w:r>
    </w:p>
    <w:p w14:paraId="08169E30" w14:textId="248331F8" w:rsidR="00DF3D77" w:rsidRPr="002B24B5" w:rsidRDefault="00DF3D77" w:rsidP="00322C5E">
      <w:pPr>
        <w:pStyle w:val="Tablechartdiagramheading"/>
      </w:pPr>
      <w:r w:rsidRPr="002B24B5">
        <w:t xml:space="preserve">Table </w:t>
      </w:r>
      <w:fldSimple w:instr=" SEQ Table \* ARABIC ">
        <w:r w:rsidR="00116296">
          <w:rPr>
            <w:noProof/>
          </w:rPr>
          <w:t>7</w:t>
        </w:r>
      </w:fldSimple>
      <w:r w:rsidRPr="002B24B5">
        <w:rPr>
          <w:noProof/>
        </w:rPr>
        <w:t>:</w:t>
      </w:r>
      <w:r w:rsidRPr="002B24B5">
        <w:t xml:space="preserve"> Post-sedation clinical assessment in relation to SAT score</w:t>
      </w:r>
    </w:p>
    <w:tbl>
      <w:tblPr>
        <w:tblStyle w:val="TableGrid"/>
        <w:tblW w:w="0" w:type="auto"/>
        <w:tblLook w:val="0420" w:firstRow="1" w:lastRow="0" w:firstColumn="0" w:lastColumn="0" w:noHBand="0" w:noVBand="1"/>
      </w:tblPr>
      <w:tblGrid>
        <w:gridCol w:w="1276"/>
        <w:gridCol w:w="4394"/>
        <w:gridCol w:w="4194"/>
      </w:tblGrid>
      <w:tr w:rsidR="00DF3D77" w:rsidRPr="00CB38A7" w14:paraId="5E477FC1" w14:textId="77777777" w:rsidTr="00CB38A7">
        <w:trPr>
          <w:cnfStyle w:val="100000000000" w:firstRow="1" w:lastRow="0" w:firstColumn="0" w:lastColumn="0" w:oddVBand="0" w:evenVBand="0" w:oddHBand="0" w:evenHBand="0" w:firstRowFirstColumn="0" w:firstRowLastColumn="0" w:lastRowFirstColumn="0" w:lastRowLastColumn="0"/>
          <w:tblHeader/>
        </w:trPr>
        <w:tc>
          <w:tcPr>
            <w:tcW w:w="1276" w:type="dxa"/>
          </w:tcPr>
          <w:p w14:paraId="66BF4FEE" w14:textId="77777777" w:rsidR="00DF3D77" w:rsidRPr="00CB38A7" w:rsidRDefault="00DF3D77" w:rsidP="00743826">
            <w:pPr>
              <w:pStyle w:val="Normalfollowingheading"/>
            </w:pPr>
            <w:r w:rsidRPr="00CB38A7">
              <w:t>SAT score</w:t>
            </w:r>
          </w:p>
        </w:tc>
        <w:tc>
          <w:tcPr>
            <w:tcW w:w="4394" w:type="dxa"/>
          </w:tcPr>
          <w:p w14:paraId="546A5C04" w14:textId="77777777" w:rsidR="00DF3D77" w:rsidRPr="00CB38A7" w:rsidRDefault="00DF3D77" w:rsidP="00743826">
            <w:pPr>
              <w:pStyle w:val="Normalfollowingheading"/>
            </w:pPr>
            <w:r w:rsidRPr="00CB38A7">
              <w:t>Minimum clinical assessment</w:t>
            </w:r>
          </w:p>
        </w:tc>
        <w:tc>
          <w:tcPr>
            <w:tcW w:w="4194" w:type="dxa"/>
          </w:tcPr>
          <w:p w14:paraId="0F58D747" w14:textId="77777777" w:rsidR="00DF3D77" w:rsidRPr="00CB38A7" w:rsidRDefault="00DF3D77" w:rsidP="00743826">
            <w:pPr>
              <w:pStyle w:val="Normalfollowingheading"/>
            </w:pPr>
            <w:r w:rsidRPr="00CB38A7">
              <w:t>Minimum frequency of clinical assessment</w:t>
            </w:r>
          </w:p>
        </w:tc>
      </w:tr>
      <w:tr w:rsidR="00DF3D77" w:rsidRPr="00CB38A7" w14:paraId="3F47AA5F" w14:textId="77777777" w:rsidTr="002B24B5">
        <w:tc>
          <w:tcPr>
            <w:tcW w:w="9864" w:type="dxa"/>
            <w:gridSpan w:val="3"/>
          </w:tcPr>
          <w:p w14:paraId="77FCFB75" w14:textId="1E1D94F2" w:rsidR="00DF3D77" w:rsidRPr="00CB38A7" w:rsidRDefault="00DF3D77" w:rsidP="00743826">
            <w:pPr>
              <w:pStyle w:val="Tabletext"/>
              <w:rPr>
                <w:sz w:val="18"/>
                <w:szCs w:val="22"/>
              </w:rPr>
            </w:pPr>
            <w:r w:rsidRPr="002914DF">
              <w:t>If the person received parenteral sedation</w:t>
            </w:r>
            <w:r w:rsidR="009C36AF">
              <w:t>,</w:t>
            </w:r>
            <w:r w:rsidRPr="002914DF">
              <w:t xml:space="preserve"> perform a clinical assessment at least every 15 minutes for the first hour</w:t>
            </w:r>
          </w:p>
        </w:tc>
      </w:tr>
      <w:tr w:rsidR="00DF3D77" w:rsidRPr="00CB38A7" w14:paraId="5561ACFD" w14:textId="77777777" w:rsidTr="00CB38A7">
        <w:tc>
          <w:tcPr>
            <w:tcW w:w="1276" w:type="dxa"/>
            <w:tcBorders>
              <w:right w:val="single" w:sz="4" w:space="0" w:color="auto"/>
            </w:tcBorders>
          </w:tcPr>
          <w:p w14:paraId="3B5FC385" w14:textId="77777777" w:rsidR="00DF3D77" w:rsidRPr="00CB38A7" w:rsidRDefault="00DF3D77" w:rsidP="00743826">
            <w:pPr>
              <w:pStyle w:val="Tabletext"/>
            </w:pPr>
            <w:r w:rsidRPr="00CB38A7">
              <w:t>0 or +1</w:t>
            </w:r>
          </w:p>
        </w:tc>
        <w:tc>
          <w:tcPr>
            <w:tcW w:w="4394" w:type="dxa"/>
            <w:tcBorders>
              <w:left w:val="single" w:sz="4" w:space="0" w:color="auto"/>
              <w:bottom w:val="single" w:sz="2" w:space="0" w:color="80808B" w:themeColor="accent5"/>
              <w:right w:val="single" w:sz="4" w:space="0" w:color="auto"/>
            </w:tcBorders>
          </w:tcPr>
          <w:p w14:paraId="63DCAA51" w14:textId="77777777" w:rsidR="00DF3D77" w:rsidRPr="00CB38A7" w:rsidRDefault="00DF3D77" w:rsidP="00743826">
            <w:pPr>
              <w:pStyle w:val="Tabletext"/>
            </w:pPr>
            <w:r w:rsidRPr="00CB38A7">
              <w:t>Standard clinical assessment</w:t>
            </w:r>
          </w:p>
        </w:tc>
        <w:tc>
          <w:tcPr>
            <w:tcW w:w="4194" w:type="dxa"/>
            <w:tcBorders>
              <w:left w:val="single" w:sz="4" w:space="0" w:color="auto"/>
            </w:tcBorders>
          </w:tcPr>
          <w:p w14:paraId="237EDFF0" w14:textId="77777777" w:rsidR="00DF3D77" w:rsidRPr="00CB38A7" w:rsidRDefault="00DF3D77" w:rsidP="00743826">
            <w:pPr>
              <w:pStyle w:val="Tabletext"/>
            </w:pPr>
            <w:r w:rsidRPr="00CB38A7">
              <w:t>Standard frequency of assessment</w:t>
            </w:r>
          </w:p>
        </w:tc>
      </w:tr>
      <w:tr w:rsidR="00DF3D77" w:rsidRPr="00CB38A7" w14:paraId="608AEA2A" w14:textId="77777777" w:rsidTr="00CB38A7">
        <w:tc>
          <w:tcPr>
            <w:tcW w:w="1276" w:type="dxa"/>
            <w:tcBorders>
              <w:right w:val="single" w:sz="4" w:space="0" w:color="auto"/>
            </w:tcBorders>
          </w:tcPr>
          <w:p w14:paraId="1F364599" w14:textId="77777777" w:rsidR="00DF3D77" w:rsidRPr="00CB38A7" w:rsidRDefault="00DF3D77" w:rsidP="00743826">
            <w:pPr>
              <w:pStyle w:val="Tabletext"/>
            </w:pPr>
            <w:r w:rsidRPr="00CB38A7">
              <w:t>–1</w:t>
            </w:r>
          </w:p>
        </w:tc>
        <w:tc>
          <w:tcPr>
            <w:tcW w:w="4394" w:type="dxa"/>
            <w:tcBorders>
              <w:left w:val="single" w:sz="4" w:space="0" w:color="auto"/>
              <w:right w:val="single" w:sz="4" w:space="0" w:color="auto"/>
            </w:tcBorders>
            <w:vAlign w:val="center"/>
          </w:tcPr>
          <w:p w14:paraId="0018B057" w14:textId="77777777" w:rsidR="00DF3D77" w:rsidRPr="00CB38A7" w:rsidRDefault="00DF3D77" w:rsidP="00743826">
            <w:pPr>
              <w:pStyle w:val="Tabletext"/>
            </w:pPr>
            <w:r w:rsidRPr="00CB38A7">
              <w:t>SAT score, blood pressure, heart rate, respiratory rate, oxygen saturation</w:t>
            </w:r>
          </w:p>
        </w:tc>
        <w:tc>
          <w:tcPr>
            <w:tcW w:w="4194" w:type="dxa"/>
            <w:tcBorders>
              <w:left w:val="single" w:sz="4" w:space="0" w:color="auto"/>
            </w:tcBorders>
          </w:tcPr>
          <w:p w14:paraId="4E319E18" w14:textId="67AC11EC" w:rsidR="00DF3D77" w:rsidRPr="00CB38A7" w:rsidRDefault="009E2453" w:rsidP="00743826">
            <w:pPr>
              <w:pStyle w:val="Tabletext"/>
            </w:pPr>
            <w:r>
              <w:t xml:space="preserve">Every </w:t>
            </w:r>
            <w:r w:rsidR="00DF3D77" w:rsidRPr="00CB38A7">
              <w:t>30 minute</w:t>
            </w:r>
            <w:r>
              <w:t>s</w:t>
            </w:r>
            <w:r w:rsidR="00DF3D77" w:rsidRPr="00CB38A7">
              <w:t xml:space="preserve"> until SAT score increases</w:t>
            </w:r>
          </w:p>
        </w:tc>
      </w:tr>
      <w:tr w:rsidR="00DF3D77" w:rsidRPr="00CB38A7" w14:paraId="7E175D0F" w14:textId="77777777" w:rsidTr="00CB38A7">
        <w:tc>
          <w:tcPr>
            <w:tcW w:w="1276" w:type="dxa"/>
            <w:tcBorders>
              <w:right w:val="single" w:sz="4" w:space="0" w:color="auto"/>
            </w:tcBorders>
          </w:tcPr>
          <w:p w14:paraId="4C4646DE" w14:textId="77777777" w:rsidR="00DF3D77" w:rsidRPr="00CB38A7" w:rsidRDefault="00DF3D77" w:rsidP="00743826">
            <w:pPr>
              <w:pStyle w:val="Tabletext"/>
            </w:pPr>
            <w:r w:rsidRPr="00CB38A7">
              <w:t>–2</w:t>
            </w:r>
          </w:p>
        </w:tc>
        <w:tc>
          <w:tcPr>
            <w:tcW w:w="4394" w:type="dxa"/>
            <w:vMerge w:val="restart"/>
            <w:tcBorders>
              <w:left w:val="single" w:sz="4" w:space="0" w:color="auto"/>
              <w:right w:val="single" w:sz="4" w:space="0" w:color="auto"/>
            </w:tcBorders>
            <w:vAlign w:val="center"/>
          </w:tcPr>
          <w:p w14:paraId="3F1984EC" w14:textId="77777777" w:rsidR="00DF3D77" w:rsidRPr="00CB38A7" w:rsidRDefault="00DF3D77" w:rsidP="00743826">
            <w:pPr>
              <w:pStyle w:val="Tabletext"/>
            </w:pPr>
            <w:r w:rsidRPr="00CB38A7">
              <w:t>SAT score, blood pressure, heart rate, respiratory rate, oxygen saturation, ECG</w:t>
            </w:r>
          </w:p>
        </w:tc>
        <w:tc>
          <w:tcPr>
            <w:tcW w:w="4194" w:type="dxa"/>
            <w:tcBorders>
              <w:left w:val="single" w:sz="4" w:space="0" w:color="auto"/>
            </w:tcBorders>
          </w:tcPr>
          <w:p w14:paraId="510D1625" w14:textId="22258824" w:rsidR="00DF3D77" w:rsidRPr="00CB38A7" w:rsidRDefault="009E2453" w:rsidP="00743826">
            <w:pPr>
              <w:pStyle w:val="Tabletext"/>
            </w:pPr>
            <w:r>
              <w:t xml:space="preserve">Every </w:t>
            </w:r>
            <w:r w:rsidR="00DF3D77" w:rsidRPr="00CB38A7">
              <w:t>15 minute</w:t>
            </w:r>
            <w:r>
              <w:t>s</w:t>
            </w:r>
            <w:r w:rsidR="00DF3D77" w:rsidRPr="00CB38A7">
              <w:t xml:space="preserve"> for 1 hour or until SAT score </w:t>
            </w:r>
            <w:proofErr w:type="gramStart"/>
            <w:r w:rsidR="00DF3D77" w:rsidRPr="00CB38A7">
              <w:t>increases</w:t>
            </w:r>
            <w:proofErr w:type="gramEnd"/>
            <w:r w:rsidR="00DF3D77" w:rsidRPr="00CB38A7">
              <w:t xml:space="preserve">, then </w:t>
            </w:r>
            <w:r>
              <w:t xml:space="preserve">every </w:t>
            </w:r>
            <w:r w:rsidR="00DF3D77" w:rsidRPr="00CB38A7">
              <w:t>30 minute</w:t>
            </w:r>
            <w:r>
              <w:t>s</w:t>
            </w:r>
            <w:r w:rsidR="00DF3D77" w:rsidRPr="00CB38A7">
              <w:t xml:space="preserve"> until SAT score increases</w:t>
            </w:r>
          </w:p>
        </w:tc>
      </w:tr>
      <w:tr w:rsidR="00DF3D77" w:rsidRPr="00CB38A7" w14:paraId="13005DA2" w14:textId="77777777" w:rsidTr="00CB38A7">
        <w:tc>
          <w:tcPr>
            <w:tcW w:w="1276" w:type="dxa"/>
            <w:tcBorders>
              <w:right w:val="single" w:sz="4" w:space="0" w:color="auto"/>
            </w:tcBorders>
          </w:tcPr>
          <w:p w14:paraId="6159FD8F" w14:textId="77777777" w:rsidR="00DF3D77" w:rsidRPr="00CB38A7" w:rsidRDefault="00DF3D77" w:rsidP="00743826">
            <w:pPr>
              <w:pStyle w:val="Tabletext"/>
            </w:pPr>
            <w:r w:rsidRPr="00CB38A7">
              <w:t>–3</w:t>
            </w:r>
          </w:p>
        </w:tc>
        <w:tc>
          <w:tcPr>
            <w:tcW w:w="4394" w:type="dxa"/>
            <w:vMerge/>
            <w:tcBorders>
              <w:left w:val="single" w:sz="4" w:space="0" w:color="auto"/>
              <w:right w:val="single" w:sz="4" w:space="0" w:color="auto"/>
            </w:tcBorders>
          </w:tcPr>
          <w:p w14:paraId="5461538E" w14:textId="77777777" w:rsidR="00DF3D77" w:rsidRPr="00CB38A7" w:rsidRDefault="00DF3D77" w:rsidP="00743826">
            <w:pPr>
              <w:pStyle w:val="Tabletext"/>
            </w:pPr>
          </w:p>
        </w:tc>
        <w:tc>
          <w:tcPr>
            <w:tcW w:w="4194" w:type="dxa"/>
            <w:tcBorders>
              <w:left w:val="single" w:sz="4" w:space="0" w:color="auto"/>
            </w:tcBorders>
          </w:tcPr>
          <w:p w14:paraId="34CF4B0C" w14:textId="77777777" w:rsidR="00DF3D77" w:rsidRPr="00CB38A7" w:rsidRDefault="00DF3D77" w:rsidP="00743826">
            <w:pPr>
              <w:pStyle w:val="Tabletext"/>
            </w:pPr>
            <w:r w:rsidRPr="00CB38A7">
              <w:t>Continuous visual observation</w:t>
            </w:r>
          </w:p>
          <w:p w14:paraId="0F7EEABF" w14:textId="3212C5A0" w:rsidR="00DF3D77" w:rsidRPr="00CB38A7" w:rsidRDefault="00AC482D" w:rsidP="00743826">
            <w:pPr>
              <w:pStyle w:val="Tabletext"/>
            </w:pPr>
            <w:r>
              <w:t xml:space="preserve">Clinical assessment every </w:t>
            </w:r>
            <w:r w:rsidR="00DF3D77" w:rsidRPr="00CB38A7">
              <w:t>15 minute</w:t>
            </w:r>
            <w:r>
              <w:t>s</w:t>
            </w:r>
            <w:r w:rsidR="00DF3D77" w:rsidRPr="00CB38A7">
              <w:t xml:space="preserve"> until SAT score increases</w:t>
            </w:r>
          </w:p>
        </w:tc>
      </w:tr>
    </w:tbl>
    <w:p w14:paraId="1014C4D4" w14:textId="15FB49DF" w:rsidR="00DF3D77" w:rsidRPr="002B24B5" w:rsidRDefault="00DF3D77" w:rsidP="00322C5E">
      <w:pPr>
        <w:pStyle w:val="Heading3"/>
      </w:pPr>
      <w:r w:rsidRPr="002B24B5">
        <w:t>Admission</w:t>
      </w:r>
      <w:r w:rsidR="0037197B">
        <w:t xml:space="preserve"> </w:t>
      </w:r>
      <w:r w:rsidRPr="002B24B5">
        <w:t>or discharge</w:t>
      </w:r>
    </w:p>
    <w:p w14:paraId="07CFBC9B" w14:textId="005A0C2B" w:rsidR="00DF3D77" w:rsidRPr="002B24B5" w:rsidRDefault="00DF3D77" w:rsidP="00743826">
      <w:pPr>
        <w:pStyle w:val="Normalfollowingheading"/>
      </w:pPr>
      <w:r w:rsidRPr="002B24B5">
        <w:t xml:space="preserve">Refer to </w:t>
      </w:r>
      <w:r w:rsidR="00713E10">
        <w:t>S</w:t>
      </w:r>
      <w:r w:rsidRPr="002B24B5">
        <w:t xml:space="preserve">ection </w:t>
      </w:r>
      <w:r w:rsidR="004E7D0F">
        <w:t>6</w:t>
      </w:r>
      <w:r w:rsidRPr="002B24B5">
        <w:t xml:space="preserve"> of this guidance when considering admission or discharge of the person.</w:t>
      </w:r>
    </w:p>
    <w:p w14:paraId="478333A4" w14:textId="77777777" w:rsidR="002B24B5" w:rsidRDefault="002B24B5" w:rsidP="00743826">
      <w:r>
        <w:br w:type="page"/>
      </w:r>
    </w:p>
    <w:p w14:paraId="0F60F04D" w14:textId="77777777" w:rsidR="00956C9C" w:rsidRPr="00D3359F" w:rsidRDefault="002B24B5" w:rsidP="00322C5E">
      <w:pPr>
        <w:pStyle w:val="Heading1"/>
        <w:framePr w:wrap="around"/>
      </w:pPr>
      <w:bookmarkStart w:id="24" w:name="_Toc36120127"/>
      <w:r w:rsidRPr="00D3359F">
        <w:lastRenderedPageBreak/>
        <w:t>5. Physical and mechanical restraint and ongoing care while restrained</w:t>
      </w:r>
      <w:bookmarkEnd w:id="24"/>
    </w:p>
    <w:p w14:paraId="14EF65A9" w14:textId="05773685" w:rsidR="002B24B5" w:rsidRPr="00D3359F" w:rsidRDefault="002B24B5" w:rsidP="00743826">
      <w:r w:rsidRPr="00D3359F">
        <w:t xml:space="preserve">Physical and mechanical restraint is not a therapeutic intervention and is </w:t>
      </w:r>
      <w:r w:rsidRPr="00D3359F">
        <w:rPr>
          <w:b/>
        </w:rPr>
        <w:t>always a last resort</w:t>
      </w:r>
      <w:r w:rsidRPr="00D3359F">
        <w:t xml:space="preserve"> after all other options have been tried or considered.</w:t>
      </w:r>
      <w:r w:rsidR="005025B9">
        <w:t xml:space="preserve"> Revisit </w:t>
      </w:r>
      <w:hyperlink w:anchor="_How_to_de-escalate" w:history="1">
        <w:r w:rsidR="00713E10">
          <w:rPr>
            <w:rStyle w:val="Hyperlink"/>
            <w:color w:val="00B0F0"/>
            <w:u w:val="single"/>
          </w:rPr>
          <w:t>S</w:t>
        </w:r>
        <w:r w:rsidR="005025B9" w:rsidRPr="00767428">
          <w:rPr>
            <w:rStyle w:val="Hyperlink"/>
            <w:color w:val="00B0F0"/>
            <w:u w:val="single"/>
          </w:rPr>
          <w:t xml:space="preserve">ection 3 </w:t>
        </w:r>
        <w:r w:rsidR="00767428" w:rsidRPr="00767428">
          <w:rPr>
            <w:rStyle w:val="Hyperlink"/>
            <w:color w:val="00B0F0"/>
            <w:u w:val="single"/>
          </w:rPr>
          <w:t>D</w:t>
        </w:r>
        <w:r w:rsidR="005025B9" w:rsidRPr="00767428">
          <w:rPr>
            <w:rStyle w:val="Hyperlink"/>
            <w:color w:val="00B0F0"/>
            <w:u w:val="single"/>
          </w:rPr>
          <w:t>e-escalation</w:t>
        </w:r>
      </w:hyperlink>
      <w:r w:rsidR="005025B9">
        <w:t xml:space="preserve"> for some less restrictive options.</w:t>
      </w:r>
      <w:r w:rsidRPr="00D3359F">
        <w:t xml:space="preserve">  </w:t>
      </w:r>
    </w:p>
    <w:p w14:paraId="3F1BB3E6" w14:textId="77777777" w:rsidR="002B24B5" w:rsidRPr="00D3359F" w:rsidRDefault="002B24B5" w:rsidP="00743826">
      <w:r w:rsidRPr="00D3359F">
        <w:t xml:space="preserve">Physical and mechanical restraint can be traumatising and dangerous for a person displaying acute behavioural disturbance and staff providing care. Minimise this by considering the impact of gender identity, cultural identity, trauma history, medical condition and the individual needs of the person. </w:t>
      </w:r>
    </w:p>
    <w:p w14:paraId="24D15E8A" w14:textId="3C514B1D" w:rsidR="00956C9C" w:rsidRPr="00D3359F" w:rsidRDefault="002B24B5" w:rsidP="00743826">
      <w:r w:rsidRPr="00D3359F">
        <w:t xml:space="preserve">Consider this guidance alongside the Victorian Chief Psychiatrist’s guideline </w:t>
      </w:r>
      <w:hyperlink r:id="rId45" w:history="1">
        <w:r w:rsidR="006C26D5">
          <w:rPr>
            <w:rStyle w:val="Hyperlink"/>
            <w:color w:val="0070C0"/>
            <w:u w:val="single"/>
          </w:rPr>
          <w:t>’R</w:t>
        </w:r>
        <w:r w:rsidRPr="007F089F">
          <w:rPr>
            <w:rStyle w:val="Hyperlink"/>
            <w:color w:val="0070C0"/>
            <w:u w:val="single"/>
          </w:rPr>
          <w:t>estrictive interventions in designated mental health services</w:t>
        </w:r>
      </w:hyperlink>
      <w:r w:rsidR="007F089F">
        <w:rPr>
          <w:rStyle w:val="Hyperlink"/>
          <w:color w:val="0070C0"/>
          <w:u w:val="single"/>
        </w:rPr>
        <w:t>’</w:t>
      </w:r>
      <w:r w:rsidR="006C26D5">
        <w:t xml:space="preserve">. </w:t>
      </w:r>
      <w:r w:rsidRPr="00D3359F">
        <w:t>It describes quality care for all people who are restrained, not just people receiving mental healthcare.</w:t>
      </w:r>
    </w:p>
    <w:p w14:paraId="0F24A1C3" w14:textId="77777777" w:rsidR="00662ADA" w:rsidRPr="00D3359F" w:rsidRDefault="00662ADA" w:rsidP="00322C5E">
      <w:pPr>
        <w:pStyle w:val="Heading2"/>
      </w:pPr>
      <w:bookmarkStart w:id="25" w:name="_Toc36120128"/>
      <w:r w:rsidRPr="00D3359F">
        <w:t>When to restrain</w:t>
      </w:r>
      <w:bookmarkEnd w:id="25"/>
    </w:p>
    <w:p w14:paraId="02417F1B" w14:textId="78BA2EE5" w:rsidR="00F824C9" w:rsidRPr="00F824C9" w:rsidRDefault="00662ADA" w:rsidP="00743826">
      <w:pPr>
        <w:pStyle w:val="Normalfollowingheading"/>
      </w:pPr>
      <w:r w:rsidRPr="00D3359F">
        <w:t xml:space="preserve">A person displaying acute behavioural disturbance may be restrained as a last resort only after all less restrictive </w:t>
      </w:r>
      <w:r w:rsidRPr="00F824C9">
        <w:t>options</w:t>
      </w:r>
      <w:r w:rsidRPr="00D3359F">
        <w:t xml:space="preserve"> have been tried or considered and found to be unsuitable by clinical staff because of the person’s acute behavioural disturbance or clinical condition. Use restraint only to prevent immediate harm to the person or others and for the shortest time possible.</w:t>
      </w:r>
      <w:r w:rsidR="003C1DCD">
        <w:t xml:space="preserve"> The care you provide must adhere to the </w:t>
      </w:r>
      <w:hyperlink r:id="rId46" w:history="1">
        <w:r w:rsidR="003C1DCD" w:rsidRPr="003C1DCD">
          <w:rPr>
            <w:rStyle w:val="Hyperlink"/>
            <w:color w:val="00B0F0"/>
            <w:u w:val="single"/>
          </w:rPr>
          <w:t>Victorian Charter of Human Rights and Responsibilities</w:t>
        </w:r>
      </w:hyperlink>
      <w:r w:rsidR="00F824C9">
        <w:t>.</w:t>
      </w:r>
    </w:p>
    <w:p w14:paraId="41038E33" w14:textId="77777777" w:rsidR="00662ADA" w:rsidRPr="00D3359F" w:rsidRDefault="00662ADA" w:rsidP="00743826">
      <w:pPr>
        <w:pStyle w:val="Heading4"/>
        <w:rPr>
          <w:b/>
        </w:rPr>
      </w:pPr>
      <w:r w:rsidRPr="00D3359F">
        <w:t xml:space="preserve">Legal requirements for a person </w:t>
      </w:r>
      <w:r w:rsidRPr="00BE0ACA">
        <w:rPr>
          <w:u w:val="single"/>
        </w:rPr>
        <w:t>not</w:t>
      </w:r>
      <w:r w:rsidRPr="00BE0ACA">
        <w:t xml:space="preserve"> </w:t>
      </w:r>
      <w:r w:rsidRPr="00D3359F">
        <w:t xml:space="preserve">subject to an order under the </w:t>
      </w:r>
      <w:r w:rsidRPr="00D3359F">
        <w:rPr>
          <w:i/>
        </w:rPr>
        <w:t>Mental Health Act 2014</w:t>
      </w:r>
    </w:p>
    <w:p w14:paraId="4073186A" w14:textId="77E622FB" w:rsidR="00662ADA" w:rsidRPr="00D3359F" w:rsidRDefault="00662ADA" w:rsidP="00743826">
      <w:pPr>
        <w:pStyle w:val="Normalfollowingheading"/>
      </w:pPr>
      <w:r w:rsidRPr="00D3359F">
        <w:t>Always try to obtain informed consent before restraining a person. Everyone has a human right to decide what happens to their own body.</w:t>
      </w:r>
      <w:r w:rsidR="005025B9">
        <w:t xml:space="preserve"> </w:t>
      </w:r>
    </w:p>
    <w:p w14:paraId="1A7C64D7" w14:textId="77777777" w:rsidR="00662ADA" w:rsidRPr="00D3359F" w:rsidRDefault="00662ADA" w:rsidP="00743826">
      <w:r w:rsidRPr="00D3359F">
        <w:t>When informed consent cannot be obtained from the person, try to get consent from a substitute decision-maker. In exceptional cases and when this is not reasonably possible, the law supports clinicians to restrain a person displaying acute behavioural disturbance without their informed consent if you reasonably believe that:</w:t>
      </w:r>
    </w:p>
    <w:p w14:paraId="313546C7" w14:textId="77777777" w:rsidR="00662ADA" w:rsidRPr="00D3359F" w:rsidRDefault="00662ADA" w:rsidP="00322C5E">
      <w:pPr>
        <w:pStyle w:val="Bullet1"/>
      </w:pPr>
      <w:r w:rsidRPr="00D3359F">
        <w:t>you need to act immediately due to a sudden or extraordinary emergency and it is not practical to obtain consent</w:t>
      </w:r>
    </w:p>
    <w:p w14:paraId="63E8FC62" w14:textId="77777777" w:rsidR="00662ADA" w:rsidRPr="00D3359F" w:rsidRDefault="00662ADA" w:rsidP="00322C5E">
      <w:pPr>
        <w:pStyle w:val="Bullet1"/>
      </w:pPr>
      <w:r w:rsidRPr="00D3359F">
        <w:t>urgent restraint is required to prevent serious and imminent harm to the person or others</w:t>
      </w:r>
    </w:p>
    <w:p w14:paraId="7C272F5D" w14:textId="77777777" w:rsidR="00662ADA" w:rsidRPr="00D3359F" w:rsidRDefault="00662ADA" w:rsidP="00322C5E">
      <w:pPr>
        <w:pStyle w:val="Bullet1"/>
      </w:pPr>
      <w:r w:rsidRPr="00D3359F">
        <w:t xml:space="preserve">all less restrictive options have been tried or considered and found to be inappropriate </w:t>
      </w:r>
    </w:p>
    <w:p w14:paraId="0650F4FB" w14:textId="77777777" w:rsidR="00662ADA" w:rsidRPr="00D3359F" w:rsidRDefault="00662ADA" w:rsidP="00322C5E">
      <w:pPr>
        <w:pStyle w:val="Bullet1"/>
      </w:pPr>
      <w:r w:rsidRPr="00D3359F">
        <w:t>the care you are providing is in line with what a reasonable clinician would do acting in the best interests of the person displaying acute behavioural disturbance.</w:t>
      </w:r>
    </w:p>
    <w:p w14:paraId="6AD2EDC3" w14:textId="77777777" w:rsidR="00956C9C" w:rsidRPr="00D3359F" w:rsidRDefault="00662ADA" w:rsidP="00743826">
      <w:r w:rsidRPr="00D3359F">
        <w:t>Document your decision-making process and how you have considered these points.</w:t>
      </w:r>
    </w:p>
    <w:p w14:paraId="38F854F7" w14:textId="77777777" w:rsidR="00587949" w:rsidRDefault="00587949" w:rsidP="00743826">
      <w:pPr>
        <w:rPr>
          <w:rFonts w:eastAsiaTheme="majorEastAsia" w:cstheme="majorBidi"/>
          <w:color w:val="000000" w:themeColor="text1"/>
        </w:rPr>
      </w:pPr>
      <w:r>
        <w:br w:type="page"/>
      </w:r>
    </w:p>
    <w:p w14:paraId="29E05CC7" w14:textId="77777777" w:rsidR="00534684" w:rsidRPr="00CB0B64" w:rsidRDefault="00534684" w:rsidP="00743826">
      <w:pPr>
        <w:pStyle w:val="Heading4"/>
      </w:pPr>
      <w:r w:rsidRPr="00CB0B64">
        <w:lastRenderedPageBreak/>
        <w:t xml:space="preserve">Legal requirements for a person subject to an order under the </w:t>
      </w:r>
      <w:r w:rsidRPr="00CD583E">
        <w:rPr>
          <w:i/>
        </w:rPr>
        <w:t>Mental Health Act 2014</w:t>
      </w:r>
    </w:p>
    <w:p w14:paraId="1F53F7FD" w14:textId="5A0F76C0" w:rsidR="00534684" w:rsidRPr="00D3359F" w:rsidRDefault="00534684" w:rsidP="00743826">
      <w:pPr>
        <w:pStyle w:val="Normalfollowingheading"/>
      </w:pPr>
      <w:r w:rsidRPr="00D3359F">
        <w:t xml:space="preserve">This </w:t>
      </w:r>
      <w:r w:rsidRPr="00D3359F">
        <w:rPr>
          <w:b/>
        </w:rPr>
        <w:t>does not</w:t>
      </w:r>
      <w:r w:rsidRPr="00D3359F">
        <w:t xml:space="preserve"> include people brought by police using their apprehension powers under section 351</w:t>
      </w:r>
      <w:r w:rsidR="005025B9">
        <w:t xml:space="preserve"> of the </w:t>
      </w:r>
      <w:r w:rsidR="005025B9">
        <w:rPr>
          <w:i/>
          <w:iCs/>
        </w:rPr>
        <w:t>Mental Health Act 2014</w:t>
      </w:r>
      <w:r w:rsidRPr="00D3359F">
        <w:t>.</w:t>
      </w:r>
    </w:p>
    <w:p w14:paraId="735D7980" w14:textId="77777777" w:rsidR="00534684" w:rsidRPr="00D3359F" w:rsidRDefault="00534684" w:rsidP="00743826">
      <w:r w:rsidRPr="00D3359F">
        <w:t xml:space="preserve">Physical or mechanical restraint of this person must be authorised by an authorised psychiatrist or, if they are not immediately available, a medical practitioner or the senior registered nurse on duty, who must seek retrospective authorisation from an authorised psychiatrist. They must reasonably believe: </w:t>
      </w:r>
    </w:p>
    <w:p w14:paraId="640B2679" w14:textId="77777777" w:rsidR="00534684" w:rsidRPr="00D3359F" w:rsidRDefault="00534684" w:rsidP="00322C5E">
      <w:pPr>
        <w:pStyle w:val="Bullet1"/>
      </w:pPr>
      <w:r w:rsidRPr="00D3359F">
        <w:t>all less restrictive options have been tried or considered and found to be unsuitable because of the person’s acute behavioural disturbance or clinical condition</w:t>
      </w:r>
    </w:p>
    <w:p w14:paraId="1ACFDD48" w14:textId="77777777" w:rsidR="00534684" w:rsidRPr="00D3359F" w:rsidRDefault="00534684" w:rsidP="00322C5E">
      <w:pPr>
        <w:pStyle w:val="Bullet1"/>
      </w:pPr>
      <w:r w:rsidRPr="00D3359F">
        <w:t>restraint is necessary to prevent serious and imminent harm to the person or others.</w:t>
      </w:r>
    </w:p>
    <w:p w14:paraId="3368C728" w14:textId="77777777" w:rsidR="00956C9C" w:rsidRPr="00D3359F" w:rsidRDefault="00534684" w:rsidP="00743826">
      <w:r w:rsidRPr="00D3359F">
        <w:t xml:space="preserve">Document your decision-making process and how you have considered these points. You must inform the psychiatrist, complete the </w:t>
      </w:r>
      <w:hyperlink r:id="rId47" w:history="1">
        <w:r w:rsidRPr="00D3359F">
          <w:rPr>
            <w:rStyle w:val="Hyperlink"/>
            <w:color w:val="0070C0"/>
            <w:u w:val="single"/>
          </w:rPr>
          <w:t>MHA 140</w:t>
        </w:r>
      </w:hyperlink>
      <w:r w:rsidRPr="00D3359F">
        <w:t xml:space="preserve"> or </w:t>
      </w:r>
      <w:hyperlink r:id="rId48" w:history="1">
        <w:r w:rsidRPr="00D3359F">
          <w:rPr>
            <w:rStyle w:val="Hyperlink"/>
            <w:color w:val="0070C0"/>
            <w:u w:val="single"/>
          </w:rPr>
          <w:t>MHA 141</w:t>
        </w:r>
      </w:hyperlink>
      <w:r w:rsidRPr="00D3359F">
        <w:t xml:space="preserve"> form to authorise restraint, and record observations on </w:t>
      </w:r>
      <w:hyperlink r:id="rId49" w:history="1">
        <w:r w:rsidRPr="00D3359F">
          <w:rPr>
            <w:rStyle w:val="Hyperlink"/>
          </w:rPr>
          <w:t xml:space="preserve">the </w:t>
        </w:r>
        <w:r w:rsidRPr="00D3359F">
          <w:rPr>
            <w:rStyle w:val="Hyperlink"/>
            <w:color w:val="0070C0"/>
            <w:u w:val="single"/>
          </w:rPr>
          <w:t>MHA 142</w:t>
        </w:r>
      </w:hyperlink>
      <w:r w:rsidRPr="00D3359F">
        <w:t xml:space="preserve"> form.</w:t>
      </w:r>
    </w:p>
    <w:p w14:paraId="55AD259E" w14:textId="77777777" w:rsidR="00D3359F" w:rsidRPr="005D3C91" w:rsidRDefault="00D3359F" w:rsidP="00322C5E">
      <w:pPr>
        <w:pStyle w:val="Heading2"/>
      </w:pPr>
      <w:bookmarkStart w:id="26" w:name="_Toc36120129"/>
      <w:r w:rsidRPr="005D3C91">
        <w:t>How to restrain</w:t>
      </w:r>
      <w:bookmarkEnd w:id="26"/>
      <w:r w:rsidRPr="005D3C91">
        <w:t xml:space="preserve"> </w:t>
      </w:r>
    </w:p>
    <w:p w14:paraId="6E89014D" w14:textId="77777777" w:rsidR="00D3359F" w:rsidRPr="00D3359F" w:rsidRDefault="00D3359F" w:rsidP="00743826">
      <w:pPr>
        <w:pStyle w:val="Normalfollowingheading"/>
      </w:pPr>
      <w:r w:rsidRPr="00D3359F">
        <w:t xml:space="preserve">Continue de-escalation and communication throughout the restraint. Explain what is happening, why, and how the person can help. </w:t>
      </w:r>
    </w:p>
    <w:p w14:paraId="1903DE30" w14:textId="77777777" w:rsidR="00D3359F" w:rsidRPr="00D3359F" w:rsidRDefault="00D3359F" w:rsidP="00743826">
      <w:r w:rsidRPr="00D3359F">
        <w:t xml:space="preserve">Physical and mechanical restraint is invasive and restrictive. Never use it simply for convenience. You must stop physical or mechanical restraint as soon as it is no longer required to prevent serious and imminent harm to the person or others. </w:t>
      </w:r>
    </w:p>
    <w:p w14:paraId="446F8A9D" w14:textId="77777777" w:rsidR="00D3359F" w:rsidRPr="005D3C91" w:rsidRDefault="00D3359F" w:rsidP="00322C5E">
      <w:pPr>
        <w:pStyle w:val="Heading3"/>
      </w:pPr>
      <w:r w:rsidRPr="005D3C91">
        <w:t>Physical restraint</w:t>
      </w:r>
    </w:p>
    <w:p w14:paraId="6873B909" w14:textId="77D3F108" w:rsidR="00D3359F" w:rsidRPr="00D3359F" w:rsidRDefault="00D3359F" w:rsidP="00743826">
      <w:pPr>
        <w:pStyle w:val="Normalfollowingheading"/>
      </w:pPr>
      <w:r w:rsidRPr="00D3359F">
        <w:t>This is the skilled, hands-on immobilisation or physical restriction of a person. Assemble a team of adequately skilled and trained staff</w:t>
      </w:r>
      <w:r w:rsidR="00887BEC">
        <w:t>, including</w:t>
      </w:r>
      <w:r w:rsidRPr="00D3359F">
        <w:t>:</w:t>
      </w:r>
    </w:p>
    <w:p w14:paraId="3A8E815C" w14:textId="77777777" w:rsidR="00D3359F" w:rsidRPr="00D3359F" w:rsidRDefault="00D3359F" w:rsidP="00322C5E">
      <w:pPr>
        <w:pStyle w:val="Bullet1"/>
      </w:pPr>
      <w:r w:rsidRPr="00D3359F">
        <w:t>a clinical leader to provide direction and monitor the person’s head, neck, airway and chest</w:t>
      </w:r>
    </w:p>
    <w:p w14:paraId="08058044" w14:textId="77777777" w:rsidR="00D3359F" w:rsidRPr="00D3359F" w:rsidRDefault="00D3359F" w:rsidP="00322C5E">
      <w:pPr>
        <w:pStyle w:val="Bullet1"/>
      </w:pPr>
      <w:r w:rsidRPr="00D3359F">
        <w:t>four staff members to each restrain one of the person’s limbs</w:t>
      </w:r>
    </w:p>
    <w:p w14:paraId="56165C03" w14:textId="77777777" w:rsidR="00D3359F" w:rsidRPr="00D3359F" w:rsidRDefault="00D3359F" w:rsidP="00322C5E">
      <w:pPr>
        <w:pStyle w:val="Bullet1"/>
      </w:pPr>
      <w:r w:rsidRPr="00D3359F">
        <w:t>additional clinical staff for any procedures or medication administration.</w:t>
      </w:r>
    </w:p>
    <w:p w14:paraId="32D4B87B" w14:textId="77777777" w:rsidR="00D3359F" w:rsidRPr="00D3359F" w:rsidRDefault="00D3359F" w:rsidP="00743826">
      <w:r w:rsidRPr="00D3359F">
        <w:t>Physical restraint can be very high risk for all involved. There are no completely safe techniques. To make it as safe as possible:</w:t>
      </w:r>
    </w:p>
    <w:p w14:paraId="554CFA65" w14:textId="7E9E3073" w:rsidR="00D3359F" w:rsidRPr="00D3359F" w:rsidRDefault="00D3359F" w:rsidP="00322C5E">
      <w:pPr>
        <w:pStyle w:val="Bullet1"/>
      </w:pPr>
      <w:r w:rsidRPr="00D3359F">
        <w:t xml:space="preserve">avoid prone (face-down) restraint. Prone restraint </w:t>
      </w:r>
      <w:r w:rsidR="00A938A4">
        <w:t>has caused</w:t>
      </w:r>
      <w:r w:rsidRPr="00D3359F">
        <w:t xml:space="preserve"> death</w:t>
      </w:r>
      <w:r w:rsidR="00A938A4">
        <w:t>s</w:t>
      </w:r>
      <w:r w:rsidRPr="00D3359F">
        <w:t xml:space="preserve"> from respiratory restriction</w:t>
      </w:r>
      <w:r w:rsidR="00A938A4">
        <w:t xml:space="preserve"> and is the subject of a </w:t>
      </w:r>
      <w:hyperlink r:id="rId50" w:history="1">
        <w:r w:rsidR="00A938A4" w:rsidRPr="00C320D6">
          <w:rPr>
            <w:rStyle w:val="Hyperlink"/>
            <w:color w:val="00B0F0"/>
            <w:u w:val="single"/>
          </w:rPr>
          <w:t xml:space="preserve">DHHS </w:t>
        </w:r>
        <w:r w:rsidR="00BE4346">
          <w:rPr>
            <w:rStyle w:val="Hyperlink"/>
            <w:color w:val="00B0F0"/>
            <w:u w:val="single"/>
          </w:rPr>
          <w:t>C</w:t>
        </w:r>
        <w:r w:rsidR="00A938A4" w:rsidRPr="00C320D6">
          <w:rPr>
            <w:rStyle w:val="Hyperlink"/>
            <w:color w:val="00B0F0"/>
            <w:u w:val="single"/>
          </w:rPr>
          <w:t xml:space="preserve">hief </w:t>
        </w:r>
        <w:r w:rsidR="00BE4346">
          <w:rPr>
            <w:rStyle w:val="Hyperlink"/>
            <w:color w:val="00B0F0"/>
            <w:u w:val="single"/>
          </w:rPr>
          <w:t>P</w:t>
        </w:r>
        <w:r w:rsidR="00A938A4" w:rsidRPr="00C320D6">
          <w:rPr>
            <w:rStyle w:val="Hyperlink"/>
            <w:color w:val="00B0F0"/>
            <w:u w:val="single"/>
          </w:rPr>
          <w:t>sychiatrist’s clinical practice advisory notice and guideline</w:t>
        </w:r>
      </w:hyperlink>
      <w:r w:rsidR="00C320D6">
        <w:t>. I</w:t>
      </w:r>
      <w:r w:rsidRPr="00D3359F">
        <w:t xml:space="preserve">f </w:t>
      </w:r>
      <w:proofErr w:type="gramStart"/>
      <w:r w:rsidRPr="00D3359F">
        <w:t>in the course of</w:t>
      </w:r>
      <w:proofErr w:type="gramEnd"/>
      <w:r w:rsidRPr="00D3359F">
        <w:t xml:space="preserve"> a restraint the person is put in a prone position, keep it to an absolute minimum and no more than </w:t>
      </w:r>
      <w:r w:rsidRPr="00C320D6">
        <w:rPr>
          <w:b/>
        </w:rPr>
        <w:t>three minutes</w:t>
      </w:r>
      <w:r w:rsidRPr="00D3359F">
        <w:t xml:space="preserve">. Assign one staff member to actively time this </w:t>
      </w:r>
    </w:p>
    <w:p w14:paraId="7361FEC9" w14:textId="6697E4D1" w:rsidR="00D3359F" w:rsidRPr="00D3359F" w:rsidRDefault="00D3359F" w:rsidP="00322C5E">
      <w:pPr>
        <w:pStyle w:val="Bullet1"/>
      </w:pPr>
      <w:r w:rsidRPr="00C320D6">
        <w:rPr>
          <w:b/>
        </w:rPr>
        <w:t>never</w:t>
      </w:r>
      <w:r w:rsidRPr="00D3359F">
        <w:t xml:space="preserve"> use techniques or positions that restrict breathing or circulation</w:t>
      </w:r>
      <w:r w:rsidR="00C320D6">
        <w:t>. D</w:t>
      </w:r>
      <w:r w:rsidRPr="00D3359F">
        <w:t>o not compress the chest or abdomen, block the nose or mouth, or flex the head towards the knees</w:t>
      </w:r>
    </w:p>
    <w:p w14:paraId="11785FE8" w14:textId="3221A2CE" w:rsidR="00D3359F" w:rsidRPr="00D3359F" w:rsidRDefault="00D3359F" w:rsidP="00322C5E">
      <w:pPr>
        <w:pStyle w:val="Bullet1"/>
      </w:pPr>
      <w:r w:rsidRPr="00D3359F">
        <w:t>use the least amount of force required and do not apply pain</w:t>
      </w:r>
    </w:p>
    <w:p w14:paraId="5203F68F" w14:textId="77777777" w:rsidR="00D3359F" w:rsidRPr="00D3359F" w:rsidRDefault="00D3359F" w:rsidP="00322C5E">
      <w:pPr>
        <w:pStyle w:val="Bullet1"/>
      </w:pPr>
      <w:r w:rsidRPr="00D3359F">
        <w:t>do not prevent the person from communicating – for example, by blocking their mouth or ears.</w:t>
      </w:r>
    </w:p>
    <w:p w14:paraId="7D16BD63" w14:textId="77777777" w:rsidR="00956C9C" w:rsidRPr="00D3359F" w:rsidRDefault="00D3359F" w:rsidP="00743826">
      <w:r w:rsidRPr="00D3359F">
        <w:t>If physical restraint is required for longer than 10 minutes, consider alternative strategies such as sedation or mechanical restraint.</w:t>
      </w:r>
    </w:p>
    <w:p w14:paraId="6C6C7F51" w14:textId="77777777" w:rsidR="00D3359F" w:rsidRPr="00D3359F" w:rsidRDefault="00D3359F" w:rsidP="00743826">
      <w:r w:rsidRPr="00D3359F">
        <w:rPr>
          <w:noProof/>
        </w:rPr>
        <w:lastRenderedPageBreak/>
        <mc:AlternateContent>
          <mc:Choice Requires="wps">
            <w:drawing>
              <wp:inline distT="0" distB="0" distL="0" distR="0" wp14:anchorId="43FAC7BE" wp14:editId="05ADE49E">
                <wp:extent cx="6263640" cy="2520950"/>
                <wp:effectExtent l="0" t="0" r="22860" b="127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520950"/>
                        </a:xfrm>
                        <a:prstGeom prst="rect">
                          <a:avLst/>
                        </a:prstGeom>
                        <a:solidFill>
                          <a:schemeClr val="bg2"/>
                        </a:solidFill>
                        <a:ln w="6350">
                          <a:solidFill>
                            <a:schemeClr val="bg2"/>
                          </a:solidFill>
                          <a:miter lim="800000"/>
                          <a:headEnd/>
                          <a:tailEnd/>
                        </a:ln>
                      </wps:spPr>
                      <wps:txbx>
                        <w:txbxContent>
                          <w:p w14:paraId="7FFCBCA1" w14:textId="77777777" w:rsidR="005D0C30" w:rsidRPr="005D3C91" w:rsidRDefault="005D0C30" w:rsidP="00743826">
                            <w:pPr>
                              <w:pStyle w:val="PulloutHeading"/>
                              <w:rPr>
                                <w:i/>
                              </w:rPr>
                            </w:pPr>
                            <w:r w:rsidRPr="005D3C91">
                              <w:t xml:space="preserve">Legal requirements for a restrained person subject to an order under the </w:t>
                            </w:r>
                            <w:r w:rsidRPr="005D3C91">
                              <w:rPr>
                                <w:i/>
                              </w:rPr>
                              <w:t>Mental Health Act 2014</w:t>
                            </w:r>
                          </w:p>
                          <w:p w14:paraId="1DDD79F5" w14:textId="15B5AEE8" w:rsidR="005D0C30" w:rsidRPr="005D3C91" w:rsidRDefault="005D0C30" w:rsidP="00743826">
                            <w:pPr>
                              <w:pStyle w:val="PulloutText"/>
                              <w:numPr>
                                <w:ilvl w:val="0"/>
                                <w:numId w:val="12"/>
                              </w:numPr>
                            </w:pPr>
                            <w:r w:rsidRPr="005D3C91">
                              <w:t xml:space="preserve">Complete the </w:t>
                            </w:r>
                            <w:hyperlink r:id="rId51" w:history="1">
                              <w:r w:rsidRPr="005D3C91">
                                <w:rPr>
                                  <w:rStyle w:val="Hyperlink"/>
                                  <w:color w:val="0070C0"/>
                                  <w:u w:val="single"/>
                                </w:rPr>
                                <w:t>MHA</w:t>
                              </w:r>
                              <w:r>
                                <w:rPr>
                                  <w:rStyle w:val="Hyperlink"/>
                                  <w:color w:val="0070C0"/>
                                  <w:u w:val="single"/>
                                </w:rPr>
                                <w:t xml:space="preserve"> </w:t>
                              </w:r>
                              <w:r w:rsidRPr="005D3C91">
                                <w:rPr>
                                  <w:rStyle w:val="Hyperlink"/>
                                  <w:color w:val="0070C0"/>
                                  <w:u w:val="single"/>
                                </w:rPr>
                                <w:t>140</w:t>
                              </w:r>
                            </w:hyperlink>
                            <w:r w:rsidRPr="005D3C91">
                              <w:t xml:space="preserve"> or </w:t>
                            </w:r>
                            <w:hyperlink r:id="rId52" w:history="1">
                              <w:r w:rsidRPr="005D3C91">
                                <w:rPr>
                                  <w:rStyle w:val="Hyperlink"/>
                                  <w:color w:val="0070C0"/>
                                  <w:u w:val="single"/>
                                </w:rPr>
                                <w:t>MHA 141</w:t>
                              </w:r>
                            </w:hyperlink>
                            <w:r w:rsidRPr="005D3C91">
                              <w:t xml:space="preserve"> form to authorise restraint.</w:t>
                            </w:r>
                          </w:p>
                          <w:p w14:paraId="549C5D15" w14:textId="77777777" w:rsidR="005D0C30" w:rsidRPr="005D3C91" w:rsidRDefault="005D0C30" w:rsidP="00743826">
                            <w:pPr>
                              <w:pStyle w:val="PulloutText"/>
                              <w:numPr>
                                <w:ilvl w:val="0"/>
                                <w:numId w:val="12"/>
                              </w:numPr>
                            </w:pPr>
                            <w:r w:rsidRPr="005D3C91">
                              <w:t xml:space="preserve">A </w:t>
                            </w:r>
                            <w:r w:rsidRPr="00E1580E">
                              <w:t>registered nurse</w:t>
                            </w:r>
                            <w:r w:rsidRPr="005D3C91">
                              <w:t xml:space="preserve"> or </w:t>
                            </w:r>
                            <w:r w:rsidRPr="00E1580E">
                              <w:t>medical practitioner</w:t>
                            </w:r>
                            <w:r w:rsidRPr="005D3C91">
                              <w:t xml:space="preserve"> must </w:t>
                            </w:r>
                            <w:r w:rsidRPr="00E1580E">
                              <w:t>continuously</w:t>
                            </w:r>
                            <w:r w:rsidRPr="005D3C91">
                              <w:t xml:space="preserve"> observe the person.</w:t>
                            </w:r>
                          </w:p>
                          <w:p w14:paraId="0DABC77F" w14:textId="64D87969" w:rsidR="005D0C30" w:rsidRPr="005D3C91" w:rsidRDefault="005D0C30" w:rsidP="00743826">
                            <w:pPr>
                              <w:pStyle w:val="PulloutText"/>
                              <w:numPr>
                                <w:ilvl w:val="0"/>
                                <w:numId w:val="12"/>
                              </w:numPr>
                            </w:pPr>
                            <w:r w:rsidRPr="005D3C91">
                              <w:t>Document a clinical assessment</w:t>
                            </w:r>
                            <w:r>
                              <w:t xml:space="preserve"> </w:t>
                            </w:r>
                            <w:r w:rsidRPr="005D3C91">
                              <w:t xml:space="preserve">every </w:t>
                            </w:r>
                            <w:r w:rsidRPr="005D3C91">
                              <w:rPr>
                                <w:b/>
                              </w:rPr>
                              <w:t>15 minutes</w:t>
                            </w:r>
                            <w:r>
                              <w:t>, including whether restraint is still needed.</w:t>
                            </w:r>
                            <w:r w:rsidRPr="005D3C91">
                              <w:t xml:space="preserve"> </w:t>
                            </w:r>
                          </w:p>
                          <w:p w14:paraId="121116F3" w14:textId="77777777" w:rsidR="005D0C30" w:rsidRPr="005D3C91" w:rsidRDefault="005D0C30" w:rsidP="00743826">
                            <w:pPr>
                              <w:pStyle w:val="PulloutText"/>
                              <w:numPr>
                                <w:ilvl w:val="0"/>
                                <w:numId w:val="12"/>
                              </w:numPr>
                            </w:pPr>
                            <w:r w:rsidRPr="005D3C91">
                              <w:t xml:space="preserve">Complete the </w:t>
                            </w:r>
                            <w:hyperlink r:id="rId53" w:history="1">
                              <w:r w:rsidRPr="005D3C91">
                                <w:rPr>
                                  <w:rStyle w:val="Hyperlink"/>
                                  <w:color w:val="0070C0"/>
                                  <w:u w:val="single"/>
                                </w:rPr>
                                <w:t>MHA 142</w:t>
                              </w:r>
                            </w:hyperlink>
                            <w:r w:rsidRPr="005D3C91">
                              <w:t xml:space="preserve"> form to record observations while the person is restrained.</w:t>
                            </w:r>
                          </w:p>
                          <w:p w14:paraId="34AA2A84" w14:textId="374172A8" w:rsidR="005D0C30" w:rsidRPr="005D3C91" w:rsidRDefault="005D0C30" w:rsidP="00743826">
                            <w:pPr>
                              <w:pStyle w:val="PulloutText"/>
                              <w:numPr>
                                <w:ilvl w:val="0"/>
                                <w:numId w:val="12"/>
                              </w:numPr>
                            </w:pPr>
                            <w:r w:rsidRPr="005D3C91">
                              <w:t>The psychiatrist or medical practitioner must review the person</w:t>
                            </w:r>
                            <w:r>
                              <w:t xml:space="preserve"> at least</w:t>
                            </w:r>
                            <w:r w:rsidRPr="005D3C91">
                              <w:t xml:space="preserve"> every </w:t>
                            </w:r>
                            <w:r w:rsidRPr="005D3C91">
                              <w:rPr>
                                <w:b/>
                              </w:rPr>
                              <w:t>four hours</w:t>
                            </w:r>
                            <w:r w:rsidRPr="005D3C91">
                              <w:t xml:space="preserve">. </w:t>
                            </w:r>
                          </w:p>
                          <w:p w14:paraId="7F2DD34E" w14:textId="77777777" w:rsidR="005D0C30" w:rsidRPr="005D3C91" w:rsidRDefault="005D0C30" w:rsidP="00743826">
                            <w:pPr>
                              <w:pStyle w:val="PulloutText"/>
                              <w:numPr>
                                <w:ilvl w:val="0"/>
                                <w:numId w:val="12"/>
                              </w:numPr>
                            </w:pPr>
                            <w:r w:rsidRPr="005D3C91">
                              <w:t>Preserve dignity and meet basic needs by providing access to food, water, toilets, bedding and so on.</w:t>
                            </w:r>
                          </w:p>
                          <w:p w14:paraId="1C1050DF" w14:textId="77777777" w:rsidR="005D0C30" w:rsidRPr="005D3C91" w:rsidRDefault="005D0C30" w:rsidP="00743826">
                            <w:pPr>
                              <w:pStyle w:val="PulloutText"/>
                              <w:numPr>
                                <w:ilvl w:val="0"/>
                                <w:numId w:val="12"/>
                              </w:numPr>
                            </w:pPr>
                            <w:r w:rsidRPr="005D3C91">
                              <w:t>Notify the nominated person, guardian or carer if you think restraint will affect the care relationship.</w:t>
                            </w:r>
                          </w:p>
                        </w:txbxContent>
                      </wps:txbx>
                      <wps:bodyPr rot="0" vert="horz" wrap="square" lIns="180000" tIns="180000" rIns="144000" bIns="36000" anchor="t" anchorCtr="0">
                        <a:noAutofit/>
                      </wps:bodyPr>
                    </wps:wsp>
                  </a:graphicData>
                </a:graphic>
              </wp:inline>
            </w:drawing>
          </mc:Choice>
          <mc:Fallback>
            <w:pict>
              <v:shape w14:anchorId="43FAC7BE" id="Text Box 21" o:spid="_x0000_s1029" type="#_x0000_t202" style="width:493.2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" fillcolor="#edf5f7 [3214]" strokecolor="#edf5f7 [3214]" strokeweight=".5pt">
                <v:textbox inset="5mm,5mm,4mm,1mm">
                  <w:txbxContent>
                    <w:p w14:paraId="7FFCBCA1" w14:textId="77777777" w:rsidR="005D0C30" w:rsidRPr="005D3C91" w:rsidRDefault="005D0C30" w:rsidP="00743826">
                      <w:pPr>
                        <w:pStyle w:val="PulloutHeading"/>
                        <w:rPr>
                          <w:i/>
                        </w:rPr>
                      </w:pPr>
                      <w:r w:rsidRPr="005D3C91">
                        <w:t xml:space="preserve">Legal requirements for a restrained person subject to an order under the </w:t>
                      </w:r>
                      <w:r w:rsidRPr="005D3C91">
                        <w:rPr>
                          <w:i/>
                        </w:rPr>
                        <w:t>Mental Health Act 2014</w:t>
                      </w:r>
                    </w:p>
                    <w:p w14:paraId="1DDD79F5" w14:textId="15B5AEE8" w:rsidR="005D0C30" w:rsidRPr="005D3C91" w:rsidRDefault="005D0C30" w:rsidP="00743826">
                      <w:pPr>
                        <w:pStyle w:val="PulloutText"/>
                        <w:numPr>
                          <w:ilvl w:val="0"/>
                          <w:numId w:val="12"/>
                        </w:numPr>
                      </w:pPr>
                      <w:r w:rsidRPr="005D3C91">
                        <w:t xml:space="preserve">Complete the </w:t>
                      </w:r>
                      <w:hyperlink r:id="rId54" w:history="1">
                        <w:r w:rsidRPr="005D3C91">
                          <w:rPr>
                            <w:rStyle w:val="Hyperlink"/>
                            <w:color w:val="0070C0"/>
                            <w:u w:val="single"/>
                          </w:rPr>
                          <w:t>MHA</w:t>
                        </w:r>
                        <w:r>
                          <w:rPr>
                            <w:rStyle w:val="Hyperlink"/>
                            <w:color w:val="0070C0"/>
                            <w:u w:val="single"/>
                          </w:rPr>
                          <w:t xml:space="preserve"> </w:t>
                        </w:r>
                        <w:r w:rsidRPr="005D3C91">
                          <w:rPr>
                            <w:rStyle w:val="Hyperlink"/>
                            <w:color w:val="0070C0"/>
                            <w:u w:val="single"/>
                          </w:rPr>
                          <w:t>140</w:t>
                        </w:r>
                      </w:hyperlink>
                      <w:r w:rsidRPr="005D3C91">
                        <w:t xml:space="preserve"> or </w:t>
                      </w:r>
                      <w:hyperlink r:id="rId55" w:history="1">
                        <w:r w:rsidRPr="005D3C91">
                          <w:rPr>
                            <w:rStyle w:val="Hyperlink"/>
                            <w:color w:val="0070C0"/>
                            <w:u w:val="single"/>
                          </w:rPr>
                          <w:t>MHA 141</w:t>
                        </w:r>
                      </w:hyperlink>
                      <w:r w:rsidRPr="005D3C91">
                        <w:t xml:space="preserve"> form to authorise restraint.</w:t>
                      </w:r>
                    </w:p>
                    <w:p w14:paraId="549C5D15" w14:textId="77777777" w:rsidR="005D0C30" w:rsidRPr="005D3C91" w:rsidRDefault="005D0C30" w:rsidP="00743826">
                      <w:pPr>
                        <w:pStyle w:val="PulloutText"/>
                        <w:numPr>
                          <w:ilvl w:val="0"/>
                          <w:numId w:val="12"/>
                        </w:numPr>
                      </w:pPr>
                      <w:r w:rsidRPr="005D3C91">
                        <w:t xml:space="preserve">A </w:t>
                      </w:r>
                      <w:r w:rsidRPr="00E1580E">
                        <w:t>registered nurse</w:t>
                      </w:r>
                      <w:r w:rsidRPr="005D3C91">
                        <w:t xml:space="preserve"> or </w:t>
                      </w:r>
                      <w:r w:rsidRPr="00E1580E">
                        <w:t>medical practitioner</w:t>
                      </w:r>
                      <w:r w:rsidRPr="005D3C91">
                        <w:t xml:space="preserve"> must </w:t>
                      </w:r>
                      <w:r w:rsidRPr="00E1580E">
                        <w:t>continuously</w:t>
                      </w:r>
                      <w:r w:rsidRPr="005D3C91">
                        <w:t xml:space="preserve"> observe the person.</w:t>
                      </w:r>
                    </w:p>
                    <w:p w14:paraId="0DABC77F" w14:textId="64D87969" w:rsidR="005D0C30" w:rsidRPr="005D3C91" w:rsidRDefault="005D0C30" w:rsidP="00743826">
                      <w:pPr>
                        <w:pStyle w:val="PulloutText"/>
                        <w:numPr>
                          <w:ilvl w:val="0"/>
                          <w:numId w:val="12"/>
                        </w:numPr>
                      </w:pPr>
                      <w:r w:rsidRPr="005D3C91">
                        <w:t>Document a clinical assessment</w:t>
                      </w:r>
                      <w:r>
                        <w:t xml:space="preserve"> </w:t>
                      </w:r>
                      <w:r w:rsidRPr="005D3C91">
                        <w:t xml:space="preserve">every </w:t>
                      </w:r>
                      <w:r w:rsidRPr="005D3C91">
                        <w:rPr>
                          <w:b/>
                        </w:rPr>
                        <w:t>15 minutes</w:t>
                      </w:r>
                      <w:r>
                        <w:t>, including whether restraint is still needed.</w:t>
                      </w:r>
                      <w:r w:rsidRPr="005D3C91">
                        <w:t xml:space="preserve"> </w:t>
                      </w:r>
                    </w:p>
                    <w:p w14:paraId="121116F3" w14:textId="77777777" w:rsidR="005D0C30" w:rsidRPr="005D3C91" w:rsidRDefault="005D0C30" w:rsidP="00743826">
                      <w:pPr>
                        <w:pStyle w:val="PulloutText"/>
                        <w:numPr>
                          <w:ilvl w:val="0"/>
                          <w:numId w:val="12"/>
                        </w:numPr>
                      </w:pPr>
                      <w:r w:rsidRPr="005D3C91">
                        <w:t xml:space="preserve">Complete the </w:t>
                      </w:r>
                      <w:hyperlink r:id="rId56" w:history="1">
                        <w:r w:rsidRPr="005D3C91">
                          <w:rPr>
                            <w:rStyle w:val="Hyperlink"/>
                            <w:color w:val="0070C0"/>
                            <w:u w:val="single"/>
                          </w:rPr>
                          <w:t>MHA 142</w:t>
                        </w:r>
                      </w:hyperlink>
                      <w:r w:rsidRPr="005D3C91">
                        <w:t xml:space="preserve"> form to record observations while the person is restrained.</w:t>
                      </w:r>
                    </w:p>
                    <w:p w14:paraId="34AA2A84" w14:textId="374172A8" w:rsidR="005D0C30" w:rsidRPr="005D3C91" w:rsidRDefault="005D0C30" w:rsidP="00743826">
                      <w:pPr>
                        <w:pStyle w:val="PulloutText"/>
                        <w:numPr>
                          <w:ilvl w:val="0"/>
                          <w:numId w:val="12"/>
                        </w:numPr>
                      </w:pPr>
                      <w:r w:rsidRPr="005D3C91">
                        <w:t>The psychiatrist or medical practitioner must review the person</w:t>
                      </w:r>
                      <w:r>
                        <w:t xml:space="preserve"> at least</w:t>
                      </w:r>
                      <w:r w:rsidRPr="005D3C91">
                        <w:t xml:space="preserve"> every </w:t>
                      </w:r>
                      <w:r w:rsidRPr="005D3C91">
                        <w:rPr>
                          <w:b/>
                        </w:rPr>
                        <w:t>four hours</w:t>
                      </w:r>
                      <w:r w:rsidRPr="005D3C91">
                        <w:t xml:space="preserve">. </w:t>
                      </w:r>
                    </w:p>
                    <w:p w14:paraId="7F2DD34E" w14:textId="77777777" w:rsidR="005D0C30" w:rsidRPr="005D3C91" w:rsidRDefault="005D0C30" w:rsidP="00743826">
                      <w:pPr>
                        <w:pStyle w:val="PulloutText"/>
                        <w:numPr>
                          <w:ilvl w:val="0"/>
                          <w:numId w:val="12"/>
                        </w:numPr>
                      </w:pPr>
                      <w:r w:rsidRPr="005D3C91">
                        <w:t>Preserve dignity and meet basic needs by providing access to food, water, toilets, bedding and so on.</w:t>
                      </w:r>
                    </w:p>
                    <w:p w14:paraId="1C1050DF" w14:textId="77777777" w:rsidR="005D0C30" w:rsidRPr="005D3C91" w:rsidRDefault="005D0C30" w:rsidP="00743826">
                      <w:pPr>
                        <w:pStyle w:val="PulloutText"/>
                        <w:numPr>
                          <w:ilvl w:val="0"/>
                          <w:numId w:val="12"/>
                        </w:numPr>
                      </w:pPr>
                      <w:r w:rsidRPr="005D3C91">
                        <w:t>Notify the nominated person, guardian or carer if you think restraint will affect the care relationship.</w:t>
                      </w:r>
                    </w:p>
                  </w:txbxContent>
                </v:textbox>
                <w10:anchorlock/>
              </v:shape>
            </w:pict>
          </mc:Fallback>
        </mc:AlternateContent>
      </w:r>
    </w:p>
    <w:p w14:paraId="195D261D" w14:textId="77777777" w:rsidR="00D3359F" w:rsidRPr="005D3C91" w:rsidRDefault="00D3359F" w:rsidP="00322C5E">
      <w:pPr>
        <w:pStyle w:val="Heading3"/>
      </w:pPr>
      <w:r w:rsidRPr="005D3C91">
        <w:t xml:space="preserve">Mechanical restraint </w:t>
      </w:r>
    </w:p>
    <w:p w14:paraId="258BD85D" w14:textId="77777777" w:rsidR="00D3359F" w:rsidRPr="00D3359F" w:rsidRDefault="00D3359F" w:rsidP="00743826">
      <w:pPr>
        <w:pStyle w:val="Normalfollowingheading"/>
      </w:pPr>
      <w:r w:rsidRPr="00D3359F">
        <w:t xml:space="preserve">This is the application of devices, such as belts or straps, to restrict a person’s movement. </w:t>
      </w:r>
    </w:p>
    <w:p w14:paraId="00F8399C" w14:textId="77777777" w:rsidR="00D3359F" w:rsidRPr="00D3359F" w:rsidRDefault="00D3359F" w:rsidP="00322C5E">
      <w:pPr>
        <w:pStyle w:val="Bullet1"/>
      </w:pPr>
      <w:r w:rsidRPr="00D3359F">
        <w:t>Only use mechanical restraint devices and techniques authorised by your health service.</w:t>
      </w:r>
    </w:p>
    <w:p w14:paraId="4DC6D6A2" w14:textId="77777777" w:rsidR="00D3359F" w:rsidRPr="00D3359F" w:rsidRDefault="00D3359F" w:rsidP="00322C5E">
      <w:pPr>
        <w:pStyle w:val="Bullet1"/>
      </w:pPr>
      <w:r w:rsidRPr="00D3359F">
        <w:t>Avoid restraining the person with one arm above their head and one arm by their side.</w:t>
      </w:r>
    </w:p>
    <w:p w14:paraId="6024F133" w14:textId="77777777" w:rsidR="00D3359F" w:rsidRPr="00D3359F" w:rsidRDefault="00D3359F" w:rsidP="00322C5E">
      <w:pPr>
        <w:pStyle w:val="Bullet1"/>
      </w:pPr>
      <w:r w:rsidRPr="00D3359F">
        <w:t xml:space="preserve">Elevate the bedhead slightly to avoid lying the person completely flat. </w:t>
      </w:r>
    </w:p>
    <w:p w14:paraId="0446097F" w14:textId="77777777" w:rsidR="00D3359F" w:rsidRPr="00D3359F" w:rsidRDefault="00D3359F" w:rsidP="00322C5E">
      <w:pPr>
        <w:pStyle w:val="Bullet1"/>
      </w:pPr>
      <w:r w:rsidRPr="00D3359F">
        <w:t xml:space="preserve">Document a clinical assessment </w:t>
      </w:r>
      <w:r w:rsidRPr="00D3359F">
        <w:rPr>
          <w:b/>
        </w:rPr>
        <w:t>every 15 minutes</w:t>
      </w:r>
      <w:r w:rsidRPr="00D3359F">
        <w:t>, including:</w:t>
      </w:r>
    </w:p>
    <w:p w14:paraId="0DE70A0F" w14:textId="77777777" w:rsidR="00D3359F" w:rsidRPr="00D3359F" w:rsidRDefault="00D3359F" w:rsidP="00322C5E">
      <w:pPr>
        <w:pStyle w:val="Bullet2"/>
      </w:pPr>
      <w:r w:rsidRPr="00D3359F">
        <w:t>breathing</w:t>
      </w:r>
    </w:p>
    <w:p w14:paraId="73798869" w14:textId="77777777" w:rsidR="00D3359F" w:rsidRPr="00D3359F" w:rsidRDefault="00D3359F" w:rsidP="00322C5E">
      <w:pPr>
        <w:pStyle w:val="Bullet2"/>
      </w:pPr>
      <w:r w:rsidRPr="00D3359F">
        <w:t>vital signs (heart rate, temperature, respiratory rate)</w:t>
      </w:r>
    </w:p>
    <w:p w14:paraId="18730F5F" w14:textId="77777777" w:rsidR="00D3359F" w:rsidRPr="00D3359F" w:rsidRDefault="00D3359F" w:rsidP="00322C5E">
      <w:pPr>
        <w:pStyle w:val="Bullet2"/>
      </w:pPr>
      <w:r w:rsidRPr="00D3359F">
        <w:t>movement and level of agitation, including SAT score</w:t>
      </w:r>
    </w:p>
    <w:p w14:paraId="1121604B" w14:textId="77777777" w:rsidR="00D3359F" w:rsidRPr="00D3359F" w:rsidRDefault="00D3359F" w:rsidP="00322C5E">
      <w:pPr>
        <w:pStyle w:val="Bullet2"/>
      </w:pPr>
      <w:r w:rsidRPr="00D3359F">
        <w:t>skin integrity and neurovascular assessment of restrained limbs</w:t>
      </w:r>
    </w:p>
    <w:p w14:paraId="4877DA3D" w14:textId="77777777" w:rsidR="00D3359F" w:rsidRPr="00D3359F" w:rsidRDefault="00D3359F" w:rsidP="00322C5E">
      <w:pPr>
        <w:pStyle w:val="Bullet2"/>
      </w:pPr>
      <w:r w:rsidRPr="00D3359F">
        <w:t xml:space="preserve">drink, food and toilet </w:t>
      </w:r>
      <w:proofErr w:type="gramStart"/>
      <w:r w:rsidRPr="00D3359F">
        <w:t>needs</w:t>
      </w:r>
      <w:proofErr w:type="gramEnd"/>
    </w:p>
    <w:p w14:paraId="38FC2A75" w14:textId="53E504C5" w:rsidR="00D3359F" w:rsidRPr="00D3359F" w:rsidRDefault="00D3359F" w:rsidP="00322C5E">
      <w:pPr>
        <w:pStyle w:val="Bullet2"/>
      </w:pPr>
      <w:r w:rsidRPr="00D3359F">
        <w:t>whether restraint is still needed.</w:t>
      </w:r>
      <w:r w:rsidR="00FA3BD7">
        <w:t xml:space="preserve"> Prepare to stop restraint now if </w:t>
      </w:r>
      <w:r w:rsidR="001C7EB5">
        <w:t xml:space="preserve">it is </w:t>
      </w:r>
      <w:r w:rsidR="00FA3BD7">
        <w:t>no longer needed.</w:t>
      </w:r>
    </w:p>
    <w:p w14:paraId="3CF58B3E" w14:textId="77777777" w:rsidR="00D3359F" w:rsidRPr="00D3359F" w:rsidRDefault="00D3359F" w:rsidP="00322C5E">
      <w:pPr>
        <w:pStyle w:val="Bullet1"/>
      </w:pPr>
      <w:r w:rsidRPr="00D3359F">
        <w:t>Consider venous thromboembolism (VTE) prophylaxis.</w:t>
      </w:r>
    </w:p>
    <w:p w14:paraId="32EBA0F7" w14:textId="77777777" w:rsidR="00D3359F" w:rsidRPr="00D3359F" w:rsidRDefault="00D3359F" w:rsidP="00322C5E">
      <w:pPr>
        <w:pStyle w:val="Bullet1"/>
      </w:pPr>
      <w:r w:rsidRPr="00D3359F">
        <w:t xml:space="preserve">Release each limb from mechanical restraints </w:t>
      </w:r>
      <w:r w:rsidRPr="00D3359F">
        <w:rPr>
          <w:b/>
        </w:rPr>
        <w:t>at least once per hour</w:t>
      </w:r>
      <w:r w:rsidRPr="00D3359F">
        <w:t xml:space="preserve"> to prevent injury and allow repositioning. </w:t>
      </w:r>
    </w:p>
    <w:p w14:paraId="148AFC99" w14:textId="77777777" w:rsidR="00D3359F" w:rsidRPr="00D3359F" w:rsidRDefault="00D3359F" w:rsidP="00322C5E">
      <w:pPr>
        <w:pStyle w:val="Bullet2"/>
      </w:pPr>
      <w:r w:rsidRPr="00D3359F">
        <w:t>Release one limb at a time while maintaining safety.</w:t>
      </w:r>
    </w:p>
    <w:p w14:paraId="33093D65" w14:textId="77777777" w:rsidR="00D3359F" w:rsidRPr="00D3359F" w:rsidRDefault="00D3359F" w:rsidP="00322C5E">
      <w:pPr>
        <w:pStyle w:val="Bullet1"/>
      </w:pPr>
      <w:r w:rsidRPr="00D3359F">
        <w:t xml:space="preserve">Unless required by law, only share information with members of the person’s network if they have given consent. </w:t>
      </w:r>
    </w:p>
    <w:p w14:paraId="04850DEF" w14:textId="77777777" w:rsidR="00D3359F" w:rsidRPr="00D3359F" w:rsidRDefault="00D3359F" w:rsidP="00322C5E">
      <w:pPr>
        <w:pStyle w:val="Bullet2"/>
      </w:pPr>
      <w:r w:rsidRPr="00D3359F">
        <w:t>If consent is given, consider discussing the restraint technique used, duration, risks, care plan and how they can help the person.</w:t>
      </w:r>
    </w:p>
    <w:p w14:paraId="7F742CD0" w14:textId="77777777" w:rsidR="00D3359F" w:rsidRPr="00D3359F" w:rsidRDefault="00D3359F" w:rsidP="00322C5E">
      <w:pPr>
        <w:pStyle w:val="Bullet1"/>
      </w:pPr>
      <w:r w:rsidRPr="00D3359F">
        <w:t>Remove mechanical restraints from the care environment if they are not being used.</w:t>
      </w:r>
    </w:p>
    <w:p w14:paraId="26E82119" w14:textId="77777777" w:rsidR="00956C9C" w:rsidRPr="00D3359F" w:rsidRDefault="00D3359F" w:rsidP="00743826">
      <w:r w:rsidRPr="00D3359F">
        <w:t>You must stop mechanical restraint as soon as it is no longer required to prevent serious and imminent harm to the person or others.</w:t>
      </w:r>
    </w:p>
    <w:p w14:paraId="324A8789" w14:textId="77777777" w:rsidR="00D3359F" w:rsidRPr="005D3C91" w:rsidRDefault="00D3359F" w:rsidP="00322C5E">
      <w:pPr>
        <w:pStyle w:val="Heading2"/>
      </w:pPr>
      <w:bookmarkStart w:id="27" w:name="_Toc36120130"/>
      <w:r w:rsidRPr="005D3C91">
        <w:lastRenderedPageBreak/>
        <w:t>Post-restraint care</w:t>
      </w:r>
      <w:bookmarkEnd w:id="27"/>
    </w:p>
    <w:p w14:paraId="703E693C" w14:textId="77777777" w:rsidR="00D3359F" w:rsidRPr="00D3359F" w:rsidRDefault="00D3359F" w:rsidP="00322C5E">
      <w:pPr>
        <w:pStyle w:val="Bullet1"/>
      </w:pPr>
      <w:r w:rsidRPr="00D3359F">
        <w:t xml:space="preserve">Perform a dedicated clinical assessment for any injuries caused by restraint. Consider repeating this assessment multiple times to check for emerging injuries. </w:t>
      </w:r>
    </w:p>
    <w:p w14:paraId="2558142A" w14:textId="77777777" w:rsidR="00D3359F" w:rsidRPr="00D3359F" w:rsidRDefault="00D3359F" w:rsidP="00322C5E">
      <w:pPr>
        <w:pStyle w:val="Bullet1"/>
      </w:pPr>
      <w:r w:rsidRPr="00D3359F">
        <w:t>Offer the person to walk, move all their limbs, drink and eat.</w:t>
      </w:r>
    </w:p>
    <w:p w14:paraId="3F0A625B" w14:textId="77777777" w:rsidR="00D3359F" w:rsidRPr="00D3359F" w:rsidRDefault="00D3359F" w:rsidP="00322C5E">
      <w:pPr>
        <w:pStyle w:val="Bullet1"/>
      </w:pPr>
      <w:r w:rsidRPr="00D3359F">
        <w:t>Offer the person counselling and support from an appropriate staff member.</w:t>
      </w:r>
    </w:p>
    <w:p w14:paraId="0C6C0166" w14:textId="77777777" w:rsidR="00D3359F" w:rsidRPr="00D3359F" w:rsidRDefault="00D3359F" w:rsidP="00322C5E">
      <w:pPr>
        <w:pStyle w:val="Bullet1"/>
      </w:pPr>
      <w:r w:rsidRPr="00D3359F">
        <w:t>Frequently monitor the person according to your health service’s guidelines and processes.</w:t>
      </w:r>
    </w:p>
    <w:p w14:paraId="267E4C58" w14:textId="4A795130" w:rsidR="00D3359F" w:rsidRPr="00D3359F" w:rsidRDefault="00D3359F" w:rsidP="00322C5E">
      <w:pPr>
        <w:pStyle w:val="Bullet1"/>
      </w:pPr>
      <w:r w:rsidRPr="00D3359F">
        <w:t>If sedation was given</w:t>
      </w:r>
      <w:r w:rsidR="00A6677E">
        <w:t>,</w:t>
      </w:r>
      <w:r w:rsidRPr="00D3359F">
        <w:t xml:space="preserve"> refer to </w:t>
      </w:r>
      <w:r w:rsidRPr="00A6677E">
        <w:t>Table 7</w:t>
      </w:r>
      <w:r w:rsidRPr="00D3359F">
        <w:t xml:space="preserve"> for ongoing clinical monitoring requirements.</w:t>
      </w:r>
    </w:p>
    <w:p w14:paraId="56439ED7" w14:textId="250A6C48" w:rsidR="00D3359F" w:rsidRPr="005D3C91" w:rsidRDefault="00D3359F" w:rsidP="00322C5E">
      <w:pPr>
        <w:pStyle w:val="Heading3"/>
      </w:pPr>
      <w:r w:rsidRPr="005D3C91">
        <w:t>Admission or discharge</w:t>
      </w:r>
    </w:p>
    <w:p w14:paraId="7B3173E5" w14:textId="03BDA1D6" w:rsidR="00D3359F" w:rsidRPr="00D3359F" w:rsidRDefault="00D3359F" w:rsidP="00743826">
      <w:pPr>
        <w:pStyle w:val="Normalfollowingheading"/>
      </w:pPr>
      <w:r w:rsidRPr="00D3359F">
        <w:t xml:space="preserve">Refer to </w:t>
      </w:r>
      <w:r w:rsidR="003734A4">
        <w:t>S</w:t>
      </w:r>
      <w:r w:rsidRPr="00D3359F">
        <w:t xml:space="preserve">ection </w:t>
      </w:r>
      <w:r w:rsidR="00B628EA">
        <w:t>6</w:t>
      </w:r>
      <w:r w:rsidRPr="00D3359F">
        <w:t xml:space="preserve"> of this guidance when considering admission or discharge of the person.</w:t>
      </w:r>
    </w:p>
    <w:p w14:paraId="33381792" w14:textId="77777777" w:rsidR="00D3359F" w:rsidRDefault="00D3359F" w:rsidP="00743826">
      <w:pPr>
        <w:rPr>
          <w:rFonts w:eastAsia="Times New Roman" w:cs="Calibri"/>
          <w:spacing w:val="2"/>
        </w:rPr>
      </w:pPr>
      <w:r>
        <w:br w:type="page"/>
      </w:r>
    </w:p>
    <w:p w14:paraId="09ED0DCA" w14:textId="77777777" w:rsidR="00956C9C" w:rsidRPr="005D3C91" w:rsidRDefault="005D3C91" w:rsidP="00322C5E">
      <w:pPr>
        <w:pStyle w:val="Heading1"/>
        <w:framePr w:wrap="around"/>
      </w:pPr>
      <w:bookmarkStart w:id="28" w:name="_Toc36120131"/>
      <w:r w:rsidRPr="005D3C91">
        <w:lastRenderedPageBreak/>
        <w:t>6. Transition from the emergency care setting</w:t>
      </w:r>
      <w:bookmarkEnd w:id="28"/>
    </w:p>
    <w:p w14:paraId="6636B860" w14:textId="17F748F3" w:rsidR="005D3C91" w:rsidRPr="005D3C91" w:rsidRDefault="005D3C91" w:rsidP="00743826">
      <w:pPr>
        <w:pStyle w:val="Normalfollowingheading"/>
      </w:pPr>
      <w:r w:rsidRPr="005D3C91">
        <w:t>Emergency departments and urgent care centres are usually not the appropriate place for definitive care of a person displaying acute behavioural disturbance. Use clinical decision making and your health service’s policies to guide whether it is in the best interest of the person to be admitted to the short stay unit</w:t>
      </w:r>
      <w:r w:rsidR="00942A61">
        <w:t>,</w:t>
      </w:r>
      <w:r w:rsidRPr="005D3C91">
        <w:t xml:space="preserve"> inpatient unit, or another health service. </w:t>
      </w:r>
    </w:p>
    <w:p w14:paraId="5C4C2B57" w14:textId="2026DED0" w:rsidR="005D3C91" w:rsidRPr="005D3C91" w:rsidRDefault="005D3C91" w:rsidP="00743826">
      <w:r w:rsidRPr="005D3C91">
        <w:t>When planning admission or discharge consider the:</w:t>
      </w:r>
    </w:p>
    <w:p w14:paraId="71279B18" w14:textId="77777777" w:rsidR="005D3C91" w:rsidRPr="005D3C91" w:rsidRDefault="005D3C91" w:rsidP="00322C5E">
      <w:pPr>
        <w:pStyle w:val="Bullet1"/>
      </w:pPr>
      <w:r w:rsidRPr="005D3C91">
        <w:t>wishes of the person, carer or guardian</w:t>
      </w:r>
    </w:p>
    <w:p w14:paraId="1775D68A" w14:textId="77777777" w:rsidR="005D3C91" w:rsidRPr="005D3C91" w:rsidRDefault="005D3C91" w:rsidP="00322C5E">
      <w:pPr>
        <w:pStyle w:val="Bullet1"/>
      </w:pPr>
      <w:r w:rsidRPr="005D3C91">
        <w:t>person’s clinical condition, after discussion with senior clinical staff</w:t>
      </w:r>
    </w:p>
    <w:p w14:paraId="1EB4387D" w14:textId="77777777" w:rsidR="005D3C91" w:rsidRPr="005D3C91" w:rsidRDefault="005D3C91" w:rsidP="00322C5E">
      <w:pPr>
        <w:pStyle w:val="Bullet2"/>
      </w:pPr>
      <w:r w:rsidRPr="005D3C91">
        <w:t>ensure the person can walk, talk and drink fluids before discharge</w:t>
      </w:r>
    </w:p>
    <w:p w14:paraId="02E7CA69" w14:textId="77777777" w:rsidR="005D3C91" w:rsidRPr="005D3C91" w:rsidRDefault="005D3C91" w:rsidP="00322C5E">
      <w:pPr>
        <w:pStyle w:val="Bullet1"/>
      </w:pPr>
      <w:r w:rsidRPr="005D3C91">
        <w:t>effects of all medications and substances, including alcohol</w:t>
      </w:r>
    </w:p>
    <w:p w14:paraId="114CDE10" w14:textId="77777777" w:rsidR="005D3C91" w:rsidRPr="005D3C91" w:rsidRDefault="005D3C91" w:rsidP="00322C5E">
      <w:pPr>
        <w:pStyle w:val="Bullet1"/>
      </w:pPr>
      <w:r w:rsidRPr="005D3C91">
        <w:t xml:space="preserve">likely underlying cause of the behavioural disturbance to guide admitting specialty </w:t>
      </w:r>
    </w:p>
    <w:p w14:paraId="4CEFBCF8" w14:textId="1275475E" w:rsidR="005D3C91" w:rsidRPr="005D3C91" w:rsidRDefault="005D3C91" w:rsidP="00322C5E">
      <w:pPr>
        <w:pStyle w:val="Bullet1"/>
      </w:pPr>
      <w:r w:rsidRPr="005D3C91">
        <w:t xml:space="preserve">clinical specialities and services at your health service to guide the need for </w:t>
      </w:r>
      <w:r w:rsidR="0037197B">
        <w:t>admission to another health service</w:t>
      </w:r>
      <w:r w:rsidRPr="005D3C91">
        <w:t>.</w:t>
      </w:r>
    </w:p>
    <w:p w14:paraId="24314692" w14:textId="6F2D62F2" w:rsidR="005D3C91" w:rsidRPr="005D3C91" w:rsidRDefault="005D3C91" w:rsidP="00322C5E">
      <w:pPr>
        <w:pStyle w:val="Heading2"/>
      </w:pPr>
      <w:bookmarkStart w:id="29" w:name="_Toc36120132"/>
      <w:r w:rsidRPr="005D3C91">
        <w:t>Debriefing and feedback</w:t>
      </w:r>
      <w:bookmarkEnd w:id="29"/>
      <w:r w:rsidR="008651AE">
        <w:t xml:space="preserve"> </w:t>
      </w:r>
    </w:p>
    <w:p w14:paraId="116D05AA" w14:textId="77777777" w:rsidR="005D3C91" w:rsidRPr="005D3C91" w:rsidRDefault="005D3C91" w:rsidP="00743826">
      <w:pPr>
        <w:pStyle w:val="Normalfollowingheading"/>
      </w:pPr>
      <w:r w:rsidRPr="005D3C91">
        <w:t>Care provided during an episode of acute behavioural disturbance can be traumatising for the person. Give the person options for debrief and feedback such as:</w:t>
      </w:r>
    </w:p>
    <w:p w14:paraId="1E7F0E32" w14:textId="77777777" w:rsidR="005D3C91" w:rsidRPr="005D3C91" w:rsidRDefault="005D3C91" w:rsidP="00322C5E">
      <w:pPr>
        <w:pStyle w:val="Bullet1"/>
      </w:pPr>
      <w:r w:rsidRPr="005D3C91">
        <w:t>debrief at the time of presentation by a skilled staff member able to listen to the person’s experiences and discuss care decisions (this staff member may be external to your emergency care team)</w:t>
      </w:r>
    </w:p>
    <w:p w14:paraId="0B5059ED" w14:textId="77777777" w:rsidR="005D3C91" w:rsidRPr="005D3C91" w:rsidRDefault="005D3C91" w:rsidP="00322C5E">
      <w:pPr>
        <w:pStyle w:val="Bullet1"/>
      </w:pPr>
      <w:r w:rsidRPr="005D3C91">
        <w:t xml:space="preserve">contact details of a staff member the person can debrief with after discharge </w:t>
      </w:r>
    </w:p>
    <w:p w14:paraId="249690B2" w14:textId="77777777" w:rsidR="005D3C91" w:rsidRPr="005D3C91" w:rsidRDefault="005D3C91" w:rsidP="00322C5E">
      <w:pPr>
        <w:pStyle w:val="Bullet1"/>
      </w:pPr>
      <w:r w:rsidRPr="005D3C91">
        <w:t>contact details of your health service’s consumer liaison department or equivalent</w:t>
      </w:r>
    </w:p>
    <w:p w14:paraId="3F39CDF6" w14:textId="77777777" w:rsidR="005D3C91" w:rsidRPr="005D3C91" w:rsidRDefault="005D3C91" w:rsidP="00322C5E">
      <w:pPr>
        <w:pStyle w:val="Bullet1"/>
      </w:pPr>
      <w:r w:rsidRPr="005D3C91">
        <w:t xml:space="preserve">contact details for the </w:t>
      </w:r>
      <w:hyperlink r:id="rId57" w:history="1">
        <w:r w:rsidRPr="005D3C91">
          <w:rPr>
            <w:rStyle w:val="Hyperlink"/>
            <w:color w:val="0070C0"/>
            <w:u w:val="single"/>
          </w:rPr>
          <w:t>Health Complaints Commissioner</w:t>
        </w:r>
      </w:hyperlink>
      <w:r w:rsidRPr="005D3C91">
        <w:t xml:space="preserve"> (1300 582 113) if they want to escalate their feedback</w:t>
      </w:r>
    </w:p>
    <w:p w14:paraId="279F3348" w14:textId="53BA1388" w:rsidR="005D3C91" w:rsidRPr="005D3C91" w:rsidRDefault="005D3C91" w:rsidP="00322C5E">
      <w:pPr>
        <w:pStyle w:val="Bullet1"/>
      </w:pPr>
      <w:r w:rsidRPr="005D3C91">
        <w:t xml:space="preserve">for people who received mental healthcare, contact details for the </w:t>
      </w:r>
      <w:hyperlink r:id="rId58" w:history="1">
        <w:r w:rsidRPr="005D3C91">
          <w:rPr>
            <w:rStyle w:val="Hyperlink"/>
            <w:color w:val="0070C0"/>
            <w:u w:val="single"/>
          </w:rPr>
          <w:t>Mental Health Complaints Commissioner</w:t>
        </w:r>
      </w:hyperlink>
      <w:r w:rsidR="00F51E38">
        <w:t xml:space="preserve"> (</w:t>
      </w:r>
      <w:r w:rsidRPr="005D3C91">
        <w:t>1800 246 054) if they want to escalate their feedback.</w:t>
      </w:r>
    </w:p>
    <w:p w14:paraId="217F0DA0" w14:textId="77777777" w:rsidR="005D3C91" w:rsidRPr="005D3C91" w:rsidRDefault="005D3C91" w:rsidP="00322C5E">
      <w:pPr>
        <w:pStyle w:val="Heading2"/>
      </w:pPr>
      <w:bookmarkStart w:id="30" w:name="_Toc36120133"/>
      <w:r w:rsidRPr="005D3C91">
        <w:t>Admission</w:t>
      </w:r>
      <w:bookmarkEnd w:id="30"/>
    </w:p>
    <w:p w14:paraId="223A7D02" w14:textId="77777777" w:rsidR="005D3C91" w:rsidRPr="005D3C91" w:rsidRDefault="005D3C91" w:rsidP="00322C5E">
      <w:pPr>
        <w:pStyle w:val="Bullet1"/>
        <w:numPr>
          <w:ilvl w:val="0"/>
          <w:numId w:val="0"/>
        </w:numPr>
      </w:pPr>
      <w:r w:rsidRPr="005D3C91">
        <w:t>Follow your health service’s guidelines and processes.</w:t>
      </w:r>
    </w:p>
    <w:p w14:paraId="38DA6CF3" w14:textId="20B48C58" w:rsidR="005D3C91" w:rsidRPr="005D3C91" w:rsidRDefault="005D3C91" w:rsidP="00322C5E">
      <w:pPr>
        <w:pStyle w:val="Bullet2"/>
        <w:numPr>
          <w:ilvl w:val="0"/>
          <w:numId w:val="0"/>
        </w:numPr>
      </w:pPr>
      <w:r w:rsidRPr="005D3C91">
        <w:t xml:space="preserve">When determining clinical appropriateness for admission consider your health service’s escalation and transfer policy, or equivalent policy related to National Safety and Quality Health Service standard </w:t>
      </w:r>
      <w:r w:rsidR="00082A9D">
        <w:t>8</w:t>
      </w:r>
      <w:r w:rsidRPr="005D3C91">
        <w:t xml:space="preserve"> </w:t>
      </w:r>
      <w:r w:rsidR="00F51E38">
        <w:t>‘</w:t>
      </w:r>
      <w:r w:rsidRPr="00F51E38">
        <w:rPr>
          <w:iCs/>
        </w:rPr>
        <w:t>Recognising and Responding to Acute Deterioration</w:t>
      </w:r>
      <w:r w:rsidR="00F51E38">
        <w:t>’</w:t>
      </w:r>
      <w:r w:rsidRPr="005D3C91">
        <w:t>.</w:t>
      </w:r>
    </w:p>
    <w:p w14:paraId="2E927B19" w14:textId="77777777" w:rsidR="00E00BF8" w:rsidRDefault="00E00BF8" w:rsidP="00743826">
      <w:pPr>
        <w:rPr>
          <w:rFonts w:eastAsiaTheme="majorEastAsia" w:cstheme="majorBidi"/>
          <w:color w:val="007586" w:themeColor="text2"/>
          <w:sz w:val="24"/>
          <w:szCs w:val="26"/>
        </w:rPr>
      </w:pPr>
      <w:r>
        <w:br w:type="page"/>
      </w:r>
    </w:p>
    <w:p w14:paraId="4489393C" w14:textId="248733D1" w:rsidR="005D3C91" w:rsidRPr="005D3C91" w:rsidRDefault="005D3C91" w:rsidP="00322C5E">
      <w:pPr>
        <w:pStyle w:val="Heading2"/>
      </w:pPr>
      <w:bookmarkStart w:id="31" w:name="_Toc36120134"/>
      <w:r w:rsidRPr="005D3C91">
        <w:lastRenderedPageBreak/>
        <w:t>Transfer</w:t>
      </w:r>
      <w:r w:rsidR="00942A61">
        <w:t xml:space="preserve"> considerations</w:t>
      </w:r>
      <w:bookmarkEnd w:id="31"/>
    </w:p>
    <w:p w14:paraId="5F6593C1" w14:textId="22926D01" w:rsidR="005D3C91" w:rsidRPr="005D3C91" w:rsidRDefault="005D3C91" w:rsidP="00743826">
      <w:pPr>
        <w:pStyle w:val="Normalfollowingheading"/>
      </w:pPr>
      <w:r w:rsidRPr="005D3C91">
        <w:t>A person displaying acute behavioural disturbance should be escorted by suitably skilled and trained clinician</w:t>
      </w:r>
      <w:r w:rsidR="00942A61">
        <w:t>s</w:t>
      </w:r>
      <w:r w:rsidRPr="005D3C91">
        <w:t xml:space="preserve"> with</w:t>
      </w:r>
      <w:r w:rsidR="00942A61">
        <w:t xml:space="preserve"> appropriate</w:t>
      </w:r>
      <w:r w:rsidRPr="005D3C91">
        <w:t>:</w:t>
      </w:r>
    </w:p>
    <w:p w14:paraId="2427687C" w14:textId="4178E80F" w:rsidR="00942A61" w:rsidRDefault="00942A61" w:rsidP="00322C5E">
      <w:pPr>
        <w:pStyle w:val="Bullet1"/>
      </w:pPr>
      <w:r>
        <w:t>airway management skills</w:t>
      </w:r>
    </w:p>
    <w:p w14:paraId="56E22E9A" w14:textId="6B7DA055" w:rsidR="005D3C91" w:rsidRPr="005D3C91" w:rsidRDefault="005D3C91" w:rsidP="00322C5E">
      <w:pPr>
        <w:pStyle w:val="Bullet1"/>
      </w:pPr>
      <w:r w:rsidRPr="005D3C91">
        <w:t>ability to recognise and respond to cardiovascular instability</w:t>
      </w:r>
    </w:p>
    <w:p w14:paraId="50B3160C" w14:textId="1AE2AED4" w:rsidR="005D3C91" w:rsidRPr="005D3C91" w:rsidRDefault="005D3C91" w:rsidP="00322C5E">
      <w:pPr>
        <w:pStyle w:val="Bullet1"/>
      </w:pPr>
      <w:r w:rsidRPr="005D3C91">
        <w:t>plan</w:t>
      </w:r>
      <w:r w:rsidR="00942A61">
        <w:t>s</w:t>
      </w:r>
      <w:r w:rsidRPr="005D3C91">
        <w:t xml:space="preserve"> for adverse events, including written orders for further sedation</w:t>
      </w:r>
    </w:p>
    <w:p w14:paraId="0161A0D5" w14:textId="77777777" w:rsidR="005D3C91" w:rsidRPr="005D3C91" w:rsidRDefault="005D3C91" w:rsidP="00322C5E">
      <w:pPr>
        <w:pStyle w:val="Bullet1"/>
      </w:pPr>
      <w:r w:rsidRPr="005D3C91">
        <w:t>communication and de-escalation skills.</w:t>
      </w:r>
    </w:p>
    <w:p w14:paraId="1963B006" w14:textId="77777777" w:rsidR="005D3C91" w:rsidRPr="005D3C91" w:rsidRDefault="005D3C91" w:rsidP="00743826">
      <w:r w:rsidRPr="005D3C91">
        <w:t>If the person was given sedation, the transfer should be authorised by the clinical leader who ordered the medications or equivalent.</w:t>
      </w:r>
    </w:p>
    <w:p w14:paraId="206482D7" w14:textId="77777777" w:rsidR="00956C9C" w:rsidRPr="005D3C91" w:rsidRDefault="005D3C91" w:rsidP="00743826">
      <w:r w:rsidRPr="005D3C91">
        <w:rPr>
          <w:noProof/>
        </w:rPr>
        <mc:AlternateContent>
          <mc:Choice Requires="wps">
            <w:drawing>
              <wp:inline distT="0" distB="0" distL="0" distR="0" wp14:anchorId="176D8D22" wp14:editId="60CC2173">
                <wp:extent cx="6263640" cy="1254642"/>
                <wp:effectExtent l="0" t="0" r="22860" b="2222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254642"/>
                        </a:xfrm>
                        <a:prstGeom prst="rect">
                          <a:avLst/>
                        </a:prstGeom>
                        <a:solidFill>
                          <a:schemeClr val="bg2"/>
                        </a:solidFill>
                        <a:ln w="6350">
                          <a:solidFill>
                            <a:schemeClr val="bg2"/>
                          </a:solidFill>
                          <a:miter lim="800000"/>
                          <a:headEnd/>
                          <a:tailEnd/>
                        </a:ln>
                      </wps:spPr>
                      <wps:txbx>
                        <w:txbxContent>
                          <w:p w14:paraId="1ACB19B3" w14:textId="77777777" w:rsidR="005D0C30" w:rsidRPr="00E00BF8" w:rsidRDefault="005D0C30" w:rsidP="00743826">
                            <w:pPr>
                              <w:pStyle w:val="PulloutHeading"/>
                              <w:rPr>
                                <w:i/>
                              </w:rPr>
                            </w:pPr>
                            <w:r w:rsidRPr="00E00BF8">
                              <w:t xml:space="preserve">Sedation for transporting people subject to an order under the </w:t>
                            </w:r>
                            <w:r w:rsidRPr="00E00BF8">
                              <w:rPr>
                                <w:i/>
                              </w:rPr>
                              <w:t>Mental Health Act 2014</w:t>
                            </w:r>
                          </w:p>
                          <w:p w14:paraId="7CA5B307" w14:textId="77777777" w:rsidR="005D0C30" w:rsidRPr="005D3C91" w:rsidRDefault="005D0C30" w:rsidP="00743826">
                            <w:pPr>
                              <w:pStyle w:val="PulloutText"/>
                            </w:pPr>
                            <w:r w:rsidRPr="005D3C91">
                              <w:t xml:space="preserve">A medical practitioner can administer sedation to a person without their consent for safe transport to a mental health service. </w:t>
                            </w:r>
                            <w:r w:rsidRPr="005D3C91">
                              <w:rPr>
                                <w:b/>
                              </w:rPr>
                              <w:t>Only do this after consulting with the psychiatrist at the receiving mental health service</w:t>
                            </w:r>
                            <w:r w:rsidRPr="005D3C91">
                              <w:t>.</w:t>
                            </w:r>
                          </w:p>
                        </w:txbxContent>
                      </wps:txbx>
                      <wps:bodyPr rot="0" vert="horz" wrap="square" lIns="180000" tIns="180000" rIns="144000" bIns="36000" anchor="t" anchorCtr="0">
                        <a:noAutofit/>
                      </wps:bodyPr>
                    </wps:wsp>
                  </a:graphicData>
                </a:graphic>
              </wp:inline>
            </w:drawing>
          </mc:Choice>
          <mc:Fallback>
            <w:pict>
              <v:shape w14:anchorId="176D8D22" id="_x0000_s1030" type="#_x0000_t202" style="width:493.2pt;height: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" fillcolor="#edf5f7 [3214]" strokecolor="#edf5f7 [3214]" strokeweight=".5pt">
                <v:textbox inset="5mm,5mm,4mm,1mm">
                  <w:txbxContent>
                    <w:p w14:paraId="1ACB19B3" w14:textId="77777777" w:rsidR="005D0C30" w:rsidRPr="00E00BF8" w:rsidRDefault="005D0C30" w:rsidP="00743826">
                      <w:pPr>
                        <w:pStyle w:val="PulloutHeading"/>
                        <w:rPr>
                          <w:i/>
                        </w:rPr>
                      </w:pPr>
                      <w:r w:rsidRPr="00E00BF8">
                        <w:t xml:space="preserve">Sedation for transporting people subject to an order under the </w:t>
                      </w:r>
                      <w:r w:rsidRPr="00E00BF8">
                        <w:rPr>
                          <w:i/>
                        </w:rPr>
                        <w:t>Mental Health Act 2014</w:t>
                      </w:r>
                    </w:p>
                    <w:p w14:paraId="7CA5B307" w14:textId="77777777" w:rsidR="005D0C30" w:rsidRPr="005D3C91" w:rsidRDefault="005D0C30" w:rsidP="00743826">
                      <w:pPr>
                        <w:pStyle w:val="PulloutText"/>
                      </w:pPr>
                      <w:r w:rsidRPr="005D3C91">
                        <w:t xml:space="preserve">A medical practitioner can administer sedation to a person without their consent for safe transport to a mental health service. </w:t>
                      </w:r>
                      <w:r w:rsidRPr="005D3C91">
                        <w:rPr>
                          <w:b/>
                        </w:rPr>
                        <w:t>Only do this after consulting with the psychiatrist at the receiving mental health service</w:t>
                      </w:r>
                      <w:r w:rsidRPr="005D3C91">
                        <w:t>.</w:t>
                      </w:r>
                    </w:p>
                  </w:txbxContent>
                </v:textbox>
                <w10:anchorlock/>
              </v:shape>
            </w:pict>
          </mc:Fallback>
        </mc:AlternateContent>
      </w:r>
    </w:p>
    <w:p w14:paraId="4AFC3AF9" w14:textId="77777777" w:rsidR="005D3C91" w:rsidRPr="005D3C91" w:rsidRDefault="005D3C91" w:rsidP="00322C5E">
      <w:pPr>
        <w:pStyle w:val="Heading2"/>
      </w:pPr>
      <w:bookmarkStart w:id="32" w:name="_Toc36120135"/>
      <w:r w:rsidRPr="005D3C91">
        <w:t>Discharge</w:t>
      </w:r>
      <w:bookmarkEnd w:id="32"/>
    </w:p>
    <w:p w14:paraId="496F41E1" w14:textId="72B27304" w:rsidR="005D3C91" w:rsidRDefault="005D3C91" w:rsidP="00743826">
      <w:pPr>
        <w:pStyle w:val="Normalfollowingheading"/>
      </w:pPr>
      <w:r w:rsidRPr="005D3C91">
        <w:t>When the person is clinically stable and able to engage with staff, obtain their consent and consider referring them to:</w:t>
      </w:r>
    </w:p>
    <w:p w14:paraId="2DDF6177" w14:textId="77777777" w:rsidR="005D3C91" w:rsidRPr="005D3C91" w:rsidRDefault="005D3C91" w:rsidP="00322C5E">
      <w:pPr>
        <w:pStyle w:val="Bullet1"/>
      </w:pPr>
      <w:r w:rsidRPr="005D3C91">
        <w:t>a social worker</w:t>
      </w:r>
    </w:p>
    <w:p w14:paraId="6DAAEB3E" w14:textId="77777777" w:rsidR="005D3C91" w:rsidRPr="005D3C91" w:rsidRDefault="005D3C91" w:rsidP="00322C5E">
      <w:pPr>
        <w:pStyle w:val="Bullet1"/>
      </w:pPr>
      <w:r w:rsidRPr="005D3C91">
        <w:t>a care coordination team</w:t>
      </w:r>
    </w:p>
    <w:p w14:paraId="510FA1A2" w14:textId="77777777" w:rsidR="005D3C91" w:rsidRPr="005D3C91" w:rsidRDefault="005D3C91" w:rsidP="00322C5E">
      <w:pPr>
        <w:pStyle w:val="Bullet1"/>
      </w:pPr>
      <w:r w:rsidRPr="005D3C91">
        <w:t>a drug and alcohol team</w:t>
      </w:r>
    </w:p>
    <w:p w14:paraId="5FB8A448" w14:textId="7D2BD901" w:rsidR="005D3C91" w:rsidRPr="005D3C91" w:rsidRDefault="005D3C91" w:rsidP="00322C5E">
      <w:pPr>
        <w:pStyle w:val="Bullet1"/>
      </w:pPr>
      <w:r w:rsidRPr="005D3C91">
        <w:t xml:space="preserve">a mental health </w:t>
      </w:r>
      <w:proofErr w:type="gramStart"/>
      <w:r w:rsidRPr="005D3C91">
        <w:t>team</w:t>
      </w:r>
      <w:proofErr w:type="gramEnd"/>
    </w:p>
    <w:p w14:paraId="49835597" w14:textId="77777777" w:rsidR="005D3C91" w:rsidRPr="005D3C91" w:rsidRDefault="005D3C91" w:rsidP="00322C5E">
      <w:pPr>
        <w:pStyle w:val="Bullet1"/>
      </w:pPr>
      <w:r w:rsidRPr="005D3C91">
        <w:t>pastoral care</w:t>
      </w:r>
    </w:p>
    <w:p w14:paraId="4E777039" w14:textId="77777777" w:rsidR="005D3C91" w:rsidRPr="005D3C91" w:rsidRDefault="005D3C91" w:rsidP="00322C5E">
      <w:pPr>
        <w:pStyle w:val="Bullet1"/>
      </w:pPr>
      <w:r w:rsidRPr="005D3C91">
        <w:t>any other relevant services in your hea</w:t>
      </w:r>
      <w:r w:rsidR="00E00BF8">
        <w:t>l</w:t>
      </w:r>
      <w:r w:rsidRPr="005D3C91">
        <w:t>th service.</w:t>
      </w:r>
    </w:p>
    <w:p w14:paraId="7B694BAC" w14:textId="77777777" w:rsidR="005D3C91" w:rsidRPr="005D3C91" w:rsidRDefault="005D3C91" w:rsidP="00743826">
      <w:r w:rsidRPr="005D3C91">
        <w:t>Make sure you follow the appropriate referral pathway if it is outside business hours. Use telehealth if available.</w:t>
      </w:r>
    </w:p>
    <w:p w14:paraId="1188EDA3" w14:textId="5F300DEB" w:rsidR="005D3C91" w:rsidRPr="005D3C91" w:rsidRDefault="005D3C91" w:rsidP="00743826">
      <w:r w:rsidRPr="005D3C91">
        <w:t>Share information about the person’s presentation with their support network only if they give consent</w:t>
      </w:r>
      <w:r w:rsidR="007C70C8">
        <w:t xml:space="preserve"> or if the information directly affects the care relationship after discharge</w:t>
      </w:r>
      <w:r w:rsidRPr="005D3C91">
        <w:t xml:space="preserve">. Their support network may include </w:t>
      </w:r>
      <w:proofErr w:type="spellStart"/>
      <w:r w:rsidRPr="005D3C91">
        <w:t>their</w:t>
      </w:r>
      <w:proofErr w:type="spellEnd"/>
      <w:r w:rsidRPr="005D3C91">
        <w:t>:</w:t>
      </w:r>
    </w:p>
    <w:p w14:paraId="4D114C46" w14:textId="77777777" w:rsidR="00D17635" w:rsidRDefault="00D17635" w:rsidP="00322C5E">
      <w:pPr>
        <w:pStyle w:val="Bullet1"/>
        <w:sectPr w:rsidR="00D17635" w:rsidSect="00B11FBB">
          <w:type w:val="continuous"/>
          <w:pgSz w:w="11906" w:h="16838" w:code="9"/>
          <w:pgMar w:top="3402" w:right="851" w:bottom="1361" w:left="851" w:header="539" w:footer="624" w:gutter="0"/>
          <w:pgNumType w:start="1"/>
          <w:cols w:space="284"/>
          <w:docGrid w:linePitch="360"/>
        </w:sectPr>
      </w:pPr>
    </w:p>
    <w:p w14:paraId="2BA7ECE7" w14:textId="77777777" w:rsidR="005D3C91" w:rsidRPr="005D3C91" w:rsidRDefault="005D3C91" w:rsidP="00322C5E">
      <w:pPr>
        <w:pStyle w:val="Bullet1"/>
      </w:pPr>
      <w:r w:rsidRPr="005D3C91">
        <w:t>general practitioner</w:t>
      </w:r>
    </w:p>
    <w:p w14:paraId="64381ABB" w14:textId="77777777" w:rsidR="005D3C91" w:rsidRPr="005D3C91" w:rsidRDefault="005D3C91" w:rsidP="00322C5E">
      <w:pPr>
        <w:pStyle w:val="Bullet1"/>
      </w:pPr>
      <w:r w:rsidRPr="005D3C91">
        <w:t>case manager</w:t>
      </w:r>
    </w:p>
    <w:p w14:paraId="57665658" w14:textId="0E205B29" w:rsidR="005D3C91" w:rsidRPr="005D3C91" w:rsidRDefault="005D3C91" w:rsidP="00322C5E">
      <w:pPr>
        <w:pStyle w:val="Bullet1"/>
      </w:pPr>
      <w:r w:rsidRPr="005D3C91">
        <w:t>housing support worker</w:t>
      </w:r>
    </w:p>
    <w:p w14:paraId="0C0B42B7" w14:textId="77777777" w:rsidR="005D3C91" w:rsidRPr="005D3C91" w:rsidRDefault="005D3C91" w:rsidP="00322C5E">
      <w:pPr>
        <w:pStyle w:val="Bullet1"/>
      </w:pPr>
      <w:r w:rsidRPr="005D3C91">
        <w:t>carer</w:t>
      </w:r>
    </w:p>
    <w:p w14:paraId="270B2AAB" w14:textId="0A55ED98" w:rsidR="00956C9C" w:rsidRDefault="005D3C91" w:rsidP="00322C5E">
      <w:pPr>
        <w:pStyle w:val="Bullet1"/>
      </w:pPr>
      <w:r w:rsidRPr="005D3C91">
        <w:t>family.</w:t>
      </w:r>
    </w:p>
    <w:p w14:paraId="65D70CDA" w14:textId="77777777" w:rsidR="005D3C91" w:rsidRDefault="005D3C91" w:rsidP="00322C5E">
      <w:pPr>
        <w:pStyle w:val="Bullet1"/>
        <w:numPr>
          <w:ilvl w:val="0"/>
          <w:numId w:val="0"/>
        </w:numPr>
      </w:pPr>
      <w:r>
        <w:rPr>
          <w:noProof/>
        </w:rPr>
        <w:lastRenderedPageBreak/>
        <mc:AlternateContent>
          <mc:Choice Requires="wps">
            <w:drawing>
              <wp:inline distT="0" distB="0" distL="0" distR="0" wp14:anchorId="122C194A" wp14:editId="4B6A92B3">
                <wp:extent cx="6249725" cy="1631950"/>
                <wp:effectExtent l="0" t="0" r="17780" b="254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725" cy="1631950"/>
                        </a:xfrm>
                        <a:prstGeom prst="rect">
                          <a:avLst/>
                        </a:prstGeom>
                        <a:solidFill>
                          <a:schemeClr val="bg2"/>
                        </a:solidFill>
                        <a:ln w="6350">
                          <a:solidFill>
                            <a:schemeClr val="bg2"/>
                          </a:solidFill>
                          <a:miter lim="800000"/>
                          <a:headEnd/>
                          <a:tailEnd/>
                        </a:ln>
                      </wps:spPr>
                      <wps:txbx>
                        <w:txbxContent>
                          <w:p w14:paraId="4446C3D4" w14:textId="77777777" w:rsidR="005D0C30" w:rsidRPr="005D3C91" w:rsidRDefault="005D0C30" w:rsidP="00743826">
                            <w:pPr>
                              <w:pStyle w:val="PulloutHeading"/>
                              <w:rPr>
                                <w:i/>
                              </w:rPr>
                            </w:pPr>
                            <w:r w:rsidRPr="005D3C91">
                              <w:t xml:space="preserve">Discharging a person who was given sedation </w:t>
                            </w:r>
                          </w:p>
                          <w:p w14:paraId="69D36CDC" w14:textId="77777777" w:rsidR="005D0C30" w:rsidRPr="005D3C91" w:rsidRDefault="005D0C30" w:rsidP="00743826">
                            <w:pPr>
                              <w:pStyle w:val="PulloutText"/>
                            </w:pPr>
                            <w:r w:rsidRPr="005D3C91">
                              <w:t>The clinical leader who ordered the medications or equivalent should authorise discharge.</w:t>
                            </w:r>
                          </w:p>
                          <w:p w14:paraId="6F0433BF" w14:textId="77777777" w:rsidR="005D0C30" w:rsidRPr="005D3C91" w:rsidRDefault="005D0C30" w:rsidP="00743826">
                            <w:pPr>
                              <w:pStyle w:val="PulloutText"/>
                            </w:pPr>
                            <w:r w:rsidRPr="005D3C91">
                              <w:t>Inform the person about:</w:t>
                            </w:r>
                          </w:p>
                          <w:p w14:paraId="0F4221F2" w14:textId="77777777" w:rsidR="005D0C30" w:rsidRPr="005D3C91" w:rsidRDefault="005D0C30" w:rsidP="00743826">
                            <w:pPr>
                              <w:pStyle w:val="PulloutText"/>
                              <w:numPr>
                                <w:ilvl w:val="0"/>
                                <w:numId w:val="13"/>
                              </w:numPr>
                            </w:pPr>
                            <w:r w:rsidRPr="005D3C91">
                              <w:t>their clinical condition including any medications given</w:t>
                            </w:r>
                          </w:p>
                          <w:p w14:paraId="771D089E" w14:textId="77777777" w:rsidR="005D0C30" w:rsidRPr="005D3C91" w:rsidRDefault="005D0C30" w:rsidP="00743826">
                            <w:pPr>
                              <w:pStyle w:val="PulloutText"/>
                              <w:numPr>
                                <w:ilvl w:val="0"/>
                                <w:numId w:val="13"/>
                              </w:numPr>
                            </w:pPr>
                            <w:r w:rsidRPr="005D3C91">
                              <w:t>the risks of driving, operating machinery, physical activity and making legally binding decisions</w:t>
                            </w:r>
                          </w:p>
                          <w:p w14:paraId="2FE08F15" w14:textId="77777777" w:rsidR="005D0C30" w:rsidRPr="005D3C91" w:rsidRDefault="005D0C30" w:rsidP="00743826">
                            <w:pPr>
                              <w:pStyle w:val="PulloutText"/>
                              <w:numPr>
                                <w:ilvl w:val="0"/>
                                <w:numId w:val="13"/>
                              </w:numPr>
                            </w:pPr>
                            <w:r w:rsidRPr="005D3C91">
                              <w:t>any signs and symptoms of potential side effects or complications and to re-present if concerned.</w:t>
                            </w:r>
                          </w:p>
                        </w:txbxContent>
                      </wps:txbx>
                      <wps:bodyPr rot="0" vert="horz" wrap="square" lIns="180000" tIns="180000" rIns="144000" bIns="36000" anchor="t" anchorCtr="0">
                        <a:noAutofit/>
                      </wps:bodyPr>
                    </wps:wsp>
                  </a:graphicData>
                </a:graphic>
              </wp:inline>
            </w:drawing>
          </mc:Choice>
          <mc:Fallback>
            <w:pict>
              <v:shape w14:anchorId="122C194A" id="Text Box 6" o:spid="_x0000_s1031" type="#_x0000_t202" style="width:492.1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" fillcolor="#edf5f7 [3214]" strokecolor="#edf5f7 [3214]" strokeweight=".5pt">
                <v:textbox inset="5mm,5mm,4mm,1mm">
                  <w:txbxContent>
                    <w:p w14:paraId="4446C3D4" w14:textId="77777777" w:rsidR="005D0C30" w:rsidRPr="005D3C91" w:rsidRDefault="005D0C30" w:rsidP="00743826">
                      <w:pPr>
                        <w:pStyle w:val="PulloutHeading"/>
                        <w:rPr>
                          <w:i/>
                        </w:rPr>
                      </w:pPr>
                      <w:r w:rsidRPr="005D3C91">
                        <w:t xml:space="preserve">Discharging a person who was given sedation </w:t>
                      </w:r>
                    </w:p>
                    <w:p w14:paraId="69D36CDC" w14:textId="77777777" w:rsidR="005D0C30" w:rsidRPr="005D3C91" w:rsidRDefault="005D0C30" w:rsidP="00743826">
                      <w:pPr>
                        <w:pStyle w:val="PulloutText"/>
                      </w:pPr>
                      <w:r w:rsidRPr="005D3C91">
                        <w:t>The clinical leader who ordered the medications or equivalent should authorise discharge.</w:t>
                      </w:r>
                    </w:p>
                    <w:p w14:paraId="6F0433BF" w14:textId="77777777" w:rsidR="005D0C30" w:rsidRPr="005D3C91" w:rsidRDefault="005D0C30" w:rsidP="00743826">
                      <w:pPr>
                        <w:pStyle w:val="PulloutText"/>
                      </w:pPr>
                      <w:r w:rsidRPr="005D3C91">
                        <w:t>Inform the person about:</w:t>
                      </w:r>
                    </w:p>
                    <w:p w14:paraId="0F4221F2" w14:textId="77777777" w:rsidR="005D0C30" w:rsidRPr="005D3C91" w:rsidRDefault="005D0C30" w:rsidP="00743826">
                      <w:pPr>
                        <w:pStyle w:val="PulloutText"/>
                        <w:numPr>
                          <w:ilvl w:val="0"/>
                          <w:numId w:val="13"/>
                        </w:numPr>
                      </w:pPr>
                      <w:r w:rsidRPr="005D3C91">
                        <w:t>their clinical condition including any medications given</w:t>
                      </w:r>
                    </w:p>
                    <w:p w14:paraId="771D089E" w14:textId="77777777" w:rsidR="005D0C30" w:rsidRPr="005D3C91" w:rsidRDefault="005D0C30" w:rsidP="00743826">
                      <w:pPr>
                        <w:pStyle w:val="PulloutText"/>
                        <w:numPr>
                          <w:ilvl w:val="0"/>
                          <w:numId w:val="13"/>
                        </w:numPr>
                      </w:pPr>
                      <w:r w:rsidRPr="005D3C91">
                        <w:t>the risks of driving, operating machinery, physical activity and making legally binding decisions</w:t>
                      </w:r>
                    </w:p>
                    <w:p w14:paraId="2FE08F15" w14:textId="77777777" w:rsidR="005D0C30" w:rsidRPr="005D3C91" w:rsidRDefault="005D0C30" w:rsidP="00743826">
                      <w:pPr>
                        <w:pStyle w:val="PulloutText"/>
                        <w:numPr>
                          <w:ilvl w:val="0"/>
                          <w:numId w:val="13"/>
                        </w:numPr>
                      </w:pPr>
                      <w:r w:rsidRPr="005D3C91">
                        <w:t>any signs and symptoms of potential side effects or complications and to re-present if concerned.</w:t>
                      </w:r>
                    </w:p>
                  </w:txbxContent>
                </v:textbox>
                <w10:anchorlock/>
              </v:shape>
            </w:pict>
          </mc:Fallback>
        </mc:AlternateContent>
      </w:r>
    </w:p>
    <w:p w14:paraId="0615029B" w14:textId="77777777" w:rsidR="001217E2" w:rsidRDefault="001217E2" w:rsidP="00743826">
      <w:r>
        <w:br w:type="page"/>
      </w:r>
    </w:p>
    <w:p w14:paraId="6F11AE00" w14:textId="5D284033" w:rsidR="005D3C91" w:rsidRPr="002C2F8B" w:rsidRDefault="001217E2" w:rsidP="00322C5E">
      <w:pPr>
        <w:pStyle w:val="Heading1"/>
        <w:framePr w:wrap="around"/>
      </w:pPr>
      <w:bookmarkStart w:id="33" w:name="_Toc36120136"/>
      <w:r w:rsidRPr="002C2F8B">
        <w:lastRenderedPageBreak/>
        <w:t xml:space="preserve">7. </w:t>
      </w:r>
      <w:r w:rsidR="009A7450">
        <w:t>Staff support and case review</w:t>
      </w:r>
      <w:bookmarkEnd w:id="33"/>
    </w:p>
    <w:p w14:paraId="144D30F6" w14:textId="105AEABD" w:rsidR="001217E2" w:rsidRPr="002C2F8B" w:rsidRDefault="001217E2" w:rsidP="00743826">
      <w:r w:rsidRPr="002C2F8B">
        <w:t xml:space="preserve">Caring for people displaying acute behavioural disturbance can be clinically, ethically and emotionally challenging. </w:t>
      </w:r>
      <w:r w:rsidR="003A4EA0">
        <w:t>Staff</w:t>
      </w:r>
      <w:r w:rsidR="00606767">
        <w:t xml:space="preserve"> support and</w:t>
      </w:r>
      <w:r w:rsidRPr="002C2F8B">
        <w:t xml:space="preserve"> review of care episodes can improve care, decrease restrictive interventions and maintain staff wellbeing. Consider the </w:t>
      </w:r>
      <w:r w:rsidR="00CC7AA1">
        <w:t>distress</w:t>
      </w:r>
      <w:r w:rsidRPr="002C2F8B">
        <w:t xml:space="preserve"> staff may have experienced when planning </w:t>
      </w:r>
      <w:r w:rsidR="003A4EA0">
        <w:t>staff support or a case review</w:t>
      </w:r>
      <w:r w:rsidRPr="002C2F8B">
        <w:t xml:space="preserve">. </w:t>
      </w:r>
    </w:p>
    <w:p w14:paraId="705C03B0" w14:textId="0056A79D" w:rsidR="001217E2" w:rsidRDefault="009F4421" w:rsidP="00322C5E">
      <w:pPr>
        <w:pStyle w:val="Heading2"/>
      </w:pPr>
      <w:bookmarkStart w:id="34" w:name="_Toc36120137"/>
      <w:r>
        <w:t>Staff</w:t>
      </w:r>
      <w:r w:rsidR="00CC7AA1">
        <w:t xml:space="preserve"> support</w:t>
      </w:r>
      <w:bookmarkEnd w:id="34"/>
    </w:p>
    <w:p w14:paraId="15066B3B" w14:textId="3F4BDF75" w:rsidR="003D10A3" w:rsidRPr="002F4AF3" w:rsidRDefault="00606767" w:rsidP="00322C5E">
      <w:pPr>
        <w:pStyle w:val="Bullet1"/>
      </w:pPr>
      <w:r>
        <w:t xml:space="preserve">Consider offering </w:t>
      </w:r>
      <w:r w:rsidR="003D10A3" w:rsidRPr="002F4AF3">
        <w:t xml:space="preserve">psychological </w:t>
      </w:r>
      <w:r w:rsidR="00512F75">
        <w:t>support</w:t>
      </w:r>
      <w:r w:rsidR="003D10A3" w:rsidRPr="002F4AF3">
        <w:t xml:space="preserve"> </w:t>
      </w:r>
      <w:r w:rsidR="005A2BE0">
        <w:t>to staff</w:t>
      </w:r>
      <w:r w:rsidR="00722B71" w:rsidRPr="002F4AF3">
        <w:t>, ideally with a s</w:t>
      </w:r>
      <w:r w:rsidR="00512F75">
        <w:t>enior staff member</w:t>
      </w:r>
      <w:r w:rsidR="00722B71" w:rsidRPr="002F4AF3">
        <w:t>.</w:t>
      </w:r>
    </w:p>
    <w:p w14:paraId="324C6650" w14:textId="416FE422" w:rsidR="003D10A3" w:rsidRPr="002F4AF3" w:rsidRDefault="00722B71" w:rsidP="00322C5E">
      <w:pPr>
        <w:pStyle w:val="Bullet2"/>
      </w:pPr>
      <w:r w:rsidRPr="002F4AF3">
        <w:t>P</w:t>
      </w:r>
      <w:r w:rsidR="003D10A3" w:rsidRPr="002F4AF3">
        <w:t>sychological</w:t>
      </w:r>
      <w:r w:rsidR="00512F75">
        <w:t xml:space="preserve"> support</w:t>
      </w:r>
      <w:r w:rsidR="003D10A3" w:rsidRPr="002F4AF3">
        <w:t xml:space="preserve"> </w:t>
      </w:r>
      <w:r w:rsidRPr="002F4AF3">
        <w:t>c</w:t>
      </w:r>
      <w:r w:rsidR="003D10A3" w:rsidRPr="002F4AF3">
        <w:t xml:space="preserve">an reduce initial distress, address basic needs, promote adaptive coping, and encourage engagement with existing supports. There is no set formula for psychological </w:t>
      </w:r>
      <w:r w:rsidR="00512F75">
        <w:t>support</w:t>
      </w:r>
      <w:r w:rsidR="003D10A3" w:rsidRPr="002F4AF3">
        <w:t xml:space="preserve">. Use readily available strategies and resources that suit the staff member. </w:t>
      </w:r>
    </w:p>
    <w:p w14:paraId="37FDE786" w14:textId="77777777" w:rsidR="003D10A3" w:rsidRPr="002F4AF3" w:rsidRDefault="003D10A3" w:rsidP="00322C5E">
      <w:pPr>
        <w:pStyle w:val="Bullet1"/>
      </w:pPr>
      <w:r w:rsidRPr="002F4AF3">
        <w:t xml:space="preserve">Share the contact details of your health service’s employee assistance program. </w:t>
      </w:r>
    </w:p>
    <w:p w14:paraId="22A7DF11" w14:textId="66F0D70D" w:rsidR="00EA5A49" w:rsidRDefault="00514E74" w:rsidP="00322C5E">
      <w:pPr>
        <w:pStyle w:val="Bullet1"/>
      </w:pPr>
      <w:r>
        <w:t>Taking part in p</w:t>
      </w:r>
      <w:r w:rsidR="003D10A3" w:rsidRPr="002F4AF3">
        <w:t xml:space="preserve">sychological </w:t>
      </w:r>
      <w:r w:rsidR="004C3B82">
        <w:t>support</w:t>
      </w:r>
      <w:r w:rsidR="003D10A3" w:rsidRPr="002F4AF3">
        <w:t xml:space="preserve"> should not be mandatory because it may hinder individual coping strategies.</w:t>
      </w:r>
    </w:p>
    <w:p w14:paraId="1D254B6C" w14:textId="77777777" w:rsidR="00EA5A49" w:rsidRPr="00EA5A49" w:rsidRDefault="00EA5A49" w:rsidP="00322C5E">
      <w:pPr>
        <w:pStyle w:val="Bullet1"/>
        <w:numPr>
          <w:ilvl w:val="0"/>
          <w:numId w:val="0"/>
        </w:numPr>
      </w:pPr>
      <w:r>
        <w:rPr>
          <w:noProof/>
        </w:rPr>
        <mc:AlternateContent>
          <mc:Choice Requires="wps">
            <w:drawing>
              <wp:inline distT="0" distB="0" distL="0" distR="0" wp14:anchorId="748AA132" wp14:editId="4F361E25">
                <wp:extent cx="6448425" cy="1343025"/>
                <wp:effectExtent l="0" t="0" r="2857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43025"/>
                        </a:xfrm>
                        <a:prstGeom prst="rect">
                          <a:avLst/>
                        </a:prstGeom>
                        <a:solidFill>
                          <a:schemeClr val="bg2"/>
                        </a:solidFill>
                        <a:ln w="6350">
                          <a:solidFill>
                            <a:schemeClr val="bg2"/>
                          </a:solidFill>
                          <a:miter lim="800000"/>
                          <a:headEnd/>
                          <a:tailEnd/>
                        </a:ln>
                      </wps:spPr>
                      <wps:txbx>
                        <w:txbxContent>
                          <w:p w14:paraId="6194B84C" w14:textId="5BE1B569" w:rsidR="005D0C30" w:rsidRPr="005D3C91" w:rsidRDefault="005D0C30" w:rsidP="00743826">
                            <w:pPr>
                              <w:pStyle w:val="PulloutHeading"/>
                              <w:rPr>
                                <w:i/>
                              </w:rPr>
                            </w:pPr>
                            <w:r>
                              <w:t>Staff support resources</w:t>
                            </w:r>
                          </w:p>
                          <w:p w14:paraId="216F35F8" w14:textId="4EC34513" w:rsidR="005D0C30" w:rsidRDefault="005D0C30" w:rsidP="00743826">
                            <w:pPr>
                              <w:pStyle w:val="PulloutText"/>
                            </w:pPr>
                            <w:r>
                              <w:t xml:space="preserve">DHHS has </w:t>
                            </w:r>
                            <w:hyperlink r:id="rId59" w:history="1">
                              <w:r w:rsidRPr="00BE71CA">
                                <w:rPr>
                                  <w:color w:val="0070C0"/>
                                  <w:u w:val="single"/>
                                </w:rPr>
                                <w:t xml:space="preserve">four </w:t>
                              </w:r>
                              <w:r>
                                <w:rPr>
                                  <w:color w:val="0070C0"/>
                                  <w:u w:val="single"/>
                                </w:rPr>
                                <w:t>e-</w:t>
                              </w:r>
                              <w:r w:rsidRPr="00BE71CA">
                                <w:rPr>
                                  <w:color w:val="0070C0"/>
                                  <w:u w:val="single"/>
                                </w:rPr>
                                <w:t>resources</w:t>
                              </w:r>
                            </w:hyperlink>
                            <w:r>
                              <w:t xml:space="preserve"> to support effective response to episodes of violence or aggression:</w:t>
                            </w:r>
                          </w:p>
                          <w:p w14:paraId="42763652" w14:textId="77777777" w:rsidR="005D0C30" w:rsidRDefault="005D0C30" w:rsidP="00743826">
                            <w:pPr>
                              <w:pStyle w:val="PulloutText"/>
                              <w:numPr>
                                <w:ilvl w:val="0"/>
                                <w:numId w:val="13"/>
                              </w:numPr>
                            </w:pPr>
                            <w:r>
                              <w:t>managing incidents in public health services</w:t>
                            </w:r>
                          </w:p>
                          <w:p w14:paraId="2A2EB0D0" w14:textId="2A7C9B7C" w:rsidR="005D0C30" w:rsidRPr="009C1DE7" w:rsidRDefault="005D0C30" w:rsidP="00743826">
                            <w:pPr>
                              <w:pStyle w:val="PulloutText"/>
                              <w:numPr>
                                <w:ilvl w:val="0"/>
                                <w:numId w:val="13"/>
                              </w:numPr>
                            </w:pPr>
                            <w:r>
                              <w:t>post-episode support guides that provide tips and advice on looking after yourself and others. There are three separate guides, one each for health service staff, managers and leaders.</w:t>
                            </w:r>
                          </w:p>
                        </w:txbxContent>
                      </wps:txbx>
                      <wps:bodyPr rot="0" vert="horz" wrap="square" lIns="180000" tIns="180000" rIns="144000" bIns="36000" anchor="t" anchorCtr="0">
                        <a:noAutofit/>
                      </wps:bodyPr>
                    </wps:wsp>
                  </a:graphicData>
                </a:graphic>
              </wp:inline>
            </w:drawing>
          </mc:Choice>
          <mc:Fallback>
            <w:pict>
              <v:shape w14:anchorId="748AA132" id="Text Box 14" o:spid="_x0000_s1032" type="#_x0000_t202" style="width:507.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" fillcolor="#edf5f7 [3214]" strokecolor="#edf5f7 [3214]" strokeweight=".5pt">
                <v:textbox inset="5mm,5mm,4mm,1mm">
                  <w:txbxContent>
                    <w:p w14:paraId="6194B84C" w14:textId="5BE1B569" w:rsidR="005D0C30" w:rsidRPr="005D3C91" w:rsidRDefault="005D0C30" w:rsidP="00743826">
                      <w:pPr>
                        <w:pStyle w:val="PulloutHeading"/>
                        <w:rPr>
                          <w:i/>
                        </w:rPr>
                      </w:pPr>
                      <w:r>
                        <w:t>Staff support resources</w:t>
                      </w:r>
                    </w:p>
                    <w:p w14:paraId="216F35F8" w14:textId="4EC34513" w:rsidR="005D0C30" w:rsidRDefault="005D0C30" w:rsidP="00743826">
                      <w:pPr>
                        <w:pStyle w:val="PulloutText"/>
                      </w:pPr>
                      <w:r>
                        <w:t xml:space="preserve">DHHS has </w:t>
                      </w:r>
                      <w:hyperlink r:id="rId60" w:history="1">
                        <w:r w:rsidRPr="00BE71CA">
                          <w:rPr>
                            <w:color w:val="0070C0"/>
                            <w:u w:val="single"/>
                          </w:rPr>
                          <w:t xml:space="preserve">four </w:t>
                        </w:r>
                        <w:r>
                          <w:rPr>
                            <w:color w:val="0070C0"/>
                            <w:u w:val="single"/>
                          </w:rPr>
                          <w:t>e-</w:t>
                        </w:r>
                        <w:r w:rsidRPr="00BE71CA">
                          <w:rPr>
                            <w:color w:val="0070C0"/>
                            <w:u w:val="single"/>
                          </w:rPr>
                          <w:t>resources</w:t>
                        </w:r>
                      </w:hyperlink>
                      <w:r>
                        <w:t xml:space="preserve"> to support effective response to episodes of violence or aggression:</w:t>
                      </w:r>
                    </w:p>
                    <w:p w14:paraId="42763652" w14:textId="77777777" w:rsidR="005D0C30" w:rsidRDefault="005D0C30" w:rsidP="00743826">
                      <w:pPr>
                        <w:pStyle w:val="PulloutText"/>
                        <w:numPr>
                          <w:ilvl w:val="0"/>
                          <w:numId w:val="13"/>
                        </w:numPr>
                      </w:pPr>
                      <w:r>
                        <w:t>managing incidents in public health services</w:t>
                      </w:r>
                    </w:p>
                    <w:p w14:paraId="2A2EB0D0" w14:textId="2A7C9B7C" w:rsidR="005D0C30" w:rsidRPr="009C1DE7" w:rsidRDefault="005D0C30" w:rsidP="00743826">
                      <w:pPr>
                        <w:pStyle w:val="PulloutText"/>
                        <w:numPr>
                          <w:ilvl w:val="0"/>
                          <w:numId w:val="13"/>
                        </w:numPr>
                      </w:pPr>
                      <w:r>
                        <w:t>post-episode support guides that provide tips and advice on looking after yourself and others. There are three separate guides, one each for health service staff, managers and leaders.</w:t>
                      </w:r>
                    </w:p>
                  </w:txbxContent>
                </v:textbox>
                <w10:anchorlock/>
              </v:shape>
            </w:pict>
          </mc:Fallback>
        </mc:AlternateContent>
      </w:r>
    </w:p>
    <w:p w14:paraId="3ACB2336" w14:textId="265E9026" w:rsidR="001217E2" w:rsidRPr="00DD4F8F" w:rsidRDefault="007B58DA" w:rsidP="00322C5E">
      <w:pPr>
        <w:pStyle w:val="Heading2"/>
      </w:pPr>
      <w:bookmarkStart w:id="35" w:name="_Toc36120138"/>
      <w:r>
        <w:t>C</w:t>
      </w:r>
      <w:r w:rsidR="002F4AF3">
        <w:t>ase review</w:t>
      </w:r>
      <w:bookmarkEnd w:id="35"/>
    </w:p>
    <w:p w14:paraId="1E129234" w14:textId="3CBB0D05" w:rsidR="002F4AF3" w:rsidRDefault="001F0EA1" w:rsidP="00322C5E">
      <w:pPr>
        <w:pStyle w:val="Bullet1"/>
      </w:pPr>
      <w:r>
        <w:t xml:space="preserve">If the care episode involved </w:t>
      </w:r>
      <w:r w:rsidR="001217E2" w:rsidRPr="002C2F8B">
        <w:t>violence or aggression</w:t>
      </w:r>
      <w:r>
        <w:t>, report it</w:t>
      </w:r>
      <w:r w:rsidR="001217E2" w:rsidRPr="002C2F8B">
        <w:t xml:space="preserve"> to your health service</w:t>
      </w:r>
      <w:r w:rsidR="00FC7725">
        <w:t xml:space="preserve"> as both</w:t>
      </w:r>
      <w:r>
        <w:t xml:space="preserve"> a</w:t>
      </w:r>
      <w:r w:rsidR="00FC7725">
        <w:t xml:space="preserve"> clinical and occupational health and safety incident</w:t>
      </w:r>
      <w:r>
        <w:t>,</w:t>
      </w:r>
      <w:r w:rsidR="001217E2" w:rsidRPr="002C2F8B">
        <w:t xml:space="preserve"> even if there is no physical injury.</w:t>
      </w:r>
      <w:r w:rsidR="002F4AF3">
        <w:t xml:space="preserve"> </w:t>
      </w:r>
    </w:p>
    <w:p w14:paraId="497FA896" w14:textId="77777777" w:rsidR="002F4AF3" w:rsidRDefault="002F4AF3" w:rsidP="00322C5E">
      <w:pPr>
        <w:pStyle w:val="Bullet2"/>
      </w:pPr>
      <w:r w:rsidRPr="00333BBE">
        <w:t xml:space="preserve">Use your health service’s incident management system such as VHIMS or </w:t>
      </w:r>
      <w:proofErr w:type="spellStart"/>
      <w:r w:rsidRPr="00333BBE">
        <w:t>RiskMan</w:t>
      </w:r>
      <w:proofErr w:type="spellEnd"/>
      <w:r w:rsidR="00EA5A49">
        <w:t>.</w:t>
      </w:r>
    </w:p>
    <w:p w14:paraId="41735836" w14:textId="77777777" w:rsidR="00F67ED2" w:rsidRPr="00333BBE" w:rsidRDefault="00F67ED2" w:rsidP="00322C5E">
      <w:pPr>
        <w:pStyle w:val="Bullet2"/>
      </w:pPr>
      <w:r>
        <w:t xml:space="preserve">Your health service must report to Safer Care Victoria </w:t>
      </w:r>
      <w:r w:rsidR="00707344">
        <w:t xml:space="preserve">if the use of physical or mechanical restraint resulted in serious harm or death. This is a </w:t>
      </w:r>
      <w:hyperlink r:id="rId61" w:history="1">
        <w:r w:rsidR="00707344" w:rsidRPr="00707344">
          <w:rPr>
            <w:rStyle w:val="Hyperlink"/>
            <w:color w:val="0070C0"/>
            <w:u w:val="single"/>
          </w:rPr>
          <w:t>sentinel event category</w:t>
        </w:r>
      </w:hyperlink>
      <w:r w:rsidR="00707344">
        <w:t xml:space="preserve">. </w:t>
      </w:r>
    </w:p>
    <w:p w14:paraId="3FDD0CA0" w14:textId="7BB41960" w:rsidR="001217E2" w:rsidRPr="002C2F8B" w:rsidRDefault="001217E2" w:rsidP="00322C5E">
      <w:pPr>
        <w:pStyle w:val="Bullet1"/>
      </w:pPr>
      <w:r w:rsidRPr="002C2F8B">
        <w:t xml:space="preserve">Reviewing </w:t>
      </w:r>
      <w:r w:rsidR="001F0EA1">
        <w:t xml:space="preserve">care </w:t>
      </w:r>
      <w:r w:rsidRPr="002C2F8B">
        <w:t>episodes can identify opportunities for systemic improvement.</w:t>
      </w:r>
      <w:r w:rsidR="005A2BE0">
        <w:t xml:space="preserve"> </w:t>
      </w:r>
      <w:r w:rsidRPr="002C2F8B">
        <w:t xml:space="preserve">Possible review questions: </w:t>
      </w:r>
    </w:p>
    <w:p w14:paraId="5A0322CB" w14:textId="6AAFA336" w:rsidR="001F0EA1" w:rsidRDefault="001F0EA1" w:rsidP="00322C5E">
      <w:pPr>
        <w:pStyle w:val="Bullet2"/>
      </w:pPr>
      <w:r>
        <w:t>What was done well?</w:t>
      </w:r>
    </w:p>
    <w:p w14:paraId="1E3A361D" w14:textId="3527FC34" w:rsidR="001217E2" w:rsidRPr="002C2F8B" w:rsidRDefault="001217E2" w:rsidP="00322C5E">
      <w:pPr>
        <w:pStyle w:val="Bullet2"/>
      </w:pPr>
      <w:r w:rsidRPr="002C2F8B">
        <w:t>What can be learned</w:t>
      </w:r>
      <w:r w:rsidR="001F0EA1">
        <w:t>, and what can be done to avoid repeating mistakes?</w:t>
      </w:r>
    </w:p>
    <w:p w14:paraId="75E51D52" w14:textId="77777777" w:rsidR="001217E2" w:rsidRPr="002C2F8B" w:rsidRDefault="001217E2" w:rsidP="00322C5E">
      <w:pPr>
        <w:pStyle w:val="Bullet2"/>
      </w:pPr>
      <w:r w:rsidRPr="002C2F8B">
        <w:t xml:space="preserve">What policy or system revisions are required? </w:t>
      </w:r>
    </w:p>
    <w:p w14:paraId="71A2C3B4" w14:textId="621F0CBC" w:rsidR="00201721" w:rsidRDefault="00201721" w:rsidP="00322C5E">
      <w:pPr>
        <w:pStyle w:val="Bullet1"/>
      </w:pPr>
      <w:r>
        <w:t xml:space="preserve">Communicate </w:t>
      </w:r>
      <w:r w:rsidR="001F0EA1">
        <w:t xml:space="preserve">review </w:t>
      </w:r>
      <w:r>
        <w:t xml:space="preserve">outcomes with the level of health service governance that can </w:t>
      </w:r>
      <w:proofErr w:type="gramStart"/>
      <w:r>
        <w:t>take action</w:t>
      </w:r>
      <w:proofErr w:type="gramEnd"/>
      <w:r>
        <w:t xml:space="preserve">. </w:t>
      </w:r>
    </w:p>
    <w:p w14:paraId="0C3AC668" w14:textId="7D72796A" w:rsidR="005D3C91" w:rsidRDefault="001217E2" w:rsidP="00322C5E">
      <w:pPr>
        <w:pStyle w:val="Bullet1"/>
      </w:pPr>
      <w:r w:rsidRPr="002C2F8B">
        <w:t>Communicate the outcomes of the review with the care team involved in the episode.</w:t>
      </w:r>
    </w:p>
    <w:p w14:paraId="2BA8D936" w14:textId="62A94BF3" w:rsidR="003108DE" w:rsidRPr="003108DE" w:rsidRDefault="003108DE" w:rsidP="00322C5E">
      <w:pPr>
        <w:pStyle w:val="Bullet1"/>
      </w:pPr>
      <w:r>
        <w:t xml:space="preserve">Consider creating or updating the person’s behavioural support or emergency department management plan. </w:t>
      </w:r>
    </w:p>
    <w:p w14:paraId="45DA3A8E" w14:textId="77777777" w:rsidR="002C2F8B" w:rsidRDefault="002C2F8B" w:rsidP="00743826">
      <w:r>
        <w:br w:type="page"/>
      </w:r>
    </w:p>
    <w:p w14:paraId="60052AF5" w14:textId="77777777" w:rsidR="002C2F8B" w:rsidRDefault="002C2F8B" w:rsidP="00322C5E">
      <w:pPr>
        <w:pStyle w:val="Heading1"/>
        <w:framePr w:wrap="around"/>
      </w:pPr>
      <w:bookmarkStart w:id="36" w:name="_Toc36120139"/>
      <w:r w:rsidRPr="002C2F8B">
        <w:lastRenderedPageBreak/>
        <w:t>Glossary of terms and abbreviations</w:t>
      </w:r>
      <w:bookmarkEnd w:id="36"/>
    </w:p>
    <w:tbl>
      <w:tblPr>
        <w:tblStyle w:val="TableGrid"/>
        <w:tblW w:w="10206" w:type="dxa"/>
        <w:tblLook w:val="04A0" w:firstRow="1" w:lastRow="0" w:firstColumn="1" w:lastColumn="0" w:noHBand="0" w:noVBand="1"/>
      </w:tblPr>
      <w:tblGrid>
        <w:gridCol w:w="2410"/>
        <w:gridCol w:w="7796"/>
      </w:tblGrid>
      <w:tr w:rsidR="00CB0269" w14:paraId="509BFDD1" w14:textId="77777777" w:rsidTr="00DD4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14DDCE2" w14:textId="77777777" w:rsidR="00CB0269" w:rsidRPr="002C2F8B" w:rsidRDefault="00CB0269" w:rsidP="00743826">
            <w:pPr>
              <w:pStyle w:val="NormalIndent"/>
              <w:rPr>
                <w:lang w:eastAsia="en-AU"/>
              </w:rPr>
            </w:pPr>
          </w:p>
        </w:tc>
        <w:tc>
          <w:tcPr>
            <w:tcW w:w="7796" w:type="dxa"/>
          </w:tcPr>
          <w:p w14:paraId="631FA8CF" w14:textId="77777777" w:rsidR="00CB0269" w:rsidRPr="002C2F8B" w:rsidRDefault="00CB0269" w:rsidP="00743826">
            <w:pPr>
              <w:pStyle w:val="NormalIndent"/>
              <w:cnfStyle w:val="100000000000" w:firstRow="1" w:lastRow="0" w:firstColumn="0" w:lastColumn="0" w:oddVBand="0" w:evenVBand="0" w:oddHBand="0" w:evenHBand="0" w:firstRowFirstColumn="0" w:firstRowLastColumn="0" w:lastRowFirstColumn="0" w:lastRowLastColumn="0"/>
              <w:rPr>
                <w:lang w:eastAsia="en-AU"/>
              </w:rPr>
            </w:pPr>
          </w:p>
        </w:tc>
      </w:tr>
      <w:tr w:rsidR="00CB0269" w14:paraId="0595CC71"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0B6514FE" w14:textId="77777777" w:rsidR="00CB0269" w:rsidRPr="002C2F8B" w:rsidRDefault="00CB0269" w:rsidP="00743826">
            <w:pPr>
              <w:pStyle w:val="NormalIndent"/>
              <w:rPr>
                <w:lang w:eastAsia="en-AU"/>
              </w:rPr>
            </w:pPr>
            <w:r w:rsidRPr="002C2F8B">
              <w:rPr>
                <w:lang w:eastAsia="en-AU"/>
              </w:rPr>
              <w:t>BAR</w:t>
            </w:r>
          </w:p>
        </w:tc>
        <w:tc>
          <w:tcPr>
            <w:tcW w:w="7796" w:type="dxa"/>
          </w:tcPr>
          <w:p w14:paraId="3FE3147D"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Behavioural assessment room</w:t>
            </w:r>
          </w:p>
        </w:tc>
      </w:tr>
      <w:tr w:rsidR="00CB0269" w14:paraId="5F9AE72D"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5ED0B409" w14:textId="77777777" w:rsidR="00CB0269" w:rsidRPr="002C2F8B" w:rsidRDefault="00CB0269" w:rsidP="00743826">
            <w:pPr>
              <w:pStyle w:val="NormalIndent"/>
              <w:rPr>
                <w:lang w:eastAsia="en-AU"/>
              </w:rPr>
            </w:pPr>
            <w:r w:rsidRPr="002C2F8B">
              <w:rPr>
                <w:lang w:eastAsia="en-AU"/>
              </w:rPr>
              <w:t xml:space="preserve">CMI </w:t>
            </w:r>
          </w:p>
        </w:tc>
        <w:tc>
          <w:tcPr>
            <w:tcW w:w="7796" w:type="dxa"/>
          </w:tcPr>
          <w:p w14:paraId="0797A4D3"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Client management interface</w:t>
            </w:r>
          </w:p>
        </w:tc>
      </w:tr>
      <w:tr w:rsidR="001A1647" w14:paraId="0F46923A"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0D4D226F" w14:textId="41E42EEA" w:rsidR="001A1647" w:rsidRPr="002C2F8B" w:rsidRDefault="001A1647" w:rsidP="00743826">
            <w:pPr>
              <w:pStyle w:val="NormalIndent"/>
            </w:pPr>
            <w:r>
              <w:t>CNS</w:t>
            </w:r>
          </w:p>
        </w:tc>
        <w:tc>
          <w:tcPr>
            <w:tcW w:w="7796" w:type="dxa"/>
          </w:tcPr>
          <w:p w14:paraId="632EA396" w14:textId="3F312474" w:rsidR="001A1647" w:rsidRPr="002C2F8B" w:rsidRDefault="001A1647" w:rsidP="00743826">
            <w:pPr>
              <w:pStyle w:val="NormalIndent"/>
              <w:cnfStyle w:val="000000000000" w:firstRow="0" w:lastRow="0" w:firstColumn="0" w:lastColumn="0" w:oddVBand="0" w:evenVBand="0" w:oddHBand="0" w:evenHBand="0" w:firstRowFirstColumn="0" w:firstRowLastColumn="0" w:lastRowFirstColumn="0" w:lastRowLastColumn="0"/>
            </w:pPr>
            <w:r>
              <w:t>Central nervous system</w:t>
            </w:r>
          </w:p>
        </w:tc>
      </w:tr>
      <w:tr w:rsidR="00CB0269" w14:paraId="1F5CE516"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54A38FD9" w14:textId="77777777" w:rsidR="00CB0269" w:rsidRPr="002C2F8B" w:rsidRDefault="00CB0269" w:rsidP="00743826">
            <w:pPr>
              <w:pStyle w:val="NormalIndent"/>
              <w:rPr>
                <w:lang w:eastAsia="en-AU"/>
              </w:rPr>
            </w:pPr>
            <w:r w:rsidRPr="002C2F8B">
              <w:rPr>
                <w:lang w:eastAsia="en-AU"/>
              </w:rPr>
              <w:t>DHHS</w:t>
            </w:r>
          </w:p>
        </w:tc>
        <w:tc>
          <w:tcPr>
            <w:tcW w:w="7796" w:type="dxa"/>
          </w:tcPr>
          <w:p w14:paraId="21D26441"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 xml:space="preserve">Victorian Government </w:t>
            </w:r>
            <w:r w:rsidR="00DD4F8F">
              <w:rPr>
                <w:lang w:eastAsia="en-AU"/>
              </w:rPr>
              <w:t>D</w:t>
            </w:r>
            <w:r w:rsidRPr="002C2F8B">
              <w:rPr>
                <w:lang w:eastAsia="en-AU"/>
              </w:rPr>
              <w:t xml:space="preserve">epartment of </w:t>
            </w:r>
            <w:r w:rsidR="00DD4F8F">
              <w:rPr>
                <w:lang w:eastAsia="en-AU"/>
              </w:rPr>
              <w:t>H</w:t>
            </w:r>
            <w:r w:rsidRPr="002C2F8B">
              <w:rPr>
                <w:lang w:eastAsia="en-AU"/>
              </w:rPr>
              <w:t xml:space="preserve">ealth and </w:t>
            </w:r>
            <w:r w:rsidR="00DD4F8F">
              <w:rPr>
                <w:lang w:eastAsia="en-AU"/>
              </w:rPr>
              <w:t>H</w:t>
            </w:r>
            <w:r w:rsidRPr="002C2F8B">
              <w:rPr>
                <w:lang w:eastAsia="en-AU"/>
              </w:rPr>
              <w:t xml:space="preserve">uman </w:t>
            </w:r>
            <w:r w:rsidR="00DD4F8F">
              <w:rPr>
                <w:lang w:eastAsia="en-AU"/>
              </w:rPr>
              <w:t>S</w:t>
            </w:r>
            <w:r w:rsidRPr="002C2F8B">
              <w:rPr>
                <w:lang w:eastAsia="en-AU"/>
              </w:rPr>
              <w:t>ervices</w:t>
            </w:r>
          </w:p>
        </w:tc>
      </w:tr>
      <w:tr w:rsidR="00CB0269" w14:paraId="7335D3A1"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49CD3DCE" w14:textId="77777777" w:rsidR="00CB0269" w:rsidRPr="002C2F8B" w:rsidRDefault="00CB0269" w:rsidP="00743826">
            <w:pPr>
              <w:pStyle w:val="NormalIndent"/>
              <w:rPr>
                <w:lang w:eastAsia="en-AU"/>
              </w:rPr>
            </w:pPr>
            <w:r w:rsidRPr="002C2F8B">
              <w:rPr>
                <w:lang w:eastAsia="en-AU"/>
              </w:rPr>
              <w:t>ECG</w:t>
            </w:r>
          </w:p>
        </w:tc>
        <w:tc>
          <w:tcPr>
            <w:tcW w:w="7796" w:type="dxa"/>
          </w:tcPr>
          <w:p w14:paraId="61C8E63E"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Electrocardiograph</w:t>
            </w:r>
          </w:p>
        </w:tc>
      </w:tr>
      <w:tr w:rsidR="00CB0269" w14:paraId="209A3943"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7304B209" w14:textId="77777777" w:rsidR="00CB0269" w:rsidRPr="002C2F8B" w:rsidRDefault="00CB0269" w:rsidP="00743826">
            <w:pPr>
              <w:pStyle w:val="NormalIndent"/>
              <w:rPr>
                <w:lang w:eastAsia="en-AU"/>
              </w:rPr>
            </w:pPr>
            <w:r w:rsidRPr="002C2F8B">
              <w:rPr>
                <w:lang w:eastAsia="en-AU"/>
              </w:rPr>
              <w:t>IM</w:t>
            </w:r>
          </w:p>
        </w:tc>
        <w:tc>
          <w:tcPr>
            <w:tcW w:w="7796" w:type="dxa"/>
          </w:tcPr>
          <w:p w14:paraId="162EE880"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Intramuscular</w:t>
            </w:r>
          </w:p>
        </w:tc>
      </w:tr>
      <w:tr w:rsidR="00CB0269" w14:paraId="5BD946D9"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5793931C" w14:textId="77777777" w:rsidR="00CB0269" w:rsidRPr="002C2F8B" w:rsidRDefault="00CB0269" w:rsidP="00743826">
            <w:pPr>
              <w:pStyle w:val="NormalIndent"/>
              <w:rPr>
                <w:lang w:eastAsia="en-AU"/>
              </w:rPr>
            </w:pPr>
            <w:r w:rsidRPr="002C2F8B">
              <w:rPr>
                <w:lang w:eastAsia="en-AU"/>
              </w:rPr>
              <w:t>IV</w:t>
            </w:r>
          </w:p>
        </w:tc>
        <w:tc>
          <w:tcPr>
            <w:tcW w:w="7796" w:type="dxa"/>
          </w:tcPr>
          <w:p w14:paraId="537F75DB"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Intravenous</w:t>
            </w:r>
          </w:p>
        </w:tc>
      </w:tr>
      <w:tr w:rsidR="00CB0269" w14:paraId="3867612B"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397FC913" w14:textId="77777777" w:rsidR="00CB0269" w:rsidRPr="002C2F8B" w:rsidRDefault="00CB0269" w:rsidP="00743826">
            <w:pPr>
              <w:pStyle w:val="NormalIndent"/>
              <w:rPr>
                <w:lang w:eastAsia="en-AU"/>
              </w:rPr>
            </w:pPr>
            <w:r w:rsidRPr="002C2F8B">
              <w:rPr>
                <w:lang w:eastAsia="en-AU"/>
              </w:rPr>
              <w:t>kg</w:t>
            </w:r>
          </w:p>
        </w:tc>
        <w:tc>
          <w:tcPr>
            <w:tcW w:w="7796" w:type="dxa"/>
          </w:tcPr>
          <w:p w14:paraId="7651BA5C"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Kilogram</w:t>
            </w:r>
          </w:p>
        </w:tc>
      </w:tr>
      <w:tr w:rsidR="00CB0269" w14:paraId="16FC9EA0"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7107914D" w14:textId="77777777" w:rsidR="00CB0269" w:rsidRPr="002C2F8B" w:rsidRDefault="00CB0269" w:rsidP="00743826">
            <w:pPr>
              <w:pStyle w:val="NormalIndent"/>
              <w:rPr>
                <w:lang w:eastAsia="en-AU"/>
              </w:rPr>
            </w:pPr>
            <w:r w:rsidRPr="002C2F8B">
              <w:rPr>
                <w:lang w:eastAsia="en-AU"/>
              </w:rPr>
              <w:t>mg</w:t>
            </w:r>
          </w:p>
        </w:tc>
        <w:tc>
          <w:tcPr>
            <w:tcW w:w="7796" w:type="dxa"/>
          </w:tcPr>
          <w:p w14:paraId="4A5E1947"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Milligrams</w:t>
            </w:r>
          </w:p>
        </w:tc>
      </w:tr>
      <w:tr w:rsidR="00CB0269" w14:paraId="1EE2C949"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745E0DD4" w14:textId="77777777" w:rsidR="00CB0269" w:rsidRPr="002C2F8B" w:rsidRDefault="00CB0269" w:rsidP="00743826">
            <w:pPr>
              <w:pStyle w:val="NormalIndent"/>
              <w:rPr>
                <w:lang w:eastAsia="en-AU"/>
              </w:rPr>
            </w:pPr>
            <w:r w:rsidRPr="002C2F8B">
              <w:rPr>
                <w:lang w:eastAsia="en-AU"/>
              </w:rPr>
              <w:t>QT segment</w:t>
            </w:r>
          </w:p>
        </w:tc>
        <w:tc>
          <w:tcPr>
            <w:tcW w:w="7796" w:type="dxa"/>
          </w:tcPr>
          <w:p w14:paraId="57457693"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The time from the start of the Q wave to the end of the T wave on an ECG</w:t>
            </w:r>
          </w:p>
        </w:tc>
      </w:tr>
      <w:tr w:rsidR="00CB0269" w14:paraId="580F630E"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7D50ADDD" w14:textId="77777777" w:rsidR="00CB0269" w:rsidRPr="002C2F8B" w:rsidRDefault="00CB0269" w:rsidP="00743826">
            <w:pPr>
              <w:pStyle w:val="NormalIndent"/>
              <w:rPr>
                <w:lang w:eastAsia="en-AU"/>
              </w:rPr>
            </w:pPr>
            <w:r w:rsidRPr="002C2F8B">
              <w:rPr>
                <w:lang w:eastAsia="en-AU"/>
              </w:rPr>
              <w:t>SAT</w:t>
            </w:r>
          </w:p>
        </w:tc>
        <w:tc>
          <w:tcPr>
            <w:tcW w:w="7796" w:type="dxa"/>
          </w:tcPr>
          <w:p w14:paraId="1B2AE7E8" w14:textId="77777777" w:rsidR="00CB0269" w:rsidRPr="002C2F8B" w:rsidRDefault="00CB0269" w:rsidP="00743826">
            <w:pPr>
              <w:pStyle w:val="NormalIndent"/>
              <w:cnfStyle w:val="000000000000" w:firstRow="0" w:lastRow="0" w:firstColumn="0" w:lastColumn="0" w:oddVBand="0" w:evenVBand="0" w:oddHBand="0" w:evenHBand="0" w:firstRowFirstColumn="0" w:firstRowLastColumn="0" w:lastRowFirstColumn="0" w:lastRowLastColumn="0"/>
              <w:rPr>
                <w:lang w:eastAsia="en-AU"/>
              </w:rPr>
            </w:pPr>
            <w:r w:rsidRPr="002C2F8B">
              <w:rPr>
                <w:lang w:eastAsia="en-AU"/>
              </w:rPr>
              <w:t xml:space="preserve">Sedation assessment tool </w:t>
            </w:r>
          </w:p>
        </w:tc>
      </w:tr>
      <w:tr w:rsidR="002F4AF3" w14:paraId="1EB8FA34" w14:textId="77777777" w:rsidTr="00DD4F8F">
        <w:tc>
          <w:tcPr>
            <w:cnfStyle w:val="001000000000" w:firstRow="0" w:lastRow="0" w:firstColumn="1" w:lastColumn="0" w:oddVBand="0" w:evenVBand="0" w:oddHBand="0" w:evenHBand="0" w:firstRowFirstColumn="0" w:firstRowLastColumn="0" w:lastRowFirstColumn="0" w:lastRowLastColumn="0"/>
            <w:tcW w:w="2410" w:type="dxa"/>
          </w:tcPr>
          <w:p w14:paraId="6157FDA1" w14:textId="77777777" w:rsidR="002F4AF3" w:rsidRPr="002C2F8B" w:rsidRDefault="002F4AF3" w:rsidP="00743826">
            <w:pPr>
              <w:pStyle w:val="NormalIndent"/>
            </w:pPr>
            <w:r>
              <w:t>VHIMS</w:t>
            </w:r>
          </w:p>
        </w:tc>
        <w:tc>
          <w:tcPr>
            <w:tcW w:w="7796" w:type="dxa"/>
          </w:tcPr>
          <w:p w14:paraId="07A9F8C3" w14:textId="77777777" w:rsidR="002F4AF3" w:rsidRPr="002C2F8B" w:rsidRDefault="002F4AF3" w:rsidP="00743826">
            <w:pPr>
              <w:pStyle w:val="NormalIndent"/>
              <w:cnfStyle w:val="000000000000" w:firstRow="0" w:lastRow="0" w:firstColumn="0" w:lastColumn="0" w:oddVBand="0" w:evenVBand="0" w:oddHBand="0" w:evenHBand="0" w:firstRowFirstColumn="0" w:firstRowLastColumn="0" w:lastRowFirstColumn="0" w:lastRowLastColumn="0"/>
            </w:pPr>
            <w:r>
              <w:t>Victorian Health Incident Management System</w:t>
            </w:r>
          </w:p>
        </w:tc>
      </w:tr>
    </w:tbl>
    <w:p w14:paraId="39635A8F" w14:textId="77777777" w:rsidR="00CB0269" w:rsidRDefault="00CB0269" w:rsidP="00743826">
      <w:pPr>
        <w:pStyle w:val="NormalIndent"/>
        <w:sectPr w:rsidR="00CB0269" w:rsidSect="00C27C5D">
          <w:type w:val="continuous"/>
          <w:pgSz w:w="11906" w:h="16838" w:code="9"/>
          <w:pgMar w:top="3402" w:right="851" w:bottom="1361" w:left="851" w:header="539" w:footer="624" w:gutter="0"/>
          <w:cols w:space="284"/>
          <w:docGrid w:linePitch="360"/>
          <w15:footnoteColumns w:val="1"/>
        </w:sectPr>
      </w:pPr>
    </w:p>
    <w:p w14:paraId="77BD0F4C" w14:textId="24FF2FAA" w:rsidR="00A4578D" w:rsidRDefault="00750301" w:rsidP="00743826">
      <w:r>
        <w:rPr>
          <w:noProof/>
        </w:rPr>
        <w:lastRenderedPageBreak/>
        <w:drawing>
          <wp:anchor distT="0" distB="0" distL="114300" distR="114300" simplePos="0" relativeHeight="251666432" behindDoc="0" locked="0" layoutInCell="1" allowOverlap="1" wp14:anchorId="6CD44E51" wp14:editId="3990380C">
            <wp:simplePos x="0" y="0"/>
            <wp:positionH relativeFrom="page">
              <wp:align>center</wp:align>
            </wp:positionH>
            <wp:positionV relativeFrom="paragraph">
              <wp:posOffset>-221615</wp:posOffset>
            </wp:positionV>
            <wp:extent cx="9435465" cy="5312093"/>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extLst>
                        <a:ext uri="{28A0092B-C50C-407E-A947-70E740481C1C}">
                          <a14:useLocalDpi xmlns:a14="http://schemas.microsoft.com/office/drawing/2010/main" val="0"/>
                        </a:ext>
                      </a:extLst>
                    </a:blip>
                    <a:srcRect l="11677" t="22085" r="25218" b="14753"/>
                    <a:stretch/>
                  </pic:blipFill>
                  <pic:spPr bwMode="auto">
                    <a:xfrm>
                      <a:off x="0" y="0"/>
                      <a:ext cx="9435465" cy="53120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975CDD" w14:textId="77777777" w:rsidR="00A4578D" w:rsidRDefault="00A4578D" w:rsidP="00743826"/>
    <w:p w14:paraId="6051A209" w14:textId="6CCACFEB" w:rsidR="00A4578D" w:rsidRDefault="00A4578D" w:rsidP="00743826">
      <w:pPr>
        <w:sectPr w:rsidR="00A4578D" w:rsidSect="0029526D">
          <w:pgSz w:w="16838" w:h="11906" w:orient="landscape" w:code="9"/>
          <w:pgMar w:top="2269" w:right="3402" w:bottom="851" w:left="1361" w:header="539" w:footer="624" w:gutter="0"/>
          <w:cols w:space="284"/>
          <w:docGrid w:linePitch="360"/>
          <w15:footnoteColumns w:val="1"/>
        </w:sectPr>
      </w:pPr>
    </w:p>
    <w:p w14:paraId="36C2290F" w14:textId="77777777" w:rsidR="00727C45" w:rsidRDefault="00727C45" w:rsidP="00743826">
      <w:r>
        <w:rPr>
          <w:noProof/>
        </w:rPr>
        <w:lastRenderedPageBreak/>
        <w:drawing>
          <wp:anchor distT="0" distB="0" distL="114300" distR="114300" simplePos="0" relativeHeight="251663360" behindDoc="1" locked="0" layoutInCell="1" allowOverlap="1" wp14:anchorId="5EE692E1" wp14:editId="4E9DABD6">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B27B6D">
      <w:pgSz w:w="11906" w:h="16838" w:code="9"/>
      <w:pgMar w:top="3402" w:right="851" w:bottom="1361" w:left="851"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2C51" w14:textId="77777777" w:rsidR="005D0C30" w:rsidRDefault="005D0C30" w:rsidP="00743826">
      <w:r>
        <w:separator/>
      </w:r>
    </w:p>
  </w:endnote>
  <w:endnote w:type="continuationSeparator" w:id="0">
    <w:p w14:paraId="520BBDD7" w14:textId="77777777" w:rsidR="005D0C30" w:rsidRDefault="005D0C30" w:rsidP="0074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0EAD" w14:textId="77777777" w:rsidR="005D0C30" w:rsidRPr="00322C5E" w:rsidRDefault="005D0C30" w:rsidP="00743826">
    <w:pPr>
      <w:pStyle w:val="FooterEven"/>
      <w:framePr w:wrap="around"/>
    </w:pPr>
    <w:r w:rsidRPr="00322C5E">
      <w:rPr>
        <w:noProof w:val="0"/>
      </w:rPr>
      <w:fldChar w:fldCharType="begin"/>
    </w:r>
    <w:r w:rsidRPr="00322C5E">
      <w:instrText xml:space="preserve"> PAGE   \* MERGEFORMAT </w:instrText>
    </w:r>
    <w:r w:rsidRPr="00322C5E">
      <w:rPr>
        <w:noProof w:val="0"/>
      </w:rPr>
      <w:fldChar w:fldCharType="separate"/>
    </w:r>
    <w:r w:rsidRPr="00322C5E">
      <w:t>4</w:t>
    </w:r>
    <w:r w:rsidRPr="00322C5E">
      <w:fldChar w:fldCharType="end"/>
    </w:r>
    <w:r w:rsidRPr="00322C5E">
      <w:t> </w:t>
    </w:r>
    <w:r w:rsidRPr="00322C5E">
      <w:t> </w:t>
    </w:r>
    <w:r w:rsidRPr="00322C5E">
      <w:t>Safer Care Victoria</w:t>
    </w:r>
    <w:r w:rsidRPr="00322C5E">
      <w:t> </w:t>
    </w:r>
    <w:r w:rsidRPr="00322C5E">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Content>
        <w:r w:rsidRPr="00322C5E">
          <w:t>Caring for people displaying acute behavioural disturbance</w:t>
        </w:r>
      </w:sdtContent>
    </w:sdt>
    <w:r w:rsidRPr="00322C5E">
      <w:t xml:space="preserve"> </w:t>
    </w:r>
    <w:r w:rsidRPr="00322C5E">
      <w:drawing>
        <wp:anchor distT="0" distB="0" distL="114300" distR="114300" simplePos="0" relativeHeight="251675648" behindDoc="0" locked="0" layoutInCell="1" allowOverlap="1" wp14:anchorId="6195A4B7" wp14:editId="44DCE1BD">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780507D8" w14:textId="77777777" w:rsidR="005D0C30" w:rsidRPr="002C2F8B" w:rsidRDefault="005D0C30" w:rsidP="00743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E407" w14:textId="77777777" w:rsidR="005D0C30" w:rsidRPr="0051501B" w:rsidRDefault="005D0C30" w:rsidP="00743826">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Content>
        <w:r w:rsidRPr="0051501B">
          <w:t>Caring for people displaying acute behavioural disturbance</w:t>
        </w:r>
      </w:sdtContent>
    </w:sdt>
    <w:r w:rsidRPr="0051501B">
      <w:t> </w:t>
    </w:r>
    <w:r w:rsidRPr="0051501B">
      <w:t> </w:t>
    </w:r>
    <w:r w:rsidRPr="0051501B">
      <w:rPr>
        <w:b/>
      </w:rPr>
      <w:t>Safer Care Victoria</w:t>
    </w:r>
    <w:r w:rsidRPr="0051501B">
      <w:t> </w:t>
    </w:r>
    <w:r w:rsidRPr="0051501B">
      <w:t> </w:t>
    </w:r>
    <w:r w:rsidRPr="0051501B">
      <w:rPr>
        <w:noProof w:val="0"/>
      </w:rPr>
      <w:fldChar w:fldCharType="begin"/>
    </w:r>
    <w:r w:rsidRPr="0051501B">
      <w:instrText xml:space="preserve"> PAGE   \* MERGEFORMAT </w:instrText>
    </w:r>
    <w:r w:rsidRPr="0051501B">
      <w:rPr>
        <w:noProof w:val="0"/>
      </w:rPr>
      <w:fldChar w:fldCharType="separate"/>
    </w:r>
    <w:r w:rsidRPr="0051501B">
      <w:t>5</w:t>
    </w:r>
    <w:r w:rsidRPr="0051501B">
      <w:fldChar w:fldCharType="end"/>
    </w:r>
  </w:p>
  <w:p w14:paraId="79BCC9AA" w14:textId="77777777" w:rsidR="005D0C30" w:rsidRPr="002A5891" w:rsidRDefault="005D0C30" w:rsidP="00743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8A25" w14:textId="77777777" w:rsidR="005D0C30" w:rsidRDefault="005D0C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7C9B" w14:textId="77777777" w:rsidR="005D0C30" w:rsidRDefault="005D0C30" w:rsidP="0074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C926" w14:textId="77777777" w:rsidR="005D0C30" w:rsidRDefault="005D0C30" w:rsidP="00743826"/>
  </w:footnote>
  <w:footnote w:type="continuationSeparator" w:id="0">
    <w:p w14:paraId="64ED8DE7" w14:textId="77777777" w:rsidR="005D0C30" w:rsidRDefault="005D0C30" w:rsidP="00743826"/>
  </w:footnote>
  <w:footnote w:id="1">
    <w:p w14:paraId="797D4384" w14:textId="74CAE699" w:rsidR="005D0C30" w:rsidRPr="006A0A41" w:rsidRDefault="005D0C30" w:rsidP="00743826">
      <w:pPr>
        <w:pStyle w:val="FootnoteText"/>
      </w:pPr>
      <w:r w:rsidRPr="006A0A41">
        <w:rPr>
          <w:rStyle w:val="FootnoteReference"/>
        </w:rPr>
        <w:footnoteRef/>
      </w:r>
      <w:r w:rsidRPr="006A0A41">
        <w:t xml:space="preserve">For guidance on managing children displaying acute behavioural disturbance see the </w:t>
      </w:r>
      <w:hyperlink r:id="rId1" w:history="1">
        <w:r w:rsidRPr="006A0A41">
          <w:rPr>
            <w:rStyle w:val="Hyperlink"/>
            <w:color w:val="0070C0"/>
            <w:u w:val="single"/>
          </w:rPr>
          <w:t>Royal Children’s Hospital guidelines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17B9" w14:textId="77777777" w:rsidR="005D0C30" w:rsidRDefault="005D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4684" w14:textId="35A67A20" w:rsidR="005D0C30" w:rsidRDefault="005D0C30" w:rsidP="00743826">
    <w:pPr>
      <w:pStyle w:val="Header"/>
    </w:pPr>
    <w:r>
      <w:rPr>
        <w:noProof/>
      </w:rPr>
      <w:drawing>
        <wp:anchor distT="0" distB="0" distL="114300" distR="114300" simplePos="0" relativeHeight="251673600" behindDoc="1" locked="0" layoutInCell="1" allowOverlap="1" wp14:anchorId="4FDAD3EF" wp14:editId="19014A8C">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9FAB" w14:textId="360C6CBB" w:rsidR="005D0C30" w:rsidRDefault="005D0C30" w:rsidP="0023694D">
    <w:pPr>
      <w:pStyle w:val="NoSpacing"/>
    </w:pPr>
    <w:r>
      <w:rPr>
        <w:noProof/>
      </w:rPr>
      <w:drawing>
        <wp:anchor distT="0" distB="0" distL="114300" distR="114300" simplePos="0" relativeHeight="251676672" behindDoc="1" locked="0" layoutInCell="1" allowOverlap="1" wp14:anchorId="16D3746F" wp14:editId="49269346">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B7B2" w14:textId="1BA82F19" w:rsidR="005D0C30" w:rsidRDefault="005D0C30" w:rsidP="007438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732C" w14:textId="1E238376" w:rsidR="005D0C30" w:rsidRDefault="005D0C30" w:rsidP="007438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5322" w14:textId="4EA7EFD2" w:rsidR="005D0C30" w:rsidRDefault="005D0C30"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27A"/>
    <w:multiLevelType w:val="hybridMultilevel"/>
    <w:tmpl w:val="539A9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C43FA"/>
    <w:multiLevelType w:val="hybridMultilevel"/>
    <w:tmpl w:val="15049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07BF4"/>
    <w:multiLevelType w:val="multilevel"/>
    <w:tmpl w:val="4B06B44E"/>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BDC813D8"/>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BB53CFB"/>
    <w:multiLevelType w:val="hybridMultilevel"/>
    <w:tmpl w:val="6BBC8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B0A0DC2"/>
    <w:multiLevelType w:val="hybridMultilevel"/>
    <w:tmpl w:val="1AC8E3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1891057"/>
    <w:multiLevelType w:val="hybridMultilevel"/>
    <w:tmpl w:val="029C9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9"/>
  </w:num>
  <w:num w:numId="2">
    <w:abstractNumId w:val="9"/>
  </w:num>
  <w:num w:numId="3">
    <w:abstractNumId w:val="9"/>
  </w:num>
  <w:num w:numId="4">
    <w:abstractNumId w:val="13"/>
  </w:num>
  <w:num w:numId="5">
    <w:abstractNumId w:val="4"/>
  </w:num>
  <w:num w:numId="6">
    <w:abstractNumId w:val="8"/>
  </w:num>
  <w:num w:numId="7">
    <w:abstractNumId w:val="12"/>
  </w:num>
  <w:num w:numId="8">
    <w:abstractNumId w:val="6"/>
  </w:num>
  <w:num w:numId="9">
    <w:abstractNumId w:val="6"/>
  </w:num>
  <w:num w:numId="10">
    <w:abstractNumId w:val="5"/>
  </w:num>
  <w:num w:numId="11">
    <w:abstractNumId w:val="1"/>
  </w:num>
  <w:num w:numId="12">
    <w:abstractNumId w:val="7"/>
  </w:num>
  <w:num w:numId="13">
    <w:abstractNumId w:val="0"/>
  </w:num>
  <w:num w:numId="14">
    <w:abstractNumId w:val="10"/>
  </w:num>
  <w:num w:numId="15">
    <w:abstractNumId w:val="6"/>
  </w:num>
  <w:num w:numId="16">
    <w:abstractNumId w:val="6"/>
  </w:num>
  <w:num w:numId="17">
    <w:abstractNumId w:val="11"/>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attachedTemplate r:id="rId1"/>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28"/>
    <w:rsid w:val="00012F6F"/>
    <w:rsid w:val="00014213"/>
    <w:rsid w:val="00014B55"/>
    <w:rsid w:val="000163C1"/>
    <w:rsid w:val="00020A34"/>
    <w:rsid w:val="00020E3E"/>
    <w:rsid w:val="00023BF3"/>
    <w:rsid w:val="00026811"/>
    <w:rsid w:val="0004185E"/>
    <w:rsid w:val="000442F0"/>
    <w:rsid w:val="00056988"/>
    <w:rsid w:val="00072279"/>
    <w:rsid w:val="00073407"/>
    <w:rsid w:val="00075E6C"/>
    <w:rsid w:val="00081C12"/>
    <w:rsid w:val="00082A9D"/>
    <w:rsid w:val="00083E77"/>
    <w:rsid w:val="00087D42"/>
    <w:rsid w:val="000B29AD"/>
    <w:rsid w:val="000B5BD5"/>
    <w:rsid w:val="000C6372"/>
    <w:rsid w:val="000D7841"/>
    <w:rsid w:val="000E392D"/>
    <w:rsid w:val="000E39B6"/>
    <w:rsid w:val="000E3D05"/>
    <w:rsid w:val="000F4288"/>
    <w:rsid w:val="000F4882"/>
    <w:rsid w:val="000F7165"/>
    <w:rsid w:val="0010135A"/>
    <w:rsid w:val="00102379"/>
    <w:rsid w:val="00103722"/>
    <w:rsid w:val="0010501E"/>
    <w:rsid w:val="001065D6"/>
    <w:rsid w:val="001068D5"/>
    <w:rsid w:val="00116296"/>
    <w:rsid w:val="00121252"/>
    <w:rsid w:val="001217E2"/>
    <w:rsid w:val="00124609"/>
    <w:rsid w:val="001254CE"/>
    <w:rsid w:val="001422CC"/>
    <w:rsid w:val="00145346"/>
    <w:rsid w:val="001617B6"/>
    <w:rsid w:val="00165E66"/>
    <w:rsid w:val="0017532A"/>
    <w:rsid w:val="00182646"/>
    <w:rsid w:val="00182FE9"/>
    <w:rsid w:val="001960C5"/>
    <w:rsid w:val="00196143"/>
    <w:rsid w:val="001A1647"/>
    <w:rsid w:val="001A24FC"/>
    <w:rsid w:val="001B23B9"/>
    <w:rsid w:val="001C7BAE"/>
    <w:rsid w:val="001C7EB5"/>
    <w:rsid w:val="001D0D21"/>
    <w:rsid w:val="001E00BD"/>
    <w:rsid w:val="001E31FA"/>
    <w:rsid w:val="001E48F9"/>
    <w:rsid w:val="001E64F6"/>
    <w:rsid w:val="001E7AEB"/>
    <w:rsid w:val="001F0EA1"/>
    <w:rsid w:val="001F1BE1"/>
    <w:rsid w:val="00201721"/>
    <w:rsid w:val="00204B82"/>
    <w:rsid w:val="00222BEB"/>
    <w:rsid w:val="00225E60"/>
    <w:rsid w:val="00230BBB"/>
    <w:rsid w:val="00231FCB"/>
    <w:rsid w:val="0023202C"/>
    <w:rsid w:val="00234619"/>
    <w:rsid w:val="0023694D"/>
    <w:rsid w:val="002371CD"/>
    <w:rsid w:val="00245043"/>
    <w:rsid w:val="002450DC"/>
    <w:rsid w:val="00251A66"/>
    <w:rsid w:val="00255DD0"/>
    <w:rsid w:val="00257461"/>
    <w:rsid w:val="0026028E"/>
    <w:rsid w:val="00263221"/>
    <w:rsid w:val="00265EC8"/>
    <w:rsid w:val="00284FA2"/>
    <w:rsid w:val="002914DF"/>
    <w:rsid w:val="00292D36"/>
    <w:rsid w:val="00294A5A"/>
    <w:rsid w:val="0029526D"/>
    <w:rsid w:val="00297281"/>
    <w:rsid w:val="00297A47"/>
    <w:rsid w:val="002A2807"/>
    <w:rsid w:val="002A4EF9"/>
    <w:rsid w:val="002A5891"/>
    <w:rsid w:val="002B03F1"/>
    <w:rsid w:val="002B24B5"/>
    <w:rsid w:val="002B5E2B"/>
    <w:rsid w:val="002B6DAA"/>
    <w:rsid w:val="002C2F8B"/>
    <w:rsid w:val="002D70F7"/>
    <w:rsid w:val="002D711A"/>
    <w:rsid w:val="002D7336"/>
    <w:rsid w:val="002E3396"/>
    <w:rsid w:val="002F2953"/>
    <w:rsid w:val="002F4AF3"/>
    <w:rsid w:val="003108DE"/>
    <w:rsid w:val="0031149C"/>
    <w:rsid w:val="00322C5E"/>
    <w:rsid w:val="00333BBE"/>
    <w:rsid w:val="0033747D"/>
    <w:rsid w:val="00340EEC"/>
    <w:rsid w:val="003512CF"/>
    <w:rsid w:val="0036258C"/>
    <w:rsid w:val="0036778F"/>
    <w:rsid w:val="0037197B"/>
    <w:rsid w:val="003734A4"/>
    <w:rsid w:val="0038771C"/>
    <w:rsid w:val="003A430B"/>
    <w:rsid w:val="003A4EA0"/>
    <w:rsid w:val="003A50B3"/>
    <w:rsid w:val="003A541A"/>
    <w:rsid w:val="003A6771"/>
    <w:rsid w:val="003A6923"/>
    <w:rsid w:val="003B35A3"/>
    <w:rsid w:val="003B4F35"/>
    <w:rsid w:val="003B7B6F"/>
    <w:rsid w:val="003C0020"/>
    <w:rsid w:val="003C034C"/>
    <w:rsid w:val="003C1DCD"/>
    <w:rsid w:val="003C2C67"/>
    <w:rsid w:val="003C2D4C"/>
    <w:rsid w:val="003C3B3A"/>
    <w:rsid w:val="003C5BA4"/>
    <w:rsid w:val="003C7395"/>
    <w:rsid w:val="003D10A3"/>
    <w:rsid w:val="003D27D1"/>
    <w:rsid w:val="003D5EC3"/>
    <w:rsid w:val="003E03CE"/>
    <w:rsid w:val="003E3E26"/>
    <w:rsid w:val="003E5DFC"/>
    <w:rsid w:val="003E608A"/>
    <w:rsid w:val="003F1295"/>
    <w:rsid w:val="003F5102"/>
    <w:rsid w:val="003F76FC"/>
    <w:rsid w:val="004002EB"/>
    <w:rsid w:val="00407A79"/>
    <w:rsid w:val="0041723F"/>
    <w:rsid w:val="00422DDC"/>
    <w:rsid w:val="004231B5"/>
    <w:rsid w:val="004236C8"/>
    <w:rsid w:val="00427681"/>
    <w:rsid w:val="00433DB7"/>
    <w:rsid w:val="00434F24"/>
    <w:rsid w:val="00435DF6"/>
    <w:rsid w:val="004517D1"/>
    <w:rsid w:val="00453750"/>
    <w:rsid w:val="00456941"/>
    <w:rsid w:val="00465BF2"/>
    <w:rsid w:val="004702EA"/>
    <w:rsid w:val="0048259C"/>
    <w:rsid w:val="00482D02"/>
    <w:rsid w:val="00484326"/>
    <w:rsid w:val="00487841"/>
    <w:rsid w:val="00490369"/>
    <w:rsid w:val="004A7519"/>
    <w:rsid w:val="004B3DBC"/>
    <w:rsid w:val="004B64B1"/>
    <w:rsid w:val="004C2A21"/>
    <w:rsid w:val="004C3B82"/>
    <w:rsid w:val="004C6C48"/>
    <w:rsid w:val="004D01AC"/>
    <w:rsid w:val="004D3518"/>
    <w:rsid w:val="004D62D6"/>
    <w:rsid w:val="004D6898"/>
    <w:rsid w:val="004E251D"/>
    <w:rsid w:val="004E7D0F"/>
    <w:rsid w:val="004F31DE"/>
    <w:rsid w:val="004F3F4E"/>
    <w:rsid w:val="004F411B"/>
    <w:rsid w:val="005025B9"/>
    <w:rsid w:val="0050356B"/>
    <w:rsid w:val="00505516"/>
    <w:rsid w:val="00510167"/>
    <w:rsid w:val="00512F75"/>
    <w:rsid w:val="00513E86"/>
    <w:rsid w:val="00514E74"/>
    <w:rsid w:val="0051501B"/>
    <w:rsid w:val="005306A2"/>
    <w:rsid w:val="0053416C"/>
    <w:rsid w:val="00534684"/>
    <w:rsid w:val="00540588"/>
    <w:rsid w:val="00541C2F"/>
    <w:rsid w:val="00547BEF"/>
    <w:rsid w:val="00551B95"/>
    <w:rsid w:val="00552DE4"/>
    <w:rsid w:val="005556E0"/>
    <w:rsid w:val="0055663B"/>
    <w:rsid w:val="00563527"/>
    <w:rsid w:val="00563FAB"/>
    <w:rsid w:val="0057407A"/>
    <w:rsid w:val="0058124E"/>
    <w:rsid w:val="005875A3"/>
    <w:rsid w:val="00587949"/>
    <w:rsid w:val="005953EA"/>
    <w:rsid w:val="005A2BE0"/>
    <w:rsid w:val="005A3416"/>
    <w:rsid w:val="005A6325"/>
    <w:rsid w:val="005B27FE"/>
    <w:rsid w:val="005B76DF"/>
    <w:rsid w:val="005B79CB"/>
    <w:rsid w:val="005C72D6"/>
    <w:rsid w:val="005D09C0"/>
    <w:rsid w:val="005D0C30"/>
    <w:rsid w:val="005D3C91"/>
    <w:rsid w:val="005E08D7"/>
    <w:rsid w:val="005E2B6E"/>
    <w:rsid w:val="005E4C16"/>
    <w:rsid w:val="005E5947"/>
    <w:rsid w:val="005F15F1"/>
    <w:rsid w:val="005F2157"/>
    <w:rsid w:val="005F61DF"/>
    <w:rsid w:val="0060163A"/>
    <w:rsid w:val="006023F9"/>
    <w:rsid w:val="00606767"/>
    <w:rsid w:val="00610559"/>
    <w:rsid w:val="00614076"/>
    <w:rsid w:val="00632F2E"/>
    <w:rsid w:val="006332F6"/>
    <w:rsid w:val="00635D7F"/>
    <w:rsid w:val="00641174"/>
    <w:rsid w:val="006413F2"/>
    <w:rsid w:val="0064798F"/>
    <w:rsid w:val="006534B2"/>
    <w:rsid w:val="0065615D"/>
    <w:rsid w:val="00657011"/>
    <w:rsid w:val="00662ADA"/>
    <w:rsid w:val="006650B5"/>
    <w:rsid w:val="006651B1"/>
    <w:rsid w:val="00665778"/>
    <w:rsid w:val="00673125"/>
    <w:rsid w:val="00676E5F"/>
    <w:rsid w:val="0069041D"/>
    <w:rsid w:val="006945CA"/>
    <w:rsid w:val="006955DF"/>
    <w:rsid w:val="006A0A41"/>
    <w:rsid w:val="006A1DF1"/>
    <w:rsid w:val="006A3309"/>
    <w:rsid w:val="006A3A5A"/>
    <w:rsid w:val="006A5B34"/>
    <w:rsid w:val="006B1425"/>
    <w:rsid w:val="006C26D5"/>
    <w:rsid w:val="006C4992"/>
    <w:rsid w:val="006C77A9"/>
    <w:rsid w:val="006D0002"/>
    <w:rsid w:val="006D4720"/>
    <w:rsid w:val="006E6CDF"/>
    <w:rsid w:val="006F065A"/>
    <w:rsid w:val="006F37F2"/>
    <w:rsid w:val="006F6693"/>
    <w:rsid w:val="007005B2"/>
    <w:rsid w:val="00707344"/>
    <w:rsid w:val="00707FE8"/>
    <w:rsid w:val="00713E10"/>
    <w:rsid w:val="00714AAE"/>
    <w:rsid w:val="00720CE7"/>
    <w:rsid w:val="00722B71"/>
    <w:rsid w:val="00724962"/>
    <w:rsid w:val="00724A0F"/>
    <w:rsid w:val="00726D2F"/>
    <w:rsid w:val="00727C45"/>
    <w:rsid w:val="00731C0D"/>
    <w:rsid w:val="007338C9"/>
    <w:rsid w:val="00736732"/>
    <w:rsid w:val="00740019"/>
    <w:rsid w:val="00743826"/>
    <w:rsid w:val="007440BD"/>
    <w:rsid w:val="00746426"/>
    <w:rsid w:val="00750301"/>
    <w:rsid w:val="00750BF9"/>
    <w:rsid w:val="00750CBE"/>
    <w:rsid w:val="00754665"/>
    <w:rsid w:val="007650D2"/>
    <w:rsid w:val="00766B5A"/>
    <w:rsid w:val="00767428"/>
    <w:rsid w:val="00770302"/>
    <w:rsid w:val="00772209"/>
    <w:rsid w:val="007770A5"/>
    <w:rsid w:val="007834F2"/>
    <w:rsid w:val="00784013"/>
    <w:rsid w:val="007846B7"/>
    <w:rsid w:val="00791020"/>
    <w:rsid w:val="007A04D2"/>
    <w:rsid w:val="007A23A1"/>
    <w:rsid w:val="007A5F82"/>
    <w:rsid w:val="007B129C"/>
    <w:rsid w:val="007B58DA"/>
    <w:rsid w:val="007C4073"/>
    <w:rsid w:val="007C70C8"/>
    <w:rsid w:val="007D3FA0"/>
    <w:rsid w:val="007D5F9E"/>
    <w:rsid w:val="007D7D64"/>
    <w:rsid w:val="007E098F"/>
    <w:rsid w:val="007E3BA2"/>
    <w:rsid w:val="007E5FFA"/>
    <w:rsid w:val="007F05A8"/>
    <w:rsid w:val="007F089F"/>
    <w:rsid w:val="007F1A4C"/>
    <w:rsid w:val="007F3FF4"/>
    <w:rsid w:val="007F723F"/>
    <w:rsid w:val="008022C3"/>
    <w:rsid w:val="008041E6"/>
    <w:rsid w:val="008065D2"/>
    <w:rsid w:val="008116D8"/>
    <w:rsid w:val="0081262B"/>
    <w:rsid w:val="008136B4"/>
    <w:rsid w:val="00815A8A"/>
    <w:rsid w:val="00820BAA"/>
    <w:rsid w:val="00820D91"/>
    <w:rsid w:val="0082194C"/>
    <w:rsid w:val="008222FF"/>
    <w:rsid w:val="008241FF"/>
    <w:rsid w:val="008411E9"/>
    <w:rsid w:val="00841617"/>
    <w:rsid w:val="0084200F"/>
    <w:rsid w:val="00843B2C"/>
    <w:rsid w:val="00844F16"/>
    <w:rsid w:val="00847DD4"/>
    <w:rsid w:val="00855FF9"/>
    <w:rsid w:val="00857CE7"/>
    <w:rsid w:val="0086277A"/>
    <w:rsid w:val="008651AE"/>
    <w:rsid w:val="008668A8"/>
    <w:rsid w:val="008768AD"/>
    <w:rsid w:val="00880AC4"/>
    <w:rsid w:val="00887BEC"/>
    <w:rsid w:val="00896163"/>
    <w:rsid w:val="00897447"/>
    <w:rsid w:val="008A39CF"/>
    <w:rsid w:val="008A4900"/>
    <w:rsid w:val="008A55FE"/>
    <w:rsid w:val="008B146D"/>
    <w:rsid w:val="008B42AD"/>
    <w:rsid w:val="008B5666"/>
    <w:rsid w:val="008C0FAE"/>
    <w:rsid w:val="008D0281"/>
    <w:rsid w:val="008D3151"/>
    <w:rsid w:val="008D5BA3"/>
    <w:rsid w:val="008E2348"/>
    <w:rsid w:val="008F6D45"/>
    <w:rsid w:val="009001A2"/>
    <w:rsid w:val="00922944"/>
    <w:rsid w:val="009342BB"/>
    <w:rsid w:val="009357B8"/>
    <w:rsid w:val="00936479"/>
    <w:rsid w:val="00937A10"/>
    <w:rsid w:val="00942A61"/>
    <w:rsid w:val="00956C9C"/>
    <w:rsid w:val="00966115"/>
    <w:rsid w:val="009834C0"/>
    <w:rsid w:val="0098592C"/>
    <w:rsid w:val="00986AAC"/>
    <w:rsid w:val="009945B6"/>
    <w:rsid w:val="00995526"/>
    <w:rsid w:val="009A1DA2"/>
    <w:rsid w:val="009A3704"/>
    <w:rsid w:val="009A4739"/>
    <w:rsid w:val="009A5744"/>
    <w:rsid w:val="009A674F"/>
    <w:rsid w:val="009A6D22"/>
    <w:rsid w:val="009A7450"/>
    <w:rsid w:val="009B199C"/>
    <w:rsid w:val="009B500C"/>
    <w:rsid w:val="009B61F1"/>
    <w:rsid w:val="009B62E0"/>
    <w:rsid w:val="009C1DE7"/>
    <w:rsid w:val="009C36AF"/>
    <w:rsid w:val="009C3D88"/>
    <w:rsid w:val="009D159B"/>
    <w:rsid w:val="009E1651"/>
    <w:rsid w:val="009E2453"/>
    <w:rsid w:val="009E3858"/>
    <w:rsid w:val="009E467D"/>
    <w:rsid w:val="009E70DD"/>
    <w:rsid w:val="009F2ED9"/>
    <w:rsid w:val="009F3231"/>
    <w:rsid w:val="009F4421"/>
    <w:rsid w:val="009F5C58"/>
    <w:rsid w:val="00A023A0"/>
    <w:rsid w:val="00A02C80"/>
    <w:rsid w:val="00A05EBC"/>
    <w:rsid w:val="00A1211B"/>
    <w:rsid w:val="00A1562B"/>
    <w:rsid w:val="00A170F4"/>
    <w:rsid w:val="00A21408"/>
    <w:rsid w:val="00A21CFD"/>
    <w:rsid w:val="00A231FC"/>
    <w:rsid w:val="00A24A37"/>
    <w:rsid w:val="00A25B78"/>
    <w:rsid w:val="00A4578D"/>
    <w:rsid w:val="00A46288"/>
    <w:rsid w:val="00A46BA8"/>
    <w:rsid w:val="00A47634"/>
    <w:rsid w:val="00A612FE"/>
    <w:rsid w:val="00A6677E"/>
    <w:rsid w:val="00A70B49"/>
    <w:rsid w:val="00A825C3"/>
    <w:rsid w:val="00A92D94"/>
    <w:rsid w:val="00A938A4"/>
    <w:rsid w:val="00A96717"/>
    <w:rsid w:val="00AA26B8"/>
    <w:rsid w:val="00AB4428"/>
    <w:rsid w:val="00AC0B87"/>
    <w:rsid w:val="00AC2624"/>
    <w:rsid w:val="00AC32A8"/>
    <w:rsid w:val="00AC482D"/>
    <w:rsid w:val="00AD7E4E"/>
    <w:rsid w:val="00AE7B59"/>
    <w:rsid w:val="00AF4D58"/>
    <w:rsid w:val="00AF6666"/>
    <w:rsid w:val="00AF7BC5"/>
    <w:rsid w:val="00B11344"/>
    <w:rsid w:val="00B11FBB"/>
    <w:rsid w:val="00B12737"/>
    <w:rsid w:val="00B132C3"/>
    <w:rsid w:val="00B246A3"/>
    <w:rsid w:val="00B27B6D"/>
    <w:rsid w:val="00B42866"/>
    <w:rsid w:val="00B465FB"/>
    <w:rsid w:val="00B628EA"/>
    <w:rsid w:val="00B67CC2"/>
    <w:rsid w:val="00B724F8"/>
    <w:rsid w:val="00B815B3"/>
    <w:rsid w:val="00B81B44"/>
    <w:rsid w:val="00B85100"/>
    <w:rsid w:val="00B9053B"/>
    <w:rsid w:val="00BA07DD"/>
    <w:rsid w:val="00BA0C37"/>
    <w:rsid w:val="00BA3782"/>
    <w:rsid w:val="00BA560C"/>
    <w:rsid w:val="00BB4D98"/>
    <w:rsid w:val="00BB4EBF"/>
    <w:rsid w:val="00BB59E0"/>
    <w:rsid w:val="00BC3422"/>
    <w:rsid w:val="00BC6E19"/>
    <w:rsid w:val="00BD11C2"/>
    <w:rsid w:val="00BD5018"/>
    <w:rsid w:val="00BE0ACA"/>
    <w:rsid w:val="00BE30A0"/>
    <w:rsid w:val="00BE4346"/>
    <w:rsid w:val="00BE5ADC"/>
    <w:rsid w:val="00BE664B"/>
    <w:rsid w:val="00BE71CA"/>
    <w:rsid w:val="00BF3854"/>
    <w:rsid w:val="00BF4F96"/>
    <w:rsid w:val="00C015B9"/>
    <w:rsid w:val="00C022F9"/>
    <w:rsid w:val="00C032EA"/>
    <w:rsid w:val="00C06EB5"/>
    <w:rsid w:val="00C1099B"/>
    <w:rsid w:val="00C1145F"/>
    <w:rsid w:val="00C11CD1"/>
    <w:rsid w:val="00C1578F"/>
    <w:rsid w:val="00C27C5D"/>
    <w:rsid w:val="00C320D6"/>
    <w:rsid w:val="00C32D49"/>
    <w:rsid w:val="00C33AD3"/>
    <w:rsid w:val="00C37E40"/>
    <w:rsid w:val="00C41B3C"/>
    <w:rsid w:val="00C43F06"/>
    <w:rsid w:val="00C51C01"/>
    <w:rsid w:val="00C637E1"/>
    <w:rsid w:val="00C6494B"/>
    <w:rsid w:val="00C67EAC"/>
    <w:rsid w:val="00C70D50"/>
    <w:rsid w:val="00C72252"/>
    <w:rsid w:val="00C73037"/>
    <w:rsid w:val="00C907D7"/>
    <w:rsid w:val="00C92338"/>
    <w:rsid w:val="00C93668"/>
    <w:rsid w:val="00C954FA"/>
    <w:rsid w:val="00CA05DC"/>
    <w:rsid w:val="00CA7B47"/>
    <w:rsid w:val="00CB0269"/>
    <w:rsid w:val="00CB0B64"/>
    <w:rsid w:val="00CB38A7"/>
    <w:rsid w:val="00CB3976"/>
    <w:rsid w:val="00CB5275"/>
    <w:rsid w:val="00CC39F0"/>
    <w:rsid w:val="00CC7AA1"/>
    <w:rsid w:val="00CD0307"/>
    <w:rsid w:val="00CD3D1B"/>
    <w:rsid w:val="00CD583E"/>
    <w:rsid w:val="00CE036D"/>
    <w:rsid w:val="00CF1B14"/>
    <w:rsid w:val="00D02663"/>
    <w:rsid w:val="00D0633E"/>
    <w:rsid w:val="00D1174C"/>
    <w:rsid w:val="00D12E74"/>
    <w:rsid w:val="00D17635"/>
    <w:rsid w:val="00D20D7C"/>
    <w:rsid w:val="00D2312F"/>
    <w:rsid w:val="00D23B04"/>
    <w:rsid w:val="00D269C1"/>
    <w:rsid w:val="00D27A05"/>
    <w:rsid w:val="00D3359F"/>
    <w:rsid w:val="00D34D32"/>
    <w:rsid w:val="00D41B2F"/>
    <w:rsid w:val="00D44953"/>
    <w:rsid w:val="00D44AC8"/>
    <w:rsid w:val="00D542F3"/>
    <w:rsid w:val="00D54513"/>
    <w:rsid w:val="00D54AAE"/>
    <w:rsid w:val="00D5644B"/>
    <w:rsid w:val="00D56E25"/>
    <w:rsid w:val="00D57E89"/>
    <w:rsid w:val="00D6560D"/>
    <w:rsid w:val="00D65D77"/>
    <w:rsid w:val="00D718D7"/>
    <w:rsid w:val="00D73616"/>
    <w:rsid w:val="00D775D4"/>
    <w:rsid w:val="00D814B7"/>
    <w:rsid w:val="00D90688"/>
    <w:rsid w:val="00D93CCF"/>
    <w:rsid w:val="00D9709F"/>
    <w:rsid w:val="00DA3AAD"/>
    <w:rsid w:val="00DB1478"/>
    <w:rsid w:val="00DB312B"/>
    <w:rsid w:val="00DC5654"/>
    <w:rsid w:val="00DC658F"/>
    <w:rsid w:val="00DC674A"/>
    <w:rsid w:val="00DD4F8F"/>
    <w:rsid w:val="00DE36D1"/>
    <w:rsid w:val="00DE60CC"/>
    <w:rsid w:val="00DF3D77"/>
    <w:rsid w:val="00DF4040"/>
    <w:rsid w:val="00E00BF8"/>
    <w:rsid w:val="00E10E38"/>
    <w:rsid w:val="00E1580E"/>
    <w:rsid w:val="00E20FF4"/>
    <w:rsid w:val="00E213A3"/>
    <w:rsid w:val="00E21DFB"/>
    <w:rsid w:val="00E25628"/>
    <w:rsid w:val="00E26B32"/>
    <w:rsid w:val="00E31CD4"/>
    <w:rsid w:val="00E31E60"/>
    <w:rsid w:val="00E33E08"/>
    <w:rsid w:val="00E407B6"/>
    <w:rsid w:val="00E41EF1"/>
    <w:rsid w:val="00E42942"/>
    <w:rsid w:val="00E63564"/>
    <w:rsid w:val="00E65A0A"/>
    <w:rsid w:val="00E65B67"/>
    <w:rsid w:val="00E71BDF"/>
    <w:rsid w:val="00E75CCB"/>
    <w:rsid w:val="00E77E60"/>
    <w:rsid w:val="00E8245B"/>
    <w:rsid w:val="00E82C21"/>
    <w:rsid w:val="00E82F59"/>
    <w:rsid w:val="00E83CA7"/>
    <w:rsid w:val="00E92192"/>
    <w:rsid w:val="00E95A71"/>
    <w:rsid w:val="00EA5A49"/>
    <w:rsid w:val="00EB7014"/>
    <w:rsid w:val="00EC5CDE"/>
    <w:rsid w:val="00ED2592"/>
    <w:rsid w:val="00ED3077"/>
    <w:rsid w:val="00ED487E"/>
    <w:rsid w:val="00ED64F1"/>
    <w:rsid w:val="00EE33A1"/>
    <w:rsid w:val="00EE7A0D"/>
    <w:rsid w:val="00F0222C"/>
    <w:rsid w:val="00F12312"/>
    <w:rsid w:val="00F17CE1"/>
    <w:rsid w:val="00F2115C"/>
    <w:rsid w:val="00F22ABA"/>
    <w:rsid w:val="00F25F4B"/>
    <w:rsid w:val="00F3635D"/>
    <w:rsid w:val="00F36B12"/>
    <w:rsid w:val="00F51E38"/>
    <w:rsid w:val="00F60F9F"/>
    <w:rsid w:val="00F61B7D"/>
    <w:rsid w:val="00F64F08"/>
    <w:rsid w:val="00F67ED2"/>
    <w:rsid w:val="00F70055"/>
    <w:rsid w:val="00F734F5"/>
    <w:rsid w:val="00F73B5B"/>
    <w:rsid w:val="00F824C9"/>
    <w:rsid w:val="00F90EA5"/>
    <w:rsid w:val="00F91F5A"/>
    <w:rsid w:val="00F966B1"/>
    <w:rsid w:val="00F97A8A"/>
    <w:rsid w:val="00F97D48"/>
    <w:rsid w:val="00FA0311"/>
    <w:rsid w:val="00FA1489"/>
    <w:rsid w:val="00FA3BD7"/>
    <w:rsid w:val="00FB0ACB"/>
    <w:rsid w:val="00FC7725"/>
    <w:rsid w:val="00FD0AC4"/>
    <w:rsid w:val="00FD2328"/>
    <w:rsid w:val="00FD50F0"/>
    <w:rsid w:val="00FD640F"/>
    <w:rsid w:val="00FD6B4C"/>
    <w:rsid w:val="00FE0553"/>
    <w:rsid w:val="00FE1865"/>
    <w:rsid w:val="00FE25D0"/>
    <w:rsid w:val="00FE2AA2"/>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95B1B"/>
  <w15:docId w15:val="{533F9E56-D22F-4452-BA80-1119EC2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43826"/>
    <w:pPr>
      <w:spacing w:before="120" w:after="120" w:line="240" w:lineRule="atLeast"/>
    </w:pPr>
    <w:rPr>
      <w:rFonts w:ascii="Arial" w:hAnsi="Arial" w:cs="Arial"/>
    </w:rPr>
  </w:style>
  <w:style w:type="paragraph" w:styleId="Heading1">
    <w:name w:val="heading 1"/>
    <w:basedOn w:val="Normal"/>
    <w:next w:val="Normalfollowingheading"/>
    <w:link w:val="Heading1Char"/>
    <w:qFormat/>
    <w:rsid w:val="00322C5E"/>
    <w:pPr>
      <w:keepNext/>
      <w:keepLines/>
      <w:framePr w:wrap="around" w:vAnchor="page" w:hAnchor="margin" w:y="1022"/>
      <w:spacing w:before="0" w:line="240" w:lineRule="auto"/>
      <w:outlineLvl w:val="0"/>
    </w:pPr>
    <w:rPr>
      <w:rFonts w:eastAsiaTheme="majorEastAsia"/>
      <w:b/>
      <w:color w:val="007586" w:themeColor="text2"/>
      <w:spacing w:val="-1"/>
      <w:sz w:val="48"/>
      <w:szCs w:val="28"/>
    </w:rPr>
  </w:style>
  <w:style w:type="paragraph" w:styleId="Heading2">
    <w:name w:val="heading 2"/>
    <w:basedOn w:val="Normal"/>
    <w:next w:val="Normalfollowingheading"/>
    <w:link w:val="Heading2Char"/>
    <w:qFormat/>
    <w:rsid w:val="00322C5E"/>
    <w:pPr>
      <w:keepNext/>
      <w:keepLines/>
      <w:spacing w:before="280" w:after="60" w:line="240" w:lineRule="auto"/>
      <w:outlineLvl w:val="1"/>
    </w:pPr>
    <w:rPr>
      <w:rFonts w:eastAsiaTheme="majorEastAsia"/>
      <w:b/>
      <w:bCs/>
      <w:caps/>
      <w:color w:val="007586" w:themeColor="text2"/>
      <w:sz w:val="24"/>
      <w:szCs w:val="26"/>
    </w:rPr>
  </w:style>
  <w:style w:type="paragraph" w:styleId="Heading3">
    <w:name w:val="heading 3"/>
    <w:basedOn w:val="Normal"/>
    <w:next w:val="Normalfollowingheading"/>
    <w:link w:val="Heading3Char"/>
    <w:qFormat/>
    <w:rsid w:val="00322C5E"/>
    <w:pPr>
      <w:spacing w:before="240" w:after="50"/>
      <w:outlineLvl w:val="2"/>
    </w:pPr>
    <w:rPr>
      <w:rFonts w:asciiTheme="minorHAnsi" w:hAnsiTheme="minorHAnsi" w:cstheme="minorHAnsi"/>
      <w:b/>
      <w:bCs/>
      <w:sz w:val="24"/>
      <w:szCs w:val="24"/>
    </w:rPr>
  </w:style>
  <w:style w:type="paragraph" w:styleId="Heading4">
    <w:name w:val="heading 4"/>
    <w:basedOn w:val="Normal"/>
    <w:next w:val="Normalfollowingheading"/>
    <w:link w:val="Heading4Char"/>
    <w:qFormat/>
    <w:rsid w:val="00CB0B64"/>
    <w:pPr>
      <w:keepNext/>
      <w:keepLines/>
      <w:spacing w:before="320" w:after="70" w:line="240" w:lineRule="auto"/>
      <w:outlineLvl w:val="3"/>
    </w:pPr>
    <w:rPr>
      <w:rFonts w:ascii="VIC SemiBold" w:eastAsiaTheme="majorEastAsia" w:hAnsi="VIC SemiBold"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322C5E"/>
    <w:rPr>
      <w:rFonts w:ascii="Arial" w:eastAsiaTheme="majorEastAsia" w:hAnsi="Arial" w:cs="Arial"/>
      <w:b/>
      <w:color w:val="007586" w:themeColor="text2"/>
      <w:spacing w:val="-1"/>
      <w:sz w:val="48"/>
      <w:szCs w:val="28"/>
    </w:rPr>
  </w:style>
  <w:style w:type="character" w:customStyle="1" w:styleId="Heading2Char">
    <w:name w:val="Heading 2 Char"/>
    <w:basedOn w:val="DefaultParagraphFont"/>
    <w:link w:val="Heading2"/>
    <w:rsid w:val="00322C5E"/>
    <w:rPr>
      <w:rFonts w:ascii="Arial" w:eastAsiaTheme="majorEastAsia" w:hAnsi="Arial" w:cs="Arial"/>
      <w:b/>
      <w:bCs/>
      <w:caps/>
      <w:color w:val="007586" w:themeColor="text2"/>
      <w:sz w:val="24"/>
      <w:szCs w:val="26"/>
    </w:rPr>
  </w:style>
  <w:style w:type="paragraph" w:customStyle="1" w:styleId="Bullet1">
    <w:name w:val="Bullet 1"/>
    <w:uiPriority w:val="1"/>
    <w:qFormat/>
    <w:rsid w:val="00322C5E"/>
    <w:pPr>
      <w:numPr>
        <w:numId w:val="9"/>
      </w:numPr>
      <w:spacing w:before="60" w:after="60"/>
    </w:pPr>
    <w:rPr>
      <w:rFonts w:eastAsia="Times New Roman" w:cstheme="minorHAns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322C5E"/>
    <w:rPr>
      <w:rFonts w:cstheme="minorHAnsi"/>
      <w:b/>
      <w:bCs/>
      <w:sz w:val="24"/>
      <w:szCs w:val="24"/>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CB0B64"/>
    <w:rPr>
      <w:rFonts w:ascii="VIC SemiBold" w:eastAsiaTheme="majorEastAsia" w:hAnsi="VIC SemiBold" w:cstheme="majorBidi"/>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322C5E"/>
    <w:pPr>
      <w:tabs>
        <w:tab w:val="left" w:pos="1080"/>
      </w:tabs>
      <w:spacing w:before="280" w:after="210" w:line="260" w:lineRule="atLeast"/>
    </w:pPr>
    <w:rPr>
      <w:rFonts w:ascii="Arial" w:hAnsi="Arial" w:cs="Arial"/>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322C5E"/>
    <w:pPr>
      <w:spacing w:before="280" w:after="240"/>
    </w:pPr>
    <w:rPr>
      <w:rFonts w:asciiTheme="minorHAnsi" w:hAnsiTheme="minorHAnsi" w:cstheme="minorHAnsi"/>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1B23B9"/>
    <w:pPr>
      <w:spacing w:before="100" w:after="100"/>
    </w:pPr>
    <w:rPr>
      <w:color w:val="007586" w:themeColor="text2"/>
    </w:rPr>
  </w:style>
  <w:style w:type="paragraph" w:customStyle="1" w:styleId="PulloutHeading">
    <w:name w:val="Pullout Heading"/>
    <w:basedOn w:val="PulloutText"/>
    <w:next w:val="PulloutText"/>
    <w:uiPriority w:val="1"/>
    <w:qFormat/>
    <w:rsid w:val="001B23B9"/>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UnresolvedMention">
    <w:name w:val="Unresolved Mention"/>
    <w:basedOn w:val="DefaultParagraphFont"/>
    <w:uiPriority w:val="99"/>
    <w:semiHidden/>
    <w:unhideWhenUsed/>
    <w:rsid w:val="00B11FBB"/>
    <w:rPr>
      <w:color w:val="605E5C"/>
      <w:shd w:val="clear" w:color="auto" w:fill="E1DFDD"/>
    </w:rPr>
  </w:style>
  <w:style w:type="character" w:styleId="CommentReference">
    <w:name w:val="annotation reference"/>
    <w:basedOn w:val="DefaultParagraphFont"/>
    <w:uiPriority w:val="1"/>
    <w:semiHidden/>
    <w:unhideWhenUsed/>
    <w:rsid w:val="0010501E"/>
    <w:rPr>
      <w:sz w:val="16"/>
      <w:szCs w:val="16"/>
    </w:rPr>
  </w:style>
  <w:style w:type="paragraph" w:styleId="CommentText">
    <w:name w:val="annotation text"/>
    <w:basedOn w:val="Normal"/>
    <w:link w:val="CommentTextChar"/>
    <w:uiPriority w:val="1"/>
    <w:unhideWhenUsed/>
    <w:rsid w:val="0010501E"/>
    <w:pPr>
      <w:spacing w:line="240" w:lineRule="auto"/>
    </w:pPr>
  </w:style>
  <w:style w:type="character" w:customStyle="1" w:styleId="CommentTextChar">
    <w:name w:val="Comment Text Char"/>
    <w:basedOn w:val="DefaultParagraphFont"/>
    <w:link w:val="CommentText"/>
    <w:uiPriority w:val="1"/>
    <w:rsid w:val="0010501E"/>
  </w:style>
  <w:style w:type="paragraph" w:styleId="CommentSubject">
    <w:name w:val="annotation subject"/>
    <w:basedOn w:val="CommentText"/>
    <w:next w:val="CommentText"/>
    <w:link w:val="CommentSubjectChar"/>
    <w:uiPriority w:val="1"/>
    <w:semiHidden/>
    <w:unhideWhenUsed/>
    <w:rsid w:val="0010501E"/>
    <w:rPr>
      <w:b/>
      <w:bCs/>
    </w:rPr>
  </w:style>
  <w:style w:type="character" w:customStyle="1" w:styleId="CommentSubjectChar">
    <w:name w:val="Comment Subject Char"/>
    <w:basedOn w:val="CommentTextChar"/>
    <w:link w:val="CommentSubject"/>
    <w:uiPriority w:val="1"/>
    <w:semiHidden/>
    <w:rsid w:val="0010501E"/>
    <w:rPr>
      <w:b/>
      <w:bCs/>
    </w:rPr>
  </w:style>
  <w:style w:type="character" w:styleId="FollowedHyperlink">
    <w:name w:val="FollowedHyperlink"/>
    <w:basedOn w:val="DefaultParagraphFont"/>
    <w:uiPriority w:val="1"/>
    <w:semiHidden/>
    <w:unhideWhenUsed/>
    <w:rsid w:val="00487841"/>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2.health.vic.gov.au/health-workforce/worker-health-wellbeing/occupational-violence-aggression/code-grey-black" TargetMode="External"/><Relationship Id="rId39" Type="http://schemas.openxmlformats.org/officeDocument/2006/relationships/diagramQuickStyle" Target="diagrams/quickStyle1.xml"/><Relationship Id="rId21" Type="http://schemas.openxmlformats.org/officeDocument/2006/relationships/header" Target="header4.xml"/><Relationship Id="rId34" Type="http://schemas.openxmlformats.org/officeDocument/2006/relationships/hyperlink" Target="https://www2.health.vic.gov.au/health-workforce/worker-health-wellbeing/occupational-violence-aggression/training" TargetMode="External"/><Relationship Id="rId42" Type="http://schemas.openxmlformats.org/officeDocument/2006/relationships/hyperlink" Target="https://www.humanrightscommission.vic.gov.au/human-rights/the-charter/rights-under-the-charter" TargetMode="External"/><Relationship Id="rId47" Type="http://schemas.openxmlformats.org/officeDocument/2006/relationships/hyperlink" Target="https://www2.health.vic.gov.au/about/publications/formsandtemplates/Restrictive-interventions---authority-for-use-MHA-140-form" TargetMode="External"/><Relationship Id="rId50" Type="http://schemas.openxmlformats.org/officeDocument/2006/relationships/hyperlink" Target="https://www2.health.vic.gov.au/about/key-staff/chief-psychiatrist/chief-psychiatrist-guidelines/practice-of-prone-restraint" TargetMode="External"/><Relationship Id="rId55" Type="http://schemas.openxmlformats.org/officeDocument/2006/relationships/hyperlink" Target="https://www2.health.vic.gov.au/about/publications/formsandtemplates/Physical-restraint-urgent-approval-MHA-141-form" TargetMode="External"/><Relationship Id="rId63" Type="http://schemas.openxmlformats.org/officeDocument/2006/relationships/image" Target="media/image10.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hyperlink" Target="https://www2.health.vic.gov.au/about/publications/policiesandguidelines/behavioural-assessment-rooms-emergency-depts-guide" TargetMode="External"/><Relationship Id="rId41" Type="http://schemas.microsoft.com/office/2007/relationships/diagramDrawing" Target="diagrams/drawing1.xml"/><Relationship Id="rId54" Type="http://schemas.openxmlformats.org/officeDocument/2006/relationships/hyperlink" Target="https://www2.health.vic.gov.au/about/publications/formsandtemplates/Restrictive-interventions---authority-for-use-MHA-140-form" TargetMode="External"/><Relationship Id="rId62"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2.health.vic.gov.au/about/publications/policiesandguidelines/violence-aggression-training-guide-health-services"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s://www2.health.vic.gov.au/about/publications/policiesandguidelines/Restrictive-interventions-in-designated-mental-health-services" TargetMode="External"/><Relationship Id="rId53" Type="http://schemas.openxmlformats.org/officeDocument/2006/relationships/hyperlink" Target="https://www2.health.vic.gov.au/about/publications/formsandtemplates/Restrictive-interventions-observations-MHA-142-form" TargetMode="External"/><Relationship Id="rId58" Type="http://schemas.openxmlformats.org/officeDocument/2006/relationships/hyperlink" Target="https://www.mhcc.vic.gov.au/contact/contact-u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www2.health.vic.gov.au/health-workforce/worker-health-wellbeing/occupational-violence-aggression/code-grey-black" TargetMode="External"/><Relationship Id="rId36" Type="http://schemas.openxmlformats.org/officeDocument/2006/relationships/hyperlink" Target="https://www2.health.vic.gov.au/health-workforce/worker-health-wellbeing/occupational-violence-aggression/code-grey-black" TargetMode="External"/><Relationship Id="rId49" Type="http://schemas.openxmlformats.org/officeDocument/2006/relationships/hyperlink" Target="https://www2.health.vic.gov.au/about/publications/formsandtemplates/Restrictive-interventions-observations-MHA-142-form" TargetMode="External"/><Relationship Id="rId57" Type="http://schemas.openxmlformats.org/officeDocument/2006/relationships/hyperlink" Target="https://hcc.vic.gov.au/contact" TargetMode="External"/><Relationship Id="rId61" Type="http://schemas.openxmlformats.org/officeDocument/2006/relationships/hyperlink" Target="https://www.bettersafercare.vic.gov.au/our-work/incident-response/sentinel-events/what-to-repor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2.health.vic.gov.au/health-workforce/worker-health-wellbeing/occupational-violence-aggression/training" TargetMode="External"/><Relationship Id="rId44" Type="http://schemas.openxmlformats.org/officeDocument/2006/relationships/image" Target="media/image8.svg"/><Relationship Id="rId52" Type="http://schemas.openxmlformats.org/officeDocument/2006/relationships/hyperlink" Target="https://www2.health.vic.gov.au/about/publications/formsandtemplates/Physical-restraint-urgent-approval-MHA-141-form" TargetMode="External"/><Relationship Id="rId60" Type="http://schemas.openxmlformats.org/officeDocument/2006/relationships/hyperlink" Target="https://www2.health.vic.gov.au/health-workforce/worker-health-wellbeing/occupational-violence-aggression/post-incident-response"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2.health.vic.gov.au/health-workforce/worker-health-wellbeing/occupational-violence-aggression/code-grey-black" TargetMode="External"/><Relationship Id="rId30" Type="http://schemas.openxmlformats.org/officeDocument/2006/relationships/hyperlink" Target="https://www2.health.vic.gov.au/mental-health/practice-and-service-quality/safety/safewards/training-resources" TargetMode="External"/><Relationship Id="rId35" Type="http://schemas.openxmlformats.org/officeDocument/2006/relationships/hyperlink" Target="https://www2.health.vic.gov.au/about/publications/policiesandguidelines/violence-aggression-training-guide-health-services" TargetMode="External"/><Relationship Id="rId43" Type="http://schemas.openxmlformats.org/officeDocument/2006/relationships/image" Target="media/image7.png"/><Relationship Id="rId48" Type="http://schemas.openxmlformats.org/officeDocument/2006/relationships/hyperlink" Target="https://www2.health.vic.gov.au/about/publications/formsandtemplates/Physical-restraint-urgent-approval-MHA-141-form" TargetMode="External"/><Relationship Id="rId56" Type="http://schemas.openxmlformats.org/officeDocument/2006/relationships/hyperlink" Target="https://www2.health.vic.gov.au/about/publications/formsandtemplates/Restrictive-interventions-observations-MHA-142-for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2.health.vic.gov.au/about/publications/formsandtemplates/Restrictive-interventions---authority-for-use-MHA-140-form"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safercare.vic.gov.au" TargetMode="External"/><Relationship Id="rId25" Type="http://schemas.openxmlformats.org/officeDocument/2006/relationships/hyperlink" Target="https://www2.health.vic.gov.au/health-workforce/worker-health-wellbeing/occupational-violence-aggression/code-grey-black" TargetMode="External"/><Relationship Id="rId33" Type="http://schemas.openxmlformats.org/officeDocument/2006/relationships/hyperlink" Target="https://www2.health.vic.gov.au/mental-health/practice-and-service-quality/safety/safewards/training-resources" TargetMode="External"/><Relationship Id="rId38" Type="http://schemas.openxmlformats.org/officeDocument/2006/relationships/diagramLayout" Target="diagrams/layout1.xml"/><Relationship Id="rId46" Type="http://schemas.openxmlformats.org/officeDocument/2006/relationships/hyperlink" Target="https://www.humanrightscommission.vic.gov.au/human-rights/the-charter/rights-under-the-charter" TargetMode="External"/><Relationship Id="rId59" Type="http://schemas.openxmlformats.org/officeDocument/2006/relationships/hyperlink" Target="https://www2.health.vic.gov.au/health-workforce/worker-health-wellbeing/occupational-violence-aggression/post-incident-respo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rch.org.au/clinicalguide/guideline_index/acute_behavioural_disturbance_assess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ow1601\AppData\Local\Hewlett-Packard\HP%20TRIM\TEMP\HPTRIM.8012\HHSD%2019%20418041%20%20Report%20no%20imag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28697A-4ED0-476B-8574-9B7B831B175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53825F59-5A5C-4BB4-8A15-33C400702D4E}">
      <dgm:prSet phldrT="[Text]" custT="1"/>
      <dgm:spPr/>
      <dgm:t>
        <a:bodyPr/>
        <a:lstStyle/>
        <a:p>
          <a:r>
            <a:rPr lang="en-AU" sz="1000" b="0">
              <a:latin typeface="VIC SemiBold" panose="00000700000000000000" pitchFamily="2" charset="0"/>
            </a:rPr>
            <a:t>Get started</a:t>
          </a:r>
        </a:p>
      </dgm:t>
    </dgm:pt>
    <dgm:pt modelId="{199AB908-EFCA-4114-87A0-6E92D261B8DC}" type="parTrans" cxnId="{AB04E066-F450-40C9-B8B7-A9BB2FBF949F}">
      <dgm:prSet/>
      <dgm:spPr/>
      <dgm:t>
        <a:bodyPr/>
        <a:lstStyle/>
        <a:p>
          <a:endParaRPr lang="en-AU"/>
        </a:p>
      </dgm:t>
    </dgm:pt>
    <dgm:pt modelId="{1F091CEB-1022-47BD-A202-E4189F96CC4C}" type="sibTrans" cxnId="{AB04E066-F450-40C9-B8B7-A9BB2FBF949F}">
      <dgm:prSet/>
      <dgm:spPr/>
      <dgm:t>
        <a:bodyPr/>
        <a:lstStyle/>
        <a:p>
          <a:endParaRPr lang="en-AU"/>
        </a:p>
      </dgm:t>
    </dgm:pt>
    <dgm:pt modelId="{A45B0E1C-4719-41B7-A287-1CFA2CD3A408}">
      <dgm:prSet phldrT="[Text]" custT="1"/>
      <dgm:spPr/>
      <dgm:t>
        <a:bodyPr/>
        <a:lstStyle/>
        <a:p>
          <a:r>
            <a:rPr lang="en-AU" sz="900">
              <a:latin typeface="VIC" panose="00000500000000000000" pitchFamily="2" charset="0"/>
            </a:rPr>
            <a:t>Assess the need for support or back-up.</a:t>
          </a:r>
        </a:p>
      </dgm:t>
    </dgm:pt>
    <dgm:pt modelId="{95F15218-5491-4F44-B590-19B99B7FAB16}" type="parTrans" cxnId="{A12DCD35-5EAD-44BC-BABA-B6204849C5E5}">
      <dgm:prSet/>
      <dgm:spPr/>
      <dgm:t>
        <a:bodyPr/>
        <a:lstStyle/>
        <a:p>
          <a:endParaRPr lang="en-AU"/>
        </a:p>
      </dgm:t>
    </dgm:pt>
    <dgm:pt modelId="{4D01A29E-9454-46BD-B9AA-073E83144372}" type="sibTrans" cxnId="{A12DCD35-5EAD-44BC-BABA-B6204849C5E5}">
      <dgm:prSet/>
      <dgm:spPr/>
      <dgm:t>
        <a:bodyPr/>
        <a:lstStyle/>
        <a:p>
          <a:endParaRPr lang="en-AU"/>
        </a:p>
      </dgm:t>
    </dgm:pt>
    <dgm:pt modelId="{BBCC1449-F694-44E3-9D15-FC2A0FF25779}">
      <dgm:prSet phldrT="[Text]" custT="1"/>
      <dgm:spPr/>
      <dgm:t>
        <a:bodyPr/>
        <a:lstStyle/>
        <a:p>
          <a:r>
            <a:rPr lang="en-AU" sz="1000" b="0">
              <a:latin typeface="VIC SemiBold" panose="00000700000000000000" pitchFamily="2" charset="0"/>
            </a:rPr>
            <a:t>Listen. Work out what the problem is</a:t>
          </a:r>
          <a:r>
            <a:rPr lang="en-AU" sz="1000" b="1">
              <a:latin typeface="VIC SemiBold" panose="00000700000000000000" pitchFamily="2" charset="0"/>
            </a:rPr>
            <a:t> </a:t>
          </a:r>
        </a:p>
      </dgm:t>
    </dgm:pt>
    <dgm:pt modelId="{DA44A0C5-A19D-4565-9EA3-E4AA75CED1C3}" type="parTrans" cxnId="{3F9BDE33-97EC-4818-A2D9-385C694D1928}">
      <dgm:prSet/>
      <dgm:spPr/>
      <dgm:t>
        <a:bodyPr/>
        <a:lstStyle/>
        <a:p>
          <a:endParaRPr lang="en-AU"/>
        </a:p>
      </dgm:t>
    </dgm:pt>
    <dgm:pt modelId="{A3086D61-1744-4890-ABE6-0F76726852F2}" type="sibTrans" cxnId="{3F9BDE33-97EC-4818-A2D9-385C694D1928}">
      <dgm:prSet/>
      <dgm:spPr/>
      <dgm:t>
        <a:bodyPr/>
        <a:lstStyle/>
        <a:p>
          <a:endParaRPr lang="en-AU"/>
        </a:p>
      </dgm:t>
    </dgm:pt>
    <dgm:pt modelId="{A0E76FD3-539E-4D45-B194-2C73AF58865D}">
      <dgm:prSet phldrT="[Text]" custT="1"/>
      <dgm:spPr/>
      <dgm:t>
        <a:bodyPr/>
        <a:lstStyle/>
        <a:p>
          <a:r>
            <a:rPr lang="en-AU" sz="900">
              <a:latin typeface="VIC" panose="00000500000000000000" pitchFamily="2" charset="0"/>
            </a:rPr>
            <a:t>Speak clearly.</a:t>
          </a:r>
        </a:p>
      </dgm:t>
    </dgm:pt>
    <dgm:pt modelId="{69F09391-8A90-4505-9F09-C9A068B1644C}" type="parTrans" cxnId="{66FBDC9D-AA69-418C-A538-FFF6ADD2E0F0}">
      <dgm:prSet/>
      <dgm:spPr/>
      <dgm:t>
        <a:bodyPr/>
        <a:lstStyle/>
        <a:p>
          <a:endParaRPr lang="en-AU"/>
        </a:p>
      </dgm:t>
    </dgm:pt>
    <dgm:pt modelId="{C99FE50A-FD88-470E-BA56-52CDB11C6B58}" type="sibTrans" cxnId="{66FBDC9D-AA69-418C-A538-FFF6ADD2E0F0}">
      <dgm:prSet/>
      <dgm:spPr/>
      <dgm:t>
        <a:bodyPr/>
        <a:lstStyle/>
        <a:p>
          <a:endParaRPr lang="en-AU"/>
        </a:p>
      </dgm:t>
    </dgm:pt>
    <dgm:pt modelId="{F76A65C9-7B37-4791-981D-EAA76549A55B}">
      <dgm:prSet phldrT="[Text]" custT="1"/>
      <dgm:spPr/>
      <dgm:t>
        <a:bodyPr/>
        <a:lstStyle/>
        <a:p>
          <a:r>
            <a:rPr lang="en-AU" sz="1000" b="0">
              <a:latin typeface="VIC SemiBold" panose="00000700000000000000" pitchFamily="2" charset="0"/>
            </a:rPr>
            <a:t>Find solutions</a:t>
          </a:r>
        </a:p>
      </dgm:t>
    </dgm:pt>
    <dgm:pt modelId="{8455CB84-244C-4B7C-933F-9BC54D31629A}" type="parTrans" cxnId="{991FEDC4-4CB8-4EAD-91D3-8E87C46B3416}">
      <dgm:prSet/>
      <dgm:spPr/>
      <dgm:t>
        <a:bodyPr/>
        <a:lstStyle/>
        <a:p>
          <a:endParaRPr lang="en-AU"/>
        </a:p>
      </dgm:t>
    </dgm:pt>
    <dgm:pt modelId="{F6CBF164-CA7B-4ADF-B4AF-5C78106A7ADF}" type="sibTrans" cxnId="{991FEDC4-4CB8-4EAD-91D3-8E87C46B3416}">
      <dgm:prSet/>
      <dgm:spPr/>
      <dgm:t>
        <a:bodyPr/>
        <a:lstStyle/>
        <a:p>
          <a:endParaRPr lang="en-AU"/>
        </a:p>
      </dgm:t>
    </dgm:pt>
    <dgm:pt modelId="{B8FB1687-C350-4460-9CDD-85E19336EBAE}">
      <dgm:prSet phldrT="[Text]" custT="1"/>
      <dgm:spPr/>
      <dgm:t>
        <a:bodyPr/>
        <a:lstStyle/>
        <a:p>
          <a:r>
            <a:rPr lang="en-AU" sz="900">
              <a:latin typeface="VIC" panose="00000500000000000000" pitchFamily="2" charset="0"/>
            </a:rPr>
            <a:t>Work together to compromise and problem solve. </a:t>
          </a:r>
        </a:p>
      </dgm:t>
    </dgm:pt>
    <dgm:pt modelId="{5EC34551-DE8E-483C-B4E7-6FF0444FAB11}" type="parTrans" cxnId="{7554CB77-97B6-4343-B31E-AFE1B3983E02}">
      <dgm:prSet/>
      <dgm:spPr/>
      <dgm:t>
        <a:bodyPr/>
        <a:lstStyle/>
        <a:p>
          <a:endParaRPr lang="en-AU"/>
        </a:p>
      </dgm:t>
    </dgm:pt>
    <dgm:pt modelId="{AB054427-C782-4E5F-BD59-0B145B17EA33}" type="sibTrans" cxnId="{7554CB77-97B6-4343-B31E-AFE1B3983E02}">
      <dgm:prSet/>
      <dgm:spPr/>
      <dgm:t>
        <a:bodyPr/>
        <a:lstStyle/>
        <a:p>
          <a:endParaRPr lang="en-AU"/>
        </a:p>
      </dgm:t>
    </dgm:pt>
    <dgm:pt modelId="{B9433906-08BD-428A-96E8-AEF51489CC0B}">
      <dgm:prSet phldrT="[Text]" custT="1"/>
      <dgm:spPr/>
      <dgm:t>
        <a:bodyPr/>
        <a:lstStyle/>
        <a:p>
          <a:r>
            <a:rPr lang="en-AU" sz="900">
              <a:latin typeface="VIC" panose="00000500000000000000" pitchFamily="2" charset="0"/>
            </a:rPr>
            <a:t>Create a safe and helpful communciation space.</a:t>
          </a:r>
        </a:p>
      </dgm:t>
    </dgm:pt>
    <dgm:pt modelId="{9F72AD5D-FCD8-486B-A367-9B0BF166FCEA}" type="parTrans" cxnId="{9E2630F1-C1B2-44BA-AD53-B212E2B2E4D8}">
      <dgm:prSet/>
      <dgm:spPr/>
      <dgm:t>
        <a:bodyPr/>
        <a:lstStyle/>
        <a:p>
          <a:endParaRPr lang="en-AU"/>
        </a:p>
      </dgm:t>
    </dgm:pt>
    <dgm:pt modelId="{7A4613A8-AA3E-49F5-AA4A-203BBA9AB398}" type="sibTrans" cxnId="{9E2630F1-C1B2-44BA-AD53-B212E2B2E4D8}">
      <dgm:prSet/>
      <dgm:spPr/>
      <dgm:t>
        <a:bodyPr/>
        <a:lstStyle/>
        <a:p>
          <a:endParaRPr lang="en-AU"/>
        </a:p>
      </dgm:t>
    </dgm:pt>
    <dgm:pt modelId="{3A914B09-F051-44C2-B72E-8E54094DED22}">
      <dgm:prSet phldrT="[Text]" custT="1"/>
      <dgm:spPr/>
      <dgm:t>
        <a:bodyPr/>
        <a:lstStyle/>
        <a:p>
          <a:r>
            <a:rPr lang="en-AU" sz="900">
              <a:latin typeface="VIC" panose="00000500000000000000" pitchFamily="2" charset="0"/>
            </a:rPr>
            <a:t>Invite a conversation.</a:t>
          </a:r>
        </a:p>
      </dgm:t>
    </dgm:pt>
    <dgm:pt modelId="{79E82541-C8A1-4F62-8DC9-76B527658303}" type="parTrans" cxnId="{EF9B29D0-97BD-4D3D-9C46-DDC8EB3498FB}">
      <dgm:prSet/>
      <dgm:spPr/>
      <dgm:t>
        <a:bodyPr/>
        <a:lstStyle/>
        <a:p>
          <a:endParaRPr lang="en-AU"/>
        </a:p>
      </dgm:t>
    </dgm:pt>
    <dgm:pt modelId="{F136D22C-D74F-4518-90F0-6D7B0F24C899}" type="sibTrans" cxnId="{EF9B29D0-97BD-4D3D-9C46-DDC8EB3498FB}">
      <dgm:prSet/>
      <dgm:spPr/>
      <dgm:t>
        <a:bodyPr/>
        <a:lstStyle/>
        <a:p>
          <a:endParaRPr lang="en-AU"/>
        </a:p>
      </dgm:t>
    </dgm:pt>
    <dgm:pt modelId="{2D6A522D-5D74-4B28-81F1-9D74E82F2EC6}">
      <dgm:prSet phldrT="[Text]" custT="1"/>
      <dgm:spPr/>
      <dgm:t>
        <a:bodyPr/>
        <a:lstStyle/>
        <a:p>
          <a:r>
            <a:rPr lang="en-AU" sz="900">
              <a:latin typeface="VIC" panose="00000500000000000000" pitchFamily="2" charset="0"/>
            </a:rPr>
            <a:t>Use each other's names.</a:t>
          </a:r>
        </a:p>
      </dgm:t>
    </dgm:pt>
    <dgm:pt modelId="{F7443742-778D-4B6F-8078-5AE3C39E01BA}" type="parTrans" cxnId="{6630512B-7322-4B33-ABB0-EA806417B279}">
      <dgm:prSet/>
      <dgm:spPr/>
      <dgm:t>
        <a:bodyPr/>
        <a:lstStyle/>
        <a:p>
          <a:endParaRPr lang="en-AU"/>
        </a:p>
      </dgm:t>
    </dgm:pt>
    <dgm:pt modelId="{C9439A59-44EE-4801-9A27-BF57E94050F4}" type="sibTrans" cxnId="{6630512B-7322-4B33-ABB0-EA806417B279}">
      <dgm:prSet/>
      <dgm:spPr/>
      <dgm:t>
        <a:bodyPr/>
        <a:lstStyle/>
        <a:p>
          <a:endParaRPr lang="en-AU"/>
        </a:p>
      </dgm:t>
    </dgm:pt>
    <dgm:pt modelId="{379D6DEE-76C3-4627-9702-955D632D8640}">
      <dgm:prSet phldrT="[Text]" custT="1"/>
      <dgm:spPr/>
      <dgm:t>
        <a:bodyPr/>
        <a:lstStyle/>
        <a:p>
          <a:r>
            <a:rPr lang="en-AU" sz="900">
              <a:latin typeface="VIC" panose="00000500000000000000" pitchFamily="2" charset="0"/>
            </a:rPr>
            <a:t>Ask open-ended questions to learn what is happening.</a:t>
          </a:r>
        </a:p>
      </dgm:t>
    </dgm:pt>
    <dgm:pt modelId="{3610FF41-25B4-4C28-AD8F-321E5BD65CFA}" type="parTrans" cxnId="{41FFBE47-9B79-4E46-AC50-78A3AEBB3743}">
      <dgm:prSet/>
      <dgm:spPr/>
      <dgm:t>
        <a:bodyPr/>
        <a:lstStyle/>
        <a:p>
          <a:endParaRPr lang="en-AU"/>
        </a:p>
      </dgm:t>
    </dgm:pt>
    <dgm:pt modelId="{68453970-FA1B-45D9-BCF9-B02382355A5B}" type="sibTrans" cxnId="{41FFBE47-9B79-4E46-AC50-78A3AEBB3743}">
      <dgm:prSet/>
      <dgm:spPr/>
      <dgm:t>
        <a:bodyPr/>
        <a:lstStyle/>
        <a:p>
          <a:endParaRPr lang="en-AU"/>
        </a:p>
      </dgm:t>
    </dgm:pt>
    <dgm:pt modelId="{FC7A8093-77DB-415D-8713-FAF96A01E00A}">
      <dgm:prSet phldrT="[Text]" custT="1"/>
      <dgm:spPr/>
      <dgm:t>
        <a:bodyPr/>
        <a:lstStyle/>
        <a:p>
          <a:r>
            <a:rPr lang="en-AU" sz="900">
              <a:latin typeface="VIC" panose="00000500000000000000" pitchFamily="2" charset="0"/>
            </a:rPr>
            <a:t>Use simple words.</a:t>
          </a:r>
        </a:p>
      </dgm:t>
    </dgm:pt>
    <dgm:pt modelId="{1A6F0DD0-FA98-407A-9B60-45D0789F3E98}" type="parTrans" cxnId="{64A88549-7CE5-4EEE-A33F-CDD2BF6FE204}">
      <dgm:prSet/>
      <dgm:spPr/>
      <dgm:t>
        <a:bodyPr/>
        <a:lstStyle/>
        <a:p>
          <a:endParaRPr lang="en-AU"/>
        </a:p>
      </dgm:t>
    </dgm:pt>
    <dgm:pt modelId="{344613CA-7340-45FD-A066-3F3A756D223E}" type="sibTrans" cxnId="{64A88549-7CE5-4EEE-A33F-CDD2BF6FE204}">
      <dgm:prSet/>
      <dgm:spPr/>
      <dgm:t>
        <a:bodyPr/>
        <a:lstStyle/>
        <a:p>
          <a:endParaRPr lang="en-AU"/>
        </a:p>
      </dgm:t>
    </dgm:pt>
    <dgm:pt modelId="{A60E9812-3BB8-4B17-BA19-25A45A760D94}">
      <dgm:prSet phldrT="[Text]" custT="1"/>
      <dgm:spPr/>
      <dgm:t>
        <a:bodyPr/>
        <a:lstStyle/>
        <a:p>
          <a:r>
            <a:rPr lang="en-AU" sz="900">
              <a:latin typeface="VIC" panose="00000500000000000000" pitchFamily="2" charset="0"/>
            </a:rPr>
            <a:t>Repeat, paraphrase and check understanding.</a:t>
          </a:r>
        </a:p>
      </dgm:t>
    </dgm:pt>
    <dgm:pt modelId="{311CBA63-4411-4507-8D18-AE687E7F38F9}" type="parTrans" cxnId="{8003EB5B-0AEB-483C-B779-30B4CFA8A7A6}">
      <dgm:prSet/>
      <dgm:spPr/>
      <dgm:t>
        <a:bodyPr/>
        <a:lstStyle/>
        <a:p>
          <a:endParaRPr lang="en-AU"/>
        </a:p>
      </dgm:t>
    </dgm:pt>
    <dgm:pt modelId="{FB4B7F7E-CBE8-4354-90E8-A6045D50B563}" type="sibTrans" cxnId="{8003EB5B-0AEB-483C-B779-30B4CFA8A7A6}">
      <dgm:prSet/>
      <dgm:spPr/>
      <dgm:t>
        <a:bodyPr/>
        <a:lstStyle/>
        <a:p>
          <a:endParaRPr lang="en-AU"/>
        </a:p>
      </dgm:t>
    </dgm:pt>
    <dgm:pt modelId="{01F94722-2390-45B4-8586-1A4631A90E8F}">
      <dgm:prSet phldrT="[Text]" custT="1"/>
      <dgm:spPr/>
      <dgm:t>
        <a:bodyPr/>
        <a:lstStyle/>
        <a:p>
          <a:r>
            <a:rPr lang="en-AU" sz="900">
              <a:latin typeface="VIC" panose="00000500000000000000" pitchFamily="2" charset="0"/>
            </a:rPr>
            <a:t>Answer questions.</a:t>
          </a:r>
        </a:p>
      </dgm:t>
    </dgm:pt>
    <dgm:pt modelId="{548CFB16-2788-4183-B99B-87A9D183257F}" type="parTrans" cxnId="{0FB09C66-95E0-44AB-B9AF-315B98D72719}">
      <dgm:prSet/>
      <dgm:spPr/>
      <dgm:t>
        <a:bodyPr/>
        <a:lstStyle/>
        <a:p>
          <a:endParaRPr lang="en-AU"/>
        </a:p>
      </dgm:t>
    </dgm:pt>
    <dgm:pt modelId="{8C151D14-9392-4531-9F23-13C113646A64}" type="sibTrans" cxnId="{0FB09C66-95E0-44AB-B9AF-315B98D72719}">
      <dgm:prSet/>
      <dgm:spPr/>
      <dgm:t>
        <a:bodyPr/>
        <a:lstStyle/>
        <a:p>
          <a:endParaRPr lang="en-AU"/>
        </a:p>
      </dgm:t>
    </dgm:pt>
    <dgm:pt modelId="{C003C8DD-C5B3-48EC-BACD-E96E4B9B7098}">
      <dgm:prSet phldrT="[Text]" custT="1"/>
      <dgm:spPr/>
      <dgm:t>
        <a:bodyPr/>
        <a:lstStyle/>
        <a:p>
          <a:r>
            <a:rPr lang="en-AU" sz="900">
              <a:latin typeface="VIC" panose="00000500000000000000" pitchFamily="2" charset="0"/>
            </a:rPr>
            <a:t>Clarify misunderstandings.</a:t>
          </a:r>
        </a:p>
      </dgm:t>
    </dgm:pt>
    <dgm:pt modelId="{A188D298-B981-424B-A947-5B028D8BA0BE}" type="parTrans" cxnId="{050434B5-1CBF-4973-AAA4-74376ADCD222}">
      <dgm:prSet/>
      <dgm:spPr/>
      <dgm:t>
        <a:bodyPr/>
        <a:lstStyle/>
        <a:p>
          <a:endParaRPr lang="en-AU"/>
        </a:p>
      </dgm:t>
    </dgm:pt>
    <dgm:pt modelId="{C21483CD-2729-4D02-9265-EFAF587BFB0C}" type="sibTrans" cxnId="{050434B5-1CBF-4973-AAA4-74376ADCD222}">
      <dgm:prSet/>
      <dgm:spPr/>
      <dgm:t>
        <a:bodyPr/>
        <a:lstStyle/>
        <a:p>
          <a:endParaRPr lang="en-AU"/>
        </a:p>
      </dgm:t>
    </dgm:pt>
    <dgm:pt modelId="{F9F8FF74-04E9-4D99-9F42-037AA52E8DB8}">
      <dgm:prSet phldrT="[Text]" custT="1"/>
      <dgm:spPr/>
      <dgm:t>
        <a:bodyPr/>
        <a:lstStyle/>
        <a:p>
          <a:r>
            <a:rPr lang="en-AU" sz="900">
              <a:latin typeface="VIC" panose="00000500000000000000" pitchFamily="2" charset="0"/>
            </a:rPr>
            <a:t>Be flexible.</a:t>
          </a:r>
        </a:p>
      </dgm:t>
    </dgm:pt>
    <dgm:pt modelId="{6B04CD7B-4EFD-457F-917E-AC596437F468}" type="parTrans" cxnId="{A85F765F-E181-4FC1-9AA0-9BC6B84871C3}">
      <dgm:prSet/>
      <dgm:spPr/>
      <dgm:t>
        <a:bodyPr/>
        <a:lstStyle/>
        <a:p>
          <a:endParaRPr lang="en-AU"/>
        </a:p>
      </dgm:t>
    </dgm:pt>
    <dgm:pt modelId="{73310386-A57F-4313-9B66-5F1995C7CD03}" type="sibTrans" cxnId="{A85F765F-E181-4FC1-9AA0-9BC6B84871C3}">
      <dgm:prSet/>
      <dgm:spPr/>
      <dgm:t>
        <a:bodyPr/>
        <a:lstStyle/>
        <a:p>
          <a:endParaRPr lang="en-AU"/>
        </a:p>
      </dgm:t>
    </dgm:pt>
    <dgm:pt modelId="{92431D7D-988E-4099-82FE-E38C1CCFF94D}">
      <dgm:prSet phldrT="[Text]" custT="1"/>
      <dgm:spPr/>
      <dgm:t>
        <a:bodyPr/>
        <a:lstStyle/>
        <a:p>
          <a:r>
            <a:rPr lang="en-AU" sz="900">
              <a:latin typeface="VIC" panose="00000500000000000000" pitchFamily="2" charset="0"/>
            </a:rPr>
            <a:t>Offer realistic choices and options. </a:t>
          </a:r>
        </a:p>
      </dgm:t>
    </dgm:pt>
    <dgm:pt modelId="{309B6A40-FF1F-46D1-A309-2EBD60A7F67D}" type="parTrans" cxnId="{37BCFD0D-9CE3-49BB-8808-F8E5E37D08BB}">
      <dgm:prSet/>
      <dgm:spPr/>
      <dgm:t>
        <a:bodyPr/>
        <a:lstStyle/>
        <a:p>
          <a:endParaRPr lang="en-AU"/>
        </a:p>
      </dgm:t>
    </dgm:pt>
    <dgm:pt modelId="{3C64C511-C9C6-40C6-A2B6-B91BB5D82414}" type="sibTrans" cxnId="{37BCFD0D-9CE3-49BB-8808-F8E5E37D08BB}">
      <dgm:prSet/>
      <dgm:spPr/>
      <dgm:t>
        <a:bodyPr/>
        <a:lstStyle/>
        <a:p>
          <a:endParaRPr lang="en-AU"/>
        </a:p>
      </dgm:t>
    </dgm:pt>
    <dgm:pt modelId="{A11F7248-A84C-4242-8EB4-7A962312FA29}">
      <dgm:prSet phldrT="[Text]" custT="1"/>
      <dgm:spPr/>
      <dgm:t>
        <a:bodyPr/>
        <a:lstStyle/>
        <a:p>
          <a:r>
            <a:rPr lang="en-AU" sz="900">
              <a:latin typeface="VIC" panose="00000500000000000000" pitchFamily="2" charset="0"/>
            </a:rPr>
            <a:t>Explain and give reasons for rules and decisions. </a:t>
          </a:r>
        </a:p>
      </dgm:t>
    </dgm:pt>
    <dgm:pt modelId="{AA2B0702-1F41-4DB1-9F2B-EC99CF0E0AE7}" type="parTrans" cxnId="{4D8DA6D4-526E-4630-B6A1-E5128E8C59B5}">
      <dgm:prSet/>
      <dgm:spPr/>
      <dgm:t>
        <a:bodyPr/>
        <a:lstStyle/>
        <a:p>
          <a:endParaRPr lang="en-AU"/>
        </a:p>
      </dgm:t>
    </dgm:pt>
    <dgm:pt modelId="{583DB4C9-429D-4191-82DB-6473B6E0B9CB}" type="sibTrans" cxnId="{4D8DA6D4-526E-4630-B6A1-E5128E8C59B5}">
      <dgm:prSet/>
      <dgm:spPr/>
      <dgm:t>
        <a:bodyPr/>
        <a:lstStyle/>
        <a:p>
          <a:endParaRPr lang="en-AU"/>
        </a:p>
      </dgm:t>
    </dgm:pt>
    <dgm:pt modelId="{368A197B-BDC6-4E03-802B-24C068F2964A}">
      <dgm:prSet phldrT="[Text]" custT="1"/>
      <dgm:spPr/>
      <dgm:t>
        <a:bodyPr/>
        <a:lstStyle/>
        <a:p>
          <a:r>
            <a:rPr lang="en-AU" sz="900">
              <a:latin typeface="VIC" panose="00000500000000000000" pitchFamily="2" charset="0"/>
            </a:rPr>
            <a:t>Ask: 'Is there anything I can do to help us work through this together?'</a:t>
          </a:r>
        </a:p>
      </dgm:t>
    </dgm:pt>
    <dgm:pt modelId="{D323AE6D-1841-4C06-B91D-5FCB20103441}" type="parTrans" cxnId="{09CBC80D-35C3-43E3-8E8D-F071FB336C9B}">
      <dgm:prSet/>
      <dgm:spPr/>
      <dgm:t>
        <a:bodyPr/>
        <a:lstStyle/>
        <a:p>
          <a:endParaRPr lang="en-AU"/>
        </a:p>
      </dgm:t>
    </dgm:pt>
    <dgm:pt modelId="{8BCD6EBA-1723-48A9-8AE2-8F097D7D0211}" type="sibTrans" cxnId="{09CBC80D-35C3-43E3-8E8D-F071FB336C9B}">
      <dgm:prSet/>
      <dgm:spPr/>
      <dgm:t>
        <a:bodyPr/>
        <a:lstStyle/>
        <a:p>
          <a:endParaRPr lang="en-AU"/>
        </a:p>
      </dgm:t>
    </dgm:pt>
    <dgm:pt modelId="{5462EEEA-F4A5-4C6A-A1CD-E6BF11DAA745}">
      <dgm:prSet phldrT="[Text]" custT="1"/>
      <dgm:spPr/>
      <dgm:t>
        <a:bodyPr/>
        <a:lstStyle/>
        <a:p>
          <a:r>
            <a:rPr lang="en-AU" sz="900">
              <a:latin typeface="VIC" panose="00000500000000000000" pitchFamily="2" charset="0"/>
            </a:rPr>
            <a:t>Explain that you are here to help and that you will work together to make the person feel safe.</a:t>
          </a:r>
        </a:p>
      </dgm:t>
    </dgm:pt>
    <dgm:pt modelId="{509F8785-217B-46E8-9F6D-BA21BF96DC80}" type="parTrans" cxnId="{679E406C-50AF-40C3-B11A-63A738319BA1}">
      <dgm:prSet/>
      <dgm:spPr/>
      <dgm:t>
        <a:bodyPr/>
        <a:lstStyle/>
        <a:p>
          <a:endParaRPr lang="en-AU"/>
        </a:p>
      </dgm:t>
    </dgm:pt>
    <dgm:pt modelId="{E0AF1561-2224-46E9-B756-0CEE02659315}" type="sibTrans" cxnId="{679E406C-50AF-40C3-B11A-63A738319BA1}">
      <dgm:prSet/>
      <dgm:spPr/>
      <dgm:t>
        <a:bodyPr/>
        <a:lstStyle/>
        <a:p>
          <a:endParaRPr lang="en-AU"/>
        </a:p>
      </dgm:t>
    </dgm:pt>
    <dgm:pt modelId="{BBDDF803-A0F7-4B66-8584-138DF55D7D6E}">
      <dgm:prSet phldrT="[Text]" custT="1"/>
      <dgm:spPr/>
      <dgm:t>
        <a:bodyPr/>
        <a:lstStyle/>
        <a:p>
          <a:r>
            <a:rPr lang="en-AU" sz="900">
              <a:latin typeface="VIC" panose="00000500000000000000" pitchFamily="2" charset="0"/>
            </a:rPr>
            <a:t>Speak in short sentences.</a:t>
          </a:r>
        </a:p>
      </dgm:t>
    </dgm:pt>
    <dgm:pt modelId="{C3A974CA-19EF-45D2-9A62-7084AEB19186}" type="parTrans" cxnId="{5571A20B-4110-4EA3-8E24-089D2E8B3DA1}">
      <dgm:prSet/>
      <dgm:spPr/>
      <dgm:t>
        <a:bodyPr/>
        <a:lstStyle/>
        <a:p>
          <a:endParaRPr lang="en-AU"/>
        </a:p>
      </dgm:t>
    </dgm:pt>
    <dgm:pt modelId="{A97D4ED2-0173-403E-9595-0EA219248EFA}" type="sibTrans" cxnId="{5571A20B-4110-4EA3-8E24-089D2E8B3DA1}">
      <dgm:prSet/>
      <dgm:spPr/>
      <dgm:t>
        <a:bodyPr/>
        <a:lstStyle/>
        <a:p>
          <a:endParaRPr lang="en-AU"/>
        </a:p>
      </dgm:t>
    </dgm:pt>
    <dgm:pt modelId="{5EC0D00A-A821-4FCB-B9D3-C6D3545B2573}">
      <dgm:prSet phldrT="[Text]" custT="1"/>
      <dgm:spPr/>
      <dgm:t>
        <a:bodyPr/>
        <a:lstStyle/>
        <a:p>
          <a:r>
            <a:rPr lang="en-AU" sz="900">
              <a:latin typeface="VIC" panose="00000500000000000000" pitchFamily="2" charset="0"/>
            </a:rPr>
            <a:t>Introduce yourself.</a:t>
          </a:r>
        </a:p>
      </dgm:t>
    </dgm:pt>
    <dgm:pt modelId="{4FBB339D-8523-4485-A644-5CA4C6644CC9}" type="parTrans" cxnId="{5CEA3035-71B1-475E-B7C3-C64E67E63936}">
      <dgm:prSet/>
      <dgm:spPr/>
      <dgm:t>
        <a:bodyPr/>
        <a:lstStyle/>
        <a:p>
          <a:endParaRPr lang="en-AU"/>
        </a:p>
      </dgm:t>
    </dgm:pt>
    <dgm:pt modelId="{E8287F89-F71F-43F4-9FCB-B5D24DB00B45}" type="sibTrans" cxnId="{5CEA3035-71B1-475E-B7C3-C64E67E63936}">
      <dgm:prSet/>
      <dgm:spPr/>
      <dgm:t>
        <a:bodyPr/>
        <a:lstStyle/>
        <a:p>
          <a:endParaRPr lang="en-AU"/>
        </a:p>
      </dgm:t>
    </dgm:pt>
    <dgm:pt modelId="{8DC42E0E-0328-44DB-8B96-7F417AD61888}">
      <dgm:prSet phldrT="[Text]" custT="1"/>
      <dgm:spPr/>
      <dgm:t>
        <a:bodyPr/>
        <a:lstStyle/>
        <a:p>
          <a:r>
            <a:rPr lang="en-AU" sz="900">
              <a:latin typeface="VIC" panose="00000500000000000000" pitchFamily="2" charset="0"/>
            </a:rPr>
            <a:t>Tell another team member where you are going.</a:t>
          </a:r>
        </a:p>
      </dgm:t>
    </dgm:pt>
    <dgm:pt modelId="{82917E70-CBB4-4520-9416-BA3115D42A9E}" type="parTrans" cxnId="{66E41D64-39D1-4246-9EF1-459F291D78D4}">
      <dgm:prSet/>
      <dgm:spPr/>
      <dgm:t>
        <a:bodyPr/>
        <a:lstStyle/>
        <a:p>
          <a:endParaRPr lang="en-AU"/>
        </a:p>
      </dgm:t>
    </dgm:pt>
    <dgm:pt modelId="{7FF9A8A4-D0B7-448F-986D-84E4F3E75759}" type="sibTrans" cxnId="{66E41D64-39D1-4246-9EF1-459F291D78D4}">
      <dgm:prSet/>
      <dgm:spPr/>
      <dgm:t>
        <a:bodyPr/>
        <a:lstStyle/>
        <a:p>
          <a:endParaRPr lang="en-AU"/>
        </a:p>
      </dgm:t>
    </dgm:pt>
    <dgm:pt modelId="{BCF36C73-4171-41E9-9F2A-7D8D9F9F86AF}">
      <dgm:prSet phldrT="[Text]" custT="1"/>
      <dgm:spPr/>
      <dgm:t>
        <a:bodyPr/>
        <a:lstStyle/>
        <a:p>
          <a:r>
            <a:rPr lang="en-AU" sz="900">
              <a:latin typeface="VIC" panose="00000500000000000000" pitchFamily="2" charset="0"/>
            </a:rPr>
            <a:t>Ask: 'What can I do to help you feel safe here?'</a:t>
          </a:r>
        </a:p>
      </dgm:t>
    </dgm:pt>
    <dgm:pt modelId="{48D4D397-DE6C-4FA9-805E-706097D3497F}" type="parTrans" cxnId="{EC5AA88C-EC37-4288-9161-7FB42BC5CBD2}">
      <dgm:prSet/>
      <dgm:spPr/>
      <dgm:t>
        <a:bodyPr/>
        <a:lstStyle/>
        <a:p>
          <a:endParaRPr lang="en-AU"/>
        </a:p>
      </dgm:t>
    </dgm:pt>
    <dgm:pt modelId="{775268D4-CDA7-43EF-8DBE-12374811DF1B}" type="sibTrans" cxnId="{EC5AA88C-EC37-4288-9161-7FB42BC5CBD2}">
      <dgm:prSet/>
      <dgm:spPr/>
      <dgm:t>
        <a:bodyPr/>
        <a:lstStyle/>
        <a:p>
          <a:endParaRPr lang="en-AU"/>
        </a:p>
      </dgm:t>
    </dgm:pt>
    <dgm:pt modelId="{A5450D24-37FB-4A30-94FD-5A21B5597693}" type="pres">
      <dgm:prSet presAssocID="{1E28697A-4ED0-476B-8574-9B7B831B1752}" presName="linearFlow" presStyleCnt="0">
        <dgm:presLayoutVars>
          <dgm:dir/>
          <dgm:animLvl val="lvl"/>
          <dgm:resizeHandles val="exact"/>
        </dgm:presLayoutVars>
      </dgm:prSet>
      <dgm:spPr/>
    </dgm:pt>
    <dgm:pt modelId="{5CBD69DF-B328-444A-AC85-10A0E7DDF033}" type="pres">
      <dgm:prSet presAssocID="{53825F59-5A5C-4BB4-8A15-33C400702D4E}" presName="composite" presStyleCnt="0"/>
      <dgm:spPr/>
    </dgm:pt>
    <dgm:pt modelId="{FBA55DBB-D4E7-4075-B467-AC8FF49C6ACD}" type="pres">
      <dgm:prSet presAssocID="{53825F59-5A5C-4BB4-8A15-33C400702D4E}" presName="parTx" presStyleLbl="node1" presStyleIdx="0" presStyleCnt="3">
        <dgm:presLayoutVars>
          <dgm:chMax val="0"/>
          <dgm:chPref val="0"/>
          <dgm:bulletEnabled val="1"/>
        </dgm:presLayoutVars>
      </dgm:prSet>
      <dgm:spPr/>
    </dgm:pt>
    <dgm:pt modelId="{8CC59564-E5CF-4FE9-BFE0-8CDBC933BAAA}" type="pres">
      <dgm:prSet presAssocID="{53825F59-5A5C-4BB4-8A15-33C400702D4E}" presName="parSh" presStyleLbl="node1" presStyleIdx="0" presStyleCnt="3"/>
      <dgm:spPr/>
    </dgm:pt>
    <dgm:pt modelId="{B1B50710-08C1-4056-8CAB-6D226B04F092}" type="pres">
      <dgm:prSet presAssocID="{53825F59-5A5C-4BB4-8A15-33C400702D4E}" presName="desTx" presStyleLbl="fgAcc1" presStyleIdx="0" presStyleCnt="3" custScaleX="130881" custScaleY="91475" custLinFactNeighborY="7068">
        <dgm:presLayoutVars>
          <dgm:bulletEnabled val="1"/>
        </dgm:presLayoutVars>
      </dgm:prSet>
      <dgm:spPr/>
    </dgm:pt>
    <dgm:pt modelId="{BB38B19A-25F2-440E-84CE-D8AFBCD4F9EC}" type="pres">
      <dgm:prSet presAssocID="{1F091CEB-1022-47BD-A202-E4189F96CC4C}" presName="sibTrans" presStyleLbl="sibTrans2D1" presStyleIdx="0" presStyleCnt="2"/>
      <dgm:spPr/>
    </dgm:pt>
    <dgm:pt modelId="{803AB3C8-E118-4321-AF24-BC0DA263062D}" type="pres">
      <dgm:prSet presAssocID="{1F091CEB-1022-47BD-A202-E4189F96CC4C}" presName="connTx" presStyleLbl="sibTrans2D1" presStyleIdx="0" presStyleCnt="2"/>
      <dgm:spPr/>
    </dgm:pt>
    <dgm:pt modelId="{DB8FDCB3-E948-49E3-BCC1-96C8B3AA7170}" type="pres">
      <dgm:prSet presAssocID="{BBCC1449-F694-44E3-9D15-FC2A0FF25779}" presName="composite" presStyleCnt="0"/>
      <dgm:spPr/>
    </dgm:pt>
    <dgm:pt modelId="{1671599B-7D4C-471C-951E-528F6FB00608}" type="pres">
      <dgm:prSet presAssocID="{BBCC1449-F694-44E3-9D15-FC2A0FF25779}" presName="parTx" presStyleLbl="node1" presStyleIdx="0" presStyleCnt="3">
        <dgm:presLayoutVars>
          <dgm:chMax val="0"/>
          <dgm:chPref val="0"/>
          <dgm:bulletEnabled val="1"/>
        </dgm:presLayoutVars>
      </dgm:prSet>
      <dgm:spPr/>
    </dgm:pt>
    <dgm:pt modelId="{B6F64F12-38D3-447C-99EA-CD9F4E4122AF}" type="pres">
      <dgm:prSet presAssocID="{BBCC1449-F694-44E3-9D15-FC2A0FF25779}" presName="parSh" presStyleLbl="node1" presStyleIdx="1" presStyleCnt="3" custScaleX="118415"/>
      <dgm:spPr/>
    </dgm:pt>
    <dgm:pt modelId="{DBB93EA8-9F92-452C-92D3-02F4C7C9ABC4}" type="pres">
      <dgm:prSet presAssocID="{BBCC1449-F694-44E3-9D15-FC2A0FF25779}" presName="desTx" presStyleLbl="fgAcc1" presStyleIdx="1" presStyleCnt="3" custScaleX="130623" custScaleY="91475" custLinFactNeighborY="7068">
        <dgm:presLayoutVars>
          <dgm:bulletEnabled val="1"/>
        </dgm:presLayoutVars>
      </dgm:prSet>
      <dgm:spPr/>
    </dgm:pt>
    <dgm:pt modelId="{E6F2BA83-E0E7-4004-8B66-FFE6F11173CC}" type="pres">
      <dgm:prSet presAssocID="{A3086D61-1744-4890-ABE6-0F76726852F2}" presName="sibTrans" presStyleLbl="sibTrans2D1" presStyleIdx="1" presStyleCnt="2"/>
      <dgm:spPr/>
    </dgm:pt>
    <dgm:pt modelId="{2A175EE4-44B1-4F09-B248-1230451182AC}" type="pres">
      <dgm:prSet presAssocID="{A3086D61-1744-4890-ABE6-0F76726852F2}" presName="connTx" presStyleLbl="sibTrans2D1" presStyleIdx="1" presStyleCnt="2"/>
      <dgm:spPr/>
    </dgm:pt>
    <dgm:pt modelId="{978DBC4D-65A3-47CF-98C8-EC68597CDFF6}" type="pres">
      <dgm:prSet presAssocID="{F76A65C9-7B37-4791-981D-EAA76549A55B}" presName="composite" presStyleCnt="0"/>
      <dgm:spPr/>
    </dgm:pt>
    <dgm:pt modelId="{766327B5-0054-4062-A958-B8E52209D572}" type="pres">
      <dgm:prSet presAssocID="{F76A65C9-7B37-4791-981D-EAA76549A55B}" presName="parTx" presStyleLbl="node1" presStyleIdx="1" presStyleCnt="3">
        <dgm:presLayoutVars>
          <dgm:chMax val="0"/>
          <dgm:chPref val="0"/>
          <dgm:bulletEnabled val="1"/>
        </dgm:presLayoutVars>
      </dgm:prSet>
      <dgm:spPr/>
    </dgm:pt>
    <dgm:pt modelId="{ACA664C5-B343-410D-8148-2ECC67BDE799}" type="pres">
      <dgm:prSet presAssocID="{F76A65C9-7B37-4791-981D-EAA76549A55B}" presName="parSh" presStyleLbl="node1" presStyleIdx="2" presStyleCnt="3"/>
      <dgm:spPr/>
    </dgm:pt>
    <dgm:pt modelId="{DC1D8EBE-AB99-4934-B1D1-48EAEF450F2E}" type="pres">
      <dgm:prSet presAssocID="{F76A65C9-7B37-4791-981D-EAA76549A55B}" presName="desTx" presStyleLbl="fgAcc1" presStyleIdx="2" presStyleCnt="3" custScaleX="133386" custScaleY="91475" custLinFactNeighborY="7207">
        <dgm:presLayoutVars>
          <dgm:bulletEnabled val="1"/>
        </dgm:presLayoutVars>
      </dgm:prSet>
      <dgm:spPr/>
    </dgm:pt>
  </dgm:ptLst>
  <dgm:cxnLst>
    <dgm:cxn modelId="{587C0F00-C265-47C5-817F-77ED2F3F7B11}" type="presOf" srcId="{368A197B-BDC6-4E03-802B-24C068F2964A}" destId="{DC1D8EBE-AB99-4934-B1D1-48EAEF450F2E}" srcOrd="0" destOrd="4" presId="urn:microsoft.com/office/officeart/2005/8/layout/process3"/>
    <dgm:cxn modelId="{567E3A05-033B-4642-A8E5-C7795CD42FC1}" type="presOf" srcId="{92431D7D-988E-4099-82FE-E38C1CCFF94D}" destId="{DC1D8EBE-AB99-4934-B1D1-48EAEF450F2E}" srcOrd="0" destOrd="2" presId="urn:microsoft.com/office/officeart/2005/8/layout/process3"/>
    <dgm:cxn modelId="{5571A20B-4110-4EA3-8E24-089D2E8B3DA1}" srcId="{BBCC1449-F694-44E3-9D15-FC2A0FF25779}" destId="{BBDDF803-A0F7-4B66-8584-138DF55D7D6E}" srcOrd="4" destOrd="0" parTransId="{C3A974CA-19EF-45D2-9A62-7084AEB19186}" sibTransId="{A97D4ED2-0173-403E-9595-0EA219248EFA}"/>
    <dgm:cxn modelId="{09CBC80D-35C3-43E3-8E8D-F071FB336C9B}" srcId="{F76A65C9-7B37-4791-981D-EAA76549A55B}" destId="{368A197B-BDC6-4E03-802B-24C068F2964A}" srcOrd="4" destOrd="0" parTransId="{D323AE6D-1841-4C06-B91D-5FCB20103441}" sibTransId="{8BCD6EBA-1723-48A9-8AE2-8F097D7D0211}"/>
    <dgm:cxn modelId="{37BCFD0D-9CE3-49BB-8808-F8E5E37D08BB}" srcId="{F76A65C9-7B37-4791-981D-EAA76549A55B}" destId="{92431D7D-988E-4099-82FE-E38C1CCFF94D}" srcOrd="2" destOrd="0" parTransId="{309B6A40-FF1F-46D1-A309-2EBD60A7F67D}" sibTransId="{3C64C511-C9C6-40C6-A2B6-B91BB5D82414}"/>
    <dgm:cxn modelId="{90A1AB0E-522C-4F2F-BF44-D472AA31979C}" type="presOf" srcId="{A11F7248-A84C-4242-8EB4-7A962312FA29}" destId="{DC1D8EBE-AB99-4934-B1D1-48EAEF450F2E}" srcOrd="0" destOrd="3" presId="urn:microsoft.com/office/officeart/2005/8/layout/process3"/>
    <dgm:cxn modelId="{5AB5111B-9741-41F6-B01A-E988519FFEE0}" type="presOf" srcId="{F76A65C9-7B37-4791-981D-EAA76549A55B}" destId="{ACA664C5-B343-410D-8148-2ECC67BDE799}" srcOrd="1" destOrd="0" presId="urn:microsoft.com/office/officeart/2005/8/layout/process3"/>
    <dgm:cxn modelId="{97EE4620-4360-4872-82EE-1998C1339F48}" type="presOf" srcId="{379D6DEE-76C3-4627-9702-955D632D8640}" destId="{DBB93EA8-9F92-452C-92D3-02F4C7C9ABC4}" srcOrd="0" destOrd="2" presId="urn:microsoft.com/office/officeart/2005/8/layout/process3"/>
    <dgm:cxn modelId="{6630512B-7322-4B33-ABB0-EA806417B279}" srcId="{BBCC1449-F694-44E3-9D15-FC2A0FF25779}" destId="{2D6A522D-5D74-4B28-81F1-9D74E82F2EC6}" srcOrd="1" destOrd="0" parTransId="{F7443742-778D-4B6F-8078-5AE3C39E01BA}" sibTransId="{C9439A59-44EE-4801-9A27-BF57E94050F4}"/>
    <dgm:cxn modelId="{3F9BDE33-97EC-4818-A2D9-385C694D1928}" srcId="{1E28697A-4ED0-476B-8574-9B7B831B1752}" destId="{BBCC1449-F694-44E3-9D15-FC2A0FF25779}" srcOrd="1" destOrd="0" parTransId="{DA44A0C5-A19D-4565-9EA3-E4AA75CED1C3}" sibTransId="{A3086D61-1744-4890-ABE6-0F76726852F2}"/>
    <dgm:cxn modelId="{5CEA3035-71B1-475E-B7C3-C64E67E63936}" srcId="{53825F59-5A5C-4BB4-8A15-33C400702D4E}" destId="{5EC0D00A-A821-4FCB-B9D3-C6D3545B2573}" srcOrd="3" destOrd="0" parTransId="{4FBB339D-8523-4485-A644-5CA4C6644CC9}" sibTransId="{E8287F89-F71F-43F4-9FCB-B5D24DB00B45}"/>
    <dgm:cxn modelId="{A12DCD35-5EAD-44BC-BABA-B6204849C5E5}" srcId="{53825F59-5A5C-4BB4-8A15-33C400702D4E}" destId="{A45B0E1C-4719-41B7-A287-1CFA2CD3A408}" srcOrd="0" destOrd="0" parTransId="{95F15218-5491-4F44-B590-19B99B7FAB16}" sibTransId="{4D01A29E-9454-46BD-B9AA-073E83144372}"/>
    <dgm:cxn modelId="{23B03640-E435-496E-A043-710C18B0C7A6}" type="presOf" srcId="{BCF36C73-4171-41E9-9F2A-7D8D9F9F86AF}" destId="{DC1D8EBE-AB99-4934-B1D1-48EAEF450F2E}" srcOrd="0" destOrd="5" presId="urn:microsoft.com/office/officeart/2005/8/layout/process3"/>
    <dgm:cxn modelId="{8003EB5B-0AEB-483C-B779-30B4CFA8A7A6}" srcId="{BBCC1449-F694-44E3-9D15-FC2A0FF25779}" destId="{A60E9812-3BB8-4B17-BA19-25A45A760D94}" srcOrd="5" destOrd="0" parTransId="{311CBA63-4411-4507-8D18-AE687E7F38F9}" sibTransId="{FB4B7F7E-CBE8-4354-90E8-A6045D50B563}"/>
    <dgm:cxn modelId="{2960A65D-E369-4FAB-AC12-D73E32071A30}" type="presOf" srcId="{1F091CEB-1022-47BD-A202-E4189F96CC4C}" destId="{803AB3C8-E118-4321-AF24-BC0DA263062D}" srcOrd="1" destOrd="0" presId="urn:microsoft.com/office/officeart/2005/8/layout/process3"/>
    <dgm:cxn modelId="{A85F765F-E181-4FC1-9AA0-9BC6B84871C3}" srcId="{F76A65C9-7B37-4791-981D-EAA76549A55B}" destId="{F9F8FF74-04E9-4D99-9F42-037AA52E8DB8}" srcOrd="1" destOrd="0" parTransId="{6B04CD7B-4EFD-457F-917E-AC596437F468}" sibTransId="{73310386-A57F-4313-9B66-5F1995C7CD03}"/>
    <dgm:cxn modelId="{FDC7BE42-F8CF-4193-B816-A510B9241CA5}" type="presOf" srcId="{1E28697A-4ED0-476B-8574-9B7B831B1752}" destId="{A5450D24-37FB-4A30-94FD-5A21B5597693}" srcOrd="0" destOrd="0" presId="urn:microsoft.com/office/officeart/2005/8/layout/process3"/>
    <dgm:cxn modelId="{66E41D64-39D1-4246-9EF1-459F291D78D4}" srcId="{53825F59-5A5C-4BB4-8A15-33C400702D4E}" destId="{8DC42E0E-0328-44DB-8B96-7F417AD61888}" srcOrd="1" destOrd="0" parTransId="{82917E70-CBB4-4520-9416-BA3115D42A9E}" sibTransId="{7FF9A8A4-D0B7-448F-986D-84E4F3E75759}"/>
    <dgm:cxn modelId="{0FB09C66-95E0-44AB-B9AF-315B98D72719}" srcId="{BBCC1449-F694-44E3-9D15-FC2A0FF25779}" destId="{01F94722-2390-45B4-8586-1A4631A90E8F}" srcOrd="6" destOrd="0" parTransId="{548CFB16-2788-4183-B99B-87A9D183257F}" sibTransId="{8C151D14-9392-4531-9F23-13C113646A64}"/>
    <dgm:cxn modelId="{D2D1CC66-60A2-429D-B28C-8B91B3DC49C7}" type="presOf" srcId="{53825F59-5A5C-4BB4-8A15-33C400702D4E}" destId="{FBA55DBB-D4E7-4075-B467-AC8FF49C6ACD}" srcOrd="0" destOrd="0" presId="urn:microsoft.com/office/officeart/2005/8/layout/process3"/>
    <dgm:cxn modelId="{41A8D866-DD3D-4079-9E63-A17AA47DC32B}" type="presOf" srcId="{FC7A8093-77DB-415D-8713-FAF96A01E00A}" destId="{DBB93EA8-9F92-452C-92D3-02F4C7C9ABC4}" srcOrd="0" destOrd="3" presId="urn:microsoft.com/office/officeart/2005/8/layout/process3"/>
    <dgm:cxn modelId="{AB04E066-F450-40C9-B8B7-A9BB2FBF949F}" srcId="{1E28697A-4ED0-476B-8574-9B7B831B1752}" destId="{53825F59-5A5C-4BB4-8A15-33C400702D4E}" srcOrd="0" destOrd="0" parTransId="{199AB908-EFCA-4114-87A0-6E92D261B8DC}" sibTransId="{1F091CEB-1022-47BD-A202-E4189F96CC4C}"/>
    <dgm:cxn modelId="{41FFBE47-9B79-4E46-AC50-78A3AEBB3743}" srcId="{BBCC1449-F694-44E3-9D15-FC2A0FF25779}" destId="{379D6DEE-76C3-4627-9702-955D632D8640}" srcOrd="2" destOrd="0" parTransId="{3610FF41-25B4-4C28-AD8F-321E5BD65CFA}" sibTransId="{68453970-FA1B-45D9-BCF9-B02382355A5B}"/>
    <dgm:cxn modelId="{64A88549-7CE5-4EEE-A33F-CDD2BF6FE204}" srcId="{BBCC1449-F694-44E3-9D15-FC2A0FF25779}" destId="{FC7A8093-77DB-415D-8713-FAF96A01E00A}" srcOrd="3" destOrd="0" parTransId="{1A6F0DD0-FA98-407A-9B60-45D0789F3E98}" sibTransId="{344613CA-7340-45FD-A066-3F3A756D223E}"/>
    <dgm:cxn modelId="{FC8AEB6A-054D-466E-9751-1A5CC3072DA5}" type="presOf" srcId="{A45B0E1C-4719-41B7-A287-1CFA2CD3A408}" destId="{B1B50710-08C1-4056-8CAB-6D226B04F092}" srcOrd="0" destOrd="0" presId="urn:microsoft.com/office/officeart/2005/8/layout/process3"/>
    <dgm:cxn modelId="{679E406C-50AF-40C3-B11A-63A738319BA1}" srcId="{53825F59-5A5C-4BB4-8A15-33C400702D4E}" destId="{5462EEEA-F4A5-4C6A-A1CD-E6BF11DAA745}" srcOrd="5" destOrd="0" parTransId="{509F8785-217B-46E8-9F6D-BA21BF96DC80}" sibTransId="{E0AF1561-2224-46E9-B756-0CEE02659315}"/>
    <dgm:cxn modelId="{43E5AC53-9E53-4D52-88E6-0EB77C2DCE4D}" type="presOf" srcId="{BBDDF803-A0F7-4B66-8584-138DF55D7D6E}" destId="{DBB93EA8-9F92-452C-92D3-02F4C7C9ABC4}" srcOrd="0" destOrd="4" presId="urn:microsoft.com/office/officeart/2005/8/layout/process3"/>
    <dgm:cxn modelId="{7554CB77-97B6-4343-B31E-AFE1B3983E02}" srcId="{F76A65C9-7B37-4791-981D-EAA76549A55B}" destId="{B8FB1687-C350-4460-9CDD-85E19336EBAE}" srcOrd="0" destOrd="0" parTransId="{5EC34551-DE8E-483C-B4E7-6FF0444FAB11}" sibTransId="{AB054427-C782-4E5F-BD59-0B145B17EA33}"/>
    <dgm:cxn modelId="{57AC725A-9E22-414A-BBAE-8FE0867C715C}" type="presOf" srcId="{8DC42E0E-0328-44DB-8B96-7F417AD61888}" destId="{B1B50710-08C1-4056-8CAB-6D226B04F092}" srcOrd="0" destOrd="1" presId="urn:microsoft.com/office/officeart/2005/8/layout/process3"/>
    <dgm:cxn modelId="{1BF0DD80-289F-4D71-9711-3FBD045DCDE4}" type="presOf" srcId="{5EC0D00A-A821-4FCB-B9D3-C6D3545B2573}" destId="{B1B50710-08C1-4056-8CAB-6D226B04F092}" srcOrd="0" destOrd="3" presId="urn:microsoft.com/office/officeart/2005/8/layout/process3"/>
    <dgm:cxn modelId="{2F054484-240D-43BC-BB43-28B731AB0619}" type="presOf" srcId="{F76A65C9-7B37-4791-981D-EAA76549A55B}" destId="{766327B5-0054-4062-A958-B8E52209D572}" srcOrd="0" destOrd="0" presId="urn:microsoft.com/office/officeart/2005/8/layout/process3"/>
    <dgm:cxn modelId="{403FF18B-F0C5-4221-B974-2CBCBF117716}" type="presOf" srcId="{01F94722-2390-45B4-8586-1A4631A90E8F}" destId="{DBB93EA8-9F92-452C-92D3-02F4C7C9ABC4}" srcOrd="0" destOrd="6" presId="urn:microsoft.com/office/officeart/2005/8/layout/process3"/>
    <dgm:cxn modelId="{EC5AA88C-EC37-4288-9161-7FB42BC5CBD2}" srcId="{F76A65C9-7B37-4791-981D-EAA76549A55B}" destId="{BCF36C73-4171-41E9-9F2A-7D8D9F9F86AF}" srcOrd="5" destOrd="0" parTransId="{48D4D397-DE6C-4FA9-805E-706097D3497F}" sibTransId="{775268D4-CDA7-43EF-8DBE-12374811DF1B}"/>
    <dgm:cxn modelId="{66FBDC9D-AA69-418C-A538-FFF6ADD2E0F0}" srcId="{BBCC1449-F694-44E3-9D15-FC2A0FF25779}" destId="{A0E76FD3-539E-4D45-B194-2C73AF58865D}" srcOrd="0" destOrd="0" parTransId="{69F09391-8A90-4505-9F09-C9A068B1644C}" sibTransId="{C99FE50A-FD88-470E-BA56-52CDB11C6B58}"/>
    <dgm:cxn modelId="{64B4F8A2-22C4-4E5A-A01F-BC24B9AACBD1}" type="presOf" srcId="{A0E76FD3-539E-4D45-B194-2C73AF58865D}" destId="{DBB93EA8-9F92-452C-92D3-02F4C7C9ABC4}" srcOrd="0" destOrd="0" presId="urn:microsoft.com/office/officeart/2005/8/layout/process3"/>
    <dgm:cxn modelId="{7D73BAA4-6C84-4329-8C7B-112CBAC62B62}" type="presOf" srcId="{5462EEEA-F4A5-4C6A-A1CD-E6BF11DAA745}" destId="{B1B50710-08C1-4056-8CAB-6D226B04F092}" srcOrd="0" destOrd="5" presId="urn:microsoft.com/office/officeart/2005/8/layout/process3"/>
    <dgm:cxn modelId="{298E7CA8-0A1F-4B1F-A40B-A155D4B90BA5}" type="presOf" srcId="{B9433906-08BD-428A-96E8-AEF51489CC0B}" destId="{B1B50710-08C1-4056-8CAB-6D226B04F092}" srcOrd="0" destOrd="2" presId="urn:microsoft.com/office/officeart/2005/8/layout/process3"/>
    <dgm:cxn modelId="{8DA452B1-D257-4EE3-ABC1-6C0B38380BC5}" type="presOf" srcId="{A3086D61-1744-4890-ABE6-0F76726852F2}" destId="{E6F2BA83-E0E7-4004-8B66-FFE6F11173CC}" srcOrd="0" destOrd="0" presId="urn:microsoft.com/office/officeart/2005/8/layout/process3"/>
    <dgm:cxn modelId="{050434B5-1CBF-4973-AAA4-74376ADCD222}" srcId="{BBCC1449-F694-44E3-9D15-FC2A0FF25779}" destId="{C003C8DD-C5B3-48EC-BACD-E96E4B9B7098}" srcOrd="7" destOrd="0" parTransId="{A188D298-B981-424B-A947-5B028D8BA0BE}" sibTransId="{C21483CD-2729-4D02-9265-EFAF587BFB0C}"/>
    <dgm:cxn modelId="{94E9D0BB-6216-4F36-8F19-C43BC63241E1}" type="presOf" srcId="{3A914B09-F051-44C2-B72E-8E54094DED22}" destId="{B1B50710-08C1-4056-8CAB-6D226B04F092}" srcOrd="0" destOrd="4" presId="urn:microsoft.com/office/officeart/2005/8/layout/process3"/>
    <dgm:cxn modelId="{855615BF-FD0E-4981-AC46-BDA45506E0B6}" type="presOf" srcId="{A3086D61-1744-4890-ABE6-0F76726852F2}" destId="{2A175EE4-44B1-4F09-B248-1230451182AC}" srcOrd="1" destOrd="0" presId="urn:microsoft.com/office/officeart/2005/8/layout/process3"/>
    <dgm:cxn modelId="{6A3721C0-5996-4C4F-AA2E-099CE30CE4C5}" type="presOf" srcId="{C003C8DD-C5B3-48EC-BACD-E96E4B9B7098}" destId="{DBB93EA8-9F92-452C-92D3-02F4C7C9ABC4}" srcOrd="0" destOrd="7" presId="urn:microsoft.com/office/officeart/2005/8/layout/process3"/>
    <dgm:cxn modelId="{991FEDC4-4CB8-4EAD-91D3-8E87C46B3416}" srcId="{1E28697A-4ED0-476B-8574-9B7B831B1752}" destId="{F76A65C9-7B37-4791-981D-EAA76549A55B}" srcOrd="2" destOrd="0" parTransId="{8455CB84-244C-4B7C-933F-9BC54D31629A}" sibTransId="{F6CBF164-CA7B-4ADF-B4AF-5C78106A7ADF}"/>
    <dgm:cxn modelId="{82E528C8-20F9-4961-95B6-61782F0276FE}" type="presOf" srcId="{1F091CEB-1022-47BD-A202-E4189F96CC4C}" destId="{BB38B19A-25F2-440E-84CE-D8AFBCD4F9EC}" srcOrd="0" destOrd="0" presId="urn:microsoft.com/office/officeart/2005/8/layout/process3"/>
    <dgm:cxn modelId="{A8E2C0CC-92FC-4313-B467-87E7247D8F59}" type="presOf" srcId="{2D6A522D-5D74-4B28-81F1-9D74E82F2EC6}" destId="{DBB93EA8-9F92-452C-92D3-02F4C7C9ABC4}" srcOrd="0" destOrd="1" presId="urn:microsoft.com/office/officeart/2005/8/layout/process3"/>
    <dgm:cxn modelId="{EF9B29D0-97BD-4D3D-9C46-DDC8EB3498FB}" srcId="{53825F59-5A5C-4BB4-8A15-33C400702D4E}" destId="{3A914B09-F051-44C2-B72E-8E54094DED22}" srcOrd="4" destOrd="0" parTransId="{79E82541-C8A1-4F62-8DC9-76B527658303}" sibTransId="{F136D22C-D74F-4518-90F0-6D7B0F24C899}"/>
    <dgm:cxn modelId="{8812FFD1-C306-4013-AAD6-8CE4FB819E04}" type="presOf" srcId="{A60E9812-3BB8-4B17-BA19-25A45A760D94}" destId="{DBB93EA8-9F92-452C-92D3-02F4C7C9ABC4}" srcOrd="0" destOrd="5" presId="urn:microsoft.com/office/officeart/2005/8/layout/process3"/>
    <dgm:cxn modelId="{4D8DA6D4-526E-4630-B6A1-E5128E8C59B5}" srcId="{F76A65C9-7B37-4791-981D-EAA76549A55B}" destId="{A11F7248-A84C-4242-8EB4-7A962312FA29}" srcOrd="3" destOrd="0" parTransId="{AA2B0702-1F41-4DB1-9F2B-EC99CF0E0AE7}" sibTransId="{583DB4C9-429D-4191-82DB-6473B6E0B9CB}"/>
    <dgm:cxn modelId="{781332D6-7384-4049-A9BE-5640B48DF38D}" type="presOf" srcId="{BBCC1449-F694-44E3-9D15-FC2A0FF25779}" destId="{1671599B-7D4C-471C-951E-528F6FB00608}" srcOrd="0" destOrd="0" presId="urn:microsoft.com/office/officeart/2005/8/layout/process3"/>
    <dgm:cxn modelId="{36E0E1D6-3E9E-41B2-B18D-7268DE08485B}" type="presOf" srcId="{B8FB1687-C350-4460-9CDD-85E19336EBAE}" destId="{DC1D8EBE-AB99-4934-B1D1-48EAEF450F2E}" srcOrd="0" destOrd="0" presId="urn:microsoft.com/office/officeart/2005/8/layout/process3"/>
    <dgm:cxn modelId="{9E2630F1-C1B2-44BA-AD53-B212E2B2E4D8}" srcId="{53825F59-5A5C-4BB4-8A15-33C400702D4E}" destId="{B9433906-08BD-428A-96E8-AEF51489CC0B}" srcOrd="2" destOrd="0" parTransId="{9F72AD5D-FCD8-486B-A367-9B0BF166FCEA}" sibTransId="{7A4613A8-AA3E-49F5-AA4A-203BBA9AB398}"/>
    <dgm:cxn modelId="{E6C919F7-DC25-4CB4-964D-AF11993E2A9C}" type="presOf" srcId="{F9F8FF74-04E9-4D99-9F42-037AA52E8DB8}" destId="{DC1D8EBE-AB99-4934-B1D1-48EAEF450F2E}" srcOrd="0" destOrd="1" presId="urn:microsoft.com/office/officeart/2005/8/layout/process3"/>
    <dgm:cxn modelId="{9FA199F7-D3EC-421F-B309-2019916EB744}" type="presOf" srcId="{BBCC1449-F694-44E3-9D15-FC2A0FF25779}" destId="{B6F64F12-38D3-447C-99EA-CD9F4E4122AF}" srcOrd="1" destOrd="0" presId="urn:microsoft.com/office/officeart/2005/8/layout/process3"/>
    <dgm:cxn modelId="{D82EDAF8-4148-436E-8216-E28AB67FD2C3}" type="presOf" srcId="{53825F59-5A5C-4BB4-8A15-33C400702D4E}" destId="{8CC59564-E5CF-4FE9-BFE0-8CDBC933BAAA}" srcOrd="1" destOrd="0" presId="urn:microsoft.com/office/officeart/2005/8/layout/process3"/>
    <dgm:cxn modelId="{C26E4C2A-8B6D-40F6-81E2-B48BA1CF5E53}" type="presParOf" srcId="{A5450D24-37FB-4A30-94FD-5A21B5597693}" destId="{5CBD69DF-B328-444A-AC85-10A0E7DDF033}" srcOrd="0" destOrd="0" presId="urn:microsoft.com/office/officeart/2005/8/layout/process3"/>
    <dgm:cxn modelId="{15CCCE0B-BEAB-48D7-8DFE-23571859BD19}" type="presParOf" srcId="{5CBD69DF-B328-444A-AC85-10A0E7DDF033}" destId="{FBA55DBB-D4E7-4075-B467-AC8FF49C6ACD}" srcOrd="0" destOrd="0" presId="urn:microsoft.com/office/officeart/2005/8/layout/process3"/>
    <dgm:cxn modelId="{18BC2B79-95D2-43F2-A6FF-692340DBA7C8}" type="presParOf" srcId="{5CBD69DF-B328-444A-AC85-10A0E7DDF033}" destId="{8CC59564-E5CF-4FE9-BFE0-8CDBC933BAAA}" srcOrd="1" destOrd="0" presId="urn:microsoft.com/office/officeart/2005/8/layout/process3"/>
    <dgm:cxn modelId="{BD3EDCF4-7818-4BC0-B272-8DFAE2C2D7A3}" type="presParOf" srcId="{5CBD69DF-B328-444A-AC85-10A0E7DDF033}" destId="{B1B50710-08C1-4056-8CAB-6D226B04F092}" srcOrd="2" destOrd="0" presId="urn:microsoft.com/office/officeart/2005/8/layout/process3"/>
    <dgm:cxn modelId="{873905BE-5776-4BAC-B158-DCB46BEF99F5}" type="presParOf" srcId="{A5450D24-37FB-4A30-94FD-5A21B5597693}" destId="{BB38B19A-25F2-440E-84CE-D8AFBCD4F9EC}" srcOrd="1" destOrd="0" presId="urn:microsoft.com/office/officeart/2005/8/layout/process3"/>
    <dgm:cxn modelId="{845E8385-8447-4814-BB6F-BEB4FF4EFA02}" type="presParOf" srcId="{BB38B19A-25F2-440E-84CE-D8AFBCD4F9EC}" destId="{803AB3C8-E118-4321-AF24-BC0DA263062D}" srcOrd="0" destOrd="0" presId="urn:microsoft.com/office/officeart/2005/8/layout/process3"/>
    <dgm:cxn modelId="{92C55CC5-A208-47D5-8ED7-FF00717EF6C4}" type="presParOf" srcId="{A5450D24-37FB-4A30-94FD-5A21B5597693}" destId="{DB8FDCB3-E948-49E3-BCC1-96C8B3AA7170}" srcOrd="2" destOrd="0" presId="urn:microsoft.com/office/officeart/2005/8/layout/process3"/>
    <dgm:cxn modelId="{2FDDA29E-D310-42B7-B594-B456BC6BE48A}" type="presParOf" srcId="{DB8FDCB3-E948-49E3-BCC1-96C8B3AA7170}" destId="{1671599B-7D4C-471C-951E-528F6FB00608}" srcOrd="0" destOrd="0" presId="urn:microsoft.com/office/officeart/2005/8/layout/process3"/>
    <dgm:cxn modelId="{5634D778-D686-4D02-BC7C-A0254383DB75}" type="presParOf" srcId="{DB8FDCB3-E948-49E3-BCC1-96C8B3AA7170}" destId="{B6F64F12-38D3-447C-99EA-CD9F4E4122AF}" srcOrd="1" destOrd="0" presId="urn:microsoft.com/office/officeart/2005/8/layout/process3"/>
    <dgm:cxn modelId="{E3C28B00-4F5D-4DD7-8D08-4E9792270BAA}" type="presParOf" srcId="{DB8FDCB3-E948-49E3-BCC1-96C8B3AA7170}" destId="{DBB93EA8-9F92-452C-92D3-02F4C7C9ABC4}" srcOrd="2" destOrd="0" presId="urn:microsoft.com/office/officeart/2005/8/layout/process3"/>
    <dgm:cxn modelId="{6DDCCC8B-6521-4264-95E2-B9A15963638A}" type="presParOf" srcId="{A5450D24-37FB-4A30-94FD-5A21B5597693}" destId="{E6F2BA83-E0E7-4004-8B66-FFE6F11173CC}" srcOrd="3" destOrd="0" presId="urn:microsoft.com/office/officeart/2005/8/layout/process3"/>
    <dgm:cxn modelId="{56E5924D-2BDE-4C70-B312-0C6B308E0F20}" type="presParOf" srcId="{E6F2BA83-E0E7-4004-8B66-FFE6F11173CC}" destId="{2A175EE4-44B1-4F09-B248-1230451182AC}" srcOrd="0" destOrd="0" presId="urn:microsoft.com/office/officeart/2005/8/layout/process3"/>
    <dgm:cxn modelId="{B6B15027-CA2D-4F5F-8200-EC5CE39FCF11}" type="presParOf" srcId="{A5450D24-37FB-4A30-94FD-5A21B5597693}" destId="{978DBC4D-65A3-47CF-98C8-EC68597CDFF6}" srcOrd="4" destOrd="0" presId="urn:microsoft.com/office/officeart/2005/8/layout/process3"/>
    <dgm:cxn modelId="{19E0275D-6CF0-4B0C-B90E-E23F6A5900C6}" type="presParOf" srcId="{978DBC4D-65A3-47CF-98C8-EC68597CDFF6}" destId="{766327B5-0054-4062-A958-B8E52209D572}" srcOrd="0" destOrd="0" presId="urn:microsoft.com/office/officeart/2005/8/layout/process3"/>
    <dgm:cxn modelId="{EECF64F2-14A9-4E44-84F3-9F6B5FCB3234}" type="presParOf" srcId="{978DBC4D-65A3-47CF-98C8-EC68597CDFF6}" destId="{ACA664C5-B343-410D-8148-2ECC67BDE799}" srcOrd="1" destOrd="0" presId="urn:microsoft.com/office/officeart/2005/8/layout/process3"/>
    <dgm:cxn modelId="{D790C91D-9981-4E05-849B-A10DEADAD91B}" type="presParOf" srcId="{978DBC4D-65A3-47CF-98C8-EC68597CDFF6}" destId="{DC1D8EBE-AB99-4934-B1D1-48EAEF450F2E}" srcOrd="2" destOrd="0" presId="urn:microsoft.com/office/officeart/2005/8/layout/process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C59564-E5CF-4FE9-BFE0-8CDBC933BAAA}">
      <dsp:nvSpPr>
        <dsp:cNvPr id="0" name=""/>
        <dsp:cNvSpPr/>
      </dsp:nvSpPr>
      <dsp:spPr>
        <a:xfrm>
          <a:off x="3431" y="386447"/>
          <a:ext cx="1237761" cy="41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0" kern="1200">
              <a:latin typeface="VIC SemiBold" panose="00000700000000000000" pitchFamily="2" charset="0"/>
            </a:rPr>
            <a:t>Get started</a:t>
          </a:r>
        </a:p>
      </dsp:txBody>
      <dsp:txXfrm>
        <a:off x="3431" y="386447"/>
        <a:ext cx="1237761" cy="275845"/>
      </dsp:txXfrm>
    </dsp:sp>
    <dsp:sp modelId="{B1B50710-08C1-4056-8CAB-6D226B04F092}">
      <dsp:nvSpPr>
        <dsp:cNvPr id="0" name=""/>
        <dsp:cNvSpPr/>
      </dsp:nvSpPr>
      <dsp:spPr>
        <a:xfrm>
          <a:off x="65832" y="998105"/>
          <a:ext cx="1619994" cy="27111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VIC" panose="00000500000000000000" pitchFamily="2" charset="0"/>
            </a:rPr>
            <a:t>Assess the need for support or back-up.</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Tell another team member where you are going.</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Create a safe and helpful communciation space.</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Introduce yourself.</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Invite a conversation.</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Explain that you are here to help and that you will work together to make the person feel safe.</a:t>
          </a:r>
        </a:p>
      </dsp:txBody>
      <dsp:txXfrm>
        <a:off x="113280" y="1045553"/>
        <a:ext cx="1525098" cy="2616230"/>
      </dsp:txXfrm>
    </dsp:sp>
    <dsp:sp modelId="{BB38B19A-25F2-440E-84CE-D8AFBCD4F9EC}">
      <dsp:nvSpPr>
        <dsp:cNvPr id="0" name=""/>
        <dsp:cNvSpPr/>
      </dsp:nvSpPr>
      <dsp:spPr>
        <a:xfrm>
          <a:off x="1476612" y="370287"/>
          <a:ext cx="499088" cy="308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1476612" y="431920"/>
        <a:ext cx="406638" cy="184900"/>
      </dsp:txXfrm>
    </dsp:sp>
    <dsp:sp modelId="{B6F64F12-38D3-447C-99EA-CD9F4E4122AF}">
      <dsp:nvSpPr>
        <dsp:cNvPr id="0" name=""/>
        <dsp:cNvSpPr/>
      </dsp:nvSpPr>
      <dsp:spPr>
        <a:xfrm>
          <a:off x="2182870" y="386447"/>
          <a:ext cx="1465695" cy="41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0" kern="1200">
              <a:latin typeface="VIC SemiBold" panose="00000700000000000000" pitchFamily="2" charset="0"/>
            </a:rPr>
            <a:t>Listen. Work out what the problem is</a:t>
          </a:r>
          <a:r>
            <a:rPr lang="en-AU" sz="1000" b="1" kern="1200">
              <a:latin typeface="VIC SemiBold" panose="00000700000000000000" pitchFamily="2" charset="0"/>
            </a:rPr>
            <a:t> </a:t>
          </a:r>
        </a:p>
      </dsp:txBody>
      <dsp:txXfrm>
        <a:off x="2182870" y="386447"/>
        <a:ext cx="1465695" cy="275845"/>
      </dsp:txXfrm>
    </dsp:sp>
    <dsp:sp modelId="{DBB93EA8-9F92-452C-92D3-02F4C7C9ABC4}">
      <dsp:nvSpPr>
        <dsp:cNvPr id="0" name=""/>
        <dsp:cNvSpPr/>
      </dsp:nvSpPr>
      <dsp:spPr>
        <a:xfrm>
          <a:off x="2360835" y="998105"/>
          <a:ext cx="1616801" cy="27111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VIC" panose="00000500000000000000" pitchFamily="2" charset="0"/>
            </a:rPr>
            <a:t>Speak clearly.</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Use each other's names.</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Ask open-ended questions to learn what is happening.</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Use simple words.</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Speak in short sentences.</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Repeat, paraphrase and check understanding.</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Answer questions.</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Clarify misunderstandings.</a:t>
          </a:r>
        </a:p>
      </dsp:txBody>
      <dsp:txXfrm>
        <a:off x="2408189" y="1045459"/>
        <a:ext cx="1522093" cy="2616418"/>
      </dsp:txXfrm>
    </dsp:sp>
    <dsp:sp modelId="{E6F2BA83-E0E7-4004-8B66-FFE6F11173CC}">
      <dsp:nvSpPr>
        <dsp:cNvPr id="0" name=""/>
        <dsp:cNvSpPr/>
      </dsp:nvSpPr>
      <dsp:spPr>
        <a:xfrm>
          <a:off x="3855094" y="370287"/>
          <a:ext cx="437840" cy="308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3855094" y="431920"/>
        <a:ext cx="345390" cy="184900"/>
      </dsp:txXfrm>
    </dsp:sp>
    <dsp:sp modelId="{ACA664C5-B343-410D-8148-2ECC67BDE799}">
      <dsp:nvSpPr>
        <dsp:cNvPr id="0" name=""/>
        <dsp:cNvSpPr/>
      </dsp:nvSpPr>
      <dsp:spPr>
        <a:xfrm>
          <a:off x="4474679" y="386447"/>
          <a:ext cx="1237761" cy="41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0" kern="1200">
              <a:latin typeface="VIC SemiBold" panose="00000700000000000000" pitchFamily="2" charset="0"/>
            </a:rPr>
            <a:t>Find solutions</a:t>
          </a:r>
        </a:p>
      </dsp:txBody>
      <dsp:txXfrm>
        <a:off x="4474679" y="386447"/>
        <a:ext cx="1237761" cy="275845"/>
      </dsp:txXfrm>
    </dsp:sp>
    <dsp:sp modelId="{DC1D8EBE-AB99-4934-B1D1-48EAEF450F2E}">
      <dsp:nvSpPr>
        <dsp:cNvPr id="0" name=""/>
        <dsp:cNvSpPr/>
      </dsp:nvSpPr>
      <dsp:spPr>
        <a:xfrm>
          <a:off x="4521577" y="1002225"/>
          <a:ext cx="1651000" cy="27111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VIC" panose="00000500000000000000" pitchFamily="2" charset="0"/>
            </a:rPr>
            <a:t>Work together to compromise and problem solve. </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Be flexible.</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Offer realistic choices and options. </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Explain and give reasons for rules and decisions. </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Ask: 'Is there anything I can do to help us work through this together?'</a:t>
          </a:r>
        </a:p>
        <a:p>
          <a:pPr marL="57150" lvl="1" indent="-57150" algn="l" defTabSz="400050">
            <a:lnSpc>
              <a:spcPct val="90000"/>
            </a:lnSpc>
            <a:spcBef>
              <a:spcPct val="0"/>
            </a:spcBef>
            <a:spcAft>
              <a:spcPct val="15000"/>
            </a:spcAft>
            <a:buChar char="•"/>
          </a:pPr>
          <a:r>
            <a:rPr lang="en-AU" sz="900" kern="1200">
              <a:latin typeface="VIC" panose="00000500000000000000" pitchFamily="2" charset="0"/>
            </a:rPr>
            <a:t>Ask: 'What can I do to help you feel safe here?'</a:t>
          </a:r>
        </a:p>
      </dsp:txBody>
      <dsp:txXfrm>
        <a:off x="4569933" y="1050581"/>
        <a:ext cx="1554288" cy="26144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1317D461C844E7BA18A0730925AB93"/>
        <w:category>
          <w:name w:val="General"/>
          <w:gallery w:val="placeholder"/>
        </w:category>
        <w:types>
          <w:type w:val="bbPlcHdr"/>
        </w:types>
        <w:behaviors>
          <w:behavior w:val="content"/>
        </w:behaviors>
        <w:guid w:val="{5A85BCB8-6048-44D0-B8C3-E8CAB1FB980B}"/>
      </w:docPartPr>
      <w:docPartBody>
        <w:p w:rsidR="00E03517" w:rsidRDefault="00E03517">
          <w:pPr>
            <w:pStyle w:val="B31317D461C844E7BA18A0730925AB93"/>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17"/>
    <w:rsid w:val="001A4409"/>
    <w:rsid w:val="003C5E55"/>
    <w:rsid w:val="005263D4"/>
    <w:rsid w:val="00836A02"/>
    <w:rsid w:val="00876240"/>
    <w:rsid w:val="009335F7"/>
    <w:rsid w:val="009557B8"/>
    <w:rsid w:val="00A0628E"/>
    <w:rsid w:val="00A65A05"/>
    <w:rsid w:val="00BA2DD8"/>
    <w:rsid w:val="00DD20A1"/>
    <w:rsid w:val="00E03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E03517"/>
    <w:rPr>
      <w:color w:val="808080"/>
    </w:rPr>
  </w:style>
  <w:style w:type="paragraph" w:customStyle="1" w:styleId="B31317D461C844E7BA18A0730925AB93">
    <w:name w:val="B31317D461C844E7BA18A0730925AB93"/>
  </w:style>
  <w:style w:type="paragraph" w:customStyle="1" w:styleId="0A3C79F1FC8E44F6B6EC4E16673E1057">
    <w:name w:val="0A3C79F1FC8E44F6B6EC4E16673E1057"/>
  </w:style>
  <w:style w:type="paragraph" w:customStyle="1" w:styleId="F7C31DC318754D5A8E781CD127291178">
    <w:name w:val="F7C31DC318754D5A8E781CD127291178"/>
  </w:style>
  <w:style w:type="paragraph" w:customStyle="1" w:styleId="95FA2F3CD3FE46928691C5CEC2DBAC6E">
    <w:name w:val="95FA2F3CD3FE46928691C5CEC2DBAC6E"/>
    <w:rsid w:val="00E03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30a1f945fd857c0f71c11bcb7e6e73d0">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ea9255fb0bf418e7a0624bf0bc715ab5"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2426-66D6-4CCA-B544-9AA895D0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040C8-4D5D-443C-9D3C-7198693440F4}">
  <ds:schemaRefs>
    <ds:schemaRef ds:uri="31b2e4f9-c376-4e2f-bd2e-796d1bcd5746"/>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A047D849-B01E-4BA0-82EC-B0F0A7C50A72}">
  <ds:schemaRefs>
    <ds:schemaRef ds:uri="http://schemas.microsoft.com/sharepoint/v3/contenttype/forms"/>
  </ds:schemaRefs>
</ds:datastoreItem>
</file>

<file path=customXml/itemProps4.xml><?xml version="1.0" encoding="utf-8"?>
<ds:datastoreItem xmlns:ds="http://schemas.openxmlformats.org/officeDocument/2006/customXml" ds:itemID="{3E06E9E4-E780-4384-86F5-22651D7A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418041  Report no image template.DOTX</Template>
  <TotalTime>0</TotalTime>
  <Pages>27</Pages>
  <Words>5395</Words>
  <Characters>30752</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Caring for people displaying acute behavioural disturbance</vt:lpstr>
    </vt:vector>
  </TitlesOfParts>
  <Company>Department of Treasury and Finance</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people displaying acute behavioural disturbance</dc:title>
  <dc:creator>James Fowler (DHHS)</dc:creator>
  <cp:lastModifiedBy>Emma Gumbleton (DHHS)</cp:lastModifiedBy>
  <cp:revision>2</cp:revision>
  <cp:lastPrinted>2020-04-07T04:17:00Z</cp:lastPrinted>
  <dcterms:created xsi:type="dcterms:W3CDTF">2021-01-05T22:35:00Z</dcterms:created>
  <dcterms:modified xsi:type="dcterms:W3CDTF">2021-01-05T22:35:00Z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y fmtid="{D5CDD505-2E9C-101B-9397-08002B2CF9AE}" pid="5" name="MSIP_Label_efdf5488-3066-4b6c-8fea-9472b8a1f34c_Enabled">
    <vt:lpwstr>true</vt:lpwstr>
  </property>
  <property fmtid="{D5CDD505-2E9C-101B-9397-08002B2CF9AE}" pid="6" name="MSIP_Label_efdf5488-3066-4b6c-8fea-9472b8a1f34c_SetDate">
    <vt:lpwstr>2021-01-05T22:35:18Z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2ed52925-a62a-41a4-b3ca-cd4184f193c5</vt:lpwstr>
  </property>
  <property fmtid="{D5CDD505-2E9C-101B-9397-08002B2CF9AE}" pid="11" name="MSIP_Label_efdf5488-3066-4b6c-8fea-9472b8a1f34c_ContentBits">
    <vt:lpwstr>0</vt:lpwstr>
  </property>
</Properties>
</file>