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rsidRPr="00C476EB" w14:paraId="626C15FF" w14:textId="77777777" w:rsidTr="0050356B">
        <w:trPr>
          <w:trHeight w:val="57"/>
        </w:trPr>
        <w:tc>
          <w:tcPr>
            <w:tcW w:w="6804" w:type="dxa"/>
            <w:shd w:val="clear" w:color="auto" w:fill="auto"/>
            <w:tcMar>
              <w:top w:w="312" w:type="dxa"/>
            </w:tcMar>
          </w:tcPr>
          <w:p w14:paraId="23D2A0B5" w14:textId="4AA4AD3D" w:rsidR="0050356B" w:rsidRPr="00341AE1" w:rsidRDefault="000E55B2" w:rsidP="005F15F1">
            <w:pPr>
              <w:pStyle w:val="Date"/>
              <w:framePr w:hSpace="0" w:wrap="auto" w:vAnchor="margin" w:hAnchor="text" w:xAlign="left" w:yAlign="inline"/>
              <w:suppressOverlap w:val="0"/>
              <w:rPr>
                <w:rFonts w:asciiTheme="majorHAnsi" w:hAnsiTheme="majorHAnsi" w:cstheme="majorHAnsi"/>
              </w:rPr>
            </w:pPr>
            <w:r w:rsidRPr="00341AE1">
              <w:rPr>
                <w:rFonts w:asciiTheme="majorHAnsi" w:hAnsiTheme="majorHAnsi" w:cstheme="majorHAnsi"/>
              </w:rPr>
              <w:t>April</w:t>
            </w:r>
            <w:r w:rsidR="00D67FBC" w:rsidRPr="00341AE1">
              <w:rPr>
                <w:rFonts w:asciiTheme="majorHAnsi" w:hAnsiTheme="majorHAnsi" w:cstheme="majorHAnsi"/>
              </w:rPr>
              <w:t xml:space="preserve"> 2020</w:t>
            </w:r>
          </w:p>
        </w:tc>
      </w:tr>
      <w:tr w:rsidR="00A46288" w:rsidRPr="00C476EB" w14:paraId="504171D6" w14:textId="77777777" w:rsidTr="0050356B">
        <w:trPr>
          <w:trHeight w:val="2948"/>
        </w:trPr>
        <w:tc>
          <w:tcPr>
            <w:tcW w:w="6804" w:type="dxa"/>
            <w:shd w:val="clear" w:color="auto" w:fill="auto"/>
            <w:tcMar>
              <w:top w:w="312" w:type="dxa"/>
            </w:tcMar>
          </w:tcPr>
          <w:sdt>
            <w:sdtPr>
              <w:rPr>
                <w:rFonts w:asciiTheme="minorHAnsi" w:hAnsiTheme="minorHAnsi" w:cstheme="minorHAnsi"/>
              </w:rPr>
              <w:alias w:val="Title"/>
              <w:tag w:val=""/>
              <w:id w:val="-1484688983"/>
              <w:placeholder>
                <w:docPart w:val="BF539E8EC2914A289D65C267F22FD467"/>
              </w:placeholder>
              <w:dataBinding w:prefixMappings="xmlns:ns0='http://purl.org/dc/elements/1.1/' xmlns:ns1='http://schemas.openxmlformats.org/package/2006/metadata/core-properties' " w:xpath="/ns1:coreProperties[1]/ns0:title[1]" w:storeItemID="{6C3C8BC8-F283-45AE-878A-BAB7291924A1}"/>
              <w:text/>
            </w:sdtPr>
            <w:sdtContent>
              <w:p w14:paraId="6794B419" w14:textId="489D3C10" w:rsidR="00A46288" w:rsidRPr="00341AE1" w:rsidRDefault="00D67FBC" w:rsidP="00341AE1">
                <w:pPr>
                  <w:pStyle w:val="Title"/>
                  <w:framePr w:hSpace="0" w:wrap="auto" w:vAnchor="margin" w:hAnchor="text" w:xAlign="left" w:yAlign="inline"/>
                  <w:spacing w:line="240" w:lineRule="auto"/>
                  <w:suppressOverlap w:val="0"/>
                  <w:rPr>
                    <w:rFonts w:asciiTheme="minorHAnsi" w:hAnsiTheme="minorHAnsi" w:cstheme="minorHAnsi"/>
                  </w:rPr>
                </w:pPr>
                <w:r w:rsidRPr="00341AE1">
                  <w:rPr>
                    <w:rFonts w:asciiTheme="minorHAnsi" w:hAnsiTheme="minorHAnsi" w:cstheme="minorHAnsi"/>
                  </w:rPr>
                  <w:t>Managing outbreaks in residential aged care</w:t>
                </w:r>
              </w:p>
            </w:sdtContent>
          </w:sdt>
          <w:p w14:paraId="4ECE0277" w14:textId="0FB4BD7D" w:rsidR="00A46288" w:rsidRPr="00341AE1" w:rsidRDefault="00D67FBC" w:rsidP="0050356B">
            <w:pPr>
              <w:pStyle w:val="Subtitle"/>
              <w:framePr w:hSpace="0" w:wrap="auto" w:vAnchor="margin" w:hAnchor="text" w:xAlign="left" w:yAlign="inline"/>
              <w:suppressOverlap w:val="0"/>
              <w:rPr>
                <w:rFonts w:asciiTheme="minorHAnsi" w:hAnsiTheme="minorHAnsi" w:cstheme="minorHAnsi"/>
              </w:rPr>
            </w:pPr>
            <w:r w:rsidRPr="00341AE1">
              <w:rPr>
                <w:rFonts w:asciiTheme="minorHAnsi" w:hAnsiTheme="minorHAnsi" w:cstheme="minorHAnsi"/>
              </w:rPr>
              <w:t>Preparedness ‘health check’</w:t>
            </w:r>
          </w:p>
        </w:tc>
      </w:tr>
    </w:tbl>
    <w:p w14:paraId="79B8FA14" w14:textId="77777777" w:rsidR="00A46288" w:rsidRPr="00C476EB" w:rsidRDefault="00A46288" w:rsidP="00A46288">
      <w:pPr>
        <w:pStyle w:val="NoSpacing"/>
        <w:rPr>
          <w:rFonts w:ascii="VIC" w:hAnsi="VIC"/>
        </w:rPr>
      </w:pPr>
    </w:p>
    <w:p w14:paraId="485EBB37" w14:textId="77777777" w:rsidR="00A46288" w:rsidRPr="00C476EB" w:rsidRDefault="00A46288" w:rsidP="0026028E">
      <w:pPr>
        <w:rPr>
          <w:rFonts w:ascii="VIC" w:hAnsi="VIC"/>
        </w:rPr>
        <w:sectPr w:rsidR="00A46288" w:rsidRPr="00C476EB" w:rsidSect="00257461">
          <w:headerReference w:type="even" r:id="rId8"/>
          <w:headerReference w:type="default" r:id="rId9"/>
          <w:footerReference w:type="even" r:id="rId10"/>
          <w:footerReference w:type="default" r:id="rId11"/>
          <w:headerReference w:type="first" r:id="rId12"/>
          <w:footerReference w:type="first" r:id="rId13"/>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111"/>
        <w:gridCol w:w="3621"/>
        <w:gridCol w:w="2484"/>
      </w:tblGrid>
      <w:tr w:rsidR="008116D8" w:rsidRPr="00C476EB" w14:paraId="6E96F522" w14:textId="77777777" w:rsidTr="008116D8">
        <w:trPr>
          <w:trHeight w:val="2041"/>
        </w:trPr>
        <w:tc>
          <w:tcPr>
            <w:tcW w:w="4111" w:type="dxa"/>
            <w:tcMar>
              <w:left w:w="113" w:type="dxa"/>
            </w:tcMar>
          </w:tcPr>
          <w:p w14:paraId="754100D3" w14:textId="5D94A9E7" w:rsidR="008116D8" w:rsidRPr="00341AE1" w:rsidRDefault="008116D8" w:rsidP="00465BF2">
            <w:pPr>
              <w:rPr>
                <w:rFonts w:cstheme="minorHAnsi"/>
                <w:sz w:val="24"/>
                <w:szCs w:val="24"/>
              </w:rPr>
            </w:pPr>
            <w:r w:rsidRPr="00341AE1">
              <w:rPr>
                <w:rFonts w:cstheme="minorHAnsi"/>
                <w:sz w:val="24"/>
                <w:szCs w:val="24"/>
              </w:rPr>
              <w:lastRenderedPageBreak/>
              <w:t xml:space="preserve">To receive this publication in an accessible format phone </w:t>
            </w:r>
            <w:r w:rsidRPr="00341AE1">
              <w:rPr>
                <w:rFonts w:cstheme="minorHAnsi"/>
                <w:sz w:val="24"/>
                <w:szCs w:val="24"/>
              </w:rPr>
              <w:br/>
              <w:t xml:space="preserve">03 9096 1384, using the National Relay Service 13 36 </w:t>
            </w:r>
            <w:r w:rsidRPr="00341AE1">
              <w:rPr>
                <w:rFonts w:cstheme="minorHAnsi"/>
                <w:spacing w:val="-2"/>
                <w:sz w:val="24"/>
                <w:szCs w:val="24"/>
              </w:rPr>
              <w:t xml:space="preserve">77 if required, or email </w:t>
            </w:r>
            <w:r w:rsidRPr="00341AE1">
              <w:rPr>
                <w:rFonts w:cstheme="minorHAnsi"/>
                <w:sz w:val="24"/>
                <w:szCs w:val="24"/>
              </w:rPr>
              <w:t xml:space="preserve">Safer Care Victoria </w:t>
            </w:r>
            <w:hyperlink r:id="rId14" w:history="1">
              <w:r w:rsidR="0033166E" w:rsidRPr="00341AE1">
                <w:rPr>
                  <w:rStyle w:val="Hyperlink"/>
                  <w:rFonts w:cstheme="minorHAnsi"/>
                  <w:spacing w:val="-4"/>
                  <w:sz w:val="24"/>
                  <w:szCs w:val="24"/>
                </w:rPr>
                <w:t>info@safercare.vic</w:t>
              </w:r>
              <w:r w:rsidRPr="00341AE1">
                <w:rPr>
                  <w:rStyle w:val="Hyperlink"/>
                  <w:rFonts w:cstheme="minorHAnsi"/>
                  <w:spacing w:val="-4"/>
                  <w:sz w:val="24"/>
                  <w:szCs w:val="24"/>
                </w:rPr>
                <w:t>.gov.au</w:t>
              </w:r>
            </w:hyperlink>
          </w:p>
        </w:tc>
        <w:tc>
          <w:tcPr>
            <w:tcW w:w="3621" w:type="dxa"/>
          </w:tcPr>
          <w:p w14:paraId="59C9824E" w14:textId="77777777" w:rsidR="008116D8" w:rsidRPr="00341AE1" w:rsidRDefault="008116D8" w:rsidP="0086277A">
            <w:pPr>
              <w:rPr>
                <w:rFonts w:cstheme="minorHAnsi"/>
                <w:szCs w:val="15"/>
              </w:rPr>
            </w:pPr>
            <w:r w:rsidRPr="00341AE1">
              <w:rPr>
                <w:rFonts w:cstheme="minorHAnsi"/>
                <w:szCs w:val="15"/>
              </w:rPr>
              <w:t xml:space="preserve">Authorised and </w:t>
            </w:r>
            <w:r w:rsidRPr="00341AE1">
              <w:rPr>
                <w:rFonts w:cstheme="minorHAnsi"/>
                <w:spacing w:val="-2"/>
                <w:szCs w:val="15"/>
              </w:rPr>
              <w:t>published by the Victorian</w:t>
            </w:r>
            <w:r w:rsidRPr="00341AE1">
              <w:rPr>
                <w:rFonts w:cstheme="minorHAnsi"/>
                <w:szCs w:val="15"/>
              </w:rPr>
              <w:t xml:space="preserve"> Government, 1 Treasury Place, Melbourne.</w:t>
            </w:r>
          </w:p>
          <w:p w14:paraId="59DE0133" w14:textId="03BD03F7" w:rsidR="000E55B2" w:rsidRPr="00341AE1" w:rsidRDefault="008116D8" w:rsidP="000E55B2">
            <w:pPr>
              <w:rPr>
                <w:rFonts w:cstheme="minorHAnsi"/>
                <w:szCs w:val="15"/>
              </w:rPr>
            </w:pPr>
            <w:r w:rsidRPr="00341AE1">
              <w:rPr>
                <w:rFonts w:cstheme="minorHAnsi"/>
                <w:szCs w:val="15"/>
              </w:rPr>
              <w:t>© State of Victoria, Australia, Safer Care Victoria,</w:t>
            </w:r>
            <w:r w:rsidR="007251B0" w:rsidRPr="00341AE1">
              <w:rPr>
                <w:rFonts w:cstheme="minorHAnsi"/>
                <w:szCs w:val="15"/>
              </w:rPr>
              <w:t xml:space="preserve"> April</w:t>
            </w:r>
            <w:r w:rsidR="0033166E" w:rsidRPr="00341AE1">
              <w:rPr>
                <w:rFonts w:cstheme="minorHAnsi"/>
                <w:szCs w:val="15"/>
              </w:rPr>
              <w:t xml:space="preserve"> 2020</w:t>
            </w:r>
          </w:p>
          <w:p w14:paraId="0C9992CB" w14:textId="77777777" w:rsidR="006C6AE0" w:rsidRPr="00341AE1" w:rsidRDefault="006C6AE0" w:rsidP="008116D8">
            <w:pPr>
              <w:rPr>
                <w:rFonts w:cstheme="minorHAnsi"/>
                <w:szCs w:val="15"/>
              </w:rPr>
            </w:pPr>
            <w:r w:rsidRPr="00341AE1">
              <w:rPr>
                <w:rFonts w:cstheme="minorHAnsi"/>
                <w:szCs w:val="15"/>
              </w:rPr>
              <w:t xml:space="preserve">ISBN 978-1-76069-388-6 (pdf/online/MS word) </w:t>
            </w:r>
          </w:p>
          <w:p w14:paraId="41B2E468" w14:textId="22114BE7" w:rsidR="008116D8" w:rsidRPr="00341AE1" w:rsidRDefault="008116D8" w:rsidP="008116D8">
            <w:pPr>
              <w:rPr>
                <w:rFonts w:cstheme="minorHAnsi"/>
                <w:szCs w:val="15"/>
              </w:rPr>
            </w:pPr>
            <w:r w:rsidRPr="00341AE1">
              <w:rPr>
                <w:rFonts w:cstheme="minorHAnsi"/>
                <w:szCs w:val="15"/>
              </w:rPr>
              <w:t xml:space="preserve">Available at </w:t>
            </w:r>
            <w:hyperlink r:id="rId15" w:history="1">
              <w:r w:rsidRPr="00341AE1">
                <w:rPr>
                  <w:rFonts w:cstheme="minorHAnsi"/>
                  <w:color w:val="4D92C0"/>
                  <w:szCs w:val="15"/>
                </w:rPr>
                <w:t>www.safercare.vic</w:t>
              </w:r>
            </w:hyperlink>
            <w:r w:rsidRPr="00341AE1">
              <w:rPr>
                <w:rFonts w:cstheme="minorHAnsi"/>
                <w:color w:val="4D92C0"/>
                <w:szCs w:val="15"/>
              </w:rPr>
              <w:t>.gov.au</w:t>
            </w:r>
            <w:r w:rsidRPr="00341AE1">
              <w:rPr>
                <w:rFonts w:cstheme="minorHAnsi"/>
                <w:color w:val="4382B9"/>
                <w:szCs w:val="15"/>
              </w:rPr>
              <w:t xml:space="preserve"> </w:t>
            </w:r>
          </w:p>
        </w:tc>
        <w:tc>
          <w:tcPr>
            <w:tcW w:w="2484" w:type="dxa"/>
          </w:tcPr>
          <w:p w14:paraId="06F13550" w14:textId="77777777" w:rsidR="008116D8" w:rsidRPr="00C476EB" w:rsidRDefault="008116D8" w:rsidP="0086277A">
            <w:pPr>
              <w:rPr>
                <w:rFonts w:ascii="VIC" w:hAnsi="VIC"/>
                <w:szCs w:val="15"/>
              </w:rPr>
            </w:pPr>
            <w:r w:rsidRPr="00C476EB">
              <w:rPr>
                <w:rFonts w:ascii="VIC" w:hAnsi="VIC"/>
                <w:noProof/>
                <w:szCs w:val="15"/>
              </w:rPr>
              <w:drawing>
                <wp:inline distT="0" distB="0" distL="0" distR="0" wp14:anchorId="00B6FBFB" wp14:editId="06ED7121">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30470699" w14:textId="77777777" w:rsidR="0086277A" w:rsidRPr="00C476EB" w:rsidRDefault="007C4073" w:rsidP="0026028E">
      <w:pPr>
        <w:rPr>
          <w:rFonts w:ascii="VIC" w:hAnsi="VIC"/>
        </w:rPr>
      </w:pPr>
      <w:r w:rsidRPr="00C476EB">
        <w:rPr>
          <w:rFonts w:ascii="VIC" w:hAnsi="VIC"/>
        </w:rPr>
        <w:fldChar w:fldCharType="begin"/>
      </w:r>
      <w:r w:rsidRPr="00C476EB">
        <w:rPr>
          <w:rFonts w:ascii="VIC" w:hAnsi="VIC"/>
        </w:rPr>
        <w:instrText xml:space="preserve"> Macrobutton NoMacro  </w:instrText>
      </w:r>
      <w:r w:rsidRPr="00C476EB">
        <w:rPr>
          <w:rFonts w:ascii="VIC" w:hAnsi="VIC"/>
        </w:rPr>
        <w:fldChar w:fldCharType="end"/>
      </w:r>
      <w:r w:rsidRPr="00C476EB">
        <w:rPr>
          <w:rFonts w:ascii="VIC" w:hAnsi="VIC"/>
          <w:noProof/>
        </w:rPr>
        <w:drawing>
          <wp:anchor distT="0" distB="0" distL="114300" distR="114300" simplePos="0" relativeHeight="251661312" behindDoc="1" locked="1" layoutInCell="1" allowOverlap="1" wp14:anchorId="5E19A128" wp14:editId="18485A48">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2FD4EF21" w14:textId="77777777" w:rsidR="0086277A" w:rsidRPr="00C476EB" w:rsidRDefault="0086277A" w:rsidP="0026028E">
      <w:pPr>
        <w:rPr>
          <w:rFonts w:ascii="VIC" w:hAnsi="VIC"/>
        </w:rPr>
        <w:sectPr w:rsidR="0086277A" w:rsidRPr="00C476EB" w:rsidSect="007C4073">
          <w:headerReference w:type="first" r:id="rId18"/>
          <w:footerReference w:type="first" r:id="rId19"/>
          <w:pgSz w:w="11906" w:h="16838" w:code="9"/>
          <w:pgMar w:top="3402" w:right="851" w:bottom="1361" w:left="851" w:header="539" w:footer="624" w:gutter="0"/>
          <w:cols w:num="2" w:space="284"/>
          <w:docGrid w:linePitch="360"/>
        </w:sectPr>
      </w:pPr>
    </w:p>
    <w:p w14:paraId="16E68CC6" w14:textId="5017FAE8" w:rsidR="0064798F" w:rsidRPr="00C476EB" w:rsidRDefault="0033166E" w:rsidP="00341AE1">
      <w:pPr>
        <w:pStyle w:val="Heading1"/>
        <w:framePr w:wrap="around"/>
      </w:pPr>
      <w:r w:rsidRPr="00C476EB">
        <w:lastRenderedPageBreak/>
        <w:t>About this tool</w:t>
      </w:r>
    </w:p>
    <w:p w14:paraId="12DE08FA" w14:textId="687F984E" w:rsidR="0033166E" w:rsidRPr="00C476EB" w:rsidRDefault="0033166E" w:rsidP="00341AE1">
      <w:pPr>
        <w:pStyle w:val="IntroductoryText"/>
      </w:pPr>
      <w:r w:rsidRPr="00C476EB">
        <w:t xml:space="preserve">In aged care </w:t>
      </w:r>
      <w:r w:rsidRPr="00341AE1">
        <w:t>services</w:t>
      </w:r>
      <w:r w:rsidRPr="00C476EB">
        <w:t xml:space="preserve">, infectious illness may spread from resident to resident, resulting in what we refer to as an outbreak. Outbreaks of infectious illness in residential aged care services are a risk to the health and wellbeing of residents, staff, and families. </w:t>
      </w:r>
    </w:p>
    <w:p w14:paraId="6B0B25B3" w14:textId="7B19A633" w:rsidR="0033166E" w:rsidRPr="000E55B2" w:rsidRDefault="0033166E" w:rsidP="00341AE1">
      <w:pPr>
        <w:rPr>
          <w:b/>
        </w:rPr>
      </w:pPr>
      <w:r w:rsidRPr="000E55B2">
        <w:t>There are many things an aged care service can do to limit the likelihood of diseases spreading between residents. All aged care providers need to work with their consumers to develop a clear plan for when a resident exhibits signs or symptoms of respiratory or gastroenteritis illnesses.</w:t>
      </w:r>
    </w:p>
    <w:p w14:paraId="25B23DCA" w14:textId="77777777" w:rsidR="0033166E" w:rsidRPr="000E55B2" w:rsidRDefault="0033166E" w:rsidP="00341AE1">
      <w:pPr>
        <w:rPr>
          <w:b/>
        </w:rPr>
      </w:pPr>
      <w:r w:rsidRPr="000E55B2">
        <w:t>For a good plan to be executed well, preparation is essential. Safer Care Victoria has worked with experts and clinicians to prepare this ‘health check’ tool, which is underpinned by improvement science.</w:t>
      </w:r>
    </w:p>
    <w:p w14:paraId="0A580EEE" w14:textId="6962527E" w:rsidR="0033166E" w:rsidRPr="000E55B2" w:rsidRDefault="0033166E" w:rsidP="00341AE1">
      <w:pPr>
        <w:rPr>
          <w:b/>
        </w:rPr>
      </w:pPr>
      <w:r w:rsidRPr="000E55B2">
        <w:t>Use this tool to test your current preparedness against key resource requirements.</w:t>
      </w:r>
    </w:p>
    <w:p w14:paraId="32A874E0" w14:textId="681B2E7E" w:rsidR="0064798F" w:rsidRPr="00C476EB" w:rsidRDefault="008F60B2" w:rsidP="00341AE1">
      <w:pPr>
        <w:pStyle w:val="Heading2"/>
      </w:pPr>
      <w:r w:rsidRPr="00C476EB">
        <w:t>How to use this tool</w:t>
      </w:r>
    </w:p>
    <w:p w14:paraId="039885DA" w14:textId="77777777" w:rsidR="0064798F" w:rsidRPr="00C476EB" w:rsidRDefault="0064798F" w:rsidP="0064798F">
      <w:pPr>
        <w:pStyle w:val="Normalfollowingheading"/>
        <w:rPr>
          <w:rFonts w:ascii="VIC" w:hAnsi="VIC"/>
        </w:rPr>
        <w:sectPr w:rsidR="0064798F" w:rsidRPr="00C476EB" w:rsidSect="00265EC8">
          <w:pgSz w:w="11906" w:h="16838" w:code="9"/>
          <w:pgMar w:top="3402" w:right="851" w:bottom="1361" w:left="851" w:header="539" w:footer="624" w:gutter="0"/>
          <w:pgNumType w:start="1"/>
          <w:cols w:space="284"/>
          <w:docGrid w:linePitch="360"/>
        </w:sectPr>
      </w:pPr>
    </w:p>
    <w:p w14:paraId="69AFC179" w14:textId="2209F1D5" w:rsidR="008F60B2" w:rsidRPr="00C476EB" w:rsidRDefault="008F60B2" w:rsidP="00341AE1">
      <w:r w:rsidRPr="00C476EB">
        <w:t>This document walks you through how to review and prepare for responding to outbreaks of infectious illness. Based on the Institute for Healthcare Improvement’s (IHI) model for improvement, this approach can be adapted to your service. It will support you to make meaningful changes that lead to measurable improvements.</w:t>
      </w:r>
    </w:p>
    <w:p w14:paraId="1EE35D04" w14:textId="77777777" w:rsidR="008F60B2" w:rsidRPr="00C476EB" w:rsidRDefault="008F60B2" w:rsidP="00341AE1">
      <w:r w:rsidRPr="00C476EB">
        <w:t>This document is grouped into six steps:</w:t>
      </w:r>
    </w:p>
    <w:p w14:paraId="4EACA92D" w14:textId="424321F6" w:rsidR="008F60B2" w:rsidRPr="00C476EB" w:rsidRDefault="008F60B2" w:rsidP="00341AE1">
      <w:pPr>
        <w:pStyle w:val="Listnum"/>
        <w:numPr>
          <w:ilvl w:val="0"/>
          <w:numId w:val="19"/>
        </w:numPr>
      </w:pPr>
      <w:r w:rsidRPr="00C476EB">
        <w:t>Form a project team</w:t>
      </w:r>
    </w:p>
    <w:p w14:paraId="247ABC60" w14:textId="3C148C04" w:rsidR="008F60B2" w:rsidRPr="00C476EB" w:rsidRDefault="008F60B2" w:rsidP="00341AE1">
      <w:pPr>
        <w:pStyle w:val="Listnum"/>
        <w:numPr>
          <w:ilvl w:val="0"/>
          <w:numId w:val="19"/>
        </w:numPr>
      </w:pPr>
      <w:r w:rsidRPr="00C476EB">
        <w:t>Understand your gaps</w:t>
      </w:r>
    </w:p>
    <w:p w14:paraId="7B4C458C" w14:textId="3CCE64C0" w:rsidR="008F60B2" w:rsidRPr="00C476EB" w:rsidRDefault="008F60B2" w:rsidP="00341AE1">
      <w:pPr>
        <w:pStyle w:val="Listnum"/>
        <w:numPr>
          <w:ilvl w:val="0"/>
          <w:numId w:val="19"/>
        </w:numPr>
      </w:pPr>
      <w:r w:rsidRPr="00C476EB">
        <w:t>Develop measures</w:t>
      </w:r>
    </w:p>
    <w:p w14:paraId="54FBFC94" w14:textId="3788EA3D" w:rsidR="008F60B2" w:rsidRPr="00C476EB" w:rsidRDefault="008F60B2" w:rsidP="00341AE1">
      <w:pPr>
        <w:pStyle w:val="Listnum"/>
        <w:numPr>
          <w:ilvl w:val="0"/>
          <w:numId w:val="19"/>
        </w:numPr>
      </w:pPr>
      <w:r w:rsidRPr="00C476EB">
        <w:t>Brainstorm change ideas</w:t>
      </w:r>
    </w:p>
    <w:p w14:paraId="1A8EED58" w14:textId="436F4F93" w:rsidR="008F60B2" w:rsidRPr="00C476EB" w:rsidRDefault="00813EEA" w:rsidP="00341AE1">
      <w:pPr>
        <w:pStyle w:val="Listnum"/>
        <w:numPr>
          <w:ilvl w:val="0"/>
          <w:numId w:val="19"/>
        </w:numPr>
      </w:pPr>
      <w:r>
        <w:t>Review your change ideas</w:t>
      </w:r>
    </w:p>
    <w:p w14:paraId="5CD05C63" w14:textId="18B74DCF" w:rsidR="008F60B2" w:rsidRPr="00C476EB" w:rsidRDefault="008F60B2" w:rsidP="00341AE1">
      <w:pPr>
        <w:pStyle w:val="Listnum"/>
        <w:numPr>
          <w:ilvl w:val="0"/>
          <w:numId w:val="19"/>
        </w:numPr>
      </w:pPr>
      <w:r w:rsidRPr="00C476EB">
        <w:t>Look for improvements, celebrate successes and change as needed</w:t>
      </w:r>
    </w:p>
    <w:p w14:paraId="0D53B2D2" w14:textId="53ED6F01" w:rsidR="0064798F" w:rsidRPr="00C476EB" w:rsidRDefault="008F60B2" w:rsidP="00341AE1">
      <w:r w:rsidRPr="00C476EB">
        <w:t>In each step you’ll find advice and key actions. At the back of this tool you’ll find key resources that you can use to check your service’s preparedness for outbreaks of infectious illness</w:t>
      </w:r>
      <w:r w:rsidR="00E16C85" w:rsidRPr="00C476EB">
        <w:t>.</w:t>
      </w:r>
    </w:p>
    <w:p w14:paraId="6C63F050" w14:textId="77777777" w:rsidR="00E16C85" w:rsidRPr="00C476EB" w:rsidRDefault="00E16C85">
      <w:pPr>
        <w:rPr>
          <w:rFonts w:ascii="VIC" w:hAnsi="VIC"/>
        </w:rPr>
      </w:pPr>
      <w:r w:rsidRPr="00C476EB">
        <w:rPr>
          <w:rFonts w:ascii="VIC" w:hAnsi="VIC"/>
        </w:rPr>
        <w:br w:type="page"/>
      </w:r>
    </w:p>
    <w:p w14:paraId="0041D59A" w14:textId="728F433B" w:rsidR="00727C45" w:rsidRPr="00C476EB" w:rsidRDefault="00E16C85" w:rsidP="00341AE1">
      <w:pPr>
        <w:pStyle w:val="Heading1"/>
        <w:framePr w:w="7971" w:wrap="around"/>
      </w:pPr>
      <w:r w:rsidRPr="00C476EB">
        <w:lastRenderedPageBreak/>
        <w:t>Step one: Form a project team</w:t>
      </w:r>
    </w:p>
    <w:p w14:paraId="2A8A5718" w14:textId="37B7131B" w:rsidR="00E16C85" w:rsidRPr="00C476EB" w:rsidRDefault="00E16C85" w:rsidP="00341AE1">
      <w:r w:rsidRPr="00C476EB">
        <w:t xml:space="preserve">Ensuring your service is prepared in the event of an infectious outbreak is everyone’s business. The first step of the improvement cycle is forming a team who can successfully implement change in your organisation. </w:t>
      </w:r>
    </w:p>
    <w:p w14:paraId="183C1042" w14:textId="1F6F95C9" w:rsidR="00E16C85" w:rsidRPr="00C476EB" w:rsidRDefault="00E16C85" w:rsidP="00341AE1">
      <w:r w:rsidRPr="00C476EB">
        <w:t xml:space="preserve">Forming the right project team to review your preparedness for potential or actual infectious outbreaks will give you the best chance of embedding any required changes. The ‘right team’ will have the expertise, resources and commitment for success. </w:t>
      </w:r>
    </w:p>
    <w:p w14:paraId="26FE3690" w14:textId="7A227241" w:rsidR="00E16C85" w:rsidRPr="00C476EB" w:rsidRDefault="00E16C85" w:rsidP="00341AE1">
      <w:r w:rsidRPr="00C476EB">
        <w:t>Responding to infectious illness and outbreaks is complex and will need all members of the care team working effectively together – not just the clinicians or infection control consultants. There is no one ‘recipe’ for a successful team to implement a change project, rather having a mix of system and day-to-day leaders and technical expertise will help ensure the success of the project.</w:t>
      </w:r>
    </w:p>
    <w:p w14:paraId="5183B133" w14:textId="168627E5" w:rsidR="00CF7398" w:rsidRDefault="00DA1AC1" w:rsidP="00341AE1">
      <w:r w:rsidRPr="00C476EB">
        <w:rPr>
          <w:b/>
          <w:noProof/>
        </w:rPr>
        <mc:AlternateContent>
          <mc:Choice Requires="wps">
            <w:drawing>
              <wp:anchor distT="0" distB="0" distL="114300" distR="114300" simplePos="0" relativeHeight="251665408" behindDoc="0" locked="0" layoutInCell="1" allowOverlap="1" wp14:anchorId="6B464170" wp14:editId="6448DBE0">
                <wp:simplePos x="0" y="0"/>
                <wp:positionH relativeFrom="column">
                  <wp:posOffset>15240</wp:posOffset>
                </wp:positionH>
                <wp:positionV relativeFrom="paragraph">
                  <wp:posOffset>1524470</wp:posOffset>
                </wp:positionV>
                <wp:extent cx="6412865" cy="2433320"/>
                <wp:effectExtent l="0" t="0" r="26035" b="2413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2433320"/>
                        </a:xfrm>
                        <a:prstGeom prst="rect">
                          <a:avLst/>
                        </a:prstGeom>
                        <a:solidFill>
                          <a:schemeClr val="accent1">
                            <a:lumMod val="20000"/>
                            <a:lumOff val="80000"/>
                          </a:schemeClr>
                        </a:solidFill>
                        <a:ln w="6350">
                          <a:solidFill>
                            <a:schemeClr val="bg2"/>
                          </a:solidFill>
                          <a:miter lim="800000"/>
                          <a:headEnd/>
                          <a:tailEnd/>
                        </a:ln>
                      </wps:spPr>
                      <wps:txbx>
                        <w:txbxContent>
                          <w:p w14:paraId="7E2AA103" w14:textId="428CBE77" w:rsidR="007251B0" w:rsidRPr="00CF7398" w:rsidRDefault="007251B0" w:rsidP="00341AE1">
                            <w:pPr>
                              <w:pStyle w:val="PulloutHeading"/>
                            </w:pPr>
                            <w:r w:rsidRPr="00341AE1">
                              <w:t>Remember</w:t>
                            </w:r>
                            <w:r>
                              <w:t>: D</w:t>
                            </w:r>
                            <w:r w:rsidRPr="00CF7398">
                              <w:t>on’t do it alone, you need a team</w:t>
                            </w:r>
                          </w:p>
                          <w:p w14:paraId="446FE3DB" w14:textId="1720559C" w:rsidR="007251B0" w:rsidRPr="00341AE1" w:rsidRDefault="007251B0" w:rsidP="00341AE1">
                            <w:pPr>
                              <w:pStyle w:val="PulloutText"/>
                            </w:pPr>
                            <w:r w:rsidRPr="00341AE1">
                              <w:t xml:space="preserve">When forming your team, you should consider including: </w:t>
                            </w:r>
                          </w:p>
                          <w:p w14:paraId="13851477" w14:textId="10A76B30" w:rsidR="007251B0" w:rsidRPr="00341AE1" w:rsidRDefault="007251B0" w:rsidP="00341AE1">
                            <w:pPr>
                              <w:pStyle w:val="PulloutText"/>
                              <w:numPr>
                                <w:ilvl w:val="0"/>
                                <w:numId w:val="20"/>
                              </w:numPr>
                            </w:pPr>
                            <w:r w:rsidRPr="00341AE1">
                              <w:rPr>
                                <w:b/>
                                <w:bCs/>
                              </w:rPr>
                              <w:t>a resident and/or family member</w:t>
                            </w:r>
                            <w:r w:rsidRPr="00341AE1">
                              <w:t xml:space="preserve"> – to meaningfully engaging consumers in your improvement and innovation activities and ensure changes meet the needs of the consumer </w:t>
                            </w:r>
                          </w:p>
                          <w:p w14:paraId="736ECCC7" w14:textId="699C63B1" w:rsidR="007251B0" w:rsidRPr="00341AE1" w:rsidRDefault="007251B0" w:rsidP="00341AE1">
                            <w:pPr>
                              <w:pStyle w:val="PulloutText"/>
                              <w:numPr>
                                <w:ilvl w:val="0"/>
                                <w:numId w:val="20"/>
                              </w:numPr>
                            </w:pPr>
                            <w:r w:rsidRPr="00341AE1">
                              <w:rPr>
                                <w:b/>
                                <w:bCs/>
                              </w:rPr>
                              <w:t>an executive sponsor</w:t>
                            </w:r>
                            <w:r w:rsidRPr="00341AE1">
                              <w:t xml:space="preserve"> – to be responsible for the overall success of the project</w:t>
                            </w:r>
                          </w:p>
                          <w:p w14:paraId="7CB2ED4B" w14:textId="12AE38A6" w:rsidR="007251B0" w:rsidRPr="00341AE1" w:rsidRDefault="007251B0" w:rsidP="00341AE1">
                            <w:pPr>
                              <w:pStyle w:val="PulloutText"/>
                              <w:numPr>
                                <w:ilvl w:val="0"/>
                                <w:numId w:val="20"/>
                              </w:numPr>
                            </w:pPr>
                            <w:r w:rsidRPr="00341AE1">
                              <w:rPr>
                                <w:b/>
                                <w:bCs/>
                              </w:rPr>
                              <w:t>internal technical expertise</w:t>
                            </w:r>
                            <w:r w:rsidRPr="00341AE1">
                              <w:t xml:space="preserve"> – such as infection control practitioners, nursing staff or quality officers </w:t>
                            </w:r>
                          </w:p>
                          <w:p w14:paraId="774651F3" w14:textId="1C91972B" w:rsidR="007251B0" w:rsidRPr="00341AE1" w:rsidRDefault="007251B0" w:rsidP="00341AE1">
                            <w:pPr>
                              <w:pStyle w:val="PulloutText"/>
                              <w:numPr>
                                <w:ilvl w:val="0"/>
                                <w:numId w:val="20"/>
                              </w:numPr>
                            </w:pPr>
                            <w:r w:rsidRPr="00341AE1">
                              <w:rPr>
                                <w:b/>
                                <w:bCs/>
                              </w:rPr>
                              <w:t>external technical expertise</w:t>
                            </w:r>
                            <w:r w:rsidRPr="00341AE1">
                              <w:t xml:space="preserve"> – such as GPs, Nurse practitioners, medical </w:t>
                            </w:r>
                            <w:proofErr w:type="gramStart"/>
                            <w:r w:rsidRPr="00341AE1">
                              <w:t>specialists</w:t>
                            </w:r>
                            <w:proofErr w:type="gramEnd"/>
                            <w:r w:rsidRPr="00341AE1">
                              <w:t xml:space="preserve"> pharmacists and allied health professionals</w:t>
                            </w:r>
                          </w:p>
                          <w:p w14:paraId="5FC2D348" w14:textId="24B8B09E" w:rsidR="007251B0" w:rsidRPr="00341AE1" w:rsidRDefault="007251B0" w:rsidP="00341AE1">
                            <w:pPr>
                              <w:pStyle w:val="PulloutText"/>
                              <w:numPr>
                                <w:ilvl w:val="0"/>
                                <w:numId w:val="20"/>
                              </w:numPr>
                            </w:pPr>
                            <w:r w:rsidRPr="00341AE1">
                              <w:rPr>
                                <w:b/>
                                <w:bCs/>
                              </w:rPr>
                              <w:t>other staff/stakeholders with expertise</w:t>
                            </w:r>
                            <w:r w:rsidRPr="00341AE1">
                              <w:t xml:space="preserve"> that can help you to achieve your aim. </w:t>
                            </w:r>
                          </w:p>
                        </w:txbxContent>
                      </wps:txbx>
                      <wps:bodyPr rot="0" vert="horz" wrap="square" lIns="180000" tIns="180000" rIns="144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64170" id="_x0000_t202" coordsize="21600,21600" o:spt="202" path="m,l,21600r21600,l21600,xe">
                <v:stroke joinstyle="miter"/>
                <v:path gradientshapeok="t" o:connecttype="rect"/>
              </v:shapetype>
              <v:shape id="Text Box 1" o:spid="_x0000_s1026" type="#_x0000_t202" style="position:absolute;margin-left:1.2pt;margin-top:120.05pt;width:504.95pt;height:19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" fillcolor="#d6ecef [660]" strokecolor="#edf5f7 [3214]" strokeweight=".5pt">
                <v:textbox inset="5mm,5mm,4mm,1mm">
                  <w:txbxContent>
                    <w:p w14:paraId="7E2AA103" w14:textId="428CBE77" w:rsidR="007251B0" w:rsidRPr="00CF7398" w:rsidRDefault="007251B0" w:rsidP="00341AE1">
                      <w:pPr>
                        <w:pStyle w:val="PulloutHeading"/>
                      </w:pPr>
                      <w:r w:rsidRPr="00341AE1">
                        <w:t>Remember</w:t>
                      </w:r>
                      <w:r>
                        <w:t>: D</w:t>
                      </w:r>
                      <w:r w:rsidRPr="00CF7398">
                        <w:t>on’t do it alone, you need a team</w:t>
                      </w:r>
                    </w:p>
                    <w:p w14:paraId="446FE3DB" w14:textId="1720559C" w:rsidR="007251B0" w:rsidRPr="00341AE1" w:rsidRDefault="007251B0" w:rsidP="00341AE1">
                      <w:pPr>
                        <w:pStyle w:val="PulloutText"/>
                      </w:pPr>
                      <w:r w:rsidRPr="00341AE1">
                        <w:t xml:space="preserve">When forming your team, you should consider including: </w:t>
                      </w:r>
                    </w:p>
                    <w:p w14:paraId="13851477" w14:textId="10A76B30" w:rsidR="007251B0" w:rsidRPr="00341AE1" w:rsidRDefault="007251B0" w:rsidP="00341AE1">
                      <w:pPr>
                        <w:pStyle w:val="PulloutText"/>
                        <w:numPr>
                          <w:ilvl w:val="0"/>
                          <w:numId w:val="20"/>
                        </w:numPr>
                      </w:pPr>
                      <w:r w:rsidRPr="00341AE1">
                        <w:rPr>
                          <w:b/>
                          <w:bCs/>
                        </w:rPr>
                        <w:t>a resident and/or family member</w:t>
                      </w:r>
                      <w:r w:rsidRPr="00341AE1">
                        <w:t xml:space="preserve"> – to meaningfully engaging consumers in your improvement and innovation activities and ensure changes meet the needs of the consumer </w:t>
                      </w:r>
                    </w:p>
                    <w:p w14:paraId="736ECCC7" w14:textId="699C63B1" w:rsidR="007251B0" w:rsidRPr="00341AE1" w:rsidRDefault="007251B0" w:rsidP="00341AE1">
                      <w:pPr>
                        <w:pStyle w:val="PulloutText"/>
                        <w:numPr>
                          <w:ilvl w:val="0"/>
                          <w:numId w:val="20"/>
                        </w:numPr>
                      </w:pPr>
                      <w:r w:rsidRPr="00341AE1">
                        <w:rPr>
                          <w:b/>
                          <w:bCs/>
                        </w:rPr>
                        <w:t>an executive sponsor</w:t>
                      </w:r>
                      <w:r w:rsidRPr="00341AE1">
                        <w:t xml:space="preserve"> – to be responsible for the overall success of the project</w:t>
                      </w:r>
                    </w:p>
                    <w:p w14:paraId="7CB2ED4B" w14:textId="12AE38A6" w:rsidR="007251B0" w:rsidRPr="00341AE1" w:rsidRDefault="007251B0" w:rsidP="00341AE1">
                      <w:pPr>
                        <w:pStyle w:val="PulloutText"/>
                        <w:numPr>
                          <w:ilvl w:val="0"/>
                          <w:numId w:val="20"/>
                        </w:numPr>
                      </w:pPr>
                      <w:r w:rsidRPr="00341AE1">
                        <w:rPr>
                          <w:b/>
                          <w:bCs/>
                        </w:rPr>
                        <w:t>internal technical expertise</w:t>
                      </w:r>
                      <w:r w:rsidRPr="00341AE1">
                        <w:t xml:space="preserve"> – such as infection control practitioners, nursing staff or quality officers </w:t>
                      </w:r>
                    </w:p>
                    <w:p w14:paraId="774651F3" w14:textId="1C91972B" w:rsidR="007251B0" w:rsidRPr="00341AE1" w:rsidRDefault="007251B0" w:rsidP="00341AE1">
                      <w:pPr>
                        <w:pStyle w:val="PulloutText"/>
                        <w:numPr>
                          <w:ilvl w:val="0"/>
                          <w:numId w:val="20"/>
                        </w:numPr>
                      </w:pPr>
                      <w:r w:rsidRPr="00341AE1">
                        <w:rPr>
                          <w:b/>
                          <w:bCs/>
                        </w:rPr>
                        <w:t>external technical expertise</w:t>
                      </w:r>
                      <w:r w:rsidRPr="00341AE1">
                        <w:t xml:space="preserve"> – such as GPs, Nurse practitioners, medical </w:t>
                      </w:r>
                      <w:proofErr w:type="gramStart"/>
                      <w:r w:rsidRPr="00341AE1">
                        <w:t>specialists</w:t>
                      </w:r>
                      <w:proofErr w:type="gramEnd"/>
                      <w:r w:rsidRPr="00341AE1">
                        <w:t xml:space="preserve"> pharmacists and allied health professionals</w:t>
                      </w:r>
                    </w:p>
                    <w:p w14:paraId="5FC2D348" w14:textId="24B8B09E" w:rsidR="007251B0" w:rsidRPr="00341AE1" w:rsidRDefault="007251B0" w:rsidP="00341AE1">
                      <w:pPr>
                        <w:pStyle w:val="PulloutText"/>
                        <w:numPr>
                          <w:ilvl w:val="0"/>
                          <w:numId w:val="20"/>
                        </w:numPr>
                      </w:pPr>
                      <w:r w:rsidRPr="00341AE1">
                        <w:rPr>
                          <w:b/>
                          <w:bCs/>
                        </w:rPr>
                        <w:t>other staff/stakeholders with expertise</w:t>
                      </w:r>
                      <w:r w:rsidRPr="00341AE1">
                        <w:t xml:space="preserve"> that can help you to achieve your aim. </w:t>
                      </w:r>
                    </w:p>
                  </w:txbxContent>
                </v:textbox>
                <w10:wrap type="topAndBottom"/>
              </v:shape>
            </w:pict>
          </mc:Fallback>
        </mc:AlternateContent>
      </w:r>
      <w:r w:rsidR="00E16C85" w:rsidRPr="00C476EB">
        <w:t>Forming a project team is only the beginning. Next you need to be clear on what you are trying to achieve by agreeing on an aim. A strong aim with a clear timeframe will establish what you want to accomplish and will keep your team on track. It may be an aim to improve part of your service delivery, or more broadly cover a wider aspect of care.</w:t>
      </w:r>
    </w:p>
    <w:p w14:paraId="39CE773E" w14:textId="247C7C5A" w:rsidR="00CF7398" w:rsidRPr="00DA1AC1" w:rsidRDefault="00CF7398" w:rsidP="00341AE1">
      <w:pPr>
        <w:pStyle w:val="Heading3"/>
      </w:pPr>
      <w:r>
        <w:rPr>
          <w:rFonts w:ascii="VIC" w:hAnsi="VIC"/>
        </w:rPr>
        <w:br w:type="column"/>
      </w:r>
      <w:r w:rsidRPr="00DA1AC1">
        <w:t xml:space="preserve">Be clear on </w:t>
      </w:r>
      <w:r w:rsidRPr="00341AE1">
        <w:t>what</w:t>
      </w:r>
      <w:r w:rsidRPr="00DA1AC1">
        <w:t xml:space="preserve"> you are trying to achieve</w:t>
      </w:r>
    </w:p>
    <w:p w14:paraId="40C15B04" w14:textId="09553A5B" w:rsidR="00CF7398" w:rsidRPr="00DD768B" w:rsidRDefault="00CF7398" w:rsidP="00341AE1">
      <w:pPr>
        <w:pStyle w:val="Normalfollowingheading"/>
      </w:pPr>
      <w:r w:rsidRPr="00DD768B">
        <w:t>Your aim should be specific to your organisation, your staff and the residents at your service.</w:t>
      </w:r>
    </w:p>
    <w:p w14:paraId="54CD8BF5" w14:textId="141D33EF" w:rsidR="00CF7398" w:rsidRPr="00CF7398" w:rsidRDefault="00CF7398" w:rsidP="00341AE1">
      <w:r w:rsidRPr="00CF7398">
        <w:t xml:space="preserve">Your team can always come back and revise your aim as you progress, however being ambitious at the outset will give your team a good foundation to build on. </w:t>
      </w:r>
    </w:p>
    <w:p w14:paraId="6C7F183C" w14:textId="58E571EF" w:rsidR="00CF7398" w:rsidRPr="00CF7398" w:rsidRDefault="00CF7398" w:rsidP="00341AE1">
      <w:r w:rsidRPr="00CF7398">
        <w:t xml:space="preserve">Some examples of an aim include: </w:t>
      </w:r>
    </w:p>
    <w:p w14:paraId="62D194A8" w14:textId="22841B1A" w:rsidR="00CF7398" w:rsidRPr="00341AE1" w:rsidRDefault="00CF7398" w:rsidP="00341AE1">
      <w:pPr>
        <w:pStyle w:val="Bullet1"/>
      </w:pPr>
      <w:r w:rsidRPr="00CF7398">
        <w:t xml:space="preserve">Reduce the risk of influenza transmission </w:t>
      </w:r>
      <w:r w:rsidRPr="00341AE1">
        <w:t>between residents and staff by increasing the rate of staff, resident and volunteer vaccinations to at least 95 per cent by September 2020.</w:t>
      </w:r>
    </w:p>
    <w:p w14:paraId="392C31D5" w14:textId="72415C65" w:rsidR="007C2448" w:rsidRPr="004603C8" w:rsidRDefault="00CF7398" w:rsidP="00341AE1">
      <w:pPr>
        <w:pStyle w:val="Bullet1"/>
      </w:pPr>
      <w:r w:rsidRPr="00341AE1">
        <w:t>Reduce the risk of influenza spreading to well residents by ensuring prophylaxis has been considered and a plan documented for 100 per cent of Dr Smith’s residents and signed off by the by GP by May</w:t>
      </w:r>
      <w:r w:rsidRPr="00CF7398">
        <w:t xml:space="preserve"> 2020. </w:t>
      </w:r>
    </w:p>
    <w:p w14:paraId="2C0235CA" w14:textId="316C687D" w:rsidR="007C2448" w:rsidRPr="00C476EB" w:rsidRDefault="007C2448">
      <w:pPr>
        <w:rPr>
          <w:rFonts w:ascii="VIC" w:hAnsi="VIC"/>
        </w:rPr>
      </w:pPr>
      <w:r w:rsidRPr="00C476EB">
        <w:rPr>
          <w:rFonts w:ascii="VIC" w:hAnsi="VIC"/>
        </w:rPr>
        <w:br w:type="page"/>
      </w:r>
    </w:p>
    <w:p w14:paraId="6F83FE67" w14:textId="381D0D4F" w:rsidR="00E16C85" w:rsidRPr="002571FE" w:rsidRDefault="007C2448" w:rsidP="00341AE1">
      <w:pPr>
        <w:pStyle w:val="Heading1"/>
        <w:framePr w:w="7653" w:wrap="around"/>
      </w:pPr>
      <w:r w:rsidRPr="002571FE">
        <w:lastRenderedPageBreak/>
        <w:t>Step two:</w:t>
      </w:r>
      <w:r w:rsidR="00DD768B">
        <w:t xml:space="preserve"> </w:t>
      </w:r>
      <w:r w:rsidRPr="002571FE">
        <w:t>Understand your gaps</w:t>
      </w:r>
    </w:p>
    <w:p w14:paraId="16896794" w14:textId="37ABEE85" w:rsidR="00215C72" w:rsidRPr="00C476EB" w:rsidRDefault="00215C72" w:rsidP="00341AE1">
      <w:r w:rsidRPr="00C476EB">
        <w:rPr>
          <w:rFonts w:eastAsia="Times New Roman" w:cs="Calibri"/>
          <w:noProof/>
        </w:rPr>
        <mc:AlternateContent>
          <mc:Choice Requires="wps">
            <w:drawing>
              <wp:anchor distT="0" distB="0" distL="114300" distR="114300" simplePos="0" relativeHeight="251666432" behindDoc="0" locked="0" layoutInCell="1" allowOverlap="1" wp14:anchorId="2F294C0E" wp14:editId="3E4DAA9D">
                <wp:simplePos x="0" y="0"/>
                <wp:positionH relativeFrom="column">
                  <wp:posOffset>3379608</wp:posOffset>
                </wp:positionH>
                <wp:positionV relativeFrom="paragraph">
                  <wp:posOffset>-29321</wp:posOffset>
                </wp:positionV>
                <wp:extent cx="3114675" cy="5168347"/>
                <wp:effectExtent l="0" t="0" r="2857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168347"/>
                        </a:xfrm>
                        <a:prstGeom prst="rect">
                          <a:avLst/>
                        </a:prstGeom>
                        <a:solidFill>
                          <a:schemeClr val="accent1">
                            <a:lumMod val="20000"/>
                            <a:lumOff val="80000"/>
                          </a:schemeClr>
                        </a:solidFill>
                        <a:ln w="6350">
                          <a:solidFill>
                            <a:schemeClr val="bg2"/>
                          </a:solidFill>
                          <a:miter lim="800000"/>
                          <a:headEnd/>
                          <a:tailEnd/>
                        </a:ln>
                      </wps:spPr>
                      <wps:txbx>
                        <w:txbxContent>
                          <w:p w14:paraId="55736D95" w14:textId="77777777" w:rsidR="007251B0" w:rsidRPr="002571FE" w:rsidRDefault="007251B0" w:rsidP="00341AE1">
                            <w:pPr>
                              <w:pStyle w:val="PulloutHeading"/>
                            </w:pPr>
                            <w:r w:rsidRPr="00341AE1">
                              <w:t>Before</w:t>
                            </w:r>
                            <w:r w:rsidRPr="002571FE">
                              <w:t xml:space="preserve"> you can improve you need to understand your current state</w:t>
                            </w:r>
                          </w:p>
                          <w:p w14:paraId="483FBDE7" w14:textId="77777777" w:rsidR="007251B0" w:rsidRPr="000E55B2" w:rsidRDefault="007251B0" w:rsidP="00341AE1">
                            <w:pPr>
                              <w:pStyle w:val="PulloutText"/>
                            </w:pPr>
                            <w:r w:rsidRPr="000E55B2">
                              <w:t xml:space="preserve">Establishing your baseline may involve: </w:t>
                            </w:r>
                          </w:p>
                          <w:p w14:paraId="5065196A" w14:textId="08DE3AC6" w:rsidR="007251B0" w:rsidRPr="00341AE1" w:rsidRDefault="007251B0" w:rsidP="000E55B2">
                            <w:pPr>
                              <w:pStyle w:val="PulloutText"/>
                              <w:numPr>
                                <w:ilvl w:val="0"/>
                                <w:numId w:val="14"/>
                              </w:numPr>
                              <w:rPr>
                                <w:rFonts w:cstheme="minorHAnsi"/>
                              </w:rPr>
                            </w:pPr>
                            <w:r w:rsidRPr="00341AE1">
                              <w:rPr>
                                <w:rFonts w:cstheme="minorHAnsi"/>
                                <w:b/>
                              </w:rPr>
                              <w:t>reviewing policies and procedures, to ensure they reflect current guidelines</w:t>
                            </w:r>
                            <w:r w:rsidRPr="00341AE1">
                              <w:rPr>
                                <w:rFonts w:cstheme="minorHAnsi"/>
                              </w:rPr>
                              <w:t xml:space="preserve"> (this tool provides links to current evidence-based guidelines to assist your review)</w:t>
                            </w:r>
                          </w:p>
                          <w:p w14:paraId="518CD0D2" w14:textId="508184F6" w:rsidR="007251B0" w:rsidRPr="00341AE1" w:rsidRDefault="007251B0" w:rsidP="000E55B2">
                            <w:pPr>
                              <w:pStyle w:val="PulloutText"/>
                              <w:numPr>
                                <w:ilvl w:val="0"/>
                                <w:numId w:val="14"/>
                              </w:numPr>
                              <w:rPr>
                                <w:rFonts w:cstheme="minorHAnsi"/>
                              </w:rPr>
                            </w:pPr>
                            <w:r w:rsidRPr="00341AE1">
                              <w:rPr>
                                <w:rFonts w:cstheme="minorHAnsi"/>
                                <w:b/>
                              </w:rPr>
                              <w:t>understanding staff knowledge of infection control and outbreak management</w:t>
                            </w:r>
                            <w:r w:rsidRPr="00341AE1">
                              <w:rPr>
                                <w:rFonts w:cstheme="minorHAnsi"/>
                                <w:bCs/>
                              </w:rPr>
                              <w:t>,</w:t>
                            </w:r>
                            <w:r w:rsidRPr="00341AE1">
                              <w:rPr>
                                <w:rFonts w:cstheme="minorHAnsi"/>
                              </w:rPr>
                              <w:t xml:space="preserve"> including if staff can access guidelines and policies</w:t>
                            </w:r>
                          </w:p>
                          <w:p w14:paraId="2233F5E9" w14:textId="77777777" w:rsidR="007251B0" w:rsidRPr="00341AE1" w:rsidRDefault="007251B0" w:rsidP="000E55B2">
                            <w:pPr>
                              <w:pStyle w:val="PulloutText"/>
                              <w:numPr>
                                <w:ilvl w:val="0"/>
                                <w:numId w:val="14"/>
                              </w:numPr>
                              <w:rPr>
                                <w:rFonts w:cstheme="minorHAnsi"/>
                              </w:rPr>
                            </w:pPr>
                            <w:r w:rsidRPr="00341AE1">
                              <w:rPr>
                                <w:rFonts w:cstheme="minorHAnsi"/>
                                <w:b/>
                              </w:rPr>
                              <w:t xml:space="preserve">reviewing previous feedback from consumers or public health authorities </w:t>
                            </w:r>
                            <w:r w:rsidRPr="00341AE1">
                              <w:rPr>
                                <w:rFonts w:cstheme="minorHAnsi"/>
                              </w:rPr>
                              <w:t xml:space="preserve">that emerged from previous outbreaks </w:t>
                            </w:r>
                          </w:p>
                          <w:p w14:paraId="3E6DBB85" w14:textId="77777777" w:rsidR="007251B0" w:rsidRPr="00341AE1" w:rsidRDefault="007251B0" w:rsidP="000E55B2">
                            <w:pPr>
                              <w:pStyle w:val="PulloutText"/>
                              <w:numPr>
                                <w:ilvl w:val="0"/>
                                <w:numId w:val="14"/>
                              </w:numPr>
                              <w:rPr>
                                <w:rFonts w:cstheme="minorHAnsi"/>
                              </w:rPr>
                            </w:pPr>
                            <w:r w:rsidRPr="00341AE1">
                              <w:rPr>
                                <w:rFonts w:cstheme="minorHAnsi"/>
                                <w:b/>
                              </w:rPr>
                              <w:t>reading up on evaluations of previous outbreaks</w:t>
                            </w:r>
                            <w:r w:rsidRPr="00341AE1">
                              <w:rPr>
                                <w:rFonts w:cstheme="minorHAnsi"/>
                              </w:rPr>
                              <w:t xml:space="preserve"> to understand any factors that contributed to previous outbreaks – such as unwell visitors coming to the service – and the lessons that may assist with future preparations</w:t>
                            </w:r>
                          </w:p>
                          <w:p w14:paraId="12BFA8EC" w14:textId="77777777" w:rsidR="007251B0" w:rsidRPr="00341AE1" w:rsidRDefault="007251B0" w:rsidP="000E55B2">
                            <w:pPr>
                              <w:pStyle w:val="PulloutText"/>
                              <w:numPr>
                                <w:ilvl w:val="0"/>
                                <w:numId w:val="14"/>
                              </w:numPr>
                              <w:rPr>
                                <w:rFonts w:cstheme="minorHAnsi"/>
                              </w:rPr>
                            </w:pPr>
                            <w:r w:rsidRPr="00341AE1">
                              <w:rPr>
                                <w:rFonts w:cstheme="minorHAnsi"/>
                                <w:b/>
                              </w:rPr>
                              <w:t xml:space="preserve">looking at key data sources </w:t>
                            </w:r>
                            <w:r w:rsidRPr="00341AE1">
                              <w:rPr>
                                <w:rFonts w:cstheme="minorHAnsi"/>
                                <w:bCs/>
                              </w:rPr>
                              <w:t>–</w:t>
                            </w:r>
                            <w:r w:rsidRPr="00341AE1">
                              <w:rPr>
                                <w:rFonts w:cstheme="minorHAnsi"/>
                                <w:b/>
                              </w:rPr>
                              <w:t xml:space="preserve"> </w:t>
                            </w:r>
                            <w:r w:rsidRPr="00341AE1">
                              <w:rPr>
                                <w:rFonts w:cstheme="minorHAnsi"/>
                                <w:bCs/>
                              </w:rPr>
                              <w:t xml:space="preserve">such as vaccination rates for staff, volunteers and residents – </w:t>
                            </w:r>
                            <w:r w:rsidRPr="00341AE1">
                              <w:rPr>
                                <w:rFonts w:cstheme="minorHAnsi"/>
                              </w:rPr>
                              <w:t xml:space="preserve">for opportunities to improve from the previous year. </w:t>
                            </w:r>
                          </w:p>
                        </w:txbxContent>
                      </wps:txbx>
                      <wps:bodyPr rot="0" vert="horz" wrap="square" lIns="180000" tIns="180000" rIns="144000" bIns="36000" anchor="t" anchorCtr="0">
                        <a:noAutofit/>
                      </wps:bodyPr>
                    </wps:wsp>
                  </a:graphicData>
                </a:graphic>
                <wp14:sizeRelH relativeFrom="page">
                  <wp14:pctWidth>0</wp14:pctWidth>
                </wp14:sizeRelH>
                <wp14:sizeRelV relativeFrom="page">
                  <wp14:pctHeight>0</wp14:pctHeight>
                </wp14:sizeRelV>
              </wp:anchor>
            </w:drawing>
          </mc:Choice>
          <mc:Fallback>
            <w:pict>
              <v:shape w14:anchorId="2F294C0E" id="Text Box 8" o:spid="_x0000_s1027" type="#_x0000_t202" style="position:absolute;margin-left:266.1pt;margin-top:-2.3pt;width:245.25pt;height:40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" fillcolor="#d6ecef [660]" strokecolor="#edf5f7 [3214]" strokeweight=".5pt">
                <v:textbox inset="5mm,5mm,4mm,1mm">
                  <w:txbxContent>
                    <w:p w14:paraId="55736D95" w14:textId="77777777" w:rsidR="007251B0" w:rsidRPr="002571FE" w:rsidRDefault="007251B0" w:rsidP="00341AE1">
                      <w:pPr>
                        <w:pStyle w:val="PulloutHeading"/>
                      </w:pPr>
                      <w:r w:rsidRPr="00341AE1">
                        <w:t>Before</w:t>
                      </w:r>
                      <w:r w:rsidRPr="002571FE">
                        <w:t xml:space="preserve"> you can improve you need to understand your current state</w:t>
                      </w:r>
                    </w:p>
                    <w:p w14:paraId="483FBDE7" w14:textId="77777777" w:rsidR="007251B0" w:rsidRPr="000E55B2" w:rsidRDefault="007251B0" w:rsidP="00341AE1">
                      <w:pPr>
                        <w:pStyle w:val="PulloutText"/>
                      </w:pPr>
                      <w:r w:rsidRPr="000E55B2">
                        <w:t xml:space="preserve">Establishing your baseline may involve: </w:t>
                      </w:r>
                    </w:p>
                    <w:p w14:paraId="5065196A" w14:textId="08DE3AC6" w:rsidR="007251B0" w:rsidRPr="00341AE1" w:rsidRDefault="007251B0" w:rsidP="000E55B2">
                      <w:pPr>
                        <w:pStyle w:val="PulloutText"/>
                        <w:numPr>
                          <w:ilvl w:val="0"/>
                          <w:numId w:val="14"/>
                        </w:numPr>
                        <w:rPr>
                          <w:rFonts w:cstheme="minorHAnsi"/>
                        </w:rPr>
                      </w:pPr>
                      <w:r w:rsidRPr="00341AE1">
                        <w:rPr>
                          <w:rFonts w:cstheme="minorHAnsi"/>
                          <w:b/>
                        </w:rPr>
                        <w:t>reviewing policies and procedures, to ensure they reflect current guidelines</w:t>
                      </w:r>
                      <w:r w:rsidRPr="00341AE1">
                        <w:rPr>
                          <w:rFonts w:cstheme="minorHAnsi"/>
                        </w:rPr>
                        <w:t xml:space="preserve"> (this tool provides links to current evidence-based guidelines to assist your review)</w:t>
                      </w:r>
                    </w:p>
                    <w:p w14:paraId="518CD0D2" w14:textId="508184F6" w:rsidR="007251B0" w:rsidRPr="00341AE1" w:rsidRDefault="007251B0" w:rsidP="000E55B2">
                      <w:pPr>
                        <w:pStyle w:val="PulloutText"/>
                        <w:numPr>
                          <w:ilvl w:val="0"/>
                          <w:numId w:val="14"/>
                        </w:numPr>
                        <w:rPr>
                          <w:rFonts w:cstheme="minorHAnsi"/>
                        </w:rPr>
                      </w:pPr>
                      <w:r w:rsidRPr="00341AE1">
                        <w:rPr>
                          <w:rFonts w:cstheme="minorHAnsi"/>
                          <w:b/>
                        </w:rPr>
                        <w:t>understanding staff knowledge of infection control and outbreak management</w:t>
                      </w:r>
                      <w:r w:rsidRPr="00341AE1">
                        <w:rPr>
                          <w:rFonts w:cstheme="minorHAnsi"/>
                          <w:bCs/>
                        </w:rPr>
                        <w:t>,</w:t>
                      </w:r>
                      <w:r w:rsidRPr="00341AE1">
                        <w:rPr>
                          <w:rFonts w:cstheme="minorHAnsi"/>
                        </w:rPr>
                        <w:t xml:space="preserve"> including if staff can access guidelines and policies</w:t>
                      </w:r>
                    </w:p>
                    <w:p w14:paraId="2233F5E9" w14:textId="77777777" w:rsidR="007251B0" w:rsidRPr="00341AE1" w:rsidRDefault="007251B0" w:rsidP="000E55B2">
                      <w:pPr>
                        <w:pStyle w:val="PulloutText"/>
                        <w:numPr>
                          <w:ilvl w:val="0"/>
                          <w:numId w:val="14"/>
                        </w:numPr>
                        <w:rPr>
                          <w:rFonts w:cstheme="minorHAnsi"/>
                        </w:rPr>
                      </w:pPr>
                      <w:r w:rsidRPr="00341AE1">
                        <w:rPr>
                          <w:rFonts w:cstheme="minorHAnsi"/>
                          <w:b/>
                        </w:rPr>
                        <w:t xml:space="preserve">reviewing previous feedback from consumers or public health authorities </w:t>
                      </w:r>
                      <w:r w:rsidRPr="00341AE1">
                        <w:rPr>
                          <w:rFonts w:cstheme="minorHAnsi"/>
                        </w:rPr>
                        <w:t xml:space="preserve">that emerged from previous outbreaks </w:t>
                      </w:r>
                    </w:p>
                    <w:p w14:paraId="3E6DBB85" w14:textId="77777777" w:rsidR="007251B0" w:rsidRPr="00341AE1" w:rsidRDefault="007251B0" w:rsidP="000E55B2">
                      <w:pPr>
                        <w:pStyle w:val="PulloutText"/>
                        <w:numPr>
                          <w:ilvl w:val="0"/>
                          <w:numId w:val="14"/>
                        </w:numPr>
                        <w:rPr>
                          <w:rFonts w:cstheme="minorHAnsi"/>
                        </w:rPr>
                      </w:pPr>
                      <w:r w:rsidRPr="00341AE1">
                        <w:rPr>
                          <w:rFonts w:cstheme="minorHAnsi"/>
                          <w:b/>
                        </w:rPr>
                        <w:t>reading up on evaluations of previous outbreaks</w:t>
                      </w:r>
                      <w:r w:rsidRPr="00341AE1">
                        <w:rPr>
                          <w:rFonts w:cstheme="minorHAnsi"/>
                        </w:rPr>
                        <w:t xml:space="preserve"> to understand any factors that contributed to previous outbreaks – such as unwell visitors coming to the service – and the lessons that may assist with future preparations</w:t>
                      </w:r>
                    </w:p>
                    <w:p w14:paraId="12BFA8EC" w14:textId="77777777" w:rsidR="007251B0" w:rsidRPr="00341AE1" w:rsidRDefault="007251B0" w:rsidP="000E55B2">
                      <w:pPr>
                        <w:pStyle w:val="PulloutText"/>
                        <w:numPr>
                          <w:ilvl w:val="0"/>
                          <w:numId w:val="14"/>
                        </w:numPr>
                        <w:rPr>
                          <w:rFonts w:cstheme="minorHAnsi"/>
                        </w:rPr>
                      </w:pPr>
                      <w:r w:rsidRPr="00341AE1">
                        <w:rPr>
                          <w:rFonts w:cstheme="minorHAnsi"/>
                          <w:b/>
                        </w:rPr>
                        <w:t xml:space="preserve">looking at key data sources </w:t>
                      </w:r>
                      <w:r w:rsidRPr="00341AE1">
                        <w:rPr>
                          <w:rFonts w:cstheme="minorHAnsi"/>
                          <w:bCs/>
                        </w:rPr>
                        <w:t>–</w:t>
                      </w:r>
                      <w:r w:rsidRPr="00341AE1">
                        <w:rPr>
                          <w:rFonts w:cstheme="minorHAnsi"/>
                          <w:b/>
                        </w:rPr>
                        <w:t xml:space="preserve"> </w:t>
                      </w:r>
                      <w:r w:rsidRPr="00341AE1">
                        <w:rPr>
                          <w:rFonts w:cstheme="minorHAnsi"/>
                          <w:bCs/>
                        </w:rPr>
                        <w:t xml:space="preserve">such as vaccination rates for staff, volunteers and residents – </w:t>
                      </w:r>
                      <w:r w:rsidRPr="00341AE1">
                        <w:rPr>
                          <w:rFonts w:cstheme="minorHAnsi"/>
                        </w:rPr>
                        <w:t xml:space="preserve">for opportunities to improve from the previous year. </w:t>
                      </w:r>
                    </w:p>
                  </w:txbxContent>
                </v:textbox>
              </v:shape>
            </w:pict>
          </mc:Fallback>
        </mc:AlternateContent>
      </w:r>
      <w:r w:rsidRPr="00C476EB">
        <w:t>Understanding any potential gaps in infection control or outbreak management is vital to establishing your baseline. The following websites can</w:t>
      </w:r>
      <w:r w:rsidR="00DD768B">
        <w:t xml:space="preserve"> help </w:t>
      </w:r>
      <w:r w:rsidRPr="00C476EB">
        <w:t>you:</w:t>
      </w:r>
    </w:p>
    <w:p w14:paraId="305753E3" w14:textId="2FA183E4" w:rsidR="00215C72" w:rsidRPr="00341AE1" w:rsidRDefault="00215C72" w:rsidP="00341AE1">
      <w:pPr>
        <w:pStyle w:val="Bullet1"/>
        <w:rPr>
          <w:rFonts w:asciiTheme="majorHAnsi" w:hAnsiTheme="majorHAnsi" w:cstheme="majorHAnsi"/>
        </w:rPr>
      </w:pPr>
      <w:r w:rsidRPr="00341AE1">
        <w:t>For</w:t>
      </w:r>
      <w:r w:rsidRPr="00C476EB">
        <w:t xml:space="preserve"> infection control audits: </w:t>
      </w:r>
      <w:hyperlink r:id="rId20" w:history="1">
        <w:r w:rsidRPr="00341AE1">
          <w:rPr>
            <w:rStyle w:val="Hyperlink"/>
            <w:rFonts w:asciiTheme="majorHAnsi" w:hAnsiTheme="majorHAnsi" w:cstheme="majorHAnsi"/>
            <w:color w:val="007586" w:themeColor="text2"/>
          </w:rPr>
          <w:t>infectioncontrol.grampianshealth.org.au/index.php/health-resources/infection-control/167-audit-tools</w:t>
        </w:r>
      </w:hyperlink>
      <w:r w:rsidRPr="00341AE1">
        <w:rPr>
          <w:rStyle w:val="Hyperlink"/>
          <w:rFonts w:asciiTheme="majorHAnsi" w:hAnsiTheme="majorHAnsi" w:cstheme="majorHAnsi"/>
          <w:color w:val="007586" w:themeColor="text2"/>
        </w:rPr>
        <w:t xml:space="preserve"> </w:t>
      </w:r>
    </w:p>
    <w:p w14:paraId="4188F496" w14:textId="683F26A2" w:rsidR="00215C72" w:rsidRPr="00341AE1" w:rsidRDefault="00215C72" w:rsidP="00341AE1">
      <w:pPr>
        <w:pStyle w:val="Bullet1"/>
        <w:rPr>
          <w:rStyle w:val="Hyperlink"/>
          <w:rFonts w:asciiTheme="majorHAnsi" w:hAnsiTheme="majorHAnsi" w:cstheme="majorHAnsi"/>
          <w:color w:val="auto"/>
        </w:rPr>
      </w:pPr>
      <w:r w:rsidRPr="00341AE1">
        <w:rPr>
          <w:rFonts w:asciiTheme="majorHAnsi" w:hAnsiTheme="majorHAnsi" w:cstheme="majorHAnsi"/>
        </w:rPr>
        <w:t xml:space="preserve">For cause and effect tools: </w:t>
      </w:r>
      <w:hyperlink r:id="rId21" w:history="1">
        <w:r w:rsidR="000E55B2" w:rsidRPr="00341AE1">
          <w:rPr>
            <w:rStyle w:val="Hyperlink"/>
            <w:rFonts w:asciiTheme="majorHAnsi" w:hAnsiTheme="majorHAnsi" w:cstheme="majorHAnsi"/>
            <w:color w:val="007586" w:themeColor="text2"/>
          </w:rPr>
          <w:t>www.ihi.org/resources/Pages/Tools/CauseandEffectDiagram.aspx</w:t>
        </w:r>
      </w:hyperlink>
      <w:r w:rsidRPr="00341AE1">
        <w:rPr>
          <w:rStyle w:val="Hyperlink"/>
          <w:rFonts w:asciiTheme="majorHAnsi" w:hAnsiTheme="majorHAnsi" w:cstheme="majorHAnsi"/>
          <w:color w:val="007586" w:themeColor="text2"/>
        </w:rPr>
        <w:t xml:space="preserve"> </w:t>
      </w:r>
    </w:p>
    <w:p w14:paraId="6599A40A" w14:textId="77777777" w:rsidR="00FE53ED" w:rsidRPr="002571FE" w:rsidRDefault="00FE53ED" w:rsidP="00341AE1">
      <w:pPr>
        <w:pStyle w:val="Heading2"/>
      </w:pPr>
      <w:r w:rsidRPr="00341AE1">
        <w:t>Prioritise</w:t>
      </w:r>
      <w:r w:rsidRPr="002571FE">
        <w:t xml:space="preserve"> your gaps </w:t>
      </w:r>
    </w:p>
    <w:p w14:paraId="523704C6" w14:textId="77777777" w:rsidR="00FE53ED" w:rsidRPr="00C476EB" w:rsidRDefault="00FE53ED" w:rsidP="00341AE1">
      <w:pPr>
        <w:pStyle w:val="Normalfollowingheading"/>
      </w:pPr>
      <w:r w:rsidRPr="00C476EB">
        <w:t>After you have understood where your gaps are, it is important to prioritise the gaps you should address first.</w:t>
      </w:r>
    </w:p>
    <w:p w14:paraId="23BF0469" w14:textId="77777777" w:rsidR="00FE53ED" w:rsidRPr="00C476EB" w:rsidRDefault="00FE53ED" w:rsidP="00341AE1">
      <w:r w:rsidRPr="00C476EB">
        <w:t>Addressing gaps that directly impact resident and staff safety should be prioritised. You should undertake this function with your project team to ensure a coordinated approach.</w:t>
      </w:r>
    </w:p>
    <w:p w14:paraId="17AF797B" w14:textId="5F53A7EE" w:rsidR="00AE3760" w:rsidRPr="00C476EB" w:rsidRDefault="00AE3760" w:rsidP="00E16C85">
      <w:pPr>
        <w:rPr>
          <w:rFonts w:ascii="VIC" w:hAnsi="VIC"/>
        </w:rPr>
      </w:pPr>
      <w:r w:rsidRPr="00C476EB">
        <w:rPr>
          <w:rFonts w:ascii="VIC" w:hAnsi="VIC"/>
        </w:rPr>
        <w:br w:type="page"/>
      </w:r>
    </w:p>
    <w:p w14:paraId="275E4C86" w14:textId="59BA00BF" w:rsidR="007C2448" w:rsidRPr="00A8019E" w:rsidRDefault="00AE3760" w:rsidP="00341AE1">
      <w:pPr>
        <w:pStyle w:val="Heading1"/>
        <w:framePr w:wrap="around"/>
      </w:pPr>
      <w:r w:rsidRPr="00A8019E">
        <w:lastRenderedPageBreak/>
        <w:t>Step three: Develop measures</w:t>
      </w:r>
    </w:p>
    <w:p w14:paraId="28D1616A" w14:textId="77777777" w:rsidR="00AE3760" w:rsidRPr="00DD768B" w:rsidRDefault="00AE3760" w:rsidP="00DD768B">
      <w:pPr>
        <w:spacing w:before="0" w:after="0" w:line="240" w:lineRule="auto"/>
        <w:rPr>
          <w:rFonts w:ascii="VIC" w:hAnsi="VIC"/>
          <w:sz w:val="2"/>
          <w:szCs w:val="2"/>
        </w:rPr>
        <w:sectPr w:rsidR="00AE3760" w:rsidRPr="00DD768B" w:rsidSect="00265EC8">
          <w:type w:val="continuous"/>
          <w:pgSz w:w="11906" w:h="16838" w:code="9"/>
          <w:pgMar w:top="3402" w:right="851" w:bottom="1361" w:left="851" w:header="539" w:footer="624" w:gutter="0"/>
          <w:cols w:num="2" w:space="284"/>
          <w:docGrid w:linePitch="360"/>
          <w15:footnoteColumns w:val="1"/>
        </w:sectPr>
      </w:pPr>
    </w:p>
    <w:p w14:paraId="45564635" w14:textId="60FE4D4D" w:rsidR="00AE3760" w:rsidRPr="00C476EB" w:rsidRDefault="00AE3760" w:rsidP="00341AE1">
      <w:pPr>
        <w:spacing w:before="0"/>
      </w:pPr>
      <w:r w:rsidRPr="00C476EB">
        <w:t xml:space="preserve">Developing measures to quantify your progress allows you to </w:t>
      </w:r>
      <w:r w:rsidR="00A8019E">
        <w:t>monitor</w:t>
      </w:r>
      <w:r w:rsidRPr="00C476EB">
        <w:t xml:space="preserve"> if your improvement strategies are achieving your aims. </w:t>
      </w:r>
    </w:p>
    <w:p w14:paraId="62E692DF" w14:textId="0A36D135" w:rsidR="00AE3760" w:rsidRDefault="00AE3760" w:rsidP="00341AE1">
      <w:r w:rsidRPr="00C476EB">
        <w:t xml:space="preserve">Measures do not need to be onerous. You should ensure they are easy to capture and report as your team progresses through the project. </w:t>
      </w:r>
    </w:p>
    <w:p w14:paraId="71570213" w14:textId="77777777" w:rsidR="00943276" w:rsidRPr="00667BC7" w:rsidRDefault="00943276" w:rsidP="00341AE1">
      <w:pPr>
        <w:pStyle w:val="Heading2"/>
      </w:pPr>
      <w:r w:rsidRPr="00667BC7">
        <w:t xml:space="preserve">Using </w:t>
      </w:r>
      <w:r w:rsidRPr="00341AE1">
        <w:t>measures</w:t>
      </w:r>
      <w:r w:rsidRPr="00667BC7">
        <w:t xml:space="preserve"> </w:t>
      </w:r>
    </w:p>
    <w:p w14:paraId="7404A5BC" w14:textId="3C788D7D" w:rsidR="00943276" w:rsidRPr="00943276" w:rsidRDefault="00943276" w:rsidP="00341AE1">
      <w:pPr>
        <w:pStyle w:val="Normalfollowingheading"/>
      </w:pPr>
      <w:r w:rsidRPr="00C476EB">
        <w:rPr>
          <w:rFonts w:eastAsia="Times New Roman" w:cs="Calibri"/>
          <w:noProof/>
        </w:rPr>
        <mc:AlternateContent>
          <mc:Choice Requires="wps">
            <w:drawing>
              <wp:anchor distT="0" distB="0" distL="114300" distR="114300" simplePos="0" relativeHeight="251667456" behindDoc="0" locked="0" layoutInCell="1" allowOverlap="1" wp14:anchorId="7564C002" wp14:editId="41CB317B">
                <wp:simplePos x="0" y="0"/>
                <wp:positionH relativeFrom="column">
                  <wp:posOffset>-121285</wp:posOffset>
                </wp:positionH>
                <wp:positionV relativeFrom="paragraph">
                  <wp:posOffset>353695</wp:posOffset>
                </wp:positionV>
                <wp:extent cx="3114675" cy="1746250"/>
                <wp:effectExtent l="0" t="0" r="28575"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746250"/>
                        </a:xfrm>
                        <a:prstGeom prst="rect">
                          <a:avLst/>
                        </a:prstGeom>
                        <a:solidFill>
                          <a:schemeClr val="accent1">
                            <a:lumMod val="20000"/>
                            <a:lumOff val="80000"/>
                          </a:schemeClr>
                        </a:solidFill>
                        <a:ln w="6350">
                          <a:solidFill>
                            <a:schemeClr val="bg2"/>
                          </a:solidFill>
                          <a:miter lim="800000"/>
                          <a:headEnd/>
                          <a:tailEnd/>
                        </a:ln>
                      </wps:spPr>
                      <wps:txbx>
                        <w:txbxContent>
                          <w:p w14:paraId="731BCD68" w14:textId="77777777" w:rsidR="007251B0" w:rsidRPr="00DD768B" w:rsidRDefault="007251B0" w:rsidP="00341AE1">
                            <w:pPr>
                              <w:pStyle w:val="PulloutHeading"/>
                            </w:pPr>
                            <w:r w:rsidRPr="00DD768B">
                              <w:t>STRONGLY RECOMMEND:</w:t>
                            </w:r>
                          </w:p>
                          <w:p w14:paraId="0CA40459" w14:textId="77777777" w:rsidR="007251B0" w:rsidRPr="00341AE1" w:rsidRDefault="007251B0" w:rsidP="00DD768B">
                            <w:pPr>
                              <w:pStyle w:val="PulloutText"/>
                              <w:numPr>
                                <w:ilvl w:val="0"/>
                                <w:numId w:val="15"/>
                              </w:numPr>
                              <w:rPr>
                                <w:rFonts w:cstheme="minorHAnsi"/>
                              </w:rPr>
                            </w:pPr>
                            <w:r w:rsidRPr="00341AE1">
                              <w:rPr>
                                <w:rFonts w:cstheme="minorHAnsi"/>
                              </w:rPr>
                              <w:t xml:space="preserve">vaccination rates for residents and staff </w:t>
                            </w:r>
                          </w:p>
                          <w:p w14:paraId="36680127" w14:textId="34AA4006" w:rsidR="007251B0" w:rsidRPr="00341AE1" w:rsidRDefault="007251B0" w:rsidP="00DD768B">
                            <w:pPr>
                              <w:pStyle w:val="PulloutText"/>
                              <w:numPr>
                                <w:ilvl w:val="0"/>
                                <w:numId w:val="15"/>
                              </w:numPr>
                              <w:ind w:left="357" w:hanging="357"/>
                              <w:rPr>
                                <w:rFonts w:cstheme="minorHAnsi"/>
                              </w:rPr>
                            </w:pPr>
                            <w:r w:rsidRPr="00341AE1">
                              <w:rPr>
                                <w:rFonts w:cstheme="minorHAnsi"/>
                              </w:rPr>
                              <w:t>number of residents with a current prescription from their GP for antiviral medications where applicable (including writing up on the medication chart), and a clear action plan prepared</w:t>
                            </w:r>
                          </w:p>
                        </w:txbxContent>
                      </wps:txbx>
                      <wps:bodyPr rot="0" vert="horz" wrap="square" lIns="180000" tIns="180000" rIns="144000" bIns="36000" anchor="t" anchorCtr="0">
                        <a:noAutofit/>
                      </wps:bodyPr>
                    </wps:wsp>
                  </a:graphicData>
                </a:graphic>
                <wp14:sizeRelH relativeFrom="page">
                  <wp14:pctWidth>0</wp14:pctWidth>
                </wp14:sizeRelH>
                <wp14:sizeRelV relativeFrom="page">
                  <wp14:pctHeight>0</wp14:pctHeight>
                </wp14:sizeRelV>
              </wp:anchor>
            </w:drawing>
          </mc:Choice>
          <mc:Fallback>
            <w:pict>
              <v:shape w14:anchorId="7564C002" id="Text Box 6" o:spid="_x0000_s1028" type="#_x0000_t202" style="position:absolute;margin-left:-9.55pt;margin-top:27.85pt;width:245.2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" fillcolor="#d6ecef [660]" strokecolor="#edf5f7 [3214]" strokeweight=".5pt">
                <v:textbox inset="5mm,5mm,4mm,1mm">
                  <w:txbxContent>
                    <w:p w14:paraId="731BCD68" w14:textId="77777777" w:rsidR="007251B0" w:rsidRPr="00DD768B" w:rsidRDefault="007251B0" w:rsidP="00341AE1">
                      <w:pPr>
                        <w:pStyle w:val="PulloutHeading"/>
                      </w:pPr>
                      <w:r w:rsidRPr="00DD768B">
                        <w:t>STRONGLY RECOMMEND:</w:t>
                      </w:r>
                    </w:p>
                    <w:p w14:paraId="0CA40459" w14:textId="77777777" w:rsidR="007251B0" w:rsidRPr="00341AE1" w:rsidRDefault="007251B0" w:rsidP="00DD768B">
                      <w:pPr>
                        <w:pStyle w:val="PulloutText"/>
                        <w:numPr>
                          <w:ilvl w:val="0"/>
                          <w:numId w:val="15"/>
                        </w:numPr>
                        <w:rPr>
                          <w:rFonts w:cstheme="minorHAnsi"/>
                        </w:rPr>
                      </w:pPr>
                      <w:r w:rsidRPr="00341AE1">
                        <w:rPr>
                          <w:rFonts w:cstheme="minorHAnsi"/>
                        </w:rPr>
                        <w:t xml:space="preserve">vaccination rates for residents and staff </w:t>
                      </w:r>
                    </w:p>
                    <w:p w14:paraId="36680127" w14:textId="34AA4006" w:rsidR="007251B0" w:rsidRPr="00341AE1" w:rsidRDefault="007251B0" w:rsidP="00DD768B">
                      <w:pPr>
                        <w:pStyle w:val="PulloutText"/>
                        <w:numPr>
                          <w:ilvl w:val="0"/>
                          <w:numId w:val="15"/>
                        </w:numPr>
                        <w:ind w:left="357" w:hanging="357"/>
                        <w:rPr>
                          <w:rFonts w:cstheme="minorHAnsi"/>
                        </w:rPr>
                      </w:pPr>
                      <w:r w:rsidRPr="00341AE1">
                        <w:rPr>
                          <w:rFonts w:cstheme="minorHAnsi"/>
                        </w:rPr>
                        <w:t>number of residents with a current prescription from their GP for antiviral medications where applicable (including writing up on the medication chart), and a clear action plan prepared</w:t>
                      </w:r>
                    </w:p>
                  </w:txbxContent>
                </v:textbox>
                <w10:wrap type="square"/>
              </v:shape>
            </w:pict>
          </mc:Fallback>
        </mc:AlternateContent>
      </w:r>
      <w:r w:rsidRPr="00A8019E">
        <w:t xml:space="preserve">Some examples of measures your project team might use (but are not limited to): </w:t>
      </w:r>
    </w:p>
    <w:p w14:paraId="2F850C8C" w14:textId="085B953A" w:rsidR="00AE3760" w:rsidRPr="00C476EB" w:rsidRDefault="00AE3760" w:rsidP="003C7395">
      <w:pPr>
        <w:rPr>
          <w:rFonts w:ascii="VIC" w:hAnsi="VIC"/>
        </w:rPr>
      </w:pPr>
      <w:r w:rsidRPr="00C476EB">
        <w:rPr>
          <w:rFonts w:ascii="VIC" w:eastAsia="Times New Roman" w:hAnsi="VIC" w:cs="Calibri"/>
          <w:noProof/>
        </w:rPr>
        <mc:AlternateContent>
          <mc:Choice Requires="wps">
            <w:drawing>
              <wp:inline distT="0" distB="0" distL="0" distR="0" wp14:anchorId="5406A6A4" wp14:editId="7F5641CD">
                <wp:extent cx="3114675" cy="2794000"/>
                <wp:effectExtent l="0" t="0" r="28575" b="254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794000"/>
                        </a:xfrm>
                        <a:prstGeom prst="rect">
                          <a:avLst/>
                        </a:prstGeom>
                        <a:solidFill>
                          <a:schemeClr val="accent1">
                            <a:lumMod val="20000"/>
                            <a:lumOff val="80000"/>
                          </a:schemeClr>
                        </a:solidFill>
                        <a:ln w="6350">
                          <a:solidFill>
                            <a:schemeClr val="bg2"/>
                          </a:solidFill>
                          <a:miter lim="800000"/>
                          <a:headEnd/>
                          <a:tailEnd/>
                        </a:ln>
                      </wps:spPr>
                      <wps:txbx>
                        <w:txbxContent>
                          <w:p w14:paraId="63C4EC54" w14:textId="77777777" w:rsidR="007251B0" w:rsidRPr="00DD768B" w:rsidRDefault="007251B0" w:rsidP="00341AE1">
                            <w:pPr>
                              <w:pStyle w:val="PulloutHeading"/>
                            </w:pPr>
                            <w:r w:rsidRPr="00341AE1">
                              <w:t>RECOMMEND</w:t>
                            </w:r>
                            <w:r w:rsidRPr="00DD768B">
                              <w:t>:</w:t>
                            </w:r>
                          </w:p>
                          <w:p w14:paraId="14AB386C" w14:textId="7090BCE9" w:rsidR="007251B0" w:rsidRPr="00341AE1" w:rsidRDefault="007251B0" w:rsidP="00DD768B">
                            <w:pPr>
                              <w:pStyle w:val="PulloutText"/>
                              <w:numPr>
                                <w:ilvl w:val="0"/>
                                <w:numId w:val="16"/>
                              </w:numPr>
                              <w:rPr>
                                <w:rFonts w:asciiTheme="majorHAnsi" w:hAnsiTheme="majorHAnsi" w:cstheme="majorHAnsi"/>
                              </w:rPr>
                            </w:pPr>
                            <w:r w:rsidRPr="00341AE1">
                              <w:rPr>
                                <w:rFonts w:asciiTheme="majorHAnsi" w:hAnsiTheme="majorHAnsi" w:cstheme="majorHAnsi"/>
                              </w:rPr>
                              <w:t>number of staff who have had training in infection control/outbreak management</w:t>
                            </w:r>
                          </w:p>
                          <w:p w14:paraId="07A03BEA" w14:textId="7BAC284F" w:rsidR="007251B0" w:rsidRPr="00341AE1" w:rsidRDefault="007251B0" w:rsidP="00DD768B">
                            <w:pPr>
                              <w:pStyle w:val="PulloutText"/>
                              <w:numPr>
                                <w:ilvl w:val="0"/>
                                <w:numId w:val="16"/>
                              </w:numPr>
                              <w:rPr>
                                <w:rFonts w:asciiTheme="majorHAnsi" w:hAnsiTheme="majorHAnsi" w:cstheme="majorHAnsi"/>
                              </w:rPr>
                            </w:pPr>
                            <w:r w:rsidRPr="00341AE1">
                              <w:rPr>
                                <w:rFonts w:asciiTheme="majorHAnsi" w:hAnsiTheme="majorHAnsi" w:cstheme="majorHAnsi"/>
                              </w:rPr>
                              <w:t xml:space="preserve">number of residents who have attended information sessions for infection control/outbreak management </w:t>
                            </w:r>
                          </w:p>
                          <w:p w14:paraId="292727B9" w14:textId="0C1DF339" w:rsidR="007251B0" w:rsidRPr="00341AE1" w:rsidRDefault="007251B0" w:rsidP="00DD768B">
                            <w:pPr>
                              <w:pStyle w:val="PulloutText"/>
                              <w:numPr>
                                <w:ilvl w:val="0"/>
                                <w:numId w:val="16"/>
                              </w:numPr>
                              <w:rPr>
                                <w:rFonts w:asciiTheme="majorHAnsi" w:hAnsiTheme="majorHAnsi" w:cstheme="majorHAnsi"/>
                              </w:rPr>
                            </w:pPr>
                            <w:r w:rsidRPr="00341AE1">
                              <w:rPr>
                                <w:rFonts w:asciiTheme="majorHAnsi" w:hAnsiTheme="majorHAnsi" w:cstheme="majorHAnsi"/>
                              </w:rPr>
                              <w:t>number of staff who have viewed training/webinars on the importance of vaccinations</w:t>
                            </w:r>
                          </w:p>
                          <w:p w14:paraId="4AF39466" w14:textId="2C177369" w:rsidR="007251B0" w:rsidRPr="00341AE1" w:rsidRDefault="007251B0" w:rsidP="00DD768B">
                            <w:pPr>
                              <w:pStyle w:val="PulloutText"/>
                              <w:numPr>
                                <w:ilvl w:val="0"/>
                                <w:numId w:val="16"/>
                              </w:numPr>
                              <w:rPr>
                                <w:rFonts w:asciiTheme="majorHAnsi" w:hAnsiTheme="majorHAnsi" w:cstheme="majorHAnsi"/>
                              </w:rPr>
                            </w:pPr>
                            <w:r w:rsidRPr="00341AE1">
                              <w:rPr>
                                <w:rFonts w:asciiTheme="majorHAnsi" w:hAnsiTheme="majorHAnsi" w:cstheme="majorHAnsi"/>
                              </w:rPr>
                              <w:t>number of staff who can correctly identify emerging infectious outbreaks and report these appropriately</w:t>
                            </w:r>
                          </w:p>
                        </w:txbxContent>
                      </wps:txbx>
                      <wps:bodyPr rot="0" vert="horz" wrap="square" lIns="180000" tIns="180000" rIns="144000" bIns="36000" anchor="t" anchorCtr="0">
                        <a:noAutofit/>
                      </wps:bodyPr>
                    </wps:wsp>
                  </a:graphicData>
                </a:graphic>
              </wp:inline>
            </w:drawing>
          </mc:Choice>
          <mc:Fallback>
            <w:pict>
              <v:shape w14:anchorId="5406A6A4" id="Text Box 11" o:spid="_x0000_s1029" type="#_x0000_t202" style="width:245.25pt;height:2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" fillcolor="#d6ecef [660]" strokecolor="#edf5f7 [3214]" strokeweight=".5pt">
                <v:textbox inset="5mm,5mm,4mm,1mm">
                  <w:txbxContent>
                    <w:p w14:paraId="63C4EC54" w14:textId="77777777" w:rsidR="007251B0" w:rsidRPr="00DD768B" w:rsidRDefault="007251B0" w:rsidP="00341AE1">
                      <w:pPr>
                        <w:pStyle w:val="PulloutHeading"/>
                      </w:pPr>
                      <w:r w:rsidRPr="00341AE1">
                        <w:t>RECOMMEND</w:t>
                      </w:r>
                      <w:r w:rsidRPr="00DD768B">
                        <w:t>:</w:t>
                      </w:r>
                    </w:p>
                    <w:p w14:paraId="14AB386C" w14:textId="7090BCE9" w:rsidR="007251B0" w:rsidRPr="00341AE1" w:rsidRDefault="007251B0" w:rsidP="00DD768B">
                      <w:pPr>
                        <w:pStyle w:val="PulloutText"/>
                        <w:numPr>
                          <w:ilvl w:val="0"/>
                          <w:numId w:val="16"/>
                        </w:numPr>
                        <w:rPr>
                          <w:rFonts w:asciiTheme="majorHAnsi" w:hAnsiTheme="majorHAnsi" w:cstheme="majorHAnsi"/>
                        </w:rPr>
                      </w:pPr>
                      <w:r w:rsidRPr="00341AE1">
                        <w:rPr>
                          <w:rFonts w:asciiTheme="majorHAnsi" w:hAnsiTheme="majorHAnsi" w:cstheme="majorHAnsi"/>
                        </w:rPr>
                        <w:t>number of staff who have had training in infection control/outbreak management</w:t>
                      </w:r>
                    </w:p>
                    <w:p w14:paraId="07A03BEA" w14:textId="7BAC284F" w:rsidR="007251B0" w:rsidRPr="00341AE1" w:rsidRDefault="007251B0" w:rsidP="00DD768B">
                      <w:pPr>
                        <w:pStyle w:val="PulloutText"/>
                        <w:numPr>
                          <w:ilvl w:val="0"/>
                          <w:numId w:val="16"/>
                        </w:numPr>
                        <w:rPr>
                          <w:rFonts w:asciiTheme="majorHAnsi" w:hAnsiTheme="majorHAnsi" w:cstheme="majorHAnsi"/>
                        </w:rPr>
                      </w:pPr>
                      <w:r w:rsidRPr="00341AE1">
                        <w:rPr>
                          <w:rFonts w:asciiTheme="majorHAnsi" w:hAnsiTheme="majorHAnsi" w:cstheme="majorHAnsi"/>
                        </w:rPr>
                        <w:t xml:space="preserve">number of residents who have attended information sessions for infection control/outbreak management </w:t>
                      </w:r>
                    </w:p>
                    <w:p w14:paraId="292727B9" w14:textId="0C1DF339" w:rsidR="007251B0" w:rsidRPr="00341AE1" w:rsidRDefault="007251B0" w:rsidP="00DD768B">
                      <w:pPr>
                        <w:pStyle w:val="PulloutText"/>
                        <w:numPr>
                          <w:ilvl w:val="0"/>
                          <w:numId w:val="16"/>
                        </w:numPr>
                        <w:rPr>
                          <w:rFonts w:asciiTheme="majorHAnsi" w:hAnsiTheme="majorHAnsi" w:cstheme="majorHAnsi"/>
                        </w:rPr>
                      </w:pPr>
                      <w:r w:rsidRPr="00341AE1">
                        <w:rPr>
                          <w:rFonts w:asciiTheme="majorHAnsi" w:hAnsiTheme="majorHAnsi" w:cstheme="majorHAnsi"/>
                        </w:rPr>
                        <w:t>number of staff who have viewed training/webinars on the importance of vaccinations</w:t>
                      </w:r>
                    </w:p>
                    <w:p w14:paraId="4AF39466" w14:textId="2C177369" w:rsidR="007251B0" w:rsidRPr="00341AE1" w:rsidRDefault="007251B0" w:rsidP="00DD768B">
                      <w:pPr>
                        <w:pStyle w:val="PulloutText"/>
                        <w:numPr>
                          <w:ilvl w:val="0"/>
                          <w:numId w:val="16"/>
                        </w:numPr>
                        <w:rPr>
                          <w:rFonts w:asciiTheme="majorHAnsi" w:hAnsiTheme="majorHAnsi" w:cstheme="majorHAnsi"/>
                        </w:rPr>
                      </w:pPr>
                      <w:r w:rsidRPr="00341AE1">
                        <w:rPr>
                          <w:rFonts w:asciiTheme="majorHAnsi" w:hAnsiTheme="majorHAnsi" w:cstheme="majorHAnsi"/>
                        </w:rPr>
                        <w:t>number of staff who can correctly identify emerging infectious outbreaks and report these appropriately</w:t>
                      </w:r>
                    </w:p>
                  </w:txbxContent>
                </v:textbox>
                <w10:anchorlock/>
              </v:shape>
            </w:pict>
          </mc:Fallback>
        </mc:AlternateContent>
      </w:r>
    </w:p>
    <w:p w14:paraId="34F0E57C" w14:textId="278A8DFE" w:rsidR="00AE3760" w:rsidRPr="00C476EB" w:rsidRDefault="00AE3760" w:rsidP="003C7395">
      <w:pPr>
        <w:rPr>
          <w:rFonts w:ascii="VIC" w:hAnsi="VIC"/>
        </w:rPr>
      </w:pPr>
    </w:p>
    <w:p w14:paraId="0A2486CC" w14:textId="0F2EBAC3" w:rsidR="00AE3760" w:rsidRPr="00C476EB" w:rsidRDefault="00AE3760" w:rsidP="003C7395">
      <w:pPr>
        <w:rPr>
          <w:rFonts w:ascii="VIC" w:hAnsi="VIC"/>
        </w:rPr>
      </w:pPr>
      <w:r w:rsidRPr="00C476EB">
        <w:rPr>
          <w:rFonts w:ascii="VIC" w:hAnsi="VIC"/>
        </w:rPr>
        <w:br w:type="page"/>
      </w:r>
    </w:p>
    <w:p w14:paraId="0671452D" w14:textId="52FEBD35" w:rsidR="00AE3760" w:rsidRPr="00FB3F36" w:rsidRDefault="00AE3760" w:rsidP="00341AE1">
      <w:pPr>
        <w:pStyle w:val="Heading1"/>
        <w:framePr w:wrap="around"/>
      </w:pPr>
      <w:r w:rsidRPr="00FB3F36">
        <w:lastRenderedPageBreak/>
        <w:t>Step four:</w:t>
      </w:r>
      <w:r w:rsidR="00F019D5">
        <w:t xml:space="preserve"> </w:t>
      </w:r>
      <w:r w:rsidRPr="00FB3F36">
        <w:t>Brainstorm change ideas</w:t>
      </w:r>
    </w:p>
    <w:p w14:paraId="789D41CD" w14:textId="52C45E59" w:rsidR="00AE3760" w:rsidRPr="00C476EB" w:rsidRDefault="00AE3760" w:rsidP="00341AE1">
      <w:r w:rsidRPr="00C476EB">
        <w:t xml:space="preserve">Think about what will work best at your service to improve the way you manage outbreaks. Your change ideas should address the gaps identified during your self-assessment. </w:t>
      </w:r>
    </w:p>
    <w:p w14:paraId="43F25407" w14:textId="331ADC35" w:rsidR="00AE3760" w:rsidRPr="00C476EB" w:rsidRDefault="00AE3760" w:rsidP="00341AE1">
      <w:r w:rsidRPr="00C476EB">
        <w:t xml:space="preserve">Changes should be developed in collaboration with your stakeholders, as they will have unique insights into what will lead to sustained improvement. </w:t>
      </w:r>
    </w:p>
    <w:p w14:paraId="7BE30157" w14:textId="11AD7991" w:rsidR="00AE3760" w:rsidRDefault="00AE3760" w:rsidP="00341AE1">
      <w:r w:rsidRPr="00C476EB">
        <w:t>It is important not to forget the simple things. Some staff may not be familiar with all the areas that require their attention. For instance, consider whether all staff are familiar with the correct methods for the application and removal of PPE, or if they’re using the correct dilution rates of cleaning solutions? Look to your data sources to understand areas where your staff may need additional support.</w:t>
      </w:r>
    </w:p>
    <w:p w14:paraId="53125CE8" w14:textId="36EC2317" w:rsidR="008B18B4" w:rsidRPr="008B18B4" w:rsidRDefault="008B18B4" w:rsidP="00341AE1">
      <w:pPr>
        <w:pStyle w:val="Heading2"/>
      </w:pPr>
      <w:r w:rsidRPr="008B18B4">
        <w:t xml:space="preserve">What </w:t>
      </w:r>
      <w:r w:rsidRPr="00341AE1">
        <w:t>change</w:t>
      </w:r>
      <w:r w:rsidRPr="008B18B4">
        <w:t xml:space="preserve"> ideas will result in measurable improvement?</w:t>
      </w:r>
    </w:p>
    <w:p w14:paraId="02830BC6" w14:textId="089F6EC1" w:rsidR="008B18B4" w:rsidRPr="00F019D5" w:rsidRDefault="008B18B4" w:rsidP="00341AE1">
      <w:pPr>
        <w:pStyle w:val="Normalfollowingheading"/>
      </w:pPr>
      <w:r w:rsidRPr="00F019D5">
        <w:t xml:space="preserve">Some </w:t>
      </w:r>
      <w:r w:rsidRPr="00341AE1">
        <w:t>examples</w:t>
      </w:r>
      <w:r w:rsidRPr="00F019D5">
        <w:t xml:space="preserve"> of strategies you might use to improve your preparations for outbreaks include: </w:t>
      </w:r>
    </w:p>
    <w:p w14:paraId="7BAAAEAC" w14:textId="6768A9AB" w:rsidR="007F6C26" w:rsidRPr="00C476EB" w:rsidRDefault="00341AE1" w:rsidP="00F019D5">
      <w:pPr>
        <w:tabs>
          <w:tab w:val="right" w:pos="5344"/>
        </w:tabs>
        <w:spacing w:before="0" w:after="0"/>
        <w:rPr>
          <w:rFonts w:ascii="VIC" w:hAnsi="VIC"/>
        </w:rPr>
      </w:pPr>
      <w:r w:rsidRPr="00C476EB">
        <w:rPr>
          <w:noProof/>
        </w:rPr>
        <mc:AlternateContent>
          <mc:Choice Requires="wps">
            <w:drawing>
              <wp:anchor distT="0" distB="0" distL="114300" distR="114300" simplePos="0" relativeHeight="251668480" behindDoc="0" locked="0" layoutInCell="1" allowOverlap="1" wp14:anchorId="4F8A1FB7" wp14:editId="17E332BC">
                <wp:simplePos x="0" y="0"/>
                <wp:positionH relativeFrom="column">
                  <wp:posOffset>1270</wp:posOffset>
                </wp:positionH>
                <wp:positionV relativeFrom="page">
                  <wp:posOffset>4486910</wp:posOffset>
                </wp:positionV>
                <wp:extent cx="2957830" cy="3625215"/>
                <wp:effectExtent l="0" t="0" r="1397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3625215"/>
                        </a:xfrm>
                        <a:prstGeom prst="rect">
                          <a:avLst/>
                        </a:prstGeom>
                        <a:solidFill>
                          <a:schemeClr val="accent1">
                            <a:lumMod val="20000"/>
                            <a:lumOff val="80000"/>
                          </a:schemeClr>
                        </a:solidFill>
                        <a:ln w="6350">
                          <a:solidFill>
                            <a:schemeClr val="bg2"/>
                          </a:solidFill>
                          <a:miter lim="800000"/>
                          <a:headEnd/>
                          <a:tailEnd/>
                        </a:ln>
                      </wps:spPr>
                      <wps:txbx>
                        <w:txbxContent>
                          <w:p w14:paraId="3F867EE2" w14:textId="77777777" w:rsidR="007251B0" w:rsidRPr="00F019D5" w:rsidRDefault="007251B0" w:rsidP="00341AE1">
                            <w:pPr>
                              <w:pStyle w:val="PulloutHeading"/>
                            </w:pPr>
                            <w:r w:rsidRPr="00F019D5">
                              <w:t xml:space="preserve">STRONGLY </w:t>
                            </w:r>
                            <w:r w:rsidRPr="00341AE1">
                              <w:t>RECOMMEND</w:t>
                            </w:r>
                            <w:r w:rsidRPr="00F019D5">
                              <w:t>:</w:t>
                            </w:r>
                          </w:p>
                          <w:p w14:paraId="25BE79AC" w14:textId="77777777" w:rsidR="007251B0" w:rsidRPr="00341AE1" w:rsidRDefault="007251B0" w:rsidP="00F019D5">
                            <w:pPr>
                              <w:pStyle w:val="PulloutText"/>
                              <w:numPr>
                                <w:ilvl w:val="0"/>
                                <w:numId w:val="17"/>
                              </w:numPr>
                              <w:rPr>
                                <w:rFonts w:cstheme="minorHAnsi"/>
                              </w:rPr>
                            </w:pPr>
                            <w:r w:rsidRPr="00341AE1">
                              <w:rPr>
                                <w:rFonts w:cstheme="minorHAnsi"/>
                              </w:rPr>
                              <w:t>Engaging GPs prior to the influenza season to discuss your preparedness. This might include sending letters or links to webinars (see suggested resources below)</w:t>
                            </w:r>
                          </w:p>
                          <w:p w14:paraId="174E7F99" w14:textId="77777777" w:rsidR="007251B0" w:rsidRPr="00341AE1" w:rsidRDefault="007251B0" w:rsidP="00F019D5">
                            <w:pPr>
                              <w:pStyle w:val="PulloutText"/>
                              <w:numPr>
                                <w:ilvl w:val="0"/>
                                <w:numId w:val="17"/>
                              </w:numPr>
                              <w:ind w:left="357" w:hanging="357"/>
                              <w:rPr>
                                <w:rFonts w:cstheme="minorHAnsi"/>
                              </w:rPr>
                            </w:pPr>
                            <w:r w:rsidRPr="00341AE1">
                              <w:rPr>
                                <w:rFonts w:cstheme="minorHAnsi"/>
                              </w:rPr>
                              <w:t xml:space="preserve">Engaging with GPs to provide prescriptions for antiviral medications where applicable (including writing up on the medication chart). </w:t>
                            </w:r>
                          </w:p>
                          <w:p w14:paraId="3981C854" w14:textId="77777777" w:rsidR="007251B0" w:rsidRPr="00341AE1" w:rsidRDefault="007251B0" w:rsidP="00F019D5">
                            <w:pPr>
                              <w:pStyle w:val="PulloutText"/>
                              <w:numPr>
                                <w:ilvl w:val="0"/>
                                <w:numId w:val="17"/>
                              </w:numPr>
                              <w:rPr>
                                <w:rFonts w:cstheme="minorHAnsi"/>
                              </w:rPr>
                            </w:pPr>
                            <w:r w:rsidRPr="00341AE1">
                              <w:rPr>
                                <w:rFonts w:cstheme="minorHAnsi"/>
                              </w:rPr>
                              <w:t xml:space="preserve">Reviewing why staff or volunteers may be hesitant to participate in the vaccination program, and if there are strategies that may increase vaccination rates </w:t>
                            </w:r>
                          </w:p>
                          <w:p w14:paraId="19BC5EF9" w14:textId="436345C0" w:rsidR="007251B0" w:rsidRPr="00341AE1" w:rsidRDefault="007251B0" w:rsidP="00F019D5">
                            <w:pPr>
                              <w:pStyle w:val="PulloutText"/>
                              <w:numPr>
                                <w:ilvl w:val="0"/>
                                <w:numId w:val="17"/>
                              </w:numPr>
                              <w:rPr>
                                <w:rFonts w:cstheme="minorHAnsi"/>
                              </w:rPr>
                            </w:pPr>
                            <w:r w:rsidRPr="00341AE1">
                              <w:rPr>
                                <w:rFonts w:cstheme="minorHAnsi"/>
                              </w:rPr>
                              <w:t xml:space="preserve">Ensuring residents have current advanced care directives to provide guidance if they become seriously unwell. </w:t>
                            </w:r>
                          </w:p>
                        </w:txbxContent>
                      </wps:txbx>
                      <wps:bodyPr rot="0" vert="horz" wrap="square" lIns="180000" tIns="180000" rIns="144000" bIns="36000" anchor="t" anchorCtr="0">
                        <a:noAutofit/>
                      </wps:bodyPr>
                    </wps:wsp>
                  </a:graphicData>
                </a:graphic>
                <wp14:sizeRelH relativeFrom="page">
                  <wp14:pctWidth>0</wp14:pctWidth>
                </wp14:sizeRelH>
                <wp14:sizeRelV relativeFrom="page">
                  <wp14:pctHeight>0</wp14:pctHeight>
                </wp14:sizeRelV>
              </wp:anchor>
            </w:drawing>
          </mc:Choice>
          <mc:Fallback>
            <w:pict>
              <v:shape w14:anchorId="4F8A1FB7" id="_x0000_s1030" type="#_x0000_t202" style="position:absolute;margin-left:.1pt;margin-top:353.3pt;width:232.9pt;height:28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" fillcolor="#d6ecef [660]" strokecolor="#edf5f7 [3214]" strokeweight=".5pt">
                <v:textbox inset="5mm,5mm,4mm,1mm">
                  <w:txbxContent>
                    <w:p w14:paraId="3F867EE2" w14:textId="77777777" w:rsidR="007251B0" w:rsidRPr="00F019D5" w:rsidRDefault="007251B0" w:rsidP="00341AE1">
                      <w:pPr>
                        <w:pStyle w:val="PulloutHeading"/>
                      </w:pPr>
                      <w:r w:rsidRPr="00F019D5">
                        <w:t xml:space="preserve">STRONGLY </w:t>
                      </w:r>
                      <w:r w:rsidRPr="00341AE1">
                        <w:t>RECOMMEND</w:t>
                      </w:r>
                      <w:r w:rsidRPr="00F019D5">
                        <w:t>:</w:t>
                      </w:r>
                    </w:p>
                    <w:p w14:paraId="25BE79AC" w14:textId="77777777" w:rsidR="007251B0" w:rsidRPr="00341AE1" w:rsidRDefault="007251B0" w:rsidP="00F019D5">
                      <w:pPr>
                        <w:pStyle w:val="PulloutText"/>
                        <w:numPr>
                          <w:ilvl w:val="0"/>
                          <w:numId w:val="17"/>
                        </w:numPr>
                        <w:rPr>
                          <w:rFonts w:cstheme="minorHAnsi"/>
                        </w:rPr>
                      </w:pPr>
                      <w:r w:rsidRPr="00341AE1">
                        <w:rPr>
                          <w:rFonts w:cstheme="minorHAnsi"/>
                        </w:rPr>
                        <w:t>Engaging GPs prior to the influenza season to discuss your preparedness. This might include sending letters or links to webinars (see suggested resources below)</w:t>
                      </w:r>
                    </w:p>
                    <w:p w14:paraId="174E7F99" w14:textId="77777777" w:rsidR="007251B0" w:rsidRPr="00341AE1" w:rsidRDefault="007251B0" w:rsidP="00F019D5">
                      <w:pPr>
                        <w:pStyle w:val="PulloutText"/>
                        <w:numPr>
                          <w:ilvl w:val="0"/>
                          <w:numId w:val="17"/>
                        </w:numPr>
                        <w:ind w:left="357" w:hanging="357"/>
                        <w:rPr>
                          <w:rFonts w:cstheme="minorHAnsi"/>
                        </w:rPr>
                      </w:pPr>
                      <w:r w:rsidRPr="00341AE1">
                        <w:rPr>
                          <w:rFonts w:cstheme="minorHAnsi"/>
                        </w:rPr>
                        <w:t xml:space="preserve">Engaging with GPs to provide prescriptions for antiviral medications where applicable (including writing up on the medication chart). </w:t>
                      </w:r>
                    </w:p>
                    <w:p w14:paraId="3981C854" w14:textId="77777777" w:rsidR="007251B0" w:rsidRPr="00341AE1" w:rsidRDefault="007251B0" w:rsidP="00F019D5">
                      <w:pPr>
                        <w:pStyle w:val="PulloutText"/>
                        <w:numPr>
                          <w:ilvl w:val="0"/>
                          <w:numId w:val="17"/>
                        </w:numPr>
                        <w:rPr>
                          <w:rFonts w:cstheme="minorHAnsi"/>
                        </w:rPr>
                      </w:pPr>
                      <w:r w:rsidRPr="00341AE1">
                        <w:rPr>
                          <w:rFonts w:cstheme="minorHAnsi"/>
                        </w:rPr>
                        <w:t xml:space="preserve">Reviewing why staff or volunteers may be hesitant to participate in the vaccination program, and if there are strategies that may increase vaccination rates </w:t>
                      </w:r>
                    </w:p>
                    <w:p w14:paraId="19BC5EF9" w14:textId="436345C0" w:rsidR="007251B0" w:rsidRPr="00341AE1" w:rsidRDefault="007251B0" w:rsidP="00F019D5">
                      <w:pPr>
                        <w:pStyle w:val="PulloutText"/>
                        <w:numPr>
                          <w:ilvl w:val="0"/>
                          <w:numId w:val="17"/>
                        </w:numPr>
                        <w:rPr>
                          <w:rFonts w:cstheme="minorHAnsi"/>
                        </w:rPr>
                      </w:pPr>
                      <w:r w:rsidRPr="00341AE1">
                        <w:rPr>
                          <w:rFonts w:cstheme="minorHAnsi"/>
                        </w:rPr>
                        <w:t xml:space="preserve">Ensuring residents have current advanced care directives to provide guidance if they become seriously unwell. </w:t>
                      </w:r>
                    </w:p>
                  </w:txbxContent>
                </v:textbox>
                <w10:wrap type="square" anchory="page"/>
              </v:shape>
            </w:pict>
          </mc:Fallback>
        </mc:AlternateContent>
      </w:r>
      <w:r w:rsidR="008B18B4" w:rsidRPr="00C476EB">
        <w:rPr>
          <w:rFonts w:ascii="VIC" w:hAnsi="VIC"/>
          <w:noProof/>
        </w:rPr>
        <mc:AlternateContent>
          <mc:Choice Requires="wps">
            <w:drawing>
              <wp:inline distT="0" distB="0" distL="0" distR="0" wp14:anchorId="117B867D" wp14:editId="6B973B6D">
                <wp:extent cx="2957885" cy="4667693"/>
                <wp:effectExtent l="0" t="0" r="1397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4667693"/>
                        </a:xfrm>
                        <a:prstGeom prst="rect">
                          <a:avLst/>
                        </a:prstGeom>
                        <a:solidFill>
                          <a:schemeClr val="accent1">
                            <a:lumMod val="20000"/>
                            <a:lumOff val="80000"/>
                          </a:schemeClr>
                        </a:solidFill>
                        <a:ln w="6350">
                          <a:solidFill>
                            <a:schemeClr val="bg2"/>
                          </a:solidFill>
                          <a:miter lim="800000"/>
                          <a:headEnd/>
                          <a:tailEnd/>
                        </a:ln>
                      </wps:spPr>
                      <wps:txbx>
                        <w:txbxContent>
                          <w:p w14:paraId="3701AF59" w14:textId="77777777" w:rsidR="007251B0" w:rsidRPr="00F019D5" w:rsidRDefault="007251B0" w:rsidP="00341AE1">
                            <w:pPr>
                              <w:pStyle w:val="PulloutHeading"/>
                            </w:pPr>
                            <w:r w:rsidRPr="00341AE1">
                              <w:t>RECOMMEND</w:t>
                            </w:r>
                            <w:r w:rsidRPr="00F019D5">
                              <w:t xml:space="preserve">: </w:t>
                            </w:r>
                          </w:p>
                          <w:p w14:paraId="56B0BD07" w14:textId="77777777" w:rsidR="007251B0" w:rsidRPr="00341AE1" w:rsidRDefault="007251B0" w:rsidP="00F019D5">
                            <w:pPr>
                              <w:pStyle w:val="PulloutText"/>
                              <w:numPr>
                                <w:ilvl w:val="0"/>
                                <w:numId w:val="18"/>
                              </w:numPr>
                              <w:rPr>
                                <w:rFonts w:cstheme="minorHAnsi"/>
                              </w:rPr>
                            </w:pPr>
                            <w:r w:rsidRPr="00341AE1">
                              <w:rPr>
                                <w:rFonts w:cstheme="minorHAnsi"/>
                              </w:rPr>
                              <w:t>Reviewing your education for staff in outbreak management. While services often include infection control as a part of annual mandatory training, you should check if this training targets your specific areas of concern or if other strategies may be more useful.</w:t>
                            </w:r>
                          </w:p>
                          <w:p w14:paraId="55508B43" w14:textId="77777777" w:rsidR="007251B0" w:rsidRPr="00341AE1" w:rsidRDefault="007251B0" w:rsidP="00F019D5">
                            <w:pPr>
                              <w:pStyle w:val="PulloutText"/>
                              <w:numPr>
                                <w:ilvl w:val="0"/>
                                <w:numId w:val="18"/>
                              </w:numPr>
                              <w:rPr>
                                <w:rFonts w:cstheme="minorHAnsi"/>
                                <w:i/>
                              </w:rPr>
                            </w:pPr>
                            <w:r w:rsidRPr="00341AE1">
                              <w:rPr>
                                <w:rFonts w:cstheme="minorHAnsi"/>
                              </w:rPr>
                              <w:t>Asking residents, families and staff about what is important to them in an outbreak. This might include communication protocols or minimising distress for residents affected by decreased visitors and activities at the service during an outbreak.</w:t>
                            </w:r>
                          </w:p>
                          <w:p w14:paraId="0DFB5B64" w14:textId="77777777" w:rsidR="007251B0" w:rsidRPr="00341AE1" w:rsidRDefault="007251B0" w:rsidP="00F019D5">
                            <w:pPr>
                              <w:pStyle w:val="PulloutText"/>
                              <w:numPr>
                                <w:ilvl w:val="0"/>
                                <w:numId w:val="18"/>
                              </w:numPr>
                              <w:rPr>
                                <w:rFonts w:cstheme="minorHAnsi"/>
                              </w:rPr>
                            </w:pPr>
                            <w:r w:rsidRPr="00341AE1">
                              <w:rPr>
                                <w:rFonts w:cstheme="minorHAnsi"/>
                              </w:rPr>
                              <w:t>Considering if there are areas of your service that manage infection control better than others and any learnings that could be shared.</w:t>
                            </w:r>
                          </w:p>
                          <w:p w14:paraId="7EEDBAD4" w14:textId="77777777" w:rsidR="007251B0" w:rsidRPr="00341AE1" w:rsidRDefault="007251B0" w:rsidP="00F019D5">
                            <w:pPr>
                              <w:pStyle w:val="PulloutText"/>
                              <w:numPr>
                                <w:ilvl w:val="0"/>
                                <w:numId w:val="18"/>
                              </w:numPr>
                              <w:rPr>
                                <w:rFonts w:cstheme="minorHAnsi"/>
                              </w:rPr>
                            </w:pPr>
                            <w:r w:rsidRPr="00341AE1">
                              <w:rPr>
                                <w:rFonts w:cstheme="minorHAnsi"/>
                              </w:rPr>
                              <w:t>Considering if some improvement strategies work better in particular areas of your service and what you can learn from this.</w:t>
                            </w:r>
                          </w:p>
                        </w:txbxContent>
                      </wps:txbx>
                      <wps:bodyPr rot="0" vert="horz" wrap="square" lIns="180000" tIns="180000" rIns="144000" bIns="36000" anchor="t" anchorCtr="0">
                        <a:noAutofit/>
                      </wps:bodyPr>
                    </wps:wsp>
                  </a:graphicData>
                </a:graphic>
              </wp:inline>
            </w:drawing>
          </mc:Choice>
          <mc:Fallback>
            <w:pict>
              <v:shape w14:anchorId="117B867D" id="Text Box 2" o:spid="_x0000_s1031" type="#_x0000_t202" style="width:232.9pt;height:3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" fillcolor="#d6ecef [660]" strokecolor="#edf5f7 [3214]" strokeweight=".5pt">
                <v:textbox inset="5mm,5mm,4mm,1mm">
                  <w:txbxContent>
                    <w:p w14:paraId="3701AF59" w14:textId="77777777" w:rsidR="007251B0" w:rsidRPr="00F019D5" w:rsidRDefault="007251B0" w:rsidP="00341AE1">
                      <w:pPr>
                        <w:pStyle w:val="PulloutHeading"/>
                      </w:pPr>
                      <w:r w:rsidRPr="00341AE1">
                        <w:t>RECOMMEND</w:t>
                      </w:r>
                      <w:r w:rsidRPr="00F019D5">
                        <w:t xml:space="preserve">: </w:t>
                      </w:r>
                    </w:p>
                    <w:p w14:paraId="56B0BD07" w14:textId="77777777" w:rsidR="007251B0" w:rsidRPr="00341AE1" w:rsidRDefault="007251B0" w:rsidP="00F019D5">
                      <w:pPr>
                        <w:pStyle w:val="PulloutText"/>
                        <w:numPr>
                          <w:ilvl w:val="0"/>
                          <w:numId w:val="18"/>
                        </w:numPr>
                        <w:rPr>
                          <w:rFonts w:cstheme="minorHAnsi"/>
                        </w:rPr>
                      </w:pPr>
                      <w:r w:rsidRPr="00341AE1">
                        <w:rPr>
                          <w:rFonts w:cstheme="minorHAnsi"/>
                        </w:rPr>
                        <w:t>Reviewing your education for staff in outbreak management. While services often include infection control as a part of annual mandatory training, you should check if this training targets your specific areas of concern or if other strategies may be more useful.</w:t>
                      </w:r>
                    </w:p>
                    <w:p w14:paraId="55508B43" w14:textId="77777777" w:rsidR="007251B0" w:rsidRPr="00341AE1" w:rsidRDefault="007251B0" w:rsidP="00F019D5">
                      <w:pPr>
                        <w:pStyle w:val="PulloutText"/>
                        <w:numPr>
                          <w:ilvl w:val="0"/>
                          <w:numId w:val="18"/>
                        </w:numPr>
                        <w:rPr>
                          <w:rFonts w:cstheme="minorHAnsi"/>
                          <w:i/>
                        </w:rPr>
                      </w:pPr>
                      <w:r w:rsidRPr="00341AE1">
                        <w:rPr>
                          <w:rFonts w:cstheme="minorHAnsi"/>
                        </w:rPr>
                        <w:t>Asking residents, families and staff about what is important to them in an outbreak. This might include communication protocols or minimising distress for residents affected by decreased visitors and activities at the service during an outbreak.</w:t>
                      </w:r>
                    </w:p>
                    <w:p w14:paraId="0DFB5B64" w14:textId="77777777" w:rsidR="007251B0" w:rsidRPr="00341AE1" w:rsidRDefault="007251B0" w:rsidP="00F019D5">
                      <w:pPr>
                        <w:pStyle w:val="PulloutText"/>
                        <w:numPr>
                          <w:ilvl w:val="0"/>
                          <w:numId w:val="18"/>
                        </w:numPr>
                        <w:rPr>
                          <w:rFonts w:cstheme="minorHAnsi"/>
                        </w:rPr>
                      </w:pPr>
                      <w:r w:rsidRPr="00341AE1">
                        <w:rPr>
                          <w:rFonts w:cstheme="minorHAnsi"/>
                        </w:rPr>
                        <w:t>Considering if there are areas of your service that manage infection control better than others and any learnings that could be shared.</w:t>
                      </w:r>
                    </w:p>
                    <w:p w14:paraId="7EEDBAD4" w14:textId="77777777" w:rsidR="007251B0" w:rsidRPr="00341AE1" w:rsidRDefault="007251B0" w:rsidP="00F019D5">
                      <w:pPr>
                        <w:pStyle w:val="PulloutText"/>
                        <w:numPr>
                          <w:ilvl w:val="0"/>
                          <w:numId w:val="18"/>
                        </w:numPr>
                        <w:rPr>
                          <w:rFonts w:cstheme="minorHAnsi"/>
                        </w:rPr>
                      </w:pPr>
                      <w:r w:rsidRPr="00341AE1">
                        <w:rPr>
                          <w:rFonts w:cstheme="minorHAnsi"/>
                        </w:rPr>
                        <w:t>Considering if some improvement strategies work better in particular areas of your service and what you can learn from this.</w:t>
                      </w:r>
                    </w:p>
                  </w:txbxContent>
                </v:textbox>
                <w10:anchorlock/>
              </v:shape>
            </w:pict>
          </mc:Fallback>
        </mc:AlternateContent>
      </w:r>
      <w:r w:rsidR="007F6C26" w:rsidRPr="00C476EB">
        <w:rPr>
          <w:rFonts w:ascii="VIC" w:hAnsi="VIC"/>
        </w:rPr>
        <w:br w:type="page"/>
      </w:r>
    </w:p>
    <w:p w14:paraId="24A15A23" w14:textId="6A0CA5C3" w:rsidR="007F6C26" w:rsidRPr="00FB3F36" w:rsidRDefault="007F6C26" w:rsidP="00341AE1">
      <w:pPr>
        <w:pStyle w:val="Heading1"/>
        <w:framePr w:wrap="around"/>
      </w:pPr>
      <w:r w:rsidRPr="00FB3F36">
        <w:lastRenderedPageBreak/>
        <w:t>Step</w:t>
      </w:r>
      <w:r w:rsidR="001F6B4D" w:rsidRPr="00FB3F36">
        <w:t>s</w:t>
      </w:r>
      <w:r w:rsidRPr="00FB3F36">
        <w:t xml:space="preserve"> five</w:t>
      </w:r>
      <w:r w:rsidR="001F6B4D" w:rsidRPr="00FB3F36">
        <w:t xml:space="preserve"> and six</w:t>
      </w:r>
    </w:p>
    <w:p w14:paraId="58D4504C" w14:textId="77777777" w:rsidR="001F6B4D" w:rsidRPr="00F019D5" w:rsidRDefault="001F6B4D" w:rsidP="00F019D5">
      <w:pPr>
        <w:pStyle w:val="Heading2"/>
        <w:spacing w:before="0" w:after="0"/>
        <w:rPr>
          <w:rFonts w:ascii="VIC" w:hAnsi="VIC"/>
          <w:sz w:val="2"/>
          <w:szCs w:val="2"/>
        </w:rPr>
        <w:sectPr w:rsidR="001F6B4D" w:rsidRPr="00F019D5" w:rsidSect="00AE3760">
          <w:type w:val="continuous"/>
          <w:pgSz w:w="11906" w:h="16838" w:code="9"/>
          <w:pgMar w:top="3402" w:right="851" w:bottom="1361" w:left="851" w:header="539" w:footer="624" w:gutter="0"/>
          <w:cols w:space="284"/>
          <w:docGrid w:linePitch="360"/>
          <w15:footnoteColumns w:val="1"/>
        </w:sectPr>
      </w:pPr>
    </w:p>
    <w:p w14:paraId="76C0E062" w14:textId="77777777" w:rsidR="00341AE1" w:rsidRDefault="001F6B4D" w:rsidP="00341AE1">
      <w:pPr>
        <w:pStyle w:val="Heading2"/>
        <w:spacing w:before="0"/>
      </w:pPr>
      <w:r w:rsidRPr="00FB3F36">
        <w:t>Step five:</w:t>
      </w:r>
    </w:p>
    <w:p w14:paraId="368F6E9C" w14:textId="606D0324" w:rsidR="001F6B4D" w:rsidRPr="00341AE1" w:rsidRDefault="002B79D7" w:rsidP="00341AE1">
      <w:pPr>
        <w:pStyle w:val="Heading3"/>
      </w:pPr>
      <w:r w:rsidRPr="00341AE1">
        <w:rPr>
          <w:rStyle w:val="Heading3Char"/>
          <w:b/>
          <w:bCs/>
        </w:rPr>
        <w:t>Review your change ideas</w:t>
      </w:r>
    </w:p>
    <w:p w14:paraId="3E41F0F2" w14:textId="114A6FB6" w:rsidR="007F6C26" w:rsidRPr="00F019D5" w:rsidRDefault="007F6C26" w:rsidP="00341AE1">
      <w:pPr>
        <w:pStyle w:val="Normalfollowingheading"/>
      </w:pPr>
      <w:r w:rsidRPr="00F019D5">
        <w:t xml:space="preserve">It is valuable for your project team to include </w:t>
      </w:r>
      <w:r w:rsidRPr="00341AE1">
        <w:t>incremental</w:t>
      </w:r>
      <w:r w:rsidRPr="00F019D5">
        <w:t xml:space="preserve"> reviews to see if your strategies are having an impact. Collecting data about your changes on a regular basis (e.g. monthly), will help monitor your progress.</w:t>
      </w:r>
    </w:p>
    <w:p w14:paraId="02C5473D" w14:textId="77777777" w:rsidR="007F6C26" w:rsidRPr="00C476EB" w:rsidRDefault="007F6C26" w:rsidP="00341AE1">
      <w:r w:rsidRPr="00C476EB">
        <w:t xml:space="preserve">Your measures will enable your team to observe your progress and provide feedback to your stakeholders.  Seeing positive results will help you maintain momentum and continue with future improvements. </w:t>
      </w:r>
    </w:p>
    <w:p w14:paraId="7FB908B1" w14:textId="3B09BC89" w:rsidR="007F6C26" w:rsidRPr="00C476EB" w:rsidRDefault="007F6C26" w:rsidP="00341AE1">
      <w:r w:rsidRPr="00C476EB">
        <w:t>You should keep clear documentation at all stages of this improvement project. Documenting actions and progress on your continuous improvement plan will allow you to clearly demonstrate the quality processes your team are working on. This documentation can also be used to demonstrate improvements to the Aged Care Quality and Safety Commission.</w:t>
      </w:r>
    </w:p>
    <w:p w14:paraId="145CE3D7" w14:textId="77777777" w:rsidR="00341AE1" w:rsidRDefault="001F6B4D" w:rsidP="00341AE1">
      <w:pPr>
        <w:pStyle w:val="Heading2"/>
        <w:spacing w:before="0"/>
      </w:pPr>
      <w:r w:rsidRPr="00FB3F36">
        <w:t xml:space="preserve">Step six: </w:t>
      </w:r>
    </w:p>
    <w:p w14:paraId="7F92964D" w14:textId="4A9D5C23" w:rsidR="001F6B4D" w:rsidRPr="00341AE1" w:rsidRDefault="002B79D7" w:rsidP="00341AE1">
      <w:pPr>
        <w:pStyle w:val="Heading3"/>
        <w:rPr>
          <w:rStyle w:val="Heading3Char"/>
          <w:b/>
          <w:bCs/>
        </w:rPr>
      </w:pPr>
      <w:r w:rsidRPr="00341AE1">
        <w:rPr>
          <w:rStyle w:val="Heading3Char"/>
          <w:b/>
          <w:bCs/>
        </w:rPr>
        <w:t>Look for improvements, celebrate successes and change as needed</w:t>
      </w:r>
    </w:p>
    <w:p w14:paraId="5016A970" w14:textId="77777777" w:rsidR="001F6B4D" w:rsidRPr="00C476EB" w:rsidRDefault="001F6B4D" w:rsidP="00341AE1">
      <w:pPr>
        <w:pStyle w:val="Normalfollowingheading"/>
      </w:pPr>
      <w:r w:rsidRPr="00C476EB">
        <w:t xml:space="preserve">Now that your team has examined the data and </w:t>
      </w:r>
      <w:r w:rsidRPr="00341AE1">
        <w:t>reviewed</w:t>
      </w:r>
      <w:r w:rsidRPr="00C476EB">
        <w:t xml:space="preserve"> your measures, pause and make any necessary adjustments to your aim, measures and strategies before starting the next improvement stage. </w:t>
      </w:r>
    </w:p>
    <w:p w14:paraId="106EFE50" w14:textId="77777777" w:rsidR="001F6B4D" w:rsidRPr="00C476EB" w:rsidRDefault="001F6B4D" w:rsidP="00341AE1">
      <w:r w:rsidRPr="00C476EB">
        <w:t xml:space="preserve">You might find some of your measures have progressed well and are worth sharing and celebrating, while others have not progressed as you planned. Be on the lookout for unintended consequences that your team did not anticipate. Being </w:t>
      </w:r>
      <w:proofErr w:type="gramStart"/>
      <w:r w:rsidRPr="00C476EB">
        <w:t>open</w:t>
      </w:r>
      <w:proofErr w:type="gramEnd"/>
      <w:r w:rsidRPr="00C476EB">
        <w:t xml:space="preserve"> to learning throughout your improvement cycle and making the necessary changes or adjustments will keep your change on track to achieve the desired result. </w:t>
      </w:r>
    </w:p>
    <w:p w14:paraId="4C6F669D" w14:textId="396AC793" w:rsidR="001F6B4D" w:rsidRPr="00C476EB" w:rsidRDefault="001F6B4D" w:rsidP="00341AE1">
      <w:r w:rsidRPr="00C476EB">
        <w:t>We have included a</w:t>
      </w:r>
      <w:r w:rsidR="00FB3F36">
        <w:t xml:space="preserve">n example of a </w:t>
      </w:r>
      <w:r w:rsidRPr="00C476EB">
        <w:t xml:space="preserve">case study </w:t>
      </w:r>
      <w:r w:rsidR="00FB3F36">
        <w:t xml:space="preserve">in the next section, </w:t>
      </w:r>
      <w:r w:rsidRPr="00C476EB">
        <w:t>so you can see how an improvement cycle might work.</w:t>
      </w:r>
    </w:p>
    <w:p w14:paraId="394FCB5D" w14:textId="77777777" w:rsidR="001F6B4D" w:rsidRPr="00C476EB" w:rsidRDefault="001F6B4D">
      <w:pPr>
        <w:rPr>
          <w:rFonts w:ascii="VIC" w:hAnsi="VIC"/>
        </w:rPr>
        <w:sectPr w:rsidR="001F6B4D" w:rsidRPr="00C476EB" w:rsidSect="001F6B4D">
          <w:type w:val="continuous"/>
          <w:pgSz w:w="11906" w:h="16838" w:code="9"/>
          <w:pgMar w:top="3402" w:right="851" w:bottom="1361" w:left="851" w:header="539" w:footer="624" w:gutter="0"/>
          <w:cols w:num="2" w:space="284"/>
          <w:docGrid w:linePitch="360"/>
          <w15:footnoteColumns w:val="1"/>
        </w:sectPr>
      </w:pPr>
    </w:p>
    <w:p w14:paraId="0BEA5DBC" w14:textId="64194A99" w:rsidR="007F6C26" w:rsidRPr="00C476EB" w:rsidRDefault="007F6C26">
      <w:pPr>
        <w:rPr>
          <w:rFonts w:ascii="VIC" w:hAnsi="VIC"/>
        </w:rPr>
      </w:pPr>
      <w:r w:rsidRPr="00C476EB">
        <w:rPr>
          <w:rFonts w:ascii="VIC" w:hAnsi="VIC"/>
        </w:rPr>
        <w:br w:type="page"/>
      </w:r>
    </w:p>
    <w:p w14:paraId="14C2ADD7" w14:textId="5C4BFE7B" w:rsidR="007F6C26" w:rsidRPr="00FB3F36" w:rsidRDefault="007F6C26" w:rsidP="00341AE1">
      <w:pPr>
        <w:pStyle w:val="Heading1"/>
        <w:framePr w:wrap="around"/>
      </w:pPr>
      <w:r w:rsidRPr="00FB3F36">
        <w:lastRenderedPageBreak/>
        <w:t>Example case study</w:t>
      </w:r>
    </w:p>
    <w:p w14:paraId="0970D42F" w14:textId="77777777" w:rsidR="00E341CE" w:rsidRPr="00FB3F36" w:rsidRDefault="00E341CE" w:rsidP="00341AE1">
      <w:pPr>
        <w:pStyle w:val="Heading2"/>
      </w:pPr>
      <w:r w:rsidRPr="00FB3F36">
        <w:t>Preparing for influenza outbreaks: a continuing journey</w:t>
      </w:r>
    </w:p>
    <w:p w14:paraId="2BB82080" w14:textId="77777777" w:rsidR="00D955F9" w:rsidRPr="00E341CE" w:rsidRDefault="00D955F9" w:rsidP="00E341CE">
      <w:pPr>
        <w:pStyle w:val="Heading2"/>
        <w:spacing w:before="0" w:after="0"/>
        <w:rPr>
          <w:rFonts w:ascii="VIC" w:hAnsi="VIC"/>
          <w:sz w:val="2"/>
          <w:szCs w:val="2"/>
        </w:rPr>
        <w:sectPr w:rsidR="00D955F9" w:rsidRPr="00E341CE" w:rsidSect="00AE3760">
          <w:type w:val="continuous"/>
          <w:pgSz w:w="11906" w:h="16838" w:code="9"/>
          <w:pgMar w:top="3402" w:right="851" w:bottom="1361" w:left="851" w:header="539" w:footer="624" w:gutter="0"/>
          <w:cols w:space="284"/>
          <w:docGrid w:linePitch="360"/>
          <w15:footnoteColumns w:val="1"/>
        </w:sectPr>
      </w:pPr>
    </w:p>
    <w:p w14:paraId="46B98D02" w14:textId="0F326C4C" w:rsidR="00523424" w:rsidRPr="00C476EB" w:rsidRDefault="00523424" w:rsidP="00341AE1">
      <w:pPr>
        <w:pStyle w:val="Normalfollowingheading"/>
      </w:pPr>
      <w:bookmarkStart w:id="0" w:name="m_-7675867501798932176__Hlk35344887"/>
      <w:r w:rsidRPr="00C476EB">
        <w:rPr>
          <w:shd w:val="clear" w:color="auto" w:fill="FFFFFF"/>
        </w:rPr>
        <w:t xml:space="preserve">This hypothetical case study provides an example </w:t>
      </w:r>
      <w:r w:rsidR="002C33BC" w:rsidRPr="00C476EB">
        <w:rPr>
          <w:shd w:val="clear" w:color="auto" w:fill="FFFFFF"/>
        </w:rPr>
        <w:t>of</w:t>
      </w:r>
      <w:r w:rsidRPr="00C476EB">
        <w:rPr>
          <w:shd w:val="clear" w:color="auto" w:fill="FFFFFF"/>
        </w:rPr>
        <w:t xml:space="preserve"> how an aged </w:t>
      </w:r>
      <w:r w:rsidRPr="00341AE1">
        <w:t>care</w:t>
      </w:r>
      <w:r w:rsidRPr="00C476EB">
        <w:rPr>
          <w:shd w:val="clear" w:color="auto" w:fill="FFFFFF"/>
        </w:rPr>
        <w:t xml:space="preserve"> service might conduct an improvement project to review and improve their management of influenza outbreaks.</w:t>
      </w:r>
      <w:bookmarkEnd w:id="0"/>
    </w:p>
    <w:p w14:paraId="18D21F35" w14:textId="49C948E6" w:rsidR="00523424" w:rsidRPr="00341AE1" w:rsidRDefault="002C33BC" w:rsidP="00341AE1">
      <w:pPr>
        <w:rPr>
          <w:b/>
          <w:bCs/>
        </w:rPr>
      </w:pPr>
      <w:r w:rsidRPr="00341AE1">
        <w:rPr>
          <w:b/>
          <w:bCs/>
        </w:rPr>
        <w:t xml:space="preserve">By </w:t>
      </w:r>
      <w:r w:rsidR="00523424" w:rsidRPr="00341AE1">
        <w:rPr>
          <w:b/>
          <w:bCs/>
        </w:rPr>
        <w:t xml:space="preserve">Jane Smith, </w:t>
      </w:r>
      <w:r w:rsidR="000E38C8" w:rsidRPr="00341AE1">
        <w:rPr>
          <w:b/>
          <w:bCs/>
        </w:rPr>
        <w:t xml:space="preserve">Nurse Unit Manager, </w:t>
      </w:r>
      <w:r w:rsidR="00A61A79" w:rsidRPr="00341AE1">
        <w:rPr>
          <w:b/>
          <w:bCs/>
        </w:rPr>
        <w:t>Ideal Healthcare Nursing Home</w:t>
      </w:r>
    </w:p>
    <w:p w14:paraId="189A8B87" w14:textId="4100CEDE" w:rsidR="00A61A79" w:rsidRPr="00C476EB" w:rsidRDefault="002C33BC" w:rsidP="00341AE1">
      <w:r w:rsidRPr="00C476EB">
        <w:t xml:space="preserve">In 2019 Ideal Healthcare Nursing Home </w:t>
      </w:r>
      <w:r w:rsidR="00A61A79" w:rsidRPr="00C476EB">
        <w:t>dealt with an outbreak of influenza.</w:t>
      </w:r>
    </w:p>
    <w:p w14:paraId="7BE767D2" w14:textId="46AEB940" w:rsidR="00A61A79" w:rsidRPr="00C476EB" w:rsidRDefault="00A61A79" w:rsidP="00341AE1">
      <w:r w:rsidRPr="00C476EB">
        <w:t>Since the</w:t>
      </w:r>
      <w:r w:rsidR="002C33BC" w:rsidRPr="00C476EB">
        <w:t>n we have</w:t>
      </w:r>
      <w:r w:rsidRPr="00C476EB">
        <w:t xml:space="preserve"> started </w:t>
      </w:r>
      <w:r w:rsidR="002C33BC" w:rsidRPr="00C476EB">
        <w:t>an</w:t>
      </w:r>
      <w:r w:rsidRPr="00C476EB">
        <w:t xml:space="preserve"> improvement journey</w:t>
      </w:r>
      <w:r w:rsidR="002C33BC" w:rsidRPr="00C476EB">
        <w:t>. While it is still early stages in our improvement project, already we have seen a</w:t>
      </w:r>
      <w:r w:rsidRPr="00C476EB">
        <w:t xml:space="preserve"> 30 per cent increase in the number of residents who have antiviral prescriptions written on their medication chart.</w:t>
      </w:r>
    </w:p>
    <w:p w14:paraId="7786E2D0" w14:textId="77777777" w:rsidR="00A61A79" w:rsidRPr="00C476EB" w:rsidRDefault="00A61A79" w:rsidP="00341AE1">
      <w:r w:rsidRPr="00C476EB">
        <w:t xml:space="preserve">The nursing home is a public sector residential aged care service with 60 beds and a dementia specific unit of 10 beds. </w:t>
      </w:r>
    </w:p>
    <w:p w14:paraId="0CB84BC3" w14:textId="711C1ECB" w:rsidR="00A61A79" w:rsidRPr="00C476EB" w:rsidRDefault="00A61A79" w:rsidP="00341AE1">
      <w:r w:rsidRPr="00C476EB">
        <w:t xml:space="preserve">Six months ago, </w:t>
      </w:r>
      <w:r w:rsidR="002C33BC" w:rsidRPr="00C476EB">
        <w:t>we</w:t>
      </w:r>
      <w:r w:rsidRPr="00C476EB">
        <w:t xml:space="preserve"> had a laboratory-confirmed outbreak of influenza. </w:t>
      </w:r>
      <w:r w:rsidR="002C33BC" w:rsidRPr="00C476EB">
        <w:t>We</w:t>
      </w:r>
      <w:r w:rsidRPr="00C476EB">
        <w:t xml:space="preserve"> also experienced a gastroenteritis outbreak more than two years ago. </w:t>
      </w:r>
    </w:p>
    <w:p w14:paraId="153F379B" w14:textId="69448CDE" w:rsidR="00A61A79" w:rsidRPr="00C476EB" w:rsidRDefault="00A61A79" w:rsidP="00341AE1">
      <w:r w:rsidRPr="00C476EB">
        <w:t xml:space="preserve">To improve </w:t>
      </w:r>
      <w:r w:rsidR="002C33BC" w:rsidRPr="00C476EB">
        <w:t>our</w:t>
      </w:r>
      <w:r w:rsidRPr="00C476EB">
        <w:t xml:space="preserve"> infection control/outbreak management plan, </w:t>
      </w:r>
      <w:r w:rsidR="002C33BC" w:rsidRPr="00C476EB">
        <w:t xml:space="preserve">we </w:t>
      </w:r>
      <w:r w:rsidRPr="00C476EB">
        <w:t xml:space="preserve">decided to implement an improvement project. </w:t>
      </w:r>
      <w:r w:rsidR="002C33BC" w:rsidRPr="00C476EB">
        <w:t>We</w:t>
      </w:r>
      <w:r w:rsidRPr="00C476EB">
        <w:t xml:space="preserve"> formed a project team, which included:</w:t>
      </w:r>
    </w:p>
    <w:p w14:paraId="3544FEE4" w14:textId="77777777" w:rsidR="00A61A79" w:rsidRPr="00341AE1" w:rsidRDefault="00A61A79" w:rsidP="00341AE1">
      <w:pPr>
        <w:pStyle w:val="Bullet1"/>
      </w:pPr>
      <w:r w:rsidRPr="00341AE1">
        <w:t>an infection control practitioner</w:t>
      </w:r>
    </w:p>
    <w:p w14:paraId="32F3328B" w14:textId="77777777" w:rsidR="00A61A79" w:rsidRPr="00341AE1" w:rsidRDefault="00A61A79" w:rsidP="00341AE1">
      <w:pPr>
        <w:pStyle w:val="Bullet1"/>
      </w:pPr>
      <w:r w:rsidRPr="00341AE1">
        <w:t>a GP</w:t>
      </w:r>
    </w:p>
    <w:p w14:paraId="36E6BD70" w14:textId="77777777" w:rsidR="00A61A79" w:rsidRPr="00341AE1" w:rsidRDefault="00A61A79" w:rsidP="00341AE1">
      <w:pPr>
        <w:pStyle w:val="Bullet1"/>
      </w:pPr>
      <w:r w:rsidRPr="00341AE1">
        <w:t>nurse unit manager</w:t>
      </w:r>
    </w:p>
    <w:p w14:paraId="4CFE3B57" w14:textId="77777777" w:rsidR="00A61A79" w:rsidRPr="00341AE1" w:rsidRDefault="00A61A79" w:rsidP="00341AE1">
      <w:pPr>
        <w:pStyle w:val="Bullet1"/>
      </w:pPr>
      <w:r w:rsidRPr="00341AE1">
        <w:t>executive aged care manager</w:t>
      </w:r>
    </w:p>
    <w:p w14:paraId="503767A6" w14:textId="77777777" w:rsidR="00A61A79" w:rsidRPr="00341AE1" w:rsidRDefault="00A61A79" w:rsidP="00341AE1">
      <w:pPr>
        <w:pStyle w:val="Bullet1"/>
      </w:pPr>
      <w:r w:rsidRPr="00341AE1">
        <w:t>quality manager</w:t>
      </w:r>
    </w:p>
    <w:p w14:paraId="78902C7C" w14:textId="09932FB5" w:rsidR="00A61A79" w:rsidRPr="00341AE1" w:rsidRDefault="00A61A79" w:rsidP="00341AE1">
      <w:pPr>
        <w:pStyle w:val="Bullet1"/>
      </w:pPr>
      <w:r w:rsidRPr="00341AE1">
        <w:t>a resident who has been at the service for some time.</w:t>
      </w:r>
    </w:p>
    <w:p w14:paraId="4E078170" w14:textId="4AF84B32" w:rsidR="00A61A79" w:rsidRPr="00341AE1" w:rsidRDefault="00A61A79" w:rsidP="00341AE1">
      <w:pPr>
        <w:rPr>
          <w:rFonts w:asciiTheme="majorHAnsi" w:hAnsiTheme="majorHAnsi" w:cstheme="majorHAnsi"/>
        </w:rPr>
      </w:pPr>
      <w:r w:rsidRPr="00341AE1">
        <w:rPr>
          <w:rFonts w:asciiTheme="majorHAnsi" w:hAnsiTheme="majorHAnsi" w:cstheme="majorHAnsi"/>
          <w:iCs/>
        </w:rPr>
        <w:t xml:space="preserve">At the first project meeting the team discussed any </w:t>
      </w:r>
      <w:r w:rsidRPr="00341AE1">
        <w:rPr>
          <w:rFonts w:asciiTheme="majorHAnsi" w:hAnsiTheme="majorHAnsi" w:cstheme="majorHAnsi"/>
        </w:rPr>
        <w:t>current and potential infection control issues</w:t>
      </w:r>
      <w:r w:rsidR="002C33BC" w:rsidRPr="00341AE1">
        <w:rPr>
          <w:rFonts w:asciiTheme="majorHAnsi" w:hAnsiTheme="majorHAnsi" w:cstheme="majorHAnsi"/>
        </w:rPr>
        <w:t xml:space="preserve"> and</w:t>
      </w:r>
      <w:r w:rsidRPr="00341AE1">
        <w:rPr>
          <w:rFonts w:asciiTheme="majorHAnsi" w:hAnsiTheme="majorHAnsi" w:cstheme="majorHAnsi"/>
        </w:rPr>
        <w:t xml:space="preserve"> chose one area to focus on for the project. </w:t>
      </w:r>
    </w:p>
    <w:p w14:paraId="10FD9136" w14:textId="4EF6604A" w:rsidR="00A61A79" w:rsidRPr="00C476EB" w:rsidRDefault="00E341CE" w:rsidP="00341AE1">
      <w:r>
        <w:br w:type="column"/>
      </w:r>
      <w:r w:rsidR="000E38C8" w:rsidRPr="00C476EB">
        <w:t>I had</w:t>
      </w:r>
      <w:r w:rsidR="00A61A79" w:rsidRPr="00C476EB">
        <w:t xml:space="preserve"> recently viewed a webinar (Reflections on 2019 Influenza season) and realised there were gaps in </w:t>
      </w:r>
      <w:r w:rsidR="000E38C8" w:rsidRPr="00C476EB">
        <w:t>our</w:t>
      </w:r>
      <w:r w:rsidR="00A61A79" w:rsidRPr="00C476EB">
        <w:t xml:space="preserve"> current system. It did not plan for use of antiviral medications in the case of an outbreak. While influenza vaccinations were available, there were no arrangements for administering antiviral medications in a timely manner if a laboratory</w:t>
      </w:r>
      <w:r w:rsidR="00181C61" w:rsidRPr="00C476EB">
        <w:t>-</w:t>
      </w:r>
      <w:r w:rsidR="00A61A79" w:rsidRPr="00C476EB">
        <w:t xml:space="preserve">confirmed influenza outbreak occurred. </w:t>
      </w:r>
    </w:p>
    <w:p w14:paraId="6AB89131" w14:textId="2E6B0CB2" w:rsidR="00A61A79" w:rsidRPr="00C476EB" w:rsidRDefault="00A61A79" w:rsidP="00341AE1">
      <w:r w:rsidRPr="00C476EB">
        <w:t xml:space="preserve">The team decided </w:t>
      </w:r>
      <w:r w:rsidR="00181C61" w:rsidRPr="00C476EB">
        <w:t>our</w:t>
      </w:r>
      <w:r w:rsidRPr="00C476EB">
        <w:t xml:space="preserve"> aim for the improvement project</w:t>
      </w:r>
      <w:r w:rsidR="007F5A6B">
        <w:t xml:space="preserve"> would be:</w:t>
      </w:r>
      <w:r w:rsidRPr="00C476EB">
        <w:t xml:space="preserve"> </w:t>
      </w:r>
    </w:p>
    <w:p w14:paraId="45A6F711" w14:textId="191E7D1E" w:rsidR="00A61A79" w:rsidRPr="00341AE1" w:rsidRDefault="00181C61" w:rsidP="00341AE1">
      <w:pPr>
        <w:pStyle w:val="PulloutText"/>
      </w:pPr>
      <w:bookmarkStart w:id="1" w:name="_Hlk31099056"/>
      <w:r w:rsidRPr="00341AE1">
        <w:t xml:space="preserve">By May 2020 </w:t>
      </w:r>
      <w:r w:rsidR="00A61A79" w:rsidRPr="00341AE1">
        <w:t>all residents</w:t>
      </w:r>
      <w:r w:rsidRPr="00341AE1">
        <w:t>, where applicable,</w:t>
      </w:r>
      <w:r w:rsidR="00A61A79" w:rsidRPr="00341AE1">
        <w:t xml:space="preserve"> have a prescription and order written up on the medication chart from their GP, so that antiviral medications can be obtained and administered </w:t>
      </w:r>
      <w:r w:rsidRPr="00341AE1">
        <w:t>if</w:t>
      </w:r>
      <w:r w:rsidR="00A61A79" w:rsidRPr="00341AE1">
        <w:t xml:space="preserve"> a laboratory confirmed influenza outbreak</w:t>
      </w:r>
      <w:r w:rsidRPr="00341AE1">
        <w:t xml:space="preserve"> occurs. </w:t>
      </w:r>
    </w:p>
    <w:bookmarkEnd w:id="1"/>
    <w:p w14:paraId="0050B8A3" w14:textId="77777777" w:rsidR="00A61A79" w:rsidRPr="00FB3F36" w:rsidRDefault="00A61A79" w:rsidP="00341AE1">
      <w:pPr>
        <w:pStyle w:val="Heading3"/>
      </w:pPr>
      <w:r w:rsidRPr="00341AE1">
        <w:t>Determining</w:t>
      </w:r>
      <w:r w:rsidRPr="00FB3F36">
        <w:t xml:space="preserve"> the baseline</w:t>
      </w:r>
    </w:p>
    <w:p w14:paraId="33C7E56F" w14:textId="696FB468" w:rsidR="00A61A79" w:rsidRPr="00E341CE" w:rsidRDefault="00181C61" w:rsidP="00341AE1">
      <w:pPr>
        <w:pStyle w:val="Normalfollowingheading"/>
      </w:pPr>
      <w:r w:rsidRPr="00E341CE">
        <w:t>T</w:t>
      </w:r>
      <w:r w:rsidR="00A61A79" w:rsidRPr="00E341CE">
        <w:t xml:space="preserve">o </w:t>
      </w:r>
      <w:r w:rsidR="00A61A79" w:rsidRPr="00341AE1">
        <w:t>understand</w:t>
      </w:r>
      <w:r w:rsidR="00A61A79" w:rsidRPr="00E341CE">
        <w:t xml:space="preserve"> </w:t>
      </w:r>
      <w:r w:rsidRPr="00E341CE">
        <w:t>ou</w:t>
      </w:r>
      <w:r w:rsidR="00A61A79" w:rsidRPr="00E341CE">
        <w:t xml:space="preserve">r baseline, the team reviewed: </w:t>
      </w:r>
    </w:p>
    <w:p w14:paraId="16B9B137" w14:textId="77777777" w:rsidR="00A61A79" w:rsidRPr="00341AE1" w:rsidRDefault="00A61A79" w:rsidP="00E341CE">
      <w:pPr>
        <w:pStyle w:val="Bullet1"/>
        <w:numPr>
          <w:ilvl w:val="0"/>
          <w:numId w:val="8"/>
        </w:numPr>
        <w:spacing w:line="260" w:lineRule="atLeast"/>
        <w:rPr>
          <w:rFonts w:cstheme="minorHAnsi"/>
        </w:rPr>
      </w:pPr>
      <w:r w:rsidRPr="00341AE1">
        <w:rPr>
          <w:rFonts w:cstheme="minorHAnsi"/>
        </w:rPr>
        <w:t xml:space="preserve">medication charts to determine the number of residents who had prophylactic antiviral medication written up and signed on the medication chart for administration in an influenza outbreak </w:t>
      </w:r>
    </w:p>
    <w:p w14:paraId="6CD03D54" w14:textId="77777777" w:rsidR="00A61A79" w:rsidRPr="00341AE1" w:rsidRDefault="00A61A79" w:rsidP="00E341CE">
      <w:pPr>
        <w:pStyle w:val="Bullet1"/>
        <w:numPr>
          <w:ilvl w:val="0"/>
          <w:numId w:val="8"/>
        </w:numPr>
        <w:spacing w:line="260" w:lineRule="atLeast"/>
        <w:rPr>
          <w:rFonts w:cstheme="minorHAnsi"/>
        </w:rPr>
      </w:pPr>
      <w:r w:rsidRPr="00341AE1">
        <w:rPr>
          <w:rFonts w:cstheme="minorHAnsi"/>
        </w:rPr>
        <w:t xml:space="preserve">policies and procedures to see if these included reference to the use of antiviral medications in an outbreak </w:t>
      </w:r>
    </w:p>
    <w:p w14:paraId="0BCDC21F" w14:textId="77777777" w:rsidR="00A61A79" w:rsidRPr="00341AE1" w:rsidRDefault="00A61A79" w:rsidP="00E341CE">
      <w:pPr>
        <w:pStyle w:val="Bullet1"/>
        <w:numPr>
          <w:ilvl w:val="0"/>
          <w:numId w:val="8"/>
        </w:numPr>
        <w:spacing w:line="260" w:lineRule="atLeast"/>
        <w:rPr>
          <w:rFonts w:cstheme="minorHAnsi"/>
        </w:rPr>
      </w:pPr>
      <w:r w:rsidRPr="00341AE1">
        <w:rPr>
          <w:rFonts w:cstheme="minorHAnsi"/>
        </w:rPr>
        <w:t xml:space="preserve">their last influenza outbreak (six months prior) to determine if antiviral medications were administered during this outbreak </w:t>
      </w:r>
    </w:p>
    <w:p w14:paraId="6F9CC373" w14:textId="77777777" w:rsidR="00A61A79" w:rsidRPr="00341AE1" w:rsidRDefault="00A61A79" w:rsidP="00E341CE">
      <w:pPr>
        <w:pStyle w:val="Bullet1"/>
        <w:numPr>
          <w:ilvl w:val="0"/>
          <w:numId w:val="8"/>
        </w:numPr>
        <w:spacing w:line="260" w:lineRule="atLeast"/>
        <w:rPr>
          <w:rFonts w:cstheme="minorHAnsi"/>
        </w:rPr>
      </w:pPr>
      <w:r w:rsidRPr="00341AE1">
        <w:rPr>
          <w:rFonts w:cstheme="minorHAnsi"/>
        </w:rPr>
        <w:t xml:space="preserve">staff understanding of outbreak management and how antiviral medications may reduce the spread of infection in a laboratory-confirmed influenza outbreak </w:t>
      </w:r>
    </w:p>
    <w:p w14:paraId="6C0308B6" w14:textId="77777777" w:rsidR="00A61A79" w:rsidRPr="00341AE1" w:rsidRDefault="00A61A79" w:rsidP="00E341CE">
      <w:pPr>
        <w:pStyle w:val="Bullet1"/>
        <w:numPr>
          <w:ilvl w:val="0"/>
          <w:numId w:val="8"/>
        </w:numPr>
        <w:spacing w:line="260" w:lineRule="atLeast"/>
        <w:rPr>
          <w:rFonts w:cstheme="minorHAnsi"/>
        </w:rPr>
      </w:pPr>
      <w:r w:rsidRPr="00341AE1">
        <w:rPr>
          <w:rFonts w:cstheme="minorHAnsi"/>
        </w:rPr>
        <w:t xml:space="preserve">pharmacy and supply chain issues to understand if it would be possible to supply these prescribed medications in a timely manner if there was an outbreak. </w:t>
      </w:r>
    </w:p>
    <w:p w14:paraId="5100CFD5" w14:textId="77777777" w:rsidR="00E341CE" w:rsidRDefault="00E341CE">
      <w:pPr>
        <w:rPr>
          <w:rFonts w:ascii="VIC" w:hAnsi="VIC" w:cs="Arial"/>
          <w:iCs/>
        </w:rPr>
      </w:pPr>
      <w:r>
        <w:rPr>
          <w:rFonts w:ascii="VIC" w:hAnsi="VIC" w:cs="Arial"/>
          <w:iCs/>
        </w:rPr>
        <w:br w:type="page"/>
      </w:r>
    </w:p>
    <w:p w14:paraId="4B722AB9" w14:textId="1AB947B6" w:rsidR="00A61A79" w:rsidRPr="00C476EB" w:rsidRDefault="00181C61" w:rsidP="00341AE1">
      <w:r w:rsidRPr="00341AE1">
        <w:lastRenderedPageBreak/>
        <w:t>We</w:t>
      </w:r>
      <w:r w:rsidR="00A61A79" w:rsidRPr="00341AE1">
        <w:t xml:space="preserve"> then</w:t>
      </w:r>
      <w:r w:rsidR="00A61A79" w:rsidRPr="00C476EB">
        <w:t xml:space="preserve"> agreed on the following measures to monitor the effectiveness of their project:</w:t>
      </w:r>
    </w:p>
    <w:p w14:paraId="75DDD7BE" w14:textId="77777777" w:rsidR="00A61A79" w:rsidRPr="00341AE1" w:rsidRDefault="00A61A79" w:rsidP="00341AE1">
      <w:pPr>
        <w:pStyle w:val="Bullet1"/>
      </w:pPr>
      <w:r w:rsidRPr="00341AE1">
        <w:t>per cent of residents where there are plans in place for antiviral medication to be administered in the case of a laboratory confirmed outbreak</w:t>
      </w:r>
    </w:p>
    <w:p w14:paraId="5AAA7A60" w14:textId="77777777" w:rsidR="00A61A79" w:rsidRPr="00C476EB" w:rsidRDefault="00A61A79" w:rsidP="00341AE1">
      <w:pPr>
        <w:pStyle w:val="Bullet1"/>
      </w:pPr>
      <w:r w:rsidRPr="00341AE1">
        <w:t>per cent of staff who have attended education sessions regarding current</w:t>
      </w:r>
      <w:r w:rsidRPr="00C476EB">
        <w:t xml:space="preserve"> approaches to influenza outbreaks in residential aged care.</w:t>
      </w:r>
    </w:p>
    <w:p w14:paraId="59259382" w14:textId="72D22B58" w:rsidR="00A61A79" w:rsidRPr="00C476EB" w:rsidRDefault="00A61A79" w:rsidP="00341AE1">
      <w:r w:rsidRPr="00341AE1">
        <w:t>The team decided to monitor these additional measures</w:t>
      </w:r>
      <w:r w:rsidRPr="00C476EB">
        <w:t xml:space="preserve"> to make sure the proposed change did not have unintended consequences: </w:t>
      </w:r>
    </w:p>
    <w:p w14:paraId="1198CBE1" w14:textId="77777777" w:rsidR="00A61A79" w:rsidRPr="00341AE1" w:rsidRDefault="00A61A79" w:rsidP="00341AE1">
      <w:pPr>
        <w:pStyle w:val="Bullet1"/>
      </w:pPr>
      <w:r w:rsidRPr="00341AE1">
        <w:t xml:space="preserve">resident influenza vaccination rates to determine if they were maintaining vaccination levels throughout the change </w:t>
      </w:r>
    </w:p>
    <w:p w14:paraId="2DD22E90" w14:textId="77777777" w:rsidR="00A61A79" w:rsidRPr="00341AE1" w:rsidRDefault="00A61A79" w:rsidP="00341AE1">
      <w:pPr>
        <w:pStyle w:val="Bullet1"/>
      </w:pPr>
      <w:r w:rsidRPr="00341AE1">
        <w:t xml:space="preserve">outbreak size </w:t>
      </w:r>
    </w:p>
    <w:p w14:paraId="73510A26" w14:textId="77777777" w:rsidR="00A61A79" w:rsidRPr="00C476EB" w:rsidRDefault="00A61A79" w:rsidP="00341AE1">
      <w:pPr>
        <w:pStyle w:val="Bullet1"/>
      </w:pPr>
      <w:r w:rsidRPr="00341AE1">
        <w:t>resident mortality</w:t>
      </w:r>
      <w:r w:rsidRPr="00C476EB">
        <w:t xml:space="preserve"> rates </w:t>
      </w:r>
    </w:p>
    <w:p w14:paraId="06FF4AB8" w14:textId="1C601AF0" w:rsidR="00A61A79" w:rsidRPr="00C476EB" w:rsidRDefault="00A61A79" w:rsidP="00341AE1">
      <w:r w:rsidRPr="00C476EB">
        <w:t xml:space="preserve">The quality manager set up a system to record these measures. </w:t>
      </w:r>
      <w:r w:rsidR="00497861" w:rsidRPr="00C476EB">
        <w:t>We</w:t>
      </w:r>
      <w:r w:rsidRPr="00C476EB">
        <w:t xml:space="preserve"> discussed the data at each project team meeting to monitor progress of their measures.</w:t>
      </w:r>
    </w:p>
    <w:p w14:paraId="0AE23283" w14:textId="00DC9A16" w:rsidR="00A61A79" w:rsidRPr="00FB3F36" w:rsidRDefault="00A61A79" w:rsidP="00341AE1">
      <w:pPr>
        <w:pStyle w:val="Heading3"/>
      </w:pPr>
      <w:r w:rsidRPr="00341AE1">
        <w:t>Understanding</w:t>
      </w:r>
      <w:r w:rsidRPr="00FB3F36">
        <w:t xml:space="preserve"> the results</w:t>
      </w:r>
    </w:p>
    <w:p w14:paraId="22B891E0" w14:textId="2542415D" w:rsidR="00A61A79" w:rsidRPr="00C476EB" w:rsidRDefault="00A61A79" w:rsidP="00341AE1">
      <w:pPr>
        <w:pStyle w:val="Normalfollowingheading"/>
      </w:pPr>
      <w:r w:rsidRPr="00C476EB">
        <w:t xml:space="preserve">At the next meeting </w:t>
      </w:r>
      <w:r w:rsidR="00497861" w:rsidRPr="00C476EB">
        <w:t>we</w:t>
      </w:r>
      <w:r w:rsidRPr="00C476EB">
        <w:t xml:space="preserve"> discussed the results of the baseline review: </w:t>
      </w:r>
    </w:p>
    <w:p w14:paraId="1DC10064" w14:textId="77777777" w:rsidR="00A61A79" w:rsidRPr="00341AE1" w:rsidRDefault="00A61A79" w:rsidP="00341AE1">
      <w:pPr>
        <w:pStyle w:val="Bullet1"/>
      </w:pPr>
      <w:r w:rsidRPr="00C476EB">
        <w:t xml:space="preserve">no residents had prescriptions for antiviral </w:t>
      </w:r>
      <w:r w:rsidRPr="00341AE1">
        <w:t>medications in the case of a lab confirmed influenza outbreak</w:t>
      </w:r>
    </w:p>
    <w:p w14:paraId="1038B0C8" w14:textId="77777777" w:rsidR="00A61A79" w:rsidRPr="00341AE1" w:rsidRDefault="00A61A79" w:rsidP="00341AE1">
      <w:pPr>
        <w:pStyle w:val="Bullet1"/>
      </w:pPr>
      <w:r w:rsidRPr="00341AE1">
        <w:t xml:space="preserve">policies and procedures did not recommend the prescription of antiviral medication to be ready in the case of a laboratory-confirmed influenza outbreak </w:t>
      </w:r>
    </w:p>
    <w:p w14:paraId="69E2A1D3" w14:textId="77777777" w:rsidR="00A61A79" w:rsidRPr="00341AE1" w:rsidRDefault="00A61A79" w:rsidP="00341AE1">
      <w:pPr>
        <w:pStyle w:val="Bullet1"/>
      </w:pPr>
      <w:r w:rsidRPr="00341AE1">
        <w:t xml:space="preserve">no residents were administered antiviral medications as a prophylaxis when the last outbreak occurred </w:t>
      </w:r>
    </w:p>
    <w:p w14:paraId="36670C32" w14:textId="77777777" w:rsidR="00A61A79" w:rsidRPr="00341AE1" w:rsidRDefault="00A61A79" w:rsidP="00341AE1">
      <w:pPr>
        <w:pStyle w:val="Bullet1"/>
      </w:pPr>
      <w:r w:rsidRPr="00341AE1">
        <w:t xml:space="preserve">staff were not familiar with the role of antiviral medications in a laboratory-confirmed influenza outbreak </w:t>
      </w:r>
    </w:p>
    <w:p w14:paraId="2A4BAD43" w14:textId="77777777" w:rsidR="00A61A79" w:rsidRPr="00C476EB" w:rsidRDefault="00A61A79" w:rsidP="00341AE1">
      <w:pPr>
        <w:pStyle w:val="Bullet1"/>
      </w:pPr>
      <w:r w:rsidRPr="00341AE1">
        <w:t>some GPs were not aware</w:t>
      </w:r>
      <w:r w:rsidRPr="00C476EB">
        <w:t xml:space="preserve"> of the use of antiviral medication as a prophylaxis in the case of an influenza outbreak in a residential aged care facility. </w:t>
      </w:r>
    </w:p>
    <w:p w14:paraId="3442A7AD" w14:textId="77777777" w:rsidR="00A61A79" w:rsidRPr="00FB3F36" w:rsidRDefault="00A61A79" w:rsidP="00341AE1">
      <w:pPr>
        <w:pStyle w:val="Heading3"/>
      </w:pPr>
      <w:r w:rsidRPr="00341AE1">
        <w:t>Change</w:t>
      </w:r>
      <w:r w:rsidRPr="00FB3F36">
        <w:t xml:space="preserve"> ideas</w:t>
      </w:r>
    </w:p>
    <w:p w14:paraId="7C27647F" w14:textId="445CECE5" w:rsidR="00A61A79" w:rsidRPr="00C476EB" w:rsidRDefault="00497861" w:rsidP="00341AE1">
      <w:pPr>
        <w:pStyle w:val="Normalfollowingheading"/>
      </w:pPr>
      <w:r w:rsidRPr="00C476EB">
        <w:t>We</w:t>
      </w:r>
      <w:r w:rsidR="00A61A79" w:rsidRPr="00C476EB">
        <w:t xml:space="preserve"> brainstormed the following change ideas: </w:t>
      </w:r>
    </w:p>
    <w:p w14:paraId="0E475560" w14:textId="4268D7BB" w:rsidR="00A61A79" w:rsidRPr="00341AE1" w:rsidRDefault="00A61A79" w:rsidP="00341AE1">
      <w:pPr>
        <w:pStyle w:val="Bullet1"/>
      </w:pPr>
      <w:r w:rsidRPr="00C476EB">
        <w:t xml:space="preserve">The quality committee </w:t>
      </w:r>
      <w:r w:rsidR="00497861" w:rsidRPr="00C476EB">
        <w:t xml:space="preserve">should </w:t>
      </w:r>
      <w:r w:rsidRPr="00C476EB">
        <w:t xml:space="preserve">review policies and </w:t>
      </w:r>
      <w:r w:rsidRPr="00341AE1">
        <w:t>procedures in line with current resources.</w:t>
      </w:r>
    </w:p>
    <w:p w14:paraId="61A2F374" w14:textId="41DC55D8" w:rsidR="00A61A79" w:rsidRPr="00341AE1" w:rsidRDefault="00A61A79" w:rsidP="00341AE1">
      <w:pPr>
        <w:pStyle w:val="Bullet1"/>
      </w:pPr>
      <w:r w:rsidRPr="00341AE1">
        <w:t xml:space="preserve">A short video </w:t>
      </w:r>
      <w:r w:rsidR="00497861" w:rsidRPr="00341AE1">
        <w:t>will be</w:t>
      </w:r>
      <w:r w:rsidRPr="00341AE1">
        <w:t xml:space="preserve"> developed for use at handover explaining actions required in an outbreak and how to recognise an emerging outbreak. </w:t>
      </w:r>
    </w:p>
    <w:p w14:paraId="43629018" w14:textId="68607894" w:rsidR="00A61A79" w:rsidRPr="00341AE1" w:rsidRDefault="00A61A79" w:rsidP="00341AE1">
      <w:pPr>
        <w:pStyle w:val="Bullet1"/>
      </w:pPr>
      <w:r w:rsidRPr="00341AE1">
        <w:t xml:space="preserve">Information </w:t>
      </w:r>
      <w:r w:rsidR="00497861" w:rsidRPr="00341AE1">
        <w:t>will be</w:t>
      </w:r>
      <w:r w:rsidRPr="00341AE1">
        <w:t xml:space="preserve"> sent to GPs about this improvement project including a link to the webinar: Reflections for the 2019 Influenza season. </w:t>
      </w:r>
    </w:p>
    <w:p w14:paraId="373EB239" w14:textId="0CC5A2E6" w:rsidR="00A61A79" w:rsidRPr="00341AE1" w:rsidRDefault="00A61A79" w:rsidP="00341AE1">
      <w:pPr>
        <w:pStyle w:val="Bullet1"/>
      </w:pPr>
      <w:r w:rsidRPr="00341AE1">
        <w:t xml:space="preserve">The nurse unit manager </w:t>
      </w:r>
      <w:r w:rsidR="00497861" w:rsidRPr="00341AE1">
        <w:t xml:space="preserve">should </w:t>
      </w:r>
      <w:r w:rsidRPr="00341AE1">
        <w:t>engage with GPs to provide prescriptions for antiviral medications where applicable (including writing up on the medication chart).</w:t>
      </w:r>
    </w:p>
    <w:p w14:paraId="7B4815D0" w14:textId="627D2E59" w:rsidR="00A61A79" w:rsidRPr="00341AE1" w:rsidRDefault="00A61A79" w:rsidP="00341AE1">
      <w:pPr>
        <w:pStyle w:val="Bullet1"/>
      </w:pPr>
      <w:r w:rsidRPr="00341AE1">
        <w:t xml:space="preserve">Infectious outbreaks and use of antiviral medications </w:t>
      </w:r>
      <w:r w:rsidR="00497861" w:rsidRPr="00341AE1">
        <w:t>should be</w:t>
      </w:r>
      <w:r w:rsidRPr="00341AE1">
        <w:t xml:space="preserve"> added to the agenda for the next resident meeting. Letters </w:t>
      </w:r>
      <w:r w:rsidR="00497861" w:rsidRPr="00341AE1">
        <w:t xml:space="preserve">will be </w:t>
      </w:r>
      <w:r w:rsidRPr="00341AE1">
        <w:t>sent to families about outbreak management</w:t>
      </w:r>
      <w:r w:rsidR="007F5A6B" w:rsidRPr="00341AE1">
        <w:t xml:space="preserve">, </w:t>
      </w:r>
      <w:r w:rsidRPr="00341AE1">
        <w:t>invit</w:t>
      </w:r>
      <w:r w:rsidR="007F5A6B" w:rsidRPr="00341AE1">
        <w:t>ing them</w:t>
      </w:r>
      <w:r w:rsidRPr="00341AE1">
        <w:t xml:space="preserve"> to provide feedback.</w:t>
      </w:r>
    </w:p>
    <w:p w14:paraId="1779B5FD" w14:textId="77777777" w:rsidR="00A61A79" w:rsidRPr="00341AE1" w:rsidRDefault="00A61A79" w:rsidP="00341AE1">
      <w:pPr>
        <w:pStyle w:val="Bullet1"/>
      </w:pPr>
      <w:r w:rsidRPr="00341AE1">
        <w:t xml:space="preserve">In response to the last outbreak which was particularly severe for residents in the dementia specific unit: </w:t>
      </w:r>
    </w:p>
    <w:p w14:paraId="33477444" w14:textId="10C9018D" w:rsidR="00A61A79" w:rsidRPr="00341AE1" w:rsidRDefault="00A61A79" w:rsidP="00341AE1">
      <w:pPr>
        <w:pStyle w:val="Bullet2"/>
      </w:pPr>
      <w:r w:rsidRPr="00C476EB">
        <w:t xml:space="preserve">An education session on monitoring for </w:t>
      </w:r>
      <w:r w:rsidRPr="00341AE1">
        <w:t xml:space="preserve">signs of influenza-like illness in the elderly </w:t>
      </w:r>
      <w:r w:rsidR="00497861" w:rsidRPr="00341AE1">
        <w:t>will be</w:t>
      </w:r>
      <w:r w:rsidRPr="00341AE1">
        <w:t xml:space="preserve"> held and added to the services online learning modules </w:t>
      </w:r>
    </w:p>
    <w:p w14:paraId="574427DF" w14:textId="099B7B31" w:rsidR="00A61A79" w:rsidRPr="00341AE1" w:rsidRDefault="00A61A79" w:rsidP="00341AE1">
      <w:pPr>
        <w:pStyle w:val="Bullet2"/>
      </w:pPr>
      <w:r w:rsidRPr="00341AE1">
        <w:t>Memos w</w:t>
      </w:r>
      <w:r w:rsidR="00497861" w:rsidRPr="00341AE1">
        <w:t>ill be</w:t>
      </w:r>
      <w:r w:rsidRPr="00341AE1">
        <w:t xml:space="preserve"> sent to staff explaining revised policies, including immediate actions to take should they suspect an outbreak </w:t>
      </w:r>
    </w:p>
    <w:p w14:paraId="6CBA87AD" w14:textId="0D9816A7" w:rsidR="00A61A79" w:rsidRPr="00C476EB" w:rsidRDefault="00A61A79" w:rsidP="00341AE1">
      <w:pPr>
        <w:pStyle w:val="Bullet2"/>
      </w:pPr>
      <w:r w:rsidRPr="00341AE1">
        <w:t xml:space="preserve">Roles and responsibilities of staff in an outbreak </w:t>
      </w:r>
      <w:r w:rsidR="00497861" w:rsidRPr="00341AE1">
        <w:t>should be</w:t>
      </w:r>
      <w:r w:rsidRPr="00C476EB">
        <w:t xml:space="preserve"> clarified, particularly who </w:t>
      </w:r>
      <w:r w:rsidR="00497861" w:rsidRPr="00C476EB">
        <w:t>is</w:t>
      </w:r>
      <w:r w:rsidRPr="00C476EB">
        <w:t xml:space="preserve"> responsible for initial reporting and ordering of additional stock. </w:t>
      </w:r>
    </w:p>
    <w:p w14:paraId="4AF3E6BE" w14:textId="7BC83C5B" w:rsidR="00A61A79" w:rsidRPr="00C476EB" w:rsidRDefault="00497861" w:rsidP="00341AE1">
      <w:r w:rsidRPr="00C476EB">
        <w:lastRenderedPageBreak/>
        <w:t>We then</w:t>
      </w:r>
      <w:r w:rsidR="00A61A79" w:rsidRPr="00C476EB">
        <w:t xml:space="preserve"> discussed progress of </w:t>
      </w:r>
      <w:r w:rsidRPr="00C476EB">
        <w:t>ou</w:t>
      </w:r>
      <w:r w:rsidR="00A61A79" w:rsidRPr="00C476EB">
        <w:t xml:space="preserve">r current measures and what </w:t>
      </w:r>
      <w:r w:rsidRPr="00C476EB">
        <w:t xml:space="preserve">we have </w:t>
      </w:r>
      <w:r w:rsidR="00A61A79" w:rsidRPr="00C476EB">
        <w:t>learned so far</w:t>
      </w:r>
      <w:r w:rsidRPr="00C476EB">
        <w:t>.</w:t>
      </w:r>
    </w:p>
    <w:p w14:paraId="09E7DA46" w14:textId="553D7C7C" w:rsidR="00A61A79" w:rsidRPr="00C476EB" w:rsidRDefault="00A61A79" w:rsidP="00341AE1">
      <w:r w:rsidRPr="00C476EB">
        <w:t xml:space="preserve">At this stage </w:t>
      </w:r>
      <w:r w:rsidRPr="00341AE1">
        <w:rPr>
          <w:rFonts w:asciiTheme="majorHAnsi" w:hAnsiTheme="majorHAnsi" w:cstheme="majorHAnsi"/>
          <w:b/>
          <w:bCs/>
        </w:rPr>
        <w:t>more than 30 per cent</w:t>
      </w:r>
      <w:r w:rsidRPr="00C476EB">
        <w:t xml:space="preserve"> of residents ha</w:t>
      </w:r>
      <w:r w:rsidR="00497861" w:rsidRPr="00C476EB">
        <w:t xml:space="preserve">ve </w:t>
      </w:r>
      <w:r w:rsidRPr="00C476EB">
        <w:t xml:space="preserve">prescriptions for antiviral medications written on the medication chart. </w:t>
      </w:r>
      <w:proofErr w:type="gramStart"/>
      <w:r w:rsidRPr="00C476EB">
        <w:t>However</w:t>
      </w:r>
      <w:proofErr w:type="gramEnd"/>
      <w:r w:rsidRPr="00C476EB">
        <w:t xml:space="preserve"> during </w:t>
      </w:r>
      <w:r w:rsidR="00497861" w:rsidRPr="00C476EB">
        <w:t>discussions,</w:t>
      </w:r>
      <w:r w:rsidRPr="00C476EB">
        <w:t xml:space="preserve"> it was apparent families had not been told about the cost of the medication.</w:t>
      </w:r>
    </w:p>
    <w:p w14:paraId="1EAD5B57" w14:textId="791BD72E" w:rsidR="00A61A79" w:rsidRPr="00C476EB" w:rsidRDefault="00A61A79" w:rsidP="00341AE1">
      <w:r w:rsidRPr="00C476EB">
        <w:t xml:space="preserve">Anecdotal feedback from staff during training sessions indicated a low level of knowledge in </w:t>
      </w:r>
      <w:r w:rsidR="00497861" w:rsidRPr="00C476EB">
        <w:t xml:space="preserve">recognising and managing </w:t>
      </w:r>
      <w:r w:rsidRPr="00C476EB">
        <w:t>outbreak</w:t>
      </w:r>
      <w:r w:rsidR="00497861" w:rsidRPr="00C476EB">
        <w:t>s,</w:t>
      </w:r>
      <w:r w:rsidRPr="00C476EB">
        <w:t xml:space="preserve"> highlight</w:t>
      </w:r>
      <w:r w:rsidR="00497861" w:rsidRPr="00C476EB">
        <w:t>ing</w:t>
      </w:r>
      <w:r w:rsidRPr="00C476EB">
        <w:t xml:space="preserve"> the need to increase training opportunities for staff.</w:t>
      </w:r>
    </w:p>
    <w:p w14:paraId="7B95DD03" w14:textId="0FFCB5F9" w:rsidR="00A61A79" w:rsidRPr="00C476EB" w:rsidRDefault="00A61A79" w:rsidP="00341AE1">
      <w:r w:rsidRPr="00C476EB">
        <w:t xml:space="preserve">As a result of these lessons, </w:t>
      </w:r>
      <w:r w:rsidR="00497861" w:rsidRPr="00C476EB">
        <w:t>we</w:t>
      </w:r>
      <w:r w:rsidRPr="00C476EB">
        <w:t xml:space="preserve"> undert</w:t>
      </w:r>
      <w:r w:rsidR="00497861" w:rsidRPr="00C476EB">
        <w:t>ook</w:t>
      </w:r>
      <w:r w:rsidRPr="00C476EB">
        <w:t xml:space="preserve"> the following actions: </w:t>
      </w:r>
    </w:p>
    <w:p w14:paraId="0F8CE99E" w14:textId="77777777" w:rsidR="007F5A6B" w:rsidRPr="00341AE1" w:rsidRDefault="00A61A79" w:rsidP="00341AE1">
      <w:pPr>
        <w:pStyle w:val="Bullet1"/>
      </w:pPr>
      <w:r w:rsidRPr="00C476EB">
        <w:t xml:space="preserve">The nurse unit manager sent a letter to </w:t>
      </w:r>
      <w:r w:rsidRPr="00341AE1">
        <w:t>families to gain financial consent</w:t>
      </w:r>
      <w:r w:rsidR="007F5A6B" w:rsidRPr="00341AE1">
        <w:t>,</w:t>
      </w:r>
      <w:r w:rsidRPr="00341AE1">
        <w:t xml:space="preserve"> should the service need to access the prescribed antiviral medications as a prophylaxis in the event of a laboratory-confirmed influenza outbreak. The number of families who gave financial consent was added as an additional measure.</w:t>
      </w:r>
    </w:p>
    <w:p w14:paraId="7CF1C5A6" w14:textId="0E025E5E" w:rsidR="00A61A79" w:rsidRPr="00341AE1" w:rsidRDefault="007F5A6B" w:rsidP="00341AE1">
      <w:pPr>
        <w:pStyle w:val="Bullet1"/>
      </w:pPr>
      <w:r w:rsidRPr="00341AE1">
        <w:t>A</w:t>
      </w:r>
      <w:r w:rsidR="00A61A79" w:rsidRPr="00341AE1">
        <w:t xml:space="preserve"> reminder </w:t>
      </w:r>
      <w:r w:rsidRPr="00341AE1">
        <w:t xml:space="preserve">was sent to GPs to increase the prescription of prophylaxis antiviral medications, </w:t>
      </w:r>
      <w:r w:rsidR="00A61A79" w:rsidRPr="00341AE1">
        <w:t>with a link to the 2019 influenza season webinar</w:t>
      </w:r>
      <w:r w:rsidR="00F57C97" w:rsidRPr="00341AE1">
        <w:t>.</w:t>
      </w:r>
    </w:p>
    <w:p w14:paraId="62386DD5" w14:textId="08B7CF5B" w:rsidR="00A61A79" w:rsidRPr="00C476EB" w:rsidRDefault="00D955F9" w:rsidP="00341AE1">
      <w:pPr>
        <w:pStyle w:val="Bullet1"/>
      </w:pPr>
      <w:r w:rsidRPr="00341AE1">
        <w:t>The</w:t>
      </w:r>
      <w:r w:rsidR="00A61A79" w:rsidRPr="00341AE1">
        <w:t xml:space="preserve"> education</w:t>
      </w:r>
      <w:r w:rsidR="00A61A79" w:rsidRPr="00C476EB">
        <w:t xml:space="preserve"> manager </w:t>
      </w:r>
      <w:r w:rsidRPr="00C476EB">
        <w:t xml:space="preserve">was asked to </w:t>
      </w:r>
      <w:r w:rsidR="00A61A79" w:rsidRPr="00C476EB">
        <w:t xml:space="preserve">more thoroughly review staff training needs in outbreak management. </w:t>
      </w:r>
    </w:p>
    <w:p w14:paraId="29DA8063" w14:textId="0F753707" w:rsidR="00A61A79" w:rsidRPr="00C476EB" w:rsidRDefault="00A61A79" w:rsidP="00341AE1">
      <w:r w:rsidRPr="00C476EB">
        <w:br w:type="column"/>
      </w:r>
      <w:r w:rsidRPr="00C476EB">
        <w:t xml:space="preserve">At the next project meeting </w:t>
      </w:r>
      <w:r w:rsidR="007F5A6B">
        <w:t>we</w:t>
      </w:r>
      <w:r w:rsidRPr="00C476EB">
        <w:t xml:space="preserve"> discussed the</w:t>
      </w:r>
      <w:r w:rsidR="007F5A6B">
        <w:t xml:space="preserve"> </w:t>
      </w:r>
      <w:r w:rsidRPr="00C476EB">
        <w:t xml:space="preserve">progress and what </w:t>
      </w:r>
      <w:r w:rsidR="007F5A6B">
        <w:t xml:space="preserve">we </w:t>
      </w:r>
      <w:r w:rsidRPr="00C476EB">
        <w:t xml:space="preserve">still needed to do to achieve </w:t>
      </w:r>
      <w:r w:rsidR="007F5A6B">
        <w:t>our</w:t>
      </w:r>
      <w:r w:rsidRPr="00C476EB">
        <w:t xml:space="preserve"> aim. </w:t>
      </w:r>
    </w:p>
    <w:p w14:paraId="3E7C210B" w14:textId="6B881A46" w:rsidR="00A61A79" w:rsidRPr="00C476EB" w:rsidRDefault="007F5A6B" w:rsidP="00341AE1">
      <w:r>
        <w:t>We</w:t>
      </w:r>
      <w:r w:rsidR="00A61A79" w:rsidRPr="00C476EB">
        <w:t xml:space="preserve"> had made good progress to improve </w:t>
      </w:r>
      <w:r>
        <w:t>ou</w:t>
      </w:r>
      <w:r w:rsidR="00A61A79" w:rsidRPr="00C476EB">
        <w:t xml:space="preserve">r outbreak preparedness. </w:t>
      </w:r>
      <w:r>
        <w:t>We also</w:t>
      </w:r>
      <w:r w:rsidR="00A61A79" w:rsidRPr="00C476EB">
        <w:t xml:space="preserve"> felt th</w:t>
      </w:r>
      <w:r>
        <w:t>at we now</w:t>
      </w:r>
      <w:r w:rsidR="00A61A79" w:rsidRPr="00C476EB">
        <w:t xml:space="preserve"> had a lot more engagement with GPs, families and other stakeholders. </w:t>
      </w:r>
    </w:p>
    <w:p w14:paraId="3B0C7CFC" w14:textId="3B82CCEA" w:rsidR="00A61A79" w:rsidRPr="00C476EB" w:rsidRDefault="00A61A79" w:rsidP="00341AE1">
      <w:r w:rsidRPr="00C476EB">
        <w:t xml:space="preserve">The project team continues to meet on a regular basis, to review measures and evaluate progress towards </w:t>
      </w:r>
      <w:r w:rsidR="007F5A6B">
        <w:t>our</w:t>
      </w:r>
      <w:r w:rsidRPr="00C476EB">
        <w:t xml:space="preserve"> aim. </w:t>
      </w:r>
    </w:p>
    <w:p w14:paraId="6923AF27" w14:textId="39A5ACB6" w:rsidR="00A61A79" w:rsidRPr="00C476EB" w:rsidRDefault="00A61A79" w:rsidP="00341AE1">
      <w:r w:rsidRPr="00C476EB">
        <w:t xml:space="preserve">At this point in the improvement process </w:t>
      </w:r>
      <w:r w:rsidR="007F5A6B">
        <w:t>we</w:t>
      </w:r>
      <w:r w:rsidRPr="00C476EB">
        <w:t xml:space="preserve"> agreed that: </w:t>
      </w:r>
    </w:p>
    <w:p w14:paraId="190362AE" w14:textId="748EA355" w:rsidR="00A61A79" w:rsidRPr="00341AE1" w:rsidRDefault="00F57C97" w:rsidP="00341AE1">
      <w:pPr>
        <w:pStyle w:val="Bullet1"/>
      </w:pPr>
      <w:r>
        <w:t>w</w:t>
      </w:r>
      <w:r w:rsidR="007F5A6B">
        <w:t>e</w:t>
      </w:r>
      <w:r w:rsidR="00A61A79" w:rsidRPr="00C476EB">
        <w:t xml:space="preserve"> </w:t>
      </w:r>
      <w:r w:rsidR="00A61A79" w:rsidRPr="00341AE1">
        <w:t>are more equipped and prepared should an outbreak occur</w:t>
      </w:r>
    </w:p>
    <w:p w14:paraId="31ED7C30" w14:textId="318B00E2" w:rsidR="00A61A79" w:rsidRPr="00341AE1" w:rsidRDefault="00F57C97" w:rsidP="00341AE1">
      <w:pPr>
        <w:pStyle w:val="Bullet1"/>
      </w:pPr>
      <w:r w:rsidRPr="00341AE1">
        <w:t>t</w:t>
      </w:r>
      <w:r w:rsidR="00A61A79" w:rsidRPr="00341AE1">
        <w:t xml:space="preserve">hrough monitoring </w:t>
      </w:r>
      <w:proofErr w:type="gramStart"/>
      <w:r w:rsidR="00A61A79" w:rsidRPr="00341AE1">
        <w:t>measures</w:t>
      </w:r>
      <w:proofErr w:type="gramEnd"/>
      <w:r w:rsidR="00A61A79" w:rsidRPr="00341AE1">
        <w:t xml:space="preserve"> </w:t>
      </w:r>
      <w:r w:rsidR="007F5A6B" w:rsidRPr="00341AE1">
        <w:t>we</w:t>
      </w:r>
      <w:r w:rsidR="00A61A79" w:rsidRPr="00341AE1">
        <w:t xml:space="preserve"> are able to clearly observe their progress </w:t>
      </w:r>
    </w:p>
    <w:p w14:paraId="7975133A" w14:textId="6B90F719" w:rsidR="00A61A79" w:rsidRPr="00341AE1" w:rsidRDefault="00F57C97" w:rsidP="00341AE1">
      <w:pPr>
        <w:pStyle w:val="Bullet1"/>
      </w:pPr>
      <w:r w:rsidRPr="00341AE1">
        <w:t>f</w:t>
      </w:r>
      <w:r w:rsidR="00A61A79" w:rsidRPr="00341AE1">
        <w:t xml:space="preserve">orming a project team helped share the responsibility </w:t>
      </w:r>
    </w:p>
    <w:p w14:paraId="21A81F23" w14:textId="2C786519" w:rsidR="00A61A79" w:rsidRPr="00C476EB" w:rsidRDefault="00F57C97" w:rsidP="00341AE1">
      <w:pPr>
        <w:pStyle w:val="Bullet1"/>
      </w:pPr>
      <w:r w:rsidRPr="00341AE1">
        <w:t>e</w:t>
      </w:r>
      <w:r w:rsidR="00A61A79" w:rsidRPr="00341AE1">
        <w:t>ngaging stakeholders is key to a successful improvement project</w:t>
      </w:r>
      <w:r w:rsidR="00A61A79" w:rsidRPr="00C476EB">
        <w:t>.</w:t>
      </w:r>
    </w:p>
    <w:p w14:paraId="59EA259B" w14:textId="77777777" w:rsidR="00D955F9" w:rsidRPr="00C476EB" w:rsidRDefault="00D955F9">
      <w:pPr>
        <w:rPr>
          <w:rFonts w:ascii="VIC" w:hAnsi="VIC"/>
        </w:rPr>
        <w:sectPr w:rsidR="00D955F9" w:rsidRPr="00C476EB" w:rsidSect="00D955F9">
          <w:type w:val="continuous"/>
          <w:pgSz w:w="11906" w:h="16838" w:code="9"/>
          <w:pgMar w:top="3402" w:right="851" w:bottom="1361" w:left="851" w:header="539" w:footer="624" w:gutter="0"/>
          <w:cols w:num="2" w:space="284"/>
          <w:docGrid w:linePitch="360"/>
          <w15:footnoteColumns w:val="1"/>
        </w:sectPr>
      </w:pPr>
    </w:p>
    <w:p w14:paraId="2106C037" w14:textId="51C3A6FD" w:rsidR="00A61A79" w:rsidRPr="00C476EB" w:rsidRDefault="00A61A79">
      <w:pPr>
        <w:rPr>
          <w:rFonts w:ascii="VIC" w:eastAsia="Times New Roman" w:hAnsi="VIC" w:cs="Calibri"/>
          <w:spacing w:val="2"/>
        </w:rPr>
      </w:pPr>
      <w:r w:rsidRPr="00C476EB">
        <w:rPr>
          <w:rFonts w:ascii="VIC" w:hAnsi="VIC"/>
        </w:rPr>
        <w:br w:type="page"/>
      </w:r>
    </w:p>
    <w:p w14:paraId="598C0EC2" w14:textId="5E8B6DFC" w:rsidR="00A61A79" w:rsidRPr="00FB3F36" w:rsidRDefault="00A61A79" w:rsidP="00341AE1">
      <w:pPr>
        <w:pStyle w:val="Heading1"/>
        <w:framePr w:wrap="around"/>
      </w:pPr>
      <w:r w:rsidRPr="00FB3F36">
        <w:lastRenderedPageBreak/>
        <w:t>Resources to support you</w:t>
      </w:r>
    </w:p>
    <w:tbl>
      <w:tblPr>
        <w:tblStyle w:val="TableGrid"/>
        <w:tblW w:w="4973" w:type="pct"/>
        <w:tblLayout w:type="fixed"/>
        <w:tblLook w:val="06A0" w:firstRow="1" w:lastRow="0" w:firstColumn="1" w:lastColumn="0" w:noHBand="1" w:noVBand="1"/>
      </w:tblPr>
      <w:tblGrid>
        <w:gridCol w:w="3051"/>
        <w:gridCol w:w="3467"/>
        <w:gridCol w:w="3631"/>
      </w:tblGrid>
      <w:tr w:rsidR="00A61A79" w:rsidRPr="00CD797A" w14:paraId="6A926173" w14:textId="77777777" w:rsidTr="00523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14:paraId="516CD702" w14:textId="77777777" w:rsidR="00A61A79" w:rsidRPr="00CD797A" w:rsidRDefault="00A61A79" w:rsidP="00CD797A">
            <w:pPr>
              <w:pStyle w:val="Tableheader"/>
              <w:spacing w:before="80" w:after="80"/>
              <w:rPr>
                <w:rFonts w:cstheme="minorHAnsi"/>
                <w:b/>
                <w:sz w:val="20"/>
                <w:szCs w:val="20"/>
              </w:rPr>
            </w:pPr>
            <w:r w:rsidRPr="00CD797A">
              <w:rPr>
                <w:rFonts w:cstheme="minorHAnsi"/>
                <w:b/>
                <w:sz w:val="20"/>
                <w:szCs w:val="20"/>
              </w:rPr>
              <w:t>Influenza and respiratory outbreak resources</w:t>
            </w:r>
          </w:p>
        </w:tc>
        <w:tc>
          <w:tcPr>
            <w:tcW w:w="1708" w:type="pct"/>
          </w:tcPr>
          <w:p w14:paraId="578156FE" w14:textId="5075ED99" w:rsidR="00A61A79" w:rsidRPr="00CD797A" w:rsidRDefault="00A61A79" w:rsidP="00CD797A">
            <w:pPr>
              <w:pStyle w:val="Tableheader"/>
              <w:spacing w:before="80" w:after="80"/>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CD797A">
              <w:rPr>
                <w:rFonts w:cstheme="minorHAnsi"/>
                <w:b/>
                <w:sz w:val="20"/>
                <w:szCs w:val="20"/>
              </w:rPr>
              <w:t>What the content includes</w:t>
            </w:r>
          </w:p>
        </w:tc>
        <w:tc>
          <w:tcPr>
            <w:tcW w:w="1789" w:type="pct"/>
          </w:tcPr>
          <w:p w14:paraId="17F3445D" w14:textId="77777777" w:rsidR="00A61A79" w:rsidRPr="00CD797A" w:rsidRDefault="00A61A79" w:rsidP="00CD797A">
            <w:pPr>
              <w:pStyle w:val="Tableheader"/>
              <w:spacing w:before="80" w:after="80"/>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CD797A">
              <w:rPr>
                <w:rFonts w:cstheme="minorHAnsi"/>
                <w:b/>
                <w:sz w:val="20"/>
                <w:szCs w:val="20"/>
              </w:rPr>
              <w:t>Link</w:t>
            </w:r>
          </w:p>
        </w:tc>
      </w:tr>
      <w:tr w:rsidR="00A61A79" w:rsidRPr="00CD797A" w14:paraId="52594211"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0C8CC89D" w14:textId="547E94B1"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VIC Department of Health and Human Services: Respiratory illness management in aged care facilities</w:t>
            </w:r>
          </w:p>
        </w:tc>
        <w:tc>
          <w:tcPr>
            <w:tcW w:w="1708" w:type="pct"/>
          </w:tcPr>
          <w:p w14:paraId="0FF8E37D" w14:textId="6D2AE554"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lang w:eastAsia="en-AU"/>
              </w:rPr>
              <w:t xml:space="preserve">information about </w:t>
            </w:r>
            <w:r w:rsidR="00F57C97" w:rsidRPr="00CD797A">
              <w:rPr>
                <w:rFonts w:cstheme="minorHAnsi"/>
                <w:sz w:val="20"/>
                <w:szCs w:val="20"/>
                <w:lang w:eastAsia="en-AU"/>
              </w:rPr>
              <w:t>personal protective equipment</w:t>
            </w:r>
            <w:r w:rsidRPr="00CD797A">
              <w:rPr>
                <w:rFonts w:cstheme="minorHAnsi"/>
                <w:sz w:val="20"/>
                <w:szCs w:val="20"/>
                <w:lang w:eastAsia="en-AU"/>
              </w:rPr>
              <w:t>, hand hygiene</w:t>
            </w:r>
          </w:p>
          <w:p w14:paraId="5A3BEB94"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lang w:eastAsia="en-AU"/>
              </w:rPr>
              <w:t>instructions on pre-season planning, communications to GPs and families</w:t>
            </w:r>
          </w:p>
          <w:p w14:paraId="47C97D4F"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lang w:eastAsia="en-AU"/>
              </w:rPr>
              <w:t>links and other resources for outbreak management</w:t>
            </w:r>
          </w:p>
        </w:tc>
        <w:tc>
          <w:tcPr>
            <w:tcW w:w="1789" w:type="pct"/>
          </w:tcPr>
          <w:p w14:paraId="7DB2E071" w14:textId="5728D4F5"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2" w:history="1">
              <w:r w:rsidR="00A61A79" w:rsidRPr="00CD797A">
                <w:rPr>
                  <w:rStyle w:val="Hyperlink"/>
                  <w:rFonts w:cstheme="minorHAnsi"/>
                  <w:color w:val="007586" w:themeColor="text2"/>
                  <w:sz w:val="20"/>
                  <w:szCs w:val="20"/>
                </w:rPr>
                <w:t xml:space="preserve">Respiratory illness management in aged care facilities - </w:t>
              </w:r>
              <w:proofErr w:type="spellStart"/>
              <w:r w:rsidR="00A61A79" w:rsidRPr="00CD797A">
                <w:rPr>
                  <w:rStyle w:val="Hyperlink"/>
                  <w:rFonts w:cstheme="minorHAnsi"/>
                  <w:color w:val="007586" w:themeColor="text2"/>
                  <w:sz w:val="20"/>
                  <w:szCs w:val="20"/>
                </w:rPr>
                <w:t>health.vic</w:t>
              </w:r>
              <w:proofErr w:type="spellEnd"/>
            </w:hyperlink>
          </w:p>
        </w:tc>
      </w:tr>
      <w:tr w:rsidR="00A61A79" w:rsidRPr="00CD797A" w14:paraId="4FBEE804"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4548591F" w14:textId="54C3AF71"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 xml:space="preserve">Department of Health: </w:t>
            </w:r>
            <w:proofErr w:type="spellStart"/>
            <w:r w:rsidRPr="00CD797A">
              <w:rPr>
                <w:rFonts w:cstheme="minorHAnsi"/>
                <w:b w:val="0"/>
                <w:bCs/>
                <w:sz w:val="20"/>
                <w:szCs w:val="20"/>
              </w:rPr>
              <w:t>Inf</w:t>
            </w:r>
            <w:r w:rsidR="00F57C97" w:rsidRPr="00CD797A">
              <w:rPr>
                <w:rFonts w:cstheme="minorHAnsi"/>
                <w:b w:val="0"/>
                <w:bCs/>
                <w:sz w:val="20"/>
                <w:szCs w:val="20"/>
              </w:rPr>
              <w:t>l</w:t>
            </w:r>
            <w:r w:rsidRPr="00CD797A">
              <w:rPr>
                <w:rFonts w:cstheme="minorHAnsi"/>
                <w:b w:val="0"/>
                <w:bCs/>
                <w:sz w:val="20"/>
                <w:szCs w:val="20"/>
              </w:rPr>
              <w:t>u</w:t>
            </w:r>
            <w:proofErr w:type="spellEnd"/>
            <w:r w:rsidRPr="00CD797A">
              <w:rPr>
                <w:rFonts w:cstheme="minorHAnsi"/>
                <w:b w:val="0"/>
                <w:bCs/>
                <w:sz w:val="20"/>
                <w:szCs w:val="20"/>
              </w:rPr>
              <w:t>-Info Influenza Kit for aged care</w:t>
            </w:r>
          </w:p>
        </w:tc>
        <w:tc>
          <w:tcPr>
            <w:tcW w:w="1708" w:type="pct"/>
          </w:tcPr>
          <w:p w14:paraId="038FD707"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Influenza resources and outbreak management information</w:t>
            </w:r>
          </w:p>
        </w:tc>
        <w:tc>
          <w:tcPr>
            <w:tcW w:w="1789" w:type="pct"/>
          </w:tcPr>
          <w:p w14:paraId="5F796906" w14:textId="21ACC40C"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3" w:history="1">
              <w:proofErr w:type="spellStart"/>
              <w:r w:rsidR="00A61A79" w:rsidRPr="00CD797A">
                <w:rPr>
                  <w:rStyle w:val="Hyperlink"/>
                  <w:rFonts w:cstheme="minorHAnsi"/>
                  <w:color w:val="007586" w:themeColor="text2"/>
                  <w:sz w:val="20"/>
                  <w:szCs w:val="20"/>
                </w:rPr>
                <w:t>Influ</w:t>
              </w:r>
              <w:proofErr w:type="spellEnd"/>
              <w:r w:rsidR="00A61A79" w:rsidRPr="00CD797A">
                <w:rPr>
                  <w:rStyle w:val="Hyperlink"/>
                  <w:rFonts w:cstheme="minorHAnsi"/>
                  <w:color w:val="007586" w:themeColor="text2"/>
                  <w:sz w:val="20"/>
                  <w:szCs w:val="20"/>
                </w:rPr>
                <w:t>-Info Influenza Kit for Aged Care | Ageing and Aged Care</w:t>
              </w:r>
            </w:hyperlink>
          </w:p>
        </w:tc>
      </w:tr>
      <w:tr w:rsidR="00A61A79" w:rsidRPr="00CD797A" w14:paraId="1FA61AE5"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69D7BD50" w14:textId="77777777"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Department of Health: Guidelines for the prevention control and public health management of influenza outbreaks in residential care facilitates in Australia</w:t>
            </w:r>
          </w:p>
        </w:tc>
        <w:tc>
          <w:tcPr>
            <w:tcW w:w="1708" w:type="pct"/>
          </w:tcPr>
          <w:p w14:paraId="14869A6E"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Infection control and outbreak management for Influenza outbreaks in residential aged care </w:t>
            </w:r>
          </w:p>
        </w:tc>
        <w:tc>
          <w:tcPr>
            <w:tcW w:w="1789" w:type="pct"/>
          </w:tcPr>
          <w:p w14:paraId="2D93F18B" w14:textId="7BE9D600"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4" w:history="1">
              <w:r w:rsidR="00A61A79" w:rsidRPr="00CD797A">
                <w:rPr>
                  <w:rStyle w:val="Hyperlink"/>
                  <w:rFonts w:cstheme="minorHAnsi"/>
                  <w:color w:val="007586" w:themeColor="text2"/>
                  <w:sz w:val="20"/>
                  <w:szCs w:val="20"/>
                </w:rPr>
                <w:t>Department of Health | Guidelines for the Prevention, Control and Public Health Management of Influenza Outbreaks in Residential Care Facilities in Australia</w:t>
              </w:r>
            </w:hyperlink>
          </w:p>
        </w:tc>
      </w:tr>
      <w:tr w:rsidR="00A61A79" w:rsidRPr="00CD797A" w14:paraId="7350E121"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42627BEA" w14:textId="77777777" w:rsidR="00A61A79" w:rsidRPr="00CD797A" w:rsidRDefault="00A61A79" w:rsidP="00CD797A">
            <w:pPr>
              <w:pStyle w:val="Tabletext"/>
              <w:spacing w:before="80" w:after="80" w:line="260" w:lineRule="atLeast"/>
              <w:rPr>
                <w:rFonts w:cstheme="minorHAnsi"/>
                <w:b w:val="0"/>
                <w:bCs/>
                <w:color w:val="auto"/>
                <w:sz w:val="20"/>
                <w:szCs w:val="20"/>
              </w:rPr>
            </w:pPr>
            <w:proofErr w:type="spellStart"/>
            <w:r w:rsidRPr="00CD797A">
              <w:rPr>
                <w:rFonts w:cstheme="minorHAnsi"/>
                <w:b w:val="0"/>
                <w:bCs/>
                <w:sz w:val="20"/>
                <w:szCs w:val="20"/>
              </w:rPr>
              <w:t>fluTAS</w:t>
            </w:r>
            <w:proofErr w:type="spellEnd"/>
            <w:r w:rsidRPr="00CD797A">
              <w:rPr>
                <w:rFonts w:cstheme="minorHAnsi"/>
                <w:b w:val="0"/>
                <w:bCs/>
                <w:sz w:val="20"/>
                <w:szCs w:val="20"/>
              </w:rPr>
              <w:t>, Tasmanian Government, Department of Health</w:t>
            </w:r>
          </w:p>
          <w:p w14:paraId="573886BD" w14:textId="77777777"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Aged Care Facilities and Flu</w:t>
            </w:r>
          </w:p>
        </w:tc>
        <w:tc>
          <w:tcPr>
            <w:tcW w:w="1708" w:type="pct"/>
          </w:tcPr>
          <w:p w14:paraId="2E95EC7C"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Influenza resources and sample vaccination register</w:t>
            </w:r>
          </w:p>
        </w:tc>
        <w:tc>
          <w:tcPr>
            <w:tcW w:w="1789" w:type="pct"/>
          </w:tcPr>
          <w:p w14:paraId="489E1322" w14:textId="77777777"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5" w:history="1">
              <w:r w:rsidR="00A61A79" w:rsidRPr="00CD797A">
                <w:rPr>
                  <w:rStyle w:val="Hyperlink"/>
                  <w:rFonts w:cstheme="minorHAnsi"/>
                  <w:color w:val="007586" w:themeColor="text2"/>
                  <w:sz w:val="20"/>
                  <w:szCs w:val="20"/>
                </w:rPr>
                <w:t>Aged Care Facilities | Flu Tas</w:t>
              </w:r>
            </w:hyperlink>
          </w:p>
        </w:tc>
      </w:tr>
      <w:tr w:rsidR="00A61A79" w:rsidRPr="00CD797A" w14:paraId="1DBE7A15"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00D9B0C5" w14:textId="77777777"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 xml:space="preserve">Aged Care Quality and Safety Commission </w:t>
            </w:r>
          </w:p>
          <w:p w14:paraId="3A5F19C2" w14:textId="77777777"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Influenza Resources</w:t>
            </w:r>
          </w:p>
        </w:tc>
        <w:tc>
          <w:tcPr>
            <w:tcW w:w="1708" w:type="pct"/>
          </w:tcPr>
          <w:p w14:paraId="6D6BF70D"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lang w:eastAsia="en-AU"/>
              </w:rPr>
              <w:t>information on outbreak management</w:t>
            </w:r>
          </w:p>
          <w:p w14:paraId="61F18F47"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lang w:eastAsia="en-AU"/>
              </w:rPr>
              <w:t>links to resources in various states</w:t>
            </w:r>
          </w:p>
        </w:tc>
        <w:tc>
          <w:tcPr>
            <w:tcW w:w="1789" w:type="pct"/>
          </w:tcPr>
          <w:p w14:paraId="6057A76A" w14:textId="7215F2C6"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6" w:history="1">
              <w:r w:rsidR="00A61A79" w:rsidRPr="00CD797A">
                <w:rPr>
                  <w:rStyle w:val="Hyperlink"/>
                  <w:rFonts w:cstheme="minorHAnsi"/>
                  <w:color w:val="007586" w:themeColor="text2"/>
                  <w:sz w:val="20"/>
                  <w:szCs w:val="20"/>
                </w:rPr>
                <w:t>Influenza resources | Aged Care Quality and Safety Commission</w:t>
              </w:r>
            </w:hyperlink>
          </w:p>
        </w:tc>
      </w:tr>
      <w:tr w:rsidR="00A61A79" w:rsidRPr="00CD797A" w14:paraId="6D0DCF9B"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E5F1F3" w:themeFill="accent2" w:themeFillTint="33"/>
          </w:tcPr>
          <w:p w14:paraId="2F5E32AC" w14:textId="77777777" w:rsidR="00A61A79" w:rsidRPr="00CD797A" w:rsidRDefault="00A61A79" w:rsidP="00CD797A">
            <w:pPr>
              <w:pStyle w:val="Tableheader"/>
              <w:spacing w:before="80" w:after="80"/>
              <w:rPr>
                <w:rFonts w:cstheme="minorHAnsi"/>
                <w:b/>
                <w:sz w:val="20"/>
                <w:szCs w:val="20"/>
              </w:rPr>
            </w:pPr>
            <w:r w:rsidRPr="00CD797A">
              <w:rPr>
                <w:rFonts w:cstheme="minorHAnsi"/>
                <w:b/>
                <w:sz w:val="20"/>
                <w:szCs w:val="20"/>
              </w:rPr>
              <w:t>Gastroenteritis specific resources</w:t>
            </w:r>
          </w:p>
        </w:tc>
        <w:tc>
          <w:tcPr>
            <w:tcW w:w="1708" w:type="pct"/>
            <w:shd w:val="clear" w:color="auto" w:fill="E5F1F3" w:themeFill="accent2" w:themeFillTint="33"/>
          </w:tcPr>
          <w:p w14:paraId="4BCACF6B"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What the content includes  </w:t>
            </w:r>
          </w:p>
        </w:tc>
        <w:tc>
          <w:tcPr>
            <w:tcW w:w="1789" w:type="pct"/>
            <w:shd w:val="clear" w:color="auto" w:fill="E5F1F3" w:themeFill="accent2" w:themeFillTint="33"/>
          </w:tcPr>
          <w:p w14:paraId="3E841B08"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Link </w:t>
            </w:r>
          </w:p>
        </w:tc>
      </w:tr>
      <w:tr w:rsidR="00A61A79" w:rsidRPr="00CD797A" w14:paraId="0FD214E1"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FFFFFF" w:themeFill="background1"/>
          </w:tcPr>
          <w:p w14:paraId="45E25502" w14:textId="77777777"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Department of Health: Guidelines for the public health management of Gastroenteritis outbreaks due to norovirus or suspected viral agents in Australia</w:t>
            </w:r>
          </w:p>
        </w:tc>
        <w:tc>
          <w:tcPr>
            <w:tcW w:w="1708" w:type="pct"/>
            <w:shd w:val="clear" w:color="auto" w:fill="FFFFFF" w:themeFill="background1"/>
          </w:tcPr>
          <w:p w14:paraId="16E4168E"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Infection control information</w:t>
            </w:r>
          </w:p>
          <w:p w14:paraId="4741FD7B"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outbreak management information including cleaning and hospitality considerations </w:t>
            </w:r>
          </w:p>
        </w:tc>
        <w:tc>
          <w:tcPr>
            <w:tcW w:w="1789" w:type="pct"/>
            <w:shd w:val="clear" w:color="auto" w:fill="FFFFFF" w:themeFill="background1"/>
          </w:tcPr>
          <w:p w14:paraId="0AAC51FD" w14:textId="4F0F7B28"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7" w:history="1">
              <w:r w:rsidR="00A61A79" w:rsidRPr="00CD797A">
                <w:rPr>
                  <w:rFonts w:cstheme="minorHAnsi"/>
                  <w:sz w:val="20"/>
                  <w:szCs w:val="20"/>
                </w:rPr>
                <w:t>Department of Health | Chapter 8: Infection control</w:t>
              </w:r>
            </w:hyperlink>
          </w:p>
        </w:tc>
      </w:tr>
      <w:tr w:rsidR="00A61A79" w:rsidRPr="00CD797A" w14:paraId="1077E582"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0977B789" w14:textId="77777777"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 xml:space="preserve">VIC Department of Health and Human Services </w:t>
            </w:r>
          </w:p>
          <w:p w14:paraId="50C8B44C" w14:textId="77777777" w:rsidR="00A61A79" w:rsidRPr="00CD797A" w:rsidRDefault="00A61A79" w:rsidP="00CD797A">
            <w:pPr>
              <w:pStyle w:val="Tabletext"/>
              <w:spacing w:before="80" w:after="80" w:line="260" w:lineRule="atLeast"/>
              <w:rPr>
                <w:rFonts w:cstheme="minorHAnsi"/>
                <w:b w:val="0"/>
                <w:bCs/>
                <w:i/>
                <w:sz w:val="20"/>
                <w:szCs w:val="20"/>
              </w:rPr>
            </w:pPr>
            <w:r w:rsidRPr="00CD797A">
              <w:rPr>
                <w:rFonts w:cstheme="minorHAnsi"/>
                <w:b w:val="0"/>
                <w:bCs/>
                <w:i/>
                <w:sz w:val="20"/>
                <w:szCs w:val="20"/>
              </w:rPr>
              <w:t>A guide for the management and control of gastroenteritis outbreaks in aged care, special care, health care and residential care facilities</w:t>
            </w:r>
          </w:p>
        </w:tc>
        <w:tc>
          <w:tcPr>
            <w:tcW w:w="1708" w:type="pct"/>
          </w:tcPr>
          <w:p w14:paraId="3EB9A3EC"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lang w:eastAsia="en-AU"/>
              </w:rPr>
              <w:t xml:space="preserve">Resource kit to assist in the management of a gastroenteritis outbreak </w:t>
            </w:r>
          </w:p>
          <w:p w14:paraId="72D2662E"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lang w:eastAsia="en-AU"/>
              </w:rPr>
              <w:t xml:space="preserve">Notification requirements and contacts that can be used for policy review, staff training etc </w:t>
            </w:r>
          </w:p>
        </w:tc>
        <w:tc>
          <w:tcPr>
            <w:tcW w:w="1789" w:type="pct"/>
          </w:tcPr>
          <w:p w14:paraId="788E91AF" w14:textId="541A2DED"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8" w:history="1">
              <w:r w:rsidR="00A61A79" w:rsidRPr="00CD797A">
                <w:rPr>
                  <w:rStyle w:val="Hyperlink"/>
                  <w:rFonts w:cstheme="minorHAnsi"/>
                  <w:color w:val="007586" w:themeColor="text2"/>
                  <w:sz w:val="20"/>
                  <w:szCs w:val="20"/>
                </w:rPr>
                <w:t>www2.health.vic.gov.au/about/publications/researchandreports/guide-for-management-and-control-of-gastroenteritis-outbreaks</w:t>
              </w:r>
            </w:hyperlink>
          </w:p>
        </w:tc>
      </w:tr>
      <w:tr w:rsidR="00A61A79" w:rsidRPr="00CD797A" w14:paraId="4A5C1B4C"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62AC5450" w14:textId="77777777"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 xml:space="preserve">Department of Health: </w:t>
            </w:r>
            <w:r w:rsidRPr="00CD797A">
              <w:rPr>
                <w:rFonts w:cstheme="minorHAnsi"/>
                <w:b w:val="0"/>
                <w:bCs/>
                <w:i/>
                <w:sz w:val="20"/>
                <w:szCs w:val="20"/>
              </w:rPr>
              <w:t>Gastro-Info: Outbreak Coordinators Handbook</w:t>
            </w:r>
          </w:p>
        </w:tc>
        <w:tc>
          <w:tcPr>
            <w:tcW w:w="1708" w:type="pct"/>
          </w:tcPr>
          <w:p w14:paraId="082B61B9"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Resource kit to assist services to undertake a policy review in the event of a gastroenteritis outbreak</w:t>
            </w:r>
          </w:p>
        </w:tc>
        <w:tc>
          <w:tcPr>
            <w:tcW w:w="1789" w:type="pct"/>
          </w:tcPr>
          <w:p w14:paraId="0350B5D3" w14:textId="77777777"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9" w:history="1">
              <w:r w:rsidR="00A61A79" w:rsidRPr="00CD797A">
                <w:rPr>
                  <w:rStyle w:val="Hyperlink"/>
                  <w:rFonts w:cstheme="minorHAnsi"/>
                  <w:color w:val="007586" w:themeColor="text2"/>
                  <w:sz w:val="20"/>
                  <w:szCs w:val="20"/>
                </w:rPr>
                <w:t>Gastro-Info - Outbreak Coordinator's Handbook | Ageing and Aged Care</w:t>
              </w:r>
            </w:hyperlink>
          </w:p>
        </w:tc>
      </w:tr>
      <w:tr w:rsidR="00A61A79" w:rsidRPr="00CD797A" w14:paraId="7EBEE34A"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E5F1F3" w:themeFill="accent2" w:themeFillTint="33"/>
          </w:tcPr>
          <w:p w14:paraId="4A8FFC91" w14:textId="066D29FE" w:rsidR="00A61A79" w:rsidRPr="00CD797A" w:rsidRDefault="00A61A79" w:rsidP="00CD797A">
            <w:pPr>
              <w:pStyle w:val="Tableheader"/>
              <w:spacing w:before="80" w:after="80"/>
              <w:rPr>
                <w:rFonts w:cstheme="minorHAnsi"/>
                <w:b/>
                <w:sz w:val="20"/>
                <w:szCs w:val="20"/>
              </w:rPr>
            </w:pPr>
            <w:r w:rsidRPr="00CD797A">
              <w:rPr>
                <w:rFonts w:cstheme="minorHAnsi"/>
                <w:b/>
                <w:sz w:val="20"/>
                <w:szCs w:val="20"/>
              </w:rPr>
              <w:t xml:space="preserve">COVID-19 </w:t>
            </w:r>
            <w:r w:rsidR="00FB3F36" w:rsidRPr="00CD797A">
              <w:rPr>
                <w:rFonts w:cstheme="minorHAnsi"/>
                <w:b/>
                <w:sz w:val="20"/>
                <w:szCs w:val="20"/>
              </w:rPr>
              <w:t>r</w:t>
            </w:r>
            <w:r w:rsidRPr="00CD797A">
              <w:rPr>
                <w:rFonts w:cstheme="minorHAnsi"/>
                <w:b/>
                <w:sz w:val="20"/>
                <w:szCs w:val="20"/>
              </w:rPr>
              <w:t xml:space="preserve">esources (Novel Coronavirus) * </w:t>
            </w:r>
          </w:p>
        </w:tc>
        <w:tc>
          <w:tcPr>
            <w:tcW w:w="1708" w:type="pct"/>
            <w:shd w:val="clear" w:color="auto" w:fill="E5F1F3" w:themeFill="accent2" w:themeFillTint="33"/>
          </w:tcPr>
          <w:p w14:paraId="10D91BDF"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What the content includes  </w:t>
            </w:r>
          </w:p>
        </w:tc>
        <w:tc>
          <w:tcPr>
            <w:tcW w:w="1789" w:type="pct"/>
            <w:shd w:val="clear" w:color="auto" w:fill="E5F1F3" w:themeFill="accent2" w:themeFillTint="33"/>
          </w:tcPr>
          <w:p w14:paraId="740F01A4"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Link </w:t>
            </w:r>
          </w:p>
        </w:tc>
      </w:tr>
      <w:tr w:rsidR="00A61A79" w:rsidRPr="00CD797A" w14:paraId="6FC51A44"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auto"/>
          </w:tcPr>
          <w:p w14:paraId="7C2291AE" w14:textId="77777777"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 xml:space="preserve">Department of Health: </w:t>
            </w:r>
          </w:p>
          <w:p w14:paraId="553BAD88" w14:textId="77777777" w:rsidR="00A61A79" w:rsidRPr="00CD797A" w:rsidRDefault="00A61A79" w:rsidP="00CD797A">
            <w:pPr>
              <w:pStyle w:val="Tabletext"/>
              <w:spacing w:before="80" w:after="80" w:line="260" w:lineRule="atLeast"/>
              <w:rPr>
                <w:rFonts w:cstheme="minorHAnsi"/>
                <w:b w:val="0"/>
                <w:bCs/>
                <w:i/>
                <w:iCs/>
                <w:sz w:val="20"/>
                <w:szCs w:val="20"/>
              </w:rPr>
            </w:pPr>
            <w:r w:rsidRPr="00CD797A">
              <w:rPr>
                <w:rFonts w:cstheme="minorHAnsi"/>
                <w:b w:val="0"/>
                <w:bCs/>
                <w:i/>
                <w:iCs/>
                <w:sz w:val="20"/>
                <w:szCs w:val="20"/>
              </w:rPr>
              <w:t>Australian Health Sector Emergency Response plan for Novel Coronavirus (COVID -19)</w:t>
            </w:r>
          </w:p>
        </w:tc>
        <w:tc>
          <w:tcPr>
            <w:tcW w:w="1708" w:type="pct"/>
            <w:shd w:val="clear" w:color="auto" w:fill="auto"/>
          </w:tcPr>
          <w:p w14:paraId="6D7D14D8"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Reference tool for preparing emergency plan for pandemic infections </w:t>
            </w:r>
          </w:p>
        </w:tc>
        <w:tc>
          <w:tcPr>
            <w:tcW w:w="1789" w:type="pct"/>
            <w:shd w:val="clear" w:color="auto" w:fill="auto"/>
          </w:tcPr>
          <w:p w14:paraId="6D30449D" w14:textId="6863B4F1"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0" w:history="1">
              <w:r w:rsidR="00CD4C99" w:rsidRPr="00CD797A">
                <w:rPr>
                  <w:rStyle w:val="Hyperlink"/>
                  <w:rFonts w:cstheme="minorHAnsi"/>
                  <w:color w:val="007586" w:themeColor="text2"/>
                  <w:sz w:val="20"/>
                  <w:szCs w:val="20"/>
                </w:rPr>
                <w:t>www.health.gov.au/resources/publications/australian-health-sector-emergency-response-plan-for-novel-coronavirus-covid-19</w:t>
              </w:r>
            </w:hyperlink>
          </w:p>
        </w:tc>
      </w:tr>
      <w:tr w:rsidR="00A61A79" w:rsidRPr="00CD797A" w14:paraId="775B2B1A"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auto"/>
          </w:tcPr>
          <w:p w14:paraId="778D9DCF" w14:textId="77777777"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Communicable diseases Network Australia (CDNA)</w:t>
            </w:r>
          </w:p>
          <w:p w14:paraId="0EEBF8D3" w14:textId="77777777" w:rsidR="00A61A79" w:rsidRPr="00CD797A" w:rsidRDefault="00A61A79" w:rsidP="00CD797A">
            <w:pPr>
              <w:pStyle w:val="Tabletext"/>
              <w:spacing w:before="80" w:after="80" w:line="260" w:lineRule="atLeast"/>
              <w:rPr>
                <w:rFonts w:cstheme="minorHAnsi"/>
                <w:b w:val="0"/>
                <w:bCs/>
                <w:i/>
                <w:iCs/>
                <w:sz w:val="20"/>
                <w:szCs w:val="20"/>
              </w:rPr>
            </w:pPr>
            <w:r w:rsidRPr="00CD797A">
              <w:rPr>
                <w:rFonts w:cstheme="minorHAnsi"/>
                <w:b w:val="0"/>
                <w:bCs/>
                <w:i/>
                <w:iCs/>
                <w:sz w:val="20"/>
                <w:szCs w:val="20"/>
              </w:rPr>
              <w:t xml:space="preserve">National guidelines for Public Health Units </w:t>
            </w:r>
          </w:p>
        </w:tc>
        <w:tc>
          <w:tcPr>
            <w:tcW w:w="1708" w:type="pct"/>
            <w:shd w:val="clear" w:color="auto" w:fill="auto"/>
          </w:tcPr>
          <w:p w14:paraId="0DB57C6A"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Information about the public health management of COVID -19</w:t>
            </w:r>
          </w:p>
        </w:tc>
        <w:tc>
          <w:tcPr>
            <w:tcW w:w="1789" w:type="pct"/>
            <w:shd w:val="clear" w:color="auto" w:fill="auto"/>
          </w:tcPr>
          <w:p w14:paraId="0672A61C" w14:textId="614020FA"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1" w:history="1">
              <w:r w:rsidR="00A61A79" w:rsidRPr="00CD797A">
                <w:rPr>
                  <w:rStyle w:val="Hyperlink"/>
                  <w:rFonts w:cstheme="minorHAnsi"/>
                  <w:color w:val="007586" w:themeColor="text2"/>
                  <w:sz w:val="20"/>
                  <w:szCs w:val="20"/>
                </w:rPr>
                <w:t>www1.health.gov.au/internet/main/publishing.nsf/Content/cdna-song-novel-coronavirus.htm</w:t>
              </w:r>
            </w:hyperlink>
          </w:p>
        </w:tc>
      </w:tr>
      <w:tr w:rsidR="00A61A79" w:rsidRPr="00CD797A" w14:paraId="48494C3E"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auto"/>
          </w:tcPr>
          <w:p w14:paraId="7F9187B7" w14:textId="77777777"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 xml:space="preserve">Australian Government Department of Health </w:t>
            </w:r>
          </w:p>
          <w:p w14:paraId="0D1080AD" w14:textId="77777777"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 xml:space="preserve">Coronavirus (COVID-19) resources </w:t>
            </w:r>
          </w:p>
        </w:tc>
        <w:tc>
          <w:tcPr>
            <w:tcW w:w="1708" w:type="pct"/>
            <w:shd w:val="clear" w:color="auto" w:fill="auto"/>
          </w:tcPr>
          <w:p w14:paraId="4D2536CD"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Facts sheets and resources in various languages for aged care staff, families and residents to provide advice on how to limit transmission of the virus </w:t>
            </w:r>
          </w:p>
        </w:tc>
        <w:tc>
          <w:tcPr>
            <w:tcW w:w="1789" w:type="pct"/>
            <w:shd w:val="clear" w:color="auto" w:fill="auto"/>
          </w:tcPr>
          <w:p w14:paraId="27B43B07" w14:textId="160B6AAA"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Style w:val="Hyperlink"/>
                <w:rFonts w:cstheme="minorHAnsi"/>
                <w:color w:val="007586" w:themeColor="text2"/>
                <w:sz w:val="20"/>
                <w:szCs w:val="20"/>
              </w:rPr>
            </w:pPr>
            <w:hyperlink r:id="rId32" w:history="1">
              <w:r w:rsidR="00CD4C99" w:rsidRPr="00CD797A">
                <w:rPr>
                  <w:rStyle w:val="Hyperlink"/>
                  <w:rFonts w:cstheme="minorHAnsi"/>
                  <w:color w:val="007586" w:themeColor="text2"/>
                  <w:sz w:val="20"/>
                  <w:szCs w:val="20"/>
                </w:rPr>
                <w:t>www.health.gov.au/resources/collections/novel-coronavirus-2019-ncov-resources</w:t>
              </w:r>
            </w:hyperlink>
          </w:p>
        </w:tc>
      </w:tr>
      <w:tr w:rsidR="00A61A79" w:rsidRPr="00CD797A" w14:paraId="0A26CEB1"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E5F1F3" w:themeFill="accent2" w:themeFillTint="33"/>
          </w:tcPr>
          <w:p w14:paraId="3EFEB20D" w14:textId="77777777" w:rsidR="00A61A79" w:rsidRPr="00CD797A" w:rsidRDefault="00A61A79" w:rsidP="00CD797A">
            <w:pPr>
              <w:pStyle w:val="Tableheader"/>
              <w:spacing w:before="80" w:after="80"/>
              <w:rPr>
                <w:rFonts w:cstheme="minorHAnsi"/>
                <w:b/>
                <w:sz w:val="20"/>
                <w:szCs w:val="20"/>
              </w:rPr>
            </w:pPr>
            <w:r w:rsidRPr="00CD797A">
              <w:rPr>
                <w:rFonts w:cstheme="minorHAnsi"/>
                <w:b/>
                <w:sz w:val="20"/>
                <w:szCs w:val="20"/>
              </w:rPr>
              <w:t>Clinical resources</w:t>
            </w:r>
          </w:p>
        </w:tc>
        <w:tc>
          <w:tcPr>
            <w:tcW w:w="1708" w:type="pct"/>
            <w:shd w:val="clear" w:color="auto" w:fill="E5F1F3" w:themeFill="accent2" w:themeFillTint="33"/>
          </w:tcPr>
          <w:p w14:paraId="4C017A28"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What the content includes  </w:t>
            </w:r>
          </w:p>
        </w:tc>
        <w:tc>
          <w:tcPr>
            <w:tcW w:w="1789" w:type="pct"/>
            <w:shd w:val="clear" w:color="auto" w:fill="E5F1F3" w:themeFill="accent2" w:themeFillTint="33"/>
          </w:tcPr>
          <w:p w14:paraId="6FB83DC6"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Link </w:t>
            </w:r>
          </w:p>
        </w:tc>
      </w:tr>
      <w:tr w:rsidR="00A61A79" w:rsidRPr="00CD797A" w14:paraId="78E6EDED"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0DD41639" w14:textId="77777777"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 xml:space="preserve">VIC Department of Health and Human Services </w:t>
            </w:r>
          </w:p>
          <w:p w14:paraId="751B6DB7" w14:textId="4F07C4F6" w:rsidR="00A61A79" w:rsidRPr="00CD797A" w:rsidRDefault="00A61A79" w:rsidP="00CD797A">
            <w:pPr>
              <w:pStyle w:val="Tabletext"/>
              <w:spacing w:before="80" w:after="80" w:line="260" w:lineRule="atLeast"/>
              <w:rPr>
                <w:rFonts w:cstheme="minorHAnsi"/>
                <w:b w:val="0"/>
                <w:bCs/>
                <w:i/>
                <w:color w:val="auto"/>
                <w:sz w:val="20"/>
                <w:szCs w:val="20"/>
              </w:rPr>
            </w:pPr>
            <w:r w:rsidRPr="00CD797A">
              <w:rPr>
                <w:rFonts w:cstheme="minorHAnsi"/>
                <w:b w:val="0"/>
                <w:bCs/>
                <w:i/>
                <w:sz w:val="20"/>
                <w:szCs w:val="20"/>
              </w:rPr>
              <w:t>Standardised care processes</w:t>
            </w:r>
          </w:p>
        </w:tc>
        <w:tc>
          <w:tcPr>
            <w:tcW w:w="1708" w:type="pct"/>
          </w:tcPr>
          <w:p w14:paraId="384CF3ED"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Evidence-based standardised care processes for important areas of resident care (SCP) for antimicrobial stewardship and infection control. (Can be used for policy review) </w:t>
            </w:r>
          </w:p>
        </w:tc>
        <w:tc>
          <w:tcPr>
            <w:tcW w:w="1789" w:type="pct"/>
          </w:tcPr>
          <w:p w14:paraId="7B369B0B" w14:textId="77777777"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3" w:history="1">
              <w:r w:rsidR="00A61A79" w:rsidRPr="00CD797A">
                <w:rPr>
                  <w:rStyle w:val="Hyperlink"/>
                  <w:rFonts w:cstheme="minorHAnsi"/>
                  <w:color w:val="007586" w:themeColor="text2"/>
                  <w:sz w:val="20"/>
                  <w:szCs w:val="20"/>
                </w:rPr>
                <w:t xml:space="preserve">Standardised care processes - </w:t>
              </w:r>
              <w:proofErr w:type="spellStart"/>
              <w:r w:rsidR="00A61A79" w:rsidRPr="00CD797A">
                <w:rPr>
                  <w:rStyle w:val="Hyperlink"/>
                  <w:rFonts w:cstheme="minorHAnsi"/>
                  <w:color w:val="007586" w:themeColor="text2"/>
                  <w:sz w:val="20"/>
                  <w:szCs w:val="20"/>
                </w:rPr>
                <w:t>health.vic</w:t>
              </w:r>
              <w:proofErr w:type="spellEnd"/>
            </w:hyperlink>
          </w:p>
        </w:tc>
      </w:tr>
      <w:tr w:rsidR="00A61A79" w:rsidRPr="00CD797A" w14:paraId="68948F00"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4E42A3E5" w14:textId="77777777"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 xml:space="preserve">Queensland Government, Queensland Health </w:t>
            </w:r>
          </w:p>
          <w:p w14:paraId="6D965956" w14:textId="77777777" w:rsidR="00A61A79" w:rsidRPr="00CD797A" w:rsidRDefault="00A61A79" w:rsidP="00CD797A">
            <w:pPr>
              <w:pStyle w:val="Tabletext"/>
              <w:spacing w:before="80" w:after="80" w:line="260" w:lineRule="atLeast"/>
              <w:rPr>
                <w:rFonts w:cstheme="minorHAnsi"/>
                <w:b w:val="0"/>
                <w:bCs/>
                <w:i/>
                <w:sz w:val="20"/>
                <w:szCs w:val="20"/>
              </w:rPr>
            </w:pPr>
            <w:r w:rsidRPr="00CD797A">
              <w:rPr>
                <w:rFonts w:cstheme="minorHAnsi"/>
                <w:b w:val="0"/>
                <w:bCs/>
                <w:i/>
                <w:sz w:val="20"/>
                <w:szCs w:val="20"/>
              </w:rPr>
              <w:t>Disease prevention in residential care facilities</w:t>
            </w:r>
          </w:p>
        </w:tc>
        <w:tc>
          <w:tcPr>
            <w:tcW w:w="1708" w:type="pct"/>
          </w:tcPr>
          <w:p w14:paraId="24BCCDFB" w14:textId="24A767EA"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Guidelines and resources to support policy review for infectious outbreaks</w:t>
            </w:r>
          </w:p>
        </w:tc>
        <w:tc>
          <w:tcPr>
            <w:tcW w:w="1789" w:type="pct"/>
          </w:tcPr>
          <w:p w14:paraId="559FA548" w14:textId="781BFCF6"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4" w:history="1">
              <w:r w:rsidR="00A61A79" w:rsidRPr="00CD797A">
                <w:rPr>
                  <w:rStyle w:val="Hyperlink"/>
                  <w:rFonts w:cstheme="minorHAnsi"/>
                  <w:color w:val="007586" w:themeColor="text2"/>
                  <w:sz w:val="20"/>
                  <w:szCs w:val="20"/>
                </w:rPr>
                <w:t>Disease prevention in residential care facilities | Queensland Health</w:t>
              </w:r>
            </w:hyperlink>
          </w:p>
        </w:tc>
      </w:tr>
      <w:tr w:rsidR="00A61A79" w:rsidRPr="00CD797A" w14:paraId="3EB13E5D"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E5F1F3" w:themeFill="accent2" w:themeFillTint="33"/>
          </w:tcPr>
          <w:p w14:paraId="263ED6A8" w14:textId="77777777" w:rsidR="00A61A79" w:rsidRPr="00CD797A" w:rsidRDefault="00A61A79" w:rsidP="00CD797A">
            <w:pPr>
              <w:pStyle w:val="Tableheader"/>
              <w:spacing w:before="80" w:after="80"/>
              <w:rPr>
                <w:rFonts w:cstheme="minorHAnsi"/>
                <w:b/>
                <w:sz w:val="20"/>
                <w:szCs w:val="20"/>
              </w:rPr>
            </w:pPr>
            <w:r w:rsidRPr="00CD797A">
              <w:rPr>
                <w:rFonts w:cstheme="minorHAnsi"/>
                <w:b/>
                <w:sz w:val="20"/>
                <w:szCs w:val="20"/>
              </w:rPr>
              <w:t>Staff / GP education resource</w:t>
            </w:r>
          </w:p>
        </w:tc>
        <w:tc>
          <w:tcPr>
            <w:tcW w:w="1708" w:type="pct"/>
            <w:shd w:val="clear" w:color="auto" w:fill="E5F1F3" w:themeFill="accent2" w:themeFillTint="33"/>
          </w:tcPr>
          <w:p w14:paraId="53BDB4D6"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What the content includes  </w:t>
            </w:r>
          </w:p>
        </w:tc>
        <w:tc>
          <w:tcPr>
            <w:tcW w:w="1789" w:type="pct"/>
            <w:shd w:val="clear" w:color="auto" w:fill="E5F1F3" w:themeFill="accent2" w:themeFillTint="33"/>
          </w:tcPr>
          <w:p w14:paraId="2FCF4C5C"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Link </w:t>
            </w:r>
          </w:p>
        </w:tc>
      </w:tr>
      <w:tr w:rsidR="00A61A79" w:rsidRPr="00CD797A" w14:paraId="4B5EA3EF"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30B24091" w14:textId="7B2A0D38"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 xml:space="preserve">Safer Care Victoria, Infection Control Clinical Network: </w:t>
            </w:r>
          </w:p>
          <w:p w14:paraId="4163B8CB" w14:textId="77777777" w:rsidR="00A61A79" w:rsidRPr="00CD797A" w:rsidRDefault="00A61A79" w:rsidP="00CD797A">
            <w:pPr>
              <w:pStyle w:val="Tabletext"/>
              <w:spacing w:before="80" w:after="80" w:line="260" w:lineRule="atLeast"/>
              <w:rPr>
                <w:rFonts w:cstheme="minorHAnsi"/>
                <w:i/>
                <w:color w:val="auto"/>
                <w:sz w:val="20"/>
                <w:szCs w:val="20"/>
              </w:rPr>
            </w:pPr>
            <w:r w:rsidRPr="00CD797A">
              <w:rPr>
                <w:rFonts w:cstheme="minorHAnsi"/>
                <w:b w:val="0"/>
                <w:bCs/>
                <w:i/>
                <w:sz w:val="20"/>
                <w:szCs w:val="20"/>
              </w:rPr>
              <w:t>Reflections on 2019 Influenza season webinar</w:t>
            </w:r>
            <w:r w:rsidRPr="00CD797A">
              <w:rPr>
                <w:rFonts w:cstheme="minorHAnsi"/>
                <w:i/>
                <w:sz w:val="20"/>
                <w:szCs w:val="20"/>
              </w:rPr>
              <w:t xml:space="preserve"> </w:t>
            </w:r>
          </w:p>
        </w:tc>
        <w:tc>
          <w:tcPr>
            <w:tcW w:w="1708" w:type="pct"/>
          </w:tcPr>
          <w:p w14:paraId="29B50D7A"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Webinar for GPs, emergency department staff, RACS staff about the 2019 influenza season. (Can be used for staff education) </w:t>
            </w:r>
          </w:p>
        </w:tc>
        <w:tc>
          <w:tcPr>
            <w:tcW w:w="1789" w:type="pct"/>
          </w:tcPr>
          <w:p w14:paraId="2FA79728" w14:textId="5676ABD6"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5" w:history="1">
              <w:r w:rsidR="00CD4C99" w:rsidRPr="00CD797A">
                <w:rPr>
                  <w:rStyle w:val="Hyperlink"/>
                  <w:rFonts w:cstheme="minorHAnsi"/>
                  <w:sz w:val="20"/>
                  <w:szCs w:val="20"/>
                </w:rPr>
                <w:t>www.redbackondemand.com.au/on/channel/SCV/</w:t>
              </w:r>
            </w:hyperlink>
          </w:p>
        </w:tc>
      </w:tr>
      <w:tr w:rsidR="00A61A79" w:rsidRPr="00CD797A" w14:paraId="70C2AA3E"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E5F1F3" w:themeFill="accent2" w:themeFillTint="33"/>
          </w:tcPr>
          <w:p w14:paraId="08C3EFD4" w14:textId="73654925" w:rsidR="00A61A79" w:rsidRPr="00CD797A" w:rsidRDefault="00A61A79" w:rsidP="00CD797A">
            <w:pPr>
              <w:pStyle w:val="Tableheader"/>
              <w:spacing w:before="80" w:after="80"/>
              <w:rPr>
                <w:rFonts w:cstheme="minorHAnsi"/>
                <w:b/>
                <w:sz w:val="20"/>
                <w:szCs w:val="20"/>
              </w:rPr>
            </w:pPr>
            <w:r w:rsidRPr="00CD797A">
              <w:rPr>
                <w:rFonts w:cstheme="minorHAnsi"/>
                <w:b/>
                <w:sz w:val="20"/>
                <w:szCs w:val="20"/>
              </w:rPr>
              <w:t>Vaccination resources</w:t>
            </w:r>
          </w:p>
        </w:tc>
        <w:tc>
          <w:tcPr>
            <w:tcW w:w="1708" w:type="pct"/>
            <w:shd w:val="clear" w:color="auto" w:fill="E5F1F3" w:themeFill="accent2" w:themeFillTint="33"/>
          </w:tcPr>
          <w:p w14:paraId="5FD44FFC"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What the content includes  </w:t>
            </w:r>
          </w:p>
        </w:tc>
        <w:tc>
          <w:tcPr>
            <w:tcW w:w="1789" w:type="pct"/>
            <w:shd w:val="clear" w:color="auto" w:fill="E5F1F3" w:themeFill="accent2" w:themeFillTint="33"/>
          </w:tcPr>
          <w:p w14:paraId="6F0D6AAF"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Link </w:t>
            </w:r>
          </w:p>
        </w:tc>
      </w:tr>
      <w:tr w:rsidR="00A61A79" w:rsidRPr="00CD797A" w14:paraId="5B27D517"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7709F14D" w14:textId="77777777" w:rsidR="00A61A79" w:rsidRPr="00CD797A" w:rsidRDefault="00A61A79" w:rsidP="00CD797A">
            <w:pPr>
              <w:pStyle w:val="Tabletext"/>
              <w:spacing w:before="80" w:after="80" w:line="260" w:lineRule="atLeast"/>
              <w:rPr>
                <w:rFonts w:cstheme="minorHAnsi"/>
                <w:color w:val="auto"/>
                <w:sz w:val="20"/>
                <w:szCs w:val="20"/>
              </w:rPr>
            </w:pPr>
            <w:r w:rsidRPr="00CD797A">
              <w:rPr>
                <w:rFonts w:cstheme="minorHAnsi"/>
                <w:sz w:val="20"/>
                <w:szCs w:val="20"/>
              </w:rPr>
              <w:t xml:space="preserve">Department of Health </w:t>
            </w:r>
          </w:p>
          <w:p w14:paraId="537AFCA6" w14:textId="77777777" w:rsidR="00A61A79" w:rsidRPr="00CD797A" w:rsidRDefault="00A61A79" w:rsidP="00CD797A">
            <w:pPr>
              <w:pStyle w:val="Tabletext"/>
              <w:spacing w:before="80" w:after="80" w:line="260" w:lineRule="atLeast"/>
              <w:rPr>
                <w:rFonts w:cstheme="minorHAnsi"/>
                <w:i/>
                <w:sz w:val="20"/>
                <w:szCs w:val="20"/>
              </w:rPr>
            </w:pPr>
            <w:r w:rsidRPr="00CD797A">
              <w:rPr>
                <w:rFonts w:cstheme="minorHAnsi"/>
                <w:i/>
                <w:sz w:val="20"/>
                <w:szCs w:val="20"/>
              </w:rPr>
              <w:t>Mandatory influenza (flu) vaccination program for residential aged care providers</w:t>
            </w:r>
          </w:p>
        </w:tc>
        <w:tc>
          <w:tcPr>
            <w:tcW w:w="1708" w:type="pct"/>
          </w:tcPr>
          <w:p w14:paraId="303B58E1"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Requirements for residential aged care providers to have mandatory influenza vaccination program</w:t>
            </w:r>
          </w:p>
        </w:tc>
        <w:tc>
          <w:tcPr>
            <w:tcW w:w="1789" w:type="pct"/>
          </w:tcPr>
          <w:p w14:paraId="36865997" w14:textId="21AB196B"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6" w:history="1">
              <w:r w:rsidR="00A61A79" w:rsidRPr="00CD797A">
                <w:rPr>
                  <w:rStyle w:val="Hyperlink"/>
                  <w:rFonts w:cstheme="minorHAnsi"/>
                  <w:color w:val="007586" w:themeColor="text2"/>
                  <w:sz w:val="20"/>
                  <w:szCs w:val="20"/>
                </w:rPr>
                <w:t>Mandatory Influenza (flu) vaccination program for residential aged care providers | Ageing and Aged Care</w:t>
              </w:r>
            </w:hyperlink>
          </w:p>
        </w:tc>
      </w:tr>
      <w:tr w:rsidR="00A61A79" w:rsidRPr="00CD797A" w14:paraId="48C6FBE6"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2226A807" w14:textId="77777777" w:rsidR="00A61A79" w:rsidRPr="00CD797A" w:rsidRDefault="00A61A79" w:rsidP="00CD797A">
            <w:pPr>
              <w:pStyle w:val="Tabletext"/>
              <w:spacing w:before="80" w:after="80" w:line="260" w:lineRule="atLeast"/>
              <w:rPr>
                <w:rFonts w:cstheme="minorHAnsi"/>
                <w:sz w:val="20"/>
                <w:szCs w:val="20"/>
              </w:rPr>
            </w:pPr>
            <w:r w:rsidRPr="00CD797A">
              <w:rPr>
                <w:rFonts w:cstheme="minorHAnsi"/>
                <w:sz w:val="20"/>
                <w:szCs w:val="20"/>
              </w:rPr>
              <w:t>Immunization Coalition</w:t>
            </w:r>
          </w:p>
        </w:tc>
        <w:tc>
          <w:tcPr>
            <w:tcW w:w="1708" w:type="pct"/>
          </w:tcPr>
          <w:p w14:paraId="2D63E8AD" w14:textId="2490C33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Short video about the importance of staff vaccinations</w:t>
            </w:r>
          </w:p>
        </w:tc>
        <w:tc>
          <w:tcPr>
            <w:tcW w:w="1789" w:type="pct"/>
          </w:tcPr>
          <w:p w14:paraId="377CC60F" w14:textId="3BFAEE32"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7" w:history="1">
              <w:r w:rsidR="00A61A79" w:rsidRPr="00CD797A">
                <w:rPr>
                  <w:rStyle w:val="Hyperlink"/>
                  <w:rFonts w:cstheme="minorHAnsi"/>
                  <w:color w:val="007586" w:themeColor="text2"/>
                  <w:sz w:val="20"/>
                  <w:szCs w:val="20"/>
                </w:rPr>
                <w:t>Why should healthcare workers have a yearly influenza vaccination - YouTube</w:t>
              </w:r>
            </w:hyperlink>
          </w:p>
        </w:tc>
      </w:tr>
      <w:tr w:rsidR="00A61A79" w:rsidRPr="00CD797A" w14:paraId="2A4EC6FF"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14BA8737" w14:textId="77777777" w:rsidR="00A61A79" w:rsidRPr="00CD797A" w:rsidRDefault="00A61A79" w:rsidP="00CD797A">
            <w:pPr>
              <w:pStyle w:val="Tabletext"/>
              <w:spacing w:before="80" w:after="80" w:line="260" w:lineRule="atLeast"/>
              <w:rPr>
                <w:rFonts w:cstheme="minorHAnsi"/>
                <w:color w:val="auto"/>
                <w:sz w:val="20"/>
                <w:szCs w:val="20"/>
              </w:rPr>
            </w:pPr>
            <w:r w:rsidRPr="00CD797A">
              <w:rPr>
                <w:rFonts w:cstheme="minorHAnsi"/>
                <w:sz w:val="20"/>
                <w:szCs w:val="20"/>
              </w:rPr>
              <w:t>Department of Health</w:t>
            </w:r>
          </w:p>
          <w:p w14:paraId="52E20898" w14:textId="77777777" w:rsidR="00A61A79" w:rsidRPr="00CD797A" w:rsidRDefault="00A61A79" w:rsidP="00CD797A">
            <w:pPr>
              <w:pStyle w:val="Tabletext"/>
              <w:spacing w:before="80" w:after="80" w:line="260" w:lineRule="atLeast"/>
              <w:rPr>
                <w:rFonts w:cstheme="minorHAnsi"/>
                <w:sz w:val="20"/>
                <w:szCs w:val="20"/>
              </w:rPr>
            </w:pPr>
            <w:r w:rsidRPr="00CD797A">
              <w:rPr>
                <w:rFonts w:cstheme="minorHAnsi"/>
                <w:sz w:val="20"/>
                <w:szCs w:val="20"/>
              </w:rPr>
              <w:t>Resources for Flu Vaccination 2019</w:t>
            </w:r>
          </w:p>
        </w:tc>
        <w:tc>
          <w:tcPr>
            <w:tcW w:w="1708" w:type="pct"/>
          </w:tcPr>
          <w:p w14:paraId="2D802807" w14:textId="609DE0A8"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Resources for consumers and providers, including in other languages</w:t>
            </w:r>
          </w:p>
        </w:tc>
        <w:tc>
          <w:tcPr>
            <w:tcW w:w="1789" w:type="pct"/>
          </w:tcPr>
          <w:p w14:paraId="288C52BC" w14:textId="77777777"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8" w:history="1">
              <w:r w:rsidR="00A61A79" w:rsidRPr="00CD797A">
                <w:rPr>
                  <w:rStyle w:val="Hyperlink"/>
                  <w:rFonts w:cstheme="minorHAnsi"/>
                  <w:color w:val="007586" w:themeColor="text2"/>
                  <w:sz w:val="20"/>
                  <w:szCs w:val="20"/>
                </w:rPr>
                <w:t>Influenza | Australian Government Department of Health</w:t>
              </w:r>
            </w:hyperlink>
          </w:p>
        </w:tc>
      </w:tr>
      <w:tr w:rsidR="00A61A79" w:rsidRPr="00CD797A" w14:paraId="15A3AD42"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E5F1F3" w:themeFill="accent2" w:themeFillTint="33"/>
          </w:tcPr>
          <w:p w14:paraId="2B34F02B" w14:textId="77777777" w:rsidR="00A61A79" w:rsidRPr="00CD797A" w:rsidRDefault="00A61A79" w:rsidP="00CD797A">
            <w:pPr>
              <w:pStyle w:val="Tableheader"/>
              <w:spacing w:before="80" w:after="80"/>
              <w:rPr>
                <w:rFonts w:cstheme="minorHAnsi"/>
                <w:b/>
                <w:sz w:val="20"/>
                <w:szCs w:val="20"/>
              </w:rPr>
            </w:pPr>
            <w:r w:rsidRPr="00CD797A">
              <w:rPr>
                <w:rFonts w:cstheme="minorHAnsi"/>
                <w:b/>
                <w:sz w:val="20"/>
                <w:szCs w:val="20"/>
              </w:rPr>
              <w:t>Infection surveillance and Antimicrobial Stewardship resources</w:t>
            </w:r>
          </w:p>
        </w:tc>
        <w:tc>
          <w:tcPr>
            <w:tcW w:w="1708" w:type="pct"/>
            <w:shd w:val="clear" w:color="auto" w:fill="E5F1F3" w:themeFill="accent2" w:themeFillTint="33"/>
          </w:tcPr>
          <w:p w14:paraId="28EE58B2"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What the content includes  </w:t>
            </w:r>
          </w:p>
        </w:tc>
        <w:tc>
          <w:tcPr>
            <w:tcW w:w="1789" w:type="pct"/>
            <w:shd w:val="clear" w:color="auto" w:fill="E5F1F3" w:themeFill="accent2" w:themeFillTint="33"/>
          </w:tcPr>
          <w:p w14:paraId="5ACD6B8B"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Link </w:t>
            </w:r>
          </w:p>
        </w:tc>
      </w:tr>
      <w:tr w:rsidR="00A61A79" w:rsidRPr="00CD797A" w14:paraId="71D77771"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433A76D2" w14:textId="77777777"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 xml:space="preserve">VICNISS Coordinating centre </w:t>
            </w:r>
          </w:p>
        </w:tc>
        <w:tc>
          <w:tcPr>
            <w:tcW w:w="1708" w:type="pct"/>
          </w:tcPr>
          <w:p w14:paraId="34ED38D2"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lang w:eastAsia="en-AU"/>
              </w:rPr>
              <w:t>Educational webinars</w:t>
            </w:r>
          </w:p>
          <w:p w14:paraId="0BA9A4A9"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lang w:eastAsia="en-AU"/>
              </w:rPr>
              <w:t xml:space="preserve">Protocols and data collection forms for healthcare worker and resident processes (e.g. vaccinations) and outcome (e.g. Infection surveillance modules </w:t>
            </w:r>
          </w:p>
        </w:tc>
        <w:tc>
          <w:tcPr>
            <w:tcW w:w="1789" w:type="pct"/>
          </w:tcPr>
          <w:p w14:paraId="62304BC4" w14:textId="098BBB72"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Style w:val="Hyperlink"/>
                <w:rFonts w:cstheme="minorHAnsi"/>
                <w:color w:val="007586" w:themeColor="text2"/>
                <w:sz w:val="20"/>
                <w:szCs w:val="20"/>
              </w:rPr>
            </w:pPr>
            <w:hyperlink r:id="rId39" w:history="1">
              <w:r w:rsidR="00CD4C99" w:rsidRPr="00CD797A">
                <w:rPr>
                  <w:rStyle w:val="Hyperlink"/>
                  <w:rFonts w:cstheme="minorHAnsi"/>
                  <w:color w:val="007586" w:themeColor="text2"/>
                  <w:sz w:val="20"/>
                  <w:szCs w:val="20"/>
                </w:rPr>
                <w:t>www.vicniss.org.au/</w:t>
              </w:r>
            </w:hyperlink>
          </w:p>
        </w:tc>
      </w:tr>
      <w:tr w:rsidR="00A61A79" w:rsidRPr="00CD797A" w14:paraId="12251E3C"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720E10B3" w14:textId="77777777"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 xml:space="preserve">National Antimicrobial Stewardship Centre </w:t>
            </w:r>
          </w:p>
        </w:tc>
        <w:tc>
          <w:tcPr>
            <w:tcW w:w="1708" w:type="pct"/>
          </w:tcPr>
          <w:p w14:paraId="20A39D8A"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User guide and data collection forms for Aged Care National Antimicrobial survey </w:t>
            </w:r>
          </w:p>
        </w:tc>
        <w:tc>
          <w:tcPr>
            <w:tcW w:w="1789" w:type="pct"/>
          </w:tcPr>
          <w:p w14:paraId="78F2B560" w14:textId="26502A99"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Style w:val="Hyperlink"/>
                <w:rFonts w:cstheme="minorHAnsi"/>
                <w:color w:val="007586" w:themeColor="text2"/>
                <w:sz w:val="20"/>
                <w:szCs w:val="20"/>
              </w:rPr>
            </w:pPr>
            <w:hyperlink r:id="rId40" w:history="1">
              <w:r w:rsidR="00CD4C99" w:rsidRPr="00CD797A">
                <w:rPr>
                  <w:rStyle w:val="Hyperlink"/>
                  <w:rFonts w:cstheme="minorHAnsi"/>
                  <w:color w:val="007586" w:themeColor="text2"/>
                  <w:sz w:val="20"/>
                  <w:szCs w:val="20"/>
                </w:rPr>
                <w:t>www.ncas-australia.org/</w:t>
              </w:r>
            </w:hyperlink>
          </w:p>
        </w:tc>
      </w:tr>
      <w:tr w:rsidR="00A61A79" w:rsidRPr="00CD797A" w14:paraId="4CF58072"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E5F1F3" w:themeFill="accent2" w:themeFillTint="33"/>
          </w:tcPr>
          <w:p w14:paraId="3505AF1A" w14:textId="77777777" w:rsidR="00A61A79" w:rsidRPr="00CD797A" w:rsidRDefault="00A61A79" w:rsidP="00CD797A">
            <w:pPr>
              <w:pStyle w:val="Tableheader"/>
              <w:spacing w:before="80" w:after="80"/>
              <w:rPr>
                <w:rFonts w:cstheme="minorHAnsi"/>
                <w:b/>
                <w:sz w:val="20"/>
                <w:szCs w:val="20"/>
              </w:rPr>
            </w:pPr>
            <w:r w:rsidRPr="00CD797A">
              <w:rPr>
                <w:rFonts w:cstheme="minorHAnsi"/>
                <w:b/>
                <w:sz w:val="20"/>
                <w:szCs w:val="20"/>
              </w:rPr>
              <w:t>Infection control resources</w:t>
            </w:r>
          </w:p>
        </w:tc>
        <w:tc>
          <w:tcPr>
            <w:tcW w:w="1708" w:type="pct"/>
            <w:shd w:val="clear" w:color="auto" w:fill="E5F1F3" w:themeFill="accent2" w:themeFillTint="33"/>
          </w:tcPr>
          <w:p w14:paraId="361B40FA"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What the content includes  </w:t>
            </w:r>
          </w:p>
        </w:tc>
        <w:tc>
          <w:tcPr>
            <w:tcW w:w="1789" w:type="pct"/>
            <w:shd w:val="clear" w:color="auto" w:fill="E5F1F3" w:themeFill="accent2" w:themeFillTint="33"/>
          </w:tcPr>
          <w:p w14:paraId="4E988A11"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Link </w:t>
            </w:r>
          </w:p>
        </w:tc>
      </w:tr>
      <w:tr w:rsidR="00A61A79" w:rsidRPr="00CD797A" w14:paraId="2165B891"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FFFFFF" w:themeFill="background1"/>
          </w:tcPr>
          <w:p w14:paraId="014D8031" w14:textId="77777777"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 xml:space="preserve">NHMRC: </w:t>
            </w:r>
          </w:p>
          <w:p w14:paraId="153B850F" w14:textId="77777777" w:rsidR="00A61A79" w:rsidRPr="00CD797A" w:rsidRDefault="00A61A79" w:rsidP="00CD797A">
            <w:pPr>
              <w:pStyle w:val="Tabletext"/>
              <w:spacing w:before="80" w:after="80" w:line="260" w:lineRule="atLeast"/>
              <w:rPr>
                <w:rFonts w:cstheme="minorHAnsi"/>
                <w:b w:val="0"/>
                <w:bCs/>
                <w:i/>
                <w:iCs/>
                <w:sz w:val="20"/>
                <w:szCs w:val="20"/>
              </w:rPr>
            </w:pPr>
            <w:r w:rsidRPr="00CD797A">
              <w:rPr>
                <w:rFonts w:cstheme="minorHAnsi"/>
                <w:b w:val="0"/>
                <w:bCs/>
                <w:i/>
                <w:iCs/>
                <w:sz w:val="20"/>
                <w:szCs w:val="20"/>
              </w:rPr>
              <w:t>Australian guidelines for the Prevention and Control of Infection in Healthcare (2019)</w:t>
            </w:r>
          </w:p>
        </w:tc>
        <w:tc>
          <w:tcPr>
            <w:tcW w:w="1708" w:type="pct"/>
            <w:shd w:val="clear" w:color="auto" w:fill="FFFFFF" w:themeFill="background1"/>
          </w:tcPr>
          <w:p w14:paraId="276C5F34"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Requirements for best practice infection control</w:t>
            </w:r>
          </w:p>
          <w:p w14:paraId="038D0933"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Access to clinical educator guides</w:t>
            </w:r>
          </w:p>
          <w:p w14:paraId="54A6A74E"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Consumer factsheets for various infections </w:t>
            </w:r>
          </w:p>
        </w:tc>
        <w:tc>
          <w:tcPr>
            <w:tcW w:w="1789" w:type="pct"/>
            <w:shd w:val="clear" w:color="auto" w:fill="FFFFFF" w:themeFill="background1"/>
          </w:tcPr>
          <w:p w14:paraId="32206F97" w14:textId="097E2989"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41" w:history="1">
              <w:r w:rsidR="00CD4C99" w:rsidRPr="00CD797A">
                <w:rPr>
                  <w:rStyle w:val="Hyperlink"/>
                  <w:rFonts w:cstheme="minorHAnsi"/>
                  <w:sz w:val="20"/>
                  <w:szCs w:val="20"/>
                </w:rPr>
                <w:t>www.nhmrc.gov.au/about-us/publications/australian-guidelines-prevention-and-control-infection-healthcare-2019</w:t>
              </w:r>
            </w:hyperlink>
          </w:p>
        </w:tc>
      </w:tr>
      <w:tr w:rsidR="00A61A79" w:rsidRPr="00CD797A" w14:paraId="2D7F7EB2"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56665BCE" w14:textId="77777777" w:rsidR="00A61A79" w:rsidRPr="00CD797A" w:rsidRDefault="00A61A79" w:rsidP="00CD797A">
            <w:pPr>
              <w:pStyle w:val="Tabletext"/>
              <w:spacing w:before="80" w:after="80" w:line="260" w:lineRule="atLeast"/>
              <w:rPr>
                <w:rFonts w:cstheme="minorHAnsi"/>
                <w:b w:val="0"/>
                <w:bCs/>
                <w:sz w:val="20"/>
                <w:szCs w:val="20"/>
              </w:rPr>
            </w:pPr>
            <w:r w:rsidRPr="00CD797A">
              <w:rPr>
                <w:rFonts w:cstheme="minorHAnsi"/>
                <w:b w:val="0"/>
                <w:bCs/>
                <w:sz w:val="20"/>
                <w:szCs w:val="20"/>
              </w:rPr>
              <w:t>Grampians Region Infection Control Group</w:t>
            </w:r>
          </w:p>
        </w:tc>
        <w:tc>
          <w:tcPr>
            <w:tcW w:w="1708" w:type="pct"/>
          </w:tcPr>
          <w:p w14:paraId="2FDCD277"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Infection control resources for aged care services, including audits</w:t>
            </w:r>
          </w:p>
          <w:p w14:paraId="4C469CF6" w14:textId="13270F1B"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(Can be used for self-assessment and policy review) </w:t>
            </w:r>
          </w:p>
        </w:tc>
        <w:tc>
          <w:tcPr>
            <w:tcW w:w="1789" w:type="pct"/>
          </w:tcPr>
          <w:p w14:paraId="46831312" w14:textId="480C18FA"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42" w:history="1">
              <w:r w:rsidR="00A61A79" w:rsidRPr="00CD797A">
                <w:rPr>
                  <w:rStyle w:val="Hyperlink"/>
                  <w:rFonts w:cstheme="minorHAnsi"/>
                  <w:color w:val="007586" w:themeColor="text2"/>
                  <w:sz w:val="20"/>
                  <w:szCs w:val="20"/>
                </w:rPr>
                <w:t>Infection Control</w:t>
              </w:r>
            </w:hyperlink>
          </w:p>
        </w:tc>
      </w:tr>
      <w:tr w:rsidR="00A61A79" w:rsidRPr="00CD797A" w14:paraId="7A07FCC2" w14:textId="77777777" w:rsidTr="00FB3F36">
        <w:tc>
          <w:tcPr>
            <w:cnfStyle w:val="001000000000" w:firstRow="0" w:lastRow="0" w:firstColumn="1" w:lastColumn="0" w:oddVBand="0" w:evenVBand="0" w:oddHBand="0" w:evenHBand="0" w:firstRowFirstColumn="0" w:firstRowLastColumn="0" w:lastRowFirstColumn="0" w:lastRowLastColumn="0"/>
            <w:tcW w:w="1503" w:type="pct"/>
            <w:shd w:val="clear" w:color="auto" w:fill="auto"/>
          </w:tcPr>
          <w:p w14:paraId="0F2C2E63" w14:textId="1394D86F"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 xml:space="preserve">VICNISS Coordinating Centre </w:t>
            </w:r>
          </w:p>
          <w:p w14:paraId="2CFC3687" w14:textId="77777777" w:rsidR="00A61A79" w:rsidRPr="00CD797A" w:rsidRDefault="00A61A79" w:rsidP="00CD797A">
            <w:pPr>
              <w:pStyle w:val="Tabletext"/>
              <w:spacing w:before="80" w:after="80" w:line="260" w:lineRule="atLeast"/>
              <w:rPr>
                <w:rFonts w:cstheme="minorHAnsi"/>
                <w:b w:val="0"/>
                <w:bCs/>
                <w:i/>
                <w:sz w:val="20"/>
                <w:szCs w:val="20"/>
              </w:rPr>
            </w:pPr>
            <w:r w:rsidRPr="00CD797A">
              <w:rPr>
                <w:rFonts w:cstheme="minorHAnsi"/>
                <w:b w:val="0"/>
                <w:bCs/>
                <w:i/>
                <w:sz w:val="20"/>
                <w:szCs w:val="20"/>
              </w:rPr>
              <w:t xml:space="preserve">Infection control </w:t>
            </w:r>
            <w:proofErr w:type="gramStart"/>
            <w:r w:rsidRPr="00CD797A">
              <w:rPr>
                <w:rFonts w:cstheme="minorHAnsi"/>
                <w:b w:val="0"/>
                <w:bCs/>
                <w:i/>
                <w:sz w:val="20"/>
                <w:szCs w:val="20"/>
              </w:rPr>
              <w:t>tool box</w:t>
            </w:r>
            <w:proofErr w:type="gramEnd"/>
          </w:p>
        </w:tc>
        <w:tc>
          <w:tcPr>
            <w:tcW w:w="1708" w:type="pct"/>
            <w:shd w:val="clear" w:color="auto" w:fill="auto"/>
          </w:tcPr>
          <w:p w14:paraId="62C4931C"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D797A">
              <w:rPr>
                <w:rFonts w:cstheme="minorHAnsi"/>
                <w:bCs/>
                <w:sz w:val="20"/>
                <w:szCs w:val="20"/>
                <w:lang w:eastAsia="en-AU"/>
              </w:rPr>
              <w:t>Links to infection control resources</w:t>
            </w:r>
          </w:p>
          <w:p w14:paraId="2A4C909C"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D797A">
              <w:rPr>
                <w:rFonts w:cstheme="minorHAnsi"/>
                <w:bCs/>
                <w:sz w:val="20"/>
                <w:szCs w:val="20"/>
                <w:lang w:eastAsia="en-AU"/>
              </w:rPr>
              <w:t>training resources</w:t>
            </w:r>
          </w:p>
          <w:p w14:paraId="565478AD"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D797A">
              <w:rPr>
                <w:rFonts w:cstheme="minorHAnsi"/>
                <w:bCs/>
                <w:sz w:val="20"/>
                <w:szCs w:val="20"/>
                <w:lang w:eastAsia="en-AU"/>
              </w:rPr>
              <w:t>outbreak management</w:t>
            </w:r>
          </w:p>
          <w:p w14:paraId="01A6740C"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D797A">
              <w:rPr>
                <w:rFonts w:cstheme="minorHAnsi"/>
                <w:bCs/>
                <w:sz w:val="20"/>
                <w:szCs w:val="20"/>
                <w:lang w:eastAsia="en-AU"/>
              </w:rPr>
              <w:t>cleaning standards</w:t>
            </w:r>
          </w:p>
          <w:p w14:paraId="69BE92C0"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D797A">
              <w:rPr>
                <w:rFonts w:cstheme="minorHAnsi"/>
                <w:bCs/>
                <w:sz w:val="20"/>
                <w:szCs w:val="20"/>
                <w:lang w:eastAsia="en-AU"/>
              </w:rPr>
              <w:t>antimicrobial stewardship</w:t>
            </w:r>
          </w:p>
          <w:p w14:paraId="4F10B7E7"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D797A">
              <w:rPr>
                <w:rFonts w:cstheme="minorHAnsi"/>
                <w:bCs/>
                <w:sz w:val="20"/>
                <w:szCs w:val="20"/>
              </w:rPr>
              <w:t xml:space="preserve">(Can be used for staff education and policy review) </w:t>
            </w:r>
          </w:p>
        </w:tc>
        <w:tc>
          <w:tcPr>
            <w:tcW w:w="1789" w:type="pct"/>
            <w:shd w:val="clear" w:color="auto" w:fill="auto"/>
          </w:tcPr>
          <w:p w14:paraId="4F6BEA4A" w14:textId="77777777"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b/>
                <w:sz w:val="20"/>
                <w:szCs w:val="20"/>
              </w:rPr>
            </w:pPr>
            <w:hyperlink r:id="rId43" w:history="1">
              <w:r w:rsidR="00A61A79" w:rsidRPr="00CD797A">
                <w:rPr>
                  <w:rStyle w:val="Hyperlink"/>
                  <w:rFonts w:cstheme="minorHAnsi"/>
                  <w:b/>
                  <w:bCs/>
                  <w:color w:val="007586" w:themeColor="text2"/>
                  <w:sz w:val="20"/>
                  <w:szCs w:val="20"/>
                </w:rPr>
                <w:t>VICNISS - Infection Control Toolbox</w:t>
              </w:r>
            </w:hyperlink>
          </w:p>
        </w:tc>
      </w:tr>
      <w:tr w:rsidR="00A61A79" w:rsidRPr="00CD797A" w14:paraId="5B5674F0"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1F78A38D" w14:textId="77777777"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 xml:space="preserve">VIC Department of Health and Human Services </w:t>
            </w:r>
          </w:p>
          <w:p w14:paraId="72272279" w14:textId="77777777" w:rsidR="00A61A79" w:rsidRPr="00CD797A" w:rsidRDefault="00A61A79" w:rsidP="00CD797A">
            <w:pPr>
              <w:pStyle w:val="Tabletext"/>
              <w:spacing w:before="80" w:after="80" w:line="260" w:lineRule="atLeast"/>
              <w:rPr>
                <w:rFonts w:cstheme="minorHAnsi"/>
                <w:i/>
                <w:sz w:val="20"/>
                <w:szCs w:val="20"/>
              </w:rPr>
            </w:pPr>
            <w:r w:rsidRPr="00CD797A">
              <w:rPr>
                <w:rFonts w:cstheme="minorHAnsi"/>
                <w:b w:val="0"/>
                <w:bCs/>
                <w:i/>
                <w:sz w:val="20"/>
                <w:szCs w:val="20"/>
              </w:rPr>
              <w:t>Chlorine dilutions calculator</w:t>
            </w:r>
          </w:p>
        </w:tc>
        <w:tc>
          <w:tcPr>
            <w:tcW w:w="1708" w:type="pct"/>
          </w:tcPr>
          <w:p w14:paraId="62627C62"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Information for cleaning using </w:t>
            </w:r>
            <w:proofErr w:type="gramStart"/>
            <w:r w:rsidRPr="00CD797A">
              <w:rPr>
                <w:rFonts w:cstheme="minorHAnsi"/>
                <w:sz w:val="20"/>
                <w:szCs w:val="20"/>
              </w:rPr>
              <w:t>chlorine based</w:t>
            </w:r>
            <w:proofErr w:type="gramEnd"/>
            <w:r w:rsidRPr="00CD797A">
              <w:rPr>
                <w:rFonts w:cstheme="minorHAnsi"/>
                <w:sz w:val="20"/>
                <w:szCs w:val="20"/>
              </w:rPr>
              <w:t xml:space="preserve"> solutions in an outbreak. </w:t>
            </w:r>
          </w:p>
          <w:p w14:paraId="774AA253"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(Can be used for staff education) </w:t>
            </w:r>
          </w:p>
        </w:tc>
        <w:tc>
          <w:tcPr>
            <w:tcW w:w="1789" w:type="pct"/>
          </w:tcPr>
          <w:p w14:paraId="05424B7C" w14:textId="77777777"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44" w:history="1">
              <w:r w:rsidR="00A61A79" w:rsidRPr="00CD797A">
                <w:rPr>
                  <w:rStyle w:val="Hyperlink"/>
                  <w:rFonts w:cstheme="minorHAnsi"/>
                  <w:color w:val="007586" w:themeColor="text2"/>
                  <w:sz w:val="20"/>
                  <w:szCs w:val="20"/>
                </w:rPr>
                <w:t xml:space="preserve">Chlorine dilutions calculator - </w:t>
              </w:r>
              <w:proofErr w:type="spellStart"/>
              <w:r w:rsidR="00A61A79" w:rsidRPr="00CD797A">
                <w:rPr>
                  <w:rStyle w:val="Hyperlink"/>
                  <w:rFonts w:cstheme="minorHAnsi"/>
                  <w:color w:val="007586" w:themeColor="text2"/>
                  <w:sz w:val="20"/>
                  <w:szCs w:val="20"/>
                </w:rPr>
                <w:t>health.vic</w:t>
              </w:r>
              <w:proofErr w:type="spellEnd"/>
            </w:hyperlink>
          </w:p>
        </w:tc>
      </w:tr>
      <w:tr w:rsidR="00A61A79" w:rsidRPr="00CD797A" w14:paraId="5A6F3996" w14:textId="77777777" w:rsidTr="00523424">
        <w:tc>
          <w:tcPr>
            <w:cnfStyle w:val="001000000000" w:firstRow="0" w:lastRow="0" w:firstColumn="1" w:lastColumn="0" w:oddVBand="0" w:evenVBand="0" w:oddHBand="0" w:evenHBand="0" w:firstRowFirstColumn="0" w:firstRowLastColumn="0" w:lastRowFirstColumn="0" w:lastRowLastColumn="0"/>
            <w:tcW w:w="1503" w:type="pct"/>
            <w:shd w:val="clear" w:color="auto" w:fill="E5F1F3" w:themeFill="accent2" w:themeFillTint="33"/>
          </w:tcPr>
          <w:p w14:paraId="1ED1116D" w14:textId="77777777" w:rsidR="00A61A79" w:rsidRPr="00CD797A" w:rsidRDefault="00A61A79" w:rsidP="00CD797A">
            <w:pPr>
              <w:pStyle w:val="Tableheader"/>
              <w:spacing w:before="80" w:after="80"/>
              <w:rPr>
                <w:rFonts w:cstheme="minorHAnsi"/>
                <w:b/>
                <w:sz w:val="20"/>
                <w:szCs w:val="20"/>
              </w:rPr>
            </w:pPr>
            <w:r w:rsidRPr="00CD797A">
              <w:rPr>
                <w:rFonts w:cstheme="minorHAnsi"/>
                <w:b/>
                <w:sz w:val="20"/>
                <w:szCs w:val="20"/>
              </w:rPr>
              <w:t>Consumer resources</w:t>
            </w:r>
          </w:p>
        </w:tc>
        <w:tc>
          <w:tcPr>
            <w:tcW w:w="1708" w:type="pct"/>
            <w:shd w:val="clear" w:color="auto" w:fill="E5F1F3" w:themeFill="accent2" w:themeFillTint="33"/>
          </w:tcPr>
          <w:p w14:paraId="55964E33"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What the content includes  </w:t>
            </w:r>
          </w:p>
        </w:tc>
        <w:tc>
          <w:tcPr>
            <w:tcW w:w="1789" w:type="pct"/>
            <w:shd w:val="clear" w:color="auto" w:fill="E5F1F3" w:themeFill="accent2" w:themeFillTint="33"/>
          </w:tcPr>
          <w:p w14:paraId="0242DEEF" w14:textId="77777777" w:rsidR="00A61A79" w:rsidRPr="00CD797A" w:rsidRDefault="00A61A79" w:rsidP="00CD797A">
            <w:pPr>
              <w:pStyle w:val="Tableheader"/>
              <w:spacing w:before="80" w:after="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Link </w:t>
            </w:r>
          </w:p>
        </w:tc>
      </w:tr>
      <w:tr w:rsidR="00A61A79" w:rsidRPr="00CD797A" w14:paraId="30791F8F" w14:textId="77777777" w:rsidTr="00523424">
        <w:tc>
          <w:tcPr>
            <w:cnfStyle w:val="001000000000" w:firstRow="0" w:lastRow="0" w:firstColumn="1" w:lastColumn="0" w:oddVBand="0" w:evenVBand="0" w:oddHBand="0" w:evenHBand="0" w:firstRowFirstColumn="0" w:firstRowLastColumn="0" w:lastRowFirstColumn="0" w:lastRowLastColumn="0"/>
            <w:tcW w:w="1503" w:type="pct"/>
          </w:tcPr>
          <w:p w14:paraId="59E71507" w14:textId="5C7B41F1" w:rsidR="00A61A79" w:rsidRPr="00CD797A" w:rsidRDefault="00A61A79" w:rsidP="00CD797A">
            <w:pPr>
              <w:pStyle w:val="Tabletext"/>
              <w:spacing w:before="80" w:after="80" w:line="260" w:lineRule="atLeast"/>
              <w:rPr>
                <w:rFonts w:cstheme="minorHAnsi"/>
                <w:b w:val="0"/>
                <w:bCs/>
                <w:color w:val="auto"/>
                <w:sz w:val="20"/>
                <w:szCs w:val="20"/>
              </w:rPr>
            </w:pPr>
            <w:r w:rsidRPr="00CD797A">
              <w:rPr>
                <w:rFonts w:cstheme="minorHAnsi"/>
                <w:b w:val="0"/>
                <w:bCs/>
                <w:sz w:val="20"/>
                <w:szCs w:val="20"/>
              </w:rPr>
              <w:t xml:space="preserve">Better Health Channel </w:t>
            </w:r>
          </w:p>
        </w:tc>
        <w:tc>
          <w:tcPr>
            <w:tcW w:w="1708" w:type="pct"/>
          </w:tcPr>
          <w:p w14:paraId="111E98C5"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Resources for consumers / residents about infections such as influenza and gastroenteritis </w:t>
            </w:r>
          </w:p>
          <w:p w14:paraId="5DD76E45" w14:textId="77777777" w:rsidR="00A61A79" w:rsidRPr="00CD797A" w:rsidRDefault="00A61A79"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97A">
              <w:rPr>
                <w:rFonts w:cstheme="minorHAnsi"/>
                <w:sz w:val="20"/>
                <w:szCs w:val="20"/>
              </w:rPr>
              <w:t xml:space="preserve">(Can be used for communicating with families) </w:t>
            </w:r>
          </w:p>
        </w:tc>
        <w:tc>
          <w:tcPr>
            <w:tcW w:w="1789" w:type="pct"/>
          </w:tcPr>
          <w:p w14:paraId="2CAE2974" w14:textId="77777777" w:rsidR="00A61A79" w:rsidRPr="00CD797A" w:rsidRDefault="007251B0" w:rsidP="00CD797A">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45" w:history="1">
              <w:r w:rsidR="00A61A79" w:rsidRPr="00CD797A">
                <w:rPr>
                  <w:rStyle w:val="Hyperlink"/>
                  <w:rFonts w:cstheme="minorHAnsi"/>
                  <w:color w:val="007586" w:themeColor="text2"/>
                  <w:sz w:val="20"/>
                  <w:szCs w:val="20"/>
                </w:rPr>
                <w:t>Infections - Better Health Channel</w:t>
              </w:r>
            </w:hyperlink>
          </w:p>
        </w:tc>
      </w:tr>
    </w:tbl>
    <w:p w14:paraId="0EBF764D" w14:textId="26074B71" w:rsidR="007F6C26" w:rsidRPr="00C476EB" w:rsidRDefault="007F6C26">
      <w:pPr>
        <w:rPr>
          <w:rFonts w:ascii="VIC" w:hAnsi="VIC"/>
        </w:rPr>
      </w:pPr>
      <w:bookmarkStart w:id="2" w:name="_GoBack"/>
      <w:bookmarkEnd w:id="2"/>
      <w:r w:rsidRPr="00C476EB">
        <w:rPr>
          <w:rFonts w:ascii="VIC" w:hAnsi="VIC"/>
        </w:rPr>
        <w:br w:type="page"/>
      </w:r>
    </w:p>
    <w:p w14:paraId="4C5D9747" w14:textId="77777777" w:rsidR="00AE3760" w:rsidRPr="00C476EB" w:rsidRDefault="00AE3760" w:rsidP="003C7395">
      <w:pPr>
        <w:rPr>
          <w:rFonts w:ascii="VIC" w:hAnsi="VIC"/>
        </w:rPr>
        <w:sectPr w:rsidR="00AE3760" w:rsidRPr="00C476EB" w:rsidSect="00AE3760">
          <w:type w:val="continuous"/>
          <w:pgSz w:w="11906" w:h="16838" w:code="9"/>
          <w:pgMar w:top="3402" w:right="851" w:bottom="1361" w:left="851" w:header="539" w:footer="624" w:gutter="0"/>
          <w:cols w:space="284"/>
          <w:docGrid w:linePitch="360"/>
          <w15:footnoteColumns w:val="1"/>
        </w:sectPr>
      </w:pPr>
    </w:p>
    <w:p w14:paraId="78AC2FE9" w14:textId="0392E1E6" w:rsidR="00727C45" w:rsidRPr="00C476EB" w:rsidRDefault="00727C45" w:rsidP="003C7395">
      <w:pPr>
        <w:rPr>
          <w:rFonts w:ascii="VIC" w:hAnsi="VIC"/>
        </w:rPr>
      </w:pPr>
      <w:r w:rsidRPr="00C476EB">
        <w:rPr>
          <w:rFonts w:ascii="VIC" w:hAnsi="VIC"/>
          <w:noProof/>
        </w:rPr>
        <w:lastRenderedPageBreak/>
        <w:drawing>
          <wp:anchor distT="0" distB="0" distL="114300" distR="114300" simplePos="0" relativeHeight="251663360" behindDoc="1" locked="0" layoutInCell="1" allowOverlap="1" wp14:anchorId="0350D027" wp14:editId="4E4E18A5">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RPr="00C476EB" w:rsidSect="00265EC8">
      <w:type w:val="continuous"/>
      <w:pgSz w:w="11906" w:h="16838" w:code="9"/>
      <w:pgMar w:top="3402" w:right="851" w:bottom="1361" w:left="851" w:header="539" w:footer="624" w:gutter="0"/>
      <w:cols w:num="2"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DA046" w14:textId="77777777" w:rsidR="007251B0" w:rsidRDefault="007251B0" w:rsidP="002D711A">
      <w:pPr>
        <w:spacing w:after="0" w:line="240" w:lineRule="auto"/>
      </w:pPr>
      <w:r>
        <w:separator/>
      </w:r>
    </w:p>
  </w:endnote>
  <w:endnote w:type="continuationSeparator" w:id="0">
    <w:p w14:paraId="4D6B881E" w14:textId="77777777" w:rsidR="007251B0" w:rsidRDefault="007251B0"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1FDF" w14:textId="0F9059EE" w:rsidR="007251B0" w:rsidRPr="000E55B2" w:rsidRDefault="007251B0" w:rsidP="00265EC8">
    <w:pPr>
      <w:pStyle w:val="FooterEven"/>
      <w:framePr w:wrap="around"/>
      <w:rPr>
        <w:rFonts w:ascii="VIC" w:hAnsi="VIC"/>
      </w:rPr>
    </w:pPr>
    <w:r w:rsidRPr="000E55B2">
      <w:rPr>
        <w:rFonts w:ascii="VIC" w:hAnsi="VIC"/>
        <w:noProof w:val="0"/>
      </w:rPr>
      <w:fldChar w:fldCharType="begin"/>
    </w:r>
    <w:r w:rsidRPr="000E55B2">
      <w:rPr>
        <w:rFonts w:ascii="VIC" w:hAnsi="VIC"/>
      </w:rPr>
      <w:instrText xml:space="preserve"> PAGE   \* MERGEFORMAT </w:instrText>
    </w:r>
    <w:r w:rsidRPr="000E55B2">
      <w:rPr>
        <w:rFonts w:ascii="VIC" w:hAnsi="VIC"/>
        <w:noProof w:val="0"/>
      </w:rPr>
      <w:fldChar w:fldCharType="separate"/>
    </w:r>
    <w:r w:rsidRPr="000E55B2">
      <w:rPr>
        <w:rFonts w:ascii="VIC" w:hAnsi="VIC"/>
      </w:rPr>
      <w:t>4</w:t>
    </w:r>
    <w:r w:rsidRPr="000E55B2">
      <w:rPr>
        <w:rFonts w:ascii="VIC" w:hAnsi="VIC"/>
      </w:rPr>
      <w:fldChar w:fldCharType="end"/>
    </w:r>
    <w:r w:rsidRPr="000E55B2">
      <w:rPr>
        <w:rFonts w:ascii="VIC" w:hAnsi="VIC"/>
      </w:rPr>
      <w:t> </w:t>
    </w:r>
    <w:r w:rsidRPr="000E55B2">
      <w:rPr>
        <w:rFonts w:ascii="VIC" w:hAnsi="VIC"/>
      </w:rPr>
      <w:t> </w:t>
    </w:r>
    <w:r w:rsidRPr="000E55B2">
      <w:rPr>
        <w:rFonts w:ascii="VIC" w:hAnsi="VIC"/>
        <w:b/>
      </w:rPr>
      <w:t>Safer Care Victoria</w:t>
    </w:r>
    <w:r w:rsidRPr="000E55B2">
      <w:rPr>
        <w:rFonts w:ascii="VIC" w:hAnsi="VIC"/>
      </w:rPr>
      <w:t> </w:t>
    </w:r>
    <w:r w:rsidRPr="000E55B2">
      <w:rPr>
        <w:rFonts w:ascii="VIC" w:hAnsi="VIC"/>
      </w:rPr>
      <w:t> </w:t>
    </w:r>
    <w:sdt>
      <w:sdtPr>
        <w:rPr>
          <w:rFonts w:ascii="VIC" w:hAnsi="VIC"/>
        </w:rPr>
        <w:alias w:val="Title"/>
        <w:tag w:val=""/>
        <w:id w:val="-270466633"/>
        <w:dataBinding w:prefixMappings="xmlns:ns0='http://purl.org/dc/elements/1.1/' xmlns:ns1='http://schemas.openxmlformats.org/package/2006/metadata/core-properties' " w:xpath="/ns1:coreProperties[1]/ns0:title[1]" w:storeItemID="{6C3C8BC8-F283-45AE-878A-BAB7291924A1}"/>
        <w:text/>
      </w:sdtPr>
      <w:sdtContent>
        <w:r w:rsidRPr="000E55B2">
          <w:rPr>
            <w:rFonts w:ascii="VIC" w:hAnsi="VIC"/>
          </w:rPr>
          <w:t>Managing outbreaks in residential aged care</w:t>
        </w:r>
      </w:sdtContent>
    </w:sdt>
    <w:r w:rsidRPr="000E55B2">
      <w:rPr>
        <w:rFonts w:ascii="VIC" w:hAnsi="VIC"/>
      </w:rPr>
      <w:t xml:space="preserve"> </w:t>
    </w:r>
    <w:r w:rsidRPr="000E55B2">
      <w:rPr>
        <w:rFonts w:ascii="VIC" w:hAnsi="VIC"/>
      </w:rPr>
      <w:drawing>
        <wp:anchor distT="0" distB="0" distL="114300" distR="114300" simplePos="0" relativeHeight="251675648" behindDoc="0" locked="0" layoutInCell="1" allowOverlap="1" wp14:anchorId="25F8F4AD" wp14:editId="5ACF6A50">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7AC06B00" w14:textId="77777777" w:rsidR="007251B0" w:rsidRPr="002A5891" w:rsidRDefault="007251B0" w:rsidP="002A5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E936" w14:textId="5B64A9CE" w:rsidR="007251B0" w:rsidRPr="000E55B2" w:rsidRDefault="007251B0" w:rsidP="004B3DBC">
    <w:pPr>
      <w:pStyle w:val="FooterOdd"/>
      <w:framePr w:wrap="around"/>
      <w:rPr>
        <w:rFonts w:ascii="VIC" w:hAnsi="VIC"/>
      </w:rPr>
    </w:pPr>
    <w:sdt>
      <w:sdtPr>
        <w:rPr>
          <w:rFonts w:ascii="VIC" w:hAnsi="VIC"/>
        </w:rPr>
        <w:alias w:val="Title"/>
        <w:tag w:val=""/>
        <w:id w:val="1181776495"/>
        <w:dataBinding w:prefixMappings="xmlns:ns0='http://purl.org/dc/elements/1.1/' xmlns:ns1='http://schemas.openxmlformats.org/package/2006/metadata/core-properties' " w:xpath="/ns1:coreProperties[1]/ns0:title[1]" w:storeItemID="{6C3C8BC8-F283-45AE-878A-BAB7291924A1}"/>
        <w:text/>
      </w:sdtPr>
      <w:sdtContent>
        <w:r w:rsidRPr="000E55B2">
          <w:rPr>
            <w:rFonts w:ascii="VIC" w:hAnsi="VIC"/>
          </w:rPr>
          <w:t>Managing outbreaks in residential aged care</w:t>
        </w:r>
      </w:sdtContent>
    </w:sdt>
    <w:r w:rsidRPr="000E55B2">
      <w:rPr>
        <w:rFonts w:ascii="VIC" w:hAnsi="VIC"/>
      </w:rPr>
      <w:t> </w:t>
    </w:r>
    <w:r w:rsidRPr="000E55B2">
      <w:rPr>
        <w:rFonts w:ascii="VIC" w:hAnsi="VIC"/>
      </w:rPr>
      <w:t> </w:t>
    </w:r>
    <w:r w:rsidRPr="000E55B2">
      <w:rPr>
        <w:rFonts w:ascii="VIC" w:hAnsi="VIC"/>
        <w:b/>
      </w:rPr>
      <w:t>Safer Care Victoria</w:t>
    </w:r>
    <w:r w:rsidRPr="000E55B2">
      <w:rPr>
        <w:rFonts w:ascii="VIC" w:hAnsi="VIC"/>
      </w:rPr>
      <w:t> </w:t>
    </w:r>
    <w:r w:rsidRPr="000E55B2">
      <w:rPr>
        <w:rFonts w:ascii="VIC" w:hAnsi="VIC"/>
      </w:rPr>
      <w:t> </w:t>
    </w:r>
    <w:r w:rsidRPr="000E55B2">
      <w:rPr>
        <w:rFonts w:ascii="VIC" w:hAnsi="VIC"/>
        <w:noProof w:val="0"/>
      </w:rPr>
      <w:fldChar w:fldCharType="begin"/>
    </w:r>
    <w:r w:rsidRPr="000E55B2">
      <w:rPr>
        <w:rFonts w:ascii="VIC" w:hAnsi="VIC"/>
      </w:rPr>
      <w:instrText xml:space="preserve"> PAGE   \* MERGEFORMAT </w:instrText>
    </w:r>
    <w:r w:rsidRPr="000E55B2">
      <w:rPr>
        <w:rFonts w:ascii="VIC" w:hAnsi="VIC"/>
        <w:noProof w:val="0"/>
      </w:rPr>
      <w:fldChar w:fldCharType="separate"/>
    </w:r>
    <w:r w:rsidRPr="000E55B2">
      <w:rPr>
        <w:rFonts w:ascii="VIC" w:hAnsi="VIC"/>
      </w:rPr>
      <w:t>5</w:t>
    </w:r>
    <w:r w:rsidRPr="000E55B2">
      <w:rPr>
        <w:rFonts w:ascii="VIC" w:hAnsi="VIC"/>
      </w:rPr>
      <w:fldChar w:fldCharType="end"/>
    </w:r>
  </w:p>
  <w:p w14:paraId="60FE74A9" w14:textId="77777777" w:rsidR="007251B0" w:rsidRPr="002A5891" w:rsidRDefault="007251B0" w:rsidP="002A5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4F28" w14:textId="77777777" w:rsidR="007251B0" w:rsidRDefault="007251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452F" w14:textId="77777777" w:rsidR="007251B0" w:rsidRDefault="00725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46DB5" w14:textId="77777777" w:rsidR="007251B0" w:rsidRDefault="007251B0" w:rsidP="00E33E08">
      <w:pPr>
        <w:spacing w:before="0" w:after="0" w:line="240" w:lineRule="auto"/>
      </w:pPr>
    </w:p>
  </w:footnote>
  <w:footnote w:type="continuationSeparator" w:id="0">
    <w:p w14:paraId="46B497B7" w14:textId="77777777" w:rsidR="007251B0" w:rsidRDefault="007251B0"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6056" w14:textId="77777777" w:rsidR="007251B0" w:rsidRDefault="00725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855D" w14:textId="77777777" w:rsidR="007251B0" w:rsidRDefault="007251B0" w:rsidP="00F25F4B">
    <w:pPr>
      <w:pStyle w:val="Header"/>
    </w:pPr>
    <w:r>
      <w:rPr>
        <w:noProof/>
      </w:rPr>
      <w:drawing>
        <wp:anchor distT="0" distB="0" distL="114300" distR="114300" simplePos="0" relativeHeight="251673600" behindDoc="1" locked="0" layoutInCell="1" allowOverlap="1" wp14:anchorId="210CEF2D" wp14:editId="08404DE5">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830D" w14:textId="77777777" w:rsidR="007251B0" w:rsidRDefault="007251B0" w:rsidP="0023694D">
    <w:pPr>
      <w:pStyle w:val="NoSpacing"/>
    </w:pPr>
    <w:r>
      <w:rPr>
        <w:noProof/>
      </w:rPr>
      <w:drawing>
        <wp:anchor distT="0" distB="0" distL="114300" distR="114300" simplePos="0" relativeHeight="251676672" behindDoc="1" locked="0" layoutInCell="1" allowOverlap="1" wp14:anchorId="622E5441" wp14:editId="26632F9C">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94404" w14:textId="77777777" w:rsidR="007251B0" w:rsidRDefault="007251B0"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81C"/>
    <w:multiLevelType w:val="hybridMultilevel"/>
    <w:tmpl w:val="34261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9F0799"/>
    <w:multiLevelType w:val="hybridMultilevel"/>
    <w:tmpl w:val="73867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7368EE"/>
    <w:multiLevelType w:val="hybridMultilevel"/>
    <w:tmpl w:val="A4FAA0F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1DE6843E"/>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42C01428"/>
    <w:multiLevelType w:val="hybridMultilevel"/>
    <w:tmpl w:val="0F766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8756304"/>
    <w:multiLevelType w:val="hybridMultilevel"/>
    <w:tmpl w:val="CE2E3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4B21BD"/>
    <w:multiLevelType w:val="hybridMultilevel"/>
    <w:tmpl w:val="F5F0B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944846"/>
    <w:multiLevelType w:val="multilevel"/>
    <w:tmpl w:val="B2D05994"/>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13" w15:restartNumberingAfterBreak="0">
    <w:nsid w:val="5FEB1564"/>
    <w:multiLevelType w:val="hybridMultilevel"/>
    <w:tmpl w:val="7EA89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7D1260D3"/>
    <w:multiLevelType w:val="hybridMultilevel"/>
    <w:tmpl w:val="B7864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9"/>
  </w:num>
  <w:num w:numId="2">
    <w:abstractNumId w:val="9"/>
  </w:num>
  <w:num w:numId="3">
    <w:abstractNumId w:val="9"/>
  </w:num>
  <w:num w:numId="4">
    <w:abstractNumId w:val="16"/>
  </w:num>
  <w:num w:numId="5">
    <w:abstractNumId w:val="4"/>
  </w:num>
  <w:num w:numId="6">
    <w:abstractNumId w:val="8"/>
  </w:num>
  <w:num w:numId="7">
    <w:abstractNumId w:val="14"/>
  </w:num>
  <w:num w:numId="8">
    <w:abstractNumId w:val="6"/>
  </w:num>
  <w:num w:numId="9">
    <w:abstractNumId w:val="6"/>
  </w:num>
  <w:num w:numId="10">
    <w:abstractNumId w:val="5"/>
  </w:num>
  <w:num w:numId="11">
    <w:abstractNumId w:val="2"/>
  </w:num>
  <w:num w:numId="12">
    <w:abstractNumId w:val="3"/>
  </w:num>
  <w:num w:numId="13">
    <w:abstractNumId w:val="15"/>
  </w:num>
  <w:num w:numId="14">
    <w:abstractNumId w:val="0"/>
  </w:num>
  <w:num w:numId="15">
    <w:abstractNumId w:val="13"/>
  </w:num>
  <w:num w:numId="16">
    <w:abstractNumId w:val="1"/>
  </w:num>
  <w:num w:numId="17">
    <w:abstractNumId w:val="11"/>
  </w:num>
  <w:num w:numId="18">
    <w:abstractNumId w:val="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E7"/>
    <w:rsid w:val="00012F6F"/>
    <w:rsid w:val="00014213"/>
    <w:rsid w:val="00014B55"/>
    <w:rsid w:val="00020E3E"/>
    <w:rsid w:val="00023BF3"/>
    <w:rsid w:val="00026811"/>
    <w:rsid w:val="0004185E"/>
    <w:rsid w:val="000442F0"/>
    <w:rsid w:val="00056988"/>
    <w:rsid w:val="00072279"/>
    <w:rsid w:val="00073407"/>
    <w:rsid w:val="00075E6C"/>
    <w:rsid w:val="00081C12"/>
    <w:rsid w:val="00087D42"/>
    <w:rsid w:val="000B29AD"/>
    <w:rsid w:val="000C6372"/>
    <w:rsid w:val="000D7841"/>
    <w:rsid w:val="000E38C8"/>
    <w:rsid w:val="000E392D"/>
    <w:rsid w:val="000E39B6"/>
    <w:rsid w:val="000E3D05"/>
    <w:rsid w:val="000E55B2"/>
    <w:rsid w:val="000F4288"/>
    <w:rsid w:val="000F7165"/>
    <w:rsid w:val="00102379"/>
    <w:rsid w:val="00103722"/>
    <w:rsid w:val="001065D6"/>
    <w:rsid w:val="001068D5"/>
    <w:rsid w:val="00121252"/>
    <w:rsid w:val="00124609"/>
    <w:rsid w:val="001254CE"/>
    <w:rsid w:val="001422CC"/>
    <w:rsid w:val="00145346"/>
    <w:rsid w:val="001617B6"/>
    <w:rsid w:val="00165E66"/>
    <w:rsid w:val="00181C61"/>
    <w:rsid w:val="001960C5"/>
    <w:rsid w:val="00196143"/>
    <w:rsid w:val="001A24FC"/>
    <w:rsid w:val="001C7BAE"/>
    <w:rsid w:val="001E31FA"/>
    <w:rsid w:val="001E48F9"/>
    <w:rsid w:val="001E64F6"/>
    <w:rsid w:val="001E7AEB"/>
    <w:rsid w:val="001F6B4D"/>
    <w:rsid w:val="00204B82"/>
    <w:rsid w:val="00215C72"/>
    <w:rsid w:val="00222BEB"/>
    <w:rsid w:val="00225E60"/>
    <w:rsid w:val="00230BBB"/>
    <w:rsid w:val="0023202C"/>
    <w:rsid w:val="00234619"/>
    <w:rsid w:val="0023694D"/>
    <w:rsid w:val="00245043"/>
    <w:rsid w:val="00255DD0"/>
    <w:rsid w:val="002571FE"/>
    <w:rsid w:val="00257461"/>
    <w:rsid w:val="0026028E"/>
    <w:rsid w:val="00263221"/>
    <w:rsid w:val="00265EC8"/>
    <w:rsid w:val="00284FA2"/>
    <w:rsid w:val="00292D36"/>
    <w:rsid w:val="00294A5A"/>
    <w:rsid w:val="00297281"/>
    <w:rsid w:val="00297A47"/>
    <w:rsid w:val="002A5891"/>
    <w:rsid w:val="002B03F1"/>
    <w:rsid w:val="002B5E2B"/>
    <w:rsid w:val="002B6DAA"/>
    <w:rsid w:val="002B79D7"/>
    <w:rsid w:val="002C33BC"/>
    <w:rsid w:val="002D70F7"/>
    <w:rsid w:val="002D711A"/>
    <w:rsid w:val="002D7336"/>
    <w:rsid w:val="002E3396"/>
    <w:rsid w:val="002F2953"/>
    <w:rsid w:val="0031149C"/>
    <w:rsid w:val="0033166E"/>
    <w:rsid w:val="00340EEC"/>
    <w:rsid w:val="00341AE1"/>
    <w:rsid w:val="0036258C"/>
    <w:rsid w:val="0036778F"/>
    <w:rsid w:val="0038771C"/>
    <w:rsid w:val="003A430B"/>
    <w:rsid w:val="003A50B3"/>
    <w:rsid w:val="003A541A"/>
    <w:rsid w:val="003A6923"/>
    <w:rsid w:val="003B7B6F"/>
    <w:rsid w:val="003C2C67"/>
    <w:rsid w:val="003C2D4C"/>
    <w:rsid w:val="003C3B3A"/>
    <w:rsid w:val="003C5BA4"/>
    <w:rsid w:val="003C7395"/>
    <w:rsid w:val="003D27D1"/>
    <w:rsid w:val="003E3E26"/>
    <w:rsid w:val="003E5DFC"/>
    <w:rsid w:val="003E608A"/>
    <w:rsid w:val="003F1295"/>
    <w:rsid w:val="003F5102"/>
    <w:rsid w:val="003F76FC"/>
    <w:rsid w:val="004002EB"/>
    <w:rsid w:val="00407A79"/>
    <w:rsid w:val="00422DDC"/>
    <w:rsid w:val="004231B5"/>
    <w:rsid w:val="004236C8"/>
    <w:rsid w:val="00427681"/>
    <w:rsid w:val="00433DB7"/>
    <w:rsid w:val="00453750"/>
    <w:rsid w:val="00456941"/>
    <w:rsid w:val="004603C8"/>
    <w:rsid w:val="00465BF2"/>
    <w:rsid w:val="004702EA"/>
    <w:rsid w:val="0048259C"/>
    <w:rsid w:val="00482D02"/>
    <w:rsid w:val="00484326"/>
    <w:rsid w:val="00487087"/>
    <w:rsid w:val="00490369"/>
    <w:rsid w:val="00497861"/>
    <w:rsid w:val="004A7519"/>
    <w:rsid w:val="004B3DBC"/>
    <w:rsid w:val="004B64B1"/>
    <w:rsid w:val="004C6C48"/>
    <w:rsid w:val="004D01AC"/>
    <w:rsid w:val="004D3518"/>
    <w:rsid w:val="004D62D6"/>
    <w:rsid w:val="004D6898"/>
    <w:rsid w:val="004E251D"/>
    <w:rsid w:val="004F3F4E"/>
    <w:rsid w:val="0050356B"/>
    <w:rsid w:val="00510167"/>
    <w:rsid w:val="00513E86"/>
    <w:rsid w:val="0051723B"/>
    <w:rsid w:val="00523424"/>
    <w:rsid w:val="005306A2"/>
    <w:rsid w:val="0053416C"/>
    <w:rsid w:val="00540588"/>
    <w:rsid w:val="00541C2F"/>
    <w:rsid w:val="00551B95"/>
    <w:rsid w:val="00552DE4"/>
    <w:rsid w:val="00563527"/>
    <w:rsid w:val="0057407A"/>
    <w:rsid w:val="0058124E"/>
    <w:rsid w:val="005875A3"/>
    <w:rsid w:val="005953EA"/>
    <w:rsid w:val="005A3416"/>
    <w:rsid w:val="005A6325"/>
    <w:rsid w:val="005A794B"/>
    <w:rsid w:val="005B27FE"/>
    <w:rsid w:val="005B76DF"/>
    <w:rsid w:val="005B79CB"/>
    <w:rsid w:val="005E08D7"/>
    <w:rsid w:val="005E2B6E"/>
    <w:rsid w:val="005E4C16"/>
    <w:rsid w:val="005E5947"/>
    <w:rsid w:val="005F15F1"/>
    <w:rsid w:val="005F61DF"/>
    <w:rsid w:val="0060163A"/>
    <w:rsid w:val="006023F9"/>
    <w:rsid w:val="00610559"/>
    <w:rsid w:val="00614076"/>
    <w:rsid w:val="00632F2E"/>
    <w:rsid w:val="006332F6"/>
    <w:rsid w:val="006413F2"/>
    <w:rsid w:val="0064798F"/>
    <w:rsid w:val="006534B2"/>
    <w:rsid w:val="0065615D"/>
    <w:rsid w:val="00657011"/>
    <w:rsid w:val="006650B5"/>
    <w:rsid w:val="006651B1"/>
    <w:rsid w:val="00665778"/>
    <w:rsid w:val="00667BC7"/>
    <w:rsid w:val="00676E5F"/>
    <w:rsid w:val="0069041D"/>
    <w:rsid w:val="006945CA"/>
    <w:rsid w:val="006A3309"/>
    <w:rsid w:val="006A3A5A"/>
    <w:rsid w:val="006A5B34"/>
    <w:rsid w:val="006C6AE0"/>
    <w:rsid w:val="006C77A9"/>
    <w:rsid w:val="006D4720"/>
    <w:rsid w:val="006E6CDF"/>
    <w:rsid w:val="006F37F2"/>
    <w:rsid w:val="006F6693"/>
    <w:rsid w:val="00707FE8"/>
    <w:rsid w:val="00714AAE"/>
    <w:rsid w:val="00724962"/>
    <w:rsid w:val="00724A0F"/>
    <w:rsid w:val="007251B0"/>
    <w:rsid w:val="00726D2F"/>
    <w:rsid w:val="00727C45"/>
    <w:rsid w:val="00735552"/>
    <w:rsid w:val="00736732"/>
    <w:rsid w:val="00740019"/>
    <w:rsid w:val="00746426"/>
    <w:rsid w:val="00750BF9"/>
    <w:rsid w:val="00750CBE"/>
    <w:rsid w:val="007650D2"/>
    <w:rsid w:val="00766B5A"/>
    <w:rsid w:val="00772209"/>
    <w:rsid w:val="007770A5"/>
    <w:rsid w:val="007834F2"/>
    <w:rsid w:val="00791020"/>
    <w:rsid w:val="007A04D2"/>
    <w:rsid w:val="007A5F82"/>
    <w:rsid w:val="007C2448"/>
    <w:rsid w:val="007C4073"/>
    <w:rsid w:val="007D3387"/>
    <w:rsid w:val="007D4F9E"/>
    <w:rsid w:val="007D5F9E"/>
    <w:rsid w:val="007E098F"/>
    <w:rsid w:val="007E3BA2"/>
    <w:rsid w:val="007F05A8"/>
    <w:rsid w:val="007F1A4C"/>
    <w:rsid w:val="007F5A6B"/>
    <w:rsid w:val="007F6C26"/>
    <w:rsid w:val="007F723F"/>
    <w:rsid w:val="008022C3"/>
    <w:rsid w:val="008041E6"/>
    <w:rsid w:val="008065D2"/>
    <w:rsid w:val="008116D8"/>
    <w:rsid w:val="008136B4"/>
    <w:rsid w:val="00813EEA"/>
    <w:rsid w:val="00815A8A"/>
    <w:rsid w:val="0082194C"/>
    <w:rsid w:val="008222FF"/>
    <w:rsid w:val="008241FF"/>
    <w:rsid w:val="008411E9"/>
    <w:rsid w:val="00841617"/>
    <w:rsid w:val="0084200F"/>
    <w:rsid w:val="00843B2C"/>
    <w:rsid w:val="00844F16"/>
    <w:rsid w:val="00855FF9"/>
    <w:rsid w:val="0086277A"/>
    <w:rsid w:val="008668A8"/>
    <w:rsid w:val="008737EB"/>
    <w:rsid w:val="008768AD"/>
    <w:rsid w:val="00880AC4"/>
    <w:rsid w:val="00897447"/>
    <w:rsid w:val="008A39CF"/>
    <w:rsid w:val="008A4900"/>
    <w:rsid w:val="008A55FE"/>
    <w:rsid w:val="008B146D"/>
    <w:rsid w:val="008B18B4"/>
    <w:rsid w:val="008B42AD"/>
    <w:rsid w:val="008B5666"/>
    <w:rsid w:val="008C5C43"/>
    <w:rsid w:val="008D0281"/>
    <w:rsid w:val="008D5BA3"/>
    <w:rsid w:val="008E2348"/>
    <w:rsid w:val="008F60B2"/>
    <w:rsid w:val="008F6D45"/>
    <w:rsid w:val="00922944"/>
    <w:rsid w:val="00936479"/>
    <w:rsid w:val="00937A10"/>
    <w:rsid w:val="00943276"/>
    <w:rsid w:val="00966115"/>
    <w:rsid w:val="009834C0"/>
    <w:rsid w:val="00986AAC"/>
    <w:rsid w:val="009945B6"/>
    <w:rsid w:val="00995526"/>
    <w:rsid w:val="009A1DA2"/>
    <w:rsid w:val="009A3704"/>
    <w:rsid w:val="009A4739"/>
    <w:rsid w:val="009A674F"/>
    <w:rsid w:val="009A6D22"/>
    <w:rsid w:val="009B199C"/>
    <w:rsid w:val="009B61F1"/>
    <w:rsid w:val="009B62E0"/>
    <w:rsid w:val="009C3D88"/>
    <w:rsid w:val="009D159B"/>
    <w:rsid w:val="009E1651"/>
    <w:rsid w:val="009E3858"/>
    <w:rsid w:val="009E467D"/>
    <w:rsid w:val="009E70DD"/>
    <w:rsid w:val="009F2ED9"/>
    <w:rsid w:val="009F3231"/>
    <w:rsid w:val="009F5C58"/>
    <w:rsid w:val="00A023A0"/>
    <w:rsid w:val="00A05EBC"/>
    <w:rsid w:val="00A1562B"/>
    <w:rsid w:val="00A170F4"/>
    <w:rsid w:val="00A21408"/>
    <w:rsid w:val="00A21CFD"/>
    <w:rsid w:val="00A24A37"/>
    <w:rsid w:val="00A25B78"/>
    <w:rsid w:val="00A46288"/>
    <w:rsid w:val="00A46BA8"/>
    <w:rsid w:val="00A47634"/>
    <w:rsid w:val="00A612FE"/>
    <w:rsid w:val="00A61A79"/>
    <w:rsid w:val="00A70B49"/>
    <w:rsid w:val="00A8019E"/>
    <w:rsid w:val="00A926A2"/>
    <w:rsid w:val="00A92D94"/>
    <w:rsid w:val="00AA26B8"/>
    <w:rsid w:val="00AC0B87"/>
    <w:rsid w:val="00AC2624"/>
    <w:rsid w:val="00AC32A8"/>
    <w:rsid w:val="00AD7E4E"/>
    <w:rsid w:val="00AE3760"/>
    <w:rsid w:val="00AF4D58"/>
    <w:rsid w:val="00AF6666"/>
    <w:rsid w:val="00AF7BC5"/>
    <w:rsid w:val="00B81B44"/>
    <w:rsid w:val="00B9053B"/>
    <w:rsid w:val="00BA0C37"/>
    <w:rsid w:val="00BA3782"/>
    <w:rsid w:val="00BB4D98"/>
    <w:rsid w:val="00BB4EBF"/>
    <w:rsid w:val="00BB59E0"/>
    <w:rsid w:val="00BB7B17"/>
    <w:rsid w:val="00BC33E7"/>
    <w:rsid w:val="00BC3422"/>
    <w:rsid w:val="00BC6E19"/>
    <w:rsid w:val="00BD11C2"/>
    <w:rsid w:val="00BD5018"/>
    <w:rsid w:val="00BE5ADC"/>
    <w:rsid w:val="00BF3854"/>
    <w:rsid w:val="00BF4F96"/>
    <w:rsid w:val="00C015B9"/>
    <w:rsid w:val="00C022F9"/>
    <w:rsid w:val="00C032EA"/>
    <w:rsid w:val="00C06EB5"/>
    <w:rsid w:val="00C1145F"/>
    <w:rsid w:val="00C11CD1"/>
    <w:rsid w:val="00C32D49"/>
    <w:rsid w:val="00C33AD3"/>
    <w:rsid w:val="00C41B3C"/>
    <w:rsid w:val="00C43F06"/>
    <w:rsid w:val="00C476EB"/>
    <w:rsid w:val="00C51C01"/>
    <w:rsid w:val="00C637E1"/>
    <w:rsid w:val="00C67EAC"/>
    <w:rsid w:val="00C70D50"/>
    <w:rsid w:val="00C72252"/>
    <w:rsid w:val="00C870D9"/>
    <w:rsid w:val="00C907D7"/>
    <w:rsid w:val="00C92338"/>
    <w:rsid w:val="00C954FA"/>
    <w:rsid w:val="00CA05DC"/>
    <w:rsid w:val="00CA7B47"/>
    <w:rsid w:val="00CB3976"/>
    <w:rsid w:val="00CB5275"/>
    <w:rsid w:val="00CD0307"/>
    <w:rsid w:val="00CD3D1B"/>
    <w:rsid w:val="00CD4C99"/>
    <w:rsid w:val="00CD797A"/>
    <w:rsid w:val="00CF7398"/>
    <w:rsid w:val="00D02663"/>
    <w:rsid w:val="00D0633E"/>
    <w:rsid w:val="00D12E74"/>
    <w:rsid w:val="00D2312F"/>
    <w:rsid w:val="00D23B04"/>
    <w:rsid w:val="00D269C1"/>
    <w:rsid w:val="00D41B2F"/>
    <w:rsid w:val="00D44953"/>
    <w:rsid w:val="00D542F3"/>
    <w:rsid w:val="00D54513"/>
    <w:rsid w:val="00D54AAE"/>
    <w:rsid w:val="00D5644B"/>
    <w:rsid w:val="00D56E25"/>
    <w:rsid w:val="00D57E89"/>
    <w:rsid w:val="00D6560D"/>
    <w:rsid w:val="00D65D77"/>
    <w:rsid w:val="00D67FBC"/>
    <w:rsid w:val="00D718D7"/>
    <w:rsid w:val="00D775D4"/>
    <w:rsid w:val="00D814B7"/>
    <w:rsid w:val="00D90688"/>
    <w:rsid w:val="00D955F9"/>
    <w:rsid w:val="00DA1AC1"/>
    <w:rsid w:val="00DA3AAD"/>
    <w:rsid w:val="00DB1478"/>
    <w:rsid w:val="00DB2ED2"/>
    <w:rsid w:val="00DB312B"/>
    <w:rsid w:val="00DC5654"/>
    <w:rsid w:val="00DC658F"/>
    <w:rsid w:val="00DC674A"/>
    <w:rsid w:val="00DD768B"/>
    <w:rsid w:val="00DE60CC"/>
    <w:rsid w:val="00E16C85"/>
    <w:rsid w:val="00E213A3"/>
    <w:rsid w:val="00E26B32"/>
    <w:rsid w:val="00E31CD4"/>
    <w:rsid w:val="00E31E60"/>
    <w:rsid w:val="00E33E08"/>
    <w:rsid w:val="00E341CE"/>
    <w:rsid w:val="00E407B6"/>
    <w:rsid w:val="00E41EF1"/>
    <w:rsid w:val="00E42942"/>
    <w:rsid w:val="00E63564"/>
    <w:rsid w:val="00E65A0A"/>
    <w:rsid w:val="00E71BDF"/>
    <w:rsid w:val="00E75CCB"/>
    <w:rsid w:val="00E77E60"/>
    <w:rsid w:val="00E8245B"/>
    <w:rsid w:val="00E82C21"/>
    <w:rsid w:val="00E82F59"/>
    <w:rsid w:val="00E83CA7"/>
    <w:rsid w:val="00E92192"/>
    <w:rsid w:val="00E95A71"/>
    <w:rsid w:val="00E96C95"/>
    <w:rsid w:val="00EB4DCF"/>
    <w:rsid w:val="00EB7014"/>
    <w:rsid w:val="00EC5CDE"/>
    <w:rsid w:val="00ED2F5A"/>
    <w:rsid w:val="00ED3077"/>
    <w:rsid w:val="00ED487E"/>
    <w:rsid w:val="00ED64F1"/>
    <w:rsid w:val="00EE33A1"/>
    <w:rsid w:val="00EE7A0D"/>
    <w:rsid w:val="00F019D5"/>
    <w:rsid w:val="00F0222C"/>
    <w:rsid w:val="00F12312"/>
    <w:rsid w:val="00F17CE1"/>
    <w:rsid w:val="00F2115C"/>
    <w:rsid w:val="00F22ABA"/>
    <w:rsid w:val="00F25F4B"/>
    <w:rsid w:val="00F36B12"/>
    <w:rsid w:val="00F57C97"/>
    <w:rsid w:val="00F60F9F"/>
    <w:rsid w:val="00F64F08"/>
    <w:rsid w:val="00F70055"/>
    <w:rsid w:val="00F734F5"/>
    <w:rsid w:val="00F73B5B"/>
    <w:rsid w:val="00F90EA5"/>
    <w:rsid w:val="00F91F5A"/>
    <w:rsid w:val="00F966B1"/>
    <w:rsid w:val="00F97D48"/>
    <w:rsid w:val="00FA0311"/>
    <w:rsid w:val="00FA1489"/>
    <w:rsid w:val="00FB3F36"/>
    <w:rsid w:val="00FD50F0"/>
    <w:rsid w:val="00FD640F"/>
    <w:rsid w:val="00FD6B4C"/>
    <w:rsid w:val="00FE0553"/>
    <w:rsid w:val="00FE25D0"/>
    <w:rsid w:val="00FE53ED"/>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8CB64"/>
  <w15:docId w15:val="{EC322AB4-5011-42B0-8CDE-5D3F7067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BF3854"/>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294A5A"/>
    <w:pPr>
      <w:numPr>
        <w:numId w:val="9"/>
      </w:numPr>
      <w:spacing w:before="60" w:after="60"/>
    </w:pPr>
    <w:rPr>
      <w:rFonts w:eastAsia="Times New Roman"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E1651"/>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character" w:styleId="UnresolvedMention">
    <w:name w:val="Unresolved Mention"/>
    <w:basedOn w:val="DefaultParagraphFont"/>
    <w:uiPriority w:val="99"/>
    <w:semiHidden/>
    <w:unhideWhenUsed/>
    <w:rsid w:val="0033166E"/>
    <w:rPr>
      <w:color w:val="605E5C"/>
      <w:shd w:val="clear" w:color="auto" w:fill="E1DFDD"/>
    </w:rPr>
  </w:style>
  <w:style w:type="character" w:styleId="FollowedHyperlink">
    <w:name w:val="FollowedHyperlink"/>
    <w:basedOn w:val="DefaultParagraphFont"/>
    <w:uiPriority w:val="1"/>
    <w:semiHidden/>
    <w:unhideWhenUsed/>
    <w:rsid w:val="00943276"/>
    <w:rPr>
      <w:color w:val="0075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www.agedcarequality.gov.au/resources/influenza-resources" TargetMode="External"/><Relationship Id="rId39" Type="http://schemas.openxmlformats.org/officeDocument/2006/relationships/hyperlink" Target="http://www.vicniss.org.au/" TargetMode="External"/><Relationship Id="rId3" Type="http://schemas.openxmlformats.org/officeDocument/2006/relationships/styles" Target="styles.xml"/><Relationship Id="rId21" Type="http://schemas.openxmlformats.org/officeDocument/2006/relationships/hyperlink" Target="http://www.ihi.org/resources/Pages/Tools/CauseandEffectDiagram.aspx" TargetMode="External"/><Relationship Id="rId34" Type="http://schemas.openxmlformats.org/officeDocument/2006/relationships/hyperlink" Target="https://www.health.qld.gov.au/public-health/industry-environment/care-facilities/prevention" TargetMode="External"/><Relationship Id="rId42" Type="http://schemas.openxmlformats.org/officeDocument/2006/relationships/hyperlink" Target="http://rwv.grampianshealth.org.au/index.php/health-resources/infection-contro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http://flu.tas.gov.au/aged_care_facilities" TargetMode="External"/><Relationship Id="rId33" Type="http://schemas.openxmlformats.org/officeDocument/2006/relationships/hyperlink" Target="https://www2.health.vic.gov.au/ageing-and-aged-care/residential-aged-care/safety-and-quality/improving-resident-care/standardised-care-processes" TargetMode="External"/><Relationship Id="rId38" Type="http://schemas.openxmlformats.org/officeDocument/2006/relationships/hyperlink" Target="https://www.health.gov.au/resources/collections/influenza" TargetMode="External"/><Relationship Id="rId46"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infectioncontrol.grampianshealth.org.au/index.php/health-resources/infection-control/167-audit-tools" TargetMode="External"/><Relationship Id="rId29" Type="http://schemas.openxmlformats.org/officeDocument/2006/relationships/hyperlink" Target="https://agedcare.health.gov.au/ageing-and-aged-care-publications-and-articles-training-and-learning-resources-gastro-info-gastroenteritis-kit-for-aged-care/gastro-info-outbreak-coordinators-handbook" TargetMode="External"/><Relationship Id="rId41" Type="http://schemas.openxmlformats.org/officeDocument/2006/relationships/hyperlink" Target="http://www.nhmrc.gov.au/about-us/publications/australian-guidelines-prevention-and-control-infection-healthcare-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1.health.gov.au/internet/main/publishing.nsf/Content/cdna-flu-guidelines.htm" TargetMode="External"/><Relationship Id="rId32" Type="http://schemas.openxmlformats.org/officeDocument/2006/relationships/hyperlink" Target="http://www.health.gov.au/resources/collections/novel-coronavirus-2019-ncov-resources" TargetMode="External"/><Relationship Id="rId37" Type="http://schemas.openxmlformats.org/officeDocument/2006/relationships/hyperlink" Target="https://www.youtube.com/watch?v=9PCMO7uc2FY" TargetMode="External"/><Relationship Id="rId40" Type="http://schemas.openxmlformats.org/officeDocument/2006/relationships/hyperlink" Target="http://www.ncas-australia.org/" TargetMode="External"/><Relationship Id="rId45" Type="http://schemas.openxmlformats.org/officeDocument/2006/relationships/hyperlink" Target="https://www.betterhealth.vic.gov.au/conditionsandtreatments/infections" TargetMode="External"/><Relationship Id="rId5" Type="http://schemas.openxmlformats.org/officeDocument/2006/relationships/webSettings" Target="webSettings.xml"/><Relationship Id="rId15" Type="http://schemas.openxmlformats.org/officeDocument/2006/relationships/hyperlink" Target="http://www.safercare.vic" TargetMode="External"/><Relationship Id="rId23" Type="http://schemas.openxmlformats.org/officeDocument/2006/relationships/hyperlink" Target="https://agedcare.health.gov.au/publications-articles/resources-learning-training/influ-info-influenza-kit-for-aged-care" TargetMode="External"/><Relationship Id="rId28" Type="http://schemas.openxmlformats.org/officeDocument/2006/relationships/hyperlink" Target="https://www2.health.vic.gov.au/about/publications/researchandreports/guide-for-management-and-control-of-gastroenteritis-outbreaks" TargetMode="External"/><Relationship Id="rId36" Type="http://schemas.openxmlformats.org/officeDocument/2006/relationships/hyperlink" Target="https://agedcare.health.gov.au/mandatory-influenza-flu-vaccination-program-for-residential-aged-care-providers"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www1.health.gov.au/internet/main/publishing.nsf/Content/cdna-song-novel-coronavirus.htm" TargetMode="External"/><Relationship Id="rId44" Type="http://schemas.openxmlformats.org/officeDocument/2006/relationships/hyperlink" Target="https://www2.health.vic.gov.au/public-health/infectious-diseases/infection-control-guidelines/chlorine-dilutions-calculato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safercare.vic.gov.au" TargetMode="External"/><Relationship Id="rId22" Type="http://schemas.openxmlformats.org/officeDocument/2006/relationships/hyperlink" Target="https://www2.health.vic.gov.au/public-health/infectious-diseases/infection-control-guidelines/respiratory-illness-management-in-aged-care-facilities" TargetMode="External"/><Relationship Id="rId27" Type="http://schemas.openxmlformats.org/officeDocument/2006/relationships/hyperlink" Target="https://www1.health.gov.au/internet/publications/publishing.nsf/Content/cda-cdna-norovirus.htm-l~cda-cdna-norovirus.htm-l-8" TargetMode="External"/><Relationship Id="rId30" Type="http://schemas.openxmlformats.org/officeDocument/2006/relationships/hyperlink" Target="http://www.health.gov.au/resources/publications/australian-health-sector-emergency-response-plan-for-novel-coronavirus-covid-19" TargetMode="External"/><Relationship Id="rId35" Type="http://schemas.openxmlformats.org/officeDocument/2006/relationships/hyperlink" Target="http://www.redbackondemand.com.au/on/channel/SCV/" TargetMode="External"/><Relationship Id="rId43" Type="http://schemas.openxmlformats.org/officeDocument/2006/relationships/hyperlink" Target="https://www.vicniss.org.au/resources/infection-control-toolbox/" TargetMode="External"/><Relationship Id="rId48" Type="http://schemas.openxmlformats.org/officeDocument/2006/relationships/glossaryDocument" Target="glossary/document.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1.%20Templates\1.%20Safer%20Care%20Victoria\Report%20no%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539E8EC2914A289D65C267F22FD467"/>
        <w:category>
          <w:name w:val="General"/>
          <w:gallery w:val="placeholder"/>
        </w:category>
        <w:types>
          <w:type w:val="bbPlcHdr"/>
        </w:types>
        <w:behaviors>
          <w:behavior w:val="content"/>
        </w:behaviors>
        <w:guid w:val="{ED8F5E8D-DAA3-40FD-A538-6DE67AD8371A}"/>
      </w:docPartPr>
      <w:docPartBody>
        <w:p w:rsidR="00326DE8" w:rsidRDefault="00326DE8">
          <w:pPr>
            <w:pStyle w:val="BF539E8EC2914A289D65C267F22FD467"/>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E8"/>
    <w:rsid w:val="000D4A56"/>
    <w:rsid w:val="00326DE8"/>
    <w:rsid w:val="003C1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BF539E8EC2914A289D65C267F22FD467">
    <w:name w:val="BF539E8EC2914A289D65C267F22FD467"/>
  </w:style>
  <w:style w:type="paragraph" w:customStyle="1" w:styleId="16236F30F97A44218A01731CC2E31F9B">
    <w:name w:val="16236F30F97A44218A01731CC2E31F9B"/>
  </w:style>
  <w:style w:type="paragraph" w:customStyle="1" w:styleId="C5C025CEA415466FBB572D0DC80AE68D">
    <w:name w:val="C5C025CEA415466FBB572D0DC80AE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60772-CB6F-4181-A818-CD13F130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no image.dotx</Template>
  <TotalTime>0</TotalTime>
  <Pages>16</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Managing outbreaks in residential aged care</vt:lpstr>
    </vt:vector>
  </TitlesOfParts>
  <Company>Department of Treasury and Finance</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outbreaks in residential aged care</dc:title>
  <dc:creator>Allison Manning</dc:creator>
  <cp:lastModifiedBy>Emma Gumbleton (DHHS)</cp:lastModifiedBy>
  <cp:revision>2</cp:revision>
  <cp:lastPrinted>2020-04-07T06:55:00Z</cp:lastPrinted>
  <dcterms:created xsi:type="dcterms:W3CDTF">2020-04-07T23:07:00Z</dcterms:created>
  <dcterms:modified xsi:type="dcterms:W3CDTF">2020-04-07T23:07:00Z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